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F57B7" w:rsidRPr="00561C9C" w:rsidTr="001F57B7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1F57B7" w:rsidRPr="00561C9C" w:rsidRDefault="00561C9C">
            <w:pPr>
              <w:pStyle w:val="EPName"/>
            </w:pPr>
            <w:r>
              <w:t>Parlement européen</w:t>
            </w:r>
          </w:p>
          <w:p w:rsidR="001F57B7" w:rsidRPr="006407FF" w:rsidRDefault="006407FF" w:rsidP="006407F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hideMark/>
          </w:tcPr>
          <w:p w:rsidR="001F57B7" w:rsidRPr="00561C9C" w:rsidRDefault="00022ADB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C71A3C" w:rsidRPr="00561C9C" w:rsidRDefault="00C71A3C" w:rsidP="00C71A3C">
      <w:pPr>
        <w:pStyle w:val="LineTop"/>
      </w:pPr>
    </w:p>
    <w:p w:rsidR="00C71A3C" w:rsidRPr="00561C9C" w:rsidRDefault="00C71A3C" w:rsidP="00C71A3C"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{LIBE}</w:t>
      </w:r>
      <w:r>
        <w:t>Commission des libertés civiles, de la justice et des affaires intérieures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C71A3C" w:rsidRPr="00561C9C" w:rsidRDefault="00C71A3C" w:rsidP="00C71A3C">
      <w:pPr>
        <w:pStyle w:val="LineBottom"/>
      </w:pPr>
    </w:p>
    <w:p w:rsidR="00ED0821" w:rsidRPr="00561C9C" w:rsidRDefault="00ED0821">
      <w:pPr>
        <w:pStyle w:val="RefProc"/>
      </w:pPr>
      <w:r>
        <w:rPr>
          <w:rStyle w:val="HideTWBExt"/>
          <w:b w:val="0"/>
          <w:noProof w:val="0"/>
        </w:rPr>
        <w:t>&lt;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</w:t>
      </w:r>
      <w:r>
        <w:t>2016/0820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&gt;&lt;</w:t>
      </w:r>
      <w:r>
        <w:rPr>
          <w:rStyle w:val="HideTWBExt"/>
          <w:b w:val="0"/>
          <w:caps w:val="0"/>
          <w:noProof w:val="0"/>
        </w:rPr>
        <w:t>RefTypeProc</w:t>
      </w:r>
      <w:r>
        <w:rPr>
          <w:rStyle w:val="HideTWBExt"/>
          <w:b w:val="0"/>
          <w:noProof w:val="0"/>
        </w:rPr>
        <w:t>&gt;</w:t>
      </w:r>
      <w:r>
        <w:t>(CNS)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RefTypeProc</w:t>
      </w:r>
      <w:r>
        <w:rPr>
          <w:rStyle w:val="HideTWBExt"/>
          <w:b w:val="0"/>
          <w:noProof w:val="0"/>
        </w:rPr>
        <w:t>&gt;</w:t>
      </w:r>
    </w:p>
    <w:p w:rsidR="00ED0821" w:rsidRPr="00561C9C" w:rsidRDefault="00ED0821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{28/02/2017}</w:t>
      </w:r>
      <w:r>
        <w:t>28.2.2017</w:t>
      </w:r>
      <w:r>
        <w:rPr>
          <w:rStyle w:val="HideTWBExt"/>
          <w:noProof w:val="0"/>
        </w:rPr>
        <w:t>&lt;/Date&gt;</w:t>
      </w:r>
    </w:p>
    <w:p w:rsidR="00ED0821" w:rsidRPr="00561C9C" w:rsidRDefault="00ED0821">
      <w:pPr>
        <w:pStyle w:val="StarsAndIs"/>
      </w:pPr>
      <w:r>
        <w:rPr>
          <w:rStyle w:val="HideTWBExt"/>
          <w:b w:val="0"/>
          <w:noProof w:val="0"/>
        </w:rPr>
        <w:t>&lt;RefProcLect&gt;</w:t>
      </w:r>
      <w:r>
        <w:t>*</w:t>
      </w:r>
      <w:r>
        <w:rPr>
          <w:rStyle w:val="HideTWBExt"/>
          <w:b w:val="0"/>
          <w:noProof w:val="0"/>
        </w:rPr>
        <w:t>&lt;/RefProcLect&gt;</w:t>
      </w:r>
    </w:p>
    <w:p w:rsidR="00ED0821" w:rsidRPr="00561C9C" w:rsidRDefault="00ED0821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PROJET DE RAPPORT</w:t>
      </w:r>
      <w:r>
        <w:rPr>
          <w:rStyle w:val="HideTWBExt"/>
          <w:b w:val="0"/>
          <w:noProof w:val="0"/>
        </w:rPr>
        <w:t>&lt;/TitreType&gt;</w:t>
      </w:r>
    </w:p>
    <w:p w:rsidR="006407FF" w:rsidRPr="00D24563" w:rsidRDefault="006407FF" w:rsidP="006407FF">
      <w:pPr>
        <w:pStyle w:val="CoverNormal"/>
      </w:pPr>
      <w:r>
        <w:rPr>
          <w:rStyle w:val="HideTWBExt"/>
          <w:noProof w:val="0"/>
        </w:rPr>
        <w:t>&lt;Titre&gt;</w:t>
      </w:r>
      <w:r>
        <w:t>sur le projet de décision d’exécution du Conseil concernant l’échange automatisé de données relatives aux données dactyloscopiques en Slovaquie, en Bulgarie, en France, en République tchèque, en Lituanie, aux Pays-Bas, en Hongrie, à Chypre, en Estonie, à Malte, en Roumanie et en Finlande, et remplaçant les décisions 2010/682/UE, 2010/758/UE, 2011/355/UE, 2011/434/UE, 2011/888/UE, 2012/46/UE, 2012/446/UE, 2012/672/UE, 2012/710/UE, 2013/153/UE, 2013/229/UE et 2013/792/UE</w:t>
      </w:r>
      <w:r>
        <w:rPr>
          <w:rStyle w:val="HideTWBExt"/>
          <w:noProof w:val="0"/>
        </w:rPr>
        <w:t>&lt;/Titre&gt;</w:t>
      </w:r>
    </w:p>
    <w:p w:rsidR="00ED0821" w:rsidRPr="00561C9C" w:rsidRDefault="00ED0821">
      <w:pPr>
        <w:pStyle w:val="Cover24"/>
      </w:pPr>
      <w:r>
        <w:rPr>
          <w:rStyle w:val="HideTWBExt"/>
          <w:noProof w:val="0"/>
        </w:rPr>
        <w:t>&lt;DocRef&gt;</w:t>
      </w:r>
      <w:r>
        <w:t>(13526/2016 – C8-0520/2016 – 2016/0820(CNS))</w:t>
      </w:r>
      <w:r>
        <w:rPr>
          <w:rStyle w:val="HideTWBExt"/>
          <w:noProof w:val="0"/>
        </w:rPr>
        <w:t>&lt;/DocRef&gt;</w:t>
      </w:r>
    </w:p>
    <w:p w:rsidR="00ED0821" w:rsidRPr="00561C9C" w:rsidRDefault="00ED0821">
      <w:pPr>
        <w:pStyle w:val="Cover24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{LIBE}</w:t>
      </w:r>
      <w:r>
        <w:t>Commission des libertés civiles, de la justice et des affaires intérieures</w:t>
      </w:r>
      <w:r>
        <w:rPr>
          <w:rStyle w:val="HideTWBExt"/>
          <w:noProof w:val="0"/>
        </w:rPr>
        <w:t>&lt;/Commission&gt;</w:t>
      </w:r>
    </w:p>
    <w:p w:rsidR="00ED0821" w:rsidRPr="00561C9C" w:rsidRDefault="006407FF">
      <w:pPr>
        <w:pStyle w:val="Cover24"/>
      </w:pPr>
      <w:r>
        <w:t xml:space="preserve">Rapporteur: </w:t>
      </w:r>
      <w:r>
        <w:rPr>
          <w:rStyle w:val="HideTWBExt"/>
          <w:noProof w:val="0"/>
        </w:rPr>
        <w:t>&lt;Depute&gt;</w:t>
      </w:r>
      <w:r>
        <w:t>Tomáš Zdechovský</w:t>
      </w:r>
      <w:r>
        <w:rPr>
          <w:rStyle w:val="HideTWBExt"/>
          <w:noProof w:val="0"/>
        </w:rPr>
        <w:t>&lt;/Depute&gt;</w:t>
      </w:r>
    </w:p>
    <w:p w:rsidR="006407FF" w:rsidRPr="006407FF" w:rsidRDefault="006407FF" w:rsidP="006407FF">
      <w:pPr>
        <w:pStyle w:val="CoverNormal"/>
      </w:pPr>
      <w:r>
        <w:t>(Procédure simplifiée – article 50, paragraphe 1, du règlement)</w:t>
      </w:r>
    </w:p>
    <w:p w:rsidR="00BE4EC7" w:rsidRPr="006407FF" w:rsidRDefault="00BE4EC7" w:rsidP="00BE4EC7">
      <w:pPr>
        <w:pStyle w:val="CoverNormal"/>
      </w:pPr>
    </w:p>
    <w:p w:rsidR="00ED0821" w:rsidRPr="006407FF" w:rsidRDefault="00ED0821" w:rsidP="001F57B7">
      <w:pPr>
        <w:widowControl/>
        <w:tabs>
          <w:tab w:val="center" w:pos="4677"/>
        </w:tabs>
      </w:pPr>
      <w:r>
        <w:br w:type="page"/>
      </w:r>
      <w:bookmarkStart w:id="0" w:name="DocEPTmpStart"/>
      <w:bookmarkEnd w:id="0"/>
    </w:p>
    <w:p w:rsidR="006407FF" w:rsidRDefault="00022ADB">
      <w:r>
        <w:fldChar w:fldCharType="begin"/>
      </w:r>
      <w:r>
        <w:instrText>TITLE \* MERGEFORMAT</w:instrText>
      </w:r>
      <w:r>
        <w:fldChar w:fldCharType="separate"/>
      </w:r>
      <w:r>
        <w:t>PR_NLE-CN_ImplDec_app</w:t>
      </w:r>
      <w:r>
        <w:fldChar w:fldCharType="end"/>
      </w:r>
    </w:p>
    <w:p w:rsidR="006407FF" w:rsidRDefault="006407FF"/>
    <w:p w:rsidR="006407FF" w:rsidRDefault="006407FF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6407FF">
        <w:tc>
          <w:tcPr>
            <w:tcW w:w="5811" w:type="dxa"/>
          </w:tcPr>
          <w:p w:rsidR="006407FF" w:rsidRDefault="006407FF">
            <w:pPr>
              <w:pStyle w:val="Lgendetitre"/>
            </w:pPr>
            <w:r>
              <w:t>Légende des signes utilisés</w:t>
            </w:r>
          </w:p>
        </w:tc>
      </w:tr>
      <w:tr w:rsidR="006407FF" w:rsidTr="00C50C36">
        <w:trPr>
          <w:cantSplit/>
          <w:trHeight w:val="1944"/>
        </w:trPr>
        <w:tc>
          <w:tcPr>
            <w:tcW w:w="5811" w:type="dxa"/>
            <w:tcBorders>
              <w:bottom w:val="single" w:sz="4" w:space="0" w:color="auto"/>
            </w:tcBorders>
          </w:tcPr>
          <w:p w:rsidR="006407FF" w:rsidRDefault="006407FF">
            <w:pPr>
              <w:pStyle w:val="Lgendesigne"/>
            </w:pPr>
            <w:r>
              <w:tab/>
              <w:t>*</w:t>
            </w:r>
            <w:r>
              <w:tab/>
              <w:t>Procédure de consultation</w:t>
            </w:r>
          </w:p>
          <w:p w:rsidR="006407FF" w:rsidRPr="00817843" w:rsidRDefault="006407FF">
            <w:pPr>
              <w:pStyle w:val="Lgendesigne"/>
            </w:pPr>
            <w:r>
              <w:tab/>
              <w:t>***</w:t>
            </w:r>
            <w:r>
              <w:tab/>
              <w:t>Procédure d’approbation</w:t>
            </w:r>
          </w:p>
          <w:p w:rsidR="006407FF" w:rsidRDefault="006407FF">
            <w:pPr>
              <w:pStyle w:val="Lgendesigne"/>
            </w:pPr>
            <w:r>
              <w:tab/>
              <w:t>***I</w:t>
            </w:r>
            <w:r>
              <w:tab/>
              <w:t>Procédure législative ordinaire (première lecture)</w:t>
            </w:r>
          </w:p>
          <w:p w:rsidR="006407FF" w:rsidRDefault="006407FF">
            <w:pPr>
              <w:pStyle w:val="Lgendesigne"/>
            </w:pPr>
            <w:r>
              <w:tab/>
              <w:t>***II</w:t>
            </w:r>
            <w:r>
              <w:tab/>
              <w:t>Procédure législative ordinaire (deuxième lecture)</w:t>
            </w:r>
          </w:p>
          <w:p w:rsidR="006407FF" w:rsidRDefault="006407FF">
            <w:pPr>
              <w:pStyle w:val="Lgendesigne"/>
            </w:pPr>
            <w:r>
              <w:tab/>
              <w:t>***III</w:t>
            </w:r>
            <w:r>
              <w:tab/>
              <w:t>Procédure législative ordinaire (troisième lecture)</w:t>
            </w:r>
          </w:p>
          <w:p w:rsidR="006407FF" w:rsidRDefault="006407FF">
            <w:pPr>
              <w:pStyle w:val="Lgendesigne"/>
              <w:ind w:left="0" w:firstLine="0"/>
            </w:pPr>
          </w:p>
          <w:p w:rsidR="006407FF" w:rsidRDefault="006407FF">
            <w:pPr>
              <w:pStyle w:val="Lgendestandard"/>
            </w:pPr>
            <w:r>
              <w:t>(La procédure indiquée est fondée sur la base juridique proposée par le projet d’acte.)</w:t>
            </w:r>
          </w:p>
          <w:p w:rsidR="006407FF" w:rsidRDefault="006407FF">
            <w:pPr>
              <w:pStyle w:val="Lgendesigne"/>
              <w:ind w:left="0" w:firstLine="0"/>
            </w:pPr>
          </w:p>
        </w:tc>
      </w:tr>
    </w:tbl>
    <w:p w:rsidR="006407FF" w:rsidRDefault="006407FF"/>
    <w:p w:rsidR="006407FF" w:rsidRDefault="006407FF"/>
    <w:p w:rsidR="006407FF" w:rsidRDefault="006407FF"/>
    <w:p w:rsidR="006407FF" w:rsidRDefault="006407FF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6407FF">
        <w:tc>
          <w:tcPr>
            <w:tcW w:w="5811" w:type="dxa"/>
          </w:tcPr>
          <w:p w:rsidR="006407FF" w:rsidRPr="00817843" w:rsidRDefault="006407FF">
            <w:pPr>
              <w:pStyle w:val="Lgendetitre"/>
            </w:pPr>
            <w:r>
              <w:t>Amendements à un projet d’acte</w:t>
            </w:r>
          </w:p>
        </w:tc>
      </w:tr>
      <w:tr w:rsidR="006407FF">
        <w:tc>
          <w:tcPr>
            <w:tcW w:w="5811" w:type="dxa"/>
          </w:tcPr>
          <w:p w:rsidR="006407FF" w:rsidRPr="006407FF" w:rsidRDefault="006407FF" w:rsidP="00350CA0">
            <w:pPr>
              <w:pStyle w:val="Lgendestandard"/>
              <w:rPr>
                <w:szCs w:val="18"/>
              </w:rPr>
            </w:pPr>
            <w:r>
              <w:rPr>
                <w:b/>
              </w:rPr>
              <w:t>Amendements du Parlement présentés en deux colonnes</w:t>
            </w:r>
          </w:p>
          <w:p w:rsidR="006407FF" w:rsidRPr="006407FF" w:rsidRDefault="006407FF" w:rsidP="00350CA0">
            <w:pPr>
              <w:pStyle w:val="Lgendestandard"/>
              <w:rPr>
                <w:szCs w:val="18"/>
              </w:rPr>
            </w:pPr>
          </w:p>
          <w:p w:rsidR="006407FF" w:rsidRPr="006407FF" w:rsidRDefault="006407FF" w:rsidP="00350CA0">
            <w:pPr>
              <w:pStyle w:val="Lgendestandard"/>
              <w:rPr>
                <w:szCs w:val="18"/>
              </w:rPr>
            </w:pPr>
            <w:r>
              <w:t xml:space="preserve">Les suppressions sont signalées par des </w:t>
            </w:r>
            <w:r>
              <w:rPr>
                <w:b/>
                <w:i/>
              </w:rPr>
              <w:t>italiques gras</w:t>
            </w:r>
            <w:r>
              <w:t xml:space="preserve"> dans la colonne de gauche. Les remplacements sont signalés par des </w:t>
            </w:r>
            <w:r>
              <w:rPr>
                <w:b/>
                <w:i/>
              </w:rPr>
              <w:t xml:space="preserve">italiques gras </w:t>
            </w:r>
            <w:r>
              <w:t>dans les deux colonnes. Le texte nouveau est signalé par des</w:t>
            </w:r>
            <w:r>
              <w:rPr>
                <w:b/>
                <w:i/>
              </w:rPr>
              <w:t xml:space="preserve"> italiques gras</w:t>
            </w:r>
            <w:r>
              <w:t xml:space="preserve"> dans la colonne de droite.</w:t>
            </w:r>
          </w:p>
          <w:p w:rsidR="006407FF" w:rsidRPr="006407FF" w:rsidRDefault="006407FF" w:rsidP="00350CA0">
            <w:pPr>
              <w:pStyle w:val="Lgendestandard"/>
            </w:pPr>
          </w:p>
          <w:p w:rsidR="006407FF" w:rsidRPr="006407FF" w:rsidRDefault="006407FF" w:rsidP="00350CA0">
            <w:pPr>
              <w:pStyle w:val="Lgendestandard"/>
            </w:pPr>
            <w:r>
              <w:t xml:space="preserve">Les première et deuxième lignes de l’en-tête de chaque amendement identifient le passage concerné dans le projet d’acte à l’examen. Si un amendement porte sur un acte existant, que le projet d’acte entend modifier, l’en-tête comporte en outre une troisième et une quatrième lignes qui identifient respectivement l’acte existant et la disposition de celui-ci qui est concernée. </w:t>
            </w:r>
          </w:p>
          <w:p w:rsidR="006407FF" w:rsidRPr="006407FF" w:rsidRDefault="006407FF" w:rsidP="00350CA0">
            <w:pPr>
              <w:pStyle w:val="Lgendestandard"/>
            </w:pPr>
          </w:p>
          <w:p w:rsidR="006407FF" w:rsidRPr="006407FF" w:rsidRDefault="006407FF" w:rsidP="00350CA0">
            <w:pPr>
              <w:pStyle w:val="Lgendestandard"/>
              <w:rPr>
                <w:b/>
                <w:szCs w:val="18"/>
              </w:rPr>
            </w:pPr>
            <w:r>
              <w:rPr>
                <w:b/>
              </w:rPr>
              <w:t>Amendements du Parlement prenant la forme d’un texte consolidé</w:t>
            </w:r>
          </w:p>
          <w:p w:rsidR="006407FF" w:rsidRPr="006407FF" w:rsidRDefault="006407FF" w:rsidP="00350CA0">
            <w:pPr>
              <w:pStyle w:val="Lgendestandard"/>
              <w:rPr>
                <w:szCs w:val="18"/>
              </w:rPr>
            </w:pPr>
          </w:p>
          <w:p w:rsidR="006407FF" w:rsidRPr="006407FF" w:rsidRDefault="006407FF" w:rsidP="00350CA0">
            <w:pPr>
              <w:pStyle w:val="Lgendestandard"/>
              <w:rPr>
                <w:szCs w:val="18"/>
              </w:rPr>
            </w:pPr>
            <w:r>
              <w:rPr>
                <w:color w:val="000000"/>
              </w:rPr>
              <w:t xml:space="preserve">Les parties de textes nouvelles sont indiquées en </w:t>
            </w:r>
            <w:r>
              <w:rPr>
                <w:b/>
                <w:i/>
                <w:color w:val="000000"/>
              </w:rPr>
              <w:t>italiques gras</w:t>
            </w:r>
            <w:r>
              <w:t xml:space="preserve">. Les parties de texte supprimées sont </w:t>
            </w:r>
            <w:r>
              <w:rPr>
                <w:color w:val="000000"/>
              </w:rPr>
              <w:t xml:space="preserve">indiquées par le symbole </w:t>
            </w:r>
            <w:r>
              <w:t xml:space="preserve">▌ ou barrées. Les remplacements sont signalés en indiquant en </w:t>
            </w:r>
            <w:r>
              <w:rPr>
                <w:b/>
                <w:i/>
              </w:rPr>
              <w:t xml:space="preserve">italiques gras </w:t>
            </w:r>
            <w:r>
              <w:t xml:space="preserve">le texte nouveau et en effaçant ou en barrant le texte remplacé. </w:t>
            </w:r>
          </w:p>
          <w:p w:rsidR="006407FF" w:rsidRDefault="006407FF" w:rsidP="00350CA0">
            <w:pPr>
              <w:pStyle w:val="Lgendestandard"/>
            </w:pPr>
            <w:r>
              <w:t>Par exception, les modifications de nature strictement technique apportées par les services en vue de l’élaboration du texte final ne sont pas marquées.</w:t>
            </w:r>
          </w:p>
          <w:p w:rsidR="006407FF" w:rsidRDefault="006407FF">
            <w:pPr>
              <w:pStyle w:val="Lgendestandard"/>
            </w:pPr>
          </w:p>
        </w:tc>
      </w:tr>
    </w:tbl>
    <w:p w:rsidR="006407FF" w:rsidRDefault="006407FF"/>
    <w:p w:rsidR="00ED0821" w:rsidRPr="006407FF" w:rsidRDefault="00ED0821" w:rsidP="001F57B7">
      <w:pPr>
        <w:widowControl/>
        <w:tabs>
          <w:tab w:val="center" w:pos="4677"/>
        </w:tabs>
      </w:pPr>
    </w:p>
    <w:p w:rsidR="00ED0821" w:rsidRPr="00561C9C" w:rsidRDefault="00ED0821">
      <w:pPr>
        <w:pStyle w:val="TOCHeading"/>
      </w:pPr>
      <w:r>
        <w:br w:type="page"/>
      </w:r>
      <w:r>
        <w:lastRenderedPageBreak/>
        <w:t>SOMMAIRE</w:t>
      </w:r>
    </w:p>
    <w:p w:rsidR="00ED0821" w:rsidRPr="00561C9C" w:rsidRDefault="00561C9C">
      <w:pPr>
        <w:pStyle w:val="TOCPage"/>
      </w:pPr>
      <w:r>
        <w:t>Page</w:t>
      </w:r>
    </w:p>
    <w:bookmarkStart w:id="1" w:name="_GoBack"/>
    <w:p w:rsidR="00022ADB" w:rsidRDefault="001F57B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r w:rsidRPr="00561C9C">
        <w:rPr>
          <w:b/>
        </w:rPr>
        <w:fldChar w:fldCharType="begin"/>
      </w:r>
      <w:r w:rsidRPr="00561C9C">
        <w:rPr>
          <w:b/>
        </w:rPr>
        <w:instrText xml:space="preserve"> TOC \t "PageHeading</w:instrText>
      </w:r>
      <w:r w:rsidR="00022ADB">
        <w:rPr>
          <w:b/>
        </w:rPr>
        <w:instrText>;</w:instrText>
      </w:r>
      <w:r w:rsidRPr="00561C9C">
        <w:rPr>
          <w:b/>
        </w:rPr>
        <w:instrText xml:space="preserve">1" </w:instrText>
      </w:r>
      <w:r w:rsidRPr="00561C9C">
        <w:rPr>
          <w:b/>
        </w:rPr>
        <w:fldChar w:fldCharType="separate"/>
      </w:r>
      <w:r w:rsidR="00022ADB">
        <w:rPr>
          <w:noProof/>
        </w:rPr>
        <w:t>PROJET DE RÉSOLUTION LÉGISLATIVE DU PARLEMENT EUROPÉEN</w:t>
      </w:r>
      <w:r w:rsidR="00022ADB">
        <w:rPr>
          <w:noProof/>
        </w:rPr>
        <w:tab/>
      </w:r>
      <w:r w:rsidR="00022ADB">
        <w:rPr>
          <w:noProof/>
        </w:rPr>
        <w:fldChar w:fldCharType="begin"/>
      </w:r>
      <w:r w:rsidR="00022ADB">
        <w:rPr>
          <w:noProof/>
        </w:rPr>
        <w:instrText xml:space="preserve"> PAGEREF _Toc477254820 \h </w:instrText>
      </w:r>
      <w:r w:rsidR="00022ADB">
        <w:rPr>
          <w:noProof/>
        </w:rPr>
      </w:r>
      <w:r w:rsidR="00022ADB">
        <w:rPr>
          <w:noProof/>
        </w:rPr>
        <w:fldChar w:fldCharType="separate"/>
      </w:r>
      <w:r w:rsidR="00022ADB">
        <w:rPr>
          <w:noProof/>
        </w:rPr>
        <w:t>5</w:t>
      </w:r>
      <w:r w:rsidR="00022ADB">
        <w:rPr>
          <w:noProof/>
        </w:rPr>
        <w:fldChar w:fldCharType="end"/>
      </w:r>
    </w:p>
    <w:p w:rsidR="001A1820" w:rsidRDefault="001F57B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561C9C">
        <w:rPr>
          <w:b/>
        </w:rPr>
        <w:fldChar w:fldCharType="end"/>
      </w:r>
      <w:bookmarkEnd w:id="1"/>
    </w:p>
    <w:p w:rsidR="001A06D8" w:rsidRPr="00561C9C" w:rsidRDefault="001A06D8" w:rsidP="001A06D8"/>
    <w:p w:rsidR="001A06D8" w:rsidRPr="00561C9C" w:rsidRDefault="001A06D8">
      <w:pPr>
        <w:pStyle w:val="PageHeading"/>
      </w:pPr>
    </w:p>
    <w:p w:rsidR="00ED0821" w:rsidRPr="00561C9C" w:rsidRDefault="00ED0821">
      <w:pPr>
        <w:pStyle w:val="PageHeading"/>
      </w:pPr>
      <w:r>
        <w:br w:type="page"/>
      </w:r>
      <w:r>
        <w:lastRenderedPageBreak/>
        <w:br w:type="page"/>
      </w:r>
      <w:bookmarkStart w:id="2" w:name="_Toc476738577"/>
      <w:bookmarkStart w:id="3" w:name="_Toc477254820"/>
      <w:r>
        <w:lastRenderedPageBreak/>
        <w:t>PROJET DE RÉSOLUTION LÉGISLATIVE DU PARLEMENT EUROPÉEN</w:t>
      </w:r>
      <w:bookmarkEnd w:id="2"/>
      <w:bookmarkEnd w:id="3"/>
    </w:p>
    <w:p w:rsidR="006407FF" w:rsidRPr="00302F5D" w:rsidRDefault="006407FF" w:rsidP="006407FF">
      <w:pPr>
        <w:pStyle w:val="NormalBold"/>
      </w:pPr>
      <w:r>
        <w:t>sur le projet de décision d’exécution du Conseil concernant l’échange automatisé de données relatives aux données dactyloscopiques en Slovaquie, en Bulgarie, en France, en République tchèque, en Lituanie, aux Pays-Bas, en Hongrie, à Chypre, en Estonie, à Malte, en Roumanie et en Finlande, et remplaçant les décisions 2010/682/UE, 2010/758/UE, 2011/355/UE, 2011/434/UE, 2011/888/UE, 2012/46/UE, 2012/446/UE, 2012/672/UE, 2012/710/UE, 2013/153/UE, 2013/229/UE et 2013/792/UE</w:t>
      </w:r>
    </w:p>
    <w:p w:rsidR="00ED0821" w:rsidRPr="00561C9C" w:rsidRDefault="00561C9C">
      <w:pPr>
        <w:pStyle w:val="Normal12Bold"/>
      </w:pPr>
      <w:r>
        <w:t>(13526/2016 – C8-0520/2016 – 2016/0820(CNS</w:t>
      </w:r>
      <w:bookmarkStart w:id="4" w:name="DocEPTmp2"/>
      <w:bookmarkEnd w:id="4"/>
      <w:r>
        <w:t>))</w:t>
      </w:r>
    </w:p>
    <w:p w:rsidR="00ED0821" w:rsidRPr="00561C9C" w:rsidRDefault="00561C9C">
      <w:pPr>
        <w:pStyle w:val="Normal12Bold"/>
      </w:pPr>
      <w:r>
        <w:t>(Consultation)</w:t>
      </w:r>
    </w:p>
    <w:p w:rsidR="00ED0821" w:rsidRPr="00561C9C" w:rsidRDefault="00561C9C">
      <w:pPr>
        <w:pStyle w:val="Normal12"/>
      </w:pPr>
      <w:r>
        <w:rPr>
          <w:i/>
        </w:rPr>
        <w:t>Le Parlement européen</w:t>
      </w:r>
      <w:r>
        <w:t>,</w:t>
      </w:r>
    </w:p>
    <w:p w:rsidR="00ED0821" w:rsidRPr="00561C9C" w:rsidRDefault="00ED0821">
      <w:pPr>
        <w:pStyle w:val="Normal12Hanging"/>
      </w:pPr>
      <w:r>
        <w:t>–</w:t>
      </w:r>
      <w:r>
        <w:tab/>
        <w:t>vu le projet du Conseil (13526/2016),</w:t>
      </w:r>
    </w:p>
    <w:p w:rsidR="009829CF" w:rsidRPr="00561C9C" w:rsidRDefault="009829CF" w:rsidP="009829CF">
      <w:pPr>
        <w:pStyle w:val="Normal12Hanging"/>
      </w:pPr>
      <w:r>
        <w:t>–</w:t>
      </w:r>
      <w:r>
        <w:tab/>
        <w:t>vu l’article 39, paragraphe 1, du traité sur l’Union européenne, tel que modifié par le traité d’Amsterdam, et l’article 9 du protocole n° 36 sur les dispositions transitoires, conformément auxquels il a été consulté par le Conseil (C8-</w:t>
      </w:r>
      <w:bookmarkStart w:id="5" w:name="DocEPLastVariable"/>
      <w:bookmarkEnd w:id="5"/>
      <w:r>
        <w:t>0520/2016),</w:t>
      </w:r>
    </w:p>
    <w:p w:rsidR="009829CF" w:rsidRPr="00561C9C" w:rsidRDefault="009829CF" w:rsidP="009829CF">
      <w:pPr>
        <w:pStyle w:val="Normal12Hanging"/>
      </w:pPr>
      <w:r>
        <w:t>–</w:t>
      </w:r>
      <w:r>
        <w:tab/>
        <w:t>vu la décision 2008/615/JAI du Conseil du 23 juin 2008 relative à l’approfondissement de la coopération transfrontalière, notamment en vue de lutter contre le terrorisme et la criminalité transfrontalière</w:t>
      </w:r>
      <w:r>
        <w:rPr>
          <w:rStyle w:val="FootnoteReference"/>
        </w:rPr>
        <w:footnoteReference w:id="1"/>
      </w:r>
      <w:r>
        <w:t>,</w:t>
      </w:r>
    </w:p>
    <w:p w:rsidR="00ED0821" w:rsidRPr="00561C9C" w:rsidRDefault="00ED0821">
      <w:pPr>
        <w:pStyle w:val="Normal12Hanging"/>
      </w:pPr>
      <w:r>
        <w:t>–</w:t>
      </w:r>
      <w:r>
        <w:tab/>
        <w:t>vu l’article 78 de son règlement,</w:t>
      </w:r>
    </w:p>
    <w:p w:rsidR="00ED0821" w:rsidRPr="00561C9C" w:rsidRDefault="00ED0821">
      <w:pPr>
        <w:pStyle w:val="Normal12Hanging"/>
      </w:pPr>
      <w:r>
        <w:t>–</w:t>
      </w:r>
      <w:r>
        <w:tab/>
        <w:t>vu le rapport de la</w:t>
      </w:r>
      <w:bookmarkStart w:id="6" w:name="DocEPLastPosition"/>
      <w:bookmarkEnd w:id="6"/>
      <w:r>
        <w:t xml:space="preserve"> commission des libertés civiles, de la justice et des affaires intérieures (A8-0000/2017),</w:t>
      </w:r>
    </w:p>
    <w:p w:rsidR="00ED0821" w:rsidRPr="00561C9C" w:rsidRDefault="00ED0821">
      <w:pPr>
        <w:pStyle w:val="Normal12Hanging"/>
      </w:pPr>
      <w:r>
        <w:t>1.</w:t>
      </w:r>
      <w:r>
        <w:tab/>
        <w:t>approuve le projet du Conseil;</w:t>
      </w:r>
    </w:p>
    <w:p w:rsidR="002F7000" w:rsidRPr="00561C9C" w:rsidRDefault="00ED0821">
      <w:pPr>
        <w:pStyle w:val="Normal12Hanging"/>
      </w:pPr>
      <w:r>
        <w:t>2.</w:t>
      </w:r>
      <w:r>
        <w:tab/>
        <w:t>invite le Conseil, s’il entend s’écarter du texte approuvé par le Parlement, à en informer celui-ci;</w:t>
      </w:r>
    </w:p>
    <w:p w:rsidR="00ED0821" w:rsidRPr="00561C9C" w:rsidRDefault="002F7000">
      <w:pPr>
        <w:pStyle w:val="Normal12Hanging"/>
      </w:pPr>
      <w:r>
        <w:t>3.</w:t>
      </w:r>
      <w:r>
        <w:tab/>
        <w:t>demande au Conseil de le consulter à nouveau, s’il entend modifier de manière substantielle le texte approuvé par le Parlement;</w:t>
      </w:r>
    </w:p>
    <w:p w:rsidR="00ED0821" w:rsidRPr="00561C9C" w:rsidRDefault="002F7000">
      <w:pPr>
        <w:pStyle w:val="Normal12Hanging"/>
      </w:pPr>
      <w:r>
        <w:t>4.</w:t>
      </w:r>
      <w:r>
        <w:tab/>
        <w:t>charge son Président de transmettre la position du Parlement au Conseil et à la Commission.</w:t>
      </w:r>
    </w:p>
    <w:sectPr w:rsidR="00ED0821" w:rsidRPr="00561C9C" w:rsidSect="001F5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9C" w:rsidRPr="00561C9C" w:rsidRDefault="00561C9C">
      <w:r w:rsidRPr="00561C9C">
        <w:separator/>
      </w:r>
    </w:p>
  </w:endnote>
  <w:endnote w:type="continuationSeparator" w:id="0">
    <w:p w:rsidR="00561C9C" w:rsidRPr="00561C9C" w:rsidRDefault="00561C9C">
      <w:r w:rsidRPr="00561C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B7" w:rsidRPr="00561C9C" w:rsidRDefault="00022ADB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>
      <w:t>PE</w:t>
    </w:r>
    <w:r>
      <w:rPr>
        <w:rStyle w:val="HideTWBExt"/>
        <w:noProof w:val="0"/>
      </w:rPr>
      <w:t>&lt;NoPE&gt;</w:t>
    </w:r>
    <w:r>
      <w:t>599.717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D971B7">
      <w:tab/>
    </w:r>
    <w:r w:rsidR="00D971B7" w:rsidRPr="00561C9C">
      <w:fldChar w:fldCharType="begin"/>
    </w:r>
    <w:r w:rsidR="00D971B7" w:rsidRPr="00561C9C">
      <w:instrText xml:space="preserve"> PAGE </w:instrText>
    </w:r>
    <w:r w:rsidR="00D971B7" w:rsidRPr="00561C9C">
      <w:fldChar w:fldCharType="separate"/>
    </w:r>
    <w:r>
      <w:rPr>
        <w:noProof/>
      </w:rPr>
      <w:t>4</w:t>
    </w:r>
    <w:r w:rsidR="00D971B7" w:rsidRPr="00561C9C">
      <w:fldChar w:fldCharType="end"/>
    </w:r>
    <w:r w:rsidR="00D971B7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="00D971B7">
      <w:tab/>
    </w:r>
    <w:r>
      <w:fldChar w:fldCharType="begin"/>
    </w:r>
    <w:r>
      <w:instrText xml:space="preserve"> REF InsideFooter </w:instrText>
    </w:r>
    <w:r>
      <w:fldChar w:fldCharType="separate"/>
    </w:r>
    <w:r>
      <w:rPr>
        <w:rStyle w:val="HideTWBExt"/>
        <w:noProof w:val="0"/>
      </w:rPr>
      <w:t>&lt;PathFdR&gt;</w:t>
    </w:r>
    <w:r>
      <w:t>PR\1117268FR.docx</w:t>
    </w:r>
    <w:r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D971B7" w:rsidRPr="00561C9C" w:rsidRDefault="00022ADB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FR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B7" w:rsidRPr="00561C9C" w:rsidRDefault="00022ADB">
    <w:pPr>
      <w:pStyle w:val="Footer"/>
      <w:tabs>
        <w:tab w:val="right" w:pos="9356"/>
      </w:tabs>
    </w:pPr>
    <w:r>
      <w:fldChar w:fldCharType="begin"/>
    </w:r>
    <w:r>
      <w:instrText xml:space="preserve"> REF InsideFooter </w:instrText>
    </w:r>
    <w:r>
      <w:fldChar w:fldCharType="separate"/>
    </w:r>
    <w:r>
      <w:rPr>
        <w:rStyle w:val="HideTWBExt"/>
        <w:noProof w:val="0"/>
      </w:rPr>
      <w:t>&lt;PathFdR&gt;</w:t>
    </w:r>
    <w:r>
      <w:t>PR\1117268FR.docx</w:t>
    </w:r>
    <w:r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D971B7">
      <w:tab/>
    </w:r>
    <w:r w:rsidR="00D971B7" w:rsidRPr="00561C9C">
      <w:fldChar w:fldCharType="begin"/>
    </w:r>
    <w:r w:rsidR="00D971B7" w:rsidRPr="00561C9C">
      <w:instrText xml:space="preserve"> PAGE </w:instrText>
    </w:r>
    <w:r w:rsidR="00D971B7" w:rsidRPr="00561C9C">
      <w:fldChar w:fldCharType="separate"/>
    </w:r>
    <w:r>
      <w:rPr>
        <w:noProof/>
      </w:rPr>
      <w:t>5</w:t>
    </w:r>
    <w:r w:rsidR="00D971B7" w:rsidRPr="00561C9C">
      <w:fldChar w:fldCharType="end"/>
    </w:r>
    <w:r w:rsidR="00D971B7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="00D971B7">
      <w:tab/>
    </w:r>
    <w:r>
      <w:fldChar w:fldCharType="begin"/>
    </w:r>
    <w:r>
      <w:instrText xml:space="preserve"> REF OutsideFooter </w:instrText>
    </w:r>
    <w:r>
      <w:fldChar w:fldCharType="separate"/>
    </w:r>
    <w:r>
      <w:t>PE</w:t>
    </w:r>
    <w:r>
      <w:rPr>
        <w:rStyle w:val="HideTWBExt"/>
        <w:noProof w:val="0"/>
      </w:rPr>
      <w:t>&lt;NoPE&gt;</w:t>
    </w:r>
    <w:r>
      <w:t>599.717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D971B7" w:rsidRPr="00561C9C" w:rsidRDefault="00D971B7">
    <w:pPr>
      <w:pStyle w:val="Footer2"/>
    </w:pPr>
    <w:r>
      <w:tab/>
    </w:r>
    <w:r w:rsidR="00022ADB">
      <w:fldChar w:fldCharType="begin"/>
    </w:r>
    <w:r w:rsidR="00022ADB">
      <w:instrText xml:space="preserve"> DOCPROPERTY "&lt;Extension&gt;" </w:instrText>
    </w:r>
    <w:r w:rsidR="00022ADB">
      <w:fldChar w:fldCharType="separate"/>
    </w:r>
    <w:r w:rsidR="00022ADB">
      <w:t>FR</w:t>
    </w:r>
    <w:r w:rsidR="00022AD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B7" w:rsidRPr="00561C9C" w:rsidRDefault="00D971B7">
    <w:pPr>
      <w:pStyle w:val="Footer"/>
    </w:pPr>
    <w:bookmarkStart w:id="7" w:name="InsideFooter"/>
    <w:r>
      <w:rPr>
        <w:rStyle w:val="HideTWBExt"/>
        <w:noProof w:val="0"/>
      </w:rPr>
      <w:t>&lt;PathFdR&gt;</w:t>
    </w:r>
    <w:r>
      <w:t>PR\1117268FR.docx</w:t>
    </w:r>
    <w:r>
      <w:rPr>
        <w:rStyle w:val="HideTWBExt"/>
        <w:noProof w:val="0"/>
      </w:rPr>
      <w:t>&lt;/PathFdR&gt;</w:t>
    </w:r>
    <w:bookmarkEnd w:id="7"/>
    <w:r>
      <w:tab/>
    </w:r>
    <w:r>
      <w:tab/>
    </w:r>
    <w:bookmarkStart w:id="8" w:name="OutsideFooter"/>
    <w:r>
      <w:t>PE</w:t>
    </w:r>
    <w:r>
      <w:rPr>
        <w:rStyle w:val="HideTWBExt"/>
        <w:noProof w:val="0"/>
      </w:rPr>
      <w:t>&lt;NoPE&gt;</w:t>
    </w:r>
    <w:r>
      <w:t>599.717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bookmarkEnd w:id="8"/>
  </w:p>
  <w:p w:rsidR="00D971B7" w:rsidRPr="00561C9C" w:rsidRDefault="00022ADB" w:rsidP="00C71A3C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FR</w:t>
    </w:r>
    <w:r>
      <w:fldChar w:fldCharType="end"/>
    </w:r>
    <w:r w:rsidR="00D971B7">
      <w:tab/>
    </w:r>
    <w:r w:rsidR="00D971B7">
      <w:rPr>
        <w:b w:val="0"/>
        <w:i/>
        <w:color w:val="C0C0C0"/>
        <w:sz w:val="22"/>
      </w:rPr>
      <w:t>Unie dans la diversité</w:t>
    </w:r>
    <w:r w:rsidR="00D971B7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FR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9C" w:rsidRPr="00561C9C" w:rsidRDefault="00561C9C">
      <w:r w:rsidRPr="00561C9C">
        <w:separator/>
      </w:r>
    </w:p>
  </w:footnote>
  <w:footnote w:type="continuationSeparator" w:id="0">
    <w:p w:rsidR="00561C9C" w:rsidRPr="00561C9C" w:rsidRDefault="00561C9C">
      <w:r w:rsidRPr="00561C9C">
        <w:continuationSeparator/>
      </w:r>
    </w:p>
  </w:footnote>
  <w:footnote w:id="1">
    <w:p w:rsidR="006407FF" w:rsidRPr="006407FF" w:rsidRDefault="006407FF" w:rsidP="006407FF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JO L 210 du 6.8.2008, p. 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DB" w:rsidRDefault="0002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DB" w:rsidRDefault="0002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DB" w:rsidRDefault="0002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da-DK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DEMNU" w:val=" 2"/>
    <w:docVar w:name="COMKEY" w:val="LIBE"/>
    <w:docVar w:name="CopyToNetwork" w:val="-1"/>
    <w:docVar w:name="DOCMNU" w:val=" 1"/>
    <w:docVar w:name="LastEditedSection" w:val=" 1"/>
    <w:docVar w:name="strDocTypeID" w:val="PR_NLE-CN_ImplDec_app"/>
    <w:docVar w:name="strSubDir" w:val="1117"/>
    <w:docVar w:name="TXTLANGUE" w:val="FR"/>
    <w:docVar w:name="TXTLANGUEMIN" w:val="fr"/>
    <w:docVar w:name="TXTNRC" w:val="0520/2016"/>
    <w:docVar w:name="TXTNRCOUNC" w:val="13526/2016"/>
    <w:docVar w:name="TXTNRPE" w:val="599.717"/>
    <w:docVar w:name="TXTNRPROC" w:val="2016/0820"/>
    <w:docVar w:name="TXTPEorAP" w:val="PE"/>
    <w:docVar w:name="TXTROUTE" w:val="PR\1117268FR.docx"/>
    <w:docVar w:name="TXTTITLE" w:val="..."/>
    <w:docVar w:name="TXTVERSION" w:val="01-00"/>
  </w:docVars>
  <w:rsids>
    <w:rsidRoot w:val="00561C9C"/>
    <w:rsid w:val="00022ADB"/>
    <w:rsid w:val="00056EA7"/>
    <w:rsid w:val="00104AEE"/>
    <w:rsid w:val="001618B3"/>
    <w:rsid w:val="00173757"/>
    <w:rsid w:val="001907B9"/>
    <w:rsid w:val="001A06D8"/>
    <w:rsid w:val="001A1820"/>
    <w:rsid w:val="001F57B7"/>
    <w:rsid w:val="002757DD"/>
    <w:rsid w:val="002B272A"/>
    <w:rsid w:val="002F7000"/>
    <w:rsid w:val="00302A66"/>
    <w:rsid w:val="00311F27"/>
    <w:rsid w:val="00402EBA"/>
    <w:rsid w:val="004D7B3B"/>
    <w:rsid w:val="00543B7B"/>
    <w:rsid w:val="00561C9C"/>
    <w:rsid w:val="006407FF"/>
    <w:rsid w:val="00672493"/>
    <w:rsid w:val="00692CF3"/>
    <w:rsid w:val="007D611D"/>
    <w:rsid w:val="00832F3A"/>
    <w:rsid w:val="00854F36"/>
    <w:rsid w:val="00866113"/>
    <w:rsid w:val="00874129"/>
    <w:rsid w:val="008E22DF"/>
    <w:rsid w:val="009206A8"/>
    <w:rsid w:val="009829CF"/>
    <w:rsid w:val="009B56ED"/>
    <w:rsid w:val="009D0C99"/>
    <w:rsid w:val="00A06680"/>
    <w:rsid w:val="00A43E6A"/>
    <w:rsid w:val="00AC4A09"/>
    <w:rsid w:val="00AD26AD"/>
    <w:rsid w:val="00AF7573"/>
    <w:rsid w:val="00B37926"/>
    <w:rsid w:val="00B76CA8"/>
    <w:rsid w:val="00BA5B12"/>
    <w:rsid w:val="00BD28D4"/>
    <w:rsid w:val="00BE4EC7"/>
    <w:rsid w:val="00C54859"/>
    <w:rsid w:val="00C66EEE"/>
    <w:rsid w:val="00C71A3C"/>
    <w:rsid w:val="00C82EBC"/>
    <w:rsid w:val="00CA7CFA"/>
    <w:rsid w:val="00D971B7"/>
    <w:rsid w:val="00DC3DED"/>
    <w:rsid w:val="00E13CC8"/>
    <w:rsid w:val="00EA3A82"/>
    <w:rsid w:val="00EA7BEE"/>
    <w:rsid w:val="00ED0609"/>
    <w:rsid w:val="00ED0821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5A6DC4-5786-42D6-81CC-6A837C2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AF7573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1F57B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AC4A09"/>
    <w:pPr>
      <w:tabs>
        <w:tab w:val="left" w:pos="567"/>
      </w:tabs>
    </w:pPr>
  </w:style>
  <w:style w:type="paragraph" w:customStyle="1" w:styleId="RefProc">
    <w:name w:val="RefProc"/>
    <w:basedOn w:val="Normal"/>
    <w:rsid w:val="001907B9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C71A3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C71A3C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C71A3C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1F57B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F57B7"/>
    <w:pPr>
      <w:jc w:val="right"/>
    </w:pPr>
  </w:style>
  <w:style w:type="paragraph" w:customStyle="1" w:styleId="Lgendesigne">
    <w:name w:val="Légende signe"/>
    <w:basedOn w:val="Normal"/>
    <w:rsid w:val="006407FF"/>
    <w:pPr>
      <w:tabs>
        <w:tab w:val="right" w:pos="454"/>
        <w:tab w:val="left" w:pos="737"/>
      </w:tabs>
      <w:ind w:left="737" w:hanging="737"/>
    </w:pPr>
    <w:rPr>
      <w:snapToGrid w:val="0"/>
      <w:sz w:val="18"/>
    </w:rPr>
  </w:style>
  <w:style w:type="paragraph" w:customStyle="1" w:styleId="Lgendetitre">
    <w:name w:val="Légende titre"/>
    <w:basedOn w:val="Normal"/>
    <w:rsid w:val="006407FF"/>
    <w:pPr>
      <w:spacing w:before="240" w:after="240"/>
    </w:pPr>
    <w:rPr>
      <w:b/>
      <w:i/>
      <w:snapToGrid w:val="0"/>
    </w:rPr>
  </w:style>
  <w:style w:type="paragraph" w:customStyle="1" w:styleId="Lgendestandard">
    <w:name w:val="Légende standard"/>
    <w:basedOn w:val="Lgendesigne"/>
    <w:rsid w:val="006407FF"/>
    <w:pPr>
      <w:ind w:left="0" w:firstLine="0"/>
    </w:pPr>
  </w:style>
  <w:style w:type="paragraph" w:styleId="FootnoteText">
    <w:name w:val="footnote text"/>
    <w:basedOn w:val="Normal"/>
    <w:link w:val="FootnoteTextChar"/>
    <w:rsid w:val="006407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07FF"/>
    <w:rPr>
      <w:lang w:val="fr-FR"/>
    </w:rPr>
  </w:style>
  <w:style w:type="character" w:styleId="FootnoteReference">
    <w:name w:val="footnote reference"/>
    <w:basedOn w:val="DefaultParagraphFont"/>
    <w:rsid w:val="006407FF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unez\AppData\Local\Temp\PR_NLE-CN_ImplDec_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PR_NLE-CN_ImplDec_app.dot</Template>
  <TotalTime>0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PR_NLE-CN_ImplDec_app</vt:lpstr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PR_NLE-CN_ImplDec_app</dc:title>
  <dc:subject/>
  <dc:creator>NUNEZ Elena</dc:creator>
  <cp:keywords/>
  <dc:description/>
  <cp:lastModifiedBy>PIRAPREZ Delphine</cp:lastModifiedBy>
  <cp:revision>2</cp:revision>
  <cp:lastPrinted>2004-11-04T10:10:00Z</cp:lastPrinted>
  <dcterms:created xsi:type="dcterms:W3CDTF">2017-03-14T10:38:00Z</dcterms:created>
  <dcterms:modified xsi:type="dcterms:W3CDTF">2017-03-14T10:38:00Z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1117268</vt:lpwstr>
  </property>
  <property fmtid="{D5CDD505-2E9C-101B-9397-08002B2CF9AE}" pid="5" name="&lt;Type&gt;">
    <vt:lpwstr>PR</vt:lpwstr>
  </property>
  <property fmtid="{D5CDD505-2E9C-101B-9397-08002B2CF9AE}" pid="6" name="&lt;ModelCod&gt;">
    <vt:lpwstr>\\eiciLUXpr1\pdocep$\DocEP\DOCS\General\PR\PR_Leg\NLE\NLE-CN_ImplDec\PR_NLE-CN_ImplDec_app.dot(13/04/2016 08:33:21)</vt:lpwstr>
  </property>
  <property fmtid="{D5CDD505-2E9C-101B-9397-08002B2CF9AE}" pid="7" name="&lt;ModelTra&gt;">
    <vt:lpwstr>\\eiciLUXpr1\pdocep$\DocEP\TRANSFIL\FR\PR_NLE-CN_ImplDec_app.FR(13/04/2016 08:32:08)</vt:lpwstr>
  </property>
  <property fmtid="{D5CDD505-2E9C-101B-9397-08002B2CF9AE}" pid="8" name="&lt;Model&gt;">
    <vt:lpwstr>PR_NLE-CN_ImplDec_app</vt:lpwstr>
  </property>
  <property fmtid="{D5CDD505-2E9C-101B-9397-08002B2CF9AE}" pid="9" name="FooterPath">
    <vt:lpwstr>PR\1117268FR.docx</vt:lpwstr>
  </property>
  <property fmtid="{D5CDD505-2E9C-101B-9397-08002B2CF9AE}" pid="10" name="PE Number">
    <vt:lpwstr>599.717</vt:lpwstr>
  </property>
  <property fmtid="{D5CDD505-2E9C-101B-9397-08002B2CF9AE}" pid="11" name="Bookout">
    <vt:lpwstr>OK - 2017/03/14 11:38</vt:lpwstr>
  </property>
  <property fmtid="{D5CDD505-2E9C-101B-9397-08002B2CF9AE}" pid="12" name="SDLStudio">
    <vt:lpwstr>YES</vt:lpwstr>
  </property>
  <property fmtid="{D5CDD505-2E9C-101B-9397-08002B2CF9AE}" pid="13" name="&lt;Extension&gt;">
    <vt:lpwstr>FR</vt:lpwstr>
  </property>
  <property fmtid="{D5CDD505-2E9C-101B-9397-08002B2CF9AE}" pid="14" name="SubscribeElise">
    <vt:lpwstr/>
  </property>
</Properties>
</file>