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22C6D" w:rsidTr="006F7907">
        <w:trPr>
          <w:trHeight w:hRule="exact" w:val="1418"/>
        </w:trPr>
        <w:tc>
          <w:tcPr>
            <w:tcW w:w="6804" w:type="dxa"/>
            <w:shd w:val="clear" w:color="auto" w:fill="auto"/>
            <w:vAlign w:val="center"/>
          </w:tcPr>
          <w:p w:rsidR="006F7907" w:rsidRPr="00A22C6D" w:rsidRDefault="008E600A" w:rsidP="00FD1DEF">
            <w:pPr>
              <w:pStyle w:val="EPName"/>
              <w:rPr>
                <w:color w:val="auto"/>
              </w:rPr>
            </w:pPr>
            <w:r w:rsidRPr="00A22C6D">
              <w:rPr>
                <w:color w:val="auto"/>
              </w:rPr>
              <w:t>Eiropas Parlaments</w:t>
            </w:r>
          </w:p>
          <w:p w:rsidR="006F7907" w:rsidRPr="00A22C6D" w:rsidRDefault="0014752B" w:rsidP="0014752B">
            <w:pPr>
              <w:pStyle w:val="EPTerm"/>
              <w:rPr>
                <w:rStyle w:val="HideTWBExt"/>
                <w:noProof w:val="0"/>
                <w:vanish w:val="0"/>
                <w:color w:val="auto"/>
              </w:rPr>
            </w:pPr>
            <w:r w:rsidRPr="00A22C6D">
              <w:t>2014-2019</w:t>
            </w:r>
          </w:p>
        </w:tc>
        <w:tc>
          <w:tcPr>
            <w:tcW w:w="2268" w:type="dxa"/>
            <w:shd w:val="clear" w:color="auto" w:fill="auto"/>
          </w:tcPr>
          <w:p w:rsidR="006F7907" w:rsidRPr="00A22C6D" w:rsidRDefault="00A22C6D" w:rsidP="00896BB4">
            <w:pPr>
              <w:pStyle w:val="EPLogo"/>
            </w:pPr>
            <w:r w:rsidRPr="00A22C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A22C6D" w:rsidRDefault="00461601" w:rsidP="00461601">
      <w:pPr>
        <w:pStyle w:val="LineTop"/>
      </w:pPr>
    </w:p>
    <w:p w:rsidR="00461601" w:rsidRPr="00A22C6D" w:rsidRDefault="00461601" w:rsidP="00461601">
      <w:pPr>
        <w:pStyle w:val="ZCommittee"/>
      </w:pPr>
      <w:r w:rsidRPr="00A22C6D">
        <w:rPr>
          <w:rStyle w:val="HideTWBExt"/>
          <w:noProof w:val="0"/>
          <w:color w:val="auto"/>
        </w:rPr>
        <w:t>&lt;</w:t>
      </w:r>
      <w:r w:rsidRPr="00A22C6D">
        <w:rPr>
          <w:rStyle w:val="HideTWBExt"/>
          <w:i w:val="0"/>
          <w:noProof w:val="0"/>
          <w:color w:val="auto"/>
        </w:rPr>
        <w:t>Commission</w:t>
      </w:r>
      <w:r w:rsidRPr="00A22C6D">
        <w:rPr>
          <w:rStyle w:val="HideTWBExt"/>
          <w:noProof w:val="0"/>
          <w:color w:val="auto"/>
        </w:rPr>
        <w:t>&gt;</w:t>
      </w:r>
      <w:r w:rsidRPr="00A22C6D">
        <w:rPr>
          <w:rStyle w:val="HideTWBInt"/>
          <w:color w:val="auto"/>
        </w:rPr>
        <w:t>{ENVI}</w:t>
      </w:r>
      <w:r w:rsidRPr="00A22C6D">
        <w:t>Vides, sabiedrības veselības un pārtikas nekaitīguma komiteja</w:t>
      </w:r>
      <w:r w:rsidRPr="00A22C6D">
        <w:rPr>
          <w:rStyle w:val="HideTWBExt"/>
          <w:noProof w:val="0"/>
          <w:color w:val="auto"/>
        </w:rPr>
        <w:t>&lt;/</w:t>
      </w:r>
      <w:r w:rsidRPr="00A22C6D">
        <w:rPr>
          <w:rStyle w:val="HideTWBExt"/>
          <w:i w:val="0"/>
          <w:noProof w:val="0"/>
          <w:color w:val="auto"/>
        </w:rPr>
        <w:t>Commission</w:t>
      </w:r>
      <w:r w:rsidRPr="00A22C6D">
        <w:rPr>
          <w:rStyle w:val="HideTWBExt"/>
          <w:noProof w:val="0"/>
          <w:color w:val="auto"/>
        </w:rPr>
        <w:t>&gt;</w:t>
      </w:r>
    </w:p>
    <w:p w:rsidR="00461601" w:rsidRPr="00A22C6D" w:rsidRDefault="00461601" w:rsidP="00461601">
      <w:pPr>
        <w:pStyle w:val="LineBottom"/>
      </w:pPr>
    </w:p>
    <w:p w:rsidR="00793EA9" w:rsidRPr="00A22C6D" w:rsidRDefault="00793EA9">
      <w:pPr>
        <w:pStyle w:val="RefProc"/>
      </w:pPr>
      <w:r w:rsidRPr="00A22C6D">
        <w:rPr>
          <w:rStyle w:val="HideTWBExt"/>
          <w:b w:val="0"/>
          <w:noProof w:val="0"/>
          <w:color w:val="auto"/>
        </w:rPr>
        <w:t>&lt;</w:t>
      </w:r>
      <w:r w:rsidRPr="00A22C6D">
        <w:rPr>
          <w:rStyle w:val="HideTWBExt"/>
          <w:b w:val="0"/>
          <w:caps w:val="0"/>
          <w:noProof w:val="0"/>
          <w:color w:val="auto"/>
        </w:rPr>
        <w:t>RefProc</w:t>
      </w:r>
      <w:r w:rsidRPr="00A22C6D">
        <w:rPr>
          <w:rStyle w:val="HideTWBExt"/>
          <w:b w:val="0"/>
          <w:noProof w:val="0"/>
          <w:color w:val="auto"/>
        </w:rPr>
        <w:t>&gt;</w:t>
      </w:r>
      <w:r w:rsidRPr="00A22C6D">
        <w:t>2017/0013</w:t>
      </w:r>
      <w:r w:rsidRPr="00A22C6D">
        <w:rPr>
          <w:rStyle w:val="HideTWBExt"/>
          <w:b w:val="0"/>
          <w:noProof w:val="0"/>
          <w:color w:val="auto"/>
        </w:rPr>
        <w:t>&lt;/</w:t>
      </w:r>
      <w:r w:rsidRPr="00A22C6D">
        <w:rPr>
          <w:rStyle w:val="HideTWBExt"/>
          <w:b w:val="0"/>
          <w:caps w:val="0"/>
          <w:noProof w:val="0"/>
          <w:color w:val="auto"/>
        </w:rPr>
        <w:t>RefProc</w:t>
      </w:r>
      <w:r w:rsidRPr="00A22C6D">
        <w:rPr>
          <w:rStyle w:val="HideTWBExt"/>
          <w:b w:val="0"/>
          <w:noProof w:val="0"/>
          <w:color w:val="auto"/>
        </w:rPr>
        <w:t>&gt;&lt;</w:t>
      </w:r>
      <w:r w:rsidRPr="00A22C6D">
        <w:rPr>
          <w:rStyle w:val="HideTWBExt"/>
          <w:b w:val="0"/>
          <w:caps w:val="0"/>
          <w:noProof w:val="0"/>
          <w:color w:val="auto"/>
        </w:rPr>
        <w:t>RefTypeProc</w:t>
      </w:r>
      <w:r w:rsidRPr="00A22C6D">
        <w:rPr>
          <w:rStyle w:val="HideTWBExt"/>
          <w:b w:val="0"/>
          <w:noProof w:val="0"/>
          <w:color w:val="auto"/>
        </w:rPr>
        <w:t>&gt;</w:t>
      </w:r>
      <w:r w:rsidRPr="00A22C6D">
        <w:t>(COD)</w:t>
      </w:r>
      <w:r w:rsidRPr="00A22C6D">
        <w:rPr>
          <w:rStyle w:val="HideTWBExt"/>
          <w:b w:val="0"/>
          <w:noProof w:val="0"/>
          <w:color w:val="auto"/>
        </w:rPr>
        <w:t>&lt;/</w:t>
      </w:r>
      <w:r w:rsidRPr="00A22C6D">
        <w:rPr>
          <w:rStyle w:val="HideTWBExt"/>
          <w:b w:val="0"/>
          <w:caps w:val="0"/>
          <w:noProof w:val="0"/>
          <w:color w:val="auto"/>
        </w:rPr>
        <w:t>RefTypeProc</w:t>
      </w:r>
      <w:r w:rsidRPr="00A22C6D">
        <w:rPr>
          <w:rStyle w:val="HideTWBExt"/>
          <w:b w:val="0"/>
          <w:noProof w:val="0"/>
          <w:color w:val="auto"/>
        </w:rPr>
        <w:t>&gt;</w:t>
      </w:r>
    </w:p>
    <w:p w:rsidR="00793EA9" w:rsidRPr="00A22C6D" w:rsidRDefault="00793EA9">
      <w:pPr>
        <w:pStyle w:val="ZDate"/>
      </w:pPr>
      <w:r w:rsidRPr="00A22C6D">
        <w:rPr>
          <w:rStyle w:val="HideTWBExt"/>
          <w:noProof w:val="0"/>
          <w:color w:val="auto"/>
        </w:rPr>
        <w:t>&lt;Date&gt;</w:t>
      </w:r>
      <w:r w:rsidRPr="00A22C6D">
        <w:rPr>
          <w:rStyle w:val="HideTWBInt"/>
          <w:color w:val="auto"/>
        </w:rPr>
        <w:t>{28/04/2017}</w:t>
      </w:r>
      <w:r w:rsidRPr="00A22C6D">
        <w:t>28.4.2017</w:t>
      </w:r>
      <w:r w:rsidRPr="00A22C6D">
        <w:rPr>
          <w:rStyle w:val="HideTWBExt"/>
          <w:noProof w:val="0"/>
          <w:color w:val="auto"/>
        </w:rPr>
        <w:t>&lt;/Date&gt;</w:t>
      </w:r>
    </w:p>
    <w:p w:rsidR="00793EA9" w:rsidRPr="00A22C6D" w:rsidRDefault="00793EA9">
      <w:pPr>
        <w:pStyle w:val="StarsAndIs"/>
      </w:pPr>
      <w:r w:rsidRPr="00A22C6D">
        <w:rPr>
          <w:rStyle w:val="HideTWBExt"/>
          <w:b w:val="0"/>
          <w:noProof w:val="0"/>
          <w:color w:val="auto"/>
        </w:rPr>
        <w:t>&lt;RefProcLect&gt;</w:t>
      </w:r>
      <w:r w:rsidRPr="00A22C6D">
        <w:t>***I</w:t>
      </w:r>
      <w:r w:rsidRPr="00A22C6D">
        <w:rPr>
          <w:rStyle w:val="HideTWBExt"/>
          <w:b w:val="0"/>
          <w:noProof w:val="0"/>
          <w:color w:val="auto"/>
        </w:rPr>
        <w:t>&lt;/RefProcLect&gt;</w:t>
      </w:r>
    </w:p>
    <w:p w:rsidR="00793EA9" w:rsidRPr="00A22C6D" w:rsidRDefault="00793EA9">
      <w:pPr>
        <w:pStyle w:val="TypeDoc"/>
      </w:pPr>
      <w:r w:rsidRPr="00A22C6D">
        <w:rPr>
          <w:rStyle w:val="HideTWBExt"/>
          <w:b w:val="0"/>
          <w:noProof w:val="0"/>
          <w:color w:val="auto"/>
        </w:rPr>
        <w:t>&lt;TitreType&gt;</w:t>
      </w:r>
      <w:r w:rsidRPr="00A22C6D">
        <w:t>ZIŅOJUMA PROJEKTS</w:t>
      </w:r>
      <w:r w:rsidRPr="00A22C6D">
        <w:rPr>
          <w:rStyle w:val="HideTWBExt"/>
          <w:b w:val="0"/>
          <w:noProof w:val="0"/>
          <w:color w:val="auto"/>
        </w:rPr>
        <w:t>&lt;/TitreType&gt;</w:t>
      </w:r>
    </w:p>
    <w:p w:rsidR="00793EA9" w:rsidRPr="00A22C6D" w:rsidRDefault="00793EA9" w:rsidP="0014752B">
      <w:pPr>
        <w:pStyle w:val="Default"/>
        <w:ind w:left="1418" w:firstLine="22"/>
        <w:rPr>
          <w:color w:val="auto"/>
        </w:rPr>
      </w:pPr>
      <w:r w:rsidRPr="00A22C6D">
        <w:rPr>
          <w:rStyle w:val="HideTWBExt"/>
          <w:noProof w:val="0"/>
          <w:color w:val="auto"/>
        </w:rPr>
        <w:t>&lt;Titre&gt;</w:t>
      </w:r>
      <w:r w:rsidRPr="00A22C6D">
        <w:rPr>
          <w:color w:val="auto"/>
        </w:rPr>
        <w:t>par priekšlikumu Eiropas Parlamenta un Padomes direktīvai, ar ko groza Direktīvu 2011/65/ES par dažu bīstamu vielu izmantošanas ierobežošanu elektriskās un elektroniskās iekārtās</w:t>
      </w:r>
      <w:r w:rsidRPr="00A22C6D">
        <w:rPr>
          <w:rStyle w:val="HideTWBExt"/>
          <w:noProof w:val="0"/>
          <w:color w:val="auto"/>
        </w:rPr>
        <w:t>&lt;/Titre&gt;</w:t>
      </w:r>
    </w:p>
    <w:p w:rsidR="00793EA9" w:rsidRPr="00A22C6D" w:rsidRDefault="00793EA9">
      <w:pPr>
        <w:pStyle w:val="Cover24"/>
      </w:pPr>
      <w:r w:rsidRPr="00A22C6D">
        <w:rPr>
          <w:rStyle w:val="HideTWBExt"/>
          <w:noProof w:val="0"/>
          <w:color w:val="auto"/>
        </w:rPr>
        <w:t>&lt;DocRef&gt;</w:t>
      </w:r>
      <w:r w:rsidRPr="00A22C6D">
        <w:t>(COM(2017)0038 – C8-0021/2017 – 2017/0013(COD))</w:t>
      </w:r>
      <w:r w:rsidRPr="00A22C6D">
        <w:rPr>
          <w:rStyle w:val="HideTWBExt"/>
          <w:noProof w:val="0"/>
          <w:color w:val="auto"/>
        </w:rPr>
        <w:t>&lt;/DocRef&gt;</w:t>
      </w:r>
    </w:p>
    <w:p w:rsidR="00793EA9" w:rsidRPr="00A22C6D" w:rsidRDefault="00793EA9">
      <w:pPr>
        <w:pStyle w:val="Cover24"/>
      </w:pPr>
      <w:r w:rsidRPr="00A22C6D">
        <w:rPr>
          <w:rStyle w:val="HideTWBExt"/>
          <w:noProof w:val="0"/>
          <w:color w:val="auto"/>
        </w:rPr>
        <w:t>&lt;Commission&gt;</w:t>
      </w:r>
      <w:r w:rsidRPr="00A22C6D">
        <w:rPr>
          <w:rStyle w:val="HideTWBInt"/>
          <w:color w:val="auto"/>
        </w:rPr>
        <w:t>{ENVI}</w:t>
      </w:r>
      <w:r w:rsidRPr="00A22C6D">
        <w:t>Vides, sabiedrības veselības un pārtikas nekaitīguma komiteja</w:t>
      </w:r>
      <w:r w:rsidRPr="00A22C6D">
        <w:rPr>
          <w:rStyle w:val="HideTWBExt"/>
          <w:noProof w:val="0"/>
          <w:color w:val="auto"/>
        </w:rPr>
        <w:t>&lt;/Commission&gt;</w:t>
      </w:r>
    </w:p>
    <w:p w:rsidR="00793EA9" w:rsidRPr="00A22C6D" w:rsidRDefault="0014752B">
      <w:pPr>
        <w:pStyle w:val="Cover24"/>
      </w:pPr>
      <w:r w:rsidRPr="00A22C6D">
        <w:t xml:space="preserve">Referente: </w:t>
      </w:r>
      <w:r w:rsidRPr="00A22C6D">
        <w:rPr>
          <w:rStyle w:val="HideTWBExt"/>
          <w:noProof w:val="0"/>
          <w:color w:val="auto"/>
        </w:rPr>
        <w:t>&lt;Depute&gt;</w:t>
      </w:r>
      <w:r w:rsidRPr="00A22C6D">
        <w:rPr>
          <w:i/>
        </w:rPr>
        <w:t>Adina-Ioana Vălean</w:t>
      </w:r>
      <w:r w:rsidRPr="00A22C6D">
        <w:rPr>
          <w:rStyle w:val="HideTWBExt"/>
          <w:noProof w:val="0"/>
          <w:color w:val="auto"/>
        </w:rPr>
        <w:t>&lt;/Depute&gt;</w:t>
      </w:r>
    </w:p>
    <w:p w:rsidR="001C5B44" w:rsidRPr="00A22C6D" w:rsidRDefault="001C5B44" w:rsidP="001C5B44">
      <w:pPr>
        <w:pStyle w:val="CoverNormal"/>
      </w:pPr>
    </w:p>
    <w:p w:rsidR="00793EA9" w:rsidRPr="00A22C6D" w:rsidRDefault="00793EA9" w:rsidP="00187008">
      <w:pPr>
        <w:widowControl/>
        <w:tabs>
          <w:tab w:val="center" w:pos="4677"/>
        </w:tabs>
      </w:pPr>
      <w:r w:rsidRPr="00A22C6D">
        <w:br w:type="page"/>
      </w:r>
      <w:bookmarkStart w:id="0" w:name="DocEPTmpStart"/>
      <w:bookmarkEnd w:id="0"/>
    </w:p>
    <w:p w:rsidR="0014752B" w:rsidRPr="00A22C6D" w:rsidRDefault="0014752B">
      <w:fldSimple w:instr="TITLE \* MERGEFORMAT">
        <w:r w:rsidR="00B84449">
          <w:t>PR_COD_1amCom</w:t>
        </w:r>
      </w:fldSimple>
    </w:p>
    <w:p w:rsidR="0014752B" w:rsidRPr="00A22C6D" w:rsidRDefault="0014752B"/>
    <w:p w:rsidR="0014752B" w:rsidRPr="00A22C6D" w:rsidRDefault="0014752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22C6D" w:rsidRPr="00A22C6D" w:rsidTr="002905C0">
        <w:tc>
          <w:tcPr>
            <w:tcW w:w="5811" w:type="dxa"/>
            <w:tcBorders>
              <w:top w:val="single" w:sz="4" w:space="0" w:color="auto"/>
            </w:tcBorders>
          </w:tcPr>
          <w:p w:rsidR="0014752B" w:rsidRPr="00A22C6D" w:rsidRDefault="0014752B" w:rsidP="002905C0">
            <w:pPr>
              <w:pStyle w:val="Lgendetitre"/>
              <w:rPr>
                <w:szCs w:val="24"/>
              </w:rPr>
            </w:pPr>
            <w:r w:rsidRPr="00A22C6D">
              <w:t>Izmantoto apzīmējumu skaidrojums</w:t>
            </w:r>
          </w:p>
        </w:tc>
      </w:tr>
      <w:tr w:rsidR="0014752B" w:rsidRPr="00A22C6D" w:rsidTr="002905C0">
        <w:trPr>
          <w:cantSplit/>
          <w:trHeight w:val="1949"/>
        </w:trPr>
        <w:tc>
          <w:tcPr>
            <w:tcW w:w="5811" w:type="dxa"/>
            <w:tcBorders>
              <w:bottom w:val="single" w:sz="4" w:space="0" w:color="auto"/>
            </w:tcBorders>
          </w:tcPr>
          <w:p w:rsidR="0014752B" w:rsidRPr="00A22C6D" w:rsidRDefault="0014752B" w:rsidP="002905C0">
            <w:pPr>
              <w:pStyle w:val="Lgendesigne"/>
              <w:rPr>
                <w:szCs w:val="24"/>
              </w:rPr>
            </w:pPr>
            <w:r w:rsidRPr="00A22C6D">
              <w:tab/>
              <w:t>*</w:t>
            </w:r>
            <w:r w:rsidRPr="00A22C6D">
              <w:tab/>
              <w:t>Apspriežu procedūra</w:t>
            </w:r>
            <w:r w:rsidRPr="00A22C6D">
              <w:tab/>
            </w:r>
          </w:p>
          <w:p w:rsidR="0014752B" w:rsidRPr="00A22C6D" w:rsidRDefault="0014752B" w:rsidP="002905C0">
            <w:pPr>
              <w:pStyle w:val="Lgendesigne"/>
              <w:rPr>
                <w:szCs w:val="24"/>
              </w:rPr>
            </w:pPr>
            <w:r w:rsidRPr="00A22C6D">
              <w:tab/>
              <w:t>***</w:t>
            </w:r>
            <w:r w:rsidRPr="00A22C6D">
              <w:tab/>
              <w:t>Piekrišanas procedūra</w:t>
            </w:r>
          </w:p>
          <w:p w:rsidR="0014752B" w:rsidRPr="00A22C6D" w:rsidRDefault="0014752B" w:rsidP="002905C0">
            <w:pPr>
              <w:pStyle w:val="Lgendesigne"/>
              <w:rPr>
                <w:szCs w:val="24"/>
              </w:rPr>
            </w:pPr>
            <w:r w:rsidRPr="00A22C6D">
              <w:tab/>
              <w:t>***I</w:t>
            </w:r>
            <w:r w:rsidRPr="00A22C6D">
              <w:tab/>
              <w:t>Parastā likumdošanas procedūra (pirmais lasījums)</w:t>
            </w:r>
          </w:p>
          <w:p w:rsidR="0014752B" w:rsidRPr="00A22C6D" w:rsidRDefault="0014752B" w:rsidP="002905C0">
            <w:pPr>
              <w:pStyle w:val="Lgendesigne"/>
              <w:rPr>
                <w:szCs w:val="24"/>
              </w:rPr>
            </w:pPr>
            <w:r w:rsidRPr="00A22C6D">
              <w:tab/>
              <w:t>***II</w:t>
            </w:r>
            <w:r w:rsidRPr="00A22C6D">
              <w:tab/>
              <w:t>Parastā likumdošanas procedūra (otrais lasījums)</w:t>
            </w:r>
          </w:p>
          <w:p w:rsidR="0014752B" w:rsidRPr="00A22C6D" w:rsidRDefault="0014752B" w:rsidP="002905C0">
            <w:pPr>
              <w:pStyle w:val="Lgendesigne"/>
              <w:rPr>
                <w:szCs w:val="24"/>
              </w:rPr>
            </w:pPr>
            <w:r w:rsidRPr="00A22C6D">
              <w:tab/>
              <w:t>***III</w:t>
            </w:r>
            <w:r w:rsidRPr="00A22C6D">
              <w:tab/>
              <w:t>Parastā likumdošanas procedūra (trešais lasījums)</w:t>
            </w:r>
            <w:r w:rsidRPr="00A22C6D">
              <w:br/>
            </w:r>
          </w:p>
          <w:p w:rsidR="0014752B" w:rsidRPr="00A22C6D" w:rsidRDefault="0014752B" w:rsidP="002905C0">
            <w:pPr>
              <w:pStyle w:val="Lgendestandard"/>
              <w:rPr>
                <w:szCs w:val="24"/>
              </w:rPr>
            </w:pPr>
            <w:r w:rsidRPr="00A22C6D">
              <w:t>(Norādītā procedūra pamatojas uz akta projektā ierosināto juridisko pamatu.)</w:t>
            </w:r>
          </w:p>
          <w:p w:rsidR="0014752B" w:rsidRPr="00A22C6D" w:rsidRDefault="0014752B" w:rsidP="002905C0">
            <w:pPr>
              <w:pStyle w:val="Lgendestandard"/>
              <w:rPr>
                <w:szCs w:val="24"/>
              </w:rPr>
            </w:pPr>
          </w:p>
        </w:tc>
      </w:tr>
    </w:tbl>
    <w:p w:rsidR="0014752B" w:rsidRPr="00A22C6D" w:rsidRDefault="0014752B" w:rsidP="002905C0"/>
    <w:p w:rsidR="0014752B" w:rsidRPr="00A22C6D" w:rsidRDefault="0014752B" w:rsidP="002905C0"/>
    <w:p w:rsidR="0014752B" w:rsidRPr="00A22C6D" w:rsidRDefault="0014752B" w:rsidP="002905C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A22C6D" w:rsidRPr="00A22C6D" w:rsidTr="002905C0">
        <w:tc>
          <w:tcPr>
            <w:tcW w:w="5811" w:type="dxa"/>
            <w:tcBorders>
              <w:top w:val="single" w:sz="4" w:space="0" w:color="auto"/>
            </w:tcBorders>
          </w:tcPr>
          <w:p w:rsidR="0014752B" w:rsidRPr="00A22C6D" w:rsidRDefault="0014752B" w:rsidP="002905C0">
            <w:pPr>
              <w:pStyle w:val="Lgendetitre"/>
              <w:rPr>
                <w:szCs w:val="24"/>
              </w:rPr>
            </w:pPr>
            <w:r w:rsidRPr="00A22C6D">
              <w:t>Grozījumi akta projektā</w:t>
            </w:r>
          </w:p>
        </w:tc>
      </w:tr>
      <w:tr w:rsidR="0014752B" w:rsidRPr="00A22C6D" w:rsidTr="002905C0">
        <w:tc>
          <w:tcPr>
            <w:tcW w:w="5811" w:type="dxa"/>
            <w:tcBorders>
              <w:bottom w:val="single" w:sz="4" w:space="0" w:color="auto"/>
            </w:tcBorders>
          </w:tcPr>
          <w:p w:rsidR="0014752B" w:rsidRPr="00A22C6D" w:rsidRDefault="0014752B" w:rsidP="002905C0">
            <w:pPr>
              <w:pStyle w:val="Lgendestandard"/>
              <w:rPr>
                <w:szCs w:val="24"/>
              </w:rPr>
            </w:pPr>
          </w:p>
          <w:p w:rsidR="0014752B" w:rsidRPr="00A22C6D" w:rsidRDefault="0014752B" w:rsidP="002905C0">
            <w:pPr>
              <w:pStyle w:val="Lgendestandard"/>
              <w:rPr>
                <w:szCs w:val="24"/>
              </w:rPr>
            </w:pPr>
            <w:r w:rsidRPr="00A22C6D">
              <w:rPr>
                <w:b/>
              </w:rPr>
              <w:t>Parlamenta grozījumi, kas sagatavoti divās slejās</w:t>
            </w:r>
          </w:p>
          <w:p w:rsidR="0014752B" w:rsidRPr="00A22C6D" w:rsidRDefault="0014752B" w:rsidP="002905C0">
            <w:pPr>
              <w:pStyle w:val="Lgendestandard"/>
              <w:rPr>
                <w:szCs w:val="24"/>
              </w:rPr>
            </w:pPr>
          </w:p>
          <w:p w:rsidR="0014752B" w:rsidRPr="00A22C6D" w:rsidRDefault="0014752B" w:rsidP="002905C0">
            <w:pPr>
              <w:pStyle w:val="Lgendestandard"/>
              <w:rPr>
                <w:szCs w:val="24"/>
              </w:rPr>
            </w:pPr>
            <w:r w:rsidRPr="00A22C6D">
              <w:t xml:space="preserve">Svītrotās teksta daļas iezīmē </w:t>
            </w:r>
            <w:r w:rsidRPr="00A22C6D">
              <w:rPr>
                <w:b/>
                <w:i/>
              </w:rPr>
              <w:t>treknā slīprakstā</w:t>
            </w:r>
            <w:r w:rsidRPr="00A22C6D">
              <w:t xml:space="preserve"> kreisajā slejā. Aizstātās teksta daļas iezīmē </w:t>
            </w:r>
            <w:r w:rsidRPr="00A22C6D">
              <w:rPr>
                <w:b/>
                <w:i/>
              </w:rPr>
              <w:t>treknā slīprakstā</w:t>
            </w:r>
            <w:r w:rsidRPr="00A22C6D">
              <w:t xml:space="preserve"> abās slejās. Jauno tekstu iezīmē </w:t>
            </w:r>
            <w:r w:rsidRPr="00A22C6D">
              <w:rPr>
                <w:b/>
                <w:i/>
              </w:rPr>
              <w:t>treknā slīprakstā</w:t>
            </w:r>
            <w:r w:rsidRPr="00A22C6D">
              <w:t xml:space="preserve"> labajā slejā.</w:t>
            </w:r>
          </w:p>
          <w:p w:rsidR="0014752B" w:rsidRPr="00A22C6D" w:rsidRDefault="0014752B" w:rsidP="002905C0">
            <w:pPr>
              <w:pStyle w:val="Lgendestandard"/>
              <w:rPr>
                <w:szCs w:val="24"/>
              </w:rPr>
            </w:pPr>
          </w:p>
          <w:p w:rsidR="0014752B" w:rsidRPr="00A22C6D" w:rsidRDefault="0014752B" w:rsidP="002905C0">
            <w:pPr>
              <w:pStyle w:val="Lgendestandard"/>
              <w:rPr>
                <w:szCs w:val="24"/>
              </w:rPr>
            </w:pPr>
            <w:r w:rsidRPr="00A22C6D">
              <w:t xml:space="preserve">Pirms katra grozījuma ievietotā informācijas bloka pirmā un otrā rinda norāda uz attiecīgo teksta daļu izskatāmajā akta projektā. Ja grozījums attiecas uz spēkā esošu aktu, ko paredzēts grozīt ar akta projektu, informācijas blokā papildus iekļauj trešo un ceturto rindu, kurās attiecīgi norāda spēkā esošo aktu un atbilstīgo teksta vienību tajā. </w:t>
            </w:r>
          </w:p>
          <w:p w:rsidR="0014752B" w:rsidRPr="00A22C6D" w:rsidRDefault="0014752B" w:rsidP="002905C0">
            <w:pPr>
              <w:pStyle w:val="Lgendestandard"/>
              <w:rPr>
                <w:szCs w:val="24"/>
              </w:rPr>
            </w:pPr>
          </w:p>
          <w:p w:rsidR="0014752B" w:rsidRPr="00A22C6D" w:rsidRDefault="0014752B" w:rsidP="002905C0">
            <w:pPr>
              <w:pStyle w:val="Lgendestandard"/>
              <w:rPr>
                <w:b/>
                <w:szCs w:val="24"/>
              </w:rPr>
            </w:pPr>
            <w:r w:rsidRPr="00A22C6D">
              <w:rPr>
                <w:b/>
              </w:rPr>
              <w:t>Parlamenta grozījumi, kas sagatavoti kā konsolidēts teksts.</w:t>
            </w:r>
          </w:p>
          <w:p w:rsidR="0014752B" w:rsidRPr="00A22C6D" w:rsidRDefault="0014752B" w:rsidP="002905C0">
            <w:pPr>
              <w:pStyle w:val="Lgendestandard"/>
              <w:rPr>
                <w:szCs w:val="24"/>
              </w:rPr>
            </w:pPr>
          </w:p>
          <w:p w:rsidR="0014752B" w:rsidRPr="00A22C6D" w:rsidRDefault="0014752B" w:rsidP="002905C0">
            <w:pPr>
              <w:pStyle w:val="Lgendestandard"/>
              <w:rPr>
                <w:szCs w:val="24"/>
              </w:rPr>
            </w:pPr>
            <w:r w:rsidRPr="00A22C6D">
              <w:t xml:space="preserve">Jaunās teksta daļas iezīmē </w:t>
            </w:r>
            <w:r w:rsidRPr="00A22C6D">
              <w:rPr>
                <w:b/>
                <w:i/>
              </w:rPr>
              <w:t>treknā slīprakstā</w:t>
            </w:r>
            <w:r w:rsidRPr="00A22C6D">
              <w:t xml:space="preserve">. Svītrotās teksta daļas iezīmē ar simbolu ▌ vai pārsvītro. Aizstātās teksta daļas iezīmē, ierakstot jauno tekstu </w:t>
            </w:r>
            <w:r w:rsidRPr="00A22C6D">
              <w:rPr>
                <w:b/>
                <w:i/>
              </w:rPr>
              <w:t>treknā slīprakstā</w:t>
            </w:r>
            <w:r w:rsidRPr="00A22C6D">
              <w:t xml:space="preserve"> un izdzēšot vai pārsvītrojot aizstāto tekstu. </w:t>
            </w:r>
          </w:p>
          <w:p w:rsidR="0014752B" w:rsidRPr="00A22C6D" w:rsidRDefault="0014752B" w:rsidP="002905C0">
            <w:pPr>
              <w:pStyle w:val="Lgendestandard"/>
              <w:rPr>
                <w:szCs w:val="24"/>
              </w:rPr>
            </w:pPr>
            <w:r w:rsidRPr="00A22C6D">
              <w:t>Tas neattiecas uz tīri tehniska rakstura grozījumiem, kurus izdara attiecīgie dienesti, gatavojot galīgo tekstu. Tie netiek iezīmēti.</w:t>
            </w:r>
          </w:p>
          <w:p w:rsidR="0014752B" w:rsidRPr="00A22C6D" w:rsidRDefault="0014752B" w:rsidP="002905C0">
            <w:pPr>
              <w:pStyle w:val="Lgendestandard"/>
              <w:rPr>
                <w:szCs w:val="24"/>
              </w:rPr>
            </w:pPr>
          </w:p>
        </w:tc>
      </w:tr>
    </w:tbl>
    <w:p w:rsidR="0014752B" w:rsidRPr="00A22C6D" w:rsidRDefault="0014752B"/>
    <w:p w:rsidR="00793EA9" w:rsidRPr="00A22C6D" w:rsidRDefault="00793EA9" w:rsidP="00012351">
      <w:pPr>
        <w:widowControl/>
        <w:tabs>
          <w:tab w:val="center" w:pos="4677"/>
        </w:tabs>
      </w:pPr>
    </w:p>
    <w:p w:rsidR="00793EA9" w:rsidRPr="00A22C6D" w:rsidRDefault="00793EA9">
      <w:pPr>
        <w:pStyle w:val="TOCHeading"/>
      </w:pPr>
      <w:r w:rsidRPr="00A22C6D">
        <w:br w:type="page"/>
      </w:r>
      <w:r w:rsidRPr="00A22C6D">
        <w:lastRenderedPageBreak/>
        <w:t>SATURA RĀDĪTĀJS</w:t>
      </w:r>
    </w:p>
    <w:p w:rsidR="00793EA9" w:rsidRPr="00A22C6D" w:rsidRDefault="008E600A">
      <w:pPr>
        <w:pStyle w:val="TOCPage"/>
      </w:pPr>
      <w:r w:rsidRPr="00A22C6D">
        <w:t>Lpp.</w:t>
      </w:r>
    </w:p>
    <w:p w:rsidR="00B84449"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A22C6D">
        <w:rPr>
          <w:b/>
        </w:rPr>
        <w:fldChar w:fldCharType="begin"/>
      </w:r>
      <w:r w:rsidRPr="00A22C6D">
        <w:rPr>
          <w:b/>
        </w:rPr>
        <w:instrText xml:space="preserve"> TOC \t "PageHeading</w:instrText>
      </w:r>
      <w:r w:rsidR="00A22C6D" w:rsidRPr="00A22C6D">
        <w:rPr>
          <w:b/>
        </w:rPr>
        <w:instrText>;</w:instrText>
      </w:r>
      <w:r w:rsidRPr="00A22C6D">
        <w:rPr>
          <w:b/>
        </w:rPr>
        <w:instrText xml:space="preserve">1" </w:instrText>
      </w:r>
      <w:r w:rsidRPr="00A22C6D">
        <w:rPr>
          <w:b/>
        </w:rPr>
        <w:fldChar w:fldCharType="separate"/>
      </w:r>
      <w:r w:rsidR="00B84449">
        <w:rPr>
          <w:noProof/>
        </w:rPr>
        <w:t>EIROPAS PARLAMENTA NORMATĪVĀS REZOLŪCIJAS PROJEKTS</w:t>
      </w:r>
      <w:r w:rsidR="00B84449">
        <w:rPr>
          <w:noProof/>
        </w:rPr>
        <w:tab/>
      </w:r>
      <w:r w:rsidR="00B84449">
        <w:rPr>
          <w:noProof/>
        </w:rPr>
        <w:fldChar w:fldCharType="begin"/>
      </w:r>
      <w:r w:rsidR="00B84449">
        <w:rPr>
          <w:noProof/>
        </w:rPr>
        <w:instrText xml:space="preserve"> PAGEREF _Toc482181327 \h </w:instrText>
      </w:r>
      <w:r w:rsidR="00B84449">
        <w:rPr>
          <w:noProof/>
        </w:rPr>
      </w:r>
      <w:r w:rsidR="00B84449">
        <w:rPr>
          <w:noProof/>
        </w:rPr>
        <w:fldChar w:fldCharType="separate"/>
      </w:r>
      <w:r w:rsidR="00B84449">
        <w:rPr>
          <w:noProof/>
        </w:rPr>
        <w:t>5</w:t>
      </w:r>
      <w:r w:rsidR="00B84449">
        <w:rPr>
          <w:noProof/>
        </w:rPr>
        <w:fldChar w:fldCharType="end"/>
      </w:r>
    </w:p>
    <w:p w:rsidR="00B84449" w:rsidRDefault="00B84449">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PASKAIDROJUMS</w:t>
      </w:r>
      <w:r>
        <w:rPr>
          <w:noProof/>
        </w:rPr>
        <w:tab/>
      </w:r>
      <w:r>
        <w:rPr>
          <w:noProof/>
        </w:rPr>
        <w:fldChar w:fldCharType="begin"/>
      </w:r>
      <w:r>
        <w:rPr>
          <w:noProof/>
        </w:rPr>
        <w:instrText xml:space="preserve"> PAGEREF _Toc482181328 \h </w:instrText>
      </w:r>
      <w:r>
        <w:rPr>
          <w:noProof/>
        </w:rPr>
      </w:r>
      <w:r>
        <w:rPr>
          <w:noProof/>
        </w:rPr>
        <w:fldChar w:fldCharType="separate"/>
      </w:r>
      <w:r>
        <w:rPr>
          <w:noProof/>
        </w:rPr>
        <w:t>9</w:t>
      </w:r>
      <w:r>
        <w:rPr>
          <w:noProof/>
        </w:rPr>
        <w:fldChar w:fldCharType="end"/>
      </w:r>
    </w:p>
    <w:p w:rsidR="00CC5A63" w:rsidRPr="00A22C6D" w:rsidRDefault="001767E2">
      <w:pPr>
        <w:pStyle w:val="TOC1"/>
        <w:tabs>
          <w:tab w:val="right" w:leader="dot" w:pos="9060"/>
        </w:tabs>
        <w:rPr>
          <w:rFonts w:asciiTheme="minorHAnsi" w:eastAsiaTheme="minorEastAsia" w:hAnsiTheme="minorHAnsi" w:cstheme="minorBidi"/>
          <w:sz w:val="22"/>
          <w:szCs w:val="22"/>
        </w:rPr>
      </w:pPr>
      <w:r w:rsidRPr="00A22C6D">
        <w:rPr>
          <w:b/>
        </w:rPr>
        <w:fldChar w:fldCharType="end"/>
      </w:r>
    </w:p>
    <w:p w:rsidR="002346B0" w:rsidRPr="00A22C6D" w:rsidRDefault="002346B0" w:rsidP="002346B0"/>
    <w:p w:rsidR="002346B0" w:rsidRPr="00A22C6D" w:rsidRDefault="002346B0">
      <w:pPr>
        <w:pStyle w:val="PageHeading"/>
      </w:pPr>
    </w:p>
    <w:p w:rsidR="00A22C6D" w:rsidRDefault="00A22C6D">
      <w:pPr>
        <w:pStyle w:val="PageHeading"/>
      </w:pPr>
    </w:p>
    <w:p w:rsidR="00A22C6D" w:rsidRPr="00A22C6D" w:rsidRDefault="00A22C6D" w:rsidP="00A22C6D"/>
    <w:p w:rsidR="00A22C6D" w:rsidRPr="00A22C6D" w:rsidRDefault="00A22C6D" w:rsidP="00A22C6D"/>
    <w:p w:rsidR="00A22C6D" w:rsidRPr="00A22C6D" w:rsidRDefault="00A22C6D" w:rsidP="00A22C6D"/>
    <w:p w:rsidR="00A22C6D" w:rsidRPr="00A22C6D" w:rsidRDefault="00A22C6D" w:rsidP="00A22C6D">
      <w:pPr>
        <w:tabs>
          <w:tab w:val="left" w:pos="3525"/>
        </w:tabs>
      </w:pPr>
      <w:r>
        <w:tab/>
      </w:r>
    </w:p>
    <w:p w:rsidR="00793EA9" w:rsidRPr="00A22C6D" w:rsidRDefault="00793EA9">
      <w:pPr>
        <w:pStyle w:val="PageHeading"/>
      </w:pPr>
      <w:r w:rsidRPr="00A22C6D">
        <w:br w:type="page"/>
      </w:r>
      <w:r w:rsidRPr="00A22C6D">
        <w:lastRenderedPageBreak/>
        <w:br w:type="page"/>
      </w:r>
      <w:bookmarkStart w:id="1" w:name="_Toc481495437"/>
      <w:bookmarkStart w:id="2" w:name="_Toc482181327"/>
      <w:r w:rsidRPr="00A22C6D">
        <w:lastRenderedPageBreak/>
        <w:t>EIROPAS PARLAMENTA NORMATĪVĀS REZOLŪCIJAS PROJEKTS</w:t>
      </w:r>
      <w:bookmarkEnd w:id="1"/>
      <w:bookmarkEnd w:id="2"/>
    </w:p>
    <w:p w:rsidR="00793EA9" w:rsidRPr="00A22C6D" w:rsidRDefault="008E600A">
      <w:pPr>
        <w:pStyle w:val="NormalBold"/>
      </w:pPr>
      <w:r w:rsidRPr="00A22C6D">
        <w:t xml:space="preserve">par priekšlikumu Eiropas Parlamenta un Padomes direktīvai, ar ko groza Direktīvu 2011/65/ES par dažu bīstamu vielu izmantošanas ierobežošanu elektriskās un elektroniskās iekārtās </w:t>
      </w:r>
    </w:p>
    <w:p w:rsidR="00793EA9" w:rsidRPr="00A22C6D" w:rsidRDefault="008E600A">
      <w:pPr>
        <w:pStyle w:val="Normal12Bold"/>
      </w:pPr>
      <w:r w:rsidRPr="00A22C6D">
        <w:t>(COM(2017)0038 – C8-0021/2017 – 2017/0013(COD))</w:t>
      </w:r>
    </w:p>
    <w:p w:rsidR="00793EA9" w:rsidRPr="00A22C6D" w:rsidRDefault="008E600A">
      <w:pPr>
        <w:pStyle w:val="Normal12Bold"/>
      </w:pPr>
      <w:r w:rsidRPr="00A22C6D">
        <w:t>(Parastā likumdošanas procedūra: pirmais lasījums)</w:t>
      </w:r>
    </w:p>
    <w:p w:rsidR="00793EA9" w:rsidRPr="00A22C6D" w:rsidRDefault="008E600A">
      <w:pPr>
        <w:pStyle w:val="Normal12"/>
      </w:pPr>
      <w:r w:rsidRPr="00A22C6D">
        <w:rPr>
          <w:i/>
        </w:rPr>
        <w:t>Eiropas Parlaments</w:t>
      </w:r>
      <w:r w:rsidRPr="00A22C6D">
        <w:t>,</w:t>
      </w:r>
    </w:p>
    <w:p w:rsidR="00793EA9" w:rsidRPr="00A22C6D" w:rsidRDefault="00793EA9">
      <w:pPr>
        <w:pStyle w:val="Normal12Hanging"/>
      </w:pPr>
      <w:r w:rsidRPr="00A22C6D">
        <w:t>–</w:t>
      </w:r>
      <w:r w:rsidRPr="00A22C6D">
        <w:tab/>
        <w:t>ņemot vērā Komisijas priekšlikumu Eiropas Parlamentam un Padomei (COM(2017)0038),</w:t>
      </w:r>
    </w:p>
    <w:p w:rsidR="00793EA9" w:rsidRPr="00A22C6D" w:rsidRDefault="00793EA9">
      <w:pPr>
        <w:pStyle w:val="Normal12Hanging"/>
      </w:pPr>
      <w:r w:rsidRPr="00A22C6D">
        <w:t>–</w:t>
      </w:r>
      <w:r w:rsidRPr="00A22C6D">
        <w:tab/>
        <w:t>ņemot vērā Līguma par Eiropas Savienības darbību 294. panta 2. punktu un 114. pantu, saskaņā ar kuriem Komisija tam ir iesniegusi priekšlikumu (C8-0021/2017),</w:t>
      </w:r>
    </w:p>
    <w:p w:rsidR="00A26F46" w:rsidRPr="00A22C6D" w:rsidRDefault="00A26F46" w:rsidP="00A26F46">
      <w:pPr>
        <w:pStyle w:val="Normal12Hanging"/>
      </w:pPr>
      <w:r w:rsidRPr="00A22C6D">
        <w:t>–</w:t>
      </w:r>
      <w:r w:rsidRPr="00A22C6D">
        <w:tab/>
        <w:t>ņemot vērā Līguma par Eiropas Savienības darbību 294. panta 3. punktu,</w:t>
      </w:r>
    </w:p>
    <w:p w:rsidR="0014752B" w:rsidRPr="00A22C6D" w:rsidRDefault="0014752B" w:rsidP="0014752B">
      <w:pPr>
        <w:pStyle w:val="Normal12Hanging"/>
      </w:pPr>
      <w:r w:rsidRPr="00A22C6D">
        <w:t>–</w:t>
      </w:r>
      <w:r w:rsidRPr="00A22C6D">
        <w:tab/>
        <w:t>ņemot vērā Eiropas Ekonomikas un sociālo lietu komitejas 2017. gada XX atzinumu</w:t>
      </w:r>
      <w:r w:rsidRPr="00A22C6D">
        <w:rPr>
          <w:rStyle w:val="FootnoteReference"/>
        </w:rPr>
        <w:footnoteReference w:id="1"/>
      </w:r>
      <w:r w:rsidRPr="00A22C6D">
        <w:t>,</w:t>
      </w:r>
    </w:p>
    <w:p w:rsidR="0014752B" w:rsidRPr="00A22C6D" w:rsidRDefault="0014752B" w:rsidP="0014752B">
      <w:pPr>
        <w:pStyle w:val="Normal12Hanging"/>
      </w:pPr>
      <w:r w:rsidRPr="00A22C6D">
        <w:t>–</w:t>
      </w:r>
      <w:r w:rsidRPr="00A22C6D">
        <w:tab/>
        <w:t>ņemot vērā Reģionu komitejas 2017. gada XX atzinumu</w:t>
      </w:r>
      <w:r w:rsidRPr="00A22C6D">
        <w:rPr>
          <w:rStyle w:val="FootnoteReference"/>
        </w:rPr>
        <w:footnoteReference w:id="2"/>
      </w:r>
      <w:r w:rsidRPr="00A22C6D">
        <w:t>,</w:t>
      </w:r>
    </w:p>
    <w:p w:rsidR="0014752B" w:rsidRPr="00A22C6D" w:rsidRDefault="0014752B" w:rsidP="0014752B">
      <w:pPr>
        <w:pStyle w:val="Normal12Hanging"/>
      </w:pPr>
      <w:r w:rsidRPr="00A22C6D">
        <w:t>–</w:t>
      </w:r>
      <w:r w:rsidRPr="00A22C6D">
        <w:tab/>
        <w:t>ņemot vērā Reglamenta 59. pantu,</w:t>
      </w:r>
    </w:p>
    <w:p w:rsidR="0014752B" w:rsidRPr="00A22C6D" w:rsidRDefault="0014752B" w:rsidP="0014752B">
      <w:pPr>
        <w:pStyle w:val="Normal12Hanging"/>
      </w:pPr>
      <w:r w:rsidRPr="00A22C6D">
        <w:t>–</w:t>
      </w:r>
      <w:r w:rsidRPr="00A22C6D">
        <w:tab/>
        <w:t>ņemot vērā Vides, sabiedrības veselības un pārtikas nekaitīguma komitejas ziņojumu un Juridiskās komitejas atzinumu (A8-0000/2017),</w:t>
      </w:r>
    </w:p>
    <w:p w:rsidR="009F6C2F" w:rsidRPr="00A22C6D" w:rsidRDefault="009F6C2F" w:rsidP="009F6C2F">
      <w:pPr>
        <w:pStyle w:val="Normal12Hanging"/>
      </w:pPr>
      <w:r w:rsidRPr="00A22C6D">
        <w:t>1.</w:t>
      </w:r>
      <w:r w:rsidRPr="00A22C6D">
        <w:tab/>
        <w:t>pieņem pirmajā lasījumā turpmāk izklāstīto nostāju;</w:t>
      </w:r>
    </w:p>
    <w:p w:rsidR="0014752B" w:rsidRPr="00A22C6D" w:rsidRDefault="0014752B" w:rsidP="0014752B">
      <w:pPr>
        <w:pStyle w:val="Normal12Hanging"/>
        <w:jc w:val="both"/>
      </w:pPr>
      <w:r w:rsidRPr="00A22C6D">
        <w:t>2.</w:t>
      </w:r>
      <w:r w:rsidRPr="00A22C6D">
        <w:tab/>
        <w:t>prasa Komisijai priekšlikumu Parlamentam iesniegt vēlreiz, ja tā šo priekšlikumu aizstāj ar citu tekstu, būtiski groza vai ir paredzējusi šo priekšlikumu būtiski grozīt;</w:t>
      </w:r>
    </w:p>
    <w:p w:rsidR="0014752B" w:rsidRPr="00A22C6D" w:rsidRDefault="0014752B" w:rsidP="0014752B">
      <w:pPr>
        <w:pStyle w:val="Normal12Hanging"/>
        <w:jc w:val="both"/>
      </w:pPr>
      <w:r w:rsidRPr="00A22C6D">
        <w:t>3.</w:t>
      </w:r>
      <w:r w:rsidRPr="00A22C6D">
        <w:tab/>
        <w:t>uzdod priekšsēdētājam nosūtīt Parlamenta nostāju Padomei un Komisijai, kā arī dalībvalstu parlamentiem.</w:t>
      </w:r>
    </w:p>
    <w:p w:rsidR="002669B6" w:rsidRPr="00A22C6D" w:rsidRDefault="002669B6" w:rsidP="00212B84">
      <w:pPr>
        <w:pStyle w:val="AMNumberTabs"/>
        <w:keepNext/>
      </w:pPr>
      <w:r w:rsidRPr="00A22C6D">
        <w:rPr>
          <w:rStyle w:val="HideTWBExt"/>
          <w:b w:val="0"/>
          <w:noProof w:val="0"/>
          <w:color w:val="auto"/>
        </w:rPr>
        <w:t>&lt;RepeatBlock-Amend&gt;</w:t>
      </w:r>
      <w:bookmarkStart w:id="3" w:name="restart"/>
      <w:r w:rsidRPr="00A22C6D">
        <w:rPr>
          <w:rStyle w:val="HideTWBExt"/>
          <w:b w:val="0"/>
          <w:noProof w:val="0"/>
          <w:color w:val="auto"/>
        </w:rPr>
        <w:t>&lt;Amend&gt;</w:t>
      </w:r>
      <w:r w:rsidRPr="00A22C6D">
        <w:t>Grozījums Nr.</w:t>
      </w:r>
      <w:r w:rsidRPr="00A22C6D">
        <w:tab/>
      </w:r>
      <w:r w:rsidRPr="00A22C6D">
        <w:tab/>
      </w:r>
      <w:r w:rsidRPr="00A22C6D">
        <w:rPr>
          <w:rStyle w:val="HideTWBExt"/>
          <w:b w:val="0"/>
          <w:noProof w:val="0"/>
          <w:color w:val="auto"/>
        </w:rPr>
        <w:t>&lt;NumAm&gt;</w:t>
      </w:r>
      <w:r w:rsidRPr="00A22C6D">
        <w:t>1</w:t>
      </w:r>
      <w:r w:rsidRPr="00A22C6D">
        <w:rPr>
          <w:rStyle w:val="HideTWBExt"/>
          <w:b w:val="0"/>
          <w:noProof w:val="0"/>
          <w:color w:val="auto"/>
        </w:rPr>
        <w:t>&lt;/NumAm&gt;</w:t>
      </w:r>
    </w:p>
    <w:p w:rsidR="002669B6" w:rsidRPr="00A22C6D" w:rsidRDefault="002669B6" w:rsidP="00212B84">
      <w:pPr>
        <w:pStyle w:val="NormalBold12b"/>
        <w:keepNext/>
      </w:pPr>
      <w:r w:rsidRPr="00A22C6D">
        <w:rPr>
          <w:rStyle w:val="HideTWBExt"/>
          <w:b w:val="0"/>
          <w:noProof w:val="0"/>
          <w:color w:val="auto"/>
        </w:rPr>
        <w:t>&lt;DocAmend&gt;</w:t>
      </w:r>
      <w:r w:rsidRPr="00A22C6D">
        <w:t>Direktīvas priekšlikums</w:t>
      </w:r>
      <w:r w:rsidRPr="00A22C6D">
        <w:rPr>
          <w:rStyle w:val="HideTWBExt"/>
          <w:b w:val="0"/>
          <w:noProof w:val="0"/>
          <w:color w:val="auto"/>
        </w:rPr>
        <w:t>&lt;/DocAmend&gt;</w:t>
      </w:r>
    </w:p>
    <w:p w:rsidR="002669B6" w:rsidRPr="00A22C6D" w:rsidRDefault="002669B6" w:rsidP="00DA6ED0">
      <w:pPr>
        <w:pStyle w:val="NormalBold"/>
        <w:keepNext/>
      </w:pPr>
      <w:r w:rsidRPr="00A22C6D">
        <w:rPr>
          <w:rStyle w:val="HideTWBExt"/>
          <w:b w:val="0"/>
          <w:noProof w:val="0"/>
          <w:color w:val="auto"/>
        </w:rPr>
        <w:t>&lt;Article&gt;</w:t>
      </w:r>
      <w:r w:rsidRPr="00A22C6D">
        <w:t>1. pants – 1. daļa – 4. punkts – -a apakšpunkts (jauns)</w:t>
      </w:r>
      <w:r w:rsidRPr="00A22C6D">
        <w:rPr>
          <w:rStyle w:val="HideTWBExt"/>
          <w:b w:val="0"/>
          <w:noProof w:val="0"/>
          <w:color w:val="auto"/>
        </w:rPr>
        <w:t>&lt;/Article&gt;</w:t>
      </w:r>
    </w:p>
    <w:p w:rsidR="0014752B" w:rsidRPr="00A22C6D" w:rsidRDefault="0014752B" w:rsidP="004335BD">
      <w:pPr>
        <w:keepNext/>
      </w:pPr>
      <w:r w:rsidRPr="00A22C6D">
        <w:rPr>
          <w:rStyle w:val="HideTWBExt"/>
          <w:noProof w:val="0"/>
          <w:color w:val="auto"/>
        </w:rPr>
        <w:t>&lt;DocAmend2&gt;</w:t>
      </w:r>
      <w:r w:rsidRPr="00A22C6D">
        <w:t>Direktīva 2011/65/ES</w:t>
      </w:r>
      <w:r w:rsidRPr="00A22C6D">
        <w:rPr>
          <w:rStyle w:val="HideTWBExt"/>
          <w:noProof w:val="0"/>
          <w:color w:val="auto"/>
        </w:rPr>
        <w:t>&lt;/DocAmend2&gt;</w:t>
      </w:r>
    </w:p>
    <w:p w:rsidR="0014752B" w:rsidRPr="00A22C6D" w:rsidRDefault="0014752B" w:rsidP="0014752B">
      <w:r w:rsidRPr="00A22C6D">
        <w:rPr>
          <w:rStyle w:val="HideTWBExt"/>
          <w:noProof w:val="0"/>
          <w:color w:val="auto"/>
        </w:rPr>
        <w:t>&lt;Article2&gt;</w:t>
      </w:r>
      <w:r w:rsidRPr="00A22C6D">
        <w:t>5. pants – 1. punkts – 1.a daļa (jauna)</w:t>
      </w:r>
      <w:r w:rsidRPr="00A22C6D">
        <w:rPr>
          <w:rStyle w:val="HideTWBExt"/>
          <w:noProof w:val="0"/>
          <w:color w:val="auto"/>
        </w:rPr>
        <w:t>&lt;/Article2&gt;</w:t>
      </w:r>
    </w:p>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A22C6D" w:rsidRPr="00A22C6D" w:rsidTr="00CC5A63">
        <w:trPr>
          <w:gridAfter w:val="1"/>
          <w:wAfter w:w="340" w:type="dxa"/>
          <w:jc w:val="center"/>
        </w:trPr>
        <w:tc>
          <w:tcPr>
            <w:tcW w:w="9752" w:type="dxa"/>
            <w:gridSpan w:val="4"/>
          </w:tcPr>
          <w:p w:rsidR="002669B6" w:rsidRPr="00A22C6D" w:rsidRDefault="002669B6" w:rsidP="00DA6ED0">
            <w:pPr>
              <w:keepNext/>
            </w:pPr>
          </w:p>
        </w:tc>
      </w:tr>
      <w:tr w:rsidR="00A22C6D" w:rsidRPr="00A22C6D" w:rsidTr="00CC5A63">
        <w:trPr>
          <w:gridAfter w:val="1"/>
          <w:wAfter w:w="340" w:type="dxa"/>
          <w:jc w:val="center"/>
        </w:trPr>
        <w:tc>
          <w:tcPr>
            <w:tcW w:w="4876" w:type="dxa"/>
            <w:gridSpan w:val="2"/>
          </w:tcPr>
          <w:p w:rsidR="002669B6" w:rsidRPr="00A22C6D" w:rsidRDefault="0014752B" w:rsidP="00DA6ED0">
            <w:pPr>
              <w:pStyle w:val="ColumnHeading"/>
              <w:keepNext/>
            </w:pPr>
            <w:bookmarkStart w:id="4" w:name="DocEPTmp"/>
            <w:bookmarkEnd w:id="4"/>
            <w:r w:rsidRPr="00A22C6D">
              <w:t>Komisijas ierosinātais teksts</w:t>
            </w:r>
            <w:bookmarkStart w:id="5" w:name="DocEPTmp2"/>
            <w:bookmarkEnd w:id="5"/>
          </w:p>
        </w:tc>
        <w:tc>
          <w:tcPr>
            <w:tcW w:w="4876" w:type="dxa"/>
            <w:gridSpan w:val="2"/>
          </w:tcPr>
          <w:p w:rsidR="002669B6" w:rsidRPr="00A22C6D" w:rsidRDefault="008E600A" w:rsidP="00DA6ED0">
            <w:pPr>
              <w:pStyle w:val="ColumnHeading"/>
              <w:keepNext/>
            </w:pPr>
            <w:r w:rsidRPr="00A22C6D">
              <w:t>Grozījums</w:t>
            </w:r>
          </w:p>
        </w:tc>
      </w:tr>
      <w:bookmarkEnd w:id="3"/>
      <w:tr w:rsidR="00A22C6D" w:rsidRPr="00A22C6D" w:rsidTr="00CC5A63">
        <w:trPr>
          <w:gridBefore w:val="1"/>
          <w:wBefore w:w="340" w:type="dxa"/>
          <w:jc w:val="center"/>
        </w:trPr>
        <w:tc>
          <w:tcPr>
            <w:tcW w:w="4876" w:type="dxa"/>
            <w:gridSpan w:val="2"/>
          </w:tcPr>
          <w:p w:rsidR="00CC5A63" w:rsidRPr="00A22C6D" w:rsidRDefault="00CC5A63" w:rsidP="004335BD">
            <w:pPr>
              <w:pStyle w:val="Normal6"/>
            </w:pPr>
          </w:p>
        </w:tc>
        <w:tc>
          <w:tcPr>
            <w:tcW w:w="4876" w:type="dxa"/>
            <w:gridSpan w:val="2"/>
          </w:tcPr>
          <w:p w:rsidR="00CC5A63" w:rsidRPr="00A22C6D" w:rsidRDefault="00CC5A63" w:rsidP="004335BD">
            <w:pPr>
              <w:pStyle w:val="Normal6"/>
              <w:rPr>
                <w:szCs w:val="24"/>
              </w:rPr>
            </w:pPr>
            <w:r w:rsidRPr="00A22C6D">
              <w:rPr>
                <w:b/>
                <w:i/>
              </w:rPr>
              <w:t>(-a)</w:t>
            </w:r>
            <w:r w:rsidRPr="00A22C6D">
              <w:tab/>
            </w:r>
            <w:r w:rsidRPr="00A22C6D">
              <w:rPr>
                <w:b/>
                <w:i/>
              </w:rPr>
              <w:t xml:space="preserve">panta 1. punktam pievieno šādu </w:t>
            </w:r>
            <w:r w:rsidRPr="00A22C6D">
              <w:rPr>
                <w:b/>
                <w:i/>
              </w:rPr>
              <w:lastRenderedPageBreak/>
              <w:t>daļu:</w:t>
            </w:r>
          </w:p>
        </w:tc>
      </w:tr>
      <w:tr w:rsidR="00A22C6D" w:rsidRPr="00A22C6D" w:rsidTr="00CC5A63">
        <w:trPr>
          <w:gridBefore w:val="1"/>
          <w:wBefore w:w="340" w:type="dxa"/>
          <w:jc w:val="center"/>
        </w:trPr>
        <w:tc>
          <w:tcPr>
            <w:tcW w:w="4876" w:type="dxa"/>
            <w:gridSpan w:val="2"/>
          </w:tcPr>
          <w:p w:rsidR="00CC5A63" w:rsidRPr="00A22C6D" w:rsidRDefault="00CC5A63" w:rsidP="004335BD">
            <w:pPr>
              <w:pStyle w:val="Normal6"/>
            </w:pPr>
          </w:p>
        </w:tc>
        <w:tc>
          <w:tcPr>
            <w:tcW w:w="4876" w:type="dxa"/>
            <w:gridSpan w:val="2"/>
          </w:tcPr>
          <w:p w:rsidR="00CC5A63" w:rsidRPr="00A22C6D" w:rsidRDefault="00CC5A63" w:rsidP="004335BD">
            <w:pPr>
              <w:pStyle w:val="Normal6"/>
              <w:rPr>
                <w:szCs w:val="24"/>
              </w:rPr>
            </w:pPr>
            <w:r w:rsidRPr="00A22C6D">
              <w:rPr>
                <w:b/>
                <w:i/>
              </w:rPr>
              <w:t xml:space="preserve">"Vienā deleģētajā aktā var būt tikai ierobežots skaits tehniski saistītu vai savstarpēji atkarīgu pasākumu." </w:t>
            </w:r>
          </w:p>
        </w:tc>
      </w:tr>
    </w:tbl>
    <w:p w:rsidR="00CC5A63" w:rsidRPr="00A22C6D" w:rsidRDefault="00CC5A63" w:rsidP="002F528E">
      <w:pPr>
        <w:pStyle w:val="Olang"/>
        <w:rPr>
          <w:noProof w:val="0"/>
          <w:szCs w:val="24"/>
        </w:rPr>
      </w:pPr>
      <w:r w:rsidRPr="00A22C6D">
        <w:rPr>
          <w:noProof w:val="0"/>
        </w:rPr>
        <w:t xml:space="preserve">Or. </w:t>
      </w:r>
      <w:r w:rsidRPr="00A22C6D">
        <w:rPr>
          <w:rStyle w:val="HideTWBExt"/>
          <w:noProof w:val="0"/>
          <w:color w:val="auto"/>
        </w:rPr>
        <w:t>&lt;Original&gt;</w:t>
      </w:r>
      <w:r w:rsidRPr="00A22C6D">
        <w:rPr>
          <w:rStyle w:val="HideTWBInt"/>
          <w:noProof w:val="0"/>
          <w:color w:val="auto"/>
        </w:rPr>
        <w:t>{EN}</w:t>
      </w:r>
      <w:r w:rsidRPr="00A22C6D">
        <w:rPr>
          <w:noProof w:val="0"/>
        </w:rPr>
        <w:t>en</w:t>
      </w:r>
      <w:r w:rsidRPr="00A22C6D">
        <w:rPr>
          <w:rStyle w:val="HideTWBExt"/>
          <w:noProof w:val="0"/>
          <w:color w:val="auto"/>
        </w:rPr>
        <w:t>&lt;/Original&gt;</w:t>
      </w:r>
    </w:p>
    <w:p w:rsidR="00CC5A63" w:rsidRPr="00A22C6D" w:rsidRDefault="00CC5A63" w:rsidP="00CC5A63">
      <w:r w:rsidRPr="00A22C6D">
        <w:rPr>
          <w:rStyle w:val="HideTWBExt"/>
          <w:noProof w:val="0"/>
          <w:color w:val="auto"/>
        </w:rPr>
        <w:t>&lt;/Amend&gt;</w:t>
      </w:r>
    </w:p>
    <w:p w:rsidR="00CC5A63" w:rsidRPr="00A22C6D" w:rsidRDefault="00CC5A63" w:rsidP="00CC5A63">
      <w:pPr>
        <w:pStyle w:val="AMNumberTabs"/>
        <w:keepNext/>
      </w:pPr>
      <w:r w:rsidRPr="00A22C6D">
        <w:rPr>
          <w:rStyle w:val="HideTWBExt"/>
          <w:b w:val="0"/>
          <w:noProof w:val="0"/>
          <w:color w:val="auto"/>
        </w:rPr>
        <w:t>&lt;Amend&gt;</w:t>
      </w:r>
      <w:r w:rsidRPr="00A22C6D">
        <w:t>Grozījums Nr.</w:t>
      </w:r>
      <w:r w:rsidRPr="00A22C6D">
        <w:tab/>
      </w:r>
      <w:r w:rsidRPr="00A22C6D">
        <w:tab/>
      </w:r>
      <w:r w:rsidRPr="00A22C6D">
        <w:rPr>
          <w:rStyle w:val="HideTWBExt"/>
          <w:b w:val="0"/>
          <w:noProof w:val="0"/>
          <w:color w:val="auto"/>
        </w:rPr>
        <w:t>&lt;NumAm&gt;</w:t>
      </w:r>
      <w:r w:rsidRPr="00A22C6D">
        <w:t>2</w:t>
      </w:r>
      <w:r w:rsidRPr="00A22C6D">
        <w:rPr>
          <w:rStyle w:val="HideTWBExt"/>
          <w:b w:val="0"/>
          <w:noProof w:val="0"/>
          <w:color w:val="auto"/>
        </w:rPr>
        <w:t>&lt;/NumAm&gt;</w:t>
      </w:r>
    </w:p>
    <w:p w:rsidR="00CC5A63" w:rsidRPr="00A22C6D" w:rsidRDefault="00CC5A63" w:rsidP="00CC5A63">
      <w:pPr>
        <w:pStyle w:val="NormalBold12b"/>
        <w:keepNext/>
      </w:pPr>
      <w:r w:rsidRPr="00A22C6D">
        <w:rPr>
          <w:rStyle w:val="HideTWBExt"/>
          <w:b w:val="0"/>
          <w:noProof w:val="0"/>
          <w:color w:val="auto"/>
        </w:rPr>
        <w:t>&lt;DocAmend&gt;</w:t>
      </w:r>
      <w:r w:rsidRPr="00A22C6D">
        <w:t>Direktīvas priekšlikums</w:t>
      </w:r>
      <w:r w:rsidRPr="00A22C6D">
        <w:rPr>
          <w:rStyle w:val="HideTWBExt"/>
          <w:b w:val="0"/>
          <w:noProof w:val="0"/>
          <w:color w:val="auto"/>
        </w:rPr>
        <w:t>&lt;/DocAmend&gt;</w:t>
      </w:r>
    </w:p>
    <w:p w:rsidR="00CC5A63" w:rsidRPr="00A22C6D" w:rsidRDefault="00CC5A63" w:rsidP="00CC5A63">
      <w:pPr>
        <w:pStyle w:val="NormalBold"/>
      </w:pPr>
      <w:r w:rsidRPr="00A22C6D">
        <w:rPr>
          <w:rStyle w:val="HideTWBExt"/>
          <w:b w:val="0"/>
          <w:noProof w:val="0"/>
          <w:color w:val="auto"/>
        </w:rPr>
        <w:t>&lt;Article&gt;</w:t>
      </w:r>
      <w:r w:rsidRPr="00A22C6D">
        <w:t>1. pants – 1. daļa – 4. punkts – aa apakšpunkts (jauns)</w:t>
      </w:r>
      <w:r w:rsidRPr="00A22C6D">
        <w:rPr>
          <w:rStyle w:val="HideTWBExt"/>
          <w:b w:val="0"/>
          <w:noProof w:val="0"/>
          <w:color w:val="auto"/>
        </w:rPr>
        <w:t>&lt;/Article&gt;</w:t>
      </w:r>
    </w:p>
    <w:p w:rsidR="00CC5A63" w:rsidRPr="00A22C6D" w:rsidRDefault="00CC5A63" w:rsidP="00CC5A63">
      <w:pPr>
        <w:keepNext/>
      </w:pPr>
      <w:r w:rsidRPr="00A22C6D">
        <w:rPr>
          <w:rStyle w:val="HideTWBExt"/>
          <w:noProof w:val="0"/>
          <w:color w:val="auto"/>
        </w:rPr>
        <w:t>&lt;DocAmend2&gt;</w:t>
      </w:r>
      <w:r w:rsidRPr="00A22C6D">
        <w:t>Direktīva 2011/65/ES</w:t>
      </w:r>
      <w:r w:rsidRPr="00A22C6D">
        <w:rPr>
          <w:rStyle w:val="HideTWBExt"/>
          <w:noProof w:val="0"/>
          <w:color w:val="auto"/>
        </w:rPr>
        <w:t>&lt;/DocAmend2&gt;</w:t>
      </w:r>
    </w:p>
    <w:p w:rsidR="00CC5A63" w:rsidRPr="00A22C6D" w:rsidRDefault="00CC5A63" w:rsidP="00CC5A63">
      <w:r w:rsidRPr="00A22C6D">
        <w:rPr>
          <w:rStyle w:val="HideTWBExt"/>
          <w:noProof w:val="0"/>
          <w:color w:val="auto"/>
        </w:rPr>
        <w:t>&lt;Article2&gt;</w:t>
      </w:r>
      <w:r w:rsidRPr="00A22C6D">
        <w:t>5. pants – 4. punkts – aa apakšpunkts (jauns)</w:t>
      </w:r>
      <w:r w:rsidRPr="00A22C6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2C6D" w:rsidRPr="00A22C6D" w:rsidTr="00CC5A63">
        <w:trPr>
          <w:jc w:val="center"/>
        </w:trPr>
        <w:tc>
          <w:tcPr>
            <w:tcW w:w="9752" w:type="dxa"/>
            <w:gridSpan w:val="2"/>
          </w:tcPr>
          <w:p w:rsidR="00CC5A63" w:rsidRPr="00A22C6D" w:rsidRDefault="00CC5A63" w:rsidP="004335BD">
            <w:pPr>
              <w:keepNext/>
            </w:pPr>
          </w:p>
        </w:tc>
      </w:tr>
      <w:tr w:rsidR="00A22C6D" w:rsidRPr="00A22C6D" w:rsidTr="00CC5A63">
        <w:trPr>
          <w:jc w:val="center"/>
        </w:trPr>
        <w:tc>
          <w:tcPr>
            <w:tcW w:w="4876" w:type="dxa"/>
          </w:tcPr>
          <w:p w:rsidR="00CC5A63" w:rsidRPr="00A22C6D" w:rsidRDefault="00CC5A63" w:rsidP="00CC5A63">
            <w:pPr>
              <w:pStyle w:val="ColumnHeading"/>
              <w:keepNext/>
            </w:pPr>
            <w:r w:rsidRPr="00A22C6D">
              <w:t>Komisijas ierosinātais teksts</w:t>
            </w:r>
          </w:p>
        </w:tc>
        <w:tc>
          <w:tcPr>
            <w:tcW w:w="4876" w:type="dxa"/>
          </w:tcPr>
          <w:p w:rsidR="00CC5A63" w:rsidRPr="00A22C6D" w:rsidRDefault="00CC5A63" w:rsidP="00CC5A63">
            <w:pPr>
              <w:pStyle w:val="ColumnHeading"/>
              <w:keepNext/>
            </w:pPr>
            <w:r w:rsidRPr="00A22C6D">
              <w:t>Grozījums</w:t>
            </w:r>
          </w:p>
        </w:tc>
      </w:tr>
      <w:tr w:rsidR="00A22C6D" w:rsidRPr="00A22C6D" w:rsidTr="00CC5A63">
        <w:trPr>
          <w:jc w:val="center"/>
        </w:trPr>
        <w:tc>
          <w:tcPr>
            <w:tcW w:w="4876" w:type="dxa"/>
          </w:tcPr>
          <w:p w:rsidR="00CC5A63" w:rsidRPr="00A22C6D" w:rsidRDefault="00CC5A63" w:rsidP="004335BD">
            <w:pPr>
              <w:pStyle w:val="Normal6"/>
            </w:pPr>
          </w:p>
        </w:tc>
        <w:tc>
          <w:tcPr>
            <w:tcW w:w="4876" w:type="dxa"/>
          </w:tcPr>
          <w:p w:rsidR="00CC5A63" w:rsidRPr="00A22C6D" w:rsidRDefault="00CC5A63" w:rsidP="004335BD">
            <w:pPr>
              <w:pStyle w:val="Normal6"/>
              <w:rPr>
                <w:szCs w:val="24"/>
              </w:rPr>
            </w:pPr>
            <w:r w:rsidRPr="00A22C6D">
              <w:rPr>
                <w:b/>
                <w:i/>
              </w:rPr>
              <w:t>(aa)</w:t>
            </w:r>
            <w:r w:rsidRPr="00A22C6D">
              <w:tab/>
            </w:r>
            <w:r w:rsidRPr="00A22C6D">
              <w:rPr>
                <w:b/>
                <w:i/>
              </w:rPr>
              <w:t>panta 4. punktā iekļauj šādu apakšpunktu:</w:t>
            </w:r>
          </w:p>
        </w:tc>
      </w:tr>
      <w:tr w:rsidR="00A22C6D" w:rsidRPr="00A22C6D" w:rsidTr="00CC5A63">
        <w:trPr>
          <w:jc w:val="center"/>
        </w:trPr>
        <w:tc>
          <w:tcPr>
            <w:tcW w:w="4876" w:type="dxa"/>
          </w:tcPr>
          <w:p w:rsidR="00CC5A63" w:rsidRPr="00A22C6D" w:rsidRDefault="00CC5A63" w:rsidP="004335BD">
            <w:pPr>
              <w:pStyle w:val="Normal6"/>
            </w:pPr>
          </w:p>
        </w:tc>
        <w:tc>
          <w:tcPr>
            <w:tcW w:w="4876" w:type="dxa"/>
          </w:tcPr>
          <w:p w:rsidR="00CC5A63" w:rsidRPr="00A22C6D" w:rsidRDefault="00DC1AF7" w:rsidP="004335BD">
            <w:pPr>
              <w:pStyle w:val="Normal6"/>
              <w:rPr>
                <w:szCs w:val="24"/>
              </w:rPr>
            </w:pPr>
            <w:r>
              <w:rPr>
                <w:b/>
                <w:i/>
              </w:rPr>
              <w:t>“</w:t>
            </w:r>
            <w:r w:rsidR="00CC5A63" w:rsidRPr="00A22C6D">
              <w:rPr>
                <w:b/>
                <w:i/>
              </w:rPr>
              <w:t xml:space="preserve">(ba) </w:t>
            </w:r>
            <w:r w:rsidR="00CC5A63" w:rsidRPr="00A22C6D">
              <w:tab/>
            </w:r>
            <w:r w:rsidR="00CC5A63" w:rsidRPr="00A22C6D">
              <w:rPr>
                <w:b/>
                <w:i/>
              </w:rPr>
              <w:t>viena mēneša laikā pēc pieteikuma saņemšanas Komisija sniedz pieteikuma iesniedzējam, dalībvalstīm un Eiropas Parlamentam skaidrus termiņus sava lēmuma pieņemšanai.</w:t>
            </w:r>
            <w:r>
              <w:rPr>
                <w:b/>
                <w:i/>
              </w:rPr>
              <w:t>”</w:t>
            </w:r>
          </w:p>
        </w:tc>
      </w:tr>
    </w:tbl>
    <w:p w:rsidR="00CC5A63" w:rsidRPr="00A22C6D" w:rsidRDefault="00CC5A63" w:rsidP="002F528E">
      <w:pPr>
        <w:pStyle w:val="Olang"/>
        <w:rPr>
          <w:noProof w:val="0"/>
          <w:szCs w:val="24"/>
        </w:rPr>
      </w:pPr>
      <w:r w:rsidRPr="00A22C6D">
        <w:rPr>
          <w:noProof w:val="0"/>
        </w:rPr>
        <w:t xml:space="preserve">Or. </w:t>
      </w:r>
      <w:r w:rsidRPr="00A22C6D">
        <w:rPr>
          <w:rStyle w:val="HideTWBExt"/>
          <w:noProof w:val="0"/>
          <w:color w:val="auto"/>
        </w:rPr>
        <w:t>&lt;Original&gt;</w:t>
      </w:r>
      <w:r w:rsidRPr="00A22C6D">
        <w:rPr>
          <w:rStyle w:val="HideTWBInt"/>
          <w:noProof w:val="0"/>
          <w:color w:val="auto"/>
        </w:rPr>
        <w:t>{EN}</w:t>
      </w:r>
      <w:r w:rsidRPr="00A22C6D">
        <w:rPr>
          <w:noProof w:val="0"/>
        </w:rPr>
        <w:t>en</w:t>
      </w:r>
      <w:r w:rsidRPr="00A22C6D">
        <w:rPr>
          <w:rStyle w:val="HideTWBExt"/>
          <w:noProof w:val="0"/>
          <w:color w:val="auto"/>
        </w:rPr>
        <w:t>&lt;/Original&gt;</w:t>
      </w:r>
    </w:p>
    <w:p w:rsidR="00CC5A63" w:rsidRPr="00A22C6D" w:rsidRDefault="00CC5A63" w:rsidP="00CC5A63">
      <w:r w:rsidRPr="00A22C6D">
        <w:rPr>
          <w:rStyle w:val="HideTWBExt"/>
          <w:noProof w:val="0"/>
          <w:color w:val="auto"/>
        </w:rPr>
        <w:t>&lt;/Amend&gt;</w:t>
      </w:r>
    </w:p>
    <w:p w:rsidR="00CC5A63" w:rsidRPr="00A22C6D" w:rsidRDefault="00CC5A63" w:rsidP="00CC5A63">
      <w:pPr>
        <w:pStyle w:val="AMNumberTabs"/>
        <w:keepNext/>
      </w:pPr>
      <w:r w:rsidRPr="00A22C6D">
        <w:rPr>
          <w:rStyle w:val="HideTWBExt"/>
          <w:b w:val="0"/>
          <w:noProof w:val="0"/>
          <w:color w:val="auto"/>
        </w:rPr>
        <w:t>&lt;Amend&gt;</w:t>
      </w:r>
      <w:r w:rsidRPr="00A22C6D">
        <w:t>Grozījums Nr.</w:t>
      </w:r>
      <w:r w:rsidRPr="00A22C6D">
        <w:tab/>
      </w:r>
      <w:r w:rsidRPr="00A22C6D">
        <w:tab/>
      </w:r>
      <w:r w:rsidRPr="00A22C6D">
        <w:rPr>
          <w:rStyle w:val="HideTWBExt"/>
          <w:b w:val="0"/>
          <w:noProof w:val="0"/>
          <w:color w:val="auto"/>
        </w:rPr>
        <w:t>&lt;NumAm&gt;</w:t>
      </w:r>
      <w:r w:rsidRPr="00A22C6D">
        <w:t>3</w:t>
      </w:r>
      <w:r w:rsidRPr="00A22C6D">
        <w:rPr>
          <w:rStyle w:val="HideTWBExt"/>
          <w:b w:val="0"/>
          <w:noProof w:val="0"/>
          <w:color w:val="auto"/>
        </w:rPr>
        <w:t>&lt;/NumAm&gt;</w:t>
      </w:r>
    </w:p>
    <w:p w:rsidR="00CC5A63" w:rsidRPr="00A22C6D" w:rsidRDefault="00CC5A63" w:rsidP="00CC5A63">
      <w:pPr>
        <w:pStyle w:val="NormalBold12b"/>
        <w:keepNext/>
      </w:pPr>
      <w:r w:rsidRPr="00A22C6D">
        <w:rPr>
          <w:rStyle w:val="HideTWBExt"/>
          <w:b w:val="0"/>
          <w:noProof w:val="0"/>
          <w:color w:val="auto"/>
        </w:rPr>
        <w:t>&lt;DocAmend&gt;</w:t>
      </w:r>
      <w:r w:rsidRPr="00A22C6D">
        <w:t>Direktīvas priekšlikums</w:t>
      </w:r>
      <w:r w:rsidRPr="00A22C6D">
        <w:rPr>
          <w:rStyle w:val="HideTWBExt"/>
          <w:b w:val="0"/>
          <w:noProof w:val="0"/>
          <w:color w:val="auto"/>
        </w:rPr>
        <w:t>&lt;/DocAmend&gt;</w:t>
      </w:r>
    </w:p>
    <w:p w:rsidR="00CC5A63" w:rsidRPr="00A22C6D" w:rsidRDefault="00CC5A63" w:rsidP="00CC5A63">
      <w:pPr>
        <w:pStyle w:val="NormalBold"/>
      </w:pPr>
      <w:r w:rsidRPr="00A22C6D">
        <w:rPr>
          <w:rStyle w:val="HideTWBExt"/>
          <w:b w:val="0"/>
          <w:noProof w:val="0"/>
          <w:color w:val="auto"/>
        </w:rPr>
        <w:t>&lt;Article&gt;</w:t>
      </w:r>
      <w:r w:rsidRPr="00A22C6D">
        <w:t>1. pants – 1. daļa – 4.a punkts (jauns)</w:t>
      </w:r>
      <w:r w:rsidRPr="00A22C6D">
        <w:rPr>
          <w:rStyle w:val="HideTWBExt"/>
          <w:b w:val="0"/>
          <w:noProof w:val="0"/>
          <w:color w:val="auto"/>
        </w:rPr>
        <w:t>&lt;/Article&gt;</w:t>
      </w:r>
    </w:p>
    <w:p w:rsidR="00CC5A63" w:rsidRPr="00A22C6D" w:rsidRDefault="00CC5A63" w:rsidP="00CC5A63">
      <w:pPr>
        <w:keepNext/>
      </w:pPr>
      <w:r w:rsidRPr="00A22C6D">
        <w:rPr>
          <w:rStyle w:val="HideTWBExt"/>
          <w:noProof w:val="0"/>
          <w:color w:val="auto"/>
        </w:rPr>
        <w:t>&lt;DocAmend2&gt;</w:t>
      </w:r>
      <w:r w:rsidRPr="00A22C6D">
        <w:t>Direktīva 2011/65/ES</w:t>
      </w:r>
      <w:r w:rsidRPr="00A22C6D">
        <w:rPr>
          <w:rStyle w:val="HideTWBExt"/>
          <w:noProof w:val="0"/>
          <w:color w:val="auto"/>
        </w:rPr>
        <w:t>&lt;/DocAmend2&gt;</w:t>
      </w:r>
    </w:p>
    <w:p w:rsidR="00CC5A63" w:rsidRPr="00A22C6D" w:rsidRDefault="00CC5A63" w:rsidP="00CC5A63">
      <w:r w:rsidRPr="00A22C6D">
        <w:rPr>
          <w:rStyle w:val="HideTWBExt"/>
          <w:noProof w:val="0"/>
          <w:color w:val="auto"/>
        </w:rPr>
        <w:t>&lt;Article2&gt;</w:t>
      </w:r>
      <w:r w:rsidRPr="00A22C6D">
        <w:t>24. pants – 2. punkts</w:t>
      </w:r>
      <w:r w:rsidRPr="00A22C6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2C6D" w:rsidRPr="00A22C6D" w:rsidTr="004335BD">
        <w:trPr>
          <w:jc w:val="center"/>
        </w:trPr>
        <w:tc>
          <w:tcPr>
            <w:tcW w:w="9752" w:type="dxa"/>
            <w:gridSpan w:val="2"/>
          </w:tcPr>
          <w:p w:rsidR="00CC5A63" w:rsidRPr="00A22C6D" w:rsidRDefault="00CC5A63" w:rsidP="004335BD">
            <w:pPr>
              <w:keepNext/>
            </w:pPr>
          </w:p>
        </w:tc>
      </w:tr>
      <w:tr w:rsidR="00A22C6D" w:rsidRPr="00A22C6D" w:rsidTr="004335BD">
        <w:trPr>
          <w:jc w:val="center"/>
        </w:trPr>
        <w:tc>
          <w:tcPr>
            <w:tcW w:w="4876" w:type="dxa"/>
          </w:tcPr>
          <w:p w:rsidR="00CC5A63" w:rsidRPr="00A22C6D" w:rsidRDefault="00CC5A63" w:rsidP="004335BD">
            <w:pPr>
              <w:pStyle w:val="ColumnHeading"/>
              <w:keepNext/>
            </w:pPr>
            <w:r w:rsidRPr="00A22C6D">
              <w:t>Present textSpēkā esošais teksts</w:t>
            </w:r>
          </w:p>
        </w:tc>
        <w:tc>
          <w:tcPr>
            <w:tcW w:w="4876" w:type="dxa"/>
          </w:tcPr>
          <w:p w:rsidR="00CC5A63" w:rsidRPr="00A22C6D" w:rsidRDefault="00CC5A63" w:rsidP="004335BD">
            <w:pPr>
              <w:pStyle w:val="ColumnHeading"/>
              <w:keepNext/>
            </w:pPr>
            <w:r w:rsidRPr="00A22C6D">
              <w:t>Grozījums</w:t>
            </w:r>
          </w:p>
        </w:tc>
      </w:tr>
      <w:tr w:rsidR="00A22C6D" w:rsidRPr="00A22C6D" w:rsidTr="004335BD">
        <w:trPr>
          <w:jc w:val="center"/>
        </w:trPr>
        <w:tc>
          <w:tcPr>
            <w:tcW w:w="4876" w:type="dxa"/>
          </w:tcPr>
          <w:p w:rsidR="00CC5A63" w:rsidRPr="00A22C6D" w:rsidRDefault="00CC5A63" w:rsidP="004335BD">
            <w:pPr>
              <w:pStyle w:val="Normal6"/>
            </w:pPr>
          </w:p>
        </w:tc>
        <w:tc>
          <w:tcPr>
            <w:tcW w:w="4876" w:type="dxa"/>
          </w:tcPr>
          <w:p w:rsidR="00CC5A63" w:rsidRPr="00A22C6D" w:rsidRDefault="00CC5A63" w:rsidP="004335BD">
            <w:pPr>
              <w:pStyle w:val="Normal6"/>
              <w:rPr>
                <w:szCs w:val="24"/>
              </w:rPr>
            </w:pPr>
            <w:r w:rsidRPr="00A22C6D">
              <w:rPr>
                <w:b/>
                <w:i/>
              </w:rPr>
              <w:t>4a)</w:t>
            </w:r>
            <w:r w:rsidRPr="00A22C6D">
              <w:tab/>
            </w:r>
            <w:r w:rsidRPr="00A22C6D">
              <w:rPr>
                <w:b/>
                <w:i/>
              </w:rPr>
              <w:t>24. panta 2. punktu aizstāj ar šādu:</w:t>
            </w:r>
          </w:p>
        </w:tc>
      </w:tr>
      <w:tr w:rsidR="00A22C6D" w:rsidRPr="00A22C6D" w:rsidTr="004335BD">
        <w:trPr>
          <w:jc w:val="center"/>
        </w:trPr>
        <w:tc>
          <w:tcPr>
            <w:tcW w:w="4876" w:type="dxa"/>
          </w:tcPr>
          <w:p w:rsidR="00CC5A63" w:rsidRPr="00A22C6D" w:rsidRDefault="00CC5A63" w:rsidP="004335BD">
            <w:pPr>
              <w:pStyle w:val="Normal6"/>
            </w:pPr>
            <w:r w:rsidRPr="00A22C6D">
              <w:t xml:space="preserve">2. </w:t>
            </w:r>
            <w:r w:rsidRPr="00A22C6D">
              <w:tab/>
              <w:t xml:space="preserve">Vēlākais līdz 2021. gada 22. jūlijam Komisija veic vispārēju šīs direktīvas pārskatīšanu un iesniedz ziņojumu Eiropas Parlamentam un Padomei, </w:t>
            </w:r>
            <w:r w:rsidRPr="00A22C6D">
              <w:rPr>
                <w:b/>
                <w:i/>
              </w:rPr>
              <w:t xml:space="preserve">vajadzības gadījumā </w:t>
            </w:r>
            <w:r w:rsidRPr="00A22C6D">
              <w:t>pievienojot tiesību akta priekšlikumu.</w:t>
            </w:r>
          </w:p>
        </w:tc>
        <w:tc>
          <w:tcPr>
            <w:tcW w:w="4876" w:type="dxa"/>
          </w:tcPr>
          <w:p w:rsidR="00CC5A63" w:rsidRPr="00A22C6D" w:rsidRDefault="00DC1AF7" w:rsidP="004335BD">
            <w:pPr>
              <w:pStyle w:val="Normal6"/>
              <w:rPr>
                <w:szCs w:val="24"/>
              </w:rPr>
            </w:pPr>
            <w:r>
              <w:rPr>
                <w:b/>
                <w:i/>
              </w:rPr>
              <w:t>“</w:t>
            </w:r>
            <w:r w:rsidR="00CC5A63" w:rsidRPr="00A22C6D">
              <w:t xml:space="preserve">2. </w:t>
            </w:r>
            <w:r w:rsidR="00CC5A63" w:rsidRPr="00A22C6D">
              <w:tab/>
              <w:t>Vēlākais līdz 2021. gada 22. jūlijam Komisija veic vispārēju šīs direktīvas pārskatīšanu un iesniedz ziņojumu Eiropas Parlamentam un Padomei, pievienojot tiesību akta priekšlikumu.</w:t>
            </w:r>
            <w:r>
              <w:t>”</w:t>
            </w:r>
          </w:p>
        </w:tc>
      </w:tr>
    </w:tbl>
    <w:p w:rsidR="00CC5A63" w:rsidRPr="00A22C6D" w:rsidRDefault="00CC5A63" w:rsidP="002F528E">
      <w:pPr>
        <w:pStyle w:val="Olang"/>
        <w:rPr>
          <w:noProof w:val="0"/>
          <w:szCs w:val="24"/>
        </w:rPr>
      </w:pPr>
      <w:r w:rsidRPr="00A22C6D">
        <w:rPr>
          <w:noProof w:val="0"/>
        </w:rPr>
        <w:t xml:space="preserve">Or. </w:t>
      </w:r>
      <w:r w:rsidRPr="00A22C6D">
        <w:rPr>
          <w:rStyle w:val="HideTWBExt"/>
          <w:noProof w:val="0"/>
          <w:color w:val="auto"/>
        </w:rPr>
        <w:t>&lt;Original&gt;</w:t>
      </w:r>
      <w:r w:rsidRPr="00A22C6D">
        <w:rPr>
          <w:rStyle w:val="HideTWBInt"/>
          <w:noProof w:val="0"/>
          <w:color w:val="auto"/>
        </w:rPr>
        <w:t>{EN}</w:t>
      </w:r>
      <w:r w:rsidRPr="00A22C6D">
        <w:rPr>
          <w:noProof w:val="0"/>
        </w:rPr>
        <w:t>en</w:t>
      </w:r>
      <w:r w:rsidRPr="00A22C6D">
        <w:rPr>
          <w:rStyle w:val="HideTWBExt"/>
          <w:noProof w:val="0"/>
          <w:color w:val="auto"/>
        </w:rPr>
        <w:t>&lt;/Original&gt;</w:t>
      </w:r>
    </w:p>
    <w:p w:rsidR="00CC5A63" w:rsidRPr="00A22C6D" w:rsidRDefault="00CC5A63" w:rsidP="00CC5A63">
      <w:r w:rsidRPr="00A22C6D">
        <w:rPr>
          <w:rStyle w:val="HideTWBExt"/>
          <w:noProof w:val="0"/>
          <w:color w:val="auto"/>
        </w:rPr>
        <w:t>&lt;/Amend&gt;</w:t>
      </w:r>
    </w:p>
    <w:p w:rsidR="00CC5A63" w:rsidRPr="00A22C6D" w:rsidRDefault="00CC5A63" w:rsidP="00CC5A63">
      <w:pPr>
        <w:pStyle w:val="AMNumberTabs"/>
        <w:keepNext/>
      </w:pPr>
      <w:r w:rsidRPr="00A22C6D">
        <w:rPr>
          <w:rStyle w:val="HideTWBExt"/>
          <w:b w:val="0"/>
          <w:noProof w:val="0"/>
          <w:color w:val="auto"/>
        </w:rPr>
        <w:t>&lt;Amend&gt;</w:t>
      </w:r>
      <w:r w:rsidRPr="00A22C6D">
        <w:t>Grozījums Nr.</w:t>
      </w:r>
      <w:r w:rsidRPr="00A22C6D">
        <w:tab/>
      </w:r>
      <w:r w:rsidRPr="00A22C6D">
        <w:tab/>
      </w:r>
      <w:r w:rsidRPr="00A22C6D">
        <w:rPr>
          <w:rStyle w:val="HideTWBExt"/>
          <w:b w:val="0"/>
          <w:noProof w:val="0"/>
          <w:color w:val="auto"/>
        </w:rPr>
        <w:t>&lt;NumAm&gt;</w:t>
      </w:r>
      <w:r w:rsidRPr="00A22C6D">
        <w:t>4</w:t>
      </w:r>
      <w:r w:rsidRPr="00A22C6D">
        <w:rPr>
          <w:rStyle w:val="HideTWBExt"/>
          <w:b w:val="0"/>
          <w:noProof w:val="0"/>
          <w:color w:val="auto"/>
        </w:rPr>
        <w:t>&lt;/NumAm&gt;</w:t>
      </w:r>
    </w:p>
    <w:p w:rsidR="00CC5A63" w:rsidRPr="00A22C6D" w:rsidRDefault="00CC5A63" w:rsidP="00CC5A63">
      <w:pPr>
        <w:pStyle w:val="NormalBold12b"/>
        <w:keepNext/>
      </w:pPr>
      <w:r w:rsidRPr="00A22C6D">
        <w:rPr>
          <w:rStyle w:val="HideTWBExt"/>
          <w:b w:val="0"/>
          <w:noProof w:val="0"/>
          <w:color w:val="auto"/>
        </w:rPr>
        <w:t>&lt;DocAmend&gt;</w:t>
      </w:r>
      <w:r w:rsidRPr="00A22C6D">
        <w:t>Direktīvas priekšlikums</w:t>
      </w:r>
      <w:r w:rsidRPr="00A22C6D">
        <w:rPr>
          <w:rStyle w:val="HideTWBExt"/>
          <w:b w:val="0"/>
          <w:noProof w:val="0"/>
          <w:color w:val="auto"/>
        </w:rPr>
        <w:t>&lt;/DocAmend&gt;</w:t>
      </w:r>
    </w:p>
    <w:p w:rsidR="00CC5A63" w:rsidRPr="00A22C6D" w:rsidRDefault="00CC5A63" w:rsidP="00CC5A63">
      <w:pPr>
        <w:pStyle w:val="NormalBold"/>
      </w:pPr>
      <w:r w:rsidRPr="00A22C6D">
        <w:rPr>
          <w:rStyle w:val="HideTWBExt"/>
          <w:b w:val="0"/>
          <w:noProof w:val="0"/>
          <w:color w:val="auto"/>
        </w:rPr>
        <w:t>&lt;Article&gt;</w:t>
      </w:r>
      <w:r w:rsidRPr="00A22C6D">
        <w:t>1. pants – 1. daļa – 4.b punkts (jauns)</w:t>
      </w:r>
      <w:r w:rsidRPr="00A22C6D">
        <w:rPr>
          <w:rStyle w:val="HideTWBExt"/>
          <w:b w:val="0"/>
          <w:noProof w:val="0"/>
          <w:color w:val="auto"/>
        </w:rPr>
        <w:t>&lt;/Article&gt;</w:t>
      </w:r>
    </w:p>
    <w:p w:rsidR="00CC5A63" w:rsidRPr="00A22C6D" w:rsidRDefault="00CC5A63" w:rsidP="00CC5A63">
      <w:pPr>
        <w:keepNext/>
      </w:pPr>
      <w:r w:rsidRPr="00A22C6D">
        <w:rPr>
          <w:rStyle w:val="HideTWBExt"/>
          <w:noProof w:val="0"/>
          <w:color w:val="auto"/>
        </w:rPr>
        <w:t>&lt;DocAmend2&gt;</w:t>
      </w:r>
      <w:r w:rsidRPr="00A22C6D">
        <w:t>Direktīva 2011/65/ES</w:t>
      </w:r>
      <w:r w:rsidRPr="00A22C6D">
        <w:rPr>
          <w:rStyle w:val="HideTWBExt"/>
          <w:noProof w:val="0"/>
          <w:color w:val="auto"/>
        </w:rPr>
        <w:t>&lt;/DocAmend2&gt;</w:t>
      </w:r>
    </w:p>
    <w:p w:rsidR="00CC5A63" w:rsidRPr="00A22C6D" w:rsidRDefault="00CC5A63" w:rsidP="00CC5A63">
      <w:r w:rsidRPr="00A22C6D">
        <w:rPr>
          <w:rStyle w:val="HideTWBExt"/>
          <w:noProof w:val="0"/>
          <w:color w:val="auto"/>
        </w:rPr>
        <w:t>&lt;Article2&gt;</w:t>
      </w:r>
      <w:r w:rsidRPr="00A22C6D">
        <w:t>24. pants – 2. punkts – 1.a daļa (jauna)</w:t>
      </w:r>
      <w:r w:rsidRPr="00A22C6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2C6D" w:rsidRPr="00A22C6D" w:rsidTr="00CC5A63">
        <w:trPr>
          <w:jc w:val="center"/>
        </w:trPr>
        <w:tc>
          <w:tcPr>
            <w:tcW w:w="9752" w:type="dxa"/>
            <w:gridSpan w:val="2"/>
          </w:tcPr>
          <w:p w:rsidR="00CC5A63" w:rsidRPr="00A22C6D" w:rsidRDefault="00CC5A63" w:rsidP="004335BD">
            <w:pPr>
              <w:keepNext/>
            </w:pPr>
          </w:p>
        </w:tc>
      </w:tr>
      <w:tr w:rsidR="00A22C6D" w:rsidRPr="00A22C6D" w:rsidTr="00CC5A63">
        <w:trPr>
          <w:jc w:val="center"/>
        </w:trPr>
        <w:tc>
          <w:tcPr>
            <w:tcW w:w="4876" w:type="dxa"/>
          </w:tcPr>
          <w:p w:rsidR="00CC5A63" w:rsidRPr="00A22C6D" w:rsidRDefault="00CC5A63" w:rsidP="00CC5A63">
            <w:pPr>
              <w:pStyle w:val="ColumnHeading"/>
              <w:keepNext/>
            </w:pPr>
            <w:r w:rsidRPr="00A22C6D">
              <w:t>Komisijas ierosinātais teksts</w:t>
            </w:r>
          </w:p>
        </w:tc>
        <w:tc>
          <w:tcPr>
            <w:tcW w:w="4876" w:type="dxa"/>
          </w:tcPr>
          <w:p w:rsidR="00CC5A63" w:rsidRPr="00A22C6D" w:rsidRDefault="00CC5A63" w:rsidP="00CC5A63">
            <w:pPr>
              <w:pStyle w:val="ColumnHeading"/>
              <w:keepNext/>
            </w:pPr>
            <w:r w:rsidRPr="00A22C6D">
              <w:t>Grozījums</w:t>
            </w:r>
          </w:p>
        </w:tc>
      </w:tr>
      <w:tr w:rsidR="00A22C6D" w:rsidRPr="00A22C6D" w:rsidTr="00CC5A63">
        <w:trPr>
          <w:jc w:val="center"/>
        </w:trPr>
        <w:tc>
          <w:tcPr>
            <w:tcW w:w="4876" w:type="dxa"/>
          </w:tcPr>
          <w:p w:rsidR="00CC5A63" w:rsidRPr="00A22C6D" w:rsidRDefault="00CC5A63" w:rsidP="004335BD">
            <w:pPr>
              <w:pStyle w:val="Normal6"/>
            </w:pPr>
          </w:p>
        </w:tc>
        <w:tc>
          <w:tcPr>
            <w:tcW w:w="4876" w:type="dxa"/>
          </w:tcPr>
          <w:p w:rsidR="00CC5A63" w:rsidRPr="00A22C6D" w:rsidRDefault="00CC5A63" w:rsidP="004335BD">
            <w:pPr>
              <w:pStyle w:val="Normal6"/>
              <w:rPr>
                <w:szCs w:val="24"/>
              </w:rPr>
            </w:pPr>
            <w:r w:rsidRPr="00A22C6D">
              <w:rPr>
                <w:b/>
                <w:i/>
              </w:rPr>
              <w:t>4b)</w:t>
            </w:r>
            <w:r w:rsidRPr="00A22C6D">
              <w:tab/>
            </w:r>
            <w:r w:rsidRPr="00A22C6D">
              <w:rPr>
                <w:b/>
                <w:i/>
              </w:rPr>
              <w:t>24. panta 2. punktam pievieno šādu daļu:</w:t>
            </w:r>
          </w:p>
        </w:tc>
      </w:tr>
      <w:tr w:rsidR="00A22C6D" w:rsidRPr="00A22C6D" w:rsidTr="00CC5A63">
        <w:trPr>
          <w:jc w:val="center"/>
        </w:trPr>
        <w:tc>
          <w:tcPr>
            <w:tcW w:w="4876" w:type="dxa"/>
          </w:tcPr>
          <w:p w:rsidR="00CC5A63" w:rsidRPr="00A22C6D" w:rsidRDefault="00CC5A63" w:rsidP="004335BD">
            <w:pPr>
              <w:pStyle w:val="Normal6"/>
            </w:pPr>
          </w:p>
        </w:tc>
        <w:tc>
          <w:tcPr>
            <w:tcW w:w="4876" w:type="dxa"/>
          </w:tcPr>
          <w:p w:rsidR="00CC5A63" w:rsidRPr="00A22C6D" w:rsidRDefault="00CC5A63" w:rsidP="004335BD">
            <w:pPr>
              <w:pStyle w:val="Normal6"/>
              <w:rPr>
                <w:szCs w:val="24"/>
              </w:rPr>
            </w:pPr>
            <w:r w:rsidRPr="00A22C6D">
              <w:rPr>
                <w:b/>
                <w:i/>
              </w:rPr>
              <w:t>"Tiesību akta priekšlikumā nosaka metodoloģiju attiecībā uz visiem nosacījumiem, kas jāievēro, lai grozītu II, III un IV pielikumu."</w:t>
            </w:r>
          </w:p>
        </w:tc>
      </w:tr>
    </w:tbl>
    <w:p w:rsidR="00CC5A63" w:rsidRPr="00A22C6D" w:rsidRDefault="00CC5A63" w:rsidP="002F528E">
      <w:pPr>
        <w:pStyle w:val="Olang"/>
        <w:rPr>
          <w:noProof w:val="0"/>
          <w:szCs w:val="24"/>
        </w:rPr>
      </w:pPr>
      <w:r w:rsidRPr="00A22C6D">
        <w:rPr>
          <w:noProof w:val="0"/>
        </w:rPr>
        <w:t xml:space="preserve">Or. </w:t>
      </w:r>
      <w:r w:rsidRPr="00A22C6D">
        <w:rPr>
          <w:rStyle w:val="HideTWBExt"/>
          <w:noProof w:val="0"/>
          <w:color w:val="auto"/>
        </w:rPr>
        <w:t>&lt;Original&gt;</w:t>
      </w:r>
      <w:r w:rsidRPr="00A22C6D">
        <w:rPr>
          <w:rStyle w:val="HideTWBInt"/>
          <w:noProof w:val="0"/>
          <w:color w:val="auto"/>
        </w:rPr>
        <w:t>{EN}</w:t>
      </w:r>
      <w:r w:rsidRPr="00A22C6D">
        <w:rPr>
          <w:noProof w:val="0"/>
        </w:rPr>
        <w:t>en</w:t>
      </w:r>
      <w:r w:rsidRPr="00A22C6D">
        <w:rPr>
          <w:rStyle w:val="HideTWBExt"/>
          <w:noProof w:val="0"/>
          <w:color w:val="auto"/>
        </w:rPr>
        <w:t>&lt;/Original&gt;</w:t>
      </w:r>
    </w:p>
    <w:p w:rsidR="00CC5A63" w:rsidRPr="00A22C6D" w:rsidRDefault="00CC5A63" w:rsidP="00CC5A63">
      <w:r w:rsidRPr="00A22C6D">
        <w:rPr>
          <w:rStyle w:val="HideTWBExt"/>
          <w:noProof w:val="0"/>
          <w:color w:val="auto"/>
        </w:rPr>
        <w:t>&lt;/Amend&gt;</w:t>
      </w:r>
    </w:p>
    <w:p w:rsidR="00CC5A63" w:rsidRPr="00A22C6D" w:rsidRDefault="00CC5A63" w:rsidP="00CC5A63">
      <w:pPr>
        <w:pStyle w:val="AMNumberTabs"/>
        <w:keepNext/>
        <w:rPr>
          <w:rStyle w:val="HideTWBExt"/>
          <w:b w:val="0"/>
          <w:noProof w:val="0"/>
          <w:color w:val="auto"/>
        </w:rPr>
      </w:pPr>
      <w:r w:rsidRPr="00A22C6D">
        <w:rPr>
          <w:rStyle w:val="HideTWBExt"/>
          <w:b w:val="0"/>
          <w:noProof w:val="0"/>
          <w:color w:val="auto"/>
        </w:rPr>
        <w:t>&lt;Amend&gt;</w:t>
      </w:r>
      <w:r w:rsidRPr="00A22C6D">
        <w:t>Grozījums Nr.</w:t>
      </w:r>
      <w:r w:rsidRPr="00A22C6D">
        <w:tab/>
      </w:r>
      <w:r w:rsidRPr="00A22C6D">
        <w:tab/>
      </w:r>
      <w:r w:rsidRPr="00A22C6D">
        <w:rPr>
          <w:rStyle w:val="HideTWBExt"/>
          <w:b w:val="0"/>
          <w:noProof w:val="0"/>
          <w:color w:val="auto"/>
        </w:rPr>
        <w:t>&lt;NumAm&gt;</w:t>
      </w:r>
      <w:r w:rsidRPr="00A22C6D">
        <w:t>5</w:t>
      </w:r>
      <w:r w:rsidRPr="00A22C6D">
        <w:rPr>
          <w:rStyle w:val="HideTWBExt"/>
          <w:b w:val="0"/>
          <w:noProof w:val="0"/>
          <w:color w:val="auto"/>
        </w:rPr>
        <w:t>&lt;/NumAm&gt;</w:t>
      </w:r>
    </w:p>
    <w:p w:rsidR="00CC5A63" w:rsidRPr="00A22C6D" w:rsidRDefault="00CC5A63" w:rsidP="00CC5A63">
      <w:pPr>
        <w:pStyle w:val="AMNumberTabs"/>
        <w:keepNext/>
      </w:pPr>
    </w:p>
    <w:p w:rsidR="00CC5A63" w:rsidRPr="00A22C6D" w:rsidRDefault="00CC5A63" w:rsidP="00CC5A63">
      <w:pPr>
        <w:pStyle w:val="NormalBold12b"/>
        <w:keepNext/>
      </w:pPr>
      <w:r w:rsidRPr="00A22C6D">
        <w:rPr>
          <w:rStyle w:val="HideTWBExt"/>
          <w:b w:val="0"/>
          <w:noProof w:val="0"/>
          <w:color w:val="auto"/>
        </w:rPr>
        <w:t>&lt;DocAmend&gt;</w:t>
      </w:r>
      <w:r w:rsidRPr="00A22C6D">
        <w:t>Direktīvas priekšlikums</w:t>
      </w:r>
      <w:r w:rsidRPr="00A22C6D">
        <w:rPr>
          <w:rStyle w:val="HideTWBExt"/>
          <w:b w:val="0"/>
          <w:noProof w:val="0"/>
          <w:color w:val="auto"/>
        </w:rPr>
        <w:t>&lt;/DocAmend&gt;</w:t>
      </w:r>
    </w:p>
    <w:p w:rsidR="00CC5A63" w:rsidRPr="00A22C6D" w:rsidRDefault="00CC5A63" w:rsidP="00CC5A63">
      <w:pPr>
        <w:pStyle w:val="NormalBold"/>
      </w:pPr>
      <w:r w:rsidRPr="00A22C6D">
        <w:rPr>
          <w:rStyle w:val="HideTWBExt"/>
          <w:b w:val="0"/>
          <w:noProof w:val="0"/>
          <w:color w:val="auto"/>
        </w:rPr>
        <w:t>&lt;Article&gt;</w:t>
      </w:r>
      <w:r w:rsidRPr="00A22C6D">
        <w:t>1. pants – 1. daļa – 4.c punkts (jauns)</w:t>
      </w:r>
      <w:r w:rsidRPr="00A22C6D">
        <w:rPr>
          <w:rStyle w:val="HideTWBExt"/>
          <w:b w:val="0"/>
          <w:noProof w:val="0"/>
          <w:color w:val="auto"/>
        </w:rPr>
        <w:t>&lt;/Article&gt;</w:t>
      </w:r>
    </w:p>
    <w:p w:rsidR="00CC5A63" w:rsidRPr="00A22C6D" w:rsidRDefault="00CC5A63" w:rsidP="00CC5A63">
      <w:pPr>
        <w:keepNext/>
      </w:pPr>
      <w:r w:rsidRPr="00A22C6D">
        <w:rPr>
          <w:rStyle w:val="HideTWBExt"/>
          <w:noProof w:val="0"/>
          <w:color w:val="auto"/>
        </w:rPr>
        <w:t>&lt;DocAmend2&gt;</w:t>
      </w:r>
      <w:r w:rsidRPr="00A22C6D">
        <w:t>Direktīva 2011/65/ES</w:t>
      </w:r>
      <w:r w:rsidRPr="00A22C6D">
        <w:rPr>
          <w:rStyle w:val="HideTWBExt"/>
          <w:noProof w:val="0"/>
          <w:color w:val="auto"/>
        </w:rPr>
        <w:t>&lt;/DocAmend2&gt;</w:t>
      </w:r>
    </w:p>
    <w:p w:rsidR="00CC5A63" w:rsidRPr="00A22C6D" w:rsidRDefault="00CC5A63" w:rsidP="00CC5A63">
      <w:r w:rsidRPr="00A22C6D">
        <w:rPr>
          <w:rStyle w:val="HideTWBExt"/>
          <w:noProof w:val="0"/>
          <w:color w:val="auto"/>
        </w:rPr>
        <w:t>&lt;Article2&gt;</w:t>
      </w:r>
      <w:r w:rsidRPr="00A22C6D">
        <w:t>24. pants – 2. punkts – 1.b daļa (jauna)</w:t>
      </w:r>
      <w:r w:rsidRPr="00A22C6D">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22C6D" w:rsidRPr="00A22C6D" w:rsidTr="00CC5A63">
        <w:trPr>
          <w:jc w:val="center"/>
        </w:trPr>
        <w:tc>
          <w:tcPr>
            <w:tcW w:w="9752" w:type="dxa"/>
            <w:gridSpan w:val="2"/>
          </w:tcPr>
          <w:p w:rsidR="00CC5A63" w:rsidRPr="00A22C6D" w:rsidRDefault="00CC5A63" w:rsidP="004335BD">
            <w:pPr>
              <w:keepNext/>
            </w:pPr>
          </w:p>
        </w:tc>
      </w:tr>
      <w:tr w:rsidR="00A22C6D" w:rsidRPr="00A22C6D" w:rsidTr="00CC5A63">
        <w:trPr>
          <w:jc w:val="center"/>
        </w:trPr>
        <w:tc>
          <w:tcPr>
            <w:tcW w:w="4876" w:type="dxa"/>
          </w:tcPr>
          <w:p w:rsidR="00CC5A63" w:rsidRPr="00A22C6D" w:rsidRDefault="00CC5A63" w:rsidP="00CC5A63">
            <w:pPr>
              <w:pStyle w:val="ColumnHeading"/>
              <w:keepNext/>
            </w:pPr>
            <w:r w:rsidRPr="00A22C6D">
              <w:t>Komisijas ierosinātais teksts</w:t>
            </w:r>
          </w:p>
        </w:tc>
        <w:tc>
          <w:tcPr>
            <w:tcW w:w="4876" w:type="dxa"/>
          </w:tcPr>
          <w:p w:rsidR="00CC5A63" w:rsidRPr="00A22C6D" w:rsidRDefault="00CC5A63" w:rsidP="00CC5A63">
            <w:pPr>
              <w:pStyle w:val="ColumnHeading"/>
              <w:keepNext/>
            </w:pPr>
            <w:r w:rsidRPr="00A22C6D">
              <w:t>Grozījums</w:t>
            </w:r>
          </w:p>
        </w:tc>
      </w:tr>
      <w:tr w:rsidR="00A22C6D" w:rsidRPr="00A22C6D" w:rsidTr="00CC5A63">
        <w:trPr>
          <w:jc w:val="center"/>
        </w:trPr>
        <w:tc>
          <w:tcPr>
            <w:tcW w:w="4876" w:type="dxa"/>
          </w:tcPr>
          <w:p w:rsidR="00CC5A63" w:rsidRPr="00A22C6D" w:rsidRDefault="00CC5A63" w:rsidP="004335BD">
            <w:pPr>
              <w:pStyle w:val="Normal6"/>
            </w:pPr>
          </w:p>
        </w:tc>
        <w:tc>
          <w:tcPr>
            <w:tcW w:w="4876" w:type="dxa"/>
          </w:tcPr>
          <w:p w:rsidR="00CC5A63" w:rsidRPr="00A22C6D" w:rsidRDefault="00CC5A63" w:rsidP="004335BD">
            <w:pPr>
              <w:pStyle w:val="Normal6"/>
              <w:rPr>
                <w:szCs w:val="24"/>
              </w:rPr>
            </w:pPr>
            <w:r w:rsidRPr="00A22C6D">
              <w:rPr>
                <w:b/>
                <w:i/>
              </w:rPr>
              <w:t>4c)</w:t>
            </w:r>
            <w:r w:rsidRPr="00A22C6D">
              <w:tab/>
            </w:r>
            <w:r w:rsidRPr="00A22C6D">
              <w:rPr>
                <w:b/>
                <w:i/>
              </w:rPr>
              <w:t>24. panta 2. punktam pievieno šādu daļu:</w:t>
            </w:r>
          </w:p>
        </w:tc>
      </w:tr>
      <w:tr w:rsidR="00A22C6D" w:rsidRPr="00A22C6D" w:rsidTr="00CC5A63">
        <w:trPr>
          <w:jc w:val="center"/>
        </w:trPr>
        <w:tc>
          <w:tcPr>
            <w:tcW w:w="4876" w:type="dxa"/>
          </w:tcPr>
          <w:p w:rsidR="00CC5A63" w:rsidRPr="00A22C6D" w:rsidRDefault="00CC5A63" w:rsidP="004335BD">
            <w:pPr>
              <w:pStyle w:val="Normal6"/>
            </w:pPr>
          </w:p>
        </w:tc>
        <w:tc>
          <w:tcPr>
            <w:tcW w:w="4876" w:type="dxa"/>
          </w:tcPr>
          <w:p w:rsidR="00CC5A63" w:rsidRPr="00A22C6D" w:rsidRDefault="00DC1AF7" w:rsidP="004335BD">
            <w:pPr>
              <w:pStyle w:val="Normal6"/>
              <w:rPr>
                <w:szCs w:val="24"/>
              </w:rPr>
            </w:pPr>
            <w:r>
              <w:rPr>
                <w:b/>
                <w:i/>
              </w:rPr>
              <w:t>“</w:t>
            </w:r>
            <w:r w:rsidR="00CC5A63" w:rsidRPr="00A22C6D">
              <w:rPr>
                <w:b/>
                <w:i/>
              </w:rPr>
              <w:t>Šajā metodoloģijā iekļauj Eiropas Ķimikāliju aģentūras (ECHA) atzinumu.</w:t>
            </w:r>
            <w:r>
              <w:rPr>
                <w:b/>
                <w:i/>
              </w:rPr>
              <w:t>”</w:t>
            </w:r>
          </w:p>
        </w:tc>
      </w:tr>
    </w:tbl>
    <w:p w:rsidR="00CC5A63" w:rsidRPr="00A22C6D" w:rsidRDefault="00CC5A63" w:rsidP="002F528E">
      <w:pPr>
        <w:pStyle w:val="Olang"/>
        <w:rPr>
          <w:noProof w:val="0"/>
          <w:szCs w:val="24"/>
        </w:rPr>
      </w:pPr>
      <w:r w:rsidRPr="00A22C6D">
        <w:rPr>
          <w:noProof w:val="0"/>
        </w:rPr>
        <w:t xml:space="preserve">Or. </w:t>
      </w:r>
      <w:r w:rsidRPr="00A22C6D">
        <w:rPr>
          <w:rStyle w:val="HideTWBExt"/>
          <w:noProof w:val="0"/>
          <w:color w:val="auto"/>
        </w:rPr>
        <w:t>&lt;Original&gt;</w:t>
      </w:r>
      <w:r w:rsidRPr="00A22C6D">
        <w:rPr>
          <w:rStyle w:val="HideTWBInt"/>
          <w:noProof w:val="0"/>
          <w:color w:val="auto"/>
        </w:rPr>
        <w:t>{EN}</w:t>
      </w:r>
      <w:r w:rsidRPr="00A22C6D">
        <w:rPr>
          <w:noProof w:val="0"/>
        </w:rPr>
        <w:t>en</w:t>
      </w:r>
      <w:r w:rsidRPr="00A22C6D">
        <w:rPr>
          <w:rStyle w:val="HideTWBExt"/>
          <w:noProof w:val="0"/>
          <w:color w:val="auto"/>
        </w:rPr>
        <w:t>&lt;/Original&gt;</w:t>
      </w:r>
    </w:p>
    <w:p w:rsidR="00CC5A63" w:rsidRPr="00A22C6D" w:rsidRDefault="00CC5A63" w:rsidP="00CC5A63">
      <w:r w:rsidRPr="00A22C6D">
        <w:rPr>
          <w:rStyle w:val="HideTWBExt"/>
          <w:noProof w:val="0"/>
          <w:color w:val="auto"/>
        </w:rPr>
        <w:t>&lt;/Amend&gt;&lt;/RepeatBlock-Amend&gt;</w:t>
      </w:r>
    </w:p>
    <w:p w:rsidR="00CC5A63" w:rsidRPr="00A22C6D" w:rsidRDefault="00CC5A63" w:rsidP="00CC5A63">
      <w:pPr>
        <w:widowControl/>
      </w:pPr>
      <w:r w:rsidRPr="00A22C6D">
        <w:br w:type="page"/>
      </w:r>
    </w:p>
    <w:p w:rsidR="00CC5A63" w:rsidRPr="00A22C6D" w:rsidRDefault="00CC5A63" w:rsidP="00CC5A63">
      <w:pPr>
        <w:pStyle w:val="PageHeading"/>
      </w:pPr>
      <w:r w:rsidRPr="00A22C6D">
        <w:br w:type="page"/>
      </w:r>
      <w:bookmarkStart w:id="6" w:name="_Toc481495438"/>
      <w:bookmarkStart w:id="7" w:name="_Toc482181328"/>
      <w:r w:rsidRPr="00A22C6D">
        <w:lastRenderedPageBreak/>
        <w:t>PASKAIDROJUMS</w:t>
      </w:r>
      <w:bookmarkEnd w:id="6"/>
      <w:bookmarkEnd w:id="7"/>
    </w:p>
    <w:p w:rsidR="00CC5A63" w:rsidRPr="00A22C6D" w:rsidRDefault="00CC5A63" w:rsidP="00CC5A63">
      <w:pPr>
        <w:jc w:val="both"/>
        <w:rPr>
          <w:b/>
          <w:szCs w:val="24"/>
        </w:rPr>
      </w:pPr>
      <w:r w:rsidRPr="00A22C6D">
        <w:rPr>
          <w:b/>
        </w:rPr>
        <w:t>Konteksts</w:t>
      </w:r>
    </w:p>
    <w:p w:rsidR="00CC5A63" w:rsidRPr="00A22C6D" w:rsidRDefault="00CC5A63" w:rsidP="00CC5A63">
      <w:pPr>
        <w:jc w:val="both"/>
        <w:rPr>
          <w:szCs w:val="24"/>
        </w:rPr>
      </w:pPr>
    </w:p>
    <w:p w:rsidR="00CC5A63" w:rsidRPr="00A22C6D" w:rsidRDefault="00CC5A63" w:rsidP="00CC5A63">
      <w:pPr>
        <w:jc w:val="both"/>
        <w:rPr>
          <w:szCs w:val="24"/>
        </w:rPr>
      </w:pPr>
      <w:r w:rsidRPr="00A22C6D">
        <w:t xml:space="preserve">ES tiesību akti par ierobežojumiem attiecībā uz dažu bīstamu vielu izmantojumu elektriskās un elektroniskās iekārtās (EEI) ir spēkā kopš 2004. gada augusta. </w:t>
      </w:r>
      <w:r w:rsidRPr="00A22C6D">
        <w:rPr>
          <w:i/>
        </w:rPr>
        <w:t>RoHS</w:t>
      </w:r>
      <w:r w:rsidRPr="00A22C6D">
        <w:t xml:space="preserve"> tiesību akti palīdz samazināt ar šīm vielām saistīto veselības un vides apdraudējumu. Patlaban spēkā esošā Direktīva 2011/65/ES par dažu bīstamu vielu izmantošanas ierobežošanu elektriskās un elektroniskās iekārtās (</w:t>
      </w:r>
      <w:r w:rsidRPr="00A22C6D">
        <w:rPr>
          <w:i/>
        </w:rPr>
        <w:t>RoHS</w:t>
      </w:r>
      <w:r w:rsidRPr="00A22C6D">
        <w:t> 2) stājās spēkā 2011. gada jūlijā. Tā ir pārstrādāta iepriekšējā direktīva (Direktīva 2002/95/EK (</w:t>
      </w:r>
      <w:r w:rsidRPr="00A22C6D">
        <w:rPr>
          <w:i/>
        </w:rPr>
        <w:t>RoHS</w:t>
      </w:r>
      <w:r w:rsidRPr="00A22C6D">
        <w:t xml:space="preserve"> 1)). </w:t>
      </w:r>
    </w:p>
    <w:p w:rsidR="00CC5A63" w:rsidRPr="00A22C6D" w:rsidRDefault="00CC5A63" w:rsidP="00CC5A63">
      <w:pPr>
        <w:jc w:val="both"/>
        <w:rPr>
          <w:szCs w:val="24"/>
        </w:rPr>
      </w:pPr>
    </w:p>
    <w:p w:rsidR="00CC5A63" w:rsidRPr="00A22C6D" w:rsidRDefault="00CC5A63" w:rsidP="00CC5A63">
      <w:pPr>
        <w:jc w:val="both"/>
        <w:rPr>
          <w:szCs w:val="24"/>
        </w:rPr>
      </w:pPr>
      <w:r w:rsidRPr="00A22C6D">
        <w:t xml:space="preserve">Komisijas priekšlikumā ir grozījumi attiecībā uz </w:t>
      </w:r>
      <w:r w:rsidRPr="00A22C6D">
        <w:rPr>
          <w:i/>
        </w:rPr>
        <w:t>RoHS</w:t>
      </w:r>
      <w:r w:rsidRPr="00A22C6D">
        <w:t> 2 piemērošanas jomu. Piemērošanas jomas pārskatīšana ir skaidri noteikta šajā direktīvā (24. panta 1. punkts). Tās mērķis ir novērst šīs direktīvas "neparedzētu blakusietekmi", kas varētu rast</w:t>
      </w:r>
      <w:r w:rsidR="00B84449">
        <w:t xml:space="preserve">ies pēc 2019. gada 22. jūlija. </w:t>
      </w:r>
      <w:r w:rsidRPr="00A22C6D">
        <w:t xml:space="preserve">Šis priekšlikums ir novēlots, ņemot vērā, ka </w:t>
      </w:r>
      <w:r w:rsidRPr="00A22C6D">
        <w:rPr>
          <w:i/>
        </w:rPr>
        <w:t>RoHS</w:t>
      </w:r>
      <w:r w:rsidRPr="00A22C6D">
        <w:t xml:space="preserve"> 2 noteiktais termiņš bija 2014. gada 22. jūlijs. </w:t>
      </w:r>
    </w:p>
    <w:p w:rsidR="00CC5A63" w:rsidRPr="00A22C6D" w:rsidRDefault="00CC5A63" w:rsidP="00CC5A63">
      <w:pPr>
        <w:jc w:val="both"/>
        <w:rPr>
          <w:szCs w:val="24"/>
        </w:rPr>
      </w:pPr>
    </w:p>
    <w:p w:rsidR="00CC5A63" w:rsidRPr="00A22C6D" w:rsidRDefault="00CC5A63" w:rsidP="00CC5A63">
      <w:pPr>
        <w:jc w:val="both"/>
        <w:rPr>
          <w:szCs w:val="24"/>
        </w:rPr>
      </w:pPr>
      <w:r w:rsidRPr="00A22C6D">
        <w:t xml:space="preserve">Referente atzinīgi vērtē Komisijas priekšlikumu, jo tas ir nepieciešams, lai atrisinātu steidzamus jautājumus saistībā ar </w:t>
      </w:r>
      <w:r w:rsidRPr="00A22C6D">
        <w:rPr>
          <w:i/>
        </w:rPr>
        <w:t>RoHS</w:t>
      </w:r>
      <w:r w:rsidRPr="00A22C6D">
        <w:t xml:space="preserve"> 2 pašreizējo redakciju, tādējādi palielinot juridisko noteiktību un aizsargājot vidi un sabiedrības veselību. </w:t>
      </w:r>
      <w:r w:rsidRPr="00A22C6D">
        <w:rPr>
          <w:i/>
        </w:rPr>
        <w:t>RoHS</w:t>
      </w:r>
      <w:r w:rsidRPr="00A22C6D">
        <w:t xml:space="preserve"> 2 piemērošanas jomas pārskatīšana jo īpaši palīdzēs saglabāt darbvietas MVU, atbalstīt sabiedrības veselības nozari, kam nepieciešamas atjaunotas medicīnas iekārtas, kā arī veicināt aprites ekonomiku. </w:t>
      </w:r>
    </w:p>
    <w:p w:rsidR="00CC5A63" w:rsidRPr="00A22C6D" w:rsidRDefault="00CC5A63" w:rsidP="00CC5A63">
      <w:pPr>
        <w:jc w:val="both"/>
        <w:rPr>
          <w:szCs w:val="24"/>
        </w:rPr>
      </w:pPr>
    </w:p>
    <w:p w:rsidR="00CC5A63" w:rsidRPr="00A22C6D" w:rsidRDefault="00CC5A63" w:rsidP="00CC5A63">
      <w:pPr>
        <w:jc w:val="both"/>
        <w:rPr>
          <w:szCs w:val="24"/>
        </w:rPr>
      </w:pPr>
      <w:r w:rsidRPr="00A22C6D">
        <w:t xml:space="preserve">Referente vēlētos uzsvērt, ka šīs piemērošanas jomas pārskatīšanas mērķis nav mainīt </w:t>
      </w:r>
      <w:r w:rsidRPr="00A22C6D">
        <w:rPr>
          <w:i/>
        </w:rPr>
        <w:t>RoHS</w:t>
      </w:r>
      <w:r w:rsidRPr="00A22C6D">
        <w:t xml:space="preserve"> 2 pamatuzdevumus. Referente uzskata, ka šīs procedūras mērķis nav izdarīt lielākas izmaiņas </w:t>
      </w:r>
      <w:r w:rsidRPr="00A22C6D">
        <w:rPr>
          <w:i/>
        </w:rPr>
        <w:t>RoHS</w:t>
      </w:r>
      <w:r w:rsidRPr="00A22C6D">
        <w:t xml:space="preserve"> 2 direktīvā, bet tas jādara turpmāk paredzētajā direktīvas vispārējā pārskatīšanā, kas Komisijai jāveic līdz 2021. gada 22. jūlijam, kā noteikts 24. panta 2. punktā. Tomēr šī piemērošanas jomas pārskatīšana sniedz iespēju norādīt uz dažiem jautājumiem, kas būtu jārisina vispārējā pārskatīšanā. </w:t>
      </w:r>
    </w:p>
    <w:p w:rsidR="00CC5A63" w:rsidRPr="00A22C6D" w:rsidRDefault="00CC5A63" w:rsidP="00CC5A63">
      <w:pPr>
        <w:jc w:val="both"/>
        <w:rPr>
          <w:b/>
          <w:szCs w:val="24"/>
        </w:rPr>
      </w:pPr>
    </w:p>
    <w:p w:rsidR="00CC5A63" w:rsidRPr="00A22C6D" w:rsidRDefault="00CC5A63" w:rsidP="00CC5A63">
      <w:pPr>
        <w:jc w:val="both"/>
        <w:rPr>
          <w:b/>
          <w:szCs w:val="24"/>
        </w:rPr>
      </w:pPr>
      <w:r w:rsidRPr="00A22C6D">
        <w:rPr>
          <w:b/>
          <w:i/>
        </w:rPr>
        <w:t>RoHS</w:t>
      </w:r>
      <w:r w:rsidRPr="00A22C6D">
        <w:rPr>
          <w:b/>
        </w:rPr>
        <w:t xml:space="preserve"> 2</w:t>
      </w:r>
    </w:p>
    <w:p w:rsidR="00CC5A63" w:rsidRPr="00A22C6D" w:rsidRDefault="00CC5A63" w:rsidP="00CC5A63">
      <w:pPr>
        <w:jc w:val="both"/>
        <w:rPr>
          <w:szCs w:val="24"/>
        </w:rPr>
      </w:pPr>
    </w:p>
    <w:p w:rsidR="00CC5A63" w:rsidRPr="00A22C6D" w:rsidRDefault="00CC5A63" w:rsidP="00CC5A63">
      <w:pPr>
        <w:jc w:val="both"/>
        <w:rPr>
          <w:szCs w:val="24"/>
        </w:rPr>
      </w:pPr>
      <w:r w:rsidRPr="00A22C6D">
        <w:t xml:space="preserve">Īsi sakot, </w:t>
      </w:r>
      <w:r w:rsidRPr="00A22C6D">
        <w:rPr>
          <w:i/>
        </w:rPr>
        <w:t>RoHS</w:t>
      </w:r>
      <w:r w:rsidRPr="00A22C6D">
        <w:t> 2 paredz noteikumus par dažu bīstamu vielu izmantošanas ierobežošanu EEI (svins, dzīvsudraba, kadmijs, sešvērtīgais hroms, polibrombifenils (PBB) un</w:t>
      </w:r>
      <w:r w:rsidR="00DC1AF7">
        <w:t xml:space="preserve"> polibromdifenilēteri (PBDE)). </w:t>
      </w:r>
      <w:r w:rsidRPr="00A22C6D">
        <w:t xml:space="preserve">Kā noteikts Komisijas Deleģētajā direktīvā (ES) 2015/863 ierobežojumi attiecībā uz ftalātiem tiks piemēroti no 2019. gada 22. jūlija (bis-(2-etilheksil)ftalāts (DEHP), butilbenzilftalāts (BBP), dibutilftalātu (DBP), diizobutilftalāts (DIBP)). Šo vielu klātbūtnei nebūtu jāpārsniedz noteiktais daudzums. Ierobežoto vielu sarakstu Komisija periodiski pārskata pēc savas iniciatīvas vai saskaņā ar dalībvalsts iesniegtu priekšlikumu (6. pants). </w:t>
      </w:r>
    </w:p>
    <w:p w:rsidR="00CC5A63" w:rsidRPr="00A22C6D" w:rsidRDefault="00CC5A63" w:rsidP="00CC5A63">
      <w:pPr>
        <w:jc w:val="both"/>
        <w:rPr>
          <w:szCs w:val="24"/>
        </w:rPr>
      </w:pPr>
    </w:p>
    <w:p w:rsidR="00CC5A63" w:rsidRPr="00A22C6D" w:rsidRDefault="00CC5A63" w:rsidP="00CC5A63">
      <w:pPr>
        <w:jc w:val="both"/>
        <w:rPr>
          <w:szCs w:val="24"/>
        </w:rPr>
      </w:pPr>
      <w:r w:rsidRPr="00A22C6D">
        <w:t>No direktīvas piemērošanas jomas ir izslēgtas vairākas produktu grupas (2. panta 4. punkts), piemēram aprīkojums, kas paredzēts izmantošanai kosmosā. Turklāt ar deleģētajiem aktiem var noteikt ierobežota termiņa atbrīvojumus attiecībā uz vielām noteiktajiem ierobežojumiem, ja tās tiek izmantotas materiālos un sastāvdaļās īpašiem mērķiem paredzētās EEI. Atbrīvojumi nedrīkst mazināt Regulā (EK) Nr. 1907/2006 (</w:t>
      </w:r>
      <w:r w:rsidRPr="00A22C6D">
        <w:rPr>
          <w:i/>
        </w:rPr>
        <w:t>REACH</w:t>
      </w:r>
      <w:r w:rsidRPr="00A22C6D">
        <w:t xml:space="preserve">) noteikto vides un veselības aizsardzības līmeni un ir jāizpilda šādi turpmāk minētie nosacījumi: aizstājēju uzticamība nav nodrošināta vai ierobežoto vielu likvidēšana vai aizvietošana zinātniski vai tehniski nav </w:t>
      </w:r>
      <w:r w:rsidRPr="00A22C6D">
        <w:lastRenderedPageBreak/>
        <w:t>realizējama, vai aizvietošanas radītā kopējā nelabvēlīgā ietekme uz vidi, veselību un patērētāju drošību varētu būt nozīmīgāka par tās radītajiem kopējiem ieguvumiem attiecībā uz vidi, veselību un patērētāju drošību (5. pa</w:t>
      </w:r>
      <w:r w:rsidR="00DC1AF7">
        <w:t xml:space="preserve">nts). </w:t>
      </w:r>
    </w:p>
    <w:p w:rsidR="00CC5A63" w:rsidRPr="00A22C6D" w:rsidRDefault="00CC5A63" w:rsidP="00CC5A63">
      <w:pPr>
        <w:jc w:val="both"/>
        <w:rPr>
          <w:szCs w:val="24"/>
        </w:rPr>
      </w:pPr>
    </w:p>
    <w:p w:rsidR="00CC5A63" w:rsidRPr="00A22C6D" w:rsidRDefault="00CC5A63" w:rsidP="00CC5A63">
      <w:pPr>
        <w:jc w:val="both"/>
        <w:rPr>
          <w:szCs w:val="24"/>
        </w:rPr>
      </w:pPr>
      <w:r w:rsidRPr="00A22C6D">
        <w:t xml:space="preserve">Referente uzskata, ka līdz ar </w:t>
      </w:r>
      <w:r w:rsidRPr="00A22C6D">
        <w:rPr>
          <w:i/>
        </w:rPr>
        <w:t>RoHS</w:t>
      </w:r>
      <w:r w:rsidRPr="00A22C6D">
        <w:t> 2 turpmāko vispārējo pārskatīšanu būtu jāiesniedz arī tiesību akta priekšlikums, kurā būtu noteikta skaidra metodoloģija attiecībā uz visiem nosacījumiem, kas jāievēro, lai grozītu II pielikumu (ierobežoto vielu saraksts), kā arī III un IV pielikumu (atbrīvojumi). Šajā metodoloģijā būtu jāiekļauj Eiropas Ķimikāliju aģentūras (</w:t>
      </w:r>
      <w:r w:rsidRPr="00A22C6D">
        <w:rPr>
          <w:i/>
        </w:rPr>
        <w:t>ECHA</w:t>
      </w:r>
      <w:r w:rsidRPr="00A22C6D">
        <w:t>) viedoklis.</w:t>
      </w:r>
    </w:p>
    <w:p w:rsidR="00CC5A63" w:rsidRPr="00A22C6D" w:rsidRDefault="00CC5A63" w:rsidP="00CC5A63">
      <w:pPr>
        <w:jc w:val="both"/>
        <w:rPr>
          <w:szCs w:val="24"/>
        </w:rPr>
      </w:pPr>
    </w:p>
    <w:p w:rsidR="00CC5A63" w:rsidRPr="00A22C6D" w:rsidRDefault="00CC5A63" w:rsidP="00CC5A63">
      <w:pPr>
        <w:jc w:val="both"/>
        <w:rPr>
          <w:szCs w:val="24"/>
        </w:rPr>
      </w:pPr>
      <w:r w:rsidRPr="00A22C6D">
        <w:rPr>
          <w:i/>
        </w:rPr>
        <w:t>RoHS</w:t>
      </w:r>
      <w:r w:rsidRPr="00A22C6D">
        <w:t xml:space="preserve"> 2 darbības joma ir plašāka nekā </w:t>
      </w:r>
      <w:r w:rsidRPr="00A22C6D">
        <w:rPr>
          <w:i/>
        </w:rPr>
        <w:t>RoHS</w:t>
      </w:r>
      <w:r w:rsidR="00DC1AF7">
        <w:t xml:space="preserve"> 1 — </w:t>
      </w:r>
      <w:r w:rsidRPr="00A22C6D">
        <w:t xml:space="preserve">tā attiecas uz medicīnas ierīcēm, kā arī monitoringa un kontroles instrumentiem un tajā paredzēta tā sauktā atvērtā piemērošanas joma saistībā ar jaunas — 11. kategorijas ieviešanu ("Citas EEI, kas neietilpst nevienā citā kategorijā") I pielikumā, kurā uzskaitītas EEI kategorijas, kas ir </w:t>
      </w:r>
      <w:r w:rsidRPr="00A22C6D">
        <w:rPr>
          <w:i/>
        </w:rPr>
        <w:t>RoHS</w:t>
      </w:r>
      <w:r w:rsidR="00B84449">
        <w:t> 2 piemērošanas jomā.</w:t>
      </w:r>
      <w:r w:rsidRPr="00A22C6D">
        <w:t xml:space="preserve"> Turklāt tajā noteiktā EEI definīcija ir plašāka nekā </w:t>
      </w:r>
      <w:r w:rsidRPr="00A22C6D">
        <w:rPr>
          <w:i/>
        </w:rPr>
        <w:t>RoHS</w:t>
      </w:r>
      <w:r w:rsidRPr="00A22C6D">
        <w:t xml:space="preserve"> 1 — EEI ir jebkuras iekārtas, kuru darbība ir atkarīga no elektriskās strāvas vai elektromagnētiskā lauka, lai veiktu vismaz vienu no paredzētajām funkcijām. Šajā sakarā "piemērošanas jomā iekļautās jaunās EEI” attiecas uz EEI, kas nebija </w:t>
      </w:r>
      <w:r w:rsidRPr="00A22C6D">
        <w:rPr>
          <w:i/>
        </w:rPr>
        <w:t>RoHS</w:t>
      </w:r>
      <w:r w:rsidRPr="00A22C6D">
        <w:t xml:space="preserve"> 1 darbības jomā bet tagad uz tām attiecas </w:t>
      </w:r>
      <w:r w:rsidRPr="00A22C6D">
        <w:rPr>
          <w:i/>
        </w:rPr>
        <w:t>RoHS</w:t>
      </w:r>
      <w:r w:rsidRPr="00A22C6D">
        <w:t xml:space="preserve"> 2. </w:t>
      </w:r>
    </w:p>
    <w:p w:rsidR="00CC5A63" w:rsidRPr="00A22C6D" w:rsidRDefault="00CC5A63" w:rsidP="00CC5A63">
      <w:pPr>
        <w:jc w:val="both"/>
        <w:rPr>
          <w:b/>
          <w:szCs w:val="24"/>
        </w:rPr>
      </w:pPr>
    </w:p>
    <w:p w:rsidR="00CC5A63" w:rsidRPr="00A22C6D" w:rsidRDefault="00CC5A63" w:rsidP="00CC5A63">
      <w:pPr>
        <w:jc w:val="both"/>
        <w:rPr>
          <w:b/>
          <w:szCs w:val="24"/>
        </w:rPr>
      </w:pPr>
      <w:r w:rsidRPr="00A22C6D">
        <w:rPr>
          <w:b/>
        </w:rPr>
        <w:t>Priekšlikums</w:t>
      </w:r>
    </w:p>
    <w:p w:rsidR="00CC5A63" w:rsidRPr="00A22C6D" w:rsidRDefault="00CC5A63" w:rsidP="00CC5A63">
      <w:pPr>
        <w:spacing w:after="120"/>
        <w:jc w:val="both"/>
        <w:rPr>
          <w:szCs w:val="24"/>
        </w:rPr>
      </w:pPr>
    </w:p>
    <w:p w:rsidR="00CC5A63" w:rsidRPr="00A22C6D" w:rsidRDefault="00CC5A63" w:rsidP="00CC5A63">
      <w:pPr>
        <w:spacing w:after="120"/>
        <w:jc w:val="both"/>
        <w:rPr>
          <w:szCs w:val="24"/>
        </w:rPr>
      </w:pPr>
      <w:r w:rsidRPr="00A22C6D">
        <w:t xml:space="preserve">Kā minēts iepriekš, Komisijas priekšlikuma mērķis ir novērst ar </w:t>
      </w:r>
      <w:r w:rsidRPr="00A22C6D">
        <w:rPr>
          <w:i/>
        </w:rPr>
        <w:t>RoHS</w:t>
      </w:r>
      <w:r w:rsidRPr="00A22C6D">
        <w:t xml:space="preserve"> 2 piemērošanas jomu saistītās problēmas, kas varētu rasties pēc 2019. gada 22. jūlija. Šajā datumā beidzas </w:t>
      </w:r>
      <w:r w:rsidRPr="00A22C6D">
        <w:rPr>
          <w:i/>
        </w:rPr>
        <w:t>RoHS</w:t>
      </w:r>
      <w:r w:rsidRPr="00A22C6D">
        <w:t xml:space="preserve"> 2 noteiktais astoņu gadu pārejas periods, kura laikā jaunajām darbības jomā iekļautajām EEI nav jānodrošina atbilstība </w:t>
      </w:r>
      <w:r w:rsidRPr="00A22C6D">
        <w:rPr>
          <w:i/>
        </w:rPr>
        <w:t>RoHS</w:t>
      </w:r>
      <w:r w:rsidRPr="00A22C6D">
        <w:t> 2 prasībām un tās joprojām var būt pieejamas ES tirgū (2. panta 2. punkts). Priekšlikums jo īpaši ievieš noteikumus, ar kuriem tiek atrisinātas četras turpmāk minētās problēmas.</w:t>
      </w:r>
    </w:p>
    <w:p w:rsidR="00CC5A63" w:rsidRPr="00A22C6D" w:rsidRDefault="00CC5A63" w:rsidP="00CC5A63">
      <w:pPr>
        <w:pStyle w:val="ListParagraph"/>
        <w:ind w:hanging="294"/>
        <w:jc w:val="both"/>
        <w:rPr>
          <w:rFonts w:ascii="Times New Roman" w:hAnsi="Times New Roman"/>
          <w:sz w:val="24"/>
          <w:szCs w:val="24"/>
        </w:rPr>
      </w:pPr>
      <w:r w:rsidRPr="00A22C6D">
        <w:rPr>
          <w:rFonts w:ascii="Symbol" w:hAnsi="Symbol"/>
          <w:sz w:val="24"/>
          <w:szCs w:val="24"/>
        </w:rPr>
        <w:t></w:t>
      </w:r>
      <w:r w:rsidRPr="00A22C6D">
        <w:t xml:space="preserve"> </w:t>
      </w:r>
      <w:r w:rsidRPr="00DC1AF7">
        <w:rPr>
          <w:rFonts w:ascii="Times New Roman" w:hAnsi="Times New Roman"/>
          <w:sz w:val="24"/>
          <w:szCs w:val="24"/>
        </w:rPr>
        <w:t xml:space="preserve">Saskaņā </w:t>
      </w:r>
      <w:r w:rsidRPr="00DC1AF7">
        <w:rPr>
          <w:rFonts w:ascii="Times New Roman" w:hAnsi="Times New Roman"/>
          <w:i/>
          <w:sz w:val="24"/>
          <w:szCs w:val="24"/>
        </w:rPr>
        <w:t>RoHs</w:t>
      </w:r>
      <w:r w:rsidRPr="00DC1AF7">
        <w:rPr>
          <w:rFonts w:ascii="Times New Roman" w:hAnsi="Times New Roman"/>
          <w:sz w:val="24"/>
          <w:szCs w:val="24"/>
        </w:rPr>
        <w:t xml:space="preserve"> 2 pašreizējo redakciju no 2019. gada 22. jūlija būs aizliegtas otrreizējā tirgus darbības (piemēram, atkārtota pārdošana, lietotu preču tirgus) medicīnas iekārtu, monitoringa un kontroles instrumentu un citu piemērošanas jomā jaunu EEI (piemēram, elektriskās aizdedzes zāles pļāvēju, elektrisko velosipēdu) gadījumā.</w:t>
      </w:r>
      <w:r w:rsidRPr="00A22C6D">
        <w:rPr>
          <w:rFonts w:ascii="Times New Roman" w:hAnsi="Times New Roman"/>
          <w:sz w:val="24"/>
        </w:rPr>
        <w:t xml:space="preserve"> Šāda situācija būtu pretrunā aprites ekonomikas principiem, jo īpaši tādēļ, ka tiktu saīsināts daudzu produktu dzīves cikls, un ņemot vērā, ka jau pastāv atjaunota</w:t>
      </w:r>
      <w:r w:rsidR="00DC1AF7">
        <w:rPr>
          <w:rFonts w:ascii="Times New Roman" w:hAnsi="Times New Roman"/>
          <w:sz w:val="24"/>
        </w:rPr>
        <w:t xml:space="preserve"> aprīkojuma otrreizējie tirgi. </w:t>
      </w:r>
      <w:r w:rsidRPr="00A22C6D">
        <w:rPr>
          <w:rFonts w:ascii="Times New Roman" w:hAnsi="Times New Roman"/>
          <w:sz w:val="24"/>
        </w:rPr>
        <w:t>Turklāt šāda situācija būtu pretrunā ES tiesību aktu produktu jomā vispārējai saskaņošanai.</w:t>
      </w:r>
    </w:p>
    <w:p w:rsidR="00CC5A63" w:rsidRPr="00A22C6D" w:rsidRDefault="00CC5A63" w:rsidP="00CC5A63">
      <w:pPr>
        <w:pStyle w:val="ListParagraph"/>
        <w:ind w:hanging="294"/>
        <w:jc w:val="both"/>
        <w:rPr>
          <w:rFonts w:ascii="Times New Roman" w:hAnsi="Times New Roman"/>
          <w:sz w:val="24"/>
          <w:szCs w:val="24"/>
        </w:rPr>
      </w:pPr>
      <w:r w:rsidRPr="00A22C6D">
        <w:rPr>
          <w:rFonts w:ascii="Symbol" w:hAnsi="Symbol"/>
          <w:sz w:val="24"/>
          <w:szCs w:val="24"/>
        </w:rPr>
        <w:t></w:t>
      </w:r>
      <w:r w:rsidRPr="00A22C6D">
        <w:t xml:space="preserve"> </w:t>
      </w:r>
      <w:r w:rsidRPr="00DC1AF7">
        <w:rPr>
          <w:rFonts w:ascii="Times New Roman" w:hAnsi="Times New Roman"/>
          <w:sz w:val="24"/>
          <w:szCs w:val="24"/>
        </w:rPr>
        <w:t>Pēc 2019. gada 22. jūlija vairs nebūtu iespējams remontēt piemērošanas jomā no jauna iekļautās EEI, izņemot medicīnas ierīces un monitoringa un kontroles instrumentus, izmantojot rezerves daļas, kas neatbilst RoHS 2 prasībām.</w:t>
      </w:r>
      <w:r w:rsidRPr="00A22C6D">
        <w:rPr>
          <w:rFonts w:ascii="Times New Roman" w:hAnsi="Times New Roman"/>
          <w:sz w:val="24"/>
        </w:rPr>
        <w:t xml:space="preserve"> Tādējādi tiks arī samazināts šīs kategorijas EEI dzīves cikls, jo tā</w:t>
      </w:r>
      <w:r w:rsidR="00B84449">
        <w:rPr>
          <w:rFonts w:ascii="Times New Roman" w:hAnsi="Times New Roman"/>
          <w:sz w:val="24"/>
        </w:rPr>
        <w:t>s būs ātrāk jānodod atkritumos.</w:t>
      </w:r>
      <w:r w:rsidRPr="00A22C6D">
        <w:rPr>
          <w:rFonts w:ascii="Times New Roman" w:hAnsi="Times New Roman"/>
          <w:sz w:val="24"/>
        </w:rPr>
        <w:t xml:space="preserve"> </w:t>
      </w:r>
    </w:p>
    <w:p w:rsidR="00CC5A63" w:rsidRPr="00A22C6D" w:rsidRDefault="00CC5A63" w:rsidP="00CC5A63">
      <w:pPr>
        <w:pStyle w:val="ListParagraph"/>
        <w:ind w:hanging="294"/>
        <w:jc w:val="both"/>
        <w:rPr>
          <w:rFonts w:ascii="Times New Roman" w:hAnsi="Times New Roman"/>
          <w:sz w:val="24"/>
          <w:szCs w:val="24"/>
        </w:rPr>
      </w:pPr>
      <w:r w:rsidRPr="00A22C6D">
        <w:rPr>
          <w:rFonts w:ascii="Symbol" w:hAnsi="Symbol"/>
          <w:sz w:val="24"/>
          <w:szCs w:val="24"/>
        </w:rPr>
        <w:t></w:t>
      </w:r>
      <w:r w:rsidRPr="00A22C6D">
        <w:t xml:space="preserve"> </w:t>
      </w:r>
      <w:r w:rsidRPr="00DC1AF7">
        <w:rPr>
          <w:rFonts w:ascii="Times New Roman" w:hAnsi="Times New Roman"/>
          <w:sz w:val="24"/>
          <w:szCs w:val="24"/>
        </w:rPr>
        <w:t>“Autoceļiem neparedzētas mobilās tehnikas, kas ir paredzēta tikai profesionālām vajadzībām” (</w:t>
      </w:r>
      <w:r w:rsidRPr="00DC1AF7">
        <w:rPr>
          <w:rFonts w:ascii="Times New Roman" w:hAnsi="Times New Roman"/>
          <w:i/>
          <w:sz w:val="24"/>
          <w:szCs w:val="24"/>
        </w:rPr>
        <w:t>NRMM</w:t>
      </w:r>
      <w:r w:rsidRPr="00DC1AF7">
        <w:rPr>
          <w:rFonts w:ascii="Times New Roman" w:hAnsi="Times New Roman"/>
          <w:sz w:val="24"/>
          <w:szCs w:val="24"/>
        </w:rPr>
        <w:t xml:space="preserve">) pašreizējās definīcijas dēļ, pēc 2019. gada 22. jūlija attiecībā uz diviem ļoti līdzīgiem </w:t>
      </w:r>
      <w:r w:rsidRPr="00DC1AF7">
        <w:rPr>
          <w:rFonts w:ascii="Times New Roman" w:hAnsi="Times New Roman"/>
          <w:i/>
          <w:sz w:val="24"/>
          <w:szCs w:val="24"/>
        </w:rPr>
        <w:t>NRMM</w:t>
      </w:r>
      <w:r w:rsidRPr="00DC1AF7">
        <w:rPr>
          <w:rFonts w:ascii="Times New Roman" w:hAnsi="Times New Roman"/>
          <w:sz w:val="24"/>
          <w:szCs w:val="24"/>
        </w:rPr>
        <w:t xml:space="preserve"> veidiem tiktu </w:t>
      </w:r>
      <w:r w:rsidR="00DC1AF7" w:rsidRPr="00DC1AF7">
        <w:rPr>
          <w:rFonts w:ascii="Times New Roman" w:hAnsi="Times New Roman"/>
          <w:sz w:val="24"/>
          <w:szCs w:val="24"/>
        </w:rPr>
        <w:t>piemēroti atšķirīgi noteikumi.</w:t>
      </w:r>
      <w:r w:rsidRPr="00A22C6D">
        <w:rPr>
          <w:rFonts w:ascii="Times New Roman" w:hAnsi="Times New Roman"/>
          <w:sz w:val="24"/>
        </w:rPr>
        <w:t xml:space="preserve"> </w:t>
      </w:r>
      <w:r w:rsidRPr="00A22C6D">
        <w:rPr>
          <w:rFonts w:ascii="Times New Roman" w:hAnsi="Times New Roman"/>
          <w:i/>
          <w:sz w:val="24"/>
        </w:rPr>
        <w:t>NRMM</w:t>
      </w:r>
      <w:r w:rsidRPr="00A22C6D">
        <w:rPr>
          <w:rFonts w:ascii="Times New Roman" w:hAnsi="Times New Roman"/>
          <w:sz w:val="24"/>
        </w:rPr>
        <w:t xml:space="preserve"> ar iebūvētu piedziņu (bateriju vai dzinēju) tiktu izslēgti no </w:t>
      </w:r>
      <w:r w:rsidRPr="00A22C6D">
        <w:rPr>
          <w:rFonts w:ascii="Times New Roman" w:hAnsi="Times New Roman"/>
          <w:i/>
          <w:sz w:val="24"/>
        </w:rPr>
        <w:t>RoHS</w:t>
      </w:r>
      <w:r w:rsidRPr="00A22C6D">
        <w:rPr>
          <w:rFonts w:ascii="Times New Roman" w:hAnsi="Times New Roman"/>
          <w:sz w:val="24"/>
        </w:rPr>
        <w:t xml:space="preserve"> 2 piemērošanas jomas, bet </w:t>
      </w:r>
      <w:r w:rsidRPr="00A22C6D">
        <w:rPr>
          <w:rFonts w:ascii="Times New Roman" w:hAnsi="Times New Roman"/>
          <w:i/>
          <w:sz w:val="24"/>
        </w:rPr>
        <w:t>NRMM</w:t>
      </w:r>
      <w:r w:rsidRPr="00A22C6D">
        <w:rPr>
          <w:rFonts w:ascii="Times New Roman" w:hAnsi="Times New Roman"/>
          <w:sz w:val="24"/>
        </w:rPr>
        <w:t xml:space="preserve">, ko darbina ārējs strāvas avots (ko pievada ar kabeli), būtu </w:t>
      </w:r>
      <w:r w:rsidRPr="00A22C6D">
        <w:rPr>
          <w:rFonts w:ascii="Times New Roman" w:hAnsi="Times New Roman"/>
          <w:i/>
          <w:sz w:val="24"/>
        </w:rPr>
        <w:t>RoHS</w:t>
      </w:r>
      <w:r w:rsidRPr="00A22C6D">
        <w:rPr>
          <w:rFonts w:ascii="Times New Roman" w:hAnsi="Times New Roman"/>
          <w:sz w:val="24"/>
        </w:rPr>
        <w:t xml:space="preserve"> 2 darbības jomā. Daži </w:t>
      </w:r>
      <w:r w:rsidRPr="00A22C6D">
        <w:rPr>
          <w:rFonts w:ascii="Times New Roman" w:hAnsi="Times New Roman"/>
          <w:i/>
          <w:sz w:val="24"/>
        </w:rPr>
        <w:t>NRMM</w:t>
      </w:r>
      <w:r w:rsidRPr="00A22C6D">
        <w:rPr>
          <w:rFonts w:ascii="Times New Roman" w:hAnsi="Times New Roman"/>
          <w:sz w:val="24"/>
        </w:rPr>
        <w:t xml:space="preserve"> veidi tiek ražoti uz vienām un tām pašām ražošanas līnijām un vienīgā atšķirība ir strāvas avots. Šī situācija var novest pie tā, ka tiks izbeigta ārējā strāvas avota modeļu ražošana, un ieguvumi vides jomā no tā, ka šie </w:t>
      </w:r>
      <w:r w:rsidRPr="00A22C6D">
        <w:rPr>
          <w:rFonts w:ascii="Times New Roman" w:hAnsi="Times New Roman"/>
          <w:i/>
          <w:sz w:val="24"/>
        </w:rPr>
        <w:t>NRMM</w:t>
      </w:r>
      <w:r w:rsidRPr="00A22C6D">
        <w:rPr>
          <w:rFonts w:ascii="Times New Roman" w:hAnsi="Times New Roman"/>
          <w:sz w:val="24"/>
        </w:rPr>
        <w:t xml:space="preserve"> būs </w:t>
      </w:r>
      <w:r w:rsidRPr="00A22C6D">
        <w:rPr>
          <w:rFonts w:ascii="Times New Roman" w:hAnsi="Times New Roman"/>
          <w:i/>
          <w:sz w:val="24"/>
        </w:rPr>
        <w:t>RoHS</w:t>
      </w:r>
      <w:r w:rsidRPr="00A22C6D">
        <w:rPr>
          <w:rFonts w:ascii="Times New Roman" w:hAnsi="Times New Roman"/>
          <w:sz w:val="24"/>
        </w:rPr>
        <w:t xml:space="preserve"> 2 piemērošanas jomā, būs ierobežoti. </w:t>
      </w:r>
    </w:p>
    <w:p w:rsidR="00CC5A63" w:rsidRPr="00A22C6D" w:rsidRDefault="00CC5A63" w:rsidP="00CC5A63">
      <w:pPr>
        <w:pStyle w:val="ListParagraph"/>
        <w:ind w:hanging="294"/>
        <w:jc w:val="both"/>
        <w:rPr>
          <w:rFonts w:ascii="Times New Roman" w:hAnsi="Times New Roman"/>
          <w:sz w:val="24"/>
          <w:szCs w:val="24"/>
        </w:rPr>
      </w:pPr>
      <w:r w:rsidRPr="00A22C6D">
        <w:rPr>
          <w:rFonts w:ascii="Symbol" w:hAnsi="Symbol"/>
          <w:sz w:val="24"/>
          <w:szCs w:val="24"/>
        </w:rPr>
        <w:t></w:t>
      </w:r>
      <w:r w:rsidRPr="00A22C6D">
        <w:t xml:space="preserve"> </w:t>
      </w:r>
      <w:r w:rsidRPr="00DC1AF7">
        <w:rPr>
          <w:rFonts w:ascii="Times New Roman" w:hAnsi="Times New Roman"/>
          <w:sz w:val="24"/>
          <w:szCs w:val="24"/>
        </w:rPr>
        <w:t>Tiktu aizliegta ērģeļu ar stabulēm laišana ES tirgū.</w:t>
      </w:r>
      <w:r w:rsidRPr="00A22C6D">
        <w:rPr>
          <w:rFonts w:ascii="Times New Roman" w:hAnsi="Times New Roman"/>
          <w:sz w:val="24"/>
        </w:rPr>
        <w:t xml:space="preserve"> Ērģeles ar stabulēm ir jauns produkts, uz ko attiektos piemērošanas joma, jo tajās izmanto elektriskas sastāvdaļas (gaisa pievade ar elektroenerģiju) un to stabules ir izgatavotas no svina sakausējumiem, kam nav aizstājēju. Elektrisko sastāvdaļu dēļ visas ērģeles, tostarp stabules, būtu </w:t>
      </w:r>
      <w:r w:rsidRPr="00A22C6D">
        <w:rPr>
          <w:rFonts w:ascii="Times New Roman" w:hAnsi="Times New Roman"/>
          <w:i/>
          <w:sz w:val="24"/>
        </w:rPr>
        <w:t>RoHS</w:t>
      </w:r>
      <w:r w:rsidRPr="00A22C6D">
        <w:rPr>
          <w:rFonts w:ascii="Times New Roman" w:hAnsi="Times New Roman"/>
          <w:sz w:val="24"/>
        </w:rPr>
        <w:t xml:space="preserve"> 2 piemērošanas jomā, kas nozīmē, ka ērģeles ar stabulēm no 2019. gada 22. jūlija vairs neatbilstu </w:t>
      </w:r>
      <w:r w:rsidRPr="00A22C6D">
        <w:rPr>
          <w:rFonts w:ascii="Times New Roman" w:hAnsi="Times New Roman"/>
          <w:i/>
          <w:sz w:val="24"/>
        </w:rPr>
        <w:t>RoHS</w:t>
      </w:r>
      <w:r w:rsidRPr="00A22C6D">
        <w:rPr>
          <w:rFonts w:ascii="Times New Roman" w:hAnsi="Times New Roman"/>
          <w:sz w:val="24"/>
        </w:rPr>
        <w:t xml:space="preserve"> 2 prasībām un to tirgošana būtu aizliegta. </w:t>
      </w:r>
    </w:p>
    <w:p w:rsidR="00CC5A63" w:rsidRPr="00A22C6D" w:rsidRDefault="00CC5A63" w:rsidP="00CC5A63">
      <w:pPr>
        <w:jc w:val="both"/>
      </w:pPr>
      <w:r w:rsidRPr="00A22C6D">
        <w:t>Priekšlikums groza arī 5. pantu attiecībā uz atbrīvojumiem, nosakot maksimālo darbības laikposmu atb</w:t>
      </w:r>
      <w:r w:rsidR="00B84449">
        <w:t>rīvojumiem, kas piemērojami 11. </w:t>
      </w:r>
      <w:bookmarkStart w:id="8" w:name="_GoBack"/>
      <w:bookmarkEnd w:id="8"/>
      <w:r w:rsidRPr="00A22C6D">
        <w:t>EEI kategorijai, svītrojot termiņu, kurā Komisijai būtu jāpieņem lēmums par spēkā esošo atbrīvojumu atjaunošanu. Jebkurā gadījumā atbrīvojumi paliek spēkā līdz Komisija pieņem lēmumu par atjaunošanu un vismaz 12 mēnešus pēc ta</w:t>
      </w:r>
      <w:r w:rsidR="00DC1AF7">
        <w:t xml:space="preserve">m, kad atbrīvojums ir atcelts. </w:t>
      </w:r>
      <w:r w:rsidRPr="00A22C6D">
        <w:t xml:space="preserve">Ņemot vērā to, ka aizvien pieaug saskaņā ar </w:t>
      </w:r>
      <w:r w:rsidRPr="00A22C6D">
        <w:rPr>
          <w:i/>
        </w:rPr>
        <w:t>RoHS</w:t>
      </w:r>
      <w:r w:rsidRPr="00A22C6D">
        <w:t xml:space="preserve"> noteikto atbrīvojumu skaits un to nosacījumi ir sarežģīti, un lai nodrošinātu labāku regulējumu un juridisko paredzamību, referente ierosina noteikt prasību, ka Komisijai viena mēneša laikā pēc pieteikuma saņemšanas ir jāsniedz pieteikuma iesniedzējiem, dalībvalstīm un Eiropas Parlamentam skaidri termiņi sava lēmuma pieņemšanai. </w:t>
      </w:r>
    </w:p>
    <w:p w:rsidR="002669B6" w:rsidRPr="00A22C6D" w:rsidRDefault="002669B6" w:rsidP="002669B6"/>
    <w:sectPr w:rsidR="002669B6" w:rsidRPr="00A22C6D"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00A" w:rsidRPr="008E600A" w:rsidRDefault="008E600A">
      <w:r w:rsidRPr="008E600A">
        <w:separator/>
      </w:r>
    </w:p>
  </w:endnote>
  <w:endnote w:type="continuationSeparator" w:id="0">
    <w:p w:rsidR="008E600A" w:rsidRPr="008E600A" w:rsidRDefault="008E600A">
      <w:r w:rsidRPr="008E60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FE" w:rsidRPr="008E600A" w:rsidRDefault="00B84449">
    <w:pPr>
      <w:pStyle w:val="Footer"/>
      <w:tabs>
        <w:tab w:val="right" w:pos="9356"/>
      </w:tabs>
    </w:pPr>
    <w:r>
      <w:fldChar w:fldCharType="begin"/>
    </w:r>
    <w:r>
      <w:instrText xml:space="preserve"> REF OutsideFooter </w:instrText>
    </w:r>
    <w:r>
      <w:fldChar w:fldCharType="separate"/>
    </w:r>
    <w:r>
      <w:t>PE</w:t>
    </w:r>
    <w:r>
      <w:rPr>
        <w:rStyle w:val="HideTWBExt"/>
        <w:noProof w:val="0"/>
      </w:rPr>
      <w:t>&lt;NoPE&gt;</w:t>
    </w:r>
    <w:r>
      <w:t>602.843</w:t>
    </w:r>
    <w:r>
      <w:rPr>
        <w:rStyle w:val="HideTWBExt"/>
        <w:noProof w:val="0"/>
      </w:rPr>
      <w:t>&lt;/NoPE&gt;&lt;Version&gt;</w:t>
    </w:r>
    <w:r>
      <w:t>v04-00</w:t>
    </w:r>
    <w:r>
      <w:rPr>
        <w:rStyle w:val="HideTWBExt"/>
        <w:noProof w:val="0"/>
      </w:rPr>
      <w:t>&lt;/Version&gt;</w:t>
    </w:r>
    <w:r>
      <w:rPr>
        <w:rStyle w:val="HideTWBExt"/>
        <w:noProof w:val="0"/>
      </w:rPr>
      <w:fldChar w:fldCharType="end"/>
    </w:r>
    <w:r w:rsidR="00FB52FE">
      <w:tab/>
    </w:r>
    <w:r w:rsidR="00FB52FE" w:rsidRPr="008E600A">
      <w:fldChar w:fldCharType="begin"/>
    </w:r>
    <w:r w:rsidR="00FB52FE" w:rsidRPr="008E600A">
      <w:instrText xml:space="preserve"> PAGE </w:instrText>
    </w:r>
    <w:r w:rsidR="00FB52FE" w:rsidRPr="008E600A">
      <w:fldChar w:fldCharType="separate"/>
    </w:r>
    <w:r>
      <w:rPr>
        <w:noProof/>
      </w:rPr>
      <w:t>10</w:t>
    </w:r>
    <w:r w:rsidR="00FB52FE" w:rsidRPr="008E600A">
      <w:fldChar w:fldCharType="end"/>
    </w:r>
    <w:r w:rsidR="00FB52FE">
      <w:t>/</w:t>
    </w:r>
    <w:r>
      <w:fldChar w:fldCharType="begin"/>
    </w:r>
    <w:r>
      <w:instrText xml:space="preserve"> NUMPAGES </w:instrText>
    </w:r>
    <w:r>
      <w:fldChar w:fldCharType="separate"/>
    </w:r>
    <w:r>
      <w:rPr>
        <w:noProof/>
      </w:rPr>
      <w:t>11</w:t>
    </w:r>
    <w:r>
      <w:rPr>
        <w:noProof/>
      </w:rPr>
      <w:fldChar w:fldCharType="end"/>
    </w:r>
    <w:r w:rsidR="00FB52FE">
      <w:tab/>
    </w:r>
    <w:r>
      <w:fldChar w:fldCharType="begin"/>
    </w:r>
    <w:r>
      <w:instrText xml:space="preserve"> REF InsideFooter </w:instrText>
    </w:r>
    <w:r>
      <w:fldChar w:fldCharType="separate"/>
    </w:r>
    <w:r>
      <w:rPr>
        <w:rStyle w:val="HideTWBExt"/>
        <w:noProof w:val="0"/>
      </w:rPr>
      <w:t>&lt;PathFdR&gt;</w:t>
    </w:r>
    <w:r>
      <w:t>PR\1124559LV.docx</w:t>
    </w:r>
    <w:r>
      <w:rPr>
        <w:rStyle w:val="HideTWBExt"/>
        <w:noProof w:val="0"/>
      </w:rPr>
      <w:t>&lt;/PathFdR&gt;</w:t>
    </w:r>
    <w:r>
      <w:rPr>
        <w:rStyle w:val="HideTWBExt"/>
        <w:noProof w:val="0"/>
      </w:rPr>
      <w:fldChar w:fldCharType="end"/>
    </w:r>
  </w:p>
  <w:p w:rsidR="00FB52FE" w:rsidRPr="008E600A" w:rsidRDefault="00B84449">
    <w:pPr>
      <w:pStyle w:val="Footer2"/>
    </w:pPr>
    <w:r>
      <w:fldChar w:fldCharType="begin"/>
    </w:r>
    <w:r>
      <w:instrText xml:space="preserve"> DOCPROPERTY "&lt;Extension&gt;" </w:instrText>
    </w:r>
    <w:r>
      <w:fldChar w:fldCharType="separate"/>
    </w:r>
    <w:r>
      <w:t>LV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FE" w:rsidRPr="008E600A" w:rsidRDefault="00B84449">
    <w:pPr>
      <w:pStyle w:val="Footer"/>
      <w:tabs>
        <w:tab w:val="right" w:pos="9356"/>
      </w:tabs>
    </w:pPr>
    <w:r>
      <w:fldChar w:fldCharType="begin"/>
    </w:r>
    <w:r>
      <w:instrText xml:space="preserve"> REF InsideFooter </w:instrText>
    </w:r>
    <w:r>
      <w:fldChar w:fldCharType="separate"/>
    </w:r>
    <w:r>
      <w:rPr>
        <w:rStyle w:val="HideTWBExt"/>
        <w:noProof w:val="0"/>
      </w:rPr>
      <w:t>&lt;PathFdR&gt;</w:t>
    </w:r>
    <w:r>
      <w:t>PR\1124559LV.docx</w:t>
    </w:r>
    <w:r>
      <w:rPr>
        <w:rStyle w:val="HideTWBExt"/>
        <w:noProof w:val="0"/>
      </w:rPr>
      <w:t>&lt;/PathFdR&gt;</w:t>
    </w:r>
    <w:r>
      <w:rPr>
        <w:rStyle w:val="HideTWBExt"/>
        <w:noProof w:val="0"/>
      </w:rPr>
      <w:fldChar w:fldCharType="end"/>
    </w:r>
    <w:r w:rsidR="00FB52FE">
      <w:tab/>
    </w:r>
    <w:r w:rsidR="00FB52FE" w:rsidRPr="008E600A">
      <w:fldChar w:fldCharType="begin"/>
    </w:r>
    <w:r w:rsidR="00FB52FE" w:rsidRPr="008E600A">
      <w:instrText xml:space="preserve"> PAGE </w:instrText>
    </w:r>
    <w:r w:rsidR="00FB52FE" w:rsidRPr="008E600A">
      <w:fldChar w:fldCharType="separate"/>
    </w:r>
    <w:r>
      <w:rPr>
        <w:noProof/>
      </w:rPr>
      <w:t>11</w:t>
    </w:r>
    <w:r w:rsidR="00FB52FE" w:rsidRPr="008E600A">
      <w:fldChar w:fldCharType="end"/>
    </w:r>
    <w:r w:rsidR="00FB52FE">
      <w:t>/</w:t>
    </w:r>
    <w:r>
      <w:fldChar w:fldCharType="begin"/>
    </w:r>
    <w:r>
      <w:instrText xml:space="preserve"> NUMPAGES </w:instrText>
    </w:r>
    <w:r>
      <w:fldChar w:fldCharType="separate"/>
    </w:r>
    <w:r>
      <w:rPr>
        <w:noProof/>
      </w:rPr>
      <w:t>11</w:t>
    </w:r>
    <w:r>
      <w:rPr>
        <w:noProof/>
      </w:rPr>
      <w:fldChar w:fldCharType="end"/>
    </w:r>
    <w:r w:rsidR="00FB52FE">
      <w:tab/>
    </w:r>
    <w:r>
      <w:fldChar w:fldCharType="begin"/>
    </w:r>
    <w:r>
      <w:instrText xml:space="preserve"> REF OutsideFooter </w:instrText>
    </w:r>
    <w:r>
      <w:fldChar w:fldCharType="separate"/>
    </w:r>
    <w:r>
      <w:t>PE</w:t>
    </w:r>
    <w:r>
      <w:rPr>
        <w:rStyle w:val="HideTWBExt"/>
        <w:noProof w:val="0"/>
      </w:rPr>
      <w:t>&lt;NoPE&gt;</w:t>
    </w:r>
    <w:r>
      <w:t>602.843</w:t>
    </w:r>
    <w:r>
      <w:rPr>
        <w:rStyle w:val="HideTWBExt"/>
        <w:noProof w:val="0"/>
      </w:rPr>
      <w:t>&lt;/NoPE&gt;&lt;Version&gt;</w:t>
    </w:r>
    <w:r>
      <w:t>v04-00</w:t>
    </w:r>
    <w:r>
      <w:rPr>
        <w:rStyle w:val="HideTWBExt"/>
        <w:noProof w:val="0"/>
      </w:rPr>
      <w:t>&lt;/Version&gt;</w:t>
    </w:r>
    <w:r>
      <w:rPr>
        <w:rStyle w:val="HideTWBExt"/>
        <w:noProof w:val="0"/>
      </w:rPr>
      <w:fldChar w:fldCharType="end"/>
    </w:r>
  </w:p>
  <w:p w:rsidR="00FB52FE" w:rsidRPr="008E600A" w:rsidRDefault="00FB52FE">
    <w:pPr>
      <w:pStyle w:val="Footer2"/>
    </w:pPr>
    <w:r>
      <w:tab/>
    </w:r>
    <w:r w:rsidR="00B84449">
      <w:fldChar w:fldCharType="begin"/>
    </w:r>
    <w:r w:rsidR="00B84449">
      <w:instrText xml:space="preserve"> DOCPROPERTY "&lt;Extension&gt;" </w:instrText>
    </w:r>
    <w:r w:rsidR="00B84449">
      <w:fldChar w:fldCharType="separate"/>
    </w:r>
    <w:r w:rsidR="00B84449">
      <w:t>LV</w:t>
    </w:r>
    <w:r w:rsidR="00B8444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FE" w:rsidRPr="008E600A" w:rsidRDefault="00FB52FE">
    <w:pPr>
      <w:pStyle w:val="Footer"/>
    </w:pPr>
    <w:bookmarkStart w:id="9" w:name="InsideFooter"/>
    <w:r>
      <w:rPr>
        <w:rStyle w:val="HideTWBExt"/>
        <w:noProof w:val="0"/>
      </w:rPr>
      <w:t>&lt;PathFdR&gt;</w:t>
    </w:r>
    <w:r>
      <w:t>PR\1124559LV.docx</w:t>
    </w:r>
    <w:r>
      <w:rPr>
        <w:rStyle w:val="HideTWBExt"/>
        <w:noProof w:val="0"/>
      </w:rPr>
      <w:t>&lt;/PathFdR&gt;</w:t>
    </w:r>
    <w:bookmarkEnd w:id="9"/>
    <w:r>
      <w:tab/>
    </w:r>
    <w:r>
      <w:tab/>
    </w:r>
    <w:bookmarkStart w:id="10" w:name="OutsideFooter"/>
    <w:r>
      <w:t>PE</w:t>
    </w:r>
    <w:r>
      <w:rPr>
        <w:rStyle w:val="HideTWBExt"/>
        <w:noProof w:val="0"/>
      </w:rPr>
      <w:t>&lt;NoPE&gt;</w:t>
    </w:r>
    <w:r>
      <w:t>602.843</w:t>
    </w:r>
    <w:r>
      <w:rPr>
        <w:rStyle w:val="HideTWBExt"/>
        <w:noProof w:val="0"/>
      </w:rPr>
      <w:t>&lt;/NoPE&gt;&lt;Version&gt;</w:t>
    </w:r>
    <w:r>
      <w:t>v04-00</w:t>
    </w:r>
    <w:r>
      <w:rPr>
        <w:rStyle w:val="HideTWBExt"/>
        <w:noProof w:val="0"/>
      </w:rPr>
      <w:t>&lt;/Version&gt;</w:t>
    </w:r>
    <w:bookmarkEnd w:id="10"/>
  </w:p>
  <w:p w:rsidR="00FB52FE" w:rsidRPr="008E600A" w:rsidRDefault="00B84449" w:rsidP="00461601">
    <w:pPr>
      <w:pStyle w:val="Footer2"/>
      <w:tabs>
        <w:tab w:val="center" w:pos="4536"/>
      </w:tabs>
    </w:pPr>
    <w:r>
      <w:fldChar w:fldCharType="begin"/>
    </w:r>
    <w:r>
      <w:instrText xml:space="preserve"> DOCPROPERTY "&lt;Extension&gt;" </w:instrText>
    </w:r>
    <w:r>
      <w:fldChar w:fldCharType="separate"/>
    </w:r>
    <w:r>
      <w:t>LV</w:t>
    </w:r>
    <w:r>
      <w:fldChar w:fldCharType="end"/>
    </w:r>
    <w:r w:rsidR="00FB52FE">
      <w:tab/>
    </w:r>
    <w:r w:rsidR="00FB52FE">
      <w:rPr>
        <w:b w:val="0"/>
        <w:i/>
        <w:color w:val="C0C0C0"/>
        <w:sz w:val="22"/>
      </w:rPr>
      <w:t>Vienoti daudzveidībā</w:t>
    </w:r>
    <w:r w:rsidR="00FB52FE">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00A" w:rsidRPr="008E600A" w:rsidRDefault="008E600A">
      <w:r w:rsidRPr="008E600A">
        <w:separator/>
      </w:r>
    </w:p>
  </w:footnote>
  <w:footnote w:type="continuationSeparator" w:id="0">
    <w:p w:rsidR="008E600A" w:rsidRPr="008E600A" w:rsidRDefault="008E600A">
      <w:r w:rsidRPr="008E600A">
        <w:continuationSeparator/>
      </w:r>
    </w:p>
  </w:footnote>
  <w:footnote w:id="1">
    <w:p w:rsidR="0014752B" w:rsidRPr="00C945CA" w:rsidRDefault="0014752B" w:rsidP="0014752B">
      <w:pPr>
        <w:pStyle w:val="FootnoteText"/>
      </w:pPr>
      <w:r>
        <w:rPr>
          <w:rStyle w:val="FootnoteReference"/>
        </w:rPr>
        <w:footnoteRef/>
      </w:r>
      <w:r>
        <w:tab/>
        <w:t>OV C 0, 0.0.0000., 0. lpp. /Oficiālajā Vēstnesī vēl nav publicēts.</w:t>
      </w:r>
    </w:p>
  </w:footnote>
  <w:footnote w:id="2">
    <w:p w:rsidR="0014752B" w:rsidRPr="00C945CA" w:rsidRDefault="0014752B" w:rsidP="0014752B">
      <w:pPr>
        <w:pStyle w:val="FootnoteText"/>
      </w:pPr>
      <w:r>
        <w:rPr>
          <w:rStyle w:val="FootnoteReference"/>
        </w:rPr>
        <w:footnoteRef/>
      </w:r>
      <w:r>
        <w:t xml:space="preserve"> </w:t>
      </w:r>
      <w:r>
        <w:tab/>
        <w:t>OV C 0, 0.0.0000., 0. lpp. /Oficiālajā Vēstnesī vēl nav publicēts.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49" w:rsidRDefault="00B84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49" w:rsidRDefault="00B84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49" w:rsidRDefault="00B84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ENVI"/>
    <w:docVar w:name="CopyToNetwork" w:val="-1"/>
    <w:docVar w:name="CVar" w:val="5"/>
    <w:docVar w:name="DOCMNU" w:val=" 2"/>
    <w:docVar w:name="EPSTATMNU" w:val=" 3"/>
    <w:docVar w:name="iNoAmend" w:val="5"/>
    <w:docVar w:name="JOINTSTATMNU" w:val=" 1"/>
    <w:docVar w:name="JURI1MNU" w:val=" 2"/>
    <w:docVar w:name="LastEditedSection" w:val=" 1"/>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847716 HideTWBExt;}{\*\cs16 \additive \v\cf15 \spriority0 \styrsid5847716 HideTWBInt;}{\s17\ql \li0\ri0\sa120\nowidctlpar\wrapdefault\aspalpha\aspnum\faauto\adjustright\rin0\lin0\itap0 _x000d__x000a_\rtlch\fcs1 \af0\afs20\alang1025 \ltrch\fcs0 \fs24\lang1062\langfe2057\cgrid\langnp1062\langfenp2057 \sbasedon0 \snext17 \slink18 \spriority0 \styrsid5847716 Normal6;}{\*\cs18 \additive \fs24\lang1062\langfe0\langnp1062 _x000d__x000a_\slink17 \slocked \spriority0 \styrsid5847716 Normal6 Char;}{\s19\ql \li0\ri0\nowidctlpar\wrapdefault\aspalpha\aspnum\faauto\adjustright\rin0\lin0\itap0 \rtlch\fcs1 \af0\afs20\alang1025 \ltrch\fcs0 _x000d__x000a_\b\fs24\lang1062\langfe2057\cgrid\langnp1062\langfenp2057 \sbasedon0 \snext19 \slink20 \spriority0 \styrsid5847716 NormalBold;}{\*\cs20 \additive \b\fs24\lang1062\langfe0\langnp1062 \slink19 \slocked \spriority0 \styrsid5847716 NormalBold Char;}{_x000d__x000a_\s21\ql \li0\ri0\sb240\nowidctlpar\wrapdefault\aspalpha\aspnum\faauto\adjustright\rin0\lin0\itap0 \rtlch\fcs1 \af0\afs20\alang1025 \ltrch\fcs0 \i\fs24\lang1062\langfe2057\cgrid\langnp1062\langfenp2057 \sbasedon0 \snext21 \spriority0 \styrsid5847716 _x000d__x000a_Normal12Italic;}{\s22\qc \li0\ri0\sb240\nowidctlpar\wrapdefault\aspalpha\aspnum\faauto\adjustright\rin0\lin0\itap0 \rtlch\fcs1 \af0\afs20\alang1025 \ltrch\fcs0 \i\fs24\lang1062\langfe2057\cgrid\langnp1062\langfenp2057 _x000d__x000a_\sbasedon0 \snext22 \spriority0 \styrsid5847716 CrossRef;}{\s23\qc \li0\ri0\sb240\keepn\nowidctlpar\wrapdefault\aspalpha\aspnum\faauto\adjustright\rin0\lin0\itap0 \rtlch\fcs1 \af0\afs20\alang1025 \ltrch\fcs0 _x000d__x000a_\i\fs24\lang1062\langfe2057\cgrid\langnp1062\langfenp2057 \sbasedon0 \snext0 \spriority0 \styrsid5847716 JustificationTitle;}{\s24\qr \li0\ri0\sb240\sa240\nowidctlpar\wrapdefault\aspalpha\aspnum\faauto\adjustright\rin0\lin0\itap0 \rtlch\fcs1 _x000d__x000a_\af0\afs20\alang1025 \ltrch\fcs0 \fs24\lang1024\langfe1024\cgrid\noproof\langnp1062\langfenp2057 \sbasedon0 \snext24 \spriority0 \styrsid5847716 Olang;}{\s25\qc \li0\ri0\sa240\nowidctlpar\wrapdefault\aspalpha\aspnum\faauto\adjustright\rin0\lin0\itap0 _x000d__x000a_\rtlch\fcs1 \af0\afs20\alang1025 \ltrch\fcs0 \i\fs24\lang1062\langfe2057\cgrid\langnp1062\langfenp2057 \sbasedon0 \snext25 \spriority0 \styrsid584771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6 \spriority0 \styrsid5847716 AMNumberTabs;}{\s27\ql \li0\ri0\sb240\nowidctlpar\wrapdefault\aspalpha\aspnum\faauto\adjustright\rin0\lin0\itap0 \rtlch\fcs1 _x000d__x000a_\af0\afs20\alang1025 \ltrch\fcs0 \b\fs24\lang1062\langfe2057\cgrid\langnp1062\langfenp2057 \sbasedon0 \snext27 \spriority0 \styrsid5847716 NormalBold12b;}}{\*\rsidtbl \rsid24658\rsid204366\rsid735077\rsid2892074\rsid4666813\rsid5847716\rsid6641733_x000d__x000a_\rsid9636012\rsid11215221\rsid12154954\rsid14424199\rsid15204470\rsid15285974\rsid15950462\rsid16324206\rsid16662270}{\mmathPr\mmathFont34\mbrkBin0\mbrkBinSub0\msmallFrac0\mdispDef1\mlMargin0\mrMargin0\mdefJc1\mwrapIndent1440\mintLim0\mnaryLim1}{\info_x000d__x000a_{\author LUTOVS Vladimirs}{\operator LUTOVS Vladimirs}{\creatim\yr2017\mo3\dy27\hr9\min39}{\revtim\yr2017\mo3\dy27\hr9\min39}{\version1}{\edmins0}{\nofpages1}{\nofwords57}{\nofchars652}{\*\company European Parliament}{\nofcharsws655}{\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847716\utinl \fet0{\*\wgrffmtfilter 013f}\ilfomacatclnup0{\*\template C:\\Users\\vlutovs\\AppData\\Local\\Temp\\Blank1.dot}{\*\ftnsep \ltrpar \pard\plain \ltrpar_x000d__x000a_\ql \li0\ri0\widctlpar\wrapdefault\aspalpha\aspnum\faauto\adjustright\rin0\lin0\itap0 \rtlch\fcs1 \af0\afs20\alang1025 \ltrch\fcs0 \fs24\lang2057\langfe2057\cgrid\langnp2057\langfenp2057 {\rtlch\fcs1 \af0 \ltrch\fcs0 \insrsid204366 \chftnsep _x000d__x000a_\par }}{\*\ftnsepc \ltrpar \pard\plain \ltrpar\ql \li0\ri0\widctlpar\wrapdefault\aspalpha\aspnum\faauto\adjustright\rin0\lin0\itap0 \rtlch\fcs1 \af0\afs20\alang1025 \ltrch\fcs0 \fs24\lang2057\langfe2057\cgrid\langnp2057\langfenp2057 {\rtlch\fcs1 \af0 _x000d__x000a_\ltrch\fcs0 \insrsid204366 \chftnsepc _x000d__x000a_\par }}{\*\aftnsep \ltrpar \pard\plain \ltrpar\ql \li0\ri0\widctlpar\wrapdefault\aspalpha\aspnum\faauto\adjustright\rin0\lin0\itap0 \rtlch\fcs1 \af0\afs20\alang1025 \ltrch\fcs0 \fs24\lang2057\langfe2057\cgrid\langnp2057\langfenp2057 {\rtlch\fcs1 \af0 _x000d__x000a_\ltrch\fcs0 \insrsid204366 \chftnsep _x000d__x000a_\par }}{\*\aftnsepc \ltrpar \pard\plain \ltrpar\ql \li0\ri0\widctlpar\wrapdefault\aspalpha\aspnum\faauto\adjustright\rin0\lin0\itap0 \rtlch\fcs1 \af0\afs20\alang1025 \ltrch\fcs0 \fs24\lang2057\langfe2057\cgrid\langnp2057\langfenp2057 {\rtlch\fcs1 \af0 _x000d__x000a_\ltrch\fcs0 \insrsid2043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62\langfe2057\cgrid\langnp1062\langfenp2057 {\rtlch\fcs1 \af0 \ltrch\fcs0 \cs15\b0\v\f1\fs20\cf9\insrsid5847716\charrsid3948629 {\*\bkmkstart restart}&lt;Amend&gt;}{_x000d__x000a_\rtlch\fcs1 \af317 \ltrch\fcs0 \f317\insrsid5847716\charrsid3948629 Groz\'eejums Nr.}{\rtlch\fcs1 \af0 \ltrch\fcs0 \insrsid5847716\charrsid3948629 \tab \tab }{\rtlch\fcs1 \af0 \ltrch\fcs0 \cs15\b0\v\f1\fs20\cf9\insrsid5847716\charrsid3948629 &lt;NumAm&gt;}{_x000d__x000a_\rtlch\fcs1 \af0 \ltrch\fcs0 \insrsid5847716\charrsid3948629 #}{\rtlch\fcs1 \af0 \ltrch\fcs0 \cs16\v\cf15\insrsid5847716\charrsid3948629 ENMIENDA@NRAM@}{\rtlch\fcs1 \af0 \ltrch\fcs0 \insrsid5847716\charrsid3948629 #}{\rtlch\fcs1 \af0 \ltrch\fcs0 _x000d__x000a_\cs15\b0\v\f1\fs20\cf9\insrsid5847716\charrsid3948629 &lt;/NumAm&gt;}{\rtlch\fcs1 \af0 \ltrch\fcs0 \insrsid5847716\charrsid3948629 _x000d__x000a_\par }\pard\plain \ltrpar\s27\ql \li0\ri0\sb240\keepn\nowidctlpar\wrapdefault\aspalpha\aspnum\faauto\adjustright\rin0\lin0\itap0\pararsid2173828 \rtlch\fcs1 \af0\afs20\alang1025 \ltrch\fcs0 \b\fs24\lang1062\langfe2057\cgrid\langnp1062\langfenp2057 {_x000d__x000a_\rtlch\fcs1 \af0 \ltrch\fcs0 \cs15\b0\v\f1\fs20\cf9\insrsid5847716\charrsid3948629 &lt;DocAmend&gt;}{\rtlch\fcs1 \af0 \ltrch\fcs0 \insrsid5847716\charrsid3948629 #}{\rtlch\fcs1 \af0 \ltrch\fcs0 \cs16\v\cf15\insrsid5847716\charrsid3948629 _x000d__x000a_MNU[DOC1b][DOC2b][DOC3b][DOC4b]@DOCMSG@DOCMNU}{\rtlch\fcs1 \af0 \ltrch\fcs0 \insrsid5847716\charrsid3948629 # priek\'9alikums#}{\rtlch\fcs1 \af0 \ltrch\fcs0 \cs16\v\cf15\insrsid5847716\charrsid3948629 MNU[AMACTYES][NOTAPP]@CHOICE@AMACTMNU}{\rtlch\fcs1 _x000d__x000a_\af0 \ltrch\fcs0 \insrsid5847716\charrsid3948629 #}{\rtlch\fcs1 \af0 \ltrch\fcs0 \cs15\b0\v\f1\fs20\cf9\insrsid5847716\charrsid3948629 &lt;/DocAmend&gt;}{\rtlch\fcs1 \af0 \ltrch\fcs0 \insrsid5847716\charrsid3948629 _x000d__x000a_\par }\pard\plain \ltrpar\s19\ql \li0\ri0\keepn\nowidctlpar\wrapdefault\aspalpha\aspnum\faauto\adjustright\rin0\lin0\itap0\pararsid14315216 \rtlch\fcs1 \af0\afs20\alang1025 \ltrch\fcs0 \b\fs24\lang1062\langfe2057\cgrid\langnp1062\langfenp2057 {\rtlch\fcs1 _x000d__x000a_\af0 \ltrch\fcs0 \cs15\b0\v\f1\fs20\cf9\insrsid5847716\charrsid3948629 &lt;Article&gt;}{\rtlch\fcs1 \af0 \ltrch\fcs0 \insrsid5847716\charrsid3948629 #}{\rtlch\fcs1 \af0 \ltrch\fcs0 \cs16\v\cf15\insrsid5847716\charrsid3948629 _x000d__x000a_MNU[AMACTPARTYES][AMACTPARTNO]@CHOICE@AMACTMNU}{\rtlch\fcs1 \af0 \ltrch\fcs0 \insrsid5847716\charrsid3948629 #}{\rtlch\fcs1 \af0 \ltrch\fcs0 \cs15\b0\v\f1\fs20\cf9\insrsid5847716\charrsid3948629 &lt;/Article&gt;}{\rtlch\fcs1 \af0 \ltrch\fcs0 _x000d__x000a_\insrsid5847716\charrsid3948629 _x000d__x000a_\par }\pard\plain \ltrpar\ql \li0\ri0\keepn\widctlpar\wrapdefault\aspalpha\aspnum\faauto\adjustright\rin0\lin0\itap0\pararsid1856914 \rtlch\fcs1 \af0\afs20\alang1025 \ltrch\fcs0 \fs24\lang2057\langfe2057\cgrid\langnp2057\langfenp2057 {\rtlch\fcs1 \af0 _x000d__x000a_\ltrch\fcs0 \cs15\v\f1\fs20\cf9\lang1062\langfe2057\langnp1062\insrsid5847716\charrsid3948629 &lt;DocAmend2&gt;&lt;OptDel&gt;}{\rtlch\fcs1 \af0 \ltrch\fcs0 \lang1062\langfe2057\langnp1062\insrsid5847716\charrsid3948629 #}{\rtlch\fcs1 \af0 \ltrch\fcs0 _x000d__x000a_\cs16\v\cf15\lang1062\langfe2057\langnp1062\insrsid5847716\charrsid3948629 MNU[OPTNRACTYES][NOTAPP]@CHOICE@AMACTMNU}{\rtlch\fcs1 \af0 \ltrch\fcs0 \lang1062\langfe2057\langnp1062\insrsid5847716\charrsid3948629 #}{\rtlch\fcs1 \af0 \ltrch\fcs0 _x000d__x000a_\cs15\v\f1\fs20\cf9\lang1062\langfe2057\langnp1062\insrsid5847716\charrsid3948629 &lt;/OptDel&gt;&lt;/DocAmend2&gt;}{\rtlch\fcs1 \af0 \ltrch\fcs0 \lang1062\langfe2057\langnp1062\insrsid5847716\charrsid3948629 _x000d__x000a_\par }\pard \ltrpar\ql \li0\ri0\widctlpar\wrapdefault\aspalpha\aspnum\faauto\adjustright\rin0\lin0\itap0\pararsid2517430 {\rtlch\fcs1 \af0 \ltrch\fcs0 \cs15\v\f1\fs20\cf9\lang1062\langfe2057\langnp1062\insrsid5847716\charrsid3948629 &lt;Article2&gt;&lt;OptDel&gt;}{_x000d__x000a_\rtlch\fcs1 \af0 \ltrch\fcs0 \lang1062\langfe2057\langnp1062\insrsid5847716\charrsid3948629 #}{\rtlch\fcs1 \af0 \ltrch\fcs0 \cs16\v\cf15\lang1062\langfe2057\langnp1062\insrsid5847716\charrsid3948629 MNU[OPTACTPARTYES][NOTAPP]@CHOICE@AMACTMNU}{\rtlch\fcs1 _x000d__x000a_\af0 \ltrch\fcs0 \lang1062\langfe2057\langnp1062\insrsid5847716\charrsid3948629 #}{\rtlch\fcs1 \af0 \ltrch\fcs0 \cs15\v\f1\fs20\cf9\lang1062\langfe2057\langnp1062\insrsid5847716\charrsid3948629 &lt;/OptDel&gt;&lt;/Article2&gt;}{\rtlch\fcs1 \af0 \ltrch\fcs0 _x000d__x000a_\lang1062\langfe2057\langnp1062\insrsid5847716\charrsid394862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62\langfe2057\langnp1062\insrsid5847716\charrsid3948629 \cell }\pard \ltrpar\ql \li0\ri0\widctlpar\intbl\wrapdefault\aspalpha\aspnum\faauto\adjustright\rin0\lin0 {\rtlch\fcs1 \af0 \ltrch\fcs0 _x000d__x000a_\lang1062\langfe2057\langnp1062\insrsid5847716\charrsid3948629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1062\langfe2057\cgrid\langnp1062\langfenp2057 {\rtlch\fcs1 \af0 \ltrch\fcs0 _x000d__x000a_\insrsid5847716\charrsid3948629 #}{\rtlch\fcs1 \af0 \ltrch\fcs0 \cs16\v\cf15\insrsid5847716\charrsid3948629 MNU[OPTLEFTAMACT][LEFTPROP]@CHOICE@AMACTMNU}{\rtlch\fcs1 \af0 \ltrch\fcs0 \insrsid5847716\charrsid3948629 #\cell }{\rtlch\fcs1 \af317 \ltrch\fcs0 _x000d__x000a_\f317\insrsid5847716\charrsid3948629 Groz\'eejums}{\rtlch\fcs1 \af0 \ltrch\fcs0 \insrsid5847716\charrsid3948629 \cell }\pard\plain \ltrpar\ql \li0\ri0\widctlpar\intbl\wrapdefault\aspalpha\aspnum\faauto\adjustright\rin0\lin0 \rtlch\fcs1 _x000d__x000a_\af0\afs20\alang1025 \ltrch\fcs0 \fs24\lang2057\langfe2057\cgrid\langnp2057\langfenp2057 {\rtlch\fcs1 \af0 \ltrch\fcs0 \lang1062\langfe2057\langnp1062\insrsid5847716\charrsid3948629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62\langfe2057\cgrid\langnp1062\langfenp2057 {\rtlch\fcs1 \af0 \ltrch\fcs0 _x000d__x000a_\insrsid5847716\charrsid3948629 ##\cell ##}{\rtlch\fcs1 \af0\afs24 \ltrch\fcs0 \insrsid5847716\charrsid3948629 \cell }\pard\plain \ltrpar\ql \li0\ri0\widctlpar\intbl\wrapdefault\aspalpha\aspnum\faauto\adjustright\rin0\lin0 \rtlch\fcs1 _x000d__x000a_\af0\afs20\alang1025 \ltrch\fcs0 \fs24\lang2057\langfe2057\cgrid\langnp2057\langfenp2057 {\rtlch\fcs1 \af0 \ltrch\fcs0 \lang1062\langfe2057\langnp1062\insrsid5847716\charrsid394862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517430 \rtlch\fcs1 \af0\afs20\alang1025 \ltrch\fcs0 \fs24\lang1024\langfe1024\cgrid\noproof\langnp1062\langfenp2057 {\rtlch\fcs1 \af0 _x000d__x000a_\ltrch\fcs0 \noproof0\insrsid5847716\charrsid3948629 Or. }{\rtlch\fcs1 \af0 \ltrch\fcs0 \cs15\v\f1\fs20\cf9\noproof0\insrsid5847716\charrsid3948629 &lt;Original&gt;}{\rtlch\fcs1 \af0 \ltrch\fcs0 \noproof0\insrsid5847716\charrsid3948629 #}{\rtlch\fcs1 \af0 _x000d__x000a_\ltrch\fcs0 \cs16\v\cf15\noproof0\insrsid5847716\charrsid3948629 MNU[ORLANGONE][ORLANGMORE]@CHOICE@ORLANGMNU}{\rtlch\fcs1 \af0 \ltrch\fcs0 \noproof0\insrsid5847716\charrsid3948629 #}{\rtlch\fcs1 \af0 \ltrch\fcs0 _x000d__x000a_\cs15\v\f1\fs20\cf9\noproof0\insrsid5847716\charrsid3948629 &lt;/Original&gt;}{\rtlch\fcs1 \af0 \ltrch\fcs0 \noproof0\insrsid5847716\charrsid3948629 _x000d__x000a_\par }\pard\plain \ltrpar\s22\qc \li0\ri0\sb240\nowidctlpar\wrapdefault\aspalpha\aspnum\faauto\adjustright\rin0\lin0\itap0\pararsid2517430 \rtlch\fcs1 \af0\afs20\alang1025 \ltrch\fcs0 \i\fs24\lang1062\langfe2057\cgrid\langnp1062\langfenp2057 {\rtlch\fcs1 \af0 _x000d__x000a_\ltrch\fcs0 \cs15\i0\v\f1\fs20\cf9\insrsid5847716\charrsid3948629 &lt;OptDel&gt;}{\rtlch\fcs1 \af0 \ltrch\fcs0 \insrsid5847716\charrsid3948629 #}{\rtlch\fcs1 \af0 \ltrch\fcs0 \cs16\v\cf15\insrsid5847716\charrsid3948629 MNU[CROSSREFNO][CROSSREFYES]@CHOICE@}{_x000d__x000a_\rtlch\fcs1 \af0 \ltrch\fcs0 \insrsid5847716\charrsid3948629 #}{\rtlch\fcs1 \af0 \ltrch\fcs0 \cs15\i0\v\f1\fs20\cf9\insrsid5847716\charrsid3948629 &lt;/OptDel&gt;}{\rtlch\fcs1 \af0 \ltrch\fcs0 \insrsid5847716\charrsid3948629 _x000d__x000a_\par }\pard\plain \ltrpar\s23\qc \li0\ri0\sb240\keepn\nowidctlpar\wrapdefault\aspalpha\aspnum\faauto\adjustright\rin0\lin0\itap0\pararsid2517430 \rtlch\fcs1 \af0\afs20\alang1025 \ltrch\fcs0 \i\fs24\lang1062\langfe2057\cgrid\langnp1062\langfenp2057 {_x000d__x000a_\rtlch\fcs1 \af0 \ltrch\fcs0 \cs15\i0\v\f1\fs20\cf9\insrsid5847716\charrsid3948629 &lt;TitreJust&gt;}{\rtlch\fcs1 \af0 \ltrch\fcs0 \insrsid5847716\charrsid3948629 Pamatojums}{\rtlch\fcs1 \af0 \ltrch\fcs0 \cs15\i0\v\f1\fs20\cf9\insrsid5847716\charrsid3948629 _x000d__x000a_&lt;/TitreJust&gt;}{\rtlch\fcs1 \af0 \ltrch\fcs0 \insrsid5847716\charrsid3948629 _x000d__x000a_\par }\pard\plain \ltrpar\s21\ql \li0\ri0\sb240\nowidctlpar\wrapdefault\aspalpha\aspnum\faauto\adjustright\rin0\lin0\itap0\pararsid2517430 \rtlch\fcs1 \af0\afs20\alang1025 \ltrch\fcs0 \i\fs24\lang1062\langfe2057\cgrid\langnp1062\langfenp2057 {\rtlch\fcs1 \af0 _x000d__x000a_\ltrch\fcs0 \cs15\i0\v\f1\fs20\cf9\insrsid5847716\charrsid3948629 &lt;OptDelPrev&gt;}{\rtlch\fcs1 \af0 \ltrch\fcs0 \insrsid5847716\charrsid3948629 #}{\rtlch\fcs1 \af0 \ltrch\fcs0 \cs16\v\cf15\insrsid5847716\charrsid3948629 MNU[TEXTJUSTYES][TEXTJUSTNO]@CHOICE@}{_x000d__x000a_\rtlch\fcs1 \af0 \ltrch\fcs0 \insrsid5847716\charrsid3948629 #}{\rtlch\fcs1 \af0 \ltrch\fcs0 \cs15\i0\v\f1\fs20\cf9\insrsid5847716\charrsid3948629 &lt;/OptDelPrev&gt;}{\rtlch\fcs1 \af0 \ltrch\fcs0 \insrsid5847716\charrsid3948629 _x000d__x000a_\par }\pard\plain \ltrpar\ql \li0\ri0\widctlpar\wrapdefault\aspalpha\aspnum\faauto\adjustright\rin0\lin0\itap0\pararsid16324206 \rtlch\fcs1 \af0\afs20\alang1025 \ltrch\fcs0 \fs24\lang2057\langfe2057\cgrid\langnp2057\langfenp2057 {\rtlch\fcs1 \af0 \ltrch\fcs0 _x000d__x000a_\cs15\v\f1\fs20\cf9\lang1062\langfe2057\langnp1062\insrsid5847716\charrsid394862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b_x000d__x000a_bb4dcda6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24"/>
    <w:docVar w:name="TVTAMPART" w:val="1. pants – 1. daļa – 4. punkts – -a apakšpunkts (jauns)"/>
    <w:docVar w:name="TXTAUTHOR" w:val="Adina-Ioana Vălean"/>
    <w:docVar w:name="TXTLANGUE" w:val="LV"/>
    <w:docVar w:name="TXTLANGUEMIN" w:val="lv"/>
    <w:docVar w:name="TXTNRC" w:val="0021/2017"/>
    <w:docVar w:name="TXTNRCOD" w:val="2017/0013"/>
    <w:docVar w:name="TXTNRCOM" w:val="(2017)0038"/>
    <w:docVar w:name="TXTNRFIRSTAM" w:val="1"/>
    <w:docVar w:name="TXTNRLASTAM" w:val="5"/>
    <w:docVar w:name="TXTNRPE" w:val="602.843"/>
    <w:docVar w:name="TXTPEorAP" w:val="PE"/>
    <w:docVar w:name="TXTROUTE" w:val="PR\1124559LV.docx"/>
    <w:docVar w:name="TXTTITLE" w:val="ar ko groza Direktīvu 2011/65/ES par dažu bīstamu vielu izmantošanas ierobežošanu elektriskās un elektroniskās iekārtās "/>
    <w:docVar w:name="TXTVERSION" w:val="04-00"/>
  </w:docVars>
  <w:rsids>
    <w:rsidRoot w:val="008E600A"/>
    <w:rsid w:val="00011AAB"/>
    <w:rsid w:val="00012351"/>
    <w:rsid w:val="00084E89"/>
    <w:rsid w:val="000F1096"/>
    <w:rsid w:val="00142215"/>
    <w:rsid w:val="0014752B"/>
    <w:rsid w:val="001767E2"/>
    <w:rsid w:val="00187008"/>
    <w:rsid w:val="001C5592"/>
    <w:rsid w:val="001C5B44"/>
    <w:rsid w:val="001C6FFC"/>
    <w:rsid w:val="00212B84"/>
    <w:rsid w:val="002346B0"/>
    <w:rsid w:val="002667C3"/>
    <w:rsid w:val="002669B6"/>
    <w:rsid w:val="00290BED"/>
    <w:rsid w:val="002F40BB"/>
    <w:rsid w:val="002F4B02"/>
    <w:rsid w:val="002F528E"/>
    <w:rsid w:val="00323EF8"/>
    <w:rsid w:val="00370AC3"/>
    <w:rsid w:val="003C2068"/>
    <w:rsid w:val="003C37CF"/>
    <w:rsid w:val="004100B1"/>
    <w:rsid w:val="00461601"/>
    <w:rsid w:val="004C0915"/>
    <w:rsid w:val="004D424E"/>
    <w:rsid w:val="004E42C8"/>
    <w:rsid w:val="0051271F"/>
    <w:rsid w:val="00521F46"/>
    <w:rsid w:val="00551123"/>
    <w:rsid w:val="00570A6A"/>
    <w:rsid w:val="00586E50"/>
    <w:rsid w:val="005D1A99"/>
    <w:rsid w:val="005D7609"/>
    <w:rsid w:val="005D7EE8"/>
    <w:rsid w:val="006F7907"/>
    <w:rsid w:val="00743189"/>
    <w:rsid w:val="007932B3"/>
    <w:rsid w:val="00793EA9"/>
    <w:rsid w:val="007D6F68"/>
    <w:rsid w:val="008633CC"/>
    <w:rsid w:val="00865190"/>
    <w:rsid w:val="008719B9"/>
    <w:rsid w:val="00894ECE"/>
    <w:rsid w:val="00896BB4"/>
    <w:rsid w:val="008A7FB8"/>
    <w:rsid w:val="008E600A"/>
    <w:rsid w:val="009022B8"/>
    <w:rsid w:val="00917CC4"/>
    <w:rsid w:val="009763DA"/>
    <w:rsid w:val="009B4B93"/>
    <w:rsid w:val="009F24BE"/>
    <w:rsid w:val="009F6C2F"/>
    <w:rsid w:val="00A22533"/>
    <w:rsid w:val="00A22C6D"/>
    <w:rsid w:val="00A26F46"/>
    <w:rsid w:val="00A34FD3"/>
    <w:rsid w:val="00A36929"/>
    <w:rsid w:val="00AA35B0"/>
    <w:rsid w:val="00AA6EE5"/>
    <w:rsid w:val="00AD18C8"/>
    <w:rsid w:val="00AD7FA6"/>
    <w:rsid w:val="00AE4643"/>
    <w:rsid w:val="00AF0416"/>
    <w:rsid w:val="00B10CB4"/>
    <w:rsid w:val="00B23B72"/>
    <w:rsid w:val="00B42702"/>
    <w:rsid w:val="00B5205A"/>
    <w:rsid w:val="00B84449"/>
    <w:rsid w:val="00B85407"/>
    <w:rsid w:val="00B95702"/>
    <w:rsid w:val="00BC6489"/>
    <w:rsid w:val="00BD480C"/>
    <w:rsid w:val="00C73602"/>
    <w:rsid w:val="00CC5A63"/>
    <w:rsid w:val="00CF60C8"/>
    <w:rsid w:val="00D32924"/>
    <w:rsid w:val="00D503A3"/>
    <w:rsid w:val="00DA6ED0"/>
    <w:rsid w:val="00DC1AF7"/>
    <w:rsid w:val="00DC5011"/>
    <w:rsid w:val="00DE1EAC"/>
    <w:rsid w:val="00E171B6"/>
    <w:rsid w:val="00EB1753"/>
    <w:rsid w:val="00EB6CFF"/>
    <w:rsid w:val="00EC6774"/>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49D9693-8B1D-492E-A688-78956FAA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lv-LV" w:eastAsia="lv-LV" w:bidi="lv-LV"/>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lv-LV" w:eastAsia="lv-LV" w:bidi="lv-LV"/>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Default">
    <w:name w:val="Default"/>
    <w:rsid w:val="0014752B"/>
    <w:pPr>
      <w:autoSpaceDE w:val="0"/>
      <w:autoSpaceDN w:val="0"/>
      <w:adjustRightInd w:val="0"/>
    </w:pPr>
    <w:rPr>
      <w:color w:val="000000"/>
      <w:sz w:val="24"/>
      <w:szCs w:val="24"/>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14752B"/>
    <w:pPr>
      <w:tabs>
        <w:tab w:val="right" w:pos="454"/>
        <w:tab w:val="left" w:pos="737"/>
      </w:tabs>
      <w:ind w:left="737" w:hanging="737"/>
    </w:pPr>
    <w:rPr>
      <w:snapToGrid w:val="0"/>
      <w:sz w:val="18"/>
    </w:rPr>
  </w:style>
  <w:style w:type="paragraph" w:customStyle="1" w:styleId="Lgendetitre">
    <w:name w:val="Légende titre"/>
    <w:basedOn w:val="Normal"/>
    <w:rsid w:val="0014752B"/>
    <w:pPr>
      <w:spacing w:before="240" w:after="240"/>
    </w:pPr>
    <w:rPr>
      <w:b/>
      <w:i/>
      <w:snapToGrid w:val="0"/>
    </w:rPr>
  </w:style>
  <w:style w:type="paragraph" w:customStyle="1" w:styleId="Lgendestandard">
    <w:name w:val="Légende standard"/>
    <w:basedOn w:val="Lgendesigne"/>
    <w:rsid w:val="0014752B"/>
    <w:pPr>
      <w:ind w:left="0" w:firstLine="0"/>
    </w:pPr>
  </w:style>
  <w:style w:type="character" w:customStyle="1" w:styleId="Normal12HangingChar">
    <w:name w:val="Normal12Hanging Char"/>
    <w:link w:val="Normal12Hanging"/>
    <w:rsid w:val="0014752B"/>
    <w:rPr>
      <w:sz w:val="24"/>
      <w:lang w:val="lv-LV"/>
    </w:rPr>
  </w:style>
  <w:style w:type="paragraph" w:styleId="FootnoteText">
    <w:name w:val="footnote text"/>
    <w:basedOn w:val="Normal"/>
    <w:link w:val="FootnoteTextChar"/>
    <w:uiPriority w:val="99"/>
    <w:unhideWhenUsed/>
    <w:rsid w:val="0014752B"/>
    <w:pPr>
      <w:widowControl/>
      <w:ind w:left="720" w:hanging="720"/>
      <w:jc w:val="both"/>
    </w:pPr>
    <w:rPr>
      <w:sz w:val="20"/>
    </w:rPr>
  </w:style>
  <w:style w:type="character" w:customStyle="1" w:styleId="FootnoteTextChar">
    <w:name w:val="Footnote Text Char"/>
    <w:basedOn w:val="DefaultParagraphFont"/>
    <w:link w:val="FootnoteText"/>
    <w:uiPriority w:val="99"/>
    <w:rsid w:val="0014752B"/>
    <w:rPr>
      <w:lang w:bidi="lv-LV"/>
    </w:rPr>
  </w:style>
  <w:style w:type="character" w:styleId="FootnoteReference">
    <w:name w:val="footnote reference"/>
    <w:uiPriority w:val="99"/>
    <w:unhideWhenUsed/>
    <w:rsid w:val="0014752B"/>
    <w:rPr>
      <w:shd w:val="clear" w:color="auto" w:fill="auto"/>
      <w:vertAlign w:val="superscript"/>
    </w:rPr>
  </w:style>
  <w:style w:type="paragraph" w:styleId="ListParagraph">
    <w:name w:val="List Paragraph"/>
    <w:basedOn w:val="Normal"/>
    <w:uiPriority w:val="34"/>
    <w:qFormat/>
    <w:rsid w:val="00CC5A63"/>
    <w:pPr>
      <w:widowControl/>
      <w:spacing w:after="160" w:line="259" w:lineRule="auto"/>
      <w:ind w:left="720"/>
      <w:contextualSpacing/>
    </w:pPr>
    <w:rPr>
      <w:rFonts w:ascii="Calibri" w:eastAsia="Calibri" w:hAnsi="Calibri"/>
      <w:sz w:val="22"/>
      <w:szCs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48CF-8DE1-4905-919A-93C93311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1BD0296D.dotm</Template>
  <TotalTime>0</TotalTime>
  <Pages>11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LUTOVS Vladimirs</dc:creator>
  <cp:keywords/>
  <dc:description/>
  <cp:lastModifiedBy>GROTUS Zane</cp:lastModifiedBy>
  <cp:revision>2</cp:revision>
  <cp:lastPrinted>2004-11-04T08:41:00Z</cp:lastPrinted>
  <dcterms:created xsi:type="dcterms:W3CDTF">2017-05-10T10:08:00Z</dcterms:created>
  <dcterms:modified xsi:type="dcterms:W3CDTF">2017-05-10T10:08:00Z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1124559</vt:lpwstr>
  </property>
  <property fmtid="{D5CDD505-2E9C-101B-9397-08002B2CF9AE}" pid="5" name="&lt;Type&gt;">
    <vt:lpwstr>PR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\\eiciLUXpr1\pdocep$\DocEP\TRANSFIL\LV\PR_COD_1amCom.LV(14/10/2016 10:33:13)</vt:lpwstr>
  </property>
  <property fmtid="{D5CDD505-2E9C-101B-9397-08002B2CF9AE}" pid="8" name="&lt;Model&gt;">
    <vt:lpwstr>PR_COD_1amCom</vt:lpwstr>
  </property>
  <property fmtid="{D5CDD505-2E9C-101B-9397-08002B2CF9AE}" pid="9" name="FooterPath">
    <vt:lpwstr>PR\1124559LV.docx</vt:lpwstr>
  </property>
  <property fmtid="{D5CDD505-2E9C-101B-9397-08002B2CF9AE}" pid="10" name="PE Number">
    <vt:lpwstr>602.843</vt:lpwstr>
  </property>
  <property fmtid="{D5CDD505-2E9C-101B-9397-08002B2CF9AE}" pid="11" name="SDLStudio">
    <vt:lpwstr>YES</vt:lpwstr>
  </property>
  <property fmtid="{D5CDD505-2E9C-101B-9397-08002B2CF9AE}" pid="12" name="&lt;Extension&gt;">
    <vt:lpwstr>LV</vt:lpwstr>
  </property>
  <property fmtid="{D5CDD505-2E9C-101B-9397-08002B2CF9AE}" pid="13" name="SubscribeElise">
    <vt:lpwstr/>
  </property>
  <property fmtid="{D5CDD505-2E9C-101B-9397-08002B2CF9AE}" pid="14" name="Bookout">
    <vt:lpwstr>OK - 2017/05/10 12:06</vt:lpwstr>
  </property>
</Properties>
</file>