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F71E5E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F71E5E" w:rsidRDefault="00A528BC" w:rsidP="003E2402">
            <w:pPr>
              <w:pStyle w:val="EPName"/>
            </w:pPr>
            <w:r w:rsidRPr="00F71E5E">
              <w:t>Europski parlament</w:t>
            </w:r>
          </w:p>
          <w:p w:rsidR="00E856D2" w:rsidRPr="00F71E5E" w:rsidRDefault="00401B8F" w:rsidP="00401B8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71E5E">
              <w:t>2014-2019</w:t>
            </w:r>
          </w:p>
        </w:tc>
        <w:tc>
          <w:tcPr>
            <w:tcW w:w="2268" w:type="dxa"/>
            <w:shd w:val="clear" w:color="auto" w:fill="auto"/>
          </w:tcPr>
          <w:p w:rsidR="00E856D2" w:rsidRPr="00F71E5E" w:rsidRDefault="00EE3B4A" w:rsidP="003E2402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1.8pt;height:51.6pt">
                  <v:imagedata r:id="rId7" o:title="EP logo RGB_Mute"/>
                </v:shape>
              </w:pict>
            </w:r>
          </w:p>
        </w:tc>
      </w:tr>
    </w:tbl>
    <w:p w:rsidR="001746D0" w:rsidRPr="00F71E5E" w:rsidRDefault="001746D0" w:rsidP="001746D0">
      <w:pPr>
        <w:pStyle w:val="LineTop"/>
      </w:pPr>
    </w:p>
    <w:p w:rsidR="001746D0" w:rsidRPr="00F71E5E" w:rsidRDefault="001746D0" w:rsidP="001746D0">
      <w:pPr>
        <w:pStyle w:val="ZCommittee"/>
      </w:pPr>
      <w:r w:rsidRPr="00F71E5E">
        <w:rPr>
          <w:rStyle w:val="HideTWBExt"/>
          <w:noProof w:val="0"/>
        </w:rPr>
        <w:t>&lt;</w:t>
      </w:r>
      <w:r w:rsidRPr="00F71E5E">
        <w:rPr>
          <w:rStyle w:val="HideTWBExt"/>
          <w:i w:val="0"/>
          <w:noProof w:val="0"/>
        </w:rPr>
        <w:t>Commission</w:t>
      </w:r>
      <w:r w:rsidRPr="00F71E5E">
        <w:rPr>
          <w:rStyle w:val="HideTWBExt"/>
          <w:noProof w:val="0"/>
        </w:rPr>
        <w:t>&gt;</w:t>
      </w:r>
      <w:r w:rsidRPr="00F71E5E">
        <w:rPr>
          <w:rStyle w:val="HideTWBInt"/>
        </w:rPr>
        <w:t>{FEMM}</w:t>
      </w:r>
      <w:r w:rsidRPr="00F71E5E">
        <w:t>Odbor za prava žena i jednakost spolova</w:t>
      </w:r>
      <w:r w:rsidRPr="00F71E5E">
        <w:rPr>
          <w:rStyle w:val="HideTWBExt"/>
          <w:noProof w:val="0"/>
        </w:rPr>
        <w:t>&lt;/</w:t>
      </w:r>
      <w:r w:rsidRPr="00F71E5E">
        <w:rPr>
          <w:rStyle w:val="HideTWBExt"/>
          <w:i w:val="0"/>
          <w:noProof w:val="0"/>
        </w:rPr>
        <w:t>Commission</w:t>
      </w:r>
      <w:r w:rsidRPr="00F71E5E">
        <w:rPr>
          <w:rStyle w:val="HideTWBExt"/>
          <w:noProof w:val="0"/>
        </w:rPr>
        <w:t>&gt;</w:t>
      </w:r>
    </w:p>
    <w:p w:rsidR="001746D0" w:rsidRPr="00F71E5E" w:rsidRDefault="001746D0" w:rsidP="001746D0">
      <w:pPr>
        <w:pStyle w:val="LineBottom"/>
      </w:pPr>
    </w:p>
    <w:p w:rsidR="002E2F2E" w:rsidRPr="00F71E5E" w:rsidRDefault="002E2F2E">
      <w:pPr>
        <w:pStyle w:val="RefProc"/>
      </w:pPr>
      <w:r w:rsidRPr="00F71E5E">
        <w:rPr>
          <w:rStyle w:val="HideTWBExt"/>
          <w:b w:val="0"/>
          <w:noProof w:val="0"/>
        </w:rPr>
        <w:t>&lt;</w:t>
      </w:r>
      <w:r w:rsidRPr="00F71E5E">
        <w:rPr>
          <w:rStyle w:val="HideTWBExt"/>
          <w:b w:val="0"/>
          <w:caps w:val="0"/>
          <w:noProof w:val="0"/>
        </w:rPr>
        <w:t>RefProc</w:t>
      </w:r>
      <w:r w:rsidRPr="00F71E5E">
        <w:rPr>
          <w:rStyle w:val="HideTWBExt"/>
          <w:b w:val="0"/>
          <w:noProof w:val="0"/>
        </w:rPr>
        <w:t>&gt;</w:t>
      </w:r>
      <w:r w:rsidRPr="00F71E5E">
        <w:t>2015/2129(INI)</w:t>
      </w:r>
      <w:r w:rsidRPr="00F71E5E">
        <w:rPr>
          <w:rStyle w:val="HideTWBExt"/>
          <w:b w:val="0"/>
          <w:noProof w:val="0"/>
        </w:rPr>
        <w:t>&lt;/</w:t>
      </w:r>
      <w:r w:rsidRPr="00F71E5E">
        <w:rPr>
          <w:rStyle w:val="HideTWBExt"/>
          <w:b w:val="0"/>
          <w:caps w:val="0"/>
          <w:noProof w:val="0"/>
        </w:rPr>
        <w:t>RefProc</w:t>
      </w:r>
      <w:r w:rsidRPr="00F71E5E">
        <w:rPr>
          <w:rStyle w:val="HideTWBExt"/>
          <w:b w:val="0"/>
          <w:noProof w:val="0"/>
        </w:rPr>
        <w:t>&gt;</w:t>
      </w:r>
    </w:p>
    <w:p w:rsidR="002E2F2E" w:rsidRPr="00F71E5E" w:rsidRDefault="002E2F2E">
      <w:pPr>
        <w:pStyle w:val="ZDate"/>
      </w:pPr>
      <w:r w:rsidRPr="00F71E5E">
        <w:rPr>
          <w:rStyle w:val="HideTWBExt"/>
          <w:noProof w:val="0"/>
        </w:rPr>
        <w:t>&lt;Date&gt;</w:t>
      </w:r>
      <w:r w:rsidRPr="00F71E5E">
        <w:rPr>
          <w:rStyle w:val="HideTWBInt"/>
        </w:rPr>
        <w:t>{04/07/2017}</w:t>
      </w:r>
      <w:r w:rsidRPr="00F71E5E">
        <w:t>4.7.2017</w:t>
      </w:r>
      <w:r w:rsidRPr="00F71E5E">
        <w:rPr>
          <w:rStyle w:val="HideTWBExt"/>
          <w:noProof w:val="0"/>
        </w:rPr>
        <w:t>&lt;/Date&gt;</w:t>
      </w:r>
    </w:p>
    <w:p w:rsidR="002E2F2E" w:rsidRPr="00F71E5E" w:rsidRDefault="002E2F2E">
      <w:pPr>
        <w:pStyle w:val="TypeDoc"/>
      </w:pPr>
      <w:r w:rsidRPr="00F71E5E">
        <w:rPr>
          <w:rStyle w:val="HideTWBExt"/>
          <w:b w:val="0"/>
          <w:noProof w:val="0"/>
        </w:rPr>
        <w:t>&lt;TitreType&gt;</w:t>
      </w:r>
      <w:r w:rsidRPr="00F71E5E">
        <w:t>MIŠLJENJE</w:t>
      </w:r>
      <w:r w:rsidRPr="00F71E5E">
        <w:rPr>
          <w:rStyle w:val="HideTWBExt"/>
          <w:b w:val="0"/>
          <w:noProof w:val="0"/>
        </w:rPr>
        <w:t>&lt;/TitreType&gt;</w:t>
      </w:r>
    </w:p>
    <w:p w:rsidR="002E2F2E" w:rsidRPr="00F71E5E" w:rsidRDefault="002E2F2E">
      <w:pPr>
        <w:pStyle w:val="Cover24"/>
      </w:pPr>
      <w:r w:rsidRPr="00F71E5E">
        <w:rPr>
          <w:rStyle w:val="HideTWBExt"/>
          <w:noProof w:val="0"/>
        </w:rPr>
        <w:t>&lt;CommissionResp&gt;</w:t>
      </w:r>
      <w:r w:rsidRPr="00F71E5E">
        <w:t>Odbora za prava žena i jednakost spolova</w:t>
      </w:r>
      <w:r w:rsidRPr="00F71E5E">
        <w:rPr>
          <w:rStyle w:val="HideTWBExt"/>
          <w:noProof w:val="0"/>
        </w:rPr>
        <w:t>&lt;/CommissionResp&gt;</w:t>
      </w:r>
    </w:p>
    <w:p w:rsidR="002E2F2E" w:rsidRPr="00F71E5E" w:rsidRDefault="002E2F2E">
      <w:pPr>
        <w:pStyle w:val="Cover24"/>
      </w:pPr>
      <w:r w:rsidRPr="00F71E5E">
        <w:rPr>
          <w:rStyle w:val="HideTWBExt"/>
          <w:noProof w:val="0"/>
        </w:rPr>
        <w:t>&lt;CommissionInt&gt;</w:t>
      </w:r>
      <w:r w:rsidRPr="00F71E5E">
        <w:t>upućeno Odboru za građanske slobode, pravosuđe i unutarnje poslove</w:t>
      </w:r>
      <w:r w:rsidRPr="00F71E5E">
        <w:rPr>
          <w:rStyle w:val="HideTWBExt"/>
          <w:noProof w:val="0"/>
        </w:rPr>
        <w:t>&lt;/CommissionInt&gt;</w:t>
      </w:r>
    </w:p>
    <w:p w:rsidR="002E2F2E" w:rsidRPr="00F71E5E" w:rsidRDefault="002E2F2E">
      <w:pPr>
        <w:pStyle w:val="CoverNormal"/>
      </w:pPr>
      <w:r w:rsidRPr="00F71E5E">
        <w:rPr>
          <w:rStyle w:val="HideTWBExt"/>
          <w:noProof w:val="0"/>
        </w:rPr>
        <w:t>&lt;Titre&gt;</w:t>
      </w:r>
      <w:r w:rsidRPr="00F71E5E">
        <w:t>o provedbi Direktive 2011/93/EU Europskog parlamenta i Vijeća od 13. prosinca 2011. o suzbijanju seksualnog zlostavljanja i seksualnog iskorištavanja djece i dječje pornografije</w:t>
      </w:r>
      <w:r w:rsidRPr="00F71E5E">
        <w:rPr>
          <w:rStyle w:val="HideTWBExt"/>
          <w:noProof w:val="0"/>
        </w:rPr>
        <w:t>&lt;/Titre&gt;</w:t>
      </w:r>
    </w:p>
    <w:p w:rsidR="002E2F2E" w:rsidRPr="00F71E5E" w:rsidRDefault="002E2F2E">
      <w:pPr>
        <w:pStyle w:val="Cover24"/>
      </w:pPr>
      <w:r w:rsidRPr="00F71E5E">
        <w:rPr>
          <w:rStyle w:val="HideTWBExt"/>
          <w:noProof w:val="0"/>
        </w:rPr>
        <w:t>&lt;DocRef&gt;</w:t>
      </w:r>
      <w:r w:rsidRPr="00F71E5E">
        <w:t>(2015/2129(INI))</w:t>
      </w:r>
      <w:r w:rsidRPr="00F71E5E">
        <w:rPr>
          <w:rStyle w:val="HideTWBExt"/>
          <w:noProof w:val="0"/>
        </w:rPr>
        <w:t>&lt;/DocRef&gt;</w:t>
      </w:r>
    </w:p>
    <w:p w:rsidR="002E2F2E" w:rsidRPr="00F71E5E" w:rsidRDefault="00401B8F">
      <w:pPr>
        <w:pStyle w:val="Cover24"/>
      </w:pPr>
      <w:r w:rsidRPr="00F71E5E">
        <w:t xml:space="preserve">Izvjestiteljica za mišljenje: </w:t>
      </w:r>
      <w:r w:rsidRPr="00F71E5E">
        <w:rPr>
          <w:rStyle w:val="HideTWBExt"/>
          <w:noProof w:val="0"/>
        </w:rPr>
        <w:t>&lt;Depute&gt;</w:t>
      </w:r>
      <w:r w:rsidRPr="00F71E5E">
        <w:t>Clare Moody</w:t>
      </w:r>
      <w:r w:rsidRPr="00F71E5E">
        <w:rPr>
          <w:rStyle w:val="HideTWBExt"/>
          <w:noProof w:val="0"/>
        </w:rPr>
        <w:t>&lt;/Depute&gt;</w:t>
      </w:r>
    </w:p>
    <w:p w:rsidR="00A72C35" w:rsidRPr="00F71E5E" w:rsidRDefault="00A72C35" w:rsidP="00A72C35">
      <w:pPr>
        <w:pStyle w:val="CoverNormal"/>
      </w:pPr>
    </w:p>
    <w:p w:rsidR="002E2F2E" w:rsidRPr="00F71E5E" w:rsidRDefault="002E2F2E" w:rsidP="00E856D2">
      <w:pPr>
        <w:widowControl/>
        <w:tabs>
          <w:tab w:val="center" w:pos="4677"/>
        </w:tabs>
      </w:pPr>
      <w:r w:rsidRPr="00F71E5E">
        <w:br w:type="page"/>
        <w:t>PA_NonLeg</w:t>
      </w:r>
    </w:p>
    <w:p w:rsidR="002E2F2E" w:rsidRPr="00F71E5E" w:rsidRDefault="002E2F2E">
      <w:pPr>
        <w:pStyle w:val="PageHeadingNotTOC"/>
      </w:pPr>
      <w:r w:rsidRPr="00F71E5E">
        <w:br w:type="page"/>
        <w:t>PRIJEDLOZI</w:t>
      </w:r>
    </w:p>
    <w:p w:rsidR="002E2F2E" w:rsidRPr="00F71E5E" w:rsidRDefault="00401B8F">
      <w:pPr>
        <w:pStyle w:val="Normal12Tab"/>
      </w:pPr>
      <w:r w:rsidRPr="00F71E5E">
        <w:t>Odbor za prava žena i jednakost spolova poziva Odbor za građanske slobode, pravosuđe i unutarnje poslove da kao nadležni odbor u prijedlog rezolucije koji će usvojiti uvrsti sljedeće prijedloge:</w:t>
      </w:r>
    </w:p>
    <w:p w:rsidR="00A911EF" w:rsidRPr="00F71E5E" w:rsidRDefault="00A911EF" w:rsidP="00A911EF">
      <w:pPr>
        <w:pStyle w:val="Hanging12"/>
      </w:pPr>
      <w:r w:rsidRPr="00F71E5E">
        <w:t>A.</w:t>
      </w:r>
      <w:r w:rsidRPr="00F71E5E">
        <w:tab/>
        <w:t xml:space="preserve">budući da istraživanja pokazuju da seksualno zlostavljanje djece više pogađa djevojčice nego dječake (stopa raširenosti iznosi 13,4 % za djevojčice i 5,7 % za dječake) i da su počinitelji prvenstveno muškarci; budući da se rodna perspektiva mora odraziti u prevenciji seksualnog zlostavljanja djece i zaštiti od te pojave; </w:t>
      </w:r>
    </w:p>
    <w:p w:rsidR="00A911EF" w:rsidRPr="00F71E5E" w:rsidRDefault="00A911EF" w:rsidP="00A911EF">
      <w:pPr>
        <w:pStyle w:val="Hanging12"/>
      </w:pPr>
      <w:r w:rsidRPr="00F71E5E">
        <w:t>B.</w:t>
      </w:r>
      <w:r w:rsidRPr="00F71E5E">
        <w:tab/>
        <w:t>budući da izloženost pornografiji može povećati ranjivost djece i mladih u vezi sa seksualnim zlostavljanjem i iskorištavanjem; budući da je prema statističkim podacima u slučaju 12 % internetskih stranica riječ o pornografskim internetskim stranicama na kojima ponekad mogu biti skrivene i videosnimke s dječjom pornografijom; budući da svatko, bez obzira na dob, može pristupiti tim stranicama i preuzeti videosnimke po želji;</w:t>
      </w:r>
    </w:p>
    <w:p w:rsidR="00A911EF" w:rsidRPr="00F71E5E" w:rsidRDefault="00A911EF" w:rsidP="00A911EF">
      <w:pPr>
        <w:pStyle w:val="Hanging12"/>
      </w:pPr>
      <w:r w:rsidRPr="00F71E5E">
        <w:t>C.</w:t>
      </w:r>
      <w:r w:rsidRPr="00F71E5E">
        <w:tab/>
        <w:t>budući da se žrtve seksualnog iskorištavanja suočavaju s ozbiljnim fizičkim i psihičkim rizicima koji mogu utjecati na njihov privatni i društveni život;</w:t>
      </w:r>
    </w:p>
    <w:p w:rsidR="00A911EF" w:rsidRPr="00F71E5E" w:rsidRDefault="00A911EF" w:rsidP="00A911EF">
      <w:pPr>
        <w:pStyle w:val="Hanging12"/>
      </w:pPr>
      <w:r w:rsidRPr="00F71E5E">
        <w:t>D.</w:t>
      </w:r>
      <w:r w:rsidRPr="00F71E5E">
        <w:tab/>
        <w:t>budući da su djevojčice koje bježe pred sukobom i progonom suočene s povišenim rizikom od silovanja, seksualnog zlostavljanja i iskorištavanja, kao i prisilnog braka te budući da istraživanja ukazuju na to da zbog jezičnih prepreka, kulturnih tabua, straha od nedolaska na konačno odredište i drugih čimbenika neka djeca izbjeglice i žrtve takvih postupaka ne prijavljuju te slučajeve nadležnim tijelima;</w:t>
      </w:r>
    </w:p>
    <w:p w:rsidR="00A911EF" w:rsidRPr="00F71E5E" w:rsidRDefault="00A911EF" w:rsidP="00A911EF">
      <w:pPr>
        <w:pStyle w:val="Hanging12"/>
      </w:pPr>
      <w:r w:rsidRPr="00F71E5E">
        <w:t>1.</w:t>
      </w:r>
      <w:r w:rsidRPr="00F71E5E">
        <w:tab/>
        <w:t>zabrinut je zbog činjenice da širenje erotskog i pornografskog materijala bez suglasnosti, uključujući širenje na internetu i preko društvenih medija, kao što je takozvana „osvetnička pornografija” koja je sve rašireniji oblik zlostavljanja i proganjanja, pretežno pogađa žene i djevojčice, od kojih su neke mlađe od zakonski propisane dobi za pristanak na spolni odnos; poziva države članice da nadziru internet kako bi se brzo i učinkovito onemogućila „osvetnička pornografija” te da uvedu niz zakonodavnih politika za sprečavanje i kažnjavanje tog novog oblika kriminala; poziva internetsku industriju da preuzme svoj dio odgovornosti za tu pojavu; ističe potrebu za obrazovanjem i podizanjem razine osviještenosti svih, posebice djevojčica i dječaka, uzimajući u obzir moguće posljedice bilježenja vlastitih intimnih zapisa, kao što su fotografije i videozapisi, i njihova stavljanja na raspolaganje drugima; ističe potrebu za podizanjem razine osviještenosti i izobrazbom o tom pitanju djelatnika iz područja obrazovanja, onih koji rade s mladima i u zajednici te volontera, kao i za jačanjem kapaciteta tijela kaznenog progona radi suočavanja s tim rizicima na rodno osjetljiv način;</w:t>
      </w:r>
    </w:p>
    <w:p w:rsidR="00A911EF" w:rsidRPr="00F71E5E" w:rsidRDefault="00A911EF" w:rsidP="00A911EF">
      <w:pPr>
        <w:pStyle w:val="Hanging12"/>
      </w:pPr>
      <w:r w:rsidRPr="00F71E5E">
        <w:t xml:space="preserve">2. </w:t>
      </w:r>
      <w:r w:rsidRPr="00F71E5E">
        <w:tab/>
        <w:t>potiče nadležna tijela u državama članicama da u svoje programe sveobuhvatnog seksualnog odgoja i odgoja o odnosima uvrste obrazovanje djevojčica i dječaka o odnosima utemeljenima na pristanku, poštovanju i uzajamnosti, s obzirom na to da istraživanja pokazuju da je sveobuhvatni seksualni odgoj i odgoj o odnosima utemeljen na pravima odgovarajući i učinkovit način da se djeca i mladi zaštite od rizika od zlouporabe i seksualnog iskorištavanja;</w:t>
      </w:r>
    </w:p>
    <w:p w:rsidR="00A911EF" w:rsidRPr="00F71E5E" w:rsidRDefault="00A911EF" w:rsidP="00A911EF">
      <w:pPr>
        <w:pStyle w:val="Hanging12"/>
      </w:pPr>
      <w:r w:rsidRPr="00F71E5E">
        <w:t>3.</w:t>
      </w:r>
      <w:r w:rsidRPr="00F71E5E">
        <w:tab/>
        <w:t>poziva države članice u kojima seksualni odgoj i odgoj o odnosima nije obvezan (Bugarska, Hrvatska, Mađarska, Italija, Litva, Rumunjska, Slovačka i Španjolska) da ga uvedu; poziva sve države članice da propišu da se u području seksualnog odgoja i odgoja o odnosima naglasak stavi na pristanak na spolni odnos;</w:t>
      </w:r>
    </w:p>
    <w:p w:rsidR="00A911EF" w:rsidRPr="00F71E5E" w:rsidRDefault="00A911EF" w:rsidP="00A911EF">
      <w:pPr>
        <w:pStyle w:val="Hanging12"/>
      </w:pPr>
      <w:r w:rsidRPr="00F71E5E">
        <w:t>4.</w:t>
      </w:r>
      <w:r w:rsidRPr="00F71E5E">
        <w:tab/>
        <w:t>ističe važnost programa digitalne pismenosti i internetske sigurnosti u školama, koji su nužni za djecu, ali i za roditelje i osobe koje su u dodiru s djecom; potiče države članice da pokrenu informativne kampanje o kibernetičkoj sigurnosti i načelima etičkog ponašanja na internetu u pogledu osobne privatnosti i privatnosti drugih; napominje da se obrazovni programi i sadržaji u kojima se obrađuju ta pitanja također moraju usredotočiti na muškarce i dječake, pri čemu će se suzbijati rodni stereotipi i seksizam te ponašanje koje dovodi do uznemiravanja na internetu;</w:t>
      </w:r>
    </w:p>
    <w:p w:rsidR="00A911EF" w:rsidRPr="00F71E5E" w:rsidRDefault="00A911EF" w:rsidP="00A911EF">
      <w:pPr>
        <w:pStyle w:val="Hanging12"/>
      </w:pPr>
      <w:r w:rsidRPr="00F71E5E">
        <w:t>5.</w:t>
      </w:r>
      <w:r w:rsidRPr="00F71E5E">
        <w:tab/>
        <w:t>poziva države članice da u suradnji s pravosudnim i policijskim tijelima poboljšaju sustav „roditeljske kontrole” korištenjem novih tehnologija, uključujući aplikacije za pametne telefone, kako bi se djeca bolje zaštitila;</w:t>
      </w:r>
    </w:p>
    <w:p w:rsidR="00A911EF" w:rsidRPr="00F71E5E" w:rsidRDefault="00A911EF" w:rsidP="00A911EF">
      <w:pPr>
        <w:pStyle w:val="Hanging12"/>
      </w:pPr>
      <w:r w:rsidRPr="00F71E5E">
        <w:t>6.</w:t>
      </w:r>
      <w:r w:rsidRPr="00F71E5E">
        <w:tab/>
        <w:t>ističe da je od rane dobi među svim djevojčicama i dječacima potrebno podizati razinu osviještenosti o načinima na koje se mogu zaštititi na internetu te o važnosti poštovanja dostojanstva i privatnosti drugih u digitalnom dobu; potiče države članice da među svim uključenim akterima, kao što su učitelji, odgajatelji i tijela kaznenog progona, razmjenjuju najbolje prakse o nastavnom materijalu i programima osposobljavanja u području mamljenja i ostalih opasnosti za sigurnost djece, a posebno djevojčica, na internetu; podsjeća na to da je podizanje razine osviještenosti roditelja i drugih srodnika jednako važno kao i podizanje razine osviještenosti same djece;</w:t>
      </w:r>
    </w:p>
    <w:p w:rsidR="00A911EF" w:rsidRPr="00F71E5E" w:rsidRDefault="00A911EF" w:rsidP="00A911EF">
      <w:pPr>
        <w:pStyle w:val="Hanging12"/>
      </w:pPr>
      <w:r w:rsidRPr="00F71E5E">
        <w:t>7.</w:t>
      </w:r>
      <w:r w:rsidRPr="00F71E5E">
        <w:tab/>
        <w:t xml:space="preserve">smatra da uklanjanje sadržaja treba i dalje biti prioritet, no prepoznaje da to može biti dugotrajan postupak; stoga smatra da bi trebalo uspostaviti mehanizme za brzo blokiranje sadržaja te ubrzati postupak njihova uklanjanja; </w:t>
      </w:r>
    </w:p>
    <w:p w:rsidR="00A911EF" w:rsidRPr="00F71E5E" w:rsidRDefault="00A911EF" w:rsidP="00A911EF">
      <w:pPr>
        <w:pStyle w:val="Hanging12"/>
      </w:pPr>
      <w:r w:rsidRPr="00F71E5E">
        <w:t>8.</w:t>
      </w:r>
      <w:r w:rsidRPr="00F71E5E">
        <w:tab/>
        <w:t>poziva države članice da u obzir uzmu snažnu rodnu dimenziju koja je vidljiva u stopama prijavljivanja slučajeva zlostavljanja, s obzirom na to da dječaci i muškarci manje prijavljuju zlostavljanje od djevojčica i žena, koje pak često odgađaju prijavljivanje zlostavljanja koje su doživjele;</w:t>
      </w:r>
    </w:p>
    <w:p w:rsidR="00A911EF" w:rsidRPr="00F71E5E" w:rsidRDefault="00A911EF" w:rsidP="00A911EF">
      <w:pPr>
        <w:pStyle w:val="Hanging12"/>
      </w:pPr>
      <w:r w:rsidRPr="00F71E5E">
        <w:t>9.</w:t>
      </w:r>
      <w:r w:rsidRPr="00F71E5E">
        <w:tab/>
        <w:t>preporučuje da pri prenošenju članka 15. ili izmjeni zakonskih odredaba o zastari slučajeva u kojima maloljetnici sami prijavljuju kaznena djela seksualnog nasilja koja su nad njima počinjena svaka zastara teče od datuma punoljetnosti, a ne od datuma počinjenja kaznenog djela;</w:t>
      </w:r>
    </w:p>
    <w:p w:rsidR="00A911EF" w:rsidRPr="00F71E5E" w:rsidRDefault="00A911EF" w:rsidP="00A911EF">
      <w:pPr>
        <w:pStyle w:val="Hanging12"/>
      </w:pPr>
      <w:r w:rsidRPr="00F71E5E">
        <w:t>10.</w:t>
      </w:r>
      <w:r w:rsidRPr="00F71E5E">
        <w:tab/>
        <w:t>apelira na devet država članica koje još nisu prenijele članak 15. stavak 4. o identifikaciji žrtava da to učine bez odgode te da ga provedu primjerice uspostavom specijaliziranih istražnih timova, ulaganjem u forenzičke alate i sudjelovanjem u prekograničnim istragama;</w:t>
      </w:r>
    </w:p>
    <w:p w:rsidR="00A911EF" w:rsidRPr="00F71E5E" w:rsidRDefault="00A911EF" w:rsidP="00A911EF">
      <w:pPr>
        <w:pStyle w:val="Hanging12"/>
      </w:pPr>
      <w:r w:rsidRPr="00F71E5E">
        <w:t>11.</w:t>
      </w:r>
      <w:r w:rsidRPr="00F71E5E">
        <w:tab/>
        <w:t>poziva države članice da pojačaju suradnju i razmjenjuju podatke za identifikaciju djece žrtava seksualnog zlostavljanja, uključujući nestalu djecu, naročito djevojčice koje su posebno izložene riziku od trgovine ljudima i seksualnog iskorištavanja;</w:t>
      </w:r>
    </w:p>
    <w:p w:rsidR="00A911EF" w:rsidRPr="00F71E5E" w:rsidRDefault="00A911EF" w:rsidP="00A911EF">
      <w:pPr>
        <w:pStyle w:val="Hanging12"/>
      </w:pPr>
      <w:r w:rsidRPr="00F71E5E">
        <w:t>12.</w:t>
      </w:r>
      <w:r w:rsidRPr="00F71E5E">
        <w:tab/>
        <w:t>poziva Komisiju da ulaže u kontinuirane transnacionalne programe identifikacije djece žrtava tako da pomaže državama članicama u području njihovih forenzičkih kapaciteta i surađuje u tom području, među ostalim u razvoju specijaliziranih ljudskih resursa i opreme;</w:t>
      </w:r>
    </w:p>
    <w:p w:rsidR="00A911EF" w:rsidRPr="00F71E5E" w:rsidRDefault="00A911EF" w:rsidP="00A911EF">
      <w:pPr>
        <w:pStyle w:val="Hanging12"/>
      </w:pPr>
      <w:r w:rsidRPr="00F71E5E">
        <w:t>13.</w:t>
      </w:r>
      <w:r w:rsidRPr="00F71E5E">
        <w:tab/>
        <w:t>poziva države članice da pri identifikaciji potencijalnih žrtava veću pozornost posvete ranjivim skupinama djece, kao što su djeca romske nacionalnosti, djeca s mentalnim invaliditetom i djeca izbjeglice, a posebno maloljetnim osobama bez pratnje i djeci tražiteljima azila u pritvoru koja su izložena riziku od seksualnog zlostavljanja i iskorištavanja u institucijama, izbjegličkim kampovima ili centrima za azil; stoga ističe važnost mjera kao što su sigurnosne provjere osoblja, socijalnih radnika i volontera koji su u dodiru s djecom, uspostava sustava izvješćivanja i pružanje pomoći žrtvama; u tom pogledu ističe da mjere potpore za žrtve nisu važne samo tijekom postupka istrage o seksualnom zlostavljanju ili iskorištavanju nego i u kasnijoj fazi kako bi im se pomoglo da prevladaju posttraumatski stres i dobiju odgovarajuće medicinsko i psihološko savjetovanje te pravnu pomoć; poziva države članice da poboljšaju komunikacijsku sposobnost sudaca, javnih tužitelja i policajaca pri provođenju istraga o seksualnom zlostavljanju ili iskorištavanju djece, s naglaskom na komunikaciji s djecom s posebnim potrebama, te da promiču druge mjere usmjerene na sprečavanje sekundarne viktimizacije;</w:t>
      </w:r>
    </w:p>
    <w:p w:rsidR="00A911EF" w:rsidRPr="00F71E5E" w:rsidRDefault="00A911EF" w:rsidP="00A911EF">
      <w:pPr>
        <w:pStyle w:val="Hanging12"/>
      </w:pPr>
      <w:r w:rsidRPr="00F71E5E">
        <w:t>14.</w:t>
      </w:r>
      <w:r w:rsidRPr="00F71E5E">
        <w:tab/>
        <w:t>poziva države članice da ojačaju mjere za zaštitu žrtava seksualnog zlostavljanja djece i ojačaju ulogu nacionalnih telefonskih linija za pomoć, pri čemu će primjenjivati rodno osjetljiv pristup;</w:t>
      </w:r>
    </w:p>
    <w:p w:rsidR="00A911EF" w:rsidRPr="00F71E5E" w:rsidRDefault="00A911EF" w:rsidP="00A911EF">
      <w:pPr>
        <w:pStyle w:val="Hanging12"/>
      </w:pPr>
      <w:r w:rsidRPr="00F71E5E">
        <w:t>15.</w:t>
      </w:r>
      <w:r w:rsidRPr="00F71E5E">
        <w:tab/>
        <w:t>inzistira na važnosti pravilnog prenošenja članka 20. stavka 3. točke (a) i apelira na države članice da pri saslušanju djece žrtava izraz „neopravdano odlaganje” tumače na konzervativan način; prepoznaje dobru praksu u Švedskoj gdje se saslušanje djeteta odvija u roku od dva tjedna od prijave kaznenog djela; nadalje, poziva države članice da uvedu potrebne mjere radi pravilnog prijenosa odredbe kojom se propisuju postupovni uvjeti potrebni za zaštitu djece od sekundarne viktimizacije;</w:t>
      </w:r>
    </w:p>
    <w:p w:rsidR="00A911EF" w:rsidRPr="00F71E5E" w:rsidRDefault="00A911EF" w:rsidP="00A911EF">
      <w:pPr>
        <w:pStyle w:val="Hanging12"/>
      </w:pPr>
      <w:r w:rsidRPr="00F71E5E">
        <w:t>16.</w:t>
      </w:r>
      <w:r w:rsidRPr="00F71E5E">
        <w:tab/>
        <w:t>sa zabrinutošću napominje da je trgovinom ljudima i seks-turizmom obuhvaćen znatan broj maloljetnih djevojčica; potiče Komisiju i države članice da pojačaju napore u borbi protiv dječjeg seks-turizma i trgovine ljudima te da se usredotoče na putničke agencije i tijela vlasti radi podizanja razine osviještenosti putnika o težini tih kaznenih djela;</w:t>
      </w:r>
    </w:p>
    <w:p w:rsidR="00A911EF" w:rsidRPr="00F71E5E" w:rsidRDefault="00A911EF" w:rsidP="00A911EF">
      <w:pPr>
        <w:pStyle w:val="Hanging12"/>
      </w:pPr>
      <w:r w:rsidRPr="00F71E5E">
        <w:t>17.</w:t>
      </w:r>
      <w:r w:rsidRPr="00F71E5E">
        <w:tab/>
        <w:t>poziva države članice i Komisiju da donesu zakonodavstvo kojim će se omogućiti osuđivanje putnika za koje se utvrdi da putuju u neku treću zemlju u seksualne svrhe koje uključuju maloljetnike i potom se vraćaju u EU;</w:t>
      </w:r>
    </w:p>
    <w:p w:rsidR="00A911EF" w:rsidRPr="00F71E5E" w:rsidRDefault="00A911EF" w:rsidP="00A911EF">
      <w:pPr>
        <w:pStyle w:val="Hanging12"/>
      </w:pPr>
      <w:r w:rsidRPr="00F71E5E">
        <w:t>18.</w:t>
      </w:r>
      <w:r w:rsidRPr="00F71E5E">
        <w:tab/>
        <w:t>poziva države članice i Komisiju da donesu zakonodavstvo kojim će se omogućiti osuđivanje turoperatora za koje se utvrdi da promiču seks-turizam koji uključuje maloljetnike;</w:t>
      </w:r>
    </w:p>
    <w:p w:rsidR="00A911EF" w:rsidRPr="00F71E5E" w:rsidRDefault="00A911EF" w:rsidP="00A911EF">
      <w:pPr>
        <w:pStyle w:val="Hanging12"/>
      </w:pPr>
      <w:r w:rsidRPr="00F71E5E">
        <w:t>19.</w:t>
      </w:r>
      <w:r w:rsidRPr="00F71E5E">
        <w:tab/>
        <w:t>poziva države članice da izdvoje veća sredstva za educiranje djece o tome kako potražiti pomoć i prepoznati počinitelje, uz istodobno educiranje odraslih o tome kako uočiti zlostavljanje i pružiti potporu djeci preko pojedinačnih usluga, kao i da povećaju sredstva za stručne istražitelje koji bi trebali biti upoznati s time kako rodne razlike utječu na način na koji djevojčice i dječaci reagiraju na seksualno zlostavljanje; nadalje ističe da je potrebno boriti se protiv ukorijenjenih rodnih stereotipa i sve veće seksualizacije djece u medijima;</w:t>
      </w:r>
    </w:p>
    <w:p w:rsidR="00A911EF" w:rsidRPr="00F71E5E" w:rsidRDefault="00A911EF" w:rsidP="00A911EF">
      <w:pPr>
        <w:pStyle w:val="Hanging12"/>
      </w:pPr>
      <w:r w:rsidRPr="00F71E5E">
        <w:t>20.</w:t>
      </w:r>
      <w:r w:rsidRPr="00F71E5E">
        <w:tab/>
        <w:t>ističe činjenicu da je preventivno djelovanje u cijelom EU-u slabo te poziva države članice da provedu članak 22. Direktive uspostavom programa intervencije za osobe za koje strahuju da bi mogle počiniti kaznena djela; potiče Komisiju da uspostavi redovitu prekograničnu razmjenu dobrih praksi u području preventivnih programa; poziva države članice da u skladu s člankom 24. stavka 1. uvedu obvezne programe intervencije za sve osuđene počinitelje kaznenih djela kako bi se spriječilo ponavljanje kaznenog djela;</w:t>
      </w:r>
    </w:p>
    <w:p w:rsidR="00A911EF" w:rsidRPr="00F71E5E" w:rsidRDefault="00A911EF" w:rsidP="00A911EF">
      <w:pPr>
        <w:pStyle w:val="Hanging12"/>
      </w:pPr>
      <w:r w:rsidRPr="00F71E5E">
        <w:t>21.</w:t>
      </w:r>
      <w:r w:rsidRPr="00F71E5E">
        <w:tab/>
        <w:t>potiče razmjenu stajališta među službenicima odgovornima za zaštitu djece, pedijatrima, obrazovnim institucijama te organizacijama za djecu i mlade pri istraživanju slučajeva zlostavljanja djece kako bi im se omogućilo da imaju aktivnu ulogu pri podizanju razine osviještenosti o tom pitanju;</w:t>
      </w:r>
    </w:p>
    <w:p w:rsidR="00A911EF" w:rsidRPr="00F71E5E" w:rsidRDefault="00A911EF" w:rsidP="00A911EF">
      <w:pPr>
        <w:pStyle w:val="Hanging12"/>
      </w:pPr>
      <w:r w:rsidRPr="00F71E5E">
        <w:t>22.</w:t>
      </w:r>
      <w:r w:rsidRPr="00F71E5E">
        <w:tab/>
        <w:t>prepoznaje postignuća INHOPE-a, mreže za suradnju od 46 dežurnih telefonskih linija, koji se zalaže za eliminiranje seksualnog zlostavljanja s interneta; poziva Komisiju da podrži države članice pri uvođenju takvih telefonskih linija u svakoj državi članici te pri usklađivanju relevantnih protokola;</w:t>
      </w:r>
    </w:p>
    <w:p w:rsidR="00A911EF" w:rsidRPr="00F71E5E" w:rsidRDefault="00A911EF" w:rsidP="00A911EF">
      <w:pPr>
        <w:pStyle w:val="Hanging12"/>
      </w:pPr>
      <w:r w:rsidRPr="00F71E5E">
        <w:t>23.</w:t>
      </w:r>
      <w:r w:rsidRPr="00F71E5E">
        <w:tab/>
        <w:t>potiče Komisiju i države članice da primjenjuju rodno osviješteno istraživanje i statističke podatke o seksualnom zlostavljanju i iskorištavanju djece kako bi se promicala razmjena dobrih praksi pri oblikovanju politika i provedbi programa;</w:t>
      </w:r>
    </w:p>
    <w:p w:rsidR="00A911EF" w:rsidRPr="00F71E5E" w:rsidRDefault="00A911EF" w:rsidP="00A911EF">
      <w:pPr>
        <w:pStyle w:val="Hanging12"/>
      </w:pPr>
      <w:r w:rsidRPr="00F71E5E">
        <w:t>24.</w:t>
      </w:r>
      <w:r w:rsidRPr="00F71E5E">
        <w:tab/>
        <w:t>napominje da nema dovoljno istraživanja o zlostavljanju s kojim se suočavaju mladi pripadnici skupine LGBTI; ističe da su potrebna daljnja istraživanja u tom području kojima se u obzir uzima seksualno nasilje i uznemiravanje s kojim se suočavaju pripadnici skupine LGBTI te ranjivost mladih beskućnika od kojih su mnogi pripadnici skupine LGBTI koji su pobjegli od kuće.</w:t>
      </w:r>
    </w:p>
    <w:p w:rsidR="00A911EF" w:rsidRPr="00F71E5E" w:rsidRDefault="00A911EF" w:rsidP="00A911EF"/>
    <w:p w:rsidR="00526D70" w:rsidRPr="00F71E5E" w:rsidRDefault="00526D70" w:rsidP="00526D70">
      <w:pPr>
        <w:pStyle w:val="PageHeadingNotTOC"/>
      </w:pPr>
      <w:r w:rsidRPr="00F71E5E">
        <w:br w:type="page"/>
      </w:r>
      <w:bookmarkStart w:id="0" w:name="ProcPageAD"/>
      <w:r w:rsidRPr="00F71E5E">
        <w:t xml:space="preserve">INFORMACIJE O USVAJANJU U ODBORU </w:t>
      </w:r>
      <w:r w:rsidR="00EE3B4A" w:rsidRPr="00EE3B4A">
        <w:t>ČIJE SE MIŠLJENJE TRAŽI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526D70" w:rsidRPr="00F71E5E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71E5E">
              <w:rPr>
                <w:b/>
                <w:bCs/>
                <w:color w:val="000000"/>
                <w:sz w:val="20"/>
              </w:rPr>
              <w:t>Datum usvajanja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71E5E">
              <w:rPr>
                <w:color w:val="000000"/>
                <w:sz w:val="20"/>
              </w:rPr>
              <w:t>26.6.2017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526D70" w:rsidRPr="00F71E5E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71E5E">
              <w:rPr>
                <w:b/>
                <w:bCs/>
                <w:color w:val="000000"/>
                <w:sz w:val="20"/>
              </w:rPr>
              <w:t>Rezultat konačnog glasovanja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71E5E">
              <w:rPr>
                <w:color w:val="000000"/>
                <w:sz w:val="20"/>
              </w:rPr>
              <w:t>+:</w:t>
            </w:r>
          </w:p>
          <w:p w:rsidR="00526D70" w:rsidRPr="00F71E5E" w:rsidRDefault="00526D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71E5E">
              <w:rPr>
                <w:color w:val="000000"/>
                <w:sz w:val="20"/>
              </w:rPr>
              <w:t>–:</w:t>
            </w:r>
          </w:p>
          <w:p w:rsidR="00526D70" w:rsidRPr="00F71E5E" w:rsidRDefault="00526D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71E5E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71E5E">
              <w:rPr>
                <w:color w:val="000000"/>
                <w:sz w:val="20"/>
              </w:rPr>
              <w:t>18</w:t>
            </w:r>
          </w:p>
          <w:p w:rsidR="00526D70" w:rsidRPr="00F71E5E" w:rsidRDefault="00526D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71E5E">
              <w:rPr>
                <w:color w:val="000000"/>
                <w:sz w:val="20"/>
              </w:rPr>
              <w:t>0</w:t>
            </w:r>
          </w:p>
          <w:p w:rsidR="00526D70" w:rsidRPr="00F71E5E" w:rsidRDefault="00526D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71E5E">
              <w:rPr>
                <w:color w:val="000000"/>
                <w:sz w:val="20"/>
              </w:rPr>
              <w:t>5</w:t>
            </w:r>
          </w:p>
        </w:tc>
      </w:tr>
      <w:tr w:rsidR="00526D70" w:rsidRPr="00F71E5E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71E5E">
              <w:rPr>
                <w:b/>
                <w:bCs/>
                <w:color w:val="000000"/>
                <w:sz w:val="20"/>
              </w:rPr>
              <w:t>Zastupnici nazočni na konačnom glasovanju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71E5E">
              <w:rPr>
                <w:color w:val="000000"/>
                <w:sz w:val="20"/>
              </w:rPr>
              <w:t>Maria Arena, Vilija Blinkevičiūtė, Mary Honeyball, Agnieszka Kozłowska-Rajewicz, Florent Marcellesi, Maria Noichl, Marijana Petir, João Pimenta Lopes, Ernest Urtasun, Jana Žitňanská</w:t>
            </w:r>
          </w:p>
        </w:tc>
      </w:tr>
      <w:tr w:rsidR="00526D70" w:rsidRPr="00F71E5E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71E5E">
              <w:rPr>
                <w:b/>
                <w:bCs/>
                <w:color w:val="000000"/>
                <w:sz w:val="20"/>
              </w:rPr>
              <w:t>Zamjenici nazočni na konačnom glasovanju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71E5E">
              <w:rPr>
                <w:color w:val="000000"/>
                <w:sz w:val="20"/>
              </w:rPr>
              <w:t>Catherine Bearder, Stefan Eck, Eleonora Forenza, Edouard Martin, Clare Moody, Mylène Troszczynski, Julie Ward, Marco Zullo</w:t>
            </w:r>
          </w:p>
        </w:tc>
      </w:tr>
      <w:tr w:rsidR="00526D70" w:rsidRPr="00F71E5E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71E5E">
              <w:rPr>
                <w:b/>
                <w:bCs/>
                <w:color w:val="000000"/>
                <w:sz w:val="20"/>
              </w:rPr>
              <w:t>Zamjenici nazočni na konačnom glasovanju prema čl. 200. st. 2.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6D70" w:rsidRPr="00F71E5E" w:rsidRDefault="00526D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71E5E">
              <w:rPr>
                <w:color w:val="000000"/>
                <w:sz w:val="20"/>
              </w:rPr>
              <w:t>James Carver, Claudia Schmidt, Molly Scott Cato, Axel Voss, Branislav Škripek</w:t>
            </w:r>
          </w:p>
        </w:tc>
      </w:tr>
    </w:tbl>
    <w:p w:rsidR="00A911EF" w:rsidRPr="00EE3B4A" w:rsidRDefault="00A911EF" w:rsidP="00EE3B4A"/>
    <w:p w:rsidR="00EE3B4A" w:rsidRPr="0099178F" w:rsidRDefault="00A911EF" w:rsidP="00EE3B4A">
      <w:pPr>
        <w:pStyle w:val="PageHeadingNotTOC"/>
      </w:pPr>
      <w:r w:rsidRPr="00EE3B4A">
        <w:br w:type="page"/>
      </w:r>
      <w:bookmarkStart w:id="1" w:name="RollCallPageAD"/>
      <w:bookmarkEnd w:id="0"/>
      <w:r w:rsidR="00EE3B4A">
        <w:t>KONAČNO GLASOVANJE POIMENIČNIM GLASOVANJEM</w:t>
      </w:r>
      <w:r w:rsidR="00EE3B4A">
        <w:br/>
        <w:t>U ODBORU ČIJE SE MIŠLJENJE TRAŽI</w:t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E3B4A" w:rsidRPr="00542DB2" w:rsidTr="001F3504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EE3B4A" w:rsidRPr="00542DB2" w:rsidRDefault="00EE3B4A" w:rsidP="001F3504">
            <w:pPr>
              <w:spacing w:before="120" w:after="120"/>
              <w:jc w:val="center"/>
              <w:rPr>
                <w:b/>
                <w:sz w:val="20"/>
              </w:rPr>
            </w:pPr>
            <w:r w:rsidRPr="00542DB2">
              <w:rPr>
                <w:b/>
                <w:sz w:val="20"/>
              </w:rPr>
              <w:t>18</w:t>
            </w:r>
          </w:p>
        </w:tc>
        <w:tc>
          <w:tcPr>
            <w:tcW w:w="7371" w:type="dxa"/>
            <w:shd w:val="pct10" w:color="000000" w:fill="FFFFFF"/>
          </w:tcPr>
          <w:p w:rsidR="00EE3B4A" w:rsidRPr="00542DB2" w:rsidRDefault="00EE3B4A" w:rsidP="001F350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DB2"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EE3B4A" w:rsidRPr="00542DB2" w:rsidTr="001F3504">
        <w:trPr>
          <w:cantSplit/>
        </w:trPr>
        <w:tc>
          <w:tcPr>
            <w:tcW w:w="170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EPP</w:t>
            </w:r>
          </w:p>
        </w:tc>
        <w:tc>
          <w:tcPr>
            <w:tcW w:w="737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Agnieszka Kozłowska-Rajewicz, Claudia Schmidt, Axel Voss</w:t>
            </w:r>
          </w:p>
        </w:tc>
      </w:tr>
      <w:tr w:rsidR="00EE3B4A" w:rsidRPr="00542DB2" w:rsidTr="001F3504">
        <w:trPr>
          <w:cantSplit/>
        </w:trPr>
        <w:tc>
          <w:tcPr>
            <w:tcW w:w="170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Maria Arena, Vilija Blinkevičiūtė, Mary Honeyball, Edouard Martin, Clare Moody, Maria Noichl, Julie Ward</w:t>
            </w:r>
          </w:p>
        </w:tc>
      </w:tr>
      <w:tr w:rsidR="00EE3B4A" w:rsidRPr="00542DB2" w:rsidTr="001F3504">
        <w:trPr>
          <w:cantSplit/>
        </w:trPr>
        <w:tc>
          <w:tcPr>
            <w:tcW w:w="170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Florent Marcellesi, Molly Scott Cato, Ernest Urtasun</w:t>
            </w:r>
          </w:p>
        </w:tc>
      </w:tr>
      <w:tr w:rsidR="00EE3B4A" w:rsidRPr="00542DB2" w:rsidTr="001F3504">
        <w:trPr>
          <w:cantSplit/>
        </w:trPr>
        <w:tc>
          <w:tcPr>
            <w:tcW w:w="170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Catherine Bearder</w:t>
            </w:r>
          </w:p>
        </w:tc>
      </w:tr>
      <w:tr w:rsidR="00EE3B4A" w:rsidRPr="00FD3F1A" w:rsidTr="001F3504">
        <w:trPr>
          <w:cantSplit/>
        </w:trPr>
        <w:tc>
          <w:tcPr>
            <w:tcW w:w="170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:rsidR="00EE3B4A" w:rsidRPr="005B4DA3" w:rsidRDefault="00EE3B4A" w:rsidP="001F3504">
            <w:pPr>
              <w:spacing w:before="120" w:after="120"/>
              <w:rPr>
                <w:sz w:val="20"/>
                <w:lang w:val="pt-PT"/>
              </w:rPr>
            </w:pPr>
            <w:r w:rsidRPr="005B4DA3">
              <w:rPr>
                <w:sz w:val="20"/>
                <w:lang w:val="pt-PT"/>
              </w:rPr>
              <w:t>Stefan Eck, Eleonora Forenza, João Pimenta Lopes</w:t>
            </w:r>
          </w:p>
        </w:tc>
      </w:tr>
      <w:tr w:rsidR="00EE3B4A" w:rsidRPr="00542DB2" w:rsidTr="001F3504">
        <w:trPr>
          <w:cantSplit/>
        </w:trPr>
        <w:tc>
          <w:tcPr>
            <w:tcW w:w="170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EE3B4A" w:rsidRPr="00AA2C22" w:rsidRDefault="00EE3B4A" w:rsidP="001F3504">
            <w:pPr>
              <w:spacing w:before="120" w:after="120"/>
              <w:rPr>
                <w:sz w:val="20"/>
              </w:rPr>
            </w:pPr>
            <w:r w:rsidRPr="00AA2C22">
              <w:rPr>
                <w:sz w:val="20"/>
              </w:rPr>
              <w:t>Marco Zullo</w:t>
            </w:r>
          </w:p>
        </w:tc>
      </w:tr>
    </w:tbl>
    <w:p w:rsidR="00EE3B4A" w:rsidRPr="00AA2C22" w:rsidRDefault="00EE3B4A" w:rsidP="00EE3B4A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E3B4A" w:rsidRPr="00542DB2" w:rsidTr="001F3504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EE3B4A" w:rsidRPr="00542DB2" w:rsidRDefault="00EE3B4A" w:rsidP="001F3504">
            <w:pPr>
              <w:spacing w:before="120" w:after="120"/>
              <w:jc w:val="center"/>
              <w:rPr>
                <w:b/>
                <w:sz w:val="16"/>
              </w:rPr>
            </w:pPr>
            <w:r w:rsidRPr="00542DB2">
              <w:rPr>
                <w:b/>
                <w:sz w:val="20"/>
              </w:rPr>
              <w:t>0</w:t>
            </w:r>
          </w:p>
        </w:tc>
        <w:tc>
          <w:tcPr>
            <w:tcW w:w="7371" w:type="dxa"/>
            <w:shd w:val="pct10" w:color="000000" w:fill="FFFFFF"/>
          </w:tcPr>
          <w:p w:rsidR="00EE3B4A" w:rsidRPr="00542DB2" w:rsidRDefault="00EE3B4A" w:rsidP="001F350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42DB2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</w:tbl>
    <w:p w:rsidR="00EE3B4A" w:rsidRPr="00542DB2" w:rsidRDefault="00EE3B4A" w:rsidP="00EE3B4A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E3B4A" w:rsidRPr="00542DB2" w:rsidTr="001F3504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EE3B4A" w:rsidRPr="00542DB2" w:rsidRDefault="00EE3B4A" w:rsidP="001F3504">
            <w:pPr>
              <w:spacing w:before="120" w:after="120"/>
              <w:jc w:val="center"/>
              <w:rPr>
                <w:b/>
                <w:sz w:val="16"/>
              </w:rPr>
            </w:pPr>
            <w:r w:rsidRPr="00542DB2">
              <w:rPr>
                <w:b/>
                <w:sz w:val="20"/>
              </w:rPr>
              <w:t>5</w:t>
            </w:r>
          </w:p>
        </w:tc>
        <w:tc>
          <w:tcPr>
            <w:tcW w:w="7371" w:type="dxa"/>
            <w:shd w:val="pct10" w:color="000000" w:fill="FFFFFF"/>
          </w:tcPr>
          <w:p w:rsidR="00EE3B4A" w:rsidRPr="00542DB2" w:rsidRDefault="00EE3B4A" w:rsidP="001F350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42DB2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EE3B4A" w:rsidRPr="00542DB2" w:rsidTr="001F3504">
        <w:trPr>
          <w:cantSplit/>
        </w:trPr>
        <w:tc>
          <w:tcPr>
            <w:tcW w:w="170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EPP</w:t>
            </w:r>
            <w:bookmarkStart w:id="2" w:name="DocEPLastPosition"/>
            <w:bookmarkEnd w:id="2"/>
          </w:p>
        </w:tc>
        <w:tc>
          <w:tcPr>
            <w:tcW w:w="737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Marijana Petir</w:t>
            </w:r>
          </w:p>
        </w:tc>
      </w:tr>
      <w:tr w:rsidR="00EE3B4A" w:rsidRPr="00542DB2" w:rsidTr="001F3504">
        <w:trPr>
          <w:cantSplit/>
        </w:trPr>
        <w:tc>
          <w:tcPr>
            <w:tcW w:w="170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Branislav Škripek, Jana Žitňanská</w:t>
            </w:r>
          </w:p>
        </w:tc>
      </w:tr>
      <w:tr w:rsidR="00EE3B4A" w:rsidRPr="00542DB2" w:rsidTr="001F3504">
        <w:trPr>
          <w:cantSplit/>
        </w:trPr>
        <w:tc>
          <w:tcPr>
            <w:tcW w:w="170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James Carver</w:t>
            </w:r>
          </w:p>
        </w:tc>
      </w:tr>
      <w:tr w:rsidR="00EE3B4A" w:rsidRPr="00542DB2" w:rsidTr="001F3504">
        <w:trPr>
          <w:cantSplit/>
        </w:trPr>
        <w:tc>
          <w:tcPr>
            <w:tcW w:w="170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:rsidR="00EE3B4A" w:rsidRPr="00542DB2" w:rsidRDefault="00EE3B4A" w:rsidP="001F3504">
            <w:pPr>
              <w:spacing w:before="120" w:after="120"/>
              <w:rPr>
                <w:sz w:val="20"/>
              </w:rPr>
            </w:pPr>
            <w:r w:rsidRPr="00542DB2">
              <w:rPr>
                <w:sz w:val="20"/>
              </w:rPr>
              <w:t>Mylène Troszczynski</w:t>
            </w:r>
          </w:p>
        </w:tc>
      </w:tr>
    </w:tbl>
    <w:p w:rsidR="00EE3B4A" w:rsidRDefault="00EE3B4A" w:rsidP="00147FBF">
      <w:pPr>
        <w:pStyle w:val="Normal12"/>
      </w:pPr>
      <w:bookmarkStart w:id="3" w:name="_GoBack"/>
      <w:bookmarkEnd w:id="3"/>
    </w:p>
    <w:p w:rsidR="00EE3B4A" w:rsidRDefault="00EE3B4A" w:rsidP="00B735E3">
      <w:r>
        <w:t>Korišteni znakovi:</w:t>
      </w:r>
    </w:p>
    <w:p w:rsidR="00EE3B4A" w:rsidRDefault="00EE3B4A" w:rsidP="00B735E3">
      <w:pPr>
        <w:pStyle w:val="NormalTabs"/>
      </w:pPr>
      <w:r>
        <w:t>+</w:t>
      </w:r>
      <w:r>
        <w:tab/>
        <w:t>:</w:t>
      </w:r>
      <w:r>
        <w:tab/>
        <w:t>za</w:t>
      </w:r>
    </w:p>
    <w:p w:rsidR="00EE3B4A" w:rsidRDefault="00EE3B4A" w:rsidP="00B735E3">
      <w:pPr>
        <w:pStyle w:val="NormalTabs"/>
      </w:pPr>
      <w:r>
        <w:t>-</w:t>
      </w:r>
      <w:r>
        <w:tab/>
        <w:t>:</w:t>
      </w:r>
      <w:r>
        <w:tab/>
        <w:t>protiv</w:t>
      </w:r>
    </w:p>
    <w:p w:rsidR="00EE3B4A" w:rsidRDefault="00EE3B4A" w:rsidP="00B735E3">
      <w:pPr>
        <w:pStyle w:val="NormalTabs"/>
      </w:pPr>
      <w:r>
        <w:t>0</w:t>
      </w:r>
      <w:r>
        <w:tab/>
        <w:t>:</w:t>
      </w:r>
      <w:r>
        <w:tab/>
        <w:t>suzdržani</w:t>
      </w:r>
    </w:p>
    <w:p w:rsidR="00EE3B4A" w:rsidRDefault="00EE3B4A" w:rsidP="00AD5932"/>
    <w:bookmarkEnd w:id="1"/>
    <w:p w:rsidR="002E2F2E" w:rsidRPr="00F71E5E" w:rsidRDefault="002E2F2E" w:rsidP="00526D70"/>
    <w:sectPr w:rsidR="002E2F2E" w:rsidRPr="00F71E5E" w:rsidSect="00F71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BC" w:rsidRPr="00F71E5E" w:rsidRDefault="00A528BC">
      <w:r w:rsidRPr="00F71E5E">
        <w:separator/>
      </w:r>
    </w:p>
  </w:endnote>
  <w:endnote w:type="continuationSeparator" w:id="0">
    <w:p w:rsidR="00A528BC" w:rsidRPr="00F71E5E" w:rsidRDefault="00A528BC">
      <w:r w:rsidRPr="00F71E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5E" w:rsidRPr="00F71E5E" w:rsidRDefault="00F71E5E" w:rsidP="00F71E5E">
    <w:pPr>
      <w:pStyle w:val="Footer"/>
    </w:pPr>
    <w:r w:rsidRPr="00F71E5E">
      <w:t>PE</w:t>
    </w:r>
    <w:r w:rsidRPr="00F71E5E">
      <w:rPr>
        <w:rStyle w:val="HideTWBExt"/>
        <w:noProof w:val="0"/>
      </w:rPr>
      <w:t>&lt;NoPE&gt;</w:t>
    </w:r>
    <w:r w:rsidRPr="00F71E5E">
      <w:t>603.005</w:t>
    </w:r>
    <w:r w:rsidRPr="00F71E5E">
      <w:rPr>
        <w:rStyle w:val="HideTWBExt"/>
        <w:noProof w:val="0"/>
      </w:rPr>
      <w:t>&lt;/NoPE&gt;&lt;Version&gt;</w:t>
    </w:r>
    <w:r w:rsidRPr="00F71E5E">
      <w:t>v02-00</w:t>
    </w:r>
    <w:r w:rsidRPr="00F71E5E">
      <w:rPr>
        <w:rStyle w:val="HideTWBExt"/>
        <w:noProof w:val="0"/>
      </w:rPr>
      <w:t>&lt;/Version&gt;</w:t>
    </w:r>
    <w:r w:rsidRPr="00F71E5E">
      <w:tab/>
    </w:r>
    <w:r w:rsidRPr="00F71E5E">
      <w:fldChar w:fldCharType="begin"/>
    </w:r>
    <w:r w:rsidRPr="00F71E5E">
      <w:instrText xml:space="preserve"> PAGE  \* MERGEFORMAT </w:instrText>
    </w:r>
    <w:r w:rsidRPr="00F71E5E">
      <w:fldChar w:fldCharType="separate"/>
    </w:r>
    <w:r w:rsidR="00EE3B4A">
      <w:rPr>
        <w:noProof/>
      </w:rPr>
      <w:t>8</w:t>
    </w:r>
    <w:r w:rsidRPr="00F71E5E">
      <w:fldChar w:fldCharType="end"/>
    </w:r>
    <w:r w:rsidRPr="00F71E5E">
      <w:t>/</w:t>
    </w:r>
    <w:fldSimple w:instr=" NUMPAGES  \* MERGEFORMAT ">
      <w:r w:rsidR="00EE3B4A">
        <w:rPr>
          <w:noProof/>
        </w:rPr>
        <w:t>8</w:t>
      </w:r>
    </w:fldSimple>
    <w:r w:rsidRPr="00F71E5E">
      <w:tab/>
    </w:r>
    <w:r w:rsidRPr="00F71E5E">
      <w:rPr>
        <w:rStyle w:val="HideTWBExt"/>
        <w:noProof w:val="0"/>
      </w:rPr>
      <w:t>&lt;PathFdR&gt;</w:t>
    </w:r>
    <w:r w:rsidRPr="00F71E5E">
      <w:t>AD\1129172HR.docx</w:t>
    </w:r>
    <w:r w:rsidRPr="00F71E5E">
      <w:rPr>
        <w:rStyle w:val="HideTWBExt"/>
        <w:noProof w:val="0"/>
      </w:rPr>
      <w:t>&lt;/PathFdR&gt;</w:t>
    </w:r>
  </w:p>
  <w:p w:rsidR="002E2F2E" w:rsidRPr="00F71E5E" w:rsidRDefault="00F71E5E" w:rsidP="00F71E5E">
    <w:pPr>
      <w:pStyle w:val="Footer2"/>
    </w:pPr>
    <w:r w:rsidRPr="00F71E5E"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5E" w:rsidRPr="00F71E5E" w:rsidRDefault="00F71E5E" w:rsidP="00F71E5E">
    <w:pPr>
      <w:pStyle w:val="Footer"/>
    </w:pPr>
    <w:r w:rsidRPr="00F71E5E">
      <w:rPr>
        <w:rStyle w:val="HideTWBExt"/>
        <w:noProof w:val="0"/>
      </w:rPr>
      <w:t>&lt;PathFdR&gt;</w:t>
    </w:r>
    <w:r w:rsidRPr="00F71E5E">
      <w:t>AD\1129172HR.docx</w:t>
    </w:r>
    <w:r w:rsidRPr="00F71E5E">
      <w:rPr>
        <w:rStyle w:val="HideTWBExt"/>
        <w:noProof w:val="0"/>
      </w:rPr>
      <w:t>&lt;/PathFdR&gt;</w:t>
    </w:r>
    <w:r w:rsidRPr="00F71E5E">
      <w:tab/>
    </w:r>
    <w:r w:rsidRPr="00F71E5E">
      <w:fldChar w:fldCharType="begin"/>
    </w:r>
    <w:r w:rsidRPr="00F71E5E">
      <w:instrText xml:space="preserve"> PAGE  \* MERGEFORMAT </w:instrText>
    </w:r>
    <w:r w:rsidRPr="00F71E5E">
      <w:fldChar w:fldCharType="separate"/>
    </w:r>
    <w:r w:rsidR="00EE3B4A">
      <w:rPr>
        <w:noProof/>
      </w:rPr>
      <w:t>7</w:t>
    </w:r>
    <w:r w:rsidRPr="00F71E5E">
      <w:fldChar w:fldCharType="end"/>
    </w:r>
    <w:r w:rsidRPr="00F71E5E">
      <w:t>/</w:t>
    </w:r>
    <w:fldSimple w:instr=" NUMPAGES  \* MERGEFORMAT ">
      <w:r w:rsidR="00EE3B4A">
        <w:rPr>
          <w:noProof/>
        </w:rPr>
        <w:t>8</w:t>
      </w:r>
    </w:fldSimple>
    <w:r w:rsidRPr="00F71E5E">
      <w:tab/>
      <w:t>PE</w:t>
    </w:r>
    <w:r w:rsidRPr="00F71E5E">
      <w:rPr>
        <w:rStyle w:val="HideTWBExt"/>
        <w:noProof w:val="0"/>
      </w:rPr>
      <w:t>&lt;NoPE&gt;</w:t>
    </w:r>
    <w:r w:rsidRPr="00F71E5E">
      <w:t>603.005</w:t>
    </w:r>
    <w:r w:rsidRPr="00F71E5E">
      <w:rPr>
        <w:rStyle w:val="HideTWBExt"/>
        <w:noProof w:val="0"/>
      </w:rPr>
      <w:t>&lt;/NoPE&gt;&lt;Version&gt;</w:t>
    </w:r>
    <w:r w:rsidRPr="00F71E5E">
      <w:t>v02-00</w:t>
    </w:r>
    <w:r w:rsidRPr="00F71E5E">
      <w:rPr>
        <w:rStyle w:val="HideTWBExt"/>
        <w:noProof w:val="0"/>
      </w:rPr>
      <w:t>&lt;/Version&gt;</w:t>
    </w:r>
  </w:p>
  <w:p w:rsidR="002E2F2E" w:rsidRPr="00F71E5E" w:rsidRDefault="00F71E5E" w:rsidP="00F71E5E">
    <w:pPr>
      <w:pStyle w:val="Footer2"/>
    </w:pPr>
    <w:r w:rsidRPr="00F71E5E">
      <w:tab/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5E" w:rsidRPr="00F71E5E" w:rsidRDefault="00F71E5E" w:rsidP="00F71E5E">
    <w:pPr>
      <w:pStyle w:val="Footer"/>
    </w:pPr>
    <w:r w:rsidRPr="00F71E5E">
      <w:rPr>
        <w:rStyle w:val="HideTWBExt"/>
        <w:noProof w:val="0"/>
      </w:rPr>
      <w:t>&lt;PathFdR&gt;</w:t>
    </w:r>
    <w:r w:rsidRPr="00F71E5E">
      <w:t>AD\1129172HR.docx</w:t>
    </w:r>
    <w:r w:rsidRPr="00F71E5E">
      <w:rPr>
        <w:rStyle w:val="HideTWBExt"/>
        <w:noProof w:val="0"/>
      </w:rPr>
      <w:t>&lt;/PathFdR&gt;</w:t>
    </w:r>
    <w:r w:rsidRPr="00F71E5E">
      <w:tab/>
    </w:r>
    <w:r w:rsidRPr="00F71E5E">
      <w:tab/>
      <w:t>PE</w:t>
    </w:r>
    <w:r w:rsidRPr="00F71E5E">
      <w:rPr>
        <w:rStyle w:val="HideTWBExt"/>
        <w:noProof w:val="0"/>
      </w:rPr>
      <w:t>&lt;NoPE&gt;</w:t>
    </w:r>
    <w:r w:rsidRPr="00F71E5E">
      <w:t>603.005</w:t>
    </w:r>
    <w:r w:rsidRPr="00F71E5E">
      <w:rPr>
        <w:rStyle w:val="HideTWBExt"/>
        <w:noProof w:val="0"/>
      </w:rPr>
      <w:t>&lt;/NoPE&gt;&lt;Version&gt;</w:t>
    </w:r>
    <w:r w:rsidRPr="00F71E5E">
      <w:t>v02-00</w:t>
    </w:r>
    <w:r w:rsidRPr="00F71E5E">
      <w:rPr>
        <w:rStyle w:val="HideTWBExt"/>
        <w:noProof w:val="0"/>
      </w:rPr>
      <w:t>&lt;/Version&gt;</w:t>
    </w:r>
  </w:p>
  <w:p w:rsidR="002E2F2E" w:rsidRPr="00F71E5E" w:rsidRDefault="00F71E5E" w:rsidP="00F71E5E">
    <w:pPr>
      <w:pStyle w:val="Footer2"/>
      <w:tabs>
        <w:tab w:val="center" w:pos="4535"/>
      </w:tabs>
    </w:pPr>
    <w:r w:rsidRPr="00F71E5E">
      <w:t>HR</w:t>
    </w:r>
    <w:r w:rsidRPr="00F71E5E">
      <w:tab/>
    </w:r>
    <w:r w:rsidRPr="00F71E5E">
      <w:rPr>
        <w:b w:val="0"/>
        <w:i/>
        <w:color w:val="C0C0C0"/>
        <w:sz w:val="22"/>
      </w:rPr>
      <w:t>Ujedinjena u raznolikosti</w:t>
    </w:r>
    <w:r w:rsidRPr="00F71E5E">
      <w:tab/>
      <w:t>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BC" w:rsidRPr="00F71E5E" w:rsidRDefault="00A528BC">
      <w:r w:rsidRPr="00F71E5E">
        <w:separator/>
      </w:r>
    </w:p>
  </w:footnote>
  <w:footnote w:type="continuationSeparator" w:id="0">
    <w:p w:rsidR="00A528BC" w:rsidRPr="00F71E5E" w:rsidRDefault="00A528BC">
      <w:r w:rsidRPr="00F71E5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4A" w:rsidRDefault="00EE3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4A" w:rsidRDefault="00EE3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4A" w:rsidRDefault="00EE3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2"/>
    <w:docVar w:name="CJMNU" w:val="1"/>
    <w:docVar w:name="COM2KEY" w:val="LIBE"/>
    <w:docVar w:name="COMKEY" w:val="FEMM"/>
    <w:docVar w:name="CopyToNetwork" w:val="-1"/>
    <w:docVar w:name="LastEditedSection" w:val=" 1"/>
    <w:docVar w:name="NRPROCMNU" w:val=" 1"/>
    <w:docVar w:name="PROCMNU" w:val=" 1"/>
    <w:docVar w:name="RepeatBlock-AmendHR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11\fbidi \froman\fcharset238\fprq2 Times New Roman CE;}_x000d__x000a_{\f312\fbidi \froman\fcharset204\fprq2 Times New Roman Cyr;}{\f314\fbidi \froman\fcharset161\fprq2 Times New Roman Greek;}{\f315\fbidi \froman\fcharset162\fprq2 Times New Roman Tur;}{\f316\fbidi \froman\fcharset177\fprq2 Times New Roman (Hebrew);}_x000d__x000a_{\f317\fbidi \froman\fcharset178\fprq2 Times New Roman (Arabic);}{\f318\fbidi \froman\fcharset186\fprq2 Times New Roman Baltic;}{\f319\fbidi \froman\fcharset163\fprq2 Times New Roman (Vietnamese);}{\f651\fbidi \froman\fcharset238\fprq2 Cambria Math CE;}_x000d__x000a_{\f652\fbidi \froman\fcharset204\fprq2 Cambria Math Cyr;}{\f654\fbidi \froman\fcharset161\fprq2 Cambria Math Greek;}{\f655\fbidi \froman\fcharset162\fprq2 Cambria Math Tur;}{\f658\fbidi \froman\fcharset186\fprq2 Cambria Math Baltic;}_x000d__x000a_{\f659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1482439 HideTWBInt;}{\s16\ql \fi-357\li357\ri0\sa240\nowidctlpar\tx357\wrapdefault\aspalpha\aspnum\faauto\adjustright\rin0\lin357\itap0 \rtlch\fcs1 \af0\afs20\alang1025 \ltrch\fcs0 _x000d__x000a_\fs24\lang1050\langfe2057\cgrid\langnp1050\langfenp2057 \sbasedon0 \snext16 \spriority0 \styrsid11482439 Hanging12;}}{\*\rsidtbl \rsid24658\rsid735077\rsid2892074\rsid3545165\rsid4666813\rsid6641733\rsid9636012\rsid11215221\rsid11482439\rsid12154954_x000d__x000a_\rsid14424199\rsid15204470\rsid15285974\rsid15950462\rsid16324206\rsid16662270}{\mmathPr\mmathFont34\mbrkBin0\mbrkBinSub0\msmallFrac0\mdispDef1\mlMargin0\mrMargin0\mdefJc1\mwrapIndent1440\mintLim0\mnaryLim1}{\info{\author IVKOVIC Natasa}_x000d__x000a_{\operator IVKOVIC Natasa}{\creatim\yr2017\mo7\dy7\hr10\min27}{\revtim\yr2017\mo7\dy7\hr10\min27}{\version1}{\edmins0}{\nofpages1}{\nofwords3}{\nofchars18}{\*\company European Parliament}{\nofcharsws20}{\vern57443}}{\*\xmlnstbl {\xmlns1 http://schemas.mic_x000d__x000a_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80\pgbrdrhead\pgbrdrfoot\nolnhtadjtbl\nojkernpunct\rsidroot11482439\utinl \fet0{\*\wgrffmtfilter 013f}\ilfomacatclnup0{\*\template C:\\Users\\nivkov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54516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54516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54516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54516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357\li357\ri0\sa240\nowidctlpar\tx357\wrapdefault\aspalpha\aspnum\faauto\adjustright\rin0\lin357\itap0\pararsid12720989 \rtlch\fcs1 \af0\afs20\alang1025 \ltrch\fcs0 \fs24\lang1050\langfe2057\cgrid\langnp1050\langfenp2057 {\rtlch\fcs1 \af0 _x000d__x000a_\ltrch\fcs0 \insrsid11482439\charrsid13202457 {\*\bkmkstart restart}#}{\rtlch\fcs1 \af0 \ltrch\fcs0 \cs15\v\cf15\insrsid11482439\charrsid13202457 NRMSG}{\rtlch\fcs1 \af0 \ltrch\fcs0 \insrsid11482439\charrsid13202457 #.\tab #}{\rtlch\fcs1 \af0 \ltrch\fcs0 _x000d__x000a_\cs15\v\cf15\insrsid11482439\charrsid13202457 TEXTMSG2}{\rtlch\fcs1 \af0 \ltrch\fcs0 \insrsid11482439\charrsid13202457 #}{\rtlch\fcs1 \af0 \ltrch\fcs0 \insrsid11482439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b_x000d__x000a_f4dffaf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11\fbidi \froman\fcharset238\fprq2 Times New Roman CE;}_x000d__x000a_{\f312\fbidi \froman\fcharset204\fprq2 Times New Roman Cyr;}{\f314\fbidi \froman\fcharset161\fprq2 Times New Roman Greek;}{\f315\fbidi \froman\fcharset162\fprq2 Times New Roman Tur;}{\f316\fbidi \froman\fcharset177\fprq2 Times New Roman (Hebrew);}_x000d__x000a_{\f317\fbidi \froman\fcharset178\fprq2 Times New Roman (Arabic);}{\f318\fbidi \froman\fcharset186\fprq2 Times New Roman Baltic;}{\f319\fbidi \froman\fcharset163\fprq2 Times New Roman (Vietnamese);}{\f651\fbidi \froman\fcharset238\fprq2 Cambria Math CE;}_x000d__x000a_{\f652\fbidi \froman\fcharset204\fprq2 Cambria Math Cyr;}{\f654\fbidi \froman\fcharset161\fprq2 Cambria Math Greek;}{\f655\fbidi \froman\fcharset162\fprq2 Cambria Math Tur;}{\f658\fbidi \froman\fcharset186\fprq2 Cambria Math Baltic;}_x000d__x000a_{\f659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357\li357\ri0\sa240\nowidctlpar\tx357\wrapdefault\aspalpha\aspnum\faauto\adjustright\rin0\lin357\itap0 \rtlch\fcs1 \af0\afs20\alang1025 \ltrch\fcs0 \fs24\lang2057\langfe2057\cgrid\langnp2057\langfenp2057 _x000d__x000a_\sbasedon0 \snext15 \spriority0 \styrsid3111671 Hanging12;}}{\*\rsidtbl \rsid24658\rsid735077\rsid2892074\rsid3111671\rsid4666813\rsid5194370\rsid6641733\rsid9636012\rsid11215221\rsid12154954\rsid14424199\rsid15204470\rsid15285974\rsid15950462_x000d__x000a_\rsid16324206\rsid16662270}{\mmathPr\mmathFont34\mbrkBin0\mbrkBinSub0\msmallFrac0\mdispDef1\mlMargin0\mrMargin0\mdefJc1\mwrapIndent1440\mintLim0\mnaryLim1}{\info{\author IVKOVIC Natasa}{\operator IVKOVIC Natasa}{\creatim\yr2017\mo7\dy7\hr10\min27}_x000d__x000a_{\revtim\yr2017\mo7\dy7\hr10\min27}{\version1}{\edmins0}{\nofpages1}{\nofwords5}{\nofchars30}{\*\company European Parliament}{\nofcharsws34}{\vern57443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80\pgbrdrhead\pgbrdrfoot\nolnhtadjtbl\nojkernpunct\rsidroot3111671\utinl \fet0{\*\wgrffmtfilter 013f}\ilfomacatclnup0{\*\template C:\\Users\\nivkov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9437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943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943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9437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357\li357\ri0\sa240\nowidctlpar\tx357\wrapdefault\aspalpha\aspnum\faauto\adjustright\rin0\lin357\itap0\pararsid16071586 \rtlch\fcs1 \af0\afs20\alang1025 \ltrch\fcs0 \fs24\lang2057\langfe2057\cgrid\langnp2057\langfenp2057 {\rtlch\fcs1 \af0 _x000d__x000a_\ltrch\fcs0 \insrsid3111671\charrsid1525456 {\*\bkmkstart restart}[ZSUGGESTIONNR]\tab [ZSUGGESTIONTEXT]}{\rtlch\fcs1 \af0 \ltrch\fcs0 \insrsid3111671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d_x000d__x000a_0ee1faf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29"/>
    <w:docVar w:name="TXTLANGUE" w:val="HR"/>
    <w:docVar w:name="TXTLANGUEMIN" w:val="hr"/>
    <w:docVar w:name="TXTNRPE" w:val="603.005"/>
    <w:docVar w:name="TXTNRPROC" w:val="2015/2129"/>
    <w:docVar w:name="TXTPEorAP" w:val="PE"/>
    <w:docVar w:name="TXTROUTE" w:val="AD\1129172HR.docx"/>
    <w:docVar w:name="TXTTITLE" w:val="on the implementation of Directive 2011/92/EU of the European Parliament and of the Council of 13 December 2011 on combating the sexual abuse and sexual exploitation of children and child pornography"/>
    <w:docVar w:name="TXTVERSION" w:val="02-00"/>
  </w:docVars>
  <w:rsids>
    <w:rsidRoot w:val="00A528BC"/>
    <w:rsid w:val="000E2EB4"/>
    <w:rsid w:val="0012488E"/>
    <w:rsid w:val="0016635E"/>
    <w:rsid w:val="001746D0"/>
    <w:rsid w:val="001C28D7"/>
    <w:rsid w:val="001D2ED9"/>
    <w:rsid w:val="002E2F2E"/>
    <w:rsid w:val="00312E87"/>
    <w:rsid w:val="00325BCB"/>
    <w:rsid w:val="0037751C"/>
    <w:rsid w:val="003E2402"/>
    <w:rsid w:val="00401B8F"/>
    <w:rsid w:val="00426ABD"/>
    <w:rsid w:val="004A293B"/>
    <w:rsid w:val="004C28FB"/>
    <w:rsid w:val="004E1DDF"/>
    <w:rsid w:val="00526D70"/>
    <w:rsid w:val="005B06AA"/>
    <w:rsid w:val="005B2F11"/>
    <w:rsid w:val="005D60C6"/>
    <w:rsid w:val="007A3332"/>
    <w:rsid w:val="008A32C5"/>
    <w:rsid w:val="008F7002"/>
    <w:rsid w:val="00A16BEA"/>
    <w:rsid w:val="00A50DEC"/>
    <w:rsid w:val="00A528BC"/>
    <w:rsid w:val="00A72C35"/>
    <w:rsid w:val="00A911EF"/>
    <w:rsid w:val="00B362F7"/>
    <w:rsid w:val="00BD14BC"/>
    <w:rsid w:val="00BD1EAA"/>
    <w:rsid w:val="00C12BF4"/>
    <w:rsid w:val="00C86F20"/>
    <w:rsid w:val="00D46D5C"/>
    <w:rsid w:val="00E856D2"/>
    <w:rsid w:val="00EC2896"/>
    <w:rsid w:val="00EE3B4A"/>
    <w:rsid w:val="00F368B8"/>
    <w:rsid w:val="00F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25A9F2-6198-435A-9D5A-A5CBE63D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ormalTabs">
    <w:name w:val="NormalTabs"/>
    <w:basedOn w:val="Normal"/>
    <w:qFormat/>
    <w:rsid w:val="00A911EF"/>
    <w:pPr>
      <w:tabs>
        <w:tab w:val="center" w:pos="284"/>
        <w:tab w:val="left" w:pos="426"/>
      </w:tabs>
    </w:pPr>
    <w:rPr>
      <w:snapToGrid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E1EC3412.dotm</Template>
  <TotalTime>0</TotalTime>
  <Pages>8</Pages>
  <Words>1894</Words>
  <Characters>11300</Characters>
  <Application>Microsoft Office Word</Application>
  <DocSecurity>0</DocSecurity>
  <Lines>234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IVKOVIC Natasa</dc:creator>
  <cp:keywords/>
  <dc:description/>
  <cp:lastModifiedBy>DOMIĆ Mislav</cp:lastModifiedBy>
  <cp:revision>2</cp:revision>
  <cp:lastPrinted>2004-10-28T10:33:00Z</cp:lastPrinted>
  <dcterms:created xsi:type="dcterms:W3CDTF">2017-07-19T09:45:00Z</dcterms:created>
  <dcterms:modified xsi:type="dcterms:W3CDTF">2017-07-19T09:45:00Z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9.1.0 Build [20170521]</vt:lpwstr>
  </property>
  <property fmtid="{D5CDD505-2E9C-101B-9397-08002B2CF9AE}" pid="4" name="&lt;FdR&gt;">
    <vt:lpwstr>1129172</vt:lpwstr>
  </property>
  <property fmtid="{D5CDD505-2E9C-101B-9397-08002B2CF9AE}" pid="5" name="&lt;Type&gt;">
    <vt:lpwstr>AD</vt:lpwstr>
  </property>
  <property fmtid="{D5CDD505-2E9C-101B-9397-08002B2CF9AE}" pid="6" name="&lt;ModelCod&gt;">
    <vt:lpwstr>\\eiciLUXpr1\pdocep$\DocEP\DOCS\General\PA\PA_NonLeg.dot(17/02/2016 11:44:23)</vt:lpwstr>
  </property>
  <property fmtid="{D5CDD505-2E9C-101B-9397-08002B2CF9AE}" pid="7" name="&lt;ModelTra&gt;">
    <vt:lpwstr>\\eiciLUXpr1\pdocep$\DocEP\TRANSFIL\HR\PA_NonLeg.HR(16/02/2017 11:52:35)</vt:lpwstr>
  </property>
  <property fmtid="{D5CDD505-2E9C-101B-9397-08002B2CF9AE}" pid="8" name="&lt;Model&gt;">
    <vt:lpwstr>PA_NonLeg</vt:lpwstr>
  </property>
  <property fmtid="{D5CDD505-2E9C-101B-9397-08002B2CF9AE}" pid="9" name="FooterPath">
    <vt:lpwstr>AD\1129172HR.docx</vt:lpwstr>
  </property>
  <property fmtid="{D5CDD505-2E9C-101B-9397-08002B2CF9AE}" pid="10" name="PE Number">
    <vt:lpwstr>603.005</vt:lpwstr>
  </property>
  <property fmtid="{D5CDD505-2E9C-101B-9397-08002B2CF9AE}" pid="11" name="SubscribeElise">
    <vt:lpwstr/>
  </property>
  <property fmtid="{D5CDD505-2E9C-101B-9397-08002B2CF9AE}" pid="12" name="Bookout">
    <vt:lpwstr>OK - 2017/07/19 11:45</vt:lpwstr>
  </property>
  <property fmtid="{D5CDD505-2E9C-101B-9397-08002B2CF9AE}" pid="13" name="SDLStudio">
    <vt:lpwstr/>
  </property>
  <property fmtid="{D5CDD505-2E9C-101B-9397-08002B2CF9AE}" pid="14" name="&lt;Extension&gt;">
    <vt:lpwstr>HR</vt:lpwstr>
  </property>
</Properties>
</file>