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9F1124" w14:paraId="23B0A959" w14:textId="77777777" w:rsidTr="003E2402">
        <w:trPr>
          <w:trHeight w:hRule="exact" w:val="1418"/>
        </w:trPr>
        <w:tc>
          <w:tcPr>
            <w:tcW w:w="6804" w:type="dxa"/>
            <w:shd w:val="clear" w:color="auto" w:fill="auto"/>
            <w:vAlign w:val="center"/>
          </w:tcPr>
          <w:p w14:paraId="5361F75D" w14:textId="77777777" w:rsidR="00E856D2" w:rsidRPr="009F1124" w:rsidRDefault="00802DDB" w:rsidP="00350B42">
            <w:pPr>
              <w:pStyle w:val="EPName"/>
            </w:pPr>
            <w:r w:rsidRPr="009F1124">
              <w:t>European Parliament</w:t>
            </w:r>
          </w:p>
          <w:p w14:paraId="705B98B4" w14:textId="77777777" w:rsidR="00E856D2" w:rsidRPr="009F1124" w:rsidRDefault="00194C91" w:rsidP="00861800">
            <w:pPr>
              <w:pStyle w:val="EPTerm"/>
              <w:spacing w:after="240"/>
              <w:rPr>
                <w:rStyle w:val="HideTWBExt"/>
                <w:noProof w:val="0"/>
                <w:vanish w:val="0"/>
                <w:color w:val="auto"/>
              </w:rPr>
            </w:pPr>
            <w:r w:rsidRPr="009F1124">
              <w:t>2014-2019</w:t>
            </w:r>
          </w:p>
        </w:tc>
        <w:tc>
          <w:tcPr>
            <w:tcW w:w="2268" w:type="dxa"/>
            <w:shd w:val="clear" w:color="auto" w:fill="auto"/>
          </w:tcPr>
          <w:p w14:paraId="04FE1D24" w14:textId="77777777" w:rsidR="00E856D2" w:rsidRPr="009F1124" w:rsidRDefault="003738D9" w:rsidP="00861800">
            <w:pPr>
              <w:pStyle w:val="EPLogo"/>
              <w:spacing w:after="240"/>
              <w:jc w:val="left"/>
            </w:pPr>
            <w:r w:rsidRPr="009F1124">
              <w:rPr>
                <w:noProof/>
              </w:rPr>
              <w:drawing>
                <wp:inline distT="0" distB="0" distL="0" distR="0" wp14:anchorId="2B5DDB9A" wp14:editId="4ABE612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B5D88CF" w14:textId="765C483C" w:rsidR="001746D0" w:rsidRPr="009F1124" w:rsidRDefault="001746D0" w:rsidP="00350B42">
      <w:pPr>
        <w:pStyle w:val="LineTop"/>
      </w:pPr>
    </w:p>
    <w:p w14:paraId="5E563FFE" w14:textId="77777777" w:rsidR="001746D0" w:rsidRPr="00350B42" w:rsidRDefault="001746D0" w:rsidP="00350B42">
      <w:pPr>
        <w:pStyle w:val="ZCommittee"/>
      </w:pPr>
      <w:r w:rsidRPr="00350B42">
        <w:rPr>
          <w:rStyle w:val="HideTWBExt"/>
          <w:noProof w:val="0"/>
        </w:rPr>
        <w:t>&lt;</w:t>
      </w:r>
      <w:r w:rsidRPr="00350B42">
        <w:rPr>
          <w:rStyle w:val="HideTWBExt"/>
          <w:i w:val="0"/>
          <w:noProof w:val="0"/>
        </w:rPr>
        <w:t>Commission</w:t>
      </w:r>
      <w:r w:rsidRPr="00350B42">
        <w:rPr>
          <w:rStyle w:val="HideTWBExt"/>
          <w:noProof w:val="0"/>
        </w:rPr>
        <w:t>&gt;</w:t>
      </w:r>
      <w:r w:rsidR="00194C91" w:rsidRPr="00350B42">
        <w:rPr>
          <w:rStyle w:val="HideTWBInt"/>
        </w:rPr>
        <w:t>{EMPL}</w:t>
      </w:r>
      <w:r w:rsidR="00194C91" w:rsidRPr="00350B42">
        <w:t>Committee on Employment and Social Affairs</w:t>
      </w:r>
      <w:r w:rsidRPr="00350B42">
        <w:rPr>
          <w:rStyle w:val="HideTWBExt"/>
          <w:noProof w:val="0"/>
        </w:rPr>
        <w:t>&lt;/</w:t>
      </w:r>
      <w:r w:rsidRPr="00350B42">
        <w:rPr>
          <w:rStyle w:val="HideTWBExt"/>
          <w:i w:val="0"/>
          <w:noProof w:val="0"/>
        </w:rPr>
        <w:t>Commission</w:t>
      </w:r>
      <w:r w:rsidRPr="00350B42">
        <w:rPr>
          <w:rStyle w:val="HideTWBExt"/>
          <w:noProof w:val="0"/>
        </w:rPr>
        <w:t>&gt;</w:t>
      </w:r>
    </w:p>
    <w:p w14:paraId="2DE1E876" w14:textId="4D4C294C" w:rsidR="001746D0" w:rsidRPr="00350B42" w:rsidRDefault="001746D0" w:rsidP="00350B42">
      <w:pPr>
        <w:pStyle w:val="LineBottom"/>
        <w:pBdr>
          <w:bottom w:val="single" w:sz="4" w:space="0" w:color="auto"/>
        </w:pBdr>
        <w:spacing w:after="240"/>
      </w:pPr>
    </w:p>
    <w:p w14:paraId="33BA8276" w14:textId="77777777" w:rsidR="00EC05DF" w:rsidRDefault="00EC05DF" w:rsidP="00B65923">
      <w:pPr>
        <w:pStyle w:val="RefProc"/>
        <w:rPr>
          <w:rStyle w:val="HideTWBExt"/>
          <w:b w:val="0"/>
          <w:noProof w:val="0"/>
          <w:vanish w:val="0"/>
        </w:rPr>
      </w:pPr>
    </w:p>
    <w:p w14:paraId="4E9FD401" w14:textId="78DB5676" w:rsidR="00B65923" w:rsidRPr="00350B42" w:rsidRDefault="00B65923" w:rsidP="00B65923">
      <w:pPr>
        <w:pStyle w:val="RefProc"/>
      </w:pPr>
      <w:r w:rsidRPr="00350B42">
        <w:rPr>
          <w:rStyle w:val="HideTWBExt"/>
          <w:b w:val="0"/>
          <w:noProof w:val="0"/>
        </w:rPr>
        <w:t>&lt;</w:t>
      </w:r>
      <w:r w:rsidRPr="00350B42">
        <w:rPr>
          <w:rStyle w:val="HideTWBExt"/>
          <w:b w:val="0"/>
          <w:caps w:val="0"/>
          <w:noProof w:val="0"/>
        </w:rPr>
        <w:t>RefProc</w:t>
      </w:r>
      <w:r w:rsidRPr="00350B42">
        <w:rPr>
          <w:rStyle w:val="HideTWBExt"/>
          <w:b w:val="0"/>
          <w:noProof w:val="0"/>
        </w:rPr>
        <w:t>&gt;</w:t>
      </w:r>
      <w:r w:rsidRPr="00350B42">
        <w:t>2017/</w:t>
      </w:r>
      <w:r w:rsidR="00991E45" w:rsidRPr="00350B42">
        <w:t>2114</w:t>
      </w:r>
      <w:r w:rsidRPr="00350B42">
        <w:rPr>
          <w:rStyle w:val="HideTWBExt"/>
          <w:b w:val="0"/>
          <w:noProof w:val="0"/>
        </w:rPr>
        <w:t>&lt;/</w:t>
      </w:r>
      <w:r w:rsidRPr="00350B42">
        <w:rPr>
          <w:rStyle w:val="HideTWBExt"/>
          <w:b w:val="0"/>
          <w:caps w:val="0"/>
          <w:noProof w:val="0"/>
        </w:rPr>
        <w:t>RefProc</w:t>
      </w:r>
      <w:r w:rsidRPr="00350B42">
        <w:rPr>
          <w:rStyle w:val="HideTWBExt"/>
          <w:b w:val="0"/>
          <w:noProof w:val="0"/>
        </w:rPr>
        <w:t>&gt;&lt;</w:t>
      </w:r>
      <w:r w:rsidRPr="00350B42">
        <w:rPr>
          <w:rStyle w:val="HideTWBExt"/>
          <w:b w:val="0"/>
          <w:caps w:val="0"/>
          <w:noProof w:val="0"/>
        </w:rPr>
        <w:t>RefTypeProc</w:t>
      </w:r>
      <w:r w:rsidRPr="00350B42">
        <w:rPr>
          <w:rStyle w:val="HideTWBExt"/>
          <w:b w:val="0"/>
          <w:noProof w:val="0"/>
        </w:rPr>
        <w:t>&gt;</w:t>
      </w:r>
      <w:r w:rsidRPr="00350B42">
        <w:t>(INI)</w:t>
      </w:r>
      <w:r w:rsidRPr="00350B42">
        <w:rPr>
          <w:rStyle w:val="HideTWBExt"/>
          <w:b w:val="0"/>
          <w:noProof w:val="0"/>
        </w:rPr>
        <w:t>&lt;/</w:t>
      </w:r>
      <w:r w:rsidRPr="00350B42">
        <w:rPr>
          <w:rStyle w:val="HideTWBExt"/>
          <w:b w:val="0"/>
          <w:caps w:val="0"/>
          <w:noProof w:val="0"/>
        </w:rPr>
        <w:t>RefTypeProc</w:t>
      </w:r>
      <w:r w:rsidRPr="00350B42">
        <w:rPr>
          <w:rStyle w:val="HideTWBExt"/>
          <w:b w:val="0"/>
          <w:noProof w:val="0"/>
        </w:rPr>
        <w:t>&gt;</w:t>
      </w:r>
    </w:p>
    <w:p w14:paraId="6494FBBC" w14:textId="7942F293" w:rsidR="00B65923" w:rsidRPr="00350B42" w:rsidRDefault="00B65923" w:rsidP="00B65923">
      <w:pPr>
        <w:pStyle w:val="ZDate"/>
      </w:pPr>
      <w:r w:rsidRPr="00350B42">
        <w:rPr>
          <w:rStyle w:val="HideTWBExt"/>
          <w:noProof w:val="0"/>
        </w:rPr>
        <w:t>&lt;Date&gt;</w:t>
      </w:r>
      <w:r w:rsidR="00B11BEA" w:rsidRPr="00350B42">
        <w:rPr>
          <w:rStyle w:val="HideTWBInt"/>
        </w:rPr>
        <w:t>{28/09/2017}</w:t>
      </w:r>
      <w:r w:rsidR="00B11BEA" w:rsidRPr="00350B42">
        <w:t>28.9.2017</w:t>
      </w:r>
      <w:r w:rsidRPr="00350B42">
        <w:rPr>
          <w:rStyle w:val="HideTWBExt"/>
          <w:noProof w:val="0"/>
        </w:rPr>
        <w:t>&lt;/Date&gt;</w:t>
      </w:r>
    </w:p>
    <w:p w14:paraId="428A3F2D" w14:textId="5935E3A9" w:rsidR="00B65923" w:rsidRPr="00350B42" w:rsidRDefault="00B65923" w:rsidP="00B65923">
      <w:pPr>
        <w:pStyle w:val="TypeDoc"/>
      </w:pPr>
      <w:r w:rsidRPr="00350B42">
        <w:rPr>
          <w:rStyle w:val="HideTWBExt"/>
          <w:b w:val="0"/>
          <w:noProof w:val="0"/>
        </w:rPr>
        <w:t>&lt;TitreType&gt;</w:t>
      </w:r>
      <w:r w:rsidR="00B11BEA" w:rsidRPr="00350B42">
        <w:t>OPINION</w:t>
      </w:r>
      <w:r w:rsidRPr="00350B42">
        <w:rPr>
          <w:rStyle w:val="HideTWBExt"/>
          <w:b w:val="0"/>
          <w:noProof w:val="0"/>
        </w:rPr>
        <w:t>&lt;/TitreType&gt;</w:t>
      </w:r>
    </w:p>
    <w:p w14:paraId="4CA6800E" w14:textId="77777777" w:rsidR="00B65923" w:rsidRPr="00350B42" w:rsidRDefault="00B65923" w:rsidP="00B65923">
      <w:pPr>
        <w:pStyle w:val="Cover24"/>
      </w:pPr>
      <w:r w:rsidRPr="00350B42">
        <w:rPr>
          <w:rStyle w:val="HideTWBExt"/>
          <w:noProof w:val="0"/>
        </w:rPr>
        <w:t>&lt;CommissionResp&gt;</w:t>
      </w:r>
      <w:r w:rsidRPr="00350B42">
        <w:t>of the Committee on Employment and Social Affairs</w:t>
      </w:r>
      <w:r w:rsidRPr="00350B42">
        <w:rPr>
          <w:rStyle w:val="HideTWBExt"/>
          <w:noProof w:val="0"/>
        </w:rPr>
        <w:t>&lt;/CommissionResp&gt;</w:t>
      </w:r>
    </w:p>
    <w:p w14:paraId="2A8B89B4" w14:textId="77777777" w:rsidR="00B65923" w:rsidRPr="00350B42" w:rsidRDefault="00B65923" w:rsidP="00B65923">
      <w:pPr>
        <w:pStyle w:val="Cover24"/>
      </w:pPr>
      <w:r w:rsidRPr="00350B42">
        <w:rPr>
          <w:rStyle w:val="HideTWBExt"/>
          <w:noProof w:val="0"/>
        </w:rPr>
        <w:t>&lt;CommissionInt&gt;</w:t>
      </w:r>
      <w:r w:rsidRPr="00350B42">
        <w:t xml:space="preserve">for the </w:t>
      </w:r>
      <w:r w:rsidRPr="00350B42">
        <w:rPr>
          <w:rStyle w:val="HideTWBInt"/>
        </w:rPr>
        <w:t>{ECON}</w:t>
      </w:r>
      <w:r w:rsidRPr="00350B42">
        <w:t>Committee on Economic and Monetary Affairs</w:t>
      </w:r>
      <w:r w:rsidR="000A3157" w:rsidRPr="00350B42">
        <w:rPr>
          <w:rStyle w:val="HideTWBExt"/>
          <w:noProof w:val="0"/>
        </w:rPr>
        <w:t>&lt;/CommissionInt&gt;</w:t>
      </w:r>
    </w:p>
    <w:p w14:paraId="462E9874" w14:textId="77777777" w:rsidR="00B65923" w:rsidRPr="00350B42" w:rsidRDefault="00B65923" w:rsidP="00CC3299">
      <w:pPr>
        <w:pStyle w:val="Cover24"/>
        <w:spacing w:after="0"/>
      </w:pPr>
      <w:r w:rsidRPr="00350B42">
        <w:rPr>
          <w:rStyle w:val="HideTWBExt"/>
          <w:noProof w:val="0"/>
        </w:rPr>
        <w:t>&lt;Titre&gt;</w:t>
      </w:r>
      <w:r w:rsidRPr="00350B42">
        <w:t>on the economic policies of the euro area</w:t>
      </w:r>
      <w:r w:rsidRPr="00350B42">
        <w:rPr>
          <w:rStyle w:val="HideTWBExt"/>
          <w:noProof w:val="0"/>
        </w:rPr>
        <w:t>&lt;/Titre&gt;</w:t>
      </w:r>
    </w:p>
    <w:p w14:paraId="049B80B9" w14:textId="1C36AD49" w:rsidR="00B65923" w:rsidRPr="00350B42" w:rsidRDefault="00891934" w:rsidP="00B65923">
      <w:pPr>
        <w:pStyle w:val="Cover24"/>
      </w:pPr>
      <w:r>
        <w:rPr>
          <w:rStyle w:val="HideTWBExt"/>
          <w:noProof w:val="0"/>
          <w:vanish w:val="0"/>
        </w:rPr>
        <w:t>(</w:t>
      </w:r>
      <w:r w:rsidR="00B65923" w:rsidRPr="00350B42">
        <w:rPr>
          <w:rStyle w:val="HideTWBExt"/>
          <w:noProof w:val="0"/>
        </w:rPr>
        <w:t>&lt;DocRef&gt;</w:t>
      </w:r>
      <w:r w:rsidR="00B65923" w:rsidRPr="00350B42">
        <w:t>2017/</w:t>
      </w:r>
      <w:r w:rsidR="00E23BF4" w:rsidRPr="00350B42">
        <w:t>2114</w:t>
      </w:r>
      <w:r w:rsidR="00B65923" w:rsidRPr="00350B42">
        <w:t>(INI))</w:t>
      </w:r>
      <w:r w:rsidR="00B65923" w:rsidRPr="00350B42">
        <w:rPr>
          <w:rStyle w:val="HideTWBExt"/>
          <w:noProof w:val="0"/>
        </w:rPr>
        <w:t>&lt;/DocRef&gt;</w:t>
      </w:r>
    </w:p>
    <w:p w14:paraId="5CA5DFDE" w14:textId="77777777" w:rsidR="00B65923" w:rsidRPr="00350B42" w:rsidRDefault="00B65923" w:rsidP="00B65923">
      <w:pPr>
        <w:pStyle w:val="Cover24"/>
      </w:pPr>
      <w:r w:rsidRPr="00350B42">
        <w:t xml:space="preserve">Rapporteur: </w:t>
      </w:r>
      <w:r w:rsidRPr="00350B42">
        <w:rPr>
          <w:rStyle w:val="HideTWBExt"/>
          <w:noProof w:val="0"/>
        </w:rPr>
        <w:t>&lt;Depute&gt;</w:t>
      </w:r>
      <w:r w:rsidRPr="00350B42">
        <w:t>Yana Toom</w:t>
      </w:r>
      <w:r w:rsidRPr="00350B42">
        <w:rPr>
          <w:rStyle w:val="HideTWBExt"/>
          <w:noProof w:val="0"/>
        </w:rPr>
        <w:t>&lt;/Depute&gt;</w:t>
      </w:r>
    </w:p>
    <w:p w14:paraId="628A3D5C" w14:textId="77777777" w:rsidR="0043287B" w:rsidRPr="00350B42" w:rsidRDefault="0043287B" w:rsidP="0043287B">
      <w:pPr>
        <w:pStyle w:val="CoverNormal"/>
      </w:pPr>
      <w:r w:rsidRPr="00350B42">
        <w:t>(*)</w:t>
      </w:r>
      <w:r w:rsidRPr="00350B42">
        <w:tab/>
        <w:t>Associated committee – Rule 54 of the Rules of Procedure</w:t>
      </w:r>
    </w:p>
    <w:p w14:paraId="6C60D9F8" w14:textId="77777777" w:rsidR="0043287B" w:rsidRPr="00350B42" w:rsidRDefault="0043287B" w:rsidP="0043287B">
      <w:pPr>
        <w:pStyle w:val="CoverNormal"/>
      </w:pPr>
      <w:r w:rsidRPr="00350B42">
        <w:br w:type="page"/>
      </w:r>
    </w:p>
    <w:p w14:paraId="5A970058" w14:textId="77777777" w:rsidR="002E2F2E" w:rsidRPr="00350B42" w:rsidRDefault="00802DDB" w:rsidP="00861800">
      <w:pPr>
        <w:widowControl/>
        <w:tabs>
          <w:tab w:val="center" w:pos="4677"/>
        </w:tabs>
        <w:spacing w:after="240"/>
      </w:pPr>
      <w:r w:rsidRPr="00350B42">
        <w:lastRenderedPageBreak/>
        <w:t>PA_NonLeg</w:t>
      </w:r>
    </w:p>
    <w:p w14:paraId="6DF5168B" w14:textId="77777777" w:rsidR="002E2F2E" w:rsidRPr="000661FF" w:rsidRDefault="002E2F2E" w:rsidP="00B65923">
      <w:pPr>
        <w:pStyle w:val="PageHeadingNotTOC"/>
        <w:spacing w:before="0"/>
      </w:pPr>
      <w:bookmarkStart w:id="0" w:name="_GoBack"/>
      <w:bookmarkEnd w:id="0"/>
      <w:r w:rsidRPr="00350B42">
        <w:br w:type="page"/>
      </w:r>
      <w:r w:rsidR="00802DDB" w:rsidRPr="000661FF">
        <w:lastRenderedPageBreak/>
        <w:t>SUGGESTIONS</w:t>
      </w:r>
    </w:p>
    <w:p w14:paraId="6E6EC5E2" w14:textId="77777777" w:rsidR="002E2F2E" w:rsidRPr="000661FF" w:rsidRDefault="00802DDB" w:rsidP="00CC3299">
      <w:pPr>
        <w:pStyle w:val="Normal12Tab"/>
      </w:pPr>
      <w:r w:rsidRPr="000661FF">
        <w:t xml:space="preserve">The </w:t>
      </w:r>
      <w:r w:rsidR="00194C91" w:rsidRPr="000661FF">
        <w:t>Committee on Employment and Social Affairs</w:t>
      </w:r>
      <w:r w:rsidRPr="000661FF">
        <w:t xml:space="preserve"> calls on the </w:t>
      </w:r>
      <w:r w:rsidR="00194C91" w:rsidRPr="000661FF">
        <w:t>Committee on Economic and Monetary Affairs</w:t>
      </w:r>
      <w:r w:rsidRPr="000661FF">
        <w:t xml:space="preserve">, </w:t>
      </w:r>
      <w:r w:rsidR="00194C91" w:rsidRPr="000661FF">
        <w:t>as the committee responsible</w:t>
      </w:r>
      <w:r w:rsidRPr="000661FF">
        <w:t xml:space="preserve">, to incorporate the following suggestions </w:t>
      </w:r>
      <w:r w:rsidR="00194C91" w:rsidRPr="000661FF">
        <w:t>into its</w:t>
      </w:r>
      <w:bookmarkStart w:id="1" w:name="DocEPTmp2"/>
      <w:bookmarkEnd w:id="1"/>
      <w:r w:rsidRPr="000661FF">
        <w:t xml:space="preserve"> motion for a resolution:</w:t>
      </w:r>
    </w:p>
    <w:p w14:paraId="656DFBE6" w14:textId="77777777" w:rsidR="00D823BE" w:rsidRPr="000661FF" w:rsidRDefault="00D823BE" w:rsidP="000661FF">
      <w:pPr>
        <w:pStyle w:val="Hanging12"/>
        <w:rPr>
          <w:sz w:val="22"/>
        </w:rPr>
      </w:pPr>
      <w:r w:rsidRPr="000661FF">
        <w:t>A.</w:t>
      </w:r>
      <w:r w:rsidRPr="000661FF">
        <w:tab/>
        <w:t xml:space="preserve">whereas the employment rate in the euro area grew by 1.4 % in 2016; whereas in March 2017 the unemployment rate stood at 9.5 %, down from 10.2 % in March 2016; whereas despite recent improvements, unemployment rates have not yet returned to pre-crisis levels; </w:t>
      </w:r>
    </w:p>
    <w:p w14:paraId="1B0B308D" w14:textId="43104927" w:rsidR="002526D1" w:rsidRPr="000661FF" w:rsidRDefault="00272BAC" w:rsidP="000661FF">
      <w:pPr>
        <w:pStyle w:val="Hanging12"/>
      </w:pPr>
      <w:r w:rsidRPr="000661FF">
        <w:t>B</w:t>
      </w:r>
      <w:r w:rsidR="002526D1" w:rsidRPr="000661FF">
        <w:t>.</w:t>
      </w:r>
      <w:r w:rsidR="002526D1" w:rsidRPr="000661FF">
        <w:tab/>
        <w:t>whereas the employment rate grew by 1.2</w:t>
      </w:r>
      <w:r w:rsidR="00891934" w:rsidRPr="000661FF">
        <w:t> </w:t>
      </w:r>
      <w:r w:rsidR="002526D1" w:rsidRPr="000661FF">
        <w:t>% in 2016 in the EU</w:t>
      </w:r>
      <w:r w:rsidR="00891934" w:rsidRPr="000661FF">
        <w:t>-</w:t>
      </w:r>
      <w:r w:rsidR="002526D1" w:rsidRPr="000661FF">
        <w:t xml:space="preserve">28, </w:t>
      </w:r>
      <w:r w:rsidR="00891934" w:rsidRPr="000661FF">
        <w:t xml:space="preserve">and </w:t>
      </w:r>
      <w:r w:rsidR="002526D1" w:rsidRPr="000661FF">
        <w:t>234.2 million people were in employment in the first quarter of 2017, the highest number ever recorded</w:t>
      </w:r>
      <w:r w:rsidR="002526D1" w:rsidRPr="000661FF">
        <w:rPr>
          <w:rStyle w:val="SupBoldItalic"/>
          <w:b w:val="0"/>
          <w:i w:val="0"/>
        </w:rPr>
        <w:footnoteReference w:id="1"/>
      </w:r>
      <w:r w:rsidR="002526D1" w:rsidRPr="000661FF">
        <w:t>;</w:t>
      </w:r>
      <w:r w:rsidR="00891934" w:rsidRPr="000661FF">
        <w:t xml:space="preserve"> whereas, </w:t>
      </w:r>
      <w:r w:rsidR="002526D1" w:rsidRPr="000661FF">
        <w:t>however, the considerable number of jobs created in relation to economic growth hides challenges, such as the incomplete recovery in hours worked and modest productivity growth</w:t>
      </w:r>
      <w:r w:rsidR="00891934" w:rsidRPr="000661FF">
        <w:t>;</w:t>
      </w:r>
      <w:r w:rsidR="002526D1" w:rsidRPr="000661FF">
        <w:t xml:space="preserve"> </w:t>
      </w:r>
      <w:r w:rsidR="00891934" w:rsidRPr="000661FF">
        <w:t>whereas i</w:t>
      </w:r>
      <w:r w:rsidR="002526D1" w:rsidRPr="000661FF">
        <w:t>f lasting, these factors may put additional pressure on long-run economic growth aspects and social cohesion in the EU</w:t>
      </w:r>
      <w:r w:rsidR="002526D1" w:rsidRPr="000661FF">
        <w:rPr>
          <w:rStyle w:val="SupBoldItalic"/>
          <w:b w:val="0"/>
          <w:i w:val="0"/>
        </w:rPr>
        <w:footnoteReference w:id="2"/>
      </w:r>
      <w:r w:rsidR="002526D1" w:rsidRPr="000661FF">
        <w:t>;</w:t>
      </w:r>
    </w:p>
    <w:p w14:paraId="4B6A09F5" w14:textId="7C217782" w:rsidR="002526D1" w:rsidRPr="000661FF" w:rsidRDefault="00272BAC" w:rsidP="000661FF">
      <w:pPr>
        <w:pStyle w:val="Hanging12"/>
      </w:pPr>
      <w:r w:rsidRPr="000661FF">
        <w:t>C</w:t>
      </w:r>
      <w:r w:rsidR="002526D1" w:rsidRPr="000661FF">
        <w:t>.</w:t>
      </w:r>
      <w:r w:rsidR="002526D1" w:rsidRPr="000661FF">
        <w:tab/>
        <w:t>whereas employment rates are generally lower among women</w:t>
      </w:r>
      <w:r w:rsidR="00891934" w:rsidRPr="000661FF">
        <w:t xml:space="preserve">: </w:t>
      </w:r>
      <w:r w:rsidR="002526D1" w:rsidRPr="000661FF">
        <w:t>in 2015, the employment rate for men aged 20</w:t>
      </w:r>
      <w:r w:rsidR="00891934" w:rsidRPr="000661FF">
        <w:t>-</w:t>
      </w:r>
      <w:r w:rsidR="002526D1" w:rsidRPr="000661FF">
        <w:t>64 stood at 75.9 % in the EU-28, as compared with 64.3 % for women;</w:t>
      </w:r>
    </w:p>
    <w:p w14:paraId="6FA251E6" w14:textId="4E0448D2" w:rsidR="002526D1" w:rsidRPr="000661FF" w:rsidRDefault="00272BAC" w:rsidP="000661FF">
      <w:pPr>
        <w:pStyle w:val="Hanging12"/>
        <w:rPr>
          <w:rFonts w:eastAsia="Calibri"/>
          <w:szCs w:val="24"/>
        </w:rPr>
      </w:pPr>
      <w:r w:rsidRPr="000661FF">
        <w:rPr>
          <w:szCs w:val="24"/>
        </w:rPr>
        <w:t>D</w:t>
      </w:r>
      <w:r w:rsidR="002526D1" w:rsidRPr="000661FF">
        <w:rPr>
          <w:szCs w:val="24"/>
        </w:rPr>
        <w:t>.</w:t>
      </w:r>
      <w:r w:rsidR="002526D1" w:rsidRPr="000661FF">
        <w:rPr>
          <w:szCs w:val="24"/>
        </w:rPr>
        <w:tab/>
        <w:t xml:space="preserve">whereas in March 2017 the youth unemployment rate in the euro area was 19.4 %, compared with 21.3 % in March 2016; whereas youth unemployment remains unacceptably high; whereas in 2015 the share </w:t>
      </w:r>
      <w:r w:rsidR="00891934" w:rsidRPr="000661FF">
        <w:rPr>
          <w:szCs w:val="24"/>
        </w:rPr>
        <w:t xml:space="preserve">of </w:t>
      </w:r>
      <w:r w:rsidR="002526D1" w:rsidRPr="000661FF">
        <w:rPr>
          <w:szCs w:val="24"/>
        </w:rPr>
        <w:t>NEETs remain</w:t>
      </w:r>
      <w:r w:rsidR="00891934" w:rsidRPr="000661FF">
        <w:rPr>
          <w:szCs w:val="24"/>
        </w:rPr>
        <w:t>ed</w:t>
      </w:r>
      <w:r w:rsidR="002526D1" w:rsidRPr="000661FF">
        <w:rPr>
          <w:szCs w:val="24"/>
        </w:rPr>
        <w:t xml:space="preserve"> high and represent</w:t>
      </w:r>
      <w:r w:rsidR="00E718DD" w:rsidRPr="000661FF">
        <w:rPr>
          <w:szCs w:val="24"/>
        </w:rPr>
        <w:t>ed</w:t>
      </w:r>
      <w:r w:rsidR="002526D1" w:rsidRPr="000661FF">
        <w:rPr>
          <w:szCs w:val="24"/>
        </w:rPr>
        <w:t xml:space="preserve"> 14</w:t>
      </w:r>
      <w:r w:rsidR="00891934" w:rsidRPr="000661FF">
        <w:rPr>
          <w:szCs w:val="24"/>
        </w:rPr>
        <w:t>.</w:t>
      </w:r>
      <w:r w:rsidR="002526D1" w:rsidRPr="000661FF">
        <w:rPr>
          <w:szCs w:val="24"/>
        </w:rPr>
        <w:t xml:space="preserve">8 % of 15-29 year olds, namely 14 million </w:t>
      </w:r>
      <w:r w:rsidR="00B179FE" w:rsidRPr="000661FF">
        <w:rPr>
          <w:szCs w:val="24"/>
        </w:rPr>
        <w:t>people</w:t>
      </w:r>
      <w:r w:rsidR="002526D1" w:rsidRPr="000661FF">
        <w:rPr>
          <w:szCs w:val="24"/>
        </w:rPr>
        <w:t>;</w:t>
      </w:r>
      <w:r w:rsidR="002526D1" w:rsidRPr="000661FF">
        <w:rPr>
          <w:rFonts w:eastAsia="Calibri"/>
          <w:szCs w:val="24"/>
        </w:rPr>
        <w:t xml:space="preserve"> whereas NEETs are estimated to cost the Union </w:t>
      </w:r>
      <w:r w:rsidR="00B179FE" w:rsidRPr="000661FF">
        <w:rPr>
          <w:rFonts w:eastAsia="Calibri"/>
          <w:szCs w:val="24"/>
        </w:rPr>
        <w:t xml:space="preserve">EUR 153 billion </w:t>
      </w:r>
      <w:r w:rsidR="002526D1" w:rsidRPr="000661FF">
        <w:rPr>
          <w:rFonts w:eastAsia="Calibri"/>
          <w:szCs w:val="24"/>
        </w:rPr>
        <w:t>(1.21</w:t>
      </w:r>
      <w:r w:rsidR="00B179FE" w:rsidRPr="000661FF">
        <w:rPr>
          <w:rFonts w:eastAsia="Calibri"/>
          <w:szCs w:val="24"/>
        </w:rPr>
        <w:t> </w:t>
      </w:r>
      <w:r w:rsidR="002526D1" w:rsidRPr="000661FF">
        <w:rPr>
          <w:rFonts w:eastAsia="Calibri"/>
          <w:szCs w:val="24"/>
        </w:rPr>
        <w:t>% of GDP) a year – in benefits and foregone earnings and taxes</w:t>
      </w:r>
      <w:r w:rsidR="002526D1" w:rsidRPr="000661FF">
        <w:rPr>
          <w:rStyle w:val="FootnoteReference"/>
          <w:rFonts w:eastAsia="Calibri"/>
          <w:szCs w:val="24"/>
        </w:rPr>
        <w:footnoteReference w:id="3"/>
      </w:r>
      <w:r w:rsidR="00E718DD" w:rsidRPr="000661FF">
        <w:rPr>
          <w:rFonts w:eastAsia="Calibri"/>
          <w:szCs w:val="24"/>
        </w:rPr>
        <w:t xml:space="preserve">, </w:t>
      </w:r>
      <w:r w:rsidR="002526D1" w:rsidRPr="000661FF">
        <w:rPr>
          <w:rFonts w:eastAsia="Calibri"/>
          <w:szCs w:val="24"/>
        </w:rPr>
        <w:t xml:space="preserve">while the total estimated cost of establishing Youth Guarantee schemes in the </w:t>
      </w:r>
      <w:r w:rsidR="00E94AB6" w:rsidRPr="000661FF">
        <w:rPr>
          <w:rFonts w:eastAsia="Calibri"/>
          <w:szCs w:val="24"/>
        </w:rPr>
        <w:t xml:space="preserve">euro area </w:t>
      </w:r>
      <w:r w:rsidR="002526D1" w:rsidRPr="000661FF">
        <w:rPr>
          <w:rFonts w:eastAsia="Calibri"/>
          <w:szCs w:val="24"/>
        </w:rPr>
        <w:t xml:space="preserve">is </w:t>
      </w:r>
      <w:r w:rsidR="00B179FE" w:rsidRPr="000661FF">
        <w:rPr>
          <w:rFonts w:eastAsia="Calibri"/>
          <w:szCs w:val="24"/>
        </w:rPr>
        <w:t>EUR </w:t>
      </w:r>
      <w:r w:rsidR="002526D1" w:rsidRPr="000661FF">
        <w:rPr>
          <w:rFonts w:eastAsia="Calibri"/>
          <w:szCs w:val="24"/>
        </w:rPr>
        <w:t>21</w:t>
      </w:r>
      <w:r w:rsidR="00B179FE" w:rsidRPr="000661FF">
        <w:rPr>
          <w:rFonts w:eastAsia="Calibri"/>
          <w:szCs w:val="24"/>
        </w:rPr>
        <w:t xml:space="preserve"> billion</w:t>
      </w:r>
      <w:r w:rsidR="002526D1" w:rsidRPr="000661FF">
        <w:rPr>
          <w:rFonts w:eastAsia="Calibri"/>
          <w:szCs w:val="24"/>
        </w:rPr>
        <w:t xml:space="preserve"> a year, or 0.22</w:t>
      </w:r>
      <w:r w:rsidR="00B179FE" w:rsidRPr="000661FF">
        <w:rPr>
          <w:rFonts w:eastAsia="Calibri"/>
          <w:szCs w:val="24"/>
        </w:rPr>
        <w:t> </w:t>
      </w:r>
      <w:r w:rsidR="002526D1" w:rsidRPr="000661FF">
        <w:rPr>
          <w:rFonts w:eastAsia="Calibri"/>
          <w:szCs w:val="24"/>
        </w:rPr>
        <w:t xml:space="preserve">% of GDP; whereas </w:t>
      </w:r>
      <w:r w:rsidR="00B179FE" w:rsidRPr="000661FF">
        <w:rPr>
          <w:rFonts w:eastAsia="Calibri"/>
          <w:szCs w:val="24"/>
        </w:rPr>
        <w:t xml:space="preserve">EUR </w:t>
      </w:r>
      <w:r w:rsidR="002526D1" w:rsidRPr="000661FF">
        <w:rPr>
          <w:rFonts w:eastAsia="Calibri"/>
          <w:szCs w:val="24"/>
        </w:rPr>
        <w:t>1</w:t>
      </w:r>
      <w:r w:rsidR="00B179FE" w:rsidRPr="000661FF">
        <w:rPr>
          <w:rFonts w:eastAsia="Calibri"/>
          <w:szCs w:val="24"/>
        </w:rPr>
        <w:t xml:space="preserve"> </w:t>
      </w:r>
      <w:r w:rsidR="002526D1" w:rsidRPr="000661FF">
        <w:rPr>
          <w:rFonts w:eastAsia="Calibri"/>
          <w:szCs w:val="24"/>
        </w:rPr>
        <w:t>b</w:t>
      </w:r>
      <w:r w:rsidR="00B179FE" w:rsidRPr="000661FF">
        <w:rPr>
          <w:rFonts w:eastAsia="Calibri"/>
          <w:szCs w:val="24"/>
        </w:rPr>
        <w:t>illio</w:t>
      </w:r>
      <w:r w:rsidR="002526D1" w:rsidRPr="000661FF">
        <w:rPr>
          <w:rFonts w:eastAsia="Calibri"/>
          <w:szCs w:val="24"/>
        </w:rPr>
        <w:t xml:space="preserve">n </w:t>
      </w:r>
      <w:r w:rsidR="00B179FE" w:rsidRPr="000661FF">
        <w:rPr>
          <w:rFonts w:eastAsia="Calibri"/>
          <w:szCs w:val="24"/>
        </w:rPr>
        <w:t xml:space="preserve">is </w:t>
      </w:r>
      <w:r w:rsidR="002526D1" w:rsidRPr="000661FF">
        <w:rPr>
          <w:rFonts w:eastAsia="Calibri"/>
          <w:szCs w:val="24"/>
        </w:rPr>
        <w:t>currently allocated to the Youth Employment Initiative</w:t>
      </w:r>
      <w:r w:rsidR="00B179FE" w:rsidRPr="000661FF">
        <w:rPr>
          <w:rFonts w:eastAsia="Calibri"/>
          <w:szCs w:val="24"/>
        </w:rPr>
        <w:t>, a sum</w:t>
      </w:r>
      <w:r w:rsidR="002526D1" w:rsidRPr="000661FF">
        <w:rPr>
          <w:rFonts w:eastAsia="Calibri"/>
          <w:szCs w:val="24"/>
        </w:rPr>
        <w:t xml:space="preserve"> which is to be matched by </w:t>
      </w:r>
      <w:r w:rsidR="00B179FE" w:rsidRPr="000661FF">
        <w:rPr>
          <w:rFonts w:eastAsia="Calibri"/>
          <w:szCs w:val="24"/>
        </w:rPr>
        <w:t>EUR </w:t>
      </w:r>
      <w:r w:rsidR="002526D1" w:rsidRPr="000661FF">
        <w:rPr>
          <w:rFonts w:eastAsia="Calibri"/>
          <w:szCs w:val="24"/>
        </w:rPr>
        <w:t>1 billion from the European Social Fund for the period 2017</w:t>
      </w:r>
      <w:r w:rsidR="00B179FE" w:rsidRPr="000661FF">
        <w:rPr>
          <w:rFonts w:eastAsia="Calibri"/>
          <w:szCs w:val="24"/>
        </w:rPr>
        <w:t>-</w:t>
      </w:r>
      <w:r w:rsidR="002526D1" w:rsidRPr="000661FF">
        <w:rPr>
          <w:rFonts w:eastAsia="Calibri"/>
          <w:szCs w:val="24"/>
        </w:rPr>
        <w:t>2020;</w:t>
      </w:r>
    </w:p>
    <w:p w14:paraId="6EE9BF55" w14:textId="4FF5F647" w:rsidR="002526D1" w:rsidRPr="000661FF" w:rsidRDefault="00272BAC" w:rsidP="000661FF">
      <w:pPr>
        <w:pStyle w:val="Hanging12"/>
      </w:pPr>
      <w:r w:rsidRPr="000661FF">
        <w:t>E</w:t>
      </w:r>
      <w:r w:rsidR="002526D1" w:rsidRPr="000661FF">
        <w:t>.</w:t>
      </w:r>
      <w:r w:rsidR="002526D1" w:rsidRPr="000661FF">
        <w:tab/>
        <w:t xml:space="preserve">whereas </w:t>
      </w:r>
      <w:r w:rsidR="00F7431A" w:rsidRPr="000661FF">
        <w:t xml:space="preserve">although </w:t>
      </w:r>
      <w:r w:rsidR="002526D1" w:rsidRPr="000661FF">
        <w:t>long-term unemployment in the EU</w:t>
      </w:r>
      <w:r w:rsidR="00B179FE" w:rsidRPr="000661FF">
        <w:t>-</w:t>
      </w:r>
      <w:r w:rsidR="002526D1" w:rsidRPr="000661FF">
        <w:t>28 decreased from 5</w:t>
      </w:r>
      <w:r w:rsidR="00B179FE" w:rsidRPr="000661FF">
        <w:t> </w:t>
      </w:r>
      <w:r w:rsidR="002526D1" w:rsidRPr="000661FF">
        <w:t>% in 2014 to 4</w:t>
      </w:r>
      <w:r w:rsidR="00B179FE" w:rsidRPr="000661FF">
        <w:t> </w:t>
      </w:r>
      <w:r w:rsidR="002526D1" w:rsidRPr="000661FF">
        <w:t>% in 2016, it remains a concern</w:t>
      </w:r>
      <w:r w:rsidR="00E718DD" w:rsidRPr="000661FF">
        <w:t>,</w:t>
      </w:r>
      <w:r w:rsidR="002526D1" w:rsidRPr="000661FF">
        <w:t xml:space="preserve"> accounting for almost half of total unemployment; notes with concern that the very long</w:t>
      </w:r>
      <w:r w:rsidR="00F7431A" w:rsidRPr="000661FF">
        <w:t>-</w:t>
      </w:r>
      <w:r w:rsidR="002526D1" w:rsidRPr="000661FF">
        <w:t>term unemployment rate of 2.5</w:t>
      </w:r>
      <w:r w:rsidR="00F7431A" w:rsidRPr="000661FF">
        <w:t> </w:t>
      </w:r>
      <w:r w:rsidR="002526D1" w:rsidRPr="000661FF">
        <w:t>% in 2016 is still 1</w:t>
      </w:r>
      <w:r w:rsidR="00F7431A" w:rsidRPr="000661FF">
        <w:t> </w:t>
      </w:r>
      <w:r w:rsidR="002526D1" w:rsidRPr="000661FF">
        <w:t xml:space="preserve">% </w:t>
      </w:r>
      <w:r w:rsidR="00F7431A" w:rsidRPr="000661FF">
        <w:t xml:space="preserve">more than </w:t>
      </w:r>
      <w:r w:rsidR="002526D1" w:rsidRPr="000661FF">
        <w:t xml:space="preserve">the 2008 figure; whereas wide disparities remain among </w:t>
      </w:r>
      <w:r w:rsidR="00F7431A" w:rsidRPr="000661FF">
        <w:t xml:space="preserve">the </w:t>
      </w:r>
      <w:r w:rsidR="002526D1" w:rsidRPr="000661FF">
        <w:t>Member States;</w:t>
      </w:r>
    </w:p>
    <w:p w14:paraId="6B585619" w14:textId="701D38F8" w:rsidR="002526D1" w:rsidRPr="000661FF" w:rsidRDefault="00272BAC" w:rsidP="000661FF">
      <w:pPr>
        <w:pStyle w:val="Hanging12"/>
      </w:pPr>
      <w:r w:rsidRPr="000661FF">
        <w:t>F</w:t>
      </w:r>
      <w:r w:rsidR="002526D1" w:rsidRPr="000661FF">
        <w:t>.</w:t>
      </w:r>
      <w:r w:rsidR="002526D1" w:rsidRPr="000661FF">
        <w:tab/>
        <w:t>whereas in many Member States</w:t>
      </w:r>
      <w:r w:rsidR="00F7431A" w:rsidRPr="000661FF">
        <w:t>,</w:t>
      </w:r>
      <w:r w:rsidR="002526D1" w:rsidRPr="000661FF">
        <w:t xml:space="preserve"> the </w:t>
      </w:r>
      <w:r w:rsidR="00F7431A" w:rsidRPr="000661FF">
        <w:t xml:space="preserve">size of the </w:t>
      </w:r>
      <w:r w:rsidR="002526D1" w:rsidRPr="000661FF">
        <w:t xml:space="preserve">working-age population and the </w:t>
      </w:r>
      <w:r w:rsidR="002526D1" w:rsidRPr="000661FF">
        <w:lastRenderedPageBreak/>
        <w:t xml:space="preserve">labour force </w:t>
      </w:r>
      <w:r w:rsidR="00F7431A" w:rsidRPr="000661FF">
        <w:t xml:space="preserve">is </w:t>
      </w:r>
      <w:r w:rsidR="002526D1" w:rsidRPr="000661FF">
        <w:t>continuing to shrink, notably as a result of low birth rates; whereas the employability of women</w:t>
      </w:r>
      <w:r w:rsidR="00E718DD" w:rsidRPr="000661FF">
        <w:t>,</w:t>
      </w:r>
      <w:r w:rsidR="002526D1" w:rsidRPr="000661FF">
        <w:t xml:space="preserve"> </w:t>
      </w:r>
      <w:r w:rsidR="00E718DD" w:rsidRPr="000661FF">
        <w:t xml:space="preserve">together with </w:t>
      </w:r>
      <w:r w:rsidR="002526D1" w:rsidRPr="000661FF">
        <w:t>the ongoing arrival of migrants, refugees and asylum seekers</w:t>
      </w:r>
      <w:r w:rsidR="00F7431A" w:rsidRPr="000661FF">
        <w:t>,</w:t>
      </w:r>
      <w:r w:rsidR="002526D1" w:rsidRPr="000661FF">
        <w:t xml:space="preserve"> are opportunities for Member </w:t>
      </w:r>
      <w:r w:rsidR="00F7431A" w:rsidRPr="000661FF">
        <w:t>S</w:t>
      </w:r>
      <w:r w:rsidR="002526D1" w:rsidRPr="000661FF">
        <w:t xml:space="preserve">tates to </w:t>
      </w:r>
      <w:r w:rsidR="00416AE7" w:rsidRPr="000661FF">
        <w:t xml:space="preserve">deal </w:t>
      </w:r>
      <w:r w:rsidR="002526D1" w:rsidRPr="000661FF">
        <w:t>with this issue and reinforce the workforce in the EU;</w:t>
      </w:r>
    </w:p>
    <w:p w14:paraId="6421C9D2" w14:textId="77777777" w:rsidR="00350B42" w:rsidRPr="000661FF" w:rsidRDefault="00272BAC" w:rsidP="000661FF">
      <w:pPr>
        <w:pStyle w:val="Hanging12"/>
        <w:rPr>
          <w:szCs w:val="24"/>
        </w:rPr>
      </w:pPr>
      <w:r w:rsidRPr="000661FF">
        <w:rPr>
          <w:szCs w:val="24"/>
        </w:rPr>
        <w:t>G</w:t>
      </w:r>
      <w:r w:rsidR="002526D1" w:rsidRPr="000661FF">
        <w:rPr>
          <w:szCs w:val="24"/>
        </w:rPr>
        <w:t>.</w:t>
      </w:r>
      <w:r w:rsidR="002526D1" w:rsidRPr="000661FF">
        <w:rPr>
          <w:szCs w:val="24"/>
        </w:rPr>
        <w:tab/>
      </w:r>
      <w:r w:rsidR="002526D1" w:rsidRPr="000661FF">
        <w:rPr>
          <w:rFonts w:eastAsia="Calibri"/>
          <w:szCs w:val="24"/>
        </w:rPr>
        <w:t xml:space="preserve">whereas one of the five Europe 2020 targets aims </w:t>
      </w:r>
      <w:r w:rsidR="00F7431A" w:rsidRPr="000661FF">
        <w:rPr>
          <w:rFonts w:eastAsia="Calibri"/>
          <w:szCs w:val="24"/>
        </w:rPr>
        <w:t xml:space="preserve">to </w:t>
      </w:r>
      <w:r w:rsidR="002526D1" w:rsidRPr="000661FF">
        <w:rPr>
          <w:rFonts w:eastAsia="Calibri"/>
          <w:szCs w:val="24"/>
        </w:rPr>
        <w:t>reduc</w:t>
      </w:r>
      <w:r w:rsidR="00F7431A" w:rsidRPr="000661FF">
        <w:rPr>
          <w:rFonts w:eastAsia="Calibri"/>
          <w:szCs w:val="24"/>
        </w:rPr>
        <w:t>e</w:t>
      </w:r>
      <w:r w:rsidR="002526D1" w:rsidRPr="000661FF">
        <w:rPr>
          <w:rFonts w:eastAsia="Calibri"/>
          <w:szCs w:val="24"/>
        </w:rPr>
        <w:t xml:space="preserve"> by at least 20 million the number of people in or at risk of poverty and social exclusion; </w:t>
      </w:r>
      <w:r w:rsidR="002526D1" w:rsidRPr="000661FF">
        <w:rPr>
          <w:szCs w:val="24"/>
        </w:rPr>
        <w:t>whereas poverty is decreasing, with 4.8 million fewer people at risk of poverty and social exclusion in 2015 than in 2012</w:t>
      </w:r>
      <w:r w:rsidR="00F7431A" w:rsidRPr="000661FF">
        <w:rPr>
          <w:szCs w:val="24"/>
        </w:rPr>
        <w:t xml:space="preserve">; whereas this 2015 figure </w:t>
      </w:r>
      <w:r w:rsidR="002526D1" w:rsidRPr="000661FF">
        <w:rPr>
          <w:szCs w:val="24"/>
        </w:rPr>
        <w:t>still exceed</w:t>
      </w:r>
      <w:r w:rsidR="00F7431A" w:rsidRPr="000661FF">
        <w:rPr>
          <w:szCs w:val="24"/>
        </w:rPr>
        <w:t>s</w:t>
      </w:r>
      <w:r w:rsidR="002526D1" w:rsidRPr="000661FF">
        <w:rPr>
          <w:szCs w:val="24"/>
        </w:rPr>
        <w:t xml:space="preserve"> the 2008 </w:t>
      </w:r>
      <w:r w:rsidR="00F7431A" w:rsidRPr="000661FF">
        <w:rPr>
          <w:szCs w:val="24"/>
        </w:rPr>
        <w:t xml:space="preserve">figure </w:t>
      </w:r>
      <w:r w:rsidR="002526D1" w:rsidRPr="000661FF">
        <w:rPr>
          <w:szCs w:val="24"/>
        </w:rPr>
        <w:t>by 1</w:t>
      </w:r>
      <w:r w:rsidR="00F7431A" w:rsidRPr="000661FF">
        <w:rPr>
          <w:szCs w:val="24"/>
        </w:rPr>
        <w:t>.</w:t>
      </w:r>
      <w:r w:rsidR="002526D1" w:rsidRPr="000661FF">
        <w:rPr>
          <w:szCs w:val="24"/>
        </w:rPr>
        <w:t xml:space="preserve">6 million; whereas </w:t>
      </w:r>
      <w:r w:rsidR="002526D1" w:rsidRPr="000661FF">
        <w:rPr>
          <w:rFonts w:eastAsia="Calibri"/>
          <w:szCs w:val="24"/>
        </w:rPr>
        <w:t>32</w:t>
      </w:r>
      <w:r w:rsidR="00F7431A" w:rsidRPr="000661FF">
        <w:rPr>
          <w:rFonts w:eastAsia="Calibri"/>
          <w:szCs w:val="24"/>
        </w:rPr>
        <w:t>.</w:t>
      </w:r>
      <w:r w:rsidR="002526D1" w:rsidRPr="000661FF">
        <w:rPr>
          <w:rFonts w:eastAsia="Calibri"/>
          <w:szCs w:val="24"/>
        </w:rPr>
        <w:t xml:space="preserve">2 million persons with disabilities were </w:t>
      </w:r>
      <w:r w:rsidR="00F7431A" w:rsidRPr="000661FF">
        <w:rPr>
          <w:rFonts w:eastAsia="Calibri"/>
          <w:szCs w:val="24"/>
        </w:rPr>
        <w:t>at risk of poverty and social exclusion</w:t>
      </w:r>
      <w:r w:rsidR="002526D1" w:rsidRPr="000661FF">
        <w:rPr>
          <w:rFonts w:eastAsia="Calibri"/>
          <w:szCs w:val="24"/>
        </w:rPr>
        <w:t xml:space="preserve"> in the EU</w:t>
      </w:r>
      <w:r w:rsidR="00F7431A" w:rsidRPr="000661FF">
        <w:rPr>
          <w:rFonts w:eastAsia="Calibri"/>
          <w:szCs w:val="24"/>
        </w:rPr>
        <w:t xml:space="preserve"> in 2012</w:t>
      </w:r>
      <w:r w:rsidR="002526D1" w:rsidRPr="000661FF">
        <w:rPr>
          <w:rFonts w:eastAsia="Calibri"/>
          <w:szCs w:val="24"/>
        </w:rPr>
        <w:t>; whereas in 2013</w:t>
      </w:r>
      <w:r w:rsidR="00F7431A" w:rsidRPr="000661FF">
        <w:rPr>
          <w:rFonts w:eastAsia="Calibri"/>
          <w:szCs w:val="24"/>
        </w:rPr>
        <w:t>,</w:t>
      </w:r>
      <w:r w:rsidR="002526D1" w:rsidRPr="000661FF">
        <w:rPr>
          <w:rFonts w:eastAsia="Calibri"/>
          <w:szCs w:val="24"/>
        </w:rPr>
        <w:t xml:space="preserve"> 26</w:t>
      </w:r>
      <w:r w:rsidR="00F7431A" w:rsidRPr="000661FF">
        <w:rPr>
          <w:rFonts w:eastAsia="Calibri"/>
          <w:szCs w:val="24"/>
        </w:rPr>
        <w:t>.</w:t>
      </w:r>
      <w:r w:rsidR="002526D1" w:rsidRPr="000661FF">
        <w:rPr>
          <w:rFonts w:eastAsia="Calibri"/>
          <w:szCs w:val="24"/>
        </w:rPr>
        <w:t>5 million children in the EU</w:t>
      </w:r>
      <w:r w:rsidR="00F7431A" w:rsidRPr="000661FF">
        <w:rPr>
          <w:rFonts w:eastAsia="Calibri"/>
          <w:szCs w:val="24"/>
        </w:rPr>
        <w:t>-</w:t>
      </w:r>
      <w:r w:rsidR="002526D1" w:rsidRPr="000661FF">
        <w:rPr>
          <w:rFonts w:eastAsia="Calibri"/>
          <w:szCs w:val="24"/>
        </w:rPr>
        <w:t xml:space="preserve">28 were at risk of falling into poverty or social exclusion; </w:t>
      </w:r>
      <w:r w:rsidR="002526D1" w:rsidRPr="000661FF">
        <w:rPr>
          <w:szCs w:val="24"/>
        </w:rPr>
        <w:t>whereas the at-risk-of</w:t>
      </w:r>
      <w:r w:rsidR="00E718DD" w:rsidRPr="000661FF">
        <w:rPr>
          <w:szCs w:val="24"/>
        </w:rPr>
        <w:t>-</w:t>
      </w:r>
      <w:r w:rsidR="002526D1" w:rsidRPr="000661FF">
        <w:rPr>
          <w:szCs w:val="24"/>
        </w:rPr>
        <w:t xml:space="preserve">poverty or </w:t>
      </w:r>
      <w:r w:rsidR="00E718DD" w:rsidRPr="000661FF">
        <w:rPr>
          <w:szCs w:val="24"/>
        </w:rPr>
        <w:t>-</w:t>
      </w:r>
      <w:r w:rsidR="002526D1" w:rsidRPr="000661FF">
        <w:rPr>
          <w:szCs w:val="24"/>
        </w:rPr>
        <w:t xml:space="preserve">exclusion </w:t>
      </w:r>
      <w:r w:rsidR="00E718DD" w:rsidRPr="000661FF">
        <w:rPr>
          <w:szCs w:val="24"/>
        </w:rPr>
        <w:t xml:space="preserve">rate </w:t>
      </w:r>
      <w:r w:rsidR="002526D1" w:rsidRPr="000661FF">
        <w:rPr>
          <w:szCs w:val="24"/>
        </w:rPr>
        <w:t>is still unacceptably high at 23.7</w:t>
      </w:r>
      <w:r w:rsidR="00F7431A" w:rsidRPr="000661FF">
        <w:rPr>
          <w:szCs w:val="24"/>
        </w:rPr>
        <w:t> </w:t>
      </w:r>
      <w:r w:rsidR="002526D1" w:rsidRPr="000661FF">
        <w:rPr>
          <w:szCs w:val="24"/>
        </w:rPr>
        <w:t>%</w:t>
      </w:r>
      <w:r w:rsidR="00E718DD" w:rsidRPr="000661FF">
        <w:rPr>
          <w:szCs w:val="24"/>
        </w:rPr>
        <w:t>,</w:t>
      </w:r>
      <w:r w:rsidR="002526D1" w:rsidRPr="000661FF">
        <w:rPr>
          <w:szCs w:val="24"/>
        </w:rPr>
        <w:t xml:space="preserve"> with figures remaining very high in some Member States; whereas</w:t>
      </w:r>
      <w:r w:rsidR="00F7431A" w:rsidRPr="000661FF">
        <w:rPr>
          <w:szCs w:val="24"/>
        </w:rPr>
        <w:t xml:space="preserve">, moreover, </w:t>
      </w:r>
      <w:r w:rsidR="002526D1" w:rsidRPr="000661FF">
        <w:rPr>
          <w:szCs w:val="24"/>
        </w:rPr>
        <w:t>energy poverty remains so high that for the 11</w:t>
      </w:r>
      <w:r w:rsidR="00F7431A" w:rsidRPr="000661FF">
        <w:rPr>
          <w:szCs w:val="24"/>
        </w:rPr>
        <w:t> </w:t>
      </w:r>
      <w:r w:rsidR="002526D1" w:rsidRPr="000661FF">
        <w:rPr>
          <w:szCs w:val="24"/>
        </w:rPr>
        <w:t xml:space="preserve">% of the EU population </w:t>
      </w:r>
      <w:r w:rsidR="00F7431A" w:rsidRPr="000661FF">
        <w:rPr>
          <w:szCs w:val="24"/>
        </w:rPr>
        <w:t xml:space="preserve">concerned, </w:t>
      </w:r>
      <w:r w:rsidR="002526D1" w:rsidRPr="000661FF">
        <w:rPr>
          <w:szCs w:val="24"/>
        </w:rPr>
        <w:t>it leads to a cycle of economic disadvantage;</w:t>
      </w:r>
    </w:p>
    <w:p w14:paraId="1277A624" w14:textId="7F485FBE" w:rsidR="002526D1" w:rsidRPr="000661FF" w:rsidRDefault="00272BAC" w:rsidP="000661FF">
      <w:pPr>
        <w:pStyle w:val="Hanging12"/>
      </w:pPr>
      <w:r w:rsidRPr="000661FF">
        <w:t>H</w:t>
      </w:r>
      <w:r w:rsidR="002526D1" w:rsidRPr="000661FF">
        <w:t>.</w:t>
      </w:r>
      <w:r w:rsidR="002526D1" w:rsidRPr="000661FF">
        <w:tab/>
      </w:r>
      <w:r w:rsidRPr="000661FF">
        <w:t>w</w:t>
      </w:r>
      <w:r w:rsidR="002526D1" w:rsidRPr="000661FF">
        <w:t xml:space="preserve">hereas growth in most </w:t>
      </w:r>
      <w:r w:rsidR="00F7431A" w:rsidRPr="000661FF">
        <w:t>M</w:t>
      </w:r>
      <w:r w:rsidR="002526D1" w:rsidRPr="000661FF">
        <w:t xml:space="preserve">ember </w:t>
      </w:r>
      <w:r w:rsidR="00F7431A" w:rsidRPr="000661FF">
        <w:t>S</w:t>
      </w:r>
      <w:r w:rsidR="002526D1" w:rsidRPr="000661FF">
        <w:t xml:space="preserve">tates remains low, </w:t>
      </w:r>
      <w:r w:rsidR="008D42C0" w:rsidRPr="000661FF">
        <w:t xml:space="preserve">with </w:t>
      </w:r>
      <w:r w:rsidR="002526D1" w:rsidRPr="000661FF">
        <w:t xml:space="preserve">the EU growth rate </w:t>
      </w:r>
      <w:r w:rsidR="008D42C0" w:rsidRPr="000661FF">
        <w:t>having fallen to a stable</w:t>
      </w:r>
      <w:r w:rsidR="002526D1" w:rsidRPr="000661FF">
        <w:t xml:space="preserve"> 2 %</w:t>
      </w:r>
      <w:r w:rsidR="008D42C0" w:rsidRPr="000661FF">
        <w:t xml:space="preserve"> in 2016</w:t>
      </w:r>
      <w:r w:rsidR="002526D1" w:rsidRPr="000661FF">
        <w:t xml:space="preserve"> (</w:t>
      </w:r>
      <w:r w:rsidR="00493440" w:rsidRPr="000661FF">
        <w:t>while</w:t>
      </w:r>
      <w:r w:rsidR="00E1142B" w:rsidRPr="000661FF">
        <w:t>, by contrast,</w:t>
      </w:r>
      <w:r w:rsidR="00493440" w:rsidRPr="000661FF">
        <w:t xml:space="preserve"> g</w:t>
      </w:r>
      <w:r w:rsidR="002526D1" w:rsidRPr="000661FF">
        <w:t>lobal growth (excluding the EU) is expected to strengthen to 3.7</w:t>
      </w:r>
      <w:r w:rsidR="00493440" w:rsidRPr="000661FF">
        <w:t> </w:t>
      </w:r>
      <w:r w:rsidR="002526D1" w:rsidRPr="000661FF">
        <w:t>% this year and 3.9</w:t>
      </w:r>
      <w:r w:rsidR="00493440" w:rsidRPr="000661FF">
        <w:t> </w:t>
      </w:r>
      <w:r w:rsidR="002526D1" w:rsidRPr="000661FF">
        <w:t>% in 2018 from 3.2</w:t>
      </w:r>
      <w:r w:rsidR="00493440" w:rsidRPr="000661FF">
        <w:t> </w:t>
      </w:r>
      <w:r w:rsidR="002526D1" w:rsidRPr="000661FF">
        <w:t>% in 2016)</w:t>
      </w:r>
      <w:r w:rsidR="00493440" w:rsidRPr="000661FF">
        <w:t>,</w:t>
      </w:r>
      <w:r w:rsidR="002526D1" w:rsidRPr="000661FF">
        <w:t xml:space="preserve"> despite positive temporary aspects such as low oil prices, low interest for credit and unconventional monetary policies</w:t>
      </w:r>
      <w:r w:rsidR="00493440" w:rsidRPr="000661FF">
        <w:t xml:space="preserve">, which demonstrates, </w:t>
      </w:r>
      <w:r w:rsidR="002526D1" w:rsidRPr="000661FF">
        <w:t>therefore</w:t>
      </w:r>
      <w:r w:rsidR="00493440" w:rsidRPr="000661FF">
        <w:t>,</w:t>
      </w:r>
      <w:r w:rsidR="002526D1" w:rsidRPr="000661FF">
        <w:t xml:space="preserve"> that the EU can do more to boost the economic and social recovery so as to make it more sustainable in the medium term;</w:t>
      </w:r>
    </w:p>
    <w:p w14:paraId="52F76266" w14:textId="358E72B0" w:rsidR="002526D1" w:rsidRPr="000661FF" w:rsidRDefault="00272BAC" w:rsidP="000661FF">
      <w:pPr>
        <w:pStyle w:val="Hanging12"/>
      </w:pPr>
      <w:r w:rsidRPr="000661FF">
        <w:t>I</w:t>
      </w:r>
      <w:r w:rsidR="002526D1" w:rsidRPr="000661FF">
        <w:t>.</w:t>
      </w:r>
      <w:r w:rsidR="002526D1" w:rsidRPr="000661FF">
        <w:tab/>
      </w:r>
      <w:r w:rsidRPr="000661FF">
        <w:t>w</w:t>
      </w:r>
      <w:r w:rsidR="002526D1" w:rsidRPr="000661FF">
        <w:t>hereas as the Commission</w:t>
      </w:r>
      <w:r w:rsidR="008D42C0" w:rsidRPr="000661FF">
        <w:t xml:space="preserve"> states</w:t>
      </w:r>
      <w:r w:rsidR="002526D1" w:rsidRPr="000661FF">
        <w:rPr>
          <w:rStyle w:val="FootnoteReference"/>
        </w:rPr>
        <w:footnoteReference w:id="4"/>
      </w:r>
      <w:r w:rsidR="008D42C0" w:rsidRPr="000661FF">
        <w:t xml:space="preserve">, in order </w:t>
      </w:r>
      <w:r w:rsidR="002526D1" w:rsidRPr="000661FF">
        <w:t>to strengthen the convergence within countries and the EU, it is essential to achieve a more inclusive, rob</w:t>
      </w:r>
      <w:r w:rsidR="002D5EED" w:rsidRPr="000661FF">
        <w:t>ust and sustainable growth</w:t>
      </w:r>
      <w:r w:rsidR="008839C7" w:rsidRPr="000661FF">
        <w:t>;</w:t>
      </w:r>
    </w:p>
    <w:p w14:paraId="7786CB34" w14:textId="34D2A234" w:rsidR="002526D1" w:rsidRPr="000661FF" w:rsidRDefault="00272BAC" w:rsidP="000661FF">
      <w:pPr>
        <w:pStyle w:val="Hanging12"/>
      </w:pPr>
      <w:r w:rsidRPr="000661FF">
        <w:t>J</w:t>
      </w:r>
      <w:r w:rsidR="002526D1" w:rsidRPr="000661FF">
        <w:t>.</w:t>
      </w:r>
      <w:r w:rsidR="002526D1" w:rsidRPr="000661FF">
        <w:tab/>
        <w:t>whereas labour market conditions and performances show substantial differences across Member States, though these disparities are decreasing;</w:t>
      </w:r>
    </w:p>
    <w:p w14:paraId="5677EEDD" w14:textId="795F6A69" w:rsidR="002526D1" w:rsidRPr="000661FF" w:rsidRDefault="00272BAC" w:rsidP="000661FF">
      <w:pPr>
        <w:pStyle w:val="Hanging12"/>
      </w:pPr>
      <w:r w:rsidRPr="000661FF">
        <w:t>K</w:t>
      </w:r>
      <w:r w:rsidR="002526D1" w:rsidRPr="000661FF">
        <w:t>.</w:t>
      </w:r>
      <w:r w:rsidR="002526D1" w:rsidRPr="000661FF">
        <w:tab/>
        <w:t xml:space="preserve">whereas </w:t>
      </w:r>
      <w:r w:rsidR="008D42C0" w:rsidRPr="000661FF">
        <w:t xml:space="preserve">the </w:t>
      </w:r>
      <w:r w:rsidR="002526D1" w:rsidRPr="000661FF">
        <w:t xml:space="preserve">economic policies of the euro area </w:t>
      </w:r>
      <w:r w:rsidR="008D42C0" w:rsidRPr="000661FF">
        <w:t xml:space="preserve">also greatly </w:t>
      </w:r>
      <w:r w:rsidR="002526D1" w:rsidRPr="000661FF">
        <w:t xml:space="preserve">affect </w:t>
      </w:r>
      <w:r w:rsidR="008D42C0" w:rsidRPr="000661FF">
        <w:t xml:space="preserve">the economies of other </w:t>
      </w:r>
      <w:r w:rsidR="002526D1" w:rsidRPr="000661FF">
        <w:t>Member States;</w:t>
      </w:r>
    </w:p>
    <w:p w14:paraId="52BBC206" w14:textId="3ED6C1E1" w:rsidR="002526D1" w:rsidRPr="000661FF" w:rsidRDefault="00272BAC" w:rsidP="000661FF">
      <w:pPr>
        <w:pStyle w:val="Hanging12"/>
      </w:pPr>
      <w:r w:rsidRPr="000661FF">
        <w:t>L</w:t>
      </w:r>
      <w:r w:rsidR="002526D1" w:rsidRPr="000661FF">
        <w:t>.</w:t>
      </w:r>
      <w:r w:rsidR="002526D1" w:rsidRPr="000661FF">
        <w:tab/>
        <w:t>whereas tax evasion and corruption</w:t>
      </w:r>
      <w:r w:rsidR="008D42C0" w:rsidRPr="000661FF">
        <w:t>, which are increasingly</w:t>
      </w:r>
      <w:r w:rsidR="002526D1" w:rsidRPr="000661FF">
        <w:t xml:space="preserve"> </w:t>
      </w:r>
      <w:r w:rsidR="008D42C0" w:rsidRPr="000661FF">
        <w:t xml:space="preserve">cross-national issues, </w:t>
      </w:r>
      <w:r w:rsidR="002526D1" w:rsidRPr="000661FF">
        <w:t>affect all Member States and undermine the EU</w:t>
      </w:r>
      <w:r w:rsidR="000661FF">
        <w:t>’</w:t>
      </w:r>
      <w:r w:rsidR="002526D1" w:rsidRPr="000661FF">
        <w:t xml:space="preserve">s </w:t>
      </w:r>
      <w:r w:rsidR="002526D1" w:rsidRPr="000661FF">
        <w:lastRenderedPageBreak/>
        <w:t>economic performance, the rule of law and the credibility of democratic institutions;</w:t>
      </w:r>
    </w:p>
    <w:p w14:paraId="4B8ABF7B" w14:textId="5F22DD1E" w:rsidR="002526D1" w:rsidRPr="000661FF" w:rsidRDefault="00272BAC" w:rsidP="000661FF">
      <w:pPr>
        <w:pStyle w:val="Hanging12"/>
      </w:pPr>
      <w:r w:rsidRPr="000661FF">
        <w:t>M</w:t>
      </w:r>
      <w:r w:rsidR="002526D1" w:rsidRPr="000661FF">
        <w:t>.</w:t>
      </w:r>
      <w:r w:rsidR="002526D1" w:rsidRPr="000661FF">
        <w:tab/>
        <w:t>whereas new forms of employment and labour are becoming more widespread with</w:t>
      </w:r>
      <w:r w:rsidR="008D42C0" w:rsidRPr="000661FF">
        <w:t xml:space="preserve"> the</w:t>
      </w:r>
      <w:r w:rsidR="002526D1" w:rsidRPr="000661FF">
        <w:t xml:space="preserve"> digital revolution of </w:t>
      </w:r>
      <w:r w:rsidR="008D42C0" w:rsidRPr="000661FF">
        <w:t xml:space="preserve">the </w:t>
      </w:r>
      <w:r w:rsidR="002526D1" w:rsidRPr="000661FF">
        <w:t>labour market;</w:t>
      </w:r>
    </w:p>
    <w:p w14:paraId="5829FBFB" w14:textId="6498ABAA" w:rsidR="002526D1" w:rsidRPr="000661FF" w:rsidRDefault="00272BAC" w:rsidP="000661FF">
      <w:pPr>
        <w:pStyle w:val="Hanging12"/>
      </w:pPr>
      <w:r w:rsidRPr="000661FF">
        <w:t>N</w:t>
      </w:r>
      <w:r w:rsidR="002526D1" w:rsidRPr="000661FF">
        <w:t>.</w:t>
      </w:r>
      <w:r w:rsidR="002526D1" w:rsidRPr="000661FF">
        <w:tab/>
        <w:t>whereas investment, be it private or public</w:t>
      </w:r>
      <w:r w:rsidR="008D42C0" w:rsidRPr="000661FF">
        <w:t>,</w:t>
      </w:r>
      <w:r w:rsidR="002526D1" w:rsidRPr="000661FF">
        <w:t xml:space="preserve"> is a key tool to increase cohesion and real econom</w:t>
      </w:r>
      <w:r w:rsidR="008D42C0" w:rsidRPr="000661FF">
        <w:t>ic</w:t>
      </w:r>
      <w:r w:rsidR="002526D1" w:rsidRPr="000661FF">
        <w:t xml:space="preserve"> growth, as well as productivity and global competitiveness;</w:t>
      </w:r>
    </w:p>
    <w:p w14:paraId="3FA18E87" w14:textId="710BD767" w:rsidR="00B021A8" w:rsidRPr="000661FF" w:rsidRDefault="00B021A8" w:rsidP="000661FF">
      <w:pPr>
        <w:pStyle w:val="Hanging12"/>
      </w:pPr>
      <w:r w:rsidRPr="000661FF">
        <w:rPr>
          <w:szCs w:val="24"/>
        </w:rPr>
        <w:t>1.</w:t>
      </w:r>
      <w:r w:rsidRPr="000661FF">
        <w:rPr>
          <w:szCs w:val="24"/>
        </w:rPr>
        <w:tab/>
        <w:t xml:space="preserve">Takes the view that continuous efforts are needed to achieve a balance between the economic and social dimensions of the European Semester process and to promote socially and economically balanced structural reforms that reduce inequalities and promote decent jobs leading to quality employment, sustainable growth and social investment; supports </w:t>
      </w:r>
      <w:r w:rsidR="008D42C0" w:rsidRPr="000661FF">
        <w:rPr>
          <w:szCs w:val="24"/>
        </w:rPr>
        <w:t xml:space="preserve">using </w:t>
      </w:r>
      <w:r w:rsidRPr="000661FF">
        <w:rPr>
          <w:szCs w:val="24"/>
        </w:rPr>
        <w:t xml:space="preserve">the Social Scoreboard </w:t>
      </w:r>
      <w:r w:rsidR="008D42C0" w:rsidRPr="000661FF">
        <w:rPr>
          <w:szCs w:val="24"/>
        </w:rPr>
        <w:t>with</w:t>
      </w:r>
      <w:r w:rsidRPr="000661FF">
        <w:rPr>
          <w:szCs w:val="24"/>
        </w:rPr>
        <w:t xml:space="preserve">in the framework of the European Semester; calls for a greater focus on structural imbalances on the labour market in the </w:t>
      </w:r>
      <w:r w:rsidR="008D42C0" w:rsidRPr="000661FF">
        <w:rPr>
          <w:szCs w:val="24"/>
        </w:rPr>
        <w:t>country-specific recommendations (</w:t>
      </w:r>
      <w:r w:rsidRPr="000661FF">
        <w:rPr>
          <w:szCs w:val="24"/>
        </w:rPr>
        <w:t>CSRs</w:t>
      </w:r>
      <w:r w:rsidR="008D42C0" w:rsidRPr="000661FF">
        <w:rPr>
          <w:szCs w:val="24"/>
        </w:rPr>
        <w:t>)</w:t>
      </w:r>
      <w:r w:rsidRPr="000661FF">
        <w:rPr>
          <w:szCs w:val="24"/>
        </w:rPr>
        <w:t>;</w:t>
      </w:r>
    </w:p>
    <w:p w14:paraId="40E01361" w14:textId="79650E81" w:rsidR="00B021A8" w:rsidRPr="000661FF" w:rsidRDefault="00272BAC" w:rsidP="000661FF">
      <w:pPr>
        <w:pStyle w:val="Hanging12"/>
        <w:rPr>
          <w:szCs w:val="24"/>
        </w:rPr>
      </w:pPr>
      <w:r w:rsidRPr="000661FF">
        <w:rPr>
          <w:szCs w:val="24"/>
        </w:rPr>
        <w:t>2</w:t>
      </w:r>
      <w:r w:rsidR="00B021A8" w:rsidRPr="000661FF">
        <w:rPr>
          <w:szCs w:val="24"/>
        </w:rPr>
        <w:t>.</w:t>
      </w:r>
      <w:r w:rsidR="00B021A8" w:rsidRPr="000661FF">
        <w:rPr>
          <w:szCs w:val="24"/>
        </w:rPr>
        <w:tab/>
        <w:t>Reiterates the call for the three new headline employment indicators to be placed on an equal footing with existing economic indicators, thereby guaranteeing that internal imbalances are better assessed and making structural reforms more effective;</w:t>
      </w:r>
      <w:r w:rsidR="00B021A8" w:rsidRPr="000661FF">
        <w:rPr>
          <w:rFonts w:eastAsia="Calibri"/>
          <w:szCs w:val="24"/>
        </w:rPr>
        <w:t xml:space="preserve"> proposes introducing a non-punitive social imbalances procedure in the design of the CSRs so as to prevent a race to the bottom in terms of social standards, building on </w:t>
      </w:r>
      <w:r w:rsidR="00E718DD" w:rsidRPr="000661FF">
        <w:rPr>
          <w:rFonts w:eastAsia="Calibri"/>
          <w:szCs w:val="24"/>
        </w:rPr>
        <w:t xml:space="preserve">an </w:t>
      </w:r>
      <w:r w:rsidR="00B021A8" w:rsidRPr="000661FF">
        <w:rPr>
          <w:rFonts w:eastAsia="Calibri"/>
          <w:szCs w:val="24"/>
        </w:rPr>
        <w:t xml:space="preserve">effective use of the social and employment indicators in macroeconomic surveillance; </w:t>
      </w:r>
      <w:r w:rsidR="00B021A8" w:rsidRPr="000661FF">
        <w:rPr>
          <w:szCs w:val="24"/>
        </w:rPr>
        <w:t>notes that inequality has intensified in around ten Member States and is one of the main socio-economic challenges in the EU</w:t>
      </w:r>
      <w:r w:rsidR="00350B42" w:rsidRPr="000661FF">
        <w:rPr>
          <w:rStyle w:val="FootnoteReference"/>
          <w:szCs w:val="24"/>
        </w:rPr>
        <w:footnoteReference w:id="5"/>
      </w:r>
      <w:r w:rsidR="00350B42" w:rsidRPr="000661FF">
        <w:rPr>
          <w:szCs w:val="24"/>
        </w:rPr>
        <w:t>;</w:t>
      </w:r>
    </w:p>
    <w:p w14:paraId="2E269E6F" w14:textId="77777777" w:rsidR="00350B42" w:rsidRPr="000661FF" w:rsidRDefault="00272BAC" w:rsidP="000661FF">
      <w:pPr>
        <w:pStyle w:val="Hanging12"/>
        <w:rPr>
          <w:szCs w:val="24"/>
        </w:rPr>
      </w:pPr>
      <w:r w:rsidRPr="000661FF">
        <w:rPr>
          <w:szCs w:val="24"/>
        </w:rPr>
        <w:t>3</w:t>
      </w:r>
      <w:r w:rsidR="00B021A8" w:rsidRPr="000661FF">
        <w:rPr>
          <w:szCs w:val="24"/>
        </w:rPr>
        <w:t>.</w:t>
      </w:r>
      <w:r w:rsidR="00B021A8" w:rsidRPr="000661FF">
        <w:rPr>
          <w:szCs w:val="24"/>
        </w:rPr>
        <w:tab/>
        <w:t xml:space="preserve">Highlights </w:t>
      </w:r>
      <w:r w:rsidR="0084723B" w:rsidRPr="000661FF">
        <w:rPr>
          <w:szCs w:val="24"/>
        </w:rPr>
        <w:t xml:space="preserve">the fact </w:t>
      </w:r>
      <w:r w:rsidR="00B021A8" w:rsidRPr="000661FF">
        <w:rPr>
          <w:szCs w:val="24"/>
        </w:rPr>
        <w:t xml:space="preserve">that socially and economically responsible reforms must be based on solidarity, integration and social justice; stresses that reforms should also take into account sustained support </w:t>
      </w:r>
      <w:r w:rsidR="0084723B" w:rsidRPr="000661FF">
        <w:rPr>
          <w:szCs w:val="24"/>
        </w:rPr>
        <w:t>for</w:t>
      </w:r>
      <w:r w:rsidR="00B021A8" w:rsidRPr="000661FF">
        <w:rPr>
          <w:szCs w:val="24"/>
        </w:rPr>
        <w:t xml:space="preserve"> social and economic recovery, create quality employment</w:t>
      </w:r>
      <w:r w:rsidR="0084723B" w:rsidRPr="000661FF">
        <w:rPr>
          <w:szCs w:val="24"/>
        </w:rPr>
        <w:t>,</w:t>
      </w:r>
      <w:r w:rsidR="00B021A8" w:rsidRPr="000661FF">
        <w:rPr>
          <w:szCs w:val="24"/>
        </w:rPr>
        <w:t xml:space="preserve"> boost social and territorial cohesion, protect vulnerable groups and improve living standards for all citizens;</w:t>
      </w:r>
    </w:p>
    <w:p w14:paraId="037BB9AB" w14:textId="1A98E0F8" w:rsidR="00632575" w:rsidRPr="000661FF" w:rsidRDefault="00272BAC" w:rsidP="000661FF">
      <w:pPr>
        <w:pStyle w:val="Hanging12"/>
      </w:pPr>
      <w:r w:rsidRPr="000661FF">
        <w:t>4</w:t>
      </w:r>
      <w:r w:rsidR="00632575" w:rsidRPr="000661FF">
        <w:t>.</w:t>
      </w:r>
      <w:r w:rsidR="00632575" w:rsidRPr="000661FF">
        <w:tab/>
        <w:t>Believes that the European Semester process should help to address not only existing but also emerging societal challenges in order to ensure greater economic efficiency coupled with a more socially cohesive European Union; acknowledges, in this respect, the need for an assessment of the social impact of EU policies;</w:t>
      </w:r>
    </w:p>
    <w:p w14:paraId="5CE5F5DF" w14:textId="46DF133D" w:rsidR="00B021A8" w:rsidRPr="000661FF" w:rsidRDefault="00272BAC" w:rsidP="000661FF">
      <w:pPr>
        <w:pStyle w:val="Hanging12"/>
        <w:rPr>
          <w:szCs w:val="24"/>
        </w:rPr>
      </w:pPr>
      <w:r w:rsidRPr="000661FF">
        <w:rPr>
          <w:szCs w:val="24"/>
        </w:rPr>
        <w:t>5</w:t>
      </w:r>
      <w:r w:rsidR="00B021A8" w:rsidRPr="000661FF">
        <w:rPr>
          <w:szCs w:val="24"/>
        </w:rPr>
        <w:t>.</w:t>
      </w:r>
      <w:r w:rsidR="00B021A8" w:rsidRPr="000661FF">
        <w:rPr>
          <w:szCs w:val="24"/>
        </w:rPr>
        <w:tab/>
        <w:t>Calls on the Commission to secure adequate funding for fighting youth unemployment</w:t>
      </w:r>
      <w:r w:rsidR="0084723B" w:rsidRPr="000661FF">
        <w:rPr>
          <w:szCs w:val="24"/>
        </w:rPr>
        <w:t>,</w:t>
      </w:r>
      <w:r w:rsidR="00B021A8" w:rsidRPr="000661FF">
        <w:rPr>
          <w:szCs w:val="24"/>
        </w:rPr>
        <w:t xml:space="preserve"> which remains unacceptably high in the EU</w:t>
      </w:r>
      <w:r w:rsidR="0084723B" w:rsidRPr="000661FF">
        <w:rPr>
          <w:szCs w:val="24"/>
        </w:rPr>
        <w:t>,</w:t>
      </w:r>
      <w:r w:rsidR="00B021A8" w:rsidRPr="000661FF">
        <w:rPr>
          <w:szCs w:val="24"/>
        </w:rPr>
        <w:t xml:space="preserve"> and to continue the </w:t>
      </w:r>
      <w:r w:rsidR="00B021A8" w:rsidRPr="000661FF">
        <w:rPr>
          <w:szCs w:val="24"/>
        </w:rPr>
        <w:lastRenderedPageBreak/>
        <w:t>Youth Employment Initiative (YEI) beyond the end of the current</w:t>
      </w:r>
      <w:r w:rsidR="00E718DD" w:rsidRPr="000661FF">
        <w:rPr>
          <w:szCs w:val="24"/>
        </w:rPr>
        <w:t xml:space="preserve"> multiannual financial framework</w:t>
      </w:r>
      <w:r w:rsidR="00B021A8" w:rsidRPr="000661FF">
        <w:rPr>
          <w:szCs w:val="24"/>
        </w:rPr>
        <w:t xml:space="preserve"> </w:t>
      </w:r>
      <w:r w:rsidR="00E718DD" w:rsidRPr="000661FF">
        <w:rPr>
          <w:szCs w:val="24"/>
        </w:rPr>
        <w:t>(</w:t>
      </w:r>
      <w:r w:rsidR="00B021A8" w:rsidRPr="000661FF">
        <w:rPr>
          <w:szCs w:val="24"/>
        </w:rPr>
        <w:t>MFF</w:t>
      </w:r>
      <w:r w:rsidR="00E718DD" w:rsidRPr="000661FF">
        <w:rPr>
          <w:szCs w:val="24"/>
        </w:rPr>
        <w:t>)</w:t>
      </w:r>
      <w:r w:rsidR="00B021A8" w:rsidRPr="000661FF">
        <w:rPr>
          <w:szCs w:val="24"/>
        </w:rPr>
        <w:t>, while at the same time improving its functioning and implementation and taking into account the latest findings of the European Court of Auditors</w:t>
      </w:r>
      <w:r w:rsidR="000661FF">
        <w:rPr>
          <w:szCs w:val="24"/>
        </w:rPr>
        <w:t>’</w:t>
      </w:r>
      <w:r w:rsidR="00B021A8" w:rsidRPr="000661FF">
        <w:rPr>
          <w:szCs w:val="24"/>
        </w:rPr>
        <w:t xml:space="preserve"> special report on youth employment and the use of </w:t>
      </w:r>
      <w:r w:rsidR="00E718DD" w:rsidRPr="000661FF">
        <w:rPr>
          <w:szCs w:val="24"/>
        </w:rPr>
        <w:t xml:space="preserve">the </w:t>
      </w:r>
      <w:r w:rsidR="00B021A8" w:rsidRPr="000661FF">
        <w:rPr>
          <w:szCs w:val="24"/>
        </w:rPr>
        <w:t xml:space="preserve">YEI; calls on </w:t>
      </w:r>
      <w:r w:rsidR="0084723B" w:rsidRPr="000661FF">
        <w:rPr>
          <w:szCs w:val="24"/>
        </w:rPr>
        <w:t xml:space="preserve">the </w:t>
      </w:r>
      <w:r w:rsidR="00B021A8" w:rsidRPr="000661FF">
        <w:rPr>
          <w:szCs w:val="24"/>
        </w:rPr>
        <w:t>Member States to implement the recommendations of the European Court of Auditors and to ensure that the Youth Guarantee is fully accessible; regrets budget shifts out of the</w:t>
      </w:r>
      <w:r w:rsidR="0084723B" w:rsidRPr="000661FF">
        <w:rPr>
          <w:szCs w:val="24"/>
        </w:rPr>
        <w:t xml:space="preserve"> European Social Fund</w:t>
      </w:r>
      <w:r w:rsidR="00B021A8" w:rsidRPr="000661FF">
        <w:rPr>
          <w:szCs w:val="24"/>
        </w:rPr>
        <w:t xml:space="preserve"> </w:t>
      </w:r>
      <w:r w:rsidR="0084723B" w:rsidRPr="000661FF">
        <w:rPr>
          <w:szCs w:val="24"/>
        </w:rPr>
        <w:t>(</w:t>
      </w:r>
      <w:r w:rsidR="00B021A8" w:rsidRPr="000661FF">
        <w:rPr>
          <w:szCs w:val="24"/>
        </w:rPr>
        <w:t>ESF</w:t>
      </w:r>
      <w:r w:rsidR="0084723B" w:rsidRPr="000661FF">
        <w:rPr>
          <w:szCs w:val="24"/>
        </w:rPr>
        <w:t>),</w:t>
      </w:r>
      <w:r w:rsidR="00B021A8" w:rsidRPr="000661FF">
        <w:rPr>
          <w:szCs w:val="24"/>
        </w:rPr>
        <w:t xml:space="preserve"> including </w:t>
      </w:r>
      <w:r w:rsidR="0084723B" w:rsidRPr="000661FF">
        <w:rPr>
          <w:szCs w:val="24"/>
        </w:rPr>
        <w:t xml:space="preserve">the </w:t>
      </w:r>
      <w:r w:rsidR="00B021A8" w:rsidRPr="000661FF">
        <w:rPr>
          <w:szCs w:val="24"/>
        </w:rPr>
        <w:t>YEI</w:t>
      </w:r>
      <w:r w:rsidR="0084723B" w:rsidRPr="000661FF">
        <w:rPr>
          <w:szCs w:val="24"/>
        </w:rPr>
        <w:t>,</w:t>
      </w:r>
      <w:r w:rsidR="00B021A8" w:rsidRPr="000661FF">
        <w:rPr>
          <w:szCs w:val="24"/>
        </w:rPr>
        <w:t xml:space="preserve"> towards the European Solidarity Corps</w:t>
      </w:r>
      <w:r w:rsidR="0084723B" w:rsidRPr="000661FF">
        <w:rPr>
          <w:szCs w:val="24"/>
        </w:rPr>
        <w:t>,</w:t>
      </w:r>
      <w:r w:rsidR="00B021A8" w:rsidRPr="000661FF">
        <w:rPr>
          <w:szCs w:val="24"/>
        </w:rPr>
        <w:t xml:space="preserve"> which </w:t>
      </w:r>
      <w:r w:rsidR="00B021A8" w:rsidRPr="000661FF">
        <w:rPr>
          <w:bCs/>
          <w:iCs/>
          <w:szCs w:val="24"/>
        </w:rPr>
        <w:t>should instead be financed by all financial means available under the existing MFF</w:t>
      </w:r>
      <w:r w:rsidR="0084723B" w:rsidRPr="000661FF">
        <w:rPr>
          <w:bCs/>
          <w:iCs/>
          <w:szCs w:val="24"/>
        </w:rPr>
        <w:t xml:space="preserve"> </w:t>
      </w:r>
      <w:r w:rsidR="00B021A8" w:rsidRPr="000661FF">
        <w:rPr>
          <w:bCs/>
          <w:iCs/>
          <w:szCs w:val="24"/>
        </w:rPr>
        <w:t>Regulation</w:t>
      </w:r>
      <w:r w:rsidR="00B021A8" w:rsidRPr="000661FF">
        <w:rPr>
          <w:szCs w:val="24"/>
        </w:rPr>
        <w:t>; stresses the need for a qualitative and quantitative assessment of the jobs created; stresses that EU funding should not be used to replace national social welfare payments;</w:t>
      </w:r>
    </w:p>
    <w:p w14:paraId="3A7B1EE0" w14:textId="2BC53E8B" w:rsidR="002526D1" w:rsidRPr="000661FF" w:rsidRDefault="00272BAC" w:rsidP="000661FF">
      <w:pPr>
        <w:pStyle w:val="Hanging12"/>
      </w:pPr>
      <w:r w:rsidRPr="000661FF">
        <w:t>6</w:t>
      </w:r>
      <w:r w:rsidR="002526D1" w:rsidRPr="000661FF">
        <w:t>.</w:t>
      </w:r>
      <w:r w:rsidR="002526D1" w:rsidRPr="000661FF">
        <w:tab/>
        <w:t>Underlines</w:t>
      </w:r>
      <w:r w:rsidR="0084723B" w:rsidRPr="000661FF">
        <w:t xml:space="preserve"> the fact</w:t>
      </w:r>
      <w:r w:rsidR="002526D1" w:rsidRPr="000661FF">
        <w:t xml:space="preserve"> that the implementation of the Youth Guarantee should be strengthened at national, regional and local level, and stresses its importance for school-to-work transitions; points out that special attention has to be paid to young women and girls, who could face gender-related barriers to obtaining a good-quality offer of employment, continued education, an apprenticeship or a traineeship; emphasises the need to ensure that the Youth Guarantee reaches young people facing multiple exclusions and extreme poverty;</w:t>
      </w:r>
    </w:p>
    <w:p w14:paraId="3FF258C5" w14:textId="045D1CE4" w:rsidR="00632575" w:rsidRPr="000661FF" w:rsidRDefault="00272BAC" w:rsidP="000661FF">
      <w:pPr>
        <w:pStyle w:val="Hanging12"/>
      </w:pPr>
      <w:r w:rsidRPr="000661FF">
        <w:t>7</w:t>
      </w:r>
      <w:r w:rsidR="00632575" w:rsidRPr="000661FF">
        <w:t>.</w:t>
      </w:r>
      <w:r w:rsidR="00632575" w:rsidRPr="000661FF">
        <w:tab/>
        <w:t>Calls on the Member States to implement the proposals contained in the Council Recommendation of 15 February 2016 on the integration of the long-term unemployed into the labour market</w:t>
      </w:r>
      <w:r w:rsidR="00350B42" w:rsidRPr="000661FF">
        <w:rPr>
          <w:rStyle w:val="FootnoteReference"/>
        </w:rPr>
        <w:footnoteReference w:id="6"/>
      </w:r>
      <w:r w:rsidR="00632575" w:rsidRPr="000661FF">
        <w:t>;</w:t>
      </w:r>
    </w:p>
    <w:p w14:paraId="75FB38FF" w14:textId="77777777" w:rsidR="00350B42" w:rsidRPr="000661FF" w:rsidRDefault="00272BAC" w:rsidP="000661FF">
      <w:pPr>
        <w:pStyle w:val="Hanging12"/>
        <w:rPr>
          <w:szCs w:val="24"/>
        </w:rPr>
      </w:pPr>
      <w:r w:rsidRPr="000661FF">
        <w:rPr>
          <w:szCs w:val="24"/>
        </w:rPr>
        <w:t>8</w:t>
      </w:r>
      <w:r w:rsidR="00B021A8" w:rsidRPr="000661FF">
        <w:rPr>
          <w:szCs w:val="24"/>
        </w:rPr>
        <w:t>.</w:t>
      </w:r>
      <w:r w:rsidR="00B021A8" w:rsidRPr="000661FF">
        <w:rPr>
          <w:szCs w:val="24"/>
        </w:rPr>
        <w:tab/>
        <w:t xml:space="preserve">Considers that the scope, efficiency and effectiveness of active and sustainable labour market policies should be increased with proper and adequate funding with </w:t>
      </w:r>
      <w:r w:rsidR="0084723B" w:rsidRPr="000661FF">
        <w:rPr>
          <w:szCs w:val="24"/>
        </w:rPr>
        <w:t xml:space="preserve">a </w:t>
      </w:r>
      <w:r w:rsidR="00B021A8" w:rsidRPr="000661FF">
        <w:rPr>
          <w:szCs w:val="24"/>
        </w:rPr>
        <w:t xml:space="preserve">focus on environmental, employer, worker, health and consumer protection; takes the view that the phenomenon of in-work poverty </w:t>
      </w:r>
      <w:r w:rsidR="0084723B" w:rsidRPr="000661FF">
        <w:rPr>
          <w:szCs w:val="24"/>
        </w:rPr>
        <w:t xml:space="preserve">must </w:t>
      </w:r>
      <w:r w:rsidR="00B021A8" w:rsidRPr="000661FF">
        <w:rPr>
          <w:szCs w:val="24"/>
        </w:rPr>
        <w:t>be addressed; stresses the importance of increasing public investment and enhancing private-sector involvement in economic and social development;</w:t>
      </w:r>
    </w:p>
    <w:p w14:paraId="12329EB0" w14:textId="41C6839A" w:rsidR="00632575" w:rsidRPr="000661FF" w:rsidRDefault="00272BAC" w:rsidP="000661FF">
      <w:pPr>
        <w:pStyle w:val="Hanging12"/>
      </w:pPr>
      <w:r w:rsidRPr="000661FF">
        <w:t>9</w:t>
      </w:r>
      <w:r w:rsidR="00632575" w:rsidRPr="000661FF">
        <w:t>.</w:t>
      </w:r>
      <w:r w:rsidR="00632575" w:rsidRPr="000661FF">
        <w:tab/>
        <w:t xml:space="preserve">Regrets </w:t>
      </w:r>
      <w:r w:rsidR="0084723B" w:rsidRPr="000661FF">
        <w:t xml:space="preserve">the fact </w:t>
      </w:r>
      <w:r w:rsidR="00632575" w:rsidRPr="000661FF">
        <w:t xml:space="preserve">that the social economy has been overlooked by the Commission in its package of assessments/recommendations; points out that this sector encompasses 2 million businesses </w:t>
      </w:r>
      <w:r w:rsidR="0084723B" w:rsidRPr="000661FF">
        <w:t xml:space="preserve">which </w:t>
      </w:r>
      <w:r w:rsidR="00632575" w:rsidRPr="000661FF">
        <w:t>employ more than 14 million people and contribut</w:t>
      </w:r>
      <w:r w:rsidR="0084723B" w:rsidRPr="000661FF">
        <w:t>e</w:t>
      </w:r>
      <w:r w:rsidR="00632575" w:rsidRPr="000661FF">
        <w:t xml:space="preserve"> to the achievement of the 2020 targets; calls on the Commission and the Member States to give social economy enterprises greater recognition and a higher profile, through a European Action Plan for the social economy; considers that this lack of recognition makes it harder for them to access funding; calls on the Commission to come forward with a proposal for a European statute for associations, foundations and mutual societies;</w:t>
      </w:r>
    </w:p>
    <w:p w14:paraId="77B3733F" w14:textId="39D997F0" w:rsidR="00350B42" w:rsidRPr="000661FF" w:rsidRDefault="00272BAC" w:rsidP="000661FF">
      <w:pPr>
        <w:pStyle w:val="Hanging12"/>
        <w:rPr>
          <w:szCs w:val="24"/>
        </w:rPr>
      </w:pPr>
      <w:r w:rsidRPr="000661FF">
        <w:rPr>
          <w:szCs w:val="24"/>
        </w:rPr>
        <w:t>10</w:t>
      </w:r>
      <w:r w:rsidR="00B021A8" w:rsidRPr="000661FF">
        <w:rPr>
          <w:szCs w:val="24"/>
        </w:rPr>
        <w:t>.</w:t>
      </w:r>
      <w:r w:rsidR="00B021A8" w:rsidRPr="000661FF">
        <w:rPr>
          <w:szCs w:val="24"/>
        </w:rPr>
        <w:tab/>
        <w:t xml:space="preserve">Recalls the need to support and enhance social dialogue, collective bargaining and </w:t>
      </w:r>
      <w:r w:rsidR="0084723B" w:rsidRPr="000661FF">
        <w:rPr>
          <w:szCs w:val="24"/>
        </w:rPr>
        <w:t xml:space="preserve">the </w:t>
      </w:r>
      <w:r w:rsidR="00B021A8" w:rsidRPr="000661FF">
        <w:rPr>
          <w:szCs w:val="24"/>
        </w:rPr>
        <w:t xml:space="preserve">position </w:t>
      </w:r>
      <w:r w:rsidR="0084723B" w:rsidRPr="000661FF">
        <w:rPr>
          <w:szCs w:val="24"/>
        </w:rPr>
        <w:t xml:space="preserve">of workers </w:t>
      </w:r>
      <w:r w:rsidR="00B021A8" w:rsidRPr="000661FF">
        <w:rPr>
          <w:szCs w:val="24"/>
        </w:rPr>
        <w:t>in wage-setting systems</w:t>
      </w:r>
      <w:r w:rsidR="0084723B" w:rsidRPr="000661FF">
        <w:rPr>
          <w:szCs w:val="24"/>
        </w:rPr>
        <w:t>,</w:t>
      </w:r>
      <w:r w:rsidR="00B021A8" w:rsidRPr="000661FF">
        <w:rPr>
          <w:szCs w:val="24"/>
        </w:rPr>
        <w:t xml:space="preserve"> which play a critical role in achieving high-level working conditions; emphasises that labour law and high social standards have a crucial role to play in the social market economy, supporting incomes and encouraging investment in capacity; stresses that EU law must respect trade union rights and freedoms, comply with collective agreements in line with Member States</w:t>
      </w:r>
      <w:r w:rsidR="000661FF">
        <w:rPr>
          <w:szCs w:val="24"/>
        </w:rPr>
        <w:t>’</w:t>
      </w:r>
      <w:r w:rsidR="00B021A8" w:rsidRPr="000661FF">
        <w:rPr>
          <w:szCs w:val="24"/>
        </w:rPr>
        <w:t xml:space="preserve"> practices and uphold equal treatment in employment and occupation;</w:t>
      </w:r>
    </w:p>
    <w:p w14:paraId="0D4B72E0" w14:textId="3A5942F4" w:rsidR="002526D1" w:rsidRPr="000661FF" w:rsidRDefault="00272BAC" w:rsidP="000661FF">
      <w:pPr>
        <w:pStyle w:val="Hanging12"/>
      </w:pPr>
      <w:r w:rsidRPr="000661FF">
        <w:t>11</w:t>
      </w:r>
      <w:r w:rsidR="00632575" w:rsidRPr="000661FF">
        <w:t>.</w:t>
      </w:r>
      <w:r w:rsidR="00632575" w:rsidRPr="000661FF">
        <w:tab/>
        <w:t xml:space="preserve">Points out that the European economy has not recovered enough to provide employment for all job seekers and unemployed; stresses that alongside job creation, including through public investment, integrating those </w:t>
      </w:r>
      <w:r w:rsidR="0084723B" w:rsidRPr="000661FF">
        <w:t xml:space="preserve">people </w:t>
      </w:r>
      <w:r w:rsidR="00632575" w:rsidRPr="000661FF">
        <w:t>furthe</w:t>
      </w:r>
      <w:r w:rsidR="0084723B" w:rsidRPr="000661FF">
        <w:t>st</w:t>
      </w:r>
      <w:r w:rsidR="00632575" w:rsidRPr="000661FF">
        <w:t xml:space="preserve"> from the labour market through individually tailored measures benefits the individual, stabilises social security and supports the economy;</w:t>
      </w:r>
    </w:p>
    <w:p w14:paraId="2EB0B413" w14:textId="41ECF784" w:rsidR="00632575" w:rsidRPr="000661FF" w:rsidRDefault="00272BAC" w:rsidP="000661FF">
      <w:pPr>
        <w:pStyle w:val="Hanging12"/>
      </w:pPr>
      <w:r w:rsidRPr="000661FF">
        <w:t>12</w:t>
      </w:r>
      <w:r w:rsidR="002526D1" w:rsidRPr="000661FF">
        <w:t>.</w:t>
      </w:r>
      <w:r w:rsidR="002526D1" w:rsidRPr="000661FF">
        <w:tab/>
        <w:t xml:space="preserve">Calls on the Commission to build on </w:t>
      </w:r>
      <w:r w:rsidR="0084723B" w:rsidRPr="000661FF">
        <w:t>Parliament</w:t>
      </w:r>
      <w:r w:rsidR="000661FF">
        <w:t>’</w:t>
      </w:r>
      <w:r w:rsidR="0084723B" w:rsidRPr="000661FF">
        <w:t xml:space="preserve">s </w:t>
      </w:r>
      <w:r w:rsidR="002526D1" w:rsidRPr="000661FF">
        <w:t xml:space="preserve">resolution by putting forward ambitious proposals for a strong European Pillar of Social Rights and </w:t>
      </w:r>
      <w:r w:rsidR="00E718DD" w:rsidRPr="000661FF">
        <w:t xml:space="preserve">by </w:t>
      </w:r>
      <w:r w:rsidR="002526D1" w:rsidRPr="000661FF">
        <w:t>full</w:t>
      </w:r>
      <w:r w:rsidR="003141B8" w:rsidRPr="000661FF">
        <w:t>y</w:t>
      </w:r>
      <w:r w:rsidR="002526D1" w:rsidRPr="000661FF">
        <w:t xml:space="preserve"> pursui</w:t>
      </w:r>
      <w:r w:rsidR="003141B8" w:rsidRPr="000661FF">
        <w:t>ng</w:t>
      </w:r>
      <w:r w:rsidR="002526D1" w:rsidRPr="000661FF">
        <w:t xml:space="preserve"> the social objectives </w:t>
      </w:r>
      <w:r w:rsidR="003141B8" w:rsidRPr="000661FF">
        <w:t xml:space="preserve">of the Treaties </w:t>
      </w:r>
      <w:r w:rsidR="002526D1" w:rsidRPr="000661FF">
        <w:t>in order to improve everyone</w:t>
      </w:r>
      <w:r w:rsidR="000661FF">
        <w:t>’</w:t>
      </w:r>
      <w:r w:rsidR="002526D1" w:rsidRPr="000661FF">
        <w:t>s living and working conditions and provide good opportunities for all;</w:t>
      </w:r>
    </w:p>
    <w:p w14:paraId="02F835D7" w14:textId="1E3558ED" w:rsidR="00632575" w:rsidRPr="000661FF" w:rsidRDefault="00272BAC" w:rsidP="000661FF">
      <w:pPr>
        <w:pStyle w:val="Hanging12"/>
      </w:pPr>
      <w:r w:rsidRPr="000661FF">
        <w:t>13</w:t>
      </w:r>
      <w:r w:rsidR="00632575" w:rsidRPr="000661FF">
        <w:t>.</w:t>
      </w:r>
      <w:r w:rsidR="00632575" w:rsidRPr="000661FF">
        <w:tab/>
        <w:t>Calls on the Member States and the Commission to make every effort to reduce the administrative burden and financial cost to the business sector, especially micro, small and medium-sized enterprises, and to repeal legislation resulting in excessive bureaucracy, thereby boosting growth and employment;</w:t>
      </w:r>
    </w:p>
    <w:p w14:paraId="4D980F18" w14:textId="6B26F56D" w:rsidR="00632575" w:rsidRPr="000661FF" w:rsidRDefault="00272BAC" w:rsidP="000661FF">
      <w:pPr>
        <w:pStyle w:val="Hanging12"/>
      </w:pPr>
      <w:r w:rsidRPr="000661FF">
        <w:t>14</w:t>
      </w:r>
      <w:r w:rsidR="00632575" w:rsidRPr="000661FF">
        <w:t>.</w:t>
      </w:r>
      <w:r w:rsidR="00632575" w:rsidRPr="000661FF">
        <w:tab/>
        <w:t xml:space="preserve">Warns </w:t>
      </w:r>
      <w:r w:rsidR="003141B8" w:rsidRPr="000661FF">
        <w:t xml:space="preserve">of </w:t>
      </w:r>
      <w:r w:rsidR="00632575" w:rsidRPr="000661FF">
        <w:t>the declining wage share in the EU, the widening wage and income inequalities and the increase of in</w:t>
      </w:r>
      <w:r w:rsidR="003141B8" w:rsidRPr="000661FF">
        <w:t>-</w:t>
      </w:r>
      <w:r w:rsidR="00632575" w:rsidRPr="000661FF">
        <w:t>work</w:t>
      </w:r>
      <w:r w:rsidR="003141B8" w:rsidRPr="000661FF">
        <w:t xml:space="preserve"> </w:t>
      </w:r>
      <w:r w:rsidR="00632575" w:rsidRPr="000661FF">
        <w:t xml:space="preserve">poverty; recalls that </w:t>
      </w:r>
      <w:r w:rsidR="002B4CBE" w:rsidRPr="000661FF">
        <w:t xml:space="preserve">both </w:t>
      </w:r>
      <w:r w:rsidR="00632575" w:rsidRPr="000661FF">
        <w:t xml:space="preserve">the </w:t>
      </w:r>
      <w:r w:rsidR="003141B8" w:rsidRPr="000661FF">
        <w:t>UN</w:t>
      </w:r>
      <w:r w:rsidR="000661FF">
        <w:t>’</w:t>
      </w:r>
      <w:r w:rsidR="003141B8" w:rsidRPr="000661FF">
        <w:t xml:space="preserve">s </w:t>
      </w:r>
      <w:r w:rsidR="002B4CBE" w:rsidRPr="000661FF">
        <w:t xml:space="preserve">1948 </w:t>
      </w:r>
      <w:r w:rsidR="00632575" w:rsidRPr="000661FF">
        <w:t xml:space="preserve">Universal Declaration of Human Rights </w:t>
      </w:r>
      <w:r w:rsidR="002B4CBE" w:rsidRPr="000661FF">
        <w:t>and the ILO</w:t>
      </w:r>
      <w:r w:rsidR="000661FF">
        <w:t>’</w:t>
      </w:r>
      <w:r w:rsidR="002B4CBE" w:rsidRPr="000661FF">
        <w:t xml:space="preserve">s 1919 Constitution </w:t>
      </w:r>
      <w:r w:rsidR="00632575" w:rsidRPr="000661FF">
        <w:t>recogni</w:t>
      </w:r>
      <w:r w:rsidR="003141B8" w:rsidRPr="000661FF">
        <w:t>s</w:t>
      </w:r>
      <w:r w:rsidR="00632575" w:rsidRPr="000661FF">
        <w:t>e the need for workers to earn a living wage</w:t>
      </w:r>
      <w:r w:rsidR="002B4CBE" w:rsidRPr="000661FF">
        <w:t xml:space="preserve">, </w:t>
      </w:r>
      <w:r w:rsidR="00632575" w:rsidRPr="000661FF">
        <w:t>and that all human rights declarations agree that remuneration should be sufficient to support a family;</w:t>
      </w:r>
    </w:p>
    <w:p w14:paraId="595D7636" w14:textId="0A79D979" w:rsidR="00632575" w:rsidRPr="000661FF" w:rsidRDefault="00272BAC" w:rsidP="000661FF">
      <w:pPr>
        <w:pStyle w:val="Hanging12"/>
      </w:pPr>
      <w:r w:rsidRPr="000661FF">
        <w:t>15</w:t>
      </w:r>
      <w:r w:rsidR="002526D1" w:rsidRPr="000661FF">
        <w:t>.</w:t>
      </w:r>
      <w:r w:rsidR="002526D1" w:rsidRPr="000661FF">
        <w:tab/>
        <w:t>S</w:t>
      </w:r>
      <w:r w:rsidR="00632575" w:rsidRPr="000661FF">
        <w:t xml:space="preserve">tresses that wages must enable workers to meet their needs and those of their families and that every worker in the European Union should receive a living wage that </w:t>
      </w:r>
      <w:r w:rsidR="00733854" w:rsidRPr="000661FF">
        <w:t xml:space="preserve">not only </w:t>
      </w:r>
      <w:r w:rsidR="00632575" w:rsidRPr="000661FF">
        <w:t>provides for the mere necessities of basic food, shelter and clothing, but that is also sufficient to cover healthcare, education, transportation, recreation and some savings to help provide for unforeseen events, such as illnesses and accidents; emphasises that this is the decent living standard that living wages should provide for workers and their families in the EU;</w:t>
      </w:r>
    </w:p>
    <w:p w14:paraId="70EEC40D" w14:textId="4751DB8F" w:rsidR="00632575" w:rsidRPr="000661FF" w:rsidRDefault="00272BAC" w:rsidP="000661FF">
      <w:pPr>
        <w:pStyle w:val="Hanging12"/>
      </w:pPr>
      <w:r w:rsidRPr="000661FF">
        <w:t>16</w:t>
      </w:r>
      <w:r w:rsidR="00632575" w:rsidRPr="000661FF">
        <w:t>.</w:t>
      </w:r>
      <w:r w:rsidR="00632575" w:rsidRPr="000661FF">
        <w:tab/>
        <w:t xml:space="preserve">Asks the Commission to study how to identify what a living wage could encompass and how it should be measured, </w:t>
      </w:r>
      <w:r w:rsidR="00416AE7" w:rsidRPr="000661FF">
        <w:t>with a view to establishing</w:t>
      </w:r>
      <w:r w:rsidR="00632575" w:rsidRPr="000661FF">
        <w:t xml:space="preserve"> a reference tool for social partners and to </w:t>
      </w:r>
      <w:r w:rsidR="00416AE7" w:rsidRPr="000661FF">
        <w:t xml:space="preserve">help </w:t>
      </w:r>
      <w:r w:rsidR="00632575" w:rsidRPr="000661FF">
        <w:t>exchange best practices in this regard;</w:t>
      </w:r>
    </w:p>
    <w:p w14:paraId="341301E3" w14:textId="2A60C5A2" w:rsidR="00632575" w:rsidRPr="000661FF" w:rsidRDefault="00272BAC" w:rsidP="000661FF">
      <w:pPr>
        <w:pStyle w:val="Hanging12"/>
      </w:pPr>
      <w:r w:rsidRPr="000661FF">
        <w:lastRenderedPageBreak/>
        <w:t>17</w:t>
      </w:r>
      <w:r w:rsidR="00632575" w:rsidRPr="000661FF">
        <w:tab/>
        <w:t>Recalls that decent wages are important not only for social cohesion, but also for maintaining a strong economy and a productive labour force; calls on the Commission and the Member States to implement measures to improve job quality and reduce wage dispersion;</w:t>
      </w:r>
    </w:p>
    <w:p w14:paraId="0D6A6947" w14:textId="7AE69676" w:rsidR="00350B42" w:rsidRPr="000661FF" w:rsidRDefault="00272BAC" w:rsidP="000661FF">
      <w:pPr>
        <w:pStyle w:val="Hanging12"/>
        <w:rPr>
          <w:szCs w:val="24"/>
        </w:rPr>
      </w:pPr>
      <w:r w:rsidRPr="000661FF">
        <w:rPr>
          <w:szCs w:val="24"/>
        </w:rPr>
        <w:t>18</w:t>
      </w:r>
      <w:r w:rsidR="005A720C" w:rsidRPr="000661FF">
        <w:rPr>
          <w:szCs w:val="24"/>
        </w:rPr>
        <w:t>.</w:t>
      </w:r>
      <w:r w:rsidR="005A720C" w:rsidRPr="000661FF">
        <w:rPr>
          <w:szCs w:val="24"/>
        </w:rPr>
        <w:tab/>
        <w:t>Points to the continuous need for better coordination at European level of social security systems, for which the Member States are responsible; stresses the absolute priority of ensuring the sustainability and fairness of social security systems, th</w:t>
      </w:r>
      <w:r w:rsidR="006725DE" w:rsidRPr="000661FF">
        <w:rPr>
          <w:szCs w:val="24"/>
        </w:rPr>
        <w:t>ese</w:t>
      </w:r>
      <w:r w:rsidR="005A720C" w:rsidRPr="000661FF">
        <w:rPr>
          <w:szCs w:val="24"/>
        </w:rPr>
        <w:t xml:space="preserve"> being central pillar</w:t>
      </w:r>
      <w:r w:rsidR="006725DE" w:rsidRPr="000661FF">
        <w:rPr>
          <w:szCs w:val="24"/>
        </w:rPr>
        <w:t>s</w:t>
      </w:r>
      <w:r w:rsidR="005A720C" w:rsidRPr="000661FF">
        <w:rPr>
          <w:szCs w:val="24"/>
        </w:rPr>
        <w:t xml:space="preserve"> of a European social model; highlights that adequate, sustainable pensions are a universal right; calls on </w:t>
      </w:r>
      <w:r w:rsidR="00733854" w:rsidRPr="000661FF">
        <w:rPr>
          <w:szCs w:val="24"/>
        </w:rPr>
        <w:t xml:space="preserve">the </w:t>
      </w:r>
      <w:r w:rsidR="005A720C" w:rsidRPr="000661FF">
        <w:rPr>
          <w:szCs w:val="24"/>
        </w:rPr>
        <w:t xml:space="preserve">Member States to ensure adequate and sustainable pensions in </w:t>
      </w:r>
      <w:r w:rsidR="00733854" w:rsidRPr="000661FF">
        <w:rPr>
          <w:szCs w:val="24"/>
        </w:rPr>
        <w:t xml:space="preserve">the </w:t>
      </w:r>
      <w:r w:rsidR="005A720C" w:rsidRPr="000661FF">
        <w:rPr>
          <w:szCs w:val="24"/>
        </w:rPr>
        <w:t xml:space="preserve">light of continued demographic change; underlines </w:t>
      </w:r>
      <w:r w:rsidR="00733854" w:rsidRPr="000661FF">
        <w:rPr>
          <w:szCs w:val="24"/>
        </w:rPr>
        <w:t xml:space="preserve">the fact </w:t>
      </w:r>
      <w:r w:rsidR="005A720C" w:rsidRPr="000661FF">
        <w:rPr>
          <w:szCs w:val="24"/>
        </w:rPr>
        <w:t xml:space="preserve">that pension systems should ensure an adequate retirement income above the poverty threshold and allow pensioners to maintain a proper standard of living; believes that the best way to ensure sustainable, safe and adequate pensions for women and men is to increase the overall employment rate and </w:t>
      </w:r>
      <w:r w:rsidR="00733854" w:rsidRPr="000661FF">
        <w:rPr>
          <w:szCs w:val="24"/>
        </w:rPr>
        <w:t xml:space="preserve">the number of </w:t>
      </w:r>
      <w:r w:rsidR="005A720C" w:rsidRPr="000661FF">
        <w:rPr>
          <w:szCs w:val="24"/>
        </w:rPr>
        <w:t xml:space="preserve">decent jobs </w:t>
      </w:r>
      <w:r w:rsidR="00733854" w:rsidRPr="000661FF">
        <w:rPr>
          <w:szCs w:val="24"/>
        </w:rPr>
        <w:t xml:space="preserve">available </w:t>
      </w:r>
      <w:r w:rsidR="005A720C" w:rsidRPr="000661FF">
        <w:rPr>
          <w:szCs w:val="24"/>
        </w:rPr>
        <w:t>across all age</w:t>
      </w:r>
      <w:r w:rsidR="00733854" w:rsidRPr="000661FF">
        <w:rPr>
          <w:szCs w:val="24"/>
        </w:rPr>
        <w:t xml:space="preserve"> groups</w:t>
      </w:r>
      <w:r w:rsidR="005A720C" w:rsidRPr="000661FF">
        <w:rPr>
          <w:szCs w:val="24"/>
        </w:rPr>
        <w:t xml:space="preserve">, </w:t>
      </w:r>
      <w:r w:rsidR="00733854" w:rsidRPr="000661FF">
        <w:rPr>
          <w:szCs w:val="24"/>
        </w:rPr>
        <w:t xml:space="preserve">and to improve </w:t>
      </w:r>
      <w:r w:rsidR="005A720C" w:rsidRPr="000661FF">
        <w:rPr>
          <w:szCs w:val="24"/>
        </w:rPr>
        <w:t>working and employment conditions; points out that gender pension gaps remain significant and</w:t>
      </w:r>
      <w:r w:rsidR="00733854" w:rsidRPr="000661FF">
        <w:rPr>
          <w:szCs w:val="24"/>
        </w:rPr>
        <w:t xml:space="preserve"> </w:t>
      </w:r>
      <w:r w:rsidR="006725DE" w:rsidRPr="000661FF">
        <w:rPr>
          <w:szCs w:val="24"/>
        </w:rPr>
        <w:t>have</w:t>
      </w:r>
      <w:r w:rsidR="005A720C" w:rsidRPr="000661FF">
        <w:rPr>
          <w:szCs w:val="24"/>
        </w:rPr>
        <w:t xml:space="preserve"> negative social and economic consequences; </w:t>
      </w:r>
      <w:r w:rsidR="00733854" w:rsidRPr="000661FF">
        <w:rPr>
          <w:szCs w:val="24"/>
        </w:rPr>
        <w:t xml:space="preserve">highlights, </w:t>
      </w:r>
      <w:r w:rsidR="005A720C" w:rsidRPr="000661FF">
        <w:rPr>
          <w:szCs w:val="24"/>
        </w:rPr>
        <w:t>in this regard, the importance of women</w:t>
      </w:r>
      <w:r w:rsidR="000661FF">
        <w:rPr>
          <w:szCs w:val="24"/>
        </w:rPr>
        <w:t>’</w:t>
      </w:r>
      <w:r w:rsidR="005A720C" w:rsidRPr="000661FF">
        <w:rPr>
          <w:szCs w:val="24"/>
        </w:rPr>
        <w:t xml:space="preserve">s integration into the labour market and other adequate measures to combat </w:t>
      </w:r>
      <w:r w:rsidR="00733854" w:rsidRPr="000661FF">
        <w:rPr>
          <w:szCs w:val="24"/>
        </w:rPr>
        <w:t xml:space="preserve">the </w:t>
      </w:r>
      <w:r w:rsidR="005A720C" w:rsidRPr="000661FF">
        <w:rPr>
          <w:szCs w:val="24"/>
        </w:rPr>
        <w:t>gender-pay gap and old</w:t>
      </w:r>
      <w:r w:rsidR="00733854" w:rsidRPr="000661FF">
        <w:rPr>
          <w:szCs w:val="24"/>
        </w:rPr>
        <w:t>-</w:t>
      </w:r>
      <w:r w:rsidR="005A720C" w:rsidRPr="000661FF">
        <w:rPr>
          <w:szCs w:val="24"/>
        </w:rPr>
        <w:t xml:space="preserve">age poverty; believes that reforms of pension systems and </w:t>
      </w:r>
      <w:r w:rsidR="00733854" w:rsidRPr="000661FF">
        <w:rPr>
          <w:szCs w:val="24"/>
        </w:rPr>
        <w:t xml:space="preserve">the </w:t>
      </w:r>
      <w:r w:rsidR="005A720C" w:rsidRPr="000661FF">
        <w:rPr>
          <w:szCs w:val="24"/>
        </w:rPr>
        <w:t>retirement age</w:t>
      </w:r>
      <w:r w:rsidR="00733854" w:rsidRPr="000661FF">
        <w:rPr>
          <w:szCs w:val="24"/>
        </w:rPr>
        <w:t xml:space="preserve"> in particular</w:t>
      </w:r>
      <w:r w:rsidR="005A720C" w:rsidRPr="000661FF">
        <w:rPr>
          <w:szCs w:val="24"/>
        </w:rPr>
        <w:t xml:space="preserve"> should also reflect labour market trends, birth rates, health and wealth </w:t>
      </w:r>
      <w:r w:rsidR="00733854" w:rsidRPr="000661FF">
        <w:rPr>
          <w:szCs w:val="24"/>
        </w:rPr>
        <w:t>circumstances</w:t>
      </w:r>
      <w:r w:rsidR="005A720C" w:rsidRPr="000661FF">
        <w:rPr>
          <w:szCs w:val="24"/>
        </w:rPr>
        <w:t>, working conditions and the economic dependency ratio;</w:t>
      </w:r>
    </w:p>
    <w:p w14:paraId="71E0CF36" w14:textId="46558C14" w:rsidR="00632575" w:rsidRPr="000661FF" w:rsidRDefault="00272BAC" w:rsidP="000661FF">
      <w:pPr>
        <w:pStyle w:val="Hanging12"/>
      </w:pPr>
      <w:r w:rsidRPr="000661FF">
        <w:t>19</w:t>
      </w:r>
      <w:r w:rsidR="00632575" w:rsidRPr="000661FF">
        <w:t>.</w:t>
      </w:r>
      <w:r w:rsidR="00632575" w:rsidRPr="000661FF">
        <w:tab/>
        <w:t xml:space="preserve">Considers that these reforms must also take account of the situation of millions of workers in Europe, particularly women, youngsters and </w:t>
      </w:r>
      <w:r w:rsidR="00733854" w:rsidRPr="000661FF">
        <w:t xml:space="preserve">the </w:t>
      </w:r>
      <w:r w:rsidR="00632575" w:rsidRPr="000661FF">
        <w:t>self-emplo</w:t>
      </w:r>
      <w:r w:rsidR="002526D1" w:rsidRPr="000661FF">
        <w:t xml:space="preserve">yed, suffering insecure </w:t>
      </w:r>
      <w:r w:rsidR="00632575" w:rsidRPr="000661FF">
        <w:t>employment, periods of involuntary unemployment and working-time reduction;</w:t>
      </w:r>
    </w:p>
    <w:p w14:paraId="2FB63D8F" w14:textId="0AA65154" w:rsidR="00632575" w:rsidRPr="000661FF" w:rsidRDefault="00272BAC" w:rsidP="000661FF">
      <w:pPr>
        <w:pStyle w:val="Hanging12"/>
      </w:pPr>
      <w:r w:rsidRPr="000661FF">
        <w:t>20</w:t>
      </w:r>
      <w:r w:rsidR="00632575" w:rsidRPr="000661FF">
        <w:t>.</w:t>
      </w:r>
      <w:r w:rsidR="00632575" w:rsidRPr="000661FF">
        <w:tab/>
        <w:t>Calls on the Commission to continue to pay particular attention to the improvement of childcare services and to flexible working time arrangements, to the needs of aging men and women and other dependent persons as regards long-term care;</w:t>
      </w:r>
    </w:p>
    <w:p w14:paraId="6B13CFD9" w14:textId="6F83C738" w:rsidR="00632575" w:rsidRPr="000661FF" w:rsidRDefault="00272BAC" w:rsidP="000661FF">
      <w:pPr>
        <w:pStyle w:val="Hanging12"/>
      </w:pPr>
      <w:r w:rsidRPr="000661FF">
        <w:t>21</w:t>
      </w:r>
      <w:r w:rsidR="00632575" w:rsidRPr="000661FF">
        <w:t>.</w:t>
      </w:r>
      <w:r w:rsidR="00632575" w:rsidRPr="000661FF">
        <w:tab/>
        <w:t xml:space="preserve">Deplores the persistence of the gender pay and pension gap; calls </w:t>
      </w:r>
      <w:r w:rsidR="00733854" w:rsidRPr="000661FF">
        <w:t xml:space="preserve">for </w:t>
      </w:r>
      <w:r w:rsidR="00632575" w:rsidRPr="000661FF">
        <w:t>the EU and the Member States, in cooperation with social partners and gender equality organisations, to set out and implement policies to close the gender pay and pension gap; calls on the Member States to carry out wage-mapping on a regular basis as a complement to these efforts;</w:t>
      </w:r>
    </w:p>
    <w:p w14:paraId="5C8539CF" w14:textId="27411126" w:rsidR="002526D1" w:rsidRPr="000661FF" w:rsidRDefault="00272BAC" w:rsidP="000661FF">
      <w:pPr>
        <w:pStyle w:val="Hanging12"/>
        <w:rPr>
          <w:szCs w:val="24"/>
        </w:rPr>
      </w:pPr>
      <w:r w:rsidRPr="000661FF">
        <w:rPr>
          <w:szCs w:val="24"/>
        </w:rPr>
        <w:t>22</w:t>
      </w:r>
      <w:r w:rsidR="002526D1" w:rsidRPr="000661FF">
        <w:rPr>
          <w:szCs w:val="24"/>
        </w:rPr>
        <w:t>.</w:t>
      </w:r>
      <w:r w:rsidR="002526D1" w:rsidRPr="000661FF">
        <w:rPr>
          <w:szCs w:val="24"/>
        </w:rPr>
        <w:tab/>
        <w:t>Highlights the fact that insufficient and inadequately focused investment in skills development and lifelong learning, particularly digital skills and programming and other skills needed in growing sectors</w:t>
      </w:r>
      <w:r w:rsidR="00733854" w:rsidRPr="000661FF">
        <w:rPr>
          <w:szCs w:val="24"/>
        </w:rPr>
        <w:t>,</w:t>
      </w:r>
      <w:r w:rsidR="002526D1" w:rsidRPr="000661FF">
        <w:rPr>
          <w:szCs w:val="24"/>
        </w:rPr>
        <w:t xml:space="preserve"> such as the green economy</w:t>
      </w:r>
      <w:r w:rsidR="00733854" w:rsidRPr="000661FF">
        <w:rPr>
          <w:szCs w:val="24"/>
        </w:rPr>
        <w:t>,</w:t>
      </w:r>
      <w:r w:rsidR="002526D1" w:rsidRPr="000661FF">
        <w:rPr>
          <w:szCs w:val="24"/>
        </w:rPr>
        <w:t xml:space="preserve"> may undermine the </w:t>
      </w:r>
      <w:r w:rsidR="002526D1" w:rsidRPr="000661FF">
        <w:rPr>
          <w:szCs w:val="24"/>
        </w:rPr>
        <w:lastRenderedPageBreak/>
        <w:t>Union</w:t>
      </w:r>
      <w:r w:rsidR="000661FF">
        <w:rPr>
          <w:szCs w:val="24"/>
        </w:rPr>
        <w:t>’</w:t>
      </w:r>
      <w:r w:rsidR="002526D1" w:rsidRPr="000661FF">
        <w:rPr>
          <w:szCs w:val="24"/>
        </w:rPr>
        <w:t xml:space="preserve">s competitive position; calls on the Member States </w:t>
      </w:r>
      <w:r w:rsidR="00733854" w:rsidRPr="000661FF">
        <w:rPr>
          <w:szCs w:val="24"/>
        </w:rPr>
        <w:t xml:space="preserve">to ensure a </w:t>
      </w:r>
      <w:r w:rsidR="002526D1" w:rsidRPr="000661FF">
        <w:rPr>
          <w:szCs w:val="24"/>
        </w:rPr>
        <w:t>better exchange of knowledge</w:t>
      </w:r>
      <w:r w:rsidR="00733854" w:rsidRPr="000661FF">
        <w:rPr>
          <w:szCs w:val="24"/>
        </w:rPr>
        <w:t xml:space="preserve">, </w:t>
      </w:r>
      <w:r w:rsidR="002526D1" w:rsidRPr="000661FF">
        <w:rPr>
          <w:szCs w:val="24"/>
        </w:rPr>
        <w:t xml:space="preserve">best practices </w:t>
      </w:r>
      <w:r w:rsidR="00733854" w:rsidRPr="000661FF">
        <w:rPr>
          <w:szCs w:val="24"/>
        </w:rPr>
        <w:t xml:space="preserve">and </w:t>
      </w:r>
      <w:r w:rsidR="002526D1" w:rsidRPr="000661FF">
        <w:rPr>
          <w:szCs w:val="24"/>
        </w:rPr>
        <w:t>cooperation at EU level</w:t>
      </w:r>
      <w:r w:rsidR="00733854" w:rsidRPr="000661FF">
        <w:rPr>
          <w:szCs w:val="24"/>
        </w:rPr>
        <w:t>,</w:t>
      </w:r>
      <w:r w:rsidR="002526D1" w:rsidRPr="000661FF">
        <w:rPr>
          <w:szCs w:val="24"/>
        </w:rPr>
        <w:t xml:space="preserve"> so as to help foster skills development through the updating of qualifications and corresponding education, training programme</w:t>
      </w:r>
      <w:r w:rsidR="00733854" w:rsidRPr="000661FF">
        <w:rPr>
          <w:szCs w:val="24"/>
        </w:rPr>
        <w:t>s</w:t>
      </w:r>
      <w:r w:rsidR="002526D1" w:rsidRPr="000661FF">
        <w:rPr>
          <w:szCs w:val="24"/>
        </w:rPr>
        <w:t xml:space="preserve"> and curricula; </w:t>
      </w:r>
      <w:r w:rsidR="002526D1" w:rsidRPr="000661FF">
        <w:rPr>
          <w:color w:val="000000"/>
          <w:szCs w:val="24"/>
        </w:rPr>
        <w:t>notes the importance of skills and competences acquired in non-formal and informal learning environments; stresses, therefore, the importance of creating a validation system for non-formal and informal forms of knowledge, especially those acquired via voluntary activities</w:t>
      </w:r>
      <w:r w:rsidR="002526D1" w:rsidRPr="000661FF">
        <w:rPr>
          <w:szCs w:val="24"/>
        </w:rPr>
        <w:t>;</w:t>
      </w:r>
    </w:p>
    <w:p w14:paraId="2C34D8C0" w14:textId="56B21B60" w:rsidR="00D823BE" w:rsidRPr="000661FF" w:rsidRDefault="00272BAC" w:rsidP="000661FF">
      <w:pPr>
        <w:pStyle w:val="Hanging12"/>
      </w:pPr>
      <w:r w:rsidRPr="000661FF">
        <w:t>23</w:t>
      </w:r>
      <w:r w:rsidR="00D823BE" w:rsidRPr="000661FF">
        <w:t>.</w:t>
      </w:r>
      <w:r w:rsidR="00D823BE" w:rsidRPr="000661FF">
        <w:tab/>
        <w:t>Takes the view that better skills matching and improved mutual recognition of qualifications is necessary to address skills shortages and mismatches; highlights the role that</w:t>
      </w:r>
      <w:r w:rsidR="00733854" w:rsidRPr="000661FF">
        <w:t xml:space="preserve"> vocational education and training</w:t>
      </w:r>
      <w:r w:rsidR="00D823BE" w:rsidRPr="000661FF">
        <w:t xml:space="preserve"> </w:t>
      </w:r>
      <w:r w:rsidR="00733854" w:rsidRPr="000661FF">
        <w:t>(</w:t>
      </w:r>
      <w:r w:rsidR="00D823BE" w:rsidRPr="000661FF">
        <w:t>VET</w:t>
      </w:r>
      <w:r w:rsidR="00733854" w:rsidRPr="000661FF">
        <w:t>)</w:t>
      </w:r>
      <w:r w:rsidR="00D823BE" w:rsidRPr="000661FF">
        <w:t xml:space="preserve"> and apprenticeships can play in this regard; calls on the Commission to develop a pan-European skills needs forecasting tool, including the skills needed in growing sectors; believes that in order to anticipate future skills needs, all labour market stakeholders must be strongly involved at all levels;</w:t>
      </w:r>
    </w:p>
    <w:p w14:paraId="456820BC" w14:textId="48490256" w:rsidR="005A720C" w:rsidRPr="000661FF" w:rsidRDefault="00272BAC" w:rsidP="000661FF">
      <w:pPr>
        <w:pStyle w:val="Hanging12"/>
      </w:pPr>
      <w:r w:rsidRPr="000661FF">
        <w:t>24</w:t>
      </w:r>
      <w:r w:rsidR="005A720C" w:rsidRPr="000661FF">
        <w:t>.</w:t>
      </w:r>
      <w:r w:rsidR="005A720C" w:rsidRPr="000661FF">
        <w:tab/>
        <w:t xml:space="preserve">Urges the Commission to put in place all suitable mechanisms for greater mobility among young people, apprenticeships included; calls on the Member </w:t>
      </w:r>
      <w:r w:rsidR="00B83EC5" w:rsidRPr="000661FF">
        <w:t>S</w:t>
      </w:r>
      <w:r w:rsidR="005A720C" w:rsidRPr="000661FF">
        <w:t>tates to support apprenticeship</w:t>
      </w:r>
      <w:r w:rsidR="00B83EC5" w:rsidRPr="000661FF">
        <w:t>s</w:t>
      </w:r>
      <w:r w:rsidR="005A720C" w:rsidRPr="000661FF">
        <w:t xml:space="preserve"> and to fully use the Erasmus+ funds available for apprentices in order to guarantee the quality and attractiveness of this kind of training; calls for better implementation of the EURES regulation; highlights that better collaboration of public administrations and stakeholders at local level and better synergies among levels of governments would increase the outreach and</w:t>
      </w:r>
      <w:r w:rsidR="00B83EC5" w:rsidRPr="000661FF">
        <w:t xml:space="preserve"> </w:t>
      </w:r>
      <w:r w:rsidR="005A720C" w:rsidRPr="000661FF">
        <w:t>impact of the programmes;</w:t>
      </w:r>
    </w:p>
    <w:p w14:paraId="767F0EF8" w14:textId="2C06866D" w:rsidR="002526D1" w:rsidRPr="000661FF" w:rsidRDefault="00272BAC" w:rsidP="000661FF">
      <w:pPr>
        <w:pStyle w:val="Hanging12"/>
        <w:rPr>
          <w:color w:val="000000"/>
          <w:szCs w:val="24"/>
        </w:rPr>
      </w:pPr>
      <w:r w:rsidRPr="000661FF">
        <w:rPr>
          <w:color w:val="000000"/>
          <w:szCs w:val="24"/>
        </w:rPr>
        <w:t>25</w:t>
      </w:r>
      <w:r w:rsidR="002526D1" w:rsidRPr="000661FF">
        <w:rPr>
          <w:color w:val="000000"/>
          <w:szCs w:val="24"/>
        </w:rPr>
        <w:t>.</w:t>
      </w:r>
      <w:r w:rsidR="002526D1" w:rsidRPr="000661FF">
        <w:rPr>
          <w:color w:val="000000"/>
          <w:szCs w:val="24"/>
        </w:rPr>
        <w:tab/>
      </w:r>
      <w:r w:rsidR="002526D1" w:rsidRPr="000661FF">
        <w:rPr>
          <w:szCs w:val="24"/>
        </w:rPr>
        <w:t>Takes the view that access to and quality of education should be improved; r</w:t>
      </w:r>
      <w:r w:rsidR="002526D1" w:rsidRPr="000661FF">
        <w:rPr>
          <w:color w:val="000000"/>
          <w:szCs w:val="24"/>
        </w:rPr>
        <w:t xml:space="preserve">ecalls that the role of </w:t>
      </w:r>
      <w:r w:rsidR="00B83EC5" w:rsidRPr="000661FF">
        <w:rPr>
          <w:color w:val="000000"/>
          <w:szCs w:val="24"/>
        </w:rPr>
        <w:t xml:space="preserve">the </w:t>
      </w:r>
      <w:r w:rsidR="002526D1" w:rsidRPr="000661FF">
        <w:rPr>
          <w:color w:val="000000"/>
          <w:szCs w:val="24"/>
        </w:rPr>
        <w:t xml:space="preserve">Member States is to ensure </w:t>
      </w:r>
      <w:r w:rsidR="00B83EC5" w:rsidRPr="000661FF">
        <w:rPr>
          <w:color w:val="000000"/>
          <w:szCs w:val="24"/>
        </w:rPr>
        <w:t xml:space="preserve">affordable </w:t>
      </w:r>
      <w:r w:rsidR="002526D1" w:rsidRPr="000661FF">
        <w:rPr>
          <w:color w:val="000000"/>
          <w:szCs w:val="24"/>
        </w:rPr>
        <w:t>access to quality education and training</w:t>
      </w:r>
      <w:r w:rsidR="00B83EC5" w:rsidRPr="000661FF">
        <w:rPr>
          <w:color w:val="000000"/>
          <w:szCs w:val="24"/>
        </w:rPr>
        <w:t xml:space="preserve">, </w:t>
      </w:r>
      <w:r w:rsidR="002526D1" w:rsidRPr="000661FF">
        <w:rPr>
          <w:color w:val="000000"/>
          <w:szCs w:val="24"/>
        </w:rPr>
        <w:t>notwithstanding the labour market need</w:t>
      </w:r>
      <w:r w:rsidR="00B83EC5" w:rsidRPr="000661FF">
        <w:rPr>
          <w:color w:val="000000"/>
          <w:szCs w:val="24"/>
        </w:rPr>
        <w:t>s</w:t>
      </w:r>
      <w:r w:rsidR="002526D1" w:rsidRPr="000661FF">
        <w:rPr>
          <w:color w:val="000000"/>
          <w:szCs w:val="24"/>
        </w:rPr>
        <w:t xml:space="preserve"> across the EU; notes that increased effort</w:t>
      </w:r>
      <w:r w:rsidR="00B83EC5" w:rsidRPr="000661FF">
        <w:rPr>
          <w:color w:val="000000"/>
          <w:szCs w:val="24"/>
        </w:rPr>
        <w:t>s</w:t>
      </w:r>
      <w:r w:rsidR="002526D1" w:rsidRPr="000661FF">
        <w:rPr>
          <w:color w:val="000000"/>
          <w:szCs w:val="24"/>
        </w:rPr>
        <w:t xml:space="preserve"> </w:t>
      </w:r>
      <w:r w:rsidR="00B83EC5" w:rsidRPr="000661FF">
        <w:rPr>
          <w:color w:val="000000"/>
          <w:szCs w:val="24"/>
        </w:rPr>
        <w:t xml:space="preserve">are </w:t>
      </w:r>
      <w:r w:rsidR="002526D1" w:rsidRPr="000661FF">
        <w:rPr>
          <w:color w:val="000000"/>
          <w:szCs w:val="24"/>
        </w:rPr>
        <w:t xml:space="preserve">required in many Member States to educate the workforce, including adult education and vocational training opportunities; </w:t>
      </w:r>
      <w:r w:rsidR="006725DE" w:rsidRPr="000661FF">
        <w:rPr>
          <w:color w:val="000000"/>
          <w:szCs w:val="24"/>
        </w:rPr>
        <w:t xml:space="preserve">places particular </w:t>
      </w:r>
      <w:r w:rsidR="002526D1" w:rsidRPr="000661FF">
        <w:rPr>
          <w:color w:val="000000"/>
          <w:szCs w:val="24"/>
        </w:rPr>
        <w:t xml:space="preserve">emphasis on life-long learning, including for women, as it </w:t>
      </w:r>
      <w:r w:rsidR="00B83EC5" w:rsidRPr="000661FF">
        <w:rPr>
          <w:color w:val="000000"/>
          <w:szCs w:val="24"/>
        </w:rPr>
        <w:t xml:space="preserve">provides </w:t>
      </w:r>
      <w:r w:rsidR="002526D1" w:rsidRPr="000661FF">
        <w:rPr>
          <w:color w:val="000000"/>
          <w:szCs w:val="24"/>
        </w:rPr>
        <w:t xml:space="preserve">the opportunity to re-skill in </w:t>
      </w:r>
      <w:r w:rsidR="00B83EC5" w:rsidRPr="000661FF">
        <w:rPr>
          <w:color w:val="000000"/>
          <w:szCs w:val="24"/>
        </w:rPr>
        <w:t xml:space="preserve">an </w:t>
      </w:r>
      <w:r w:rsidR="002526D1" w:rsidRPr="000661FF">
        <w:rPr>
          <w:color w:val="000000"/>
          <w:szCs w:val="24"/>
        </w:rPr>
        <w:t xml:space="preserve">ever-changing labour market; calls for </w:t>
      </w:r>
      <w:r w:rsidR="00B83EC5" w:rsidRPr="000661FF">
        <w:rPr>
          <w:color w:val="000000"/>
          <w:szCs w:val="24"/>
        </w:rPr>
        <w:t>further</w:t>
      </w:r>
      <w:r w:rsidR="002526D1" w:rsidRPr="000661FF">
        <w:rPr>
          <w:color w:val="000000"/>
          <w:szCs w:val="24"/>
        </w:rPr>
        <w:t xml:space="preserve"> </w:t>
      </w:r>
      <w:r w:rsidR="00B83EC5" w:rsidRPr="000661FF">
        <w:rPr>
          <w:color w:val="000000"/>
          <w:szCs w:val="24"/>
        </w:rPr>
        <w:t xml:space="preserve">targeted </w:t>
      </w:r>
      <w:r w:rsidR="002526D1" w:rsidRPr="000661FF">
        <w:rPr>
          <w:color w:val="000000"/>
          <w:szCs w:val="24"/>
        </w:rPr>
        <w:t xml:space="preserve">promotion of </w:t>
      </w:r>
      <w:r w:rsidR="006725DE" w:rsidRPr="000661FF">
        <w:rPr>
          <w:color w:val="000000"/>
          <w:szCs w:val="24"/>
        </w:rPr>
        <w:t>science, technology, engineering and mathematics (</w:t>
      </w:r>
      <w:r w:rsidR="002526D1" w:rsidRPr="000661FF">
        <w:rPr>
          <w:color w:val="000000"/>
          <w:szCs w:val="24"/>
        </w:rPr>
        <w:t>STEM</w:t>
      </w:r>
      <w:r w:rsidR="006725DE" w:rsidRPr="000661FF">
        <w:rPr>
          <w:color w:val="000000"/>
          <w:szCs w:val="24"/>
        </w:rPr>
        <w:t>)</w:t>
      </w:r>
      <w:r w:rsidR="002526D1" w:rsidRPr="000661FF">
        <w:rPr>
          <w:color w:val="000000"/>
          <w:szCs w:val="24"/>
        </w:rPr>
        <w:t xml:space="preserve"> subjects </w:t>
      </w:r>
      <w:r w:rsidR="00B83EC5" w:rsidRPr="000661FF">
        <w:rPr>
          <w:color w:val="000000"/>
          <w:szCs w:val="24"/>
        </w:rPr>
        <w:t xml:space="preserve">towards </w:t>
      </w:r>
      <w:r w:rsidR="002526D1" w:rsidRPr="000661FF">
        <w:rPr>
          <w:color w:val="000000"/>
          <w:szCs w:val="24"/>
        </w:rPr>
        <w:t>girls</w:t>
      </w:r>
      <w:r w:rsidR="00B83EC5" w:rsidRPr="000661FF">
        <w:rPr>
          <w:color w:val="000000"/>
          <w:szCs w:val="24"/>
        </w:rPr>
        <w:t>, in order</w:t>
      </w:r>
      <w:r w:rsidR="002526D1" w:rsidRPr="000661FF">
        <w:rPr>
          <w:color w:val="000000"/>
          <w:szCs w:val="24"/>
        </w:rPr>
        <w:t xml:space="preserve"> to address existing education stereotypes and combat long-term gender employment, pay and pensions gaps;</w:t>
      </w:r>
    </w:p>
    <w:p w14:paraId="5AEBB973" w14:textId="77777777" w:rsidR="00350B42" w:rsidRPr="000661FF" w:rsidRDefault="00272BAC" w:rsidP="000661FF">
      <w:pPr>
        <w:pStyle w:val="Hanging12"/>
        <w:rPr>
          <w:color w:val="000000"/>
          <w:szCs w:val="24"/>
        </w:rPr>
      </w:pPr>
      <w:r w:rsidRPr="000661FF">
        <w:rPr>
          <w:color w:val="000000"/>
          <w:szCs w:val="24"/>
        </w:rPr>
        <w:t>26</w:t>
      </w:r>
      <w:r w:rsidR="002526D1" w:rsidRPr="000661FF">
        <w:rPr>
          <w:color w:val="000000"/>
          <w:szCs w:val="24"/>
        </w:rPr>
        <w:t>.</w:t>
      </w:r>
      <w:r w:rsidR="002526D1" w:rsidRPr="000661FF">
        <w:rPr>
          <w:color w:val="000000"/>
          <w:szCs w:val="24"/>
        </w:rPr>
        <w:tab/>
        <w:t>Stresses the need to invest in people as early as possible in the life cycle</w:t>
      </w:r>
      <w:r w:rsidR="006725DE" w:rsidRPr="000661FF">
        <w:rPr>
          <w:color w:val="000000"/>
          <w:szCs w:val="24"/>
        </w:rPr>
        <w:t xml:space="preserve"> in order</w:t>
      </w:r>
      <w:r w:rsidR="002526D1" w:rsidRPr="000661FF">
        <w:rPr>
          <w:color w:val="000000"/>
          <w:szCs w:val="24"/>
        </w:rPr>
        <w:t xml:space="preserve"> to reduce inequality and foster social inclusion at a young age; calls</w:t>
      </w:r>
      <w:r w:rsidR="00B83EC5" w:rsidRPr="000661FF">
        <w:rPr>
          <w:color w:val="000000"/>
          <w:szCs w:val="24"/>
        </w:rPr>
        <w:t>,</w:t>
      </w:r>
      <w:r w:rsidR="002526D1" w:rsidRPr="000661FF">
        <w:rPr>
          <w:color w:val="000000"/>
          <w:szCs w:val="24"/>
        </w:rPr>
        <w:t xml:space="preserve"> therefore</w:t>
      </w:r>
      <w:r w:rsidR="00B83EC5" w:rsidRPr="000661FF">
        <w:rPr>
          <w:color w:val="000000"/>
          <w:szCs w:val="24"/>
        </w:rPr>
        <w:t>,</w:t>
      </w:r>
      <w:r w:rsidR="002526D1" w:rsidRPr="000661FF">
        <w:rPr>
          <w:color w:val="000000"/>
          <w:szCs w:val="24"/>
        </w:rPr>
        <w:t xml:space="preserve"> for access to quality, inclusive and affordable early childhood education and care services for all children in all </w:t>
      </w:r>
      <w:r w:rsidR="00B83EC5" w:rsidRPr="000661FF">
        <w:rPr>
          <w:color w:val="000000"/>
          <w:szCs w:val="24"/>
        </w:rPr>
        <w:t>M</w:t>
      </w:r>
      <w:r w:rsidR="002526D1" w:rsidRPr="000661FF">
        <w:rPr>
          <w:color w:val="000000"/>
          <w:szCs w:val="24"/>
        </w:rPr>
        <w:t xml:space="preserve">ember </w:t>
      </w:r>
      <w:r w:rsidR="00B83EC5" w:rsidRPr="000661FF">
        <w:rPr>
          <w:color w:val="000000"/>
          <w:szCs w:val="24"/>
        </w:rPr>
        <w:t>S</w:t>
      </w:r>
      <w:r w:rsidR="002526D1" w:rsidRPr="000661FF">
        <w:rPr>
          <w:color w:val="000000"/>
          <w:szCs w:val="24"/>
        </w:rPr>
        <w:t>tates; stresses</w:t>
      </w:r>
      <w:r w:rsidR="00B83EC5" w:rsidRPr="000661FF">
        <w:rPr>
          <w:color w:val="000000"/>
          <w:szCs w:val="24"/>
        </w:rPr>
        <w:t>, moreover,</w:t>
      </w:r>
      <w:r w:rsidR="002526D1" w:rsidRPr="000661FF">
        <w:rPr>
          <w:color w:val="000000"/>
          <w:szCs w:val="24"/>
        </w:rPr>
        <w:t xml:space="preserve"> the need to </w:t>
      </w:r>
      <w:r w:rsidR="002526D1" w:rsidRPr="000661FF">
        <w:rPr>
          <w:color w:val="000000"/>
          <w:szCs w:val="24"/>
        </w:rPr>
        <w:lastRenderedPageBreak/>
        <w:t>fight against stereotypes from the youngest age at school by promoting gender equality at all level</w:t>
      </w:r>
      <w:r w:rsidR="00B83EC5" w:rsidRPr="000661FF">
        <w:rPr>
          <w:color w:val="000000"/>
          <w:szCs w:val="24"/>
        </w:rPr>
        <w:t>s</w:t>
      </w:r>
      <w:r w:rsidR="002526D1" w:rsidRPr="000661FF">
        <w:rPr>
          <w:color w:val="000000"/>
          <w:szCs w:val="24"/>
        </w:rPr>
        <w:t xml:space="preserve"> of education; </w:t>
      </w:r>
      <w:r w:rsidR="00B83EC5" w:rsidRPr="000661FF">
        <w:rPr>
          <w:color w:val="000000"/>
          <w:szCs w:val="24"/>
        </w:rPr>
        <w:t>e</w:t>
      </w:r>
      <w:r w:rsidR="002526D1" w:rsidRPr="000661FF">
        <w:rPr>
          <w:color w:val="000000"/>
          <w:szCs w:val="24"/>
        </w:rPr>
        <w:t xml:space="preserve">ncourages the Commission and </w:t>
      </w:r>
      <w:r w:rsidR="00B83EC5" w:rsidRPr="000661FF">
        <w:rPr>
          <w:color w:val="000000"/>
          <w:szCs w:val="24"/>
        </w:rPr>
        <w:t xml:space="preserve">the </w:t>
      </w:r>
      <w:r w:rsidR="002526D1" w:rsidRPr="000661FF">
        <w:rPr>
          <w:color w:val="000000"/>
          <w:szCs w:val="24"/>
        </w:rPr>
        <w:t xml:space="preserve">Member States to fully implement the Recommendation on Investing in Children and </w:t>
      </w:r>
      <w:r w:rsidR="00B83EC5" w:rsidRPr="000661FF">
        <w:rPr>
          <w:color w:val="000000"/>
          <w:szCs w:val="24"/>
        </w:rPr>
        <w:t xml:space="preserve">to </w:t>
      </w:r>
      <w:r w:rsidR="002526D1" w:rsidRPr="000661FF">
        <w:rPr>
          <w:color w:val="000000"/>
          <w:szCs w:val="24"/>
        </w:rPr>
        <w:t>monitor its progress</w:t>
      </w:r>
      <w:r w:rsidR="00B83EC5" w:rsidRPr="000661FF">
        <w:rPr>
          <w:color w:val="000000"/>
          <w:szCs w:val="24"/>
        </w:rPr>
        <w:t xml:space="preserve"> closely</w:t>
      </w:r>
      <w:r w:rsidR="002526D1" w:rsidRPr="000661FF">
        <w:rPr>
          <w:color w:val="000000"/>
          <w:szCs w:val="24"/>
        </w:rPr>
        <w:t xml:space="preserve">; calls on the Commission and the Member States to develop and introduce initiatives such as </w:t>
      </w:r>
      <w:r w:rsidR="008839C7" w:rsidRPr="000661FF">
        <w:rPr>
          <w:color w:val="000000"/>
          <w:szCs w:val="24"/>
        </w:rPr>
        <w:t>a Child G</w:t>
      </w:r>
      <w:r w:rsidR="002526D1" w:rsidRPr="000661FF">
        <w:rPr>
          <w:color w:val="000000"/>
          <w:szCs w:val="24"/>
        </w:rPr>
        <w:t xml:space="preserve">uarantee, placing children </w:t>
      </w:r>
      <w:r w:rsidR="00B83EC5" w:rsidRPr="000661FF">
        <w:rPr>
          <w:color w:val="000000"/>
          <w:szCs w:val="24"/>
        </w:rPr>
        <w:t xml:space="preserve">at </w:t>
      </w:r>
      <w:r w:rsidR="002526D1" w:rsidRPr="000661FF">
        <w:rPr>
          <w:color w:val="000000"/>
          <w:szCs w:val="24"/>
        </w:rPr>
        <w:t>the centre of existing poverty alleviation policies;</w:t>
      </w:r>
    </w:p>
    <w:p w14:paraId="6EC273A1" w14:textId="203656FB" w:rsidR="00632575" w:rsidRPr="000661FF" w:rsidRDefault="00272BAC" w:rsidP="000661FF">
      <w:pPr>
        <w:pStyle w:val="Hanging12"/>
      </w:pPr>
      <w:r w:rsidRPr="000661FF">
        <w:t>27</w:t>
      </w:r>
      <w:r w:rsidR="00632575" w:rsidRPr="000661FF">
        <w:t>.</w:t>
      </w:r>
      <w:r w:rsidR="00632575" w:rsidRPr="000661FF">
        <w:tab/>
        <w:t xml:space="preserve">Underlines the profound changes ushering in the labour market of the future following the emergence of artificial intelligence; calls on </w:t>
      </w:r>
      <w:r w:rsidR="00B83EC5" w:rsidRPr="000661FF">
        <w:t xml:space="preserve">the </w:t>
      </w:r>
      <w:r w:rsidR="00632575" w:rsidRPr="000661FF">
        <w:t>Member States and the Commission to develop instruments and cooperative initiatives, involving the social partners, to enhance skills in this sector by means of preliminary, initial and ongoing training;</w:t>
      </w:r>
    </w:p>
    <w:p w14:paraId="4CCC1415" w14:textId="7627FBEF" w:rsidR="00632575" w:rsidRPr="000661FF" w:rsidRDefault="00272BAC" w:rsidP="000661FF">
      <w:pPr>
        <w:pStyle w:val="Hanging12"/>
      </w:pPr>
      <w:r w:rsidRPr="000661FF">
        <w:t>28</w:t>
      </w:r>
      <w:r w:rsidR="00632575" w:rsidRPr="000661FF">
        <w:t>.</w:t>
      </w:r>
      <w:r w:rsidR="00632575" w:rsidRPr="000661FF">
        <w:tab/>
      </w:r>
      <w:r w:rsidR="00B83EC5" w:rsidRPr="000661FF">
        <w:t>Calls, t</w:t>
      </w:r>
      <w:r w:rsidR="00632575" w:rsidRPr="000661FF">
        <w:t xml:space="preserve">o this end and as a means </w:t>
      </w:r>
      <w:r w:rsidR="00B83EC5" w:rsidRPr="000661FF">
        <w:t xml:space="preserve">of </w:t>
      </w:r>
      <w:r w:rsidR="00632575" w:rsidRPr="000661FF">
        <w:t xml:space="preserve">achieving </w:t>
      </w:r>
      <w:r w:rsidR="00B83EC5" w:rsidRPr="000661FF">
        <w:t xml:space="preserve">a </w:t>
      </w:r>
      <w:r w:rsidR="00632575" w:rsidRPr="000661FF">
        <w:t>work-life balance, for consideration to be given to flexicurity arrangements, including teleworking and flexitime, in consultation with the social partners;</w:t>
      </w:r>
    </w:p>
    <w:p w14:paraId="49BB9291" w14:textId="76F908B7" w:rsidR="00632575" w:rsidRPr="000661FF" w:rsidRDefault="00272BAC" w:rsidP="000661FF">
      <w:pPr>
        <w:pStyle w:val="Hanging12"/>
      </w:pPr>
      <w:r w:rsidRPr="000661FF">
        <w:t>29</w:t>
      </w:r>
      <w:r w:rsidR="00632575" w:rsidRPr="000661FF">
        <w:t>.</w:t>
      </w:r>
      <w:r w:rsidR="00632575" w:rsidRPr="000661FF">
        <w:tab/>
        <w:t xml:space="preserve">Highlights the importance of investment in human capital </w:t>
      </w:r>
      <w:r w:rsidR="00B83EC5" w:rsidRPr="000661FF">
        <w:t xml:space="preserve">– </w:t>
      </w:r>
      <w:r w:rsidR="00632575" w:rsidRPr="000661FF">
        <w:t>a driving force behind development, competitiveness and growth;</w:t>
      </w:r>
    </w:p>
    <w:p w14:paraId="40F16F3D" w14:textId="2565E8ED" w:rsidR="00632575" w:rsidRPr="000661FF" w:rsidRDefault="00272BAC" w:rsidP="000661FF">
      <w:pPr>
        <w:pStyle w:val="Hanging12"/>
      </w:pPr>
      <w:r w:rsidRPr="000661FF">
        <w:t>30</w:t>
      </w:r>
      <w:r w:rsidR="00632575" w:rsidRPr="000661FF">
        <w:t>.</w:t>
      </w:r>
      <w:r w:rsidR="00632575" w:rsidRPr="000661FF">
        <w:tab/>
        <w:t xml:space="preserve">Emphasises that a better work-life balance and strengthened gender equality are essential for supporting the participation of women in the labour market; underlines </w:t>
      </w:r>
      <w:r w:rsidR="00B83EC5" w:rsidRPr="000661FF">
        <w:t xml:space="preserve">the fact </w:t>
      </w:r>
      <w:r w:rsidR="00632575" w:rsidRPr="000661FF">
        <w:t>that the key to women</w:t>
      </w:r>
      <w:r w:rsidR="000661FF">
        <w:t>’</w:t>
      </w:r>
      <w:r w:rsidR="00632575" w:rsidRPr="000661FF">
        <w:t>s economic empowerment is the transformation and adaptation of the labour market and welfare systems in order to take into account women</w:t>
      </w:r>
      <w:r w:rsidR="000661FF">
        <w:t>’</w:t>
      </w:r>
      <w:r w:rsidR="00632575" w:rsidRPr="000661FF">
        <w:t>s life cycles;</w:t>
      </w:r>
    </w:p>
    <w:p w14:paraId="25F8F206" w14:textId="07457E27" w:rsidR="00632575" w:rsidRPr="000661FF" w:rsidRDefault="00272BAC" w:rsidP="000661FF">
      <w:pPr>
        <w:pStyle w:val="Hanging12"/>
      </w:pPr>
      <w:r w:rsidRPr="000661FF">
        <w:t>31</w:t>
      </w:r>
      <w:r w:rsidR="00632575" w:rsidRPr="000661FF">
        <w:t>.</w:t>
      </w:r>
      <w:r w:rsidR="00632575" w:rsidRPr="000661FF">
        <w:tab/>
        <w:t xml:space="preserve">Welcomes the proposal for </w:t>
      </w:r>
      <w:r w:rsidR="00B83EC5" w:rsidRPr="000661FF">
        <w:t>a directive on a w</w:t>
      </w:r>
      <w:r w:rsidR="00632575" w:rsidRPr="000661FF">
        <w:t xml:space="preserve">ork-life balance </w:t>
      </w:r>
      <w:r w:rsidR="00B83EC5" w:rsidRPr="000661FF">
        <w:t xml:space="preserve">and regards it </w:t>
      </w:r>
      <w:r w:rsidR="00632575" w:rsidRPr="000661FF">
        <w:t>as a positive first step forward in ensuring reconciliation of work and private li</w:t>
      </w:r>
      <w:r w:rsidR="00B83EC5" w:rsidRPr="000661FF">
        <w:t>f</w:t>
      </w:r>
      <w:r w:rsidR="00632575" w:rsidRPr="000661FF">
        <w:t>e</w:t>
      </w:r>
      <w:r w:rsidR="009E093A" w:rsidRPr="000661FF">
        <w:t xml:space="preserve"> for</w:t>
      </w:r>
      <w:r w:rsidR="00632575" w:rsidRPr="000661FF">
        <w:t xml:space="preserve"> </w:t>
      </w:r>
      <w:r w:rsidR="00B83EC5" w:rsidRPr="000661FF">
        <w:t xml:space="preserve">those </w:t>
      </w:r>
      <w:r w:rsidR="00632575" w:rsidRPr="000661FF">
        <w:t>men and women caring for their children and other depend</w:t>
      </w:r>
      <w:r w:rsidR="00416E51" w:rsidRPr="000661FF">
        <w:t>e</w:t>
      </w:r>
      <w:r w:rsidR="00632575" w:rsidRPr="000661FF">
        <w:t>nts</w:t>
      </w:r>
      <w:r w:rsidR="009E093A" w:rsidRPr="000661FF">
        <w:t>,</w:t>
      </w:r>
      <w:r w:rsidR="00632575" w:rsidRPr="000661FF">
        <w:t xml:space="preserve"> </w:t>
      </w:r>
      <w:r w:rsidR="006725DE" w:rsidRPr="000661FF">
        <w:t>as well as in</w:t>
      </w:r>
      <w:r w:rsidR="009E093A" w:rsidRPr="000661FF">
        <w:t xml:space="preserve"> </w:t>
      </w:r>
      <w:r w:rsidR="00632575" w:rsidRPr="000661FF">
        <w:t xml:space="preserve">increasing the participation of women </w:t>
      </w:r>
      <w:r w:rsidR="009E093A" w:rsidRPr="000661FF">
        <w:t>i</w:t>
      </w:r>
      <w:r w:rsidR="00632575" w:rsidRPr="000661FF">
        <w:t>n the labour market</w:t>
      </w:r>
      <w:r w:rsidR="009E093A" w:rsidRPr="000661FF">
        <w:t>; regrets, however,</w:t>
      </w:r>
      <w:r w:rsidR="00632575" w:rsidRPr="000661FF">
        <w:t xml:space="preserve"> </w:t>
      </w:r>
      <w:r w:rsidR="009E093A" w:rsidRPr="000661FF">
        <w:t xml:space="preserve">the fact </w:t>
      </w:r>
      <w:r w:rsidR="00632575" w:rsidRPr="000661FF">
        <w:t>that no progress on maternity leave has been made; insists that securing appropriate remuneration and strong social security and protection are key to achieving these goals;</w:t>
      </w:r>
    </w:p>
    <w:p w14:paraId="5E803CDB" w14:textId="73FEFD76" w:rsidR="00632575" w:rsidRPr="000661FF" w:rsidRDefault="00272BAC" w:rsidP="000661FF">
      <w:pPr>
        <w:pStyle w:val="Hanging12"/>
      </w:pPr>
      <w:r w:rsidRPr="000661FF">
        <w:t>32</w:t>
      </w:r>
      <w:r w:rsidR="00632575" w:rsidRPr="000661FF">
        <w:t>.</w:t>
      </w:r>
      <w:r w:rsidR="00632575" w:rsidRPr="000661FF">
        <w:tab/>
        <w:t xml:space="preserve">Calls on the Commission and the Member States to develop transformative policies and invest in awareness-raising campaigns to overcome gender stereotypes and promote a more equal sharing of care and domestic work, </w:t>
      </w:r>
      <w:r w:rsidR="00E41AAD" w:rsidRPr="000661FF">
        <w:t>and to focus, moreover,</w:t>
      </w:r>
      <w:r w:rsidR="00632575" w:rsidRPr="000661FF">
        <w:t xml:space="preserve"> on the right of and need for men to take up care responsibilities without being stigmatised or penalised;</w:t>
      </w:r>
    </w:p>
    <w:p w14:paraId="795CE281" w14:textId="256493F1" w:rsidR="00632575" w:rsidRPr="000661FF" w:rsidRDefault="00272BAC" w:rsidP="000661FF">
      <w:pPr>
        <w:pStyle w:val="Hanging12"/>
      </w:pPr>
      <w:r w:rsidRPr="000661FF">
        <w:t>33</w:t>
      </w:r>
      <w:r w:rsidR="00632575" w:rsidRPr="000661FF">
        <w:t>.</w:t>
      </w:r>
      <w:r w:rsidR="00632575" w:rsidRPr="000661FF">
        <w:tab/>
        <w:t xml:space="preserve">Calls on the Member States to put in place proactive policies and appropriate investment </w:t>
      </w:r>
      <w:r w:rsidR="00E41AAD" w:rsidRPr="000661FF">
        <w:t xml:space="preserve">tailored </w:t>
      </w:r>
      <w:r w:rsidR="00632575" w:rsidRPr="000661FF">
        <w:t xml:space="preserve">and designed to support women and men entering, </w:t>
      </w:r>
      <w:r w:rsidR="00632575" w:rsidRPr="000661FF">
        <w:lastRenderedPageBreak/>
        <w:t xml:space="preserve">returning to, </w:t>
      </w:r>
      <w:r w:rsidR="00E41AAD" w:rsidRPr="000661FF">
        <w:t xml:space="preserve">and </w:t>
      </w:r>
      <w:r w:rsidR="00632575" w:rsidRPr="000661FF">
        <w:t>staying and advancing in the labour market, after periods of family and care-related types of leave, with sustainable and quality employment, in line with Article 27 of the European Social Charter; stresses in particular the need to guarantee</w:t>
      </w:r>
      <w:r w:rsidR="00E41AAD" w:rsidRPr="000661FF">
        <w:t>:</w:t>
      </w:r>
      <w:r w:rsidR="00632575" w:rsidRPr="000661FF">
        <w:t xml:space="preserve"> reinstatement to </w:t>
      </w:r>
      <w:r w:rsidR="00E41AAD" w:rsidRPr="000661FF">
        <w:t xml:space="preserve">either </w:t>
      </w:r>
      <w:r w:rsidR="00632575" w:rsidRPr="000661FF">
        <w:t>the same post or an equivalent or similar post</w:t>
      </w:r>
      <w:r w:rsidR="00E41AAD" w:rsidRPr="000661FF">
        <w:t>;</w:t>
      </w:r>
      <w:r w:rsidR="00632575" w:rsidRPr="000661FF">
        <w:t xml:space="preserve"> protection against dismissal and less favourable treatment as a result of pregnancy</w:t>
      </w:r>
      <w:r w:rsidR="00E41AAD" w:rsidRPr="000661FF">
        <w:t>;</w:t>
      </w:r>
      <w:r w:rsidR="00632575" w:rsidRPr="000661FF">
        <w:t xml:space="preserve"> </w:t>
      </w:r>
      <w:r w:rsidR="00E41AAD" w:rsidRPr="000661FF">
        <w:t xml:space="preserve">the right to </w:t>
      </w:r>
      <w:r w:rsidR="00632575" w:rsidRPr="000661FF">
        <w:t>apply for or tak</w:t>
      </w:r>
      <w:r w:rsidR="00E41AAD" w:rsidRPr="000661FF">
        <w:t>e</w:t>
      </w:r>
      <w:r w:rsidR="00632575" w:rsidRPr="000661FF">
        <w:t xml:space="preserve"> family leave</w:t>
      </w:r>
      <w:r w:rsidR="00E41AAD" w:rsidRPr="000661FF">
        <w:t>;</w:t>
      </w:r>
      <w:r w:rsidR="00632575" w:rsidRPr="000661FF">
        <w:t xml:space="preserve"> and a protection period </w:t>
      </w:r>
      <w:r w:rsidR="006725DE" w:rsidRPr="000661FF">
        <w:t>for returnees to enable them to readapt to their job</w:t>
      </w:r>
      <w:r w:rsidR="00632575" w:rsidRPr="000661FF">
        <w:t>; reiterates that changes in working hours and/or routines on the return to work (including the need for the employer to justify a refusal) and training periods should also be guaranteed;</w:t>
      </w:r>
    </w:p>
    <w:p w14:paraId="707BEDE7" w14:textId="3B293D49" w:rsidR="00632575" w:rsidRPr="000661FF" w:rsidRDefault="00272BAC" w:rsidP="000661FF">
      <w:pPr>
        <w:pStyle w:val="Hanging12"/>
      </w:pPr>
      <w:r w:rsidRPr="000661FF">
        <w:t>34</w:t>
      </w:r>
      <w:r w:rsidR="00632575" w:rsidRPr="000661FF">
        <w:t>.</w:t>
      </w:r>
      <w:r w:rsidR="00632575" w:rsidRPr="000661FF">
        <w:tab/>
        <w:t>Calls on the Member States to step up protection against discrimination and unlawful dismissal relat</w:t>
      </w:r>
      <w:r w:rsidR="00E41AAD" w:rsidRPr="000661FF">
        <w:t>ing</w:t>
      </w:r>
      <w:r w:rsidR="00632575" w:rsidRPr="000661FF">
        <w:t xml:space="preserve"> to work-life balance</w:t>
      </w:r>
      <w:r w:rsidR="00E41AAD" w:rsidRPr="000661FF">
        <w:t>;</w:t>
      </w:r>
      <w:r w:rsidR="00632575" w:rsidRPr="000661FF">
        <w:t xml:space="preserve"> calls on the Commission and the Member States</w:t>
      </w:r>
      <w:r w:rsidR="00E41AAD" w:rsidRPr="000661FF">
        <w:t>, in this context,</w:t>
      </w:r>
      <w:r w:rsidR="00632575" w:rsidRPr="000661FF">
        <w:t xml:space="preserve"> to propose policies to improve </w:t>
      </w:r>
      <w:r w:rsidR="00E41AAD" w:rsidRPr="000661FF">
        <w:t xml:space="preserve">the </w:t>
      </w:r>
      <w:r w:rsidR="00632575" w:rsidRPr="000661FF">
        <w:t xml:space="preserve">enforcement of anti-discrimination measures in the workplace, including </w:t>
      </w:r>
      <w:r w:rsidR="00E41AAD" w:rsidRPr="000661FF">
        <w:t>by raising</w:t>
      </w:r>
      <w:r w:rsidR="00632575" w:rsidRPr="000661FF">
        <w:t xml:space="preserve"> awareness of legal rights regarding equal treatment by conducting information campaigns, revers</w:t>
      </w:r>
      <w:r w:rsidR="00E41AAD" w:rsidRPr="000661FF">
        <w:t>ing</w:t>
      </w:r>
      <w:r w:rsidR="00632575" w:rsidRPr="000661FF">
        <w:t xml:space="preserve"> the burden of proof and empowering national equality bodies to conduct</w:t>
      </w:r>
      <w:r w:rsidR="00E41AAD" w:rsidRPr="000661FF">
        <w:t>, on their own initiative,</w:t>
      </w:r>
      <w:r w:rsidR="00632575" w:rsidRPr="000661FF">
        <w:t xml:space="preserve"> formal investigations</w:t>
      </w:r>
      <w:r w:rsidR="00E41AAD" w:rsidRPr="000661FF">
        <w:t xml:space="preserve"> into</w:t>
      </w:r>
      <w:r w:rsidR="00632575" w:rsidRPr="000661FF">
        <w:t xml:space="preserve"> equality issues and </w:t>
      </w:r>
      <w:r w:rsidR="00E41AAD" w:rsidRPr="000661FF">
        <w:t xml:space="preserve">to </w:t>
      </w:r>
      <w:r w:rsidR="00632575" w:rsidRPr="000661FF">
        <w:t xml:space="preserve">help </w:t>
      </w:r>
      <w:r w:rsidR="00E41AAD" w:rsidRPr="000661FF">
        <w:t xml:space="preserve">the </w:t>
      </w:r>
      <w:r w:rsidR="00632575" w:rsidRPr="000661FF">
        <w:t>potential victims of discrimination;</w:t>
      </w:r>
    </w:p>
    <w:p w14:paraId="756EADA2" w14:textId="5840D7DD" w:rsidR="00632575" w:rsidRPr="000661FF" w:rsidRDefault="00272BAC" w:rsidP="000661FF">
      <w:pPr>
        <w:pStyle w:val="Hanging12"/>
      </w:pPr>
      <w:r w:rsidRPr="000661FF">
        <w:t>35</w:t>
      </w:r>
      <w:r w:rsidR="00632575" w:rsidRPr="000661FF">
        <w:t>.</w:t>
      </w:r>
      <w:r w:rsidR="00632575" w:rsidRPr="000661FF">
        <w:tab/>
        <w:t>Considers that promoting women</w:t>
      </w:r>
      <w:r w:rsidR="000661FF">
        <w:t>’</w:t>
      </w:r>
      <w:r w:rsidR="00632575" w:rsidRPr="000661FF">
        <w:t>s participation in the labour market would boost GDP; calls</w:t>
      </w:r>
      <w:r w:rsidR="00E41AAD" w:rsidRPr="000661FF">
        <w:t xml:space="preserve"> </w:t>
      </w:r>
      <w:r w:rsidR="00632575" w:rsidRPr="000661FF">
        <w:t>on the Commission and the Member States</w:t>
      </w:r>
      <w:r w:rsidR="00E41AAD" w:rsidRPr="000661FF">
        <w:t>, therefore,</w:t>
      </w:r>
      <w:r w:rsidR="00632575" w:rsidRPr="000661FF">
        <w:t xml:space="preserve"> to strengthen policies and increase investment supporting female employment in quality jobs, particularly in sectors and positions where women are under-represented, such as </w:t>
      </w:r>
      <w:r w:rsidR="00E41AAD" w:rsidRPr="000661FF">
        <w:t xml:space="preserve">in </w:t>
      </w:r>
      <w:r w:rsidR="00632575" w:rsidRPr="000661FF">
        <w:t xml:space="preserve">the STEM and green economy sectors, or </w:t>
      </w:r>
      <w:r w:rsidR="00E41AAD" w:rsidRPr="000661FF">
        <w:t xml:space="preserve">in </w:t>
      </w:r>
      <w:r w:rsidR="00632575" w:rsidRPr="000661FF">
        <w:t>senior management positions across all sectors;</w:t>
      </w:r>
    </w:p>
    <w:p w14:paraId="35D9A389" w14:textId="31847754" w:rsidR="0066019C" w:rsidRPr="000661FF" w:rsidRDefault="00272BAC" w:rsidP="000661FF">
      <w:pPr>
        <w:pStyle w:val="Hanging12"/>
      </w:pPr>
      <w:r w:rsidRPr="000661FF">
        <w:t>36</w:t>
      </w:r>
      <w:r w:rsidR="0066019C" w:rsidRPr="000661FF">
        <w:t>.</w:t>
      </w:r>
      <w:r w:rsidR="0066019C" w:rsidRPr="000661FF">
        <w:tab/>
        <w:t xml:space="preserve">Underlines </w:t>
      </w:r>
      <w:r w:rsidR="00E41AAD" w:rsidRPr="000661FF">
        <w:t xml:space="preserve">the fact </w:t>
      </w:r>
      <w:r w:rsidR="0066019C" w:rsidRPr="000661FF">
        <w:t xml:space="preserve">that the integration of long-term unemployed individuals through individually tailored measures is a key factor for fighting poverty and social exclusion and will ultimately contribute towards the sustainability of national social security systems; </w:t>
      </w:r>
      <w:r w:rsidR="00634EFD" w:rsidRPr="000661FF">
        <w:t>deems such integration</w:t>
      </w:r>
      <w:r w:rsidR="0066019C" w:rsidRPr="000661FF">
        <w:t xml:space="preserve"> necessary, </w:t>
      </w:r>
      <w:r w:rsidR="00634EFD" w:rsidRPr="000661FF">
        <w:t>in view of the</w:t>
      </w:r>
      <w:r w:rsidR="0066019C" w:rsidRPr="000661FF">
        <w:t xml:space="preserve"> social </w:t>
      </w:r>
      <w:r w:rsidR="00634EFD" w:rsidRPr="000661FF">
        <w:t xml:space="preserve">circumstances </w:t>
      </w:r>
      <w:r w:rsidR="0066019C" w:rsidRPr="000661FF">
        <w:t>of these citizens and their needs in terms of sufficient incomes, adequate housing, public transport, health and childcare</w:t>
      </w:r>
      <w:r w:rsidR="006725DE" w:rsidRPr="000661FF">
        <w:t>; stresses the need for</w:t>
      </w:r>
      <w:r w:rsidR="0066019C" w:rsidRPr="000661FF">
        <w:t xml:space="preserve"> better monitoring at European level of the policies implemented at the national level;</w:t>
      </w:r>
    </w:p>
    <w:p w14:paraId="6949EAC9" w14:textId="6286F746" w:rsidR="0066019C" w:rsidRPr="000661FF" w:rsidRDefault="00272BAC" w:rsidP="000661FF">
      <w:pPr>
        <w:pStyle w:val="Hanging12"/>
      </w:pPr>
      <w:r w:rsidRPr="000661FF">
        <w:t>37</w:t>
      </w:r>
      <w:r w:rsidR="0066019C" w:rsidRPr="000661FF">
        <w:t>.</w:t>
      </w:r>
      <w:r w:rsidR="0066019C" w:rsidRPr="000661FF">
        <w:tab/>
        <w:t xml:space="preserve">Stresses the importance of understanding new forms of employment and work, and of collecting comparable data on this issue, in order to </w:t>
      </w:r>
      <w:r w:rsidR="00634EFD" w:rsidRPr="000661FF">
        <w:t>render</w:t>
      </w:r>
      <w:r w:rsidR="0066019C" w:rsidRPr="000661FF">
        <w:t xml:space="preserve"> labour market legislation</w:t>
      </w:r>
      <w:r w:rsidR="00634EFD" w:rsidRPr="000661FF">
        <w:t xml:space="preserve"> more efficient and</w:t>
      </w:r>
      <w:r w:rsidR="0066019C" w:rsidRPr="000661FF">
        <w:t xml:space="preserve"> to </w:t>
      </w:r>
      <w:r w:rsidR="00634EFD" w:rsidRPr="000661FF">
        <w:t xml:space="preserve">ultimately </w:t>
      </w:r>
      <w:r w:rsidR="0066019C" w:rsidRPr="000661FF">
        <w:t>increase employment and sustainable growth;</w:t>
      </w:r>
    </w:p>
    <w:p w14:paraId="70785E81" w14:textId="51B0BED6" w:rsidR="0066019C" w:rsidRPr="000661FF" w:rsidRDefault="00272BAC" w:rsidP="000661FF">
      <w:pPr>
        <w:pStyle w:val="Hanging12"/>
      </w:pPr>
      <w:r w:rsidRPr="000661FF">
        <w:t>38</w:t>
      </w:r>
      <w:r w:rsidR="0066019C" w:rsidRPr="000661FF">
        <w:t>.</w:t>
      </w:r>
      <w:r w:rsidR="0066019C" w:rsidRPr="000661FF">
        <w:tab/>
        <w:t>Calls for joint efforts to reduce gender</w:t>
      </w:r>
      <w:r w:rsidR="00634EFD" w:rsidRPr="000661FF">
        <w:t>-</w:t>
      </w:r>
      <w:r w:rsidR="0066019C" w:rsidRPr="000661FF">
        <w:t xml:space="preserve">based inequalities in </w:t>
      </w:r>
      <w:r w:rsidR="00634EFD" w:rsidRPr="000661FF">
        <w:t xml:space="preserve">the </w:t>
      </w:r>
      <w:r w:rsidR="0066019C" w:rsidRPr="000661FF">
        <w:t xml:space="preserve">Member States and for continuous support for designated, locally adjusted plans to reduce gender </w:t>
      </w:r>
      <w:r w:rsidR="0066019C" w:rsidRPr="000661FF">
        <w:lastRenderedPageBreak/>
        <w:t>employment</w:t>
      </w:r>
      <w:r w:rsidR="00634EFD" w:rsidRPr="000661FF">
        <w:t xml:space="preserve"> and</w:t>
      </w:r>
      <w:r w:rsidR="0066019C" w:rsidRPr="000661FF">
        <w:t xml:space="preserve"> pay and pension gaps through economic policies;</w:t>
      </w:r>
    </w:p>
    <w:p w14:paraId="5569F5B9" w14:textId="360631E6" w:rsidR="0066019C" w:rsidRPr="000661FF" w:rsidRDefault="00272BAC" w:rsidP="000661FF">
      <w:pPr>
        <w:pStyle w:val="Hanging12"/>
      </w:pPr>
      <w:r w:rsidRPr="000661FF">
        <w:t>39</w:t>
      </w:r>
      <w:r w:rsidR="0066019C" w:rsidRPr="000661FF">
        <w:t>.</w:t>
      </w:r>
      <w:r w:rsidR="0066019C" w:rsidRPr="000661FF">
        <w:tab/>
        <w:t>Calls for an integrated anti-poverty strategy in order to achieve the Europe 2020 poverty target; underlines the role of Member States</w:t>
      </w:r>
      <w:r w:rsidR="000661FF">
        <w:t>’</w:t>
      </w:r>
      <w:r w:rsidR="0066019C" w:rsidRPr="000661FF">
        <w:t xml:space="preserve"> minimum income schemes in seeking to reduce poverty</w:t>
      </w:r>
      <w:r w:rsidR="00634EFD" w:rsidRPr="000661FF">
        <w:t>,</w:t>
      </w:r>
      <w:r w:rsidR="0066019C" w:rsidRPr="000661FF">
        <w:t xml:space="preserve"> </w:t>
      </w:r>
      <w:r w:rsidR="00D823BE" w:rsidRPr="000661FF">
        <w:t xml:space="preserve">especially when combined with social inclusion measures that involve the beneficiaries; </w:t>
      </w:r>
      <w:r w:rsidR="0066019C" w:rsidRPr="000661FF">
        <w:t xml:space="preserve">requests </w:t>
      </w:r>
      <w:r w:rsidR="00634EFD" w:rsidRPr="000661FF">
        <w:t xml:space="preserve">that the </w:t>
      </w:r>
      <w:r w:rsidR="0066019C" w:rsidRPr="000661FF">
        <w:t xml:space="preserve">Member States work towards the progressive </w:t>
      </w:r>
      <w:r w:rsidR="00634EFD" w:rsidRPr="000661FF">
        <w:t xml:space="preserve">establishment </w:t>
      </w:r>
      <w:r w:rsidR="0066019C" w:rsidRPr="000661FF">
        <w:t xml:space="preserve">of minimum income schemes </w:t>
      </w:r>
      <w:r w:rsidR="00634EFD" w:rsidRPr="000661FF">
        <w:t>which are not only adequate but ensure sufficient</w:t>
      </w:r>
      <w:r w:rsidR="0066019C" w:rsidRPr="000661FF">
        <w:t xml:space="preserve"> coverage and take-up; considers adequate minimum income </w:t>
      </w:r>
      <w:r w:rsidR="00634EFD" w:rsidRPr="000661FF">
        <w:t xml:space="preserve">to mean </w:t>
      </w:r>
      <w:r w:rsidR="0066019C" w:rsidRPr="000661FF">
        <w:t xml:space="preserve">an income that is indispensable </w:t>
      </w:r>
      <w:r w:rsidR="006725DE" w:rsidRPr="000661FF">
        <w:t xml:space="preserve">for </w:t>
      </w:r>
      <w:r w:rsidR="0066019C" w:rsidRPr="000661FF">
        <w:t>liv</w:t>
      </w:r>
      <w:r w:rsidR="006725DE" w:rsidRPr="000661FF">
        <w:t>ing</w:t>
      </w:r>
      <w:r w:rsidR="0066019C" w:rsidRPr="000661FF">
        <w:t xml:space="preserve"> a life in dignity and </w:t>
      </w:r>
      <w:r w:rsidR="006725DE" w:rsidRPr="000661FF">
        <w:t xml:space="preserve">for </w:t>
      </w:r>
      <w:r w:rsidR="0066019C" w:rsidRPr="000661FF">
        <w:t>fully participat</w:t>
      </w:r>
      <w:r w:rsidR="006725DE" w:rsidRPr="000661FF">
        <w:t>ing</w:t>
      </w:r>
      <w:r w:rsidR="0066019C" w:rsidRPr="000661FF">
        <w:t xml:space="preserve"> in society</w:t>
      </w:r>
      <w:r w:rsidR="00634EFD" w:rsidRPr="000661FF">
        <w:t xml:space="preserve"> throughout </w:t>
      </w:r>
      <w:r w:rsidR="0066019C" w:rsidRPr="000661FF">
        <w:t xml:space="preserve">the </w:t>
      </w:r>
      <w:r w:rsidR="00634EFD" w:rsidRPr="000661FF">
        <w:t xml:space="preserve">entire </w:t>
      </w:r>
      <w:r w:rsidR="0066019C" w:rsidRPr="000661FF">
        <w:t xml:space="preserve">lifespan; points out that in order </w:t>
      </w:r>
      <w:r w:rsidR="00634EFD" w:rsidRPr="000661FF">
        <w:t xml:space="preserve">for a minimum income </w:t>
      </w:r>
      <w:r w:rsidR="0066019C" w:rsidRPr="000661FF">
        <w:t xml:space="preserve">to be adequate, it </w:t>
      </w:r>
      <w:r w:rsidR="00634EFD" w:rsidRPr="000661FF">
        <w:t>must be above</w:t>
      </w:r>
      <w:r w:rsidR="0066019C" w:rsidRPr="000661FF">
        <w:t xml:space="preserve"> the poverty line</w:t>
      </w:r>
      <w:r w:rsidR="00634EFD" w:rsidRPr="000661FF">
        <w:t>,</w:t>
      </w:r>
      <w:r w:rsidR="0066019C" w:rsidRPr="000661FF">
        <w:t xml:space="preserve"> </w:t>
      </w:r>
      <w:r w:rsidR="00634EFD" w:rsidRPr="000661FF">
        <w:t xml:space="preserve">so as </w:t>
      </w:r>
      <w:r w:rsidR="0066019C" w:rsidRPr="000661FF">
        <w:t>to meet people</w:t>
      </w:r>
      <w:r w:rsidR="000661FF">
        <w:t>’</w:t>
      </w:r>
      <w:r w:rsidR="0066019C" w:rsidRPr="000661FF">
        <w:t xml:space="preserve">s fundamental needs, including non-monetary aspects, such as access to education and lifelong learning, decent housing, quality healthcare services, social activities </w:t>
      </w:r>
      <w:r w:rsidR="00634EFD" w:rsidRPr="000661FF">
        <w:t xml:space="preserve">and </w:t>
      </w:r>
      <w:r w:rsidR="0066019C" w:rsidRPr="000661FF">
        <w:t>civic participation;</w:t>
      </w:r>
    </w:p>
    <w:p w14:paraId="1522A953" w14:textId="5658C57E" w:rsidR="0066019C" w:rsidRPr="000661FF" w:rsidRDefault="00272BAC" w:rsidP="000661FF">
      <w:pPr>
        <w:pStyle w:val="Hanging12"/>
      </w:pPr>
      <w:r w:rsidRPr="000661FF">
        <w:t>40</w:t>
      </w:r>
      <w:r w:rsidR="0066019C" w:rsidRPr="000661FF">
        <w:t>.</w:t>
      </w:r>
      <w:r w:rsidR="0066019C" w:rsidRPr="000661FF">
        <w:tab/>
        <w:t>Calls for more efficient, targeted and more carefully monitored use of the European Structural and Investment Funds (ESI Funds) by national, regional and local authorities in order to promote investment in quality social, health, education and employment services, and to tackle energy poverty, increasing living costs, social exclusion, housing deprivation, and the insufficient quality of housing stock;</w:t>
      </w:r>
    </w:p>
    <w:p w14:paraId="6349AB4F" w14:textId="269D5B00" w:rsidR="0066019C" w:rsidRPr="000661FF" w:rsidRDefault="00272BAC" w:rsidP="000661FF">
      <w:pPr>
        <w:pStyle w:val="Hanging12"/>
      </w:pPr>
      <w:r w:rsidRPr="000661FF">
        <w:t>41</w:t>
      </w:r>
      <w:r w:rsidR="0066019C" w:rsidRPr="000661FF">
        <w:t>.</w:t>
      </w:r>
      <w:r w:rsidR="0066019C" w:rsidRPr="000661FF">
        <w:tab/>
        <w:t xml:space="preserve">Calls on the </w:t>
      </w:r>
      <w:r w:rsidR="00D823BE" w:rsidRPr="000661FF">
        <w:t xml:space="preserve">Commission to support </w:t>
      </w:r>
      <w:r w:rsidR="0066019C" w:rsidRPr="000661FF">
        <w:t xml:space="preserve">Member States </w:t>
      </w:r>
      <w:r w:rsidR="00D823BE" w:rsidRPr="000661FF">
        <w:t>in</w:t>
      </w:r>
      <w:r w:rsidR="0066019C" w:rsidRPr="000661FF">
        <w:t xml:space="preserve"> establish</w:t>
      </w:r>
      <w:r w:rsidR="00D823BE" w:rsidRPr="000661FF">
        <w:t>ing</w:t>
      </w:r>
      <w:r w:rsidR="0066019C" w:rsidRPr="000661FF">
        <w:t xml:space="preserve"> specific investment programmes for their regions whose unemployment, youth unemployment and long-term unemployment rates exceed 30 %;</w:t>
      </w:r>
    </w:p>
    <w:p w14:paraId="1FFEFFF8" w14:textId="0C8723F0" w:rsidR="0066019C" w:rsidRPr="000661FF" w:rsidRDefault="00272BAC" w:rsidP="000661FF">
      <w:pPr>
        <w:pStyle w:val="Hanging12"/>
      </w:pPr>
      <w:r w:rsidRPr="000661FF">
        <w:t>42</w:t>
      </w:r>
      <w:r w:rsidR="0066019C" w:rsidRPr="000661FF">
        <w:t>.</w:t>
      </w:r>
      <w:r w:rsidR="0066019C" w:rsidRPr="000661FF">
        <w:tab/>
        <w:t>Deplores the fact that, in its package of recommendations, the Commission has disregarded Parliament</w:t>
      </w:r>
      <w:r w:rsidR="000661FF">
        <w:t>’</w:t>
      </w:r>
      <w:r w:rsidR="0066019C" w:rsidRPr="000661FF">
        <w:t>s request to step up the implementation of Article 349 TFEU, in particular through the adoption of specific measures designed to integrate the outermost regions more closely into the EU</w:t>
      </w:r>
      <w:r w:rsidR="000661FF">
        <w:t xml:space="preserve">; </w:t>
      </w:r>
      <w:r w:rsidR="0066019C" w:rsidRPr="000661FF">
        <w:t>notes that these regions have their own particular characteristics and constraints, with unemployment at over the 30 % mark</w:t>
      </w:r>
      <w:r w:rsidR="000661FF">
        <w:t xml:space="preserve">; </w:t>
      </w:r>
      <w:r w:rsidR="0066019C" w:rsidRPr="000661FF">
        <w:t>stresses the need for differentiated measures and programmes to reduce asymmetries and thereby maximise social cohesion in the EU;</w:t>
      </w:r>
    </w:p>
    <w:p w14:paraId="2885D351" w14:textId="75BD89AB" w:rsidR="0066019C" w:rsidRPr="000661FF" w:rsidRDefault="00272BAC" w:rsidP="000661FF">
      <w:pPr>
        <w:pStyle w:val="Hanging12"/>
      </w:pPr>
      <w:r w:rsidRPr="000661FF">
        <w:t>43</w:t>
      </w:r>
      <w:r w:rsidR="0066019C" w:rsidRPr="000661FF">
        <w:t>.</w:t>
      </w:r>
      <w:r w:rsidR="0066019C" w:rsidRPr="000661FF">
        <w:tab/>
        <w:t xml:space="preserve">Calls on the Commission to devote </w:t>
      </w:r>
      <w:r w:rsidR="006725DE" w:rsidRPr="000661FF">
        <w:t xml:space="preserve">the </w:t>
      </w:r>
      <w:r w:rsidR="0066019C" w:rsidRPr="000661FF">
        <w:t xml:space="preserve">next Spring Council to social investment in the sectors where </w:t>
      </w:r>
      <w:r w:rsidR="006725DE" w:rsidRPr="000661FF">
        <w:t xml:space="preserve">there is </w:t>
      </w:r>
      <w:r w:rsidR="0066019C" w:rsidRPr="000661FF">
        <w:t xml:space="preserve">strong evidence </w:t>
      </w:r>
      <w:r w:rsidR="006725DE" w:rsidRPr="000661FF">
        <w:t xml:space="preserve">to suggest </w:t>
      </w:r>
      <w:r w:rsidR="0066019C" w:rsidRPr="000661FF">
        <w:t>that it promotes social and economic returns (e.g. early childhood education and care, primary and secondary education, training and active labour market policies, affordable and social housing, and healthcare);</w:t>
      </w:r>
    </w:p>
    <w:p w14:paraId="6E7FE121" w14:textId="1571ED83" w:rsidR="0066019C" w:rsidRPr="000661FF" w:rsidRDefault="00272BAC" w:rsidP="000661FF">
      <w:pPr>
        <w:pStyle w:val="Hanging12"/>
      </w:pPr>
      <w:r w:rsidRPr="000661FF">
        <w:t>44</w:t>
      </w:r>
      <w:r w:rsidR="0066019C" w:rsidRPr="000661FF">
        <w:t>.</w:t>
      </w:r>
      <w:r w:rsidR="0066019C" w:rsidRPr="000661FF">
        <w:tab/>
        <w:t xml:space="preserve">Regrets </w:t>
      </w:r>
      <w:r w:rsidR="00C546A0" w:rsidRPr="000661FF">
        <w:t xml:space="preserve">the fact </w:t>
      </w:r>
      <w:r w:rsidR="0066019C" w:rsidRPr="000661FF">
        <w:t xml:space="preserve">that </w:t>
      </w:r>
      <w:r w:rsidR="00C546A0" w:rsidRPr="000661FF">
        <w:t xml:space="preserve">there will be little possibility for </w:t>
      </w:r>
      <w:r w:rsidR="0066019C" w:rsidRPr="000661FF">
        <w:t>Parliament</w:t>
      </w:r>
      <w:r w:rsidR="000661FF">
        <w:t>’</w:t>
      </w:r>
      <w:r w:rsidR="0066019C" w:rsidRPr="000661FF">
        <w:t xml:space="preserve">s position, </w:t>
      </w:r>
      <w:r w:rsidR="00C546A0" w:rsidRPr="000661FF">
        <w:t>once</w:t>
      </w:r>
      <w:r w:rsidR="0066019C" w:rsidRPr="000661FF">
        <w:t xml:space="preserve"> adopted in plenary, </w:t>
      </w:r>
      <w:r w:rsidR="00C546A0" w:rsidRPr="000661FF">
        <w:t>to influence</w:t>
      </w:r>
      <w:r w:rsidR="0066019C" w:rsidRPr="000661FF">
        <w:t xml:space="preserve"> the CSRs under discussion; calls for an agenda </w:t>
      </w:r>
      <w:r w:rsidR="00C546A0" w:rsidRPr="000661FF">
        <w:t xml:space="preserve">that </w:t>
      </w:r>
      <w:r w:rsidR="008E5E14" w:rsidRPr="000661FF">
        <w:t xml:space="preserve">gives </w:t>
      </w:r>
      <w:r w:rsidR="008E5E14" w:rsidRPr="000661FF">
        <w:lastRenderedPageBreak/>
        <w:t>greater prominence to</w:t>
      </w:r>
      <w:r w:rsidR="0066019C" w:rsidRPr="000661FF">
        <w:t xml:space="preserve"> Parliament</w:t>
      </w:r>
      <w:r w:rsidR="000661FF">
        <w:t>’</w:t>
      </w:r>
      <w:r w:rsidR="0066019C" w:rsidRPr="000661FF">
        <w:t xml:space="preserve">s position and </w:t>
      </w:r>
      <w:r w:rsidR="00C546A0" w:rsidRPr="000661FF">
        <w:t xml:space="preserve">that </w:t>
      </w:r>
      <w:r w:rsidR="0066019C" w:rsidRPr="000661FF">
        <w:t>tak</w:t>
      </w:r>
      <w:r w:rsidR="00C546A0" w:rsidRPr="000661FF">
        <w:t>es</w:t>
      </w:r>
      <w:r w:rsidR="0066019C" w:rsidRPr="000661FF">
        <w:t xml:space="preserve"> i</w:t>
      </w:r>
      <w:r w:rsidR="00C546A0" w:rsidRPr="000661FF">
        <w:t>t</w:t>
      </w:r>
      <w:r w:rsidR="0066019C" w:rsidRPr="000661FF">
        <w:t xml:space="preserve"> into account before a decision is reached; calls for the role of the EPSCO Council </w:t>
      </w:r>
      <w:r w:rsidR="00C546A0" w:rsidRPr="000661FF">
        <w:t>to be strengthened with</w:t>
      </w:r>
      <w:r w:rsidR="0066019C" w:rsidRPr="000661FF">
        <w:t>in the European Semester;</w:t>
      </w:r>
    </w:p>
    <w:p w14:paraId="63FCC8C8" w14:textId="31CC9D54" w:rsidR="004C58ED" w:rsidRPr="00350B42" w:rsidRDefault="00272BAC" w:rsidP="000661FF">
      <w:pPr>
        <w:pStyle w:val="Hanging12"/>
      </w:pPr>
      <w:r w:rsidRPr="000661FF">
        <w:t>45</w:t>
      </w:r>
      <w:r w:rsidR="0066019C" w:rsidRPr="000661FF">
        <w:t>.</w:t>
      </w:r>
      <w:r w:rsidR="0066019C" w:rsidRPr="000661FF">
        <w:tab/>
        <w:t>Calls for additional joint efforts to improve the integration of migrants and people with a migrant background into the labour market.</w:t>
      </w:r>
    </w:p>
    <w:p w14:paraId="6AC7FB81" w14:textId="5329C695" w:rsidR="004C58ED" w:rsidRPr="00350B42" w:rsidRDefault="004C58ED" w:rsidP="004C58ED">
      <w:pPr>
        <w:pStyle w:val="PageHeadingNotTOC"/>
      </w:pPr>
      <w:bookmarkStart w:id="2" w:name="ProcPageAD"/>
      <w:r w:rsidRPr="00350B42">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C58ED" w:rsidRPr="009F1124" w14:paraId="210B55C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08862B" w14:textId="77777777" w:rsidR="004C58ED" w:rsidRPr="009F1124" w:rsidRDefault="004C58ED">
            <w:pPr>
              <w:autoSpaceDE w:val="0"/>
              <w:autoSpaceDN w:val="0"/>
              <w:adjustRightInd w:val="0"/>
              <w:rPr>
                <w:b/>
                <w:bCs/>
                <w:color w:val="000000"/>
                <w:sz w:val="20"/>
              </w:rPr>
            </w:pPr>
            <w:r w:rsidRPr="009F1124">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30FCE4E" w14:textId="77777777" w:rsidR="004C58ED" w:rsidRPr="009F1124" w:rsidRDefault="004C58ED">
            <w:pPr>
              <w:autoSpaceDE w:val="0"/>
              <w:autoSpaceDN w:val="0"/>
              <w:adjustRightInd w:val="0"/>
              <w:rPr>
                <w:color w:val="000000"/>
                <w:sz w:val="20"/>
              </w:rPr>
            </w:pPr>
            <w:r w:rsidRPr="009F1124">
              <w:rPr>
                <w:color w:val="000000"/>
                <w:sz w:val="20"/>
              </w:rPr>
              <w:t>28.9.2017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6A4009" w14:textId="77777777" w:rsidR="004C58ED" w:rsidRPr="009F1124" w:rsidRDefault="004C58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274780" w14:textId="77777777" w:rsidR="004C58ED" w:rsidRPr="009F1124" w:rsidRDefault="004C58E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EEED1E" w14:textId="77777777" w:rsidR="004C58ED" w:rsidRPr="009F1124" w:rsidRDefault="004C58ED">
            <w:pPr>
              <w:autoSpaceDE w:val="0"/>
              <w:autoSpaceDN w:val="0"/>
              <w:adjustRightInd w:val="0"/>
              <w:rPr>
                <w:rFonts w:ascii="sans-serif" w:hAnsi="sans-serif" w:cs="sans-serif"/>
                <w:color w:val="000000"/>
                <w:szCs w:val="24"/>
              </w:rPr>
            </w:pPr>
          </w:p>
        </w:tc>
      </w:tr>
      <w:tr w:rsidR="004C58ED" w:rsidRPr="009F1124" w14:paraId="4C8EF1B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E70192" w14:textId="77777777" w:rsidR="004C58ED" w:rsidRPr="009F1124" w:rsidRDefault="004C58ED">
            <w:pPr>
              <w:autoSpaceDE w:val="0"/>
              <w:autoSpaceDN w:val="0"/>
              <w:adjustRightInd w:val="0"/>
              <w:rPr>
                <w:b/>
                <w:bCs/>
                <w:color w:val="000000"/>
                <w:sz w:val="20"/>
              </w:rPr>
            </w:pPr>
            <w:r w:rsidRPr="009F1124">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B341A0E" w14:textId="77777777" w:rsidR="004C58ED" w:rsidRPr="009F1124" w:rsidRDefault="004C58ED">
            <w:pPr>
              <w:autoSpaceDE w:val="0"/>
              <w:autoSpaceDN w:val="0"/>
              <w:adjustRightInd w:val="0"/>
              <w:rPr>
                <w:color w:val="000000"/>
                <w:sz w:val="20"/>
              </w:rPr>
            </w:pPr>
            <w:r w:rsidRPr="009F1124">
              <w:rPr>
                <w:color w:val="000000"/>
                <w:sz w:val="20"/>
              </w:rPr>
              <w:t>+:</w:t>
            </w:r>
          </w:p>
          <w:p w14:paraId="38D840A9" w14:textId="77777777" w:rsidR="004C58ED" w:rsidRPr="009F1124" w:rsidRDefault="004C58ED">
            <w:pPr>
              <w:autoSpaceDE w:val="0"/>
              <w:autoSpaceDN w:val="0"/>
              <w:adjustRightInd w:val="0"/>
              <w:rPr>
                <w:color w:val="000000"/>
                <w:sz w:val="20"/>
              </w:rPr>
            </w:pPr>
            <w:r w:rsidRPr="009F1124">
              <w:rPr>
                <w:color w:val="000000"/>
                <w:sz w:val="20"/>
              </w:rPr>
              <w:t>–:</w:t>
            </w:r>
          </w:p>
          <w:p w14:paraId="5B35685D" w14:textId="77777777" w:rsidR="004C58ED" w:rsidRPr="009F1124" w:rsidRDefault="004C58ED">
            <w:pPr>
              <w:autoSpaceDE w:val="0"/>
              <w:autoSpaceDN w:val="0"/>
              <w:adjustRightInd w:val="0"/>
              <w:rPr>
                <w:color w:val="000000"/>
                <w:sz w:val="20"/>
              </w:rPr>
            </w:pPr>
            <w:r w:rsidRPr="009F112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F190E0" w14:textId="77777777" w:rsidR="004C58ED" w:rsidRPr="009F1124" w:rsidRDefault="004C58ED">
            <w:pPr>
              <w:autoSpaceDE w:val="0"/>
              <w:autoSpaceDN w:val="0"/>
              <w:adjustRightInd w:val="0"/>
              <w:rPr>
                <w:color w:val="000000"/>
                <w:sz w:val="20"/>
              </w:rPr>
            </w:pPr>
            <w:r w:rsidRPr="009F1124">
              <w:rPr>
                <w:color w:val="000000"/>
                <w:sz w:val="20"/>
              </w:rPr>
              <w:t>34</w:t>
            </w:r>
          </w:p>
          <w:p w14:paraId="104FBA18" w14:textId="77777777" w:rsidR="004C58ED" w:rsidRPr="009F1124" w:rsidRDefault="004C58ED">
            <w:pPr>
              <w:autoSpaceDE w:val="0"/>
              <w:autoSpaceDN w:val="0"/>
              <w:adjustRightInd w:val="0"/>
              <w:rPr>
                <w:color w:val="000000"/>
                <w:sz w:val="20"/>
              </w:rPr>
            </w:pPr>
            <w:r w:rsidRPr="009F1124">
              <w:rPr>
                <w:color w:val="000000"/>
                <w:sz w:val="20"/>
              </w:rPr>
              <w:t>10</w:t>
            </w:r>
          </w:p>
          <w:p w14:paraId="5DA2E097" w14:textId="77777777" w:rsidR="004C58ED" w:rsidRPr="009F1124" w:rsidRDefault="004C58ED">
            <w:pPr>
              <w:autoSpaceDE w:val="0"/>
              <w:autoSpaceDN w:val="0"/>
              <w:adjustRightInd w:val="0"/>
              <w:rPr>
                <w:color w:val="000000"/>
                <w:sz w:val="20"/>
              </w:rPr>
            </w:pPr>
            <w:r w:rsidRPr="009F1124">
              <w:rPr>
                <w:color w:val="000000"/>
                <w:sz w:val="20"/>
              </w:rPr>
              <w:t>0</w:t>
            </w:r>
          </w:p>
        </w:tc>
      </w:tr>
      <w:tr w:rsidR="004C58ED" w:rsidRPr="00350B42" w14:paraId="7D0CBF5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DB28A3" w14:textId="77777777" w:rsidR="004C58ED" w:rsidRPr="00350B42" w:rsidRDefault="004C58ED">
            <w:pPr>
              <w:autoSpaceDE w:val="0"/>
              <w:autoSpaceDN w:val="0"/>
              <w:adjustRightInd w:val="0"/>
              <w:rPr>
                <w:b/>
                <w:bCs/>
                <w:color w:val="000000"/>
                <w:sz w:val="20"/>
              </w:rPr>
            </w:pPr>
            <w:r w:rsidRPr="00350B42">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B2A911" w14:textId="77777777" w:rsidR="004C58ED" w:rsidRPr="00350B42" w:rsidRDefault="004C58ED">
            <w:pPr>
              <w:autoSpaceDE w:val="0"/>
              <w:autoSpaceDN w:val="0"/>
              <w:adjustRightInd w:val="0"/>
              <w:rPr>
                <w:color w:val="000000"/>
                <w:sz w:val="20"/>
              </w:rPr>
            </w:pPr>
            <w:r w:rsidRPr="00350B42">
              <w:rPr>
                <w:color w:val="000000"/>
                <w:sz w:val="20"/>
              </w:rPr>
              <w:t>Guillaume Balas, Brando Benifei, Martina Dlabajová, Lampros Fountoulis, Elena Gentile, Arne Gericke, Marian Harkin, Czesław Hoc, Danuta Jazłowiecka, Agnes Jongerius, Jan Keller, Ádám Kósa, Agnieszka Kozłowska-Rajewicz, Kostadinka Kuneva, Jérôme Lavrilleux, Jeroen Lenaers, Thomas Mann, Dominique Martin, Elisabeth Morin-Chartier, João Pimenta Lopes, Georgi Pirinski, Dennis Radtke, Robert Rochefort, Siôn Simon, Yana Toom, Ulrike Trebesius, Marita Ulvskog, Tatjana Ždanoka, Jana Žitňanská</w:t>
            </w:r>
          </w:p>
        </w:tc>
      </w:tr>
      <w:tr w:rsidR="004C58ED" w:rsidRPr="00350B42" w14:paraId="47D932D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14BE4C" w14:textId="77777777" w:rsidR="004C58ED" w:rsidRPr="00350B42" w:rsidRDefault="004C58ED">
            <w:pPr>
              <w:autoSpaceDE w:val="0"/>
              <w:autoSpaceDN w:val="0"/>
              <w:adjustRightInd w:val="0"/>
              <w:rPr>
                <w:b/>
                <w:bCs/>
                <w:color w:val="000000"/>
                <w:sz w:val="20"/>
              </w:rPr>
            </w:pPr>
            <w:r w:rsidRPr="00350B42">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D56038" w14:textId="77777777" w:rsidR="004C58ED" w:rsidRPr="00350B42" w:rsidRDefault="004C58ED">
            <w:pPr>
              <w:autoSpaceDE w:val="0"/>
              <w:autoSpaceDN w:val="0"/>
              <w:adjustRightInd w:val="0"/>
              <w:rPr>
                <w:color w:val="000000"/>
                <w:sz w:val="20"/>
              </w:rPr>
            </w:pPr>
            <w:r w:rsidRPr="00350B42">
              <w:rPr>
                <w:color w:val="000000"/>
                <w:sz w:val="20"/>
              </w:rPr>
              <w:t>Maria Arena, Georges Bach, Elmar Brok, Krzysztof Hetman, Dieter-Lebrecht Koch, Paloma López Bermejo, Evelyn Regner, Sven Schulze, Jasenko Selimovic, Michaela Šojdrová, Helga Stevens</w:t>
            </w:r>
          </w:p>
        </w:tc>
      </w:tr>
      <w:tr w:rsidR="004C58ED" w:rsidRPr="00350B42" w14:paraId="0003029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2811F0D" w14:textId="77777777" w:rsidR="004C58ED" w:rsidRPr="00350B42" w:rsidRDefault="004C58ED">
            <w:pPr>
              <w:autoSpaceDE w:val="0"/>
              <w:autoSpaceDN w:val="0"/>
              <w:adjustRightInd w:val="0"/>
              <w:rPr>
                <w:b/>
                <w:bCs/>
                <w:color w:val="000000"/>
                <w:sz w:val="20"/>
              </w:rPr>
            </w:pPr>
            <w:r w:rsidRPr="00350B42">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E911C99" w14:textId="77777777" w:rsidR="004C58ED" w:rsidRPr="00350B42" w:rsidRDefault="004C58ED">
            <w:pPr>
              <w:autoSpaceDE w:val="0"/>
              <w:autoSpaceDN w:val="0"/>
              <w:adjustRightInd w:val="0"/>
              <w:rPr>
                <w:color w:val="000000"/>
                <w:sz w:val="20"/>
                <w:lang w:val="de-DE"/>
              </w:rPr>
            </w:pPr>
            <w:r w:rsidRPr="00350B42">
              <w:rPr>
                <w:color w:val="000000"/>
                <w:sz w:val="20"/>
                <w:lang w:val="de-DE"/>
              </w:rPr>
              <w:t>Klaus Buchner, Jens Nilsson, Gabriele Preuß, Jozo Radoš</w:t>
            </w:r>
          </w:p>
        </w:tc>
      </w:tr>
    </w:tbl>
    <w:p w14:paraId="0E85EDC9" w14:textId="77777777" w:rsidR="004C58ED" w:rsidRPr="00350B42" w:rsidRDefault="004C58ED">
      <w:pPr>
        <w:autoSpaceDE w:val="0"/>
        <w:autoSpaceDN w:val="0"/>
        <w:adjustRightInd w:val="0"/>
        <w:rPr>
          <w:rFonts w:ascii="Arial" w:hAnsi="Arial" w:cs="Arial"/>
          <w:szCs w:val="24"/>
          <w:lang w:val="de-DE"/>
        </w:rPr>
      </w:pPr>
    </w:p>
    <w:bookmarkEnd w:id="2"/>
    <w:p w14:paraId="5BFD1BE6" w14:textId="70A3B37D" w:rsidR="00B11BEA" w:rsidRPr="00350B42" w:rsidRDefault="00B11BEA" w:rsidP="004C58ED">
      <w:pPr>
        <w:rPr>
          <w:lang w:val="de-DE"/>
        </w:rPr>
      </w:pPr>
      <w:r w:rsidRPr="00350B42">
        <w:rPr>
          <w:lang w:val="de-DE"/>
        </w:rPr>
        <w:br w:type="page"/>
      </w:r>
    </w:p>
    <w:p w14:paraId="567B7B4E" w14:textId="66563BA4" w:rsidR="003862BA" w:rsidRPr="00350B42" w:rsidRDefault="003862BA" w:rsidP="000661FF">
      <w:pPr>
        <w:pStyle w:val="PageHeadingNotTOC"/>
      </w:pPr>
      <w:bookmarkStart w:id="3" w:name="RollCallPageAD"/>
      <w:r w:rsidRPr="00350B42">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862BA" w:rsidRPr="009F1124" w14:paraId="14EFB5DD" w14:textId="77777777" w:rsidTr="003862B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A3633EE" w14:textId="6D743677" w:rsidR="003862BA" w:rsidRPr="009F1124" w:rsidRDefault="0016402F">
            <w:pPr>
              <w:spacing w:before="120" w:after="120"/>
              <w:jc w:val="center"/>
              <w:rPr>
                <w:b/>
                <w:sz w:val="20"/>
              </w:rPr>
            </w:pPr>
            <w:bookmarkStart w:id="4" w:name="DocEPLastPosition"/>
            <w:bookmarkEnd w:id="4"/>
            <w:r w:rsidRPr="009F1124">
              <w:rPr>
                <w:b/>
                <w:sz w:val="20"/>
              </w:rPr>
              <w:t>34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6C730E12" w14:textId="77777777" w:rsidR="003862BA" w:rsidRPr="009F1124" w:rsidRDefault="003862BA">
            <w:pPr>
              <w:spacing w:before="120" w:after="120"/>
              <w:jc w:val="center"/>
              <w:rPr>
                <w:rFonts w:ascii="Arial" w:hAnsi="Arial" w:cs="Arial"/>
                <w:b/>
                <w:sz w:val="28"/>
                <w:szCs w:val="28"/>
              </w:rPr>
            </w:pPr>
            <w:r w:rsidRPr="009F1124">
              <w:rPr>
                <w:rFonts w:ascii="Arial" w:hAnsi="Arial" w:cs="Arial"/>
                <w:b/>
                <w:sz w:val="28"/>
                <w:szCs w:val="28"/>
              </w:rPr>
              <w:t>+</w:t>
            </w:r>
          </w:p>
        </w:tc>
      </w:tr>
      <w:tr w:rsidR="003862BA" w:rsidRPr="009F1124" w14:paraId="4E125752" w14:textId="77777777" w:rsidTr="003862B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4B20935C" w14:textId="77777777" w:rsidR="003862BA" w:rsidRPr="009F1124" w:rsidRDefault="003862BA" w:rsidP="003862BA">
            <w:pPr>
              <w:spacing w:before="120" w:after="280"/>
              <w:rPr>
                <w:sz w:val="20"/>
              </w:rPr>
            </w:pPr>
            <w:r w:rsidRPr="009F1124">
              <w:rPr>
                <w:sz w:val="20"/>
              </w:rPr>
              <w:t>ALDE</w:t>
            </w:r>
          </w:p>
          <w:p w14:paraId="1F720E1B" w14:textId="77777777" w:rsidR="003862BA" w:rsidRPr="009F1124" w:rsidRDefault="003862BA" w:rsidP="003862BA">
            <w:pPr>
              <w:spacing w:before="120" w:after="280"/>
              <w:rPr>
                <w:sz w:val="20"/>
              </w:rPr>
            </w:pPr>
            <w:r w:rsidRPr="009F1124">
              <w:rPr>
                <w:sz w:val="20"/>
              </w:rPr>
              <w:t>EPP</w:t>
            </w:r>
          </w:p>
          <w:p w14:paraId="7593F307" w14:textId="77777777" w:rsidR="003862BA" w:rsidRPr="009F1124" w:rsidRDefault="003862BA" w:rsidP="003862BA">
            <w:pPr>
              <w:spacing w:before="120" w:after="280"/>
              <w:rPr>
                <w:sz w:val="20"/>
              </w:rPr>
            </w:pPr>
          </w:p>
          <w:p w14:paraId="37AF1A74" w14:textId="5396928E" w:rsidR="003862BA" w:rsidRPr="009F1124" w:rsidRDefault="003862BA" w:rsidP="003862BA">
            <w:pPr>
              <w:spacing w:before="120" w:after="400"/>
              <w:rPr>
                <w:sz w:val="20"/>
              </w:rPr>
            </w:pPr>
            <w:r w:rsidRPr="009F1124">
              <w:rPr>
                <w:sz w:val="20"/>
              </w:rPr>
              <w:t>S&amp;D</w:t>
            </w:r>
          </w:p>
          <w:p w14:paraId="5D071EDB" w14:textId="77777777" w:rsidR="003862BA" w:rsidRPr="009F1124" w:rsidRDefault="003862BA" w:rsidP="003862BA">
            <w:pPr>
              <w:spacing w:before="120" w:after="400"/>
              <w:rPr>
                <w:sz w:val="20"/>
              </w:rPr>
            </w:pPr>
            <w:r w:rsidRPr="009F1124">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7537AE64" w14:textId="0417E4F2" w:rsidR="003862BA" w:rsidRPr="009F1124" w:rsidRDefault="003862BA" w:rsidP="003862BA">
            <w:pPr>
              <w:spacing w:before="120" w:after="120"/>
              <w:rPr>
                <w:sz w:val="20"/>
              </w:rPr>
            </w:pPr>
            <w:r w:rsidRPr="009F1124">
              <w:rPr>
                <w:sz w:val="20"/>
              </w:rPr>
              <w:t>Martina Dlabajová, Marian Harkin, Jozo Radoš, Robert Rochefort, Jasenko Selimovic, Yana Toom</w:t>
            </w:r>
          </w:p>
          <w:p w14:paraId="125A17B9" w14:textId="5767D631" w:rsidR="003862BA" w:rsidRPr="009F1124" w:rsidRDefault="003862BA" w:rsidP="003862BA">
            <w:pPr>
              <w:spacing w:before="120" w:after="120"/>
              <w:rPr>
                <w:sz w:val="20"/>
              </w:rPr>
            </w:pPr>
            <w:r w:rsidRPr="009F1124">
              <w:rPr>
                <w:sz w:val="20"/>
              </w:rPr>
              <w:t>Georges Bach, Elmar Brok, Krzysztof Hetman, Danuta Jazłowiecka, Dieter-Lebrecht Koch, Agnieszka Kozłowska-Rajewicz, Ádám Kósa, Jérôme Lavrilleux, Jeroen Lenaers, Thomas Mann, Elisabeth Morin-Chartier, Dennis Radtke, Sven Schulze, Michaela Šojdrová</w:t>
            </w:r>
          </w:p>
          <w:p w14:paraId="254CE103" w14:textId="3F41B920" w:rsidR="003862BA" w:rsidRPr="009F1124" w:rsidRDefault="003862BA" w:rsidP="003862BA">
            <w:pPr>
              <w:spacing w:before="120" w:after="120"/>
              <w:rPr>
                <w:sz w:val="20"/>
              </w:rPr>
            </w:pPr>
            <w:r w:rsidRPr="009F1124">
              <w:rPr>
                <w:sz w:val="20"/>
              </w:rPr>
              <w:t>Maria Arena, Guillaume Balas, Brando Benifei, Elena Gentile, Agnes Jongerius, Jan Keller, Jens Nilsson, Georgi Pirinski, Gabriele Preuß, Evelyn Regner, Siôn Simon, Marita Ulvskog</w:t>
            </w:r>
          </w:p>
          <w:p w14:paraId="1160EA89" w14:textId="6EAC80D3" w:rsidR="003862BA" w:rsidRPr="009F1124" w:rsidRDefault="003862BA" w:rsidP="003862BA">
            <w:pPr>
              <w:spacing w:before="120" w:after="120"/>
              <w:rPr>
                <w:sz w:val="20"/>
              </w:rPr>
            </w:pPr>
            <w:r w:rsidRPr="009F1124">
              <w:rPr>
                <w:sz w:val="20"/>
              </w:rPr>
              <w:t>Klaus Buchner, Tatjana Ždanoka</w:t>
            </w:r>
          </w:p>
        </w:tc>
      </w:tr>
    </w:tbl>
    <w:p w14:paraId="30ACBE8E" w14:textId="77777777" w:rsidR="003862BA" w:rsidRPr="009F1124" w:rsidRDefault="003862BA" w:rsidP="003862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862BA" w:rsidRPr="009F1124" w14:paraId="65E16C8A" w14:textId="77777777" w:rsidTr="003862B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E171849" w14:textId="160544BF" w:rsidR="003862BA" w:rsidRPr="009F1124" w:rsidRDefault="0016402F">
            <w:pPr>
              <w:spacing w:before="120" w:after="120"/>
              <w:jc w:val="center"/>
              <w:rPr>
                <w:b/>
                <w:sz w:val="16"/>
              </w:rPr>
            </w:pPr>
            <w:r w:rsidRPr="009F1124">
              <w:rPr>
                <w:b/>
                <w:sz w:val="20"/>
              </w:rPr>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70BAC66" w14:textId="77777777" w:rsidR="003862BA" w:rsidRPr="009F1124" w:rsidRDefault="003862BA">
            <w:pPr>
              <w:spacing w:before="120" w:after="120"/>
              <w:jc w:val="center"/>
              <w:rPr>
                <w:sz w:val="28"/>
                <w:szCs w:val="28"/>
              </w:rPr>
            </w:pPr>
            <w:r w:rsidRPr="009F1124">
              <w:rPr>
                <w:rFonts w:ascii="Arial" w:hAnsi="Arial" w:cs="Arial"/>
                <w:b/>
                <w:sz w:val="28"/>
                <w:szCs w:val="28"/>
              </w:rPr>
              <w:t>-</w:t>
            </w:r>
          </w:p>
        </w:tc>
      </w:tr>
      <w:tr w:rsidR="003862BA" w:rsidRPr="009F1124" w14:paraId="2224B5D1" w14:textId="77777777" w:rsidTr="003862B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1F4B2112" w14:textId="77777777" w:rsidR="003862BA" w:rsidRPr="009F1124" w:rsidRDefault="003862BA">
            <w:pPr>
              <w:spacing w:before="120" w:after="120"/>
              <w:rPr>
                <w:sz w:val="20"/>
              </w:rPr>
            </w:pPr>
            <w:r w:rsidRPr="009F1124">
              <w:rPr>
                <w:sz w:val="20"/>
              </w:rPr>
              <w:t>GUE/NGL</w:t>
            </w:r>
          </w:p>
          <w:p w14:paraId="2C00D6F3" w14:textId="77777777" w:rsidR="003862BA" w:rsidRPr="009F1124" w:rsidRDefault="003862BA">
            <w:pPr>
              <w:spacing w:before="120" w:after="120"/>
              <w:rPr>
                <w:sz w:val="20"/>
              </w:rPr>
            </w:pPr>
            <w:r w:rsidRPr="009F1124">
              <w:rPr>
                <w:sz w:val="20"/>
              </w:rPr>
              <w:t>ECR</w:t>
            </w:r>
          </w:p>
          <w:p w14:paraId="5FC3D0C0" w14:textId="0C49BE4B" w:rsidR="0016402F" w:rsidRPr="009F1124" w:rsidRDefault="0016402F">
            <w:pPr>
              <w:spacing w:before="120" w:after="120"/>
              <w:rPr>
                <w:sz w:val="20"/>
              </w:rPr>
            </w:pPr>
            <w:r w:rsidRPr="009F1124">
              <w:rPr>
                <w:sz w:val="20"/>
              </w:rPr>
              <w:t>ENF</w:t>
            </w:r>
          </w:p>
          <w:p w14:paraId="140DDFC6" w14:textId="1F10BA32" w:rsidR="0016402F" w:rsidRPr="009F1124" w:rsidRDefault="0016402F">
            <w:pPr>
              <w:spacing w:before="120" w:after="120"/>
              <w:rPr>
                <w:sz w:val="20"/>
              </w:rPr>
            </w:pPr>
            <w:r w:rsidRPr="009F1124">
              <w:rPr>
                <w:sz w:val="20"/>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61657F26" w14:textId="5CC0452F" w:rsidR="003862BA" w:rsidRPr="009F1124" w:rsidRDefault="0016402F">
            <w:pPr>
              <w:spacing w:before="120" w:after="120"/>
              <w:rPr>
                <w:sz w:val="20"/>
              </w:rPr>
            </w:pPr>
            <w:r w:rsidRPr="009F1124">
              <w:rPr>
                <w:sz w:val="20"/>
              </w:rPr>
              <w:t>Kostadinka Kuneva</w:t>
            </w:r>
            <w:r w:rsidR="003862BA" w:rsidRPr="009F1124">
              <w:rPr>
                <w:sz w:val="20"/>
              </w:rPr>
              <w:t>,</w:t>
            </w:r>
            <w:r w:rsidRPr="009F1124">
              <w:rPr>
                <w:sz w:val="20"/>
              </w:rPr>
              <w:t xml:space="preserve"> Paloma López Bermejo,</w:t>
            </w:r>
            <w:r w:rsidR="003862BA" w:rsidRPr="009F1124">
              <w:rPr>
                <w:sz w:val="20"/>
              </w:rPr>
              <w:t xml:space="preserve"> João Pimenta Lopes</w:t>
            </w:r>
          </w:p>
          <w:p w14:paraId="3742F83A" w14:textId="77777777" w:rsidR="003862BA" w:rsidRPr="009F1124" w:rsidRDefault="003862BA">
            <w:pPr>
              <w:spacing w:before="120" w:after="120"/>
              <w:rPr>
                <w:sz w:val="20"/>
              </w:rPr>
            </w:pPr>
            <w:r w:rsidRPr="009F1124">
              <w:rPr>
                <w:sz w:val="20"/>
              </w:rPr>
              <w:t>Arne Gericke, Czesław Hoc, Helga Stevens, Ulrike Trebesius, Jana Žitňanská</w:t>
            </w:r>
          </w:p>
          <w:p w14:paraId="762C459D" w14:textId="64A44075" w:rsidR="0016402F" w:rsidRPr="009F1124" w:rsidRDefault="0016402F">
            <w:pPr>
              <w:spacing w:before="120" w:after="120"/>
              <w:rPr>
                <w:sz w:val="20"/>
              </w:rPr>
            </w:pPr>
            <w:r w:rsidRPr="009F1124">
              <w:rPr>
                <w:sz w:val="20"/>
              </w:rPr>
              <w:t>Dominique Martin</w:t>
            </w:r>
          </w:p>
          <w:p w14:paraId="734E6925" w14:textId="37845B6C" w:rsidR="0016402F" w:rsidRPr="009F1124" w:rsidRDefault="0016402F">
            <w:pPr>
              <w:spacing w:before="120" w:after="120"/>
              <w:rPr>
                <w:sz w:val="20"/>
              </w:rPr>
            </w:pPr>
            <w:r w:rsidRPr="009F1124">
              <w:rPr>
                <w:sz w:val="20"/>
              </w:rPr>
              <w:t>Lampros Fountoulis</w:t>
            </w:r>
          </w:p>
        </w:tc>
      </w:tr>
    </w:tbl>
    <w:p w14:paraId="572B02F3" w14:textId="77777777" w:rsidR="0016402F" w:rsidRPr="009F1124" w:rsidRDefault="0016402F" w:rsidP="003862BA"/>
    <w:p w14:paraId="01E2736D" w14:textId="77777777" w:rsidR="003862BA" w:rsidRPr="009F1124" w:rsidRDefault="003862BA" w:rsidP="003862BA">
      <w:r w:rsidRPr="009F1124">
        <w:t>Key to symbols:</w:t>
      </w:r>
    </w:p>
    <w:p w14:paraId="6772CC53" w14:textId="77777777" w:rsidR="003862BA" w:rsidRPr="009F1124" w:rsidRDefault="003862BA" w:rsidP="003862BA">
      <w:pPr>
        <w:pStyle w:val="NormalTabs"/>
        <w:rPr>
          <w:lang w:val="fr-FR"/>
        </w:rPr>
      </w:pPr>
      <w:r w:rsidRPr="009F1124">
        <w:rPr>
          <w:lang w:val="fr-FR"/>
        </w:rPr>
        <w:t>+</w:t>
      </w:r>
      <w:r w:rsidRPr="009F1124">
        <w:rPr>
          <w:lang w:val="fr-FR"/>
        </w:rPr>
        <w:tab/>
        <w:t>:</w:t>
      </w:r>
      <w:r w:rsidRPr="009F1124">
        <w:rPr>
          <w:lang w:val="fr-FR"/>
        </w:rPr>
        <w:tab/>
        <w:t>in favour</w:t>
      </w:r>
    </w:p>
    <w:p w14:paraId="3A15810B" w14:textId="77777777" w:rsidR="003862BA" w:rsidRPr="009F1124" w:rsidRDefault="003862BA" w:rsidP="003862BA">
      <w:pPr>
        <w:pStyle w:val="NormalTabs"/>
        <w:rPr>
          <w:lang w:val="fr-FR"/>
        </w:rPr>
      </w:pPr>
      <w:r w:rsidRPr="009F1124">
        <w:rPr>
          <w:lang w:val="fr-FR"/>
        </w:rPr>
        <w:t>-</w:t>
      </w:r>
      <w:r w:rsidRPr="009F1124">
        <w:rPr>
          <w:lang w:val="fr-FR"/>
        </w:rPr>
        <w:tab/>
        <w:t>:</w:t>
      </w:r>
      <w:r w:rsidRPr="009F1124">
        <w:rPr>
          <w:lang w:val="fr-FR"/>
        </w:rPr>
        <w:tab/>
        <w:t>against</w:t>
      </w:r>
    </w:p>
    <w:p w14:paraId="66045B42" w14:textId="77777777" w:rsidR="003862BA" w:rsidRPr="009F1124" w:rsidRDefault="003862BA" w:rsidP="003862BA">
      <w:pPr>
        <w:pStyle w:val="NormalTabs"/>
        <w:rPr>
          <w:lang w:val="fr-FR"/>
        </w:rPr>
      </w:pPr>
      <w:r w:rsidRPr="009F1124">
        <w:rPr>
          <w:lang w:val="fr-FR"/>
        </w:rPr>
        <w:t>0</w:t>
      </w:r>
      <w:r w:rsidRPr="009F1124">
        <w:rPr>
          <w:lang w:val="fr-FR"/>
        </w:rPr>
        <w:tab/>
        <w:t>:</w:t>
      </w:r>
      <w:r w:rsidRPr="009F1124">
        <w:rPr>
          <w:lang w:val="fr-FR"/>
        </w:rPr>
        <w:tab/>
        <w:t>abstention</w:t>
      </w:r>
    </w:p>
    <w:bookmarkEnd w:id="3"/>
    <w:p w14:paraId="502DF221" w14:textId="77777777" w:rsidR="003862BA" w:rsidRPr="009F1124" w:rsidRDefault="003862BA" w:rsidP="003862BA"/>
    <w:p w14:paraId="601CD037" w14:textId="77777777" w:rsidR="002E2F2E" w:rsidRPr="009F1124" w:rsidRDefault="002E2F2E" w:rsidP="00B11BEA"/>
    <w:sectPr w:rsidR="002E2F2E" w:rsidRPr="009F1124" w:rsidSect="009F1124">
      <w:footerReference w:type="even" r:id="rId9"/>
      <w:footerReference w:type="default" r:id="rId10"/>
      <w:footerReference w:type="first" r:id="rId11"/>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9B70" w14:textId="77777777" w:rsidR="00350B42" w:rsidRPr="009F1124" w:rsidRDefault="00350B42">
      <w:r w:rsidRPr="009F1124">
        <w:separator/>
      </w:r>
    </w:p>
  </w:endnote>
  <w:endnote w:type="continuationSeparator" w:id="0">
    <w:p w14:paraId="1A8BF904" w14:textId="77777777" w:rsidR="00350B42" w:rsidRPr="009F1124" w:rsidRDefault="00350B42">
      <w:r w:rsidRPr="009F11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A692" w14:textId="2A369224" w:rsidR="00350B42" w:rsidRPr="00350B42" w:rsidRDefault="00350B42" w:rsidP="009F1124">
    <w:pPr>
      <w:pStyle w:val="Footer"/>
      <w:rPr>
        <w:lang w:val="it-IT"/>
      </w:rPr>
    </w:pPr>
    <w:r w:rsidRPr="00350B42">
      <w:rPr>
        <w:lang w:val="it-IT"/>
      </w:rPr>
      <w:t>PE</w:t>
    </w:r>
    <w:r w:rsidRPr="00350B42">
      <w:rPr>
        <w:rStyle w:val="HideTWBExt"/>
        <w:noProof w:val="0"/>
        <w:lang w:val="it-IT"/>
      </w:rPr>
      <w:t>&lt;NoPE&gt;</w:t>
    </w:r>
    <w:r w:rsidRPr="00350B42">
      <w:rPr>
        <w:lang w:val="it-IT"/>
      </w:rPr>
      <w:t>606.272</w:t>
    </w:r>
    <w:r w:rsidRPr="00350B42">
      <w:rPr>
        <w:rStyle w:val="HideTWBExt"/>
        <w:noProof w:val="0"/>
        <w:lang w:val="it-IT"/>
      </w:rPr>
      <w:t>&lt;/NoPE&gt;&lt;Version&gt;</w:t>
    </w:r>
    <w:r w:rsidRPr="00350B42">
      <w:rPr>
        <w:lang w:val="it-IT"/>
      </w:rPr>
      <w:t>v02-00</w:t>
    </w:r>
    <w:r w:rsidRPr="00350B42">
      <w:rPr>
        <w:rStyle w:val="HideTWBExt"/>
        <w:noProof w:val="0"/>
        <w:lang w:val="it-IT"/>
      </w:rPr>
      <w:t>&lt;/Version&gt;</w:t>
    </w:r>
    <w:r w:rsidRPr="00350B42">
      <w:rPr>
        <w:lang w:val="it-IT"/>
      </w:rPr>
      <w:tab/>
    </w:r>
    <w:r w:rsidRPr="009F1124">
      <w:fldChar w:fldCharType="begin"/>
    </w:r>
    <w:r w:rsidRPr="00350B42">
      <w:rPr>
        <w:lang w:val="it-IT"/>
      </w:rPr>
      <w:instrText xml:space="preserve"> PAGE  \* MERGEFORMAT </w:instrText>
    </w:r>
    <w:r w:rsidRPr="009F1124">
      <w:fldChar w:fldCharType="separate"/>
    </w:r>
    <w:r w:rsidR="000661FF" w:rsidRPr="000661FF">
      <w:rPr>
        <w:noProof/>
      </w:rPr>
      <w:t>12</w:t>
    </w:r>
    <w:r w:rsidRPr="009F1124">
      <w:fldChar w:fldCharType="end"/>
    </w:r>
    <w:r w:rsidRPr="00350B42">
      <w:rPr>
        <w:lang w:val="it-IT"/>
      </w:rPr>
      <w:t>/</w:t>
    </w:r>
    <w:r>
      <w:fldChar w:fldCharType="begin"/>
    </w:r>
    <w:r w:rsidRPr="00350B42">
      <w:rPr>
        <w:lang w:val="it-IT"/>
      </w:rPr>
      <w:instrText xml:space="preserve"> NUMPAGES  \* MERGEFORMAT </w:instrText>
    </w:r>
    <w:r>
      <w:fldChar w:fldCharType="separate"/>
    </w:r>
    <w:r w:rsidR="000661FF" w:rsidRPr="000661FF">
      <w:rPr>
        <w:noProof/>
      </w:rPr>
      <w:t>12</w:t>
    </w:r>
    <w:r>
      <w:rPr>
        <w:noProof/>
      </w:rPr>
      <w:fldChar w:fldCharType="end"/>
    </w:r>
    <w:r w:rsidRPr="00350B42">
      <w:rPr>
        <w:lang w:val="it-IT"/>
      </w:rPr>
      <w:tab/>
    </w:r>
    <w:r w:rsidRPr="00350B42">
      <w:rPr>
        <w:rStyle w:val="HideTWBExt"/>
        <w:noProof w:val="0"/>
        <w:lang w:val="it-IT"/>
      </w:rPr>
      <w:t>&lt;PathFdR&gt;</w:t>
    </w:r>
    <w:r w:rsidRPr="00350B42">
      <w:rPr>
        <w:lang w:val="it-IT"/>
      </w:rPr>
      <w:t>AD\1134664EN.docx</w:t>
    </w:r>
    <w:r w:rsidRPr="00350B42">
      <w:rPr>
        <w:rStyle w:val="HideTWBExt"/>
        <w:noProof w:val="0"/>
        <w:lang w:val="it-IT"/>
      </w:rPr>
      <w:t>&lt;/PathFdR&gt;</w:t>
    </w:r>
  </w:p>
  <w:p w14:paraId="44F35741" w14:textId="0A913298" w:rsidR="00350B42" w:rsidRPr="009F1124" w:rsidRDefault="00350B42" w:rsidP="009F1124">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78E3" w14:textId="7F4E9794" w:rsidR="00350B42" w:rsidRPr="00350B42" w:rsidRDefault="00350B42" w:rsidP="009F1124">
    <w:pPr>
      <w:pStyle w:val="Footer"/>
      <w:rPr>
        <w:lang w:val="it-IT"/>
      </w:rPr>
    </w:pPr>
    <w:r w:rsidRPr="00350B42">
      <w:rPr>
        <w:rStyle w:val="HideTWBExt"/>
        <w:noProof w:val="0"/>
        <w:lang w:val="it-IT"/>
      </w:rPr>
      <w:t>&lt;PathFdR&gt;</w:t>
    </w:r>
    <w:r w:rsidRPr="00350B42">
      <w:rPr>
        <w:lang w:val="it-IT"/>
      </w:rPr>
      <w:t>AD\1134664</w:t>
    </w:r>
    <w:r>
      <w:rPr>
        <w:lang w:val="it-IT"/>
      </w:rPr>
      <w:t>EN</w:t>
    </w:r>
    <w:r w:rsidRPr="00350B42">
      <w:rPr>
        <w:lang w:val="it-IT"/>
      </w:rPr>
      <w:t>.docx</w:t>
    </w:r>
    <w:r w:rsidRPr="00350B42">
      <w:rPr>
        <w:rStyle w:val="HideTWBExt"/>
        <w:noProof w:val="0"/>
        <w:lang w:val="it-IT"/>
      </w:rPr>
      <w:t>&lt;/PathFdR&gt;</w:t>
    </w:r>
    <w:r w:rsidRPr="00350B42">
      <w:rPr>
        <w:lang w:val="it-IT"/>
      </w:rPr>
      <w:tab/>
    </w:r>
    <w:r w:rsidRPr="009F1124">
      <w:fldChar w:fldCharType="begin"/>
    </w:r>
    <w:r w:rsidRPr="00350B42">
      <w:rPr>
        <w:lang w:val="it-IT"/>
      </w:rPr>
      <w:instrText xml:space="preserve"> PAGE  \* MERGEFORMAT </w:instrText>
    </w:r>
    <w:r w:rsidRPr="009F1124">
      <w:fldChar w:fldCharType="separate"/>
    </w:r>
    <w:r w:rsidR="000661FF" w:rsidRPr="000661FF">
      <w:rPr>
        <w:noProof/>
      </w:rPr>
      <w:t>11</w:t>
    </w:r>
    <w:r w:rsidRPr="009F1124">
      <w:fldChar w:fldCharType="end"/>
    </w:r>
    <w:r w:rsidRPr="00350B42">
      <w:rPr>
        <w:lang w:val="it-IT"/>
      </w:rPr>
      <w:t>/</w:t>
    </w:r>
    <w:r>
      <w:fldChar w:fldCharType="begin"/>
    </w:r>
    <w:r w:rsidRPr="00350B42">
      <w:rPr>
        <w:lang w:val="it-IT"/>
      </w:rPr>
      <w:instrText xml:space="preserve"> NUMPAGES  \* MERGEFORMAT </w:instrText>
    </w:r>
    <w:r>
      <w:fldChar w:fldCharType="separate"/>
    </w:r>
    <w:r w:rsidR="000661FF" w:rsidRPr="000661FF">
      <w:rPr>
        <w:noProof/>
      </w:rPr>
      <w:t>12</w:t>
    </w:r>
    <w:r>
      <w:rPr>
        <w:noProof/>
      </w:rPr>
      <w:fldChar w:fldCharType="end"/>
    </w:r>
    <w:r w:rsidRPr="00350B42">
      <w:rPr>
        <w:lang w:val="it-IT"/>
      </w:rPr>
      <w:tab/>
      <w:t>PE</w:t>
    </w:r>
    <w:r w:rsidRPr="00350B42">
      <w:rPr>
        <w:rStyle w:val="HideTWBExt"/>
        <w:noProof w:val="0"/>
        <w:lang w:val="it-IT"/>
      </w:rPr>
      <w:t>&lt;NoPE&gt;</w:t>
    </w:r>
    <w:r w:rsidRPr="00350B42">
      <w:rPr>
        <w:lang w:val="it-IT"/>
      </w:rPr>
      <w:t>606.272</w:t>
    </w:r>
    <w:r w:rsidRPr="00350B42">
      <w:rPr>
        <w:rStyle w:val="HideTWBExt"/>
        <w:noProof w:val="0"/>
        <w:lang w:val="it-IT"/>
      </w:rPr>
      <w:t>&lt;/NoPE&gt;&lt;Version&gt;</w:t>
    </w:r>
    <w:r w:rsidRPr="00350B42">
      <w:rPr>
        <w:lang w:val="it-IT"/>
      </w:rPr>
      <w:t>v02-00</w:t>
    </w:r>
    <w:r w:rsidRPr="00350B42">
      <w:rPr>
        <w:rStyle w:val="HideTWBExt"/>
        <w:noProof w:val="0"/>
        <w:lang w:val="it-IT"/>
      </w:rPr>
      <w:t>&lt;/Version&gt;</w:t>
    </w:r>
  </w:p>
  <w:p w14:paraId="41E9F215" w14:textId="051A08F9" w:rsidR="00350B42" w:rsidRPr="009F1124" w:rsidRDefault="00350B42" w:rsidP="009F1124">
    <w:pPr>
      <w:pStyle w:val="Footer2"/>
    </w:pPr>
    <w:r w:rsidRPr="00350B42">
      <w:rPr>
        <w:lang w:val="it-IT"/>
      </w:rPr>
      <w:tab/>
    </w:r>
    <w: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1AB2" w14:textId="52D6E3D7" w:rsidR="00350B42" w:rsidRPr="00350B42" w:rsidRDefault="00350B42" w:rsidP="009F1124">
    <w:pPr>
      <w:pStyle w:val="Footer"/>
      <w:rPr>
        <w:lang w:val="it-IT"/>
      </w:rPr>
    </w:pPr>
    <w:r w:rsidRPr="00350B42">
      <w:rPr>
        <w:rStyle w:val="HideTWBExt"/>
        <w:noProof w:val="0"/>
        <w:lang w:val="it-IT"/>
      </w:rPr>
      <w:t>&lt;PathFdR&gt;</w:t>
    </w:r>
    <w:r w:rsidRPr="00350B42">
      <w:rPr>
        <w:lang w:val="it-IT"/>
      </w:rPr>
      <w:t>AD\1134664</w:t>
    </w:r>
    <w:r>
      <w:rPr>
        <w:lang w:val="it-IT"/>
      </w:rPr>
      <w:t>EN</w:t>
    </w:r>
    <w:r w:rsidRPr="00350B42">
      <w:rPr>
        <w:lang w:val="it-IT"/>
      </w:rPr>
      <w:t>.docx</w:t>
    </w:r>
    <w:r w:rsidRPr="00350B42">
      <w:rPr>
        <w:rStyle w:val="HideTWBExt"/>
        <w:noProof w:val="0"/>
        <w:lang w:val="it-IT"/>
      </w:rPr>
      <w:t>&lt;/PathFdR&gt;</w:t>
    </w:r>
    <w:r w:rsidRPr="00350B42">
      <w:rPr>
        <w:lang w:val="it-IT"/>
      </w:rPr>
      <w:tab/>
    </w:r>
    <w:r w:rsidRPr="00350B42">
      <w:rPr>
        <w:lang w:val="it-IT"/>
      </w:rPr>
      <w:tab/>
      <w:t>PE</w:t>
    </w:r>
    <w:r w:rsidRPr="00350B42">
      <w:rPr>
        <w:rStyle w:val="HideTWBExt"/>
        <w:noProof w:val="0"/>
        <w:lang w:val="it-IT"/>
      </w:rPr>
      <w:t>&lt;NoPE&gt;</w:t>
    </w:r>
    <w:r w:rsidRPr="00350B42">
      <w:rPr>
        <w:lang w:val="it-IT"/>
      </w:rPr>
      <w:t>606.272</w:t>
    </w:r>
    <w:r w:rsidRPr="00350B42">
      <w:rPr>
        <w:rStyle w:val="HideTWBExt"/>
        <w:noProof w:val="0"/>
        <w:lang w:val="it-IT"/>
      </w:rPr>
      <w:t>&lt;/NoPE&gt;&lt;Version&gt;</w:t>
    </w:r>
    <w:r w:rsidRPr="00350B42">
      <w:rPr>
        <w:lang w:val="it-IT"/>
      </w:rPr>
      <w:t>v02-00</w:t>
    </w:r>
    <w:r w:rsidRPr="00350B42">
      <w:rPr>
        <w:rStyle w:val="HideTWBExt"/>
        <w:noProof w:val="0"/>
        <w:lang w:val="it-IT"/>
      </w:rPr>
      <w:t>&lt;/Version&gt;</w:t>
    </w:r>
  </w:p>
  <w:p w14:paraId="40985B0A" w14:textId="227DB95F" w:rsidR="00350B42" w:rsidRPr="009F1124" w:rsidRDefault="00350B42" w:rsidP="009F1124">
    <w:pPr>
      <w:pStyle w:val="Footer2"/>
      <w:tabs>
        <w:tab w:val="center" w:pos="4535"/>
      </w:tabs>
    </w:pPr>
    <w:r>
      <w:t>EN</w:t>
    </w:r>
    <w:r w:rsidRPr="009F1124">
      <w:tab/>
    </w:r>
    <w:r w:rsidRPr="009F1124">
      <w:rPr>
        <w:b w:val="0"/>
        <w:i/>
        <w:color w:val="C0C0C0"/>
        <w:sz w:val="22"/>
      </w:rPr>
      <w:t>United in diversity</w:t>
    </w:r>
    <w:r w:rsidRPr="009F1124">
      <w:tab/>
    </w:r>
    <w: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69EA4" w14:textId="77777777" w:rsidR="00350B42" w:rsidRPr="009F1124" w:rsidRDefault="00350B42">
      <w:r w:rsidRPr="009F1124">
        <w:separator/>
      </w:r>
    </w:p>
  </w:footnote>
  <w:footnote w:type="continuationSeparator" w:id="0">
    <w:p w14:paraId="55548EE1" w14:textId="77777777" w:rsidR="00350B42" w:rsidRPr="009F1124" w:rsidRDefault="00350B42">
      <w:r w:rsidRPr="009F1124">
        <w:continuationSeparator/>
      </w:r>
    </w:p>
  </w:footnote>
  <w:footnote w:id="1">
    <w:p w14:paraId="5DB4C438" w14:textId="7CEC31E7" w:rsidR="00350B42" w:rsidRPr="00350B42" w:rsidRDefault="00350B42" w:rsidP="002526D1">
      <w:pPr>
        <w:pStyle w:val="FootnoteText"/>
      </w:pPr>
      <w:r w:rsidRPr="009F1124">
        <w:rPr>
          <w:rStyle w:val="FootnoteReference"/>
        </w:rPr>
        <w:footnoteRef/>
      </w:r>
      <w:r w:rsidRPr="00350B42">
        <w:t xml:space="preserve"> Employment and Social Developments in Europe, Annual Review 2017,</w:t>
      </w:r>
      <w:r>
        <w:t xml:space="preserve"> p. 11.</w:t>
      </w:r>
    </w:p>
  </w:footnote>
  <w:footnote w:id="2">
    <w:p w14:paraId="7AD871BB" w14:textId="0C435552" w:rsidR="00350B42" w:rsidRPr="00350B42" w:rsidRDefault="00350B42" w:rsidP="002526D1">
      <w:pPr>
        <w:pStyle w:val="FootnoteText"/>
      </w:pPr>
      <w:r w:rsidRPr="009F1124">
        <w:rPr>
          <w:rStyle w:val="FootnoteReference"/>
        </w:rPr>
        <w:footnoteRef/>
      </w:r>
      <w:r w:rsidRPr="00350B42">
        <w:t xml:space="preserve"> </w:t>
      </w:r>
      <w:r w:rsidRPr="00350B42">
        <w:rPr>
          <w:i/>
        </w:rPr>
        <w:t>Ibid</w:t>
      </w:r>
      <w:r>
        <w:t>, p. 46.</w:t>
      </w:r>
    </w:p>
  </w:footnote>
  <w:footnote w:id="3">
    <w:p w14:paraId="5C900785" w14:textId="0E2CDB92" w:rsidR="00350B42" w:rsidRPr="00350B42" w:rsidRDefault="00350B42" w:rsidP="002526D1">
      <w:pPr>
        <w:pStyle w:val="FootnoteText"/>
      </w:pPr>
      <w:r w:rsidRPr="009F1124">
        <w:rPr>
          <w:rStyle w:val="FootnoteReference"/>
        </w:rPr>
        <w:footnoteRef/>
      </w:r>
      <w:r w:rsidRPr="00350B42">
        <w:t xml:space="preserve"> </w:t>
      </w:r>
      <w:r w:rsidRPr="00350B42">
        <w:rPr>
          <w:rFonts w:eastAsia="Calibri"/>
          <w:szCs w:val="24"/>
        </w:rPr>
        <w:t>Eurofound report on youth unemployment</w:t>
      </w:r>
      <w:r w:rsidRPr="00350B42">
        <w:rPr>
          <w:rFonts w:eastAsia="Calibri"/>
          <w:i/>
          <w:szCs w:val="24"/>
        </w:rPr>
        <w:t>.</w:t>
      </w:r>
    </w:p>
  </w:footnote>
  <w:footnote w:id="4">
    <w:p w14:paraId="1C7D6B6F" w14:textId="5EC8E02E" w:rsidR="00350B42" w:rsidRPr="00350B42" w:rsidRDefault="00350B42" w:rsidP="00350B42">
      <w:pPr>
        <w:pStyle w:val="Normal12Hanging"/>
        <w:ind w:left="0" w:firstLine="0"/>
        <w:rPr>
          <w:b/>
          <w:i/>
          <w:sz w:val="20"/>
        </w:rPr>
      </w:pPr>
      <w:r w:rsidRPr="00350B42">
        <w:rPr>
          <w:rStyle w:val="FootnoteReference"/>
          <w:sz w:val="20"/>
        </w:rPr>
        <w:footnoteRef/>
      </w:r>
      <w:r w:rsidRPr="00350B42">
        <w:rPr>
          <w:b/>
          <w:i/>
          <w:sz w:val="20"/>
        </w:rPr>
        <w:t xml:space="preserve"> </w:t>
      </w:r>
      <w:r w:rsidRPr="00350B42">
        <w:rPr>
          <w:sz w:val="20"/>
        </w:rPr>
        <w:t xml:space="preserve">Commission press release of 22 May 2017 entitled </w:t>
      </w:r>
      <w:r w:rsidR="000661FF">
        <w:rPr>
          <w:sz w:val="20"/>
        </w:rPr>
        <w:t>‘</w:t>
      </w:r>
      <w:r w:rsidRPr="00350B42">
        <w:rPr>
          <w:sz w:val="20"/>
        </w:rPr>
        <w:t>European Semester 2017 Spring Package: Commission issues country-specific recommendations</w:t>
      </w:r>
      <w:r w:rsidR="000661FF">
        <w:rPr>
          <w:sz w:val="20"/>
        </w:rPr>
        <w:t>’</w:t>
      </w:r>
      <w:r w:rsidRPr="00350B42">
        <w:rPr>
          <w:sz w:val="20"/>
        </w:rPr>
        <w:t>.</w:t>
      </w:r>
    </w:p>
  </w:footnote>
  <w:footnote w:id="5">
    <w:p w14:paraId="34EA5EC7" w14:textId="2EC20D70" w:rsidR="00350B42" w:rsidRPr="00350B42" w:rsidRDefault="00350B42">
      <w:pPr>
        <w:pStyle w:val="FootnoteText"/>
      </w:pPr>
      <w:r>
        <w:rPr>
          <w:rStyle w:val="FootnoteReference"/>
        </w:rPr>
        <w:footnoteRef/>
      </w:r>
      <w:r w:rsidRPr="00350B42">
        <w:t xml:space="preserve"> </w:t>
      </w:r>
      <w:r>
        <w:t>Employment and Social Developments in Europe, Annual Review 2017, p. 47.</w:t>
      </w:r>
    </w:p>
  </w:footnote>
  <w:footnote w:id="6">
    <w:p w14:paraId="032A08F6" w14:textId="28F8D27A" w:rsidR="00350B42" w:rsidRPr="00350B42" w:rsidRDefault="00350B42">
      <w:pPr>
        <w:pStyle w:val="FootnoteText"/>
      </w:pPr>
      <w:r>
        <w:rPr>
          <w:rStyle w:val="FootnoteReference"/>
        </w:rPr>
        <w:footnoteRef/>
      </w:r>
      <w:r>
        <w:t xml:space="preserve"> OJ C, 20.2.2016,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CON"/>
    <w:docVar w:name="COMKEY" w:val="EMPL"/>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528850 HideTWBInt;}{\s16\ql \fi-567\li567\ri0\sa240\nowidctlpar\wrapdefault\aspalpha\aspnum\faauto\adjustright\rin0\lin567\itap0 \rtlch\fcs1 \af0\afs20\alang1025 \ltrch\fcs0 _x000d__x000a_\fs24\lang2057\langfe2057\cgrid\langnp2057\langfenp2057 \sbasedon0 \snext16 \spriority0 \styrsid5528850 Normal12Hanging;}}{\*\rsidtbl \rsid24658\rsid735077\rsid2241448\rsid2892074\rsid4666813\rsid5528850\rsid6641733\rsid9636012\rsid11215221\rsid12154954_x000d__x000a_\rsid14424199\rsid15204470\rsid15285974\rsid15950462\rsid16324206\rsid16662270}{\mmathPr\mmathFont34\mbrkBin0\mbrkBinSub0\msmallFrac0\mdispDef1\mlMargin0\mrMargin0\mdefJc1\mwrapIndent1440\mintLim0\mnaryLim1}{\info{\author HEYVAERT Valerie}_x000d__x000a_{\operator HEYVAERT Valerie}{\creatim\yr2017\mo9\dy20\hr9\min14}{\revtim\yr2017\mo9\dy20\hr9\min14}{\version1}{\edmins0}{\nofpages1}{\nofwords1}{\nofchars12}{\*\company European Parliament}{\nofcharsws12}{\vern57443}}{\*\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5528850\utinl \donotshowprops1\fet0{\*\wgrffmtfilter 013f}\ilfomacatclnup0{\*\template C:\\Users\\VHEYVA~1\\AppData\\Local\\Temp\\Blank1.dot}{\*\ftnsep _x000d__x000a_\ltrpar \pard\plain \ltrpar\ql \li0\ri0\widctlpar\wrapdefault\aspalpha\aspnum\faauto\adjustright\rin0\lin0\itap0 \rtlch\fcs1 \af0\afs20\alang1025 \ltrch\fcs0 \fs24\lang2057\langfe2057\cgrid\langnp2057\langfenp2057 {\rtlch\fcs1 \af0 \ltrch\fcs0 _x000d__x000a_\insrsid2241448 \chftnsep _x000d__x000a_\par }}{\*\ftnsepc \ltrpar \pard\plain \ltrpar\ql \li0\ri0\widctlpar\wrapdefault\aspalpha\aspnum\faauto\adjustright\rin0\lin0\itap0 \rtlch\fcs1 \af0\afs20\alang1025 \ltrch\fcs0 \fs24\lang2057\langfe2057\cgrid\langnp2057\langfenp2057 {\rtlch\fcs1 \af0 _x000d__x000a_\ltrch\fcs0 \insrsid2241448 \chftnsepc _x000d__x000a_\par }}{\*\aftnsep \ltrpar \pard\plain \ltrpar\ql \li0\ri0\widctlpar\wrapdefault\aspalpha\aspnum\faauto\adjustright\rin0\lin0\itap0 \rtlch\fcs1 \af0\afs20\alang1025 \ltrch\fcs0 \fs24\lang2057\langfe2057\cgrid\langnp2057\langfenp2057 {\rtlch\fcs1 \af0 _x000d__x000a_\ltrch\fcs0 \insrsid2241448 \chftnsep _x000d__x000a_\par }}{\*\aftnsepc \ltrpar \pard\plain \ltrpar\ql \li0\ri0\widctlpar\wrapdefault\aspalpha\aspnum\faauto\adjustright\rin0\lin0\itap0 \rtlch\fcs1 \af0\afs20\alang1025 \ltrch\fcs0 \fs24\lang2057\langfe2057\cgrid\langnp2057\langfenp2057 {\rtlch\fcs1 \af0 _x000d__x000a_\ltrch\fcs0 \insrsid22414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4636292 \rtlch\fcs1 \af0\afs20\alang1025 \ltrch\fcs0 \fs24\lang2057\langfe2057\cgrid\langnp2057\langfenp2057 {\rtlch\fcs1 \af0 _x000d__x000a_\ltrch\fcs0 \insrsid5528850\charrsid8400347 {\*\bkmkstart restart}#}{\rtlch\fcs1 \af0 \ltrch\fcs0 \cs15\v\cf15\insrsid5528850\charrsid8400347 NRMSG}{\rtlch\fcs1 \af0 \ltrch\fcs0 \insrsid5528850\charrsid8400347 #.\tab ##}{\rtlch\fcs1 \af0 \ltrch\fcs0 _x000d__x000a_\insrsid552885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4_x000d__x000a_9b0fe03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0710909 Normal12Hanging;}}{\*\rsidtbl \rsid24658\rsid735077\rsid2892074\rsid4666813\rsid6641733\rsid8945187\rsid9636012\rsid10710909\rsid11215221\rsid12154954\rsid14424199\rsid15204470\rsid15285974\rsid15950462_x000d__x000a_\rsid16324206\rsid16662270}{\mmathPr\mmathFont34\mbrkBin0\mbrkBinSub0\msmallFrac0\mdispDef1\mlMargin0\mrMargin0\mdefJc1\mwrapIndent1440\mintLim0\mnaryLim1}{\info{\author HEYVAERT Valerie}{\operator HEYVAERT Valerie}{\creatim\yr2017\mo9\dy20\hr9\min14}_x000d__x000a_{\revtim\yr2017\mo9\dy20\hr9\min14}{\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10710909\utinl \donotshowprops1\fet0{\*\wgrffmtfilter 013f}\ilfomacatclnup0{\*\template C:\\Users\\VHEYVA~1\\AppData\\Local\\Temp\\Blank1.dot}{\*\ftnsep _x000d__x000a_\ltrpar \pard\plain \ltrpar\ql \li0\ri0\widctlpar\wrapdefault\aspalpha\aspnum\faauto\adjustright\rin0\lin0\itap0 \rtlch\fcs1 \af0\afs20\alang1025 \ltrch\fcs0 \fs24\lang2057\langfe2057\cgrid\langnp2057\langfenp2057 {\rtlch\fcs1 \af0 \ltrch\fcs0 _x000d__x000a_\insrsid8945187 \chftnsep _x000d__x000a_\par }}{\*\ftnsepc \ltrpar \pard\plain \ltrpar\ql \li0\ri0\widctlpar\wrapdefault\aspalpha\aspnum\faauto\adjustright\rin0\lin0\itap0 \rtlch\fcs1 \af0\afs20\alang1025 \ltrch\fcs0 \fs24\lang2057\langfe2057\cgrid\langnp2057\langfenp2057 {\rtlch\fcs1 \af0 _x000d__x000a_\ltrch\fcs0 \insrsid8945187 \chftnsepc _x000d__x000a_\par }}{\*\aftnsep \ltrpar \pard\plain \ltrpar\ql \li0\ri0\widctlpar\wrapdefault\aspalpha\aspnum\faauto\adjustright\rin0\lin0\itap0 \rtlch\fcs1 \af0\afs20\alang1025 \ltrch\fcs0 \fs24\lang2057\langfe2057\cgrid\langnp2057\langfenp2057 {\rtlch\fcs1 \af0 _x000d__x000a_\ltrch\fcs0 \insrsid8945187 \chftnsep _x000d__x000a_\par }}{\*\aftnsepc \ltrpar \pard\plain \ltrpar\ql \li0\ri0\widctlpar\wrapdefault\aspalpha\aspnum\faauto\adjustright\rin0\lin0\itap0 \rtlch\fcs1 \af0\afs20\alang1025 \ltrch\fcs0 \fs24\lang2057\langfe2057\cgrid\langnp2057\langfenp2057 {\rtlch\fcs1 \af0 _x000d__x000a_\ltrch\fcs0 \insrsid89451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405599 \rtlch\fcs1 \af0\afs20\alang1025 \ltrch\fcs0 \fs24\lang2057\langfe2057\cgrid\langnp2057\langfenp2057 {\rtlch\fcs1 \af0 _x000d__x000a_\ltrch\fcs0 \insrsid10710909\charrsid1525456 {\*\bkmkstart restart}[ZSUGGESTIONNR]\tab [ZSUGGESTIONTEXT]}{\rtlch\fcs1 \af0 \ltrch\fcs0 \insrsid1071090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3c_x000d__x000a_8710e03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4"/>
    <w:docVar w:name="TXTLANGUE" w:val="EN"/>
    <w:docVar w:name="TXTLANGUEMIN" w:val="en"/>
    <w:docVar w:name="TXTNRPE" w:val="606.272"/>
    <w:docVar w:name="TXTNRPROC" w:val="XXX"/>
    <w:docVar w:name="TXTPEorAP" w:val="PE"/>
    <w:docVar w:name="TXTROUTE" w:val="AD\1134664XT.docx"/>
    <w:docVar w:name="TXTTITLE" w:val="Economic policies of the euro area"/>
    <w:docVar w:name="TXTVERSION" w:val="02-00"/>
  </w:docVars>
  <w:rsids>
    <w:rsidRoot w:val="00802DDB"/>
    <w:rsid w:val="0005366D"/>
    <w:rsid w:val="000661FF"/>
    <w:rsid w:val="000A3157"/>
    <w:rsid w:val="0016402F"/>
    <w:rsid w:val="0016635E"/>
    <w:rsid w:val="0017194F"/>
    <w:rsid w:val="001746D0"/>
    <w:rsid w:val="00194C91"/>
    <w:rsid w:val="001D2ED9"/>
    <w:rsid w:val="00203D7A"/>
    <w:rsid w:val="00231882"/>
    <w:rsid w:val="00241CDE"/>
    <w:rsid w:val="002526D1"/>
    <w:rsid w:val="00272BAC"/>
    <w:rsid w:val="002B4CBE"/>
    <w:rsid w:val="002D58EF"/>
    <w:rsid w:val="002D5EED"/>
    <w:rsid w:val="002E2F2E"/>
    <w:rsid w:val="003141B8"/>
    <w:rsid w:val="00325BCB"/>
    <w:rsid w:val="003276F0"/>
    <w:rsid w:val="00350B42"/>
    <w:rsid w:val="00352A2D"/>
    <w:rsid w:val="003738D9"/>
    <w:rsid w:val="003862BA"/>
    <w:rsid w:val="003C1FA3"/>
    <w:rsid w:val="003C3795"/>
    <w:rsid w:val="003E2402"/>
    <w:rsid w:val="00416AE7"/>
    <w:rsid w:val="00416E51"/>
    <w:rsid w:val="0043287B"/>
    <w:rsid w:val="00456EAB"/>
    <w:rsid w:val="00493440"/>
    <w:rsid w:val="004B12B0"/>
    <w:rsid w:val="004C28FB"/>
    <w:rsid w:val="004C58ED"/>
    <w:rsid w:val="0050626D"/>
    <w:rsid w:val="00527295"/>
    <w:rsid w:val="00584171"/>
    <w:rsid w:val="005A720C"/>
    <w:rsid w:val="005B2F11"/>
    <w:rsid w:val="005D60C6"/>
    <w:rsid w:val="00632575"/>
    <w:rsid w:val="00634EFD"/>
    <w:rsid w:val="00657AFB"/>
    <w:rsid w:val="0066019C"/>
    <w:rsid w:val="006725DE"/>
    <w:rsid w:val="00733854"/>
    <w:rsid w:val="00792962"/>
    <w:rsid w:val="007B4589"/>
    <w:rsid w:val="007C5C40"/>
    <w:rsid w:val="007F5460"/>
    <w:rsid w:val="00802DDB"/>
    <w:rsid w:val="008313E7"/>
    <w:rsid w:val="00841847"/>
    <w:rsid w:val="0084723B"/>
    <w:rsid w:val="00861800"/>
    <w:rsid w:val="008839C7"/>
    <w:rsid w:val="00891934"/>
    <w:rsid w:val="008A32C5"/>
    <w:rsid w:val="008D4035"/>
    <w:rsid w:val="008D42C0"/>
    <w:rsid w:val="008E5E14"/>
    <w:rsid w:val="008F7002"/>
    <w:rsid w:val="0090154A"/>
    <w:rsid w:val="00951B6A"/>
    <w:rsid w:val="00991E45"/>
    <w:rsid w:val="009C4DAA"/>
    <w:rsid w:val="009D3E38"/>
    <w:rsid w:val="009E093A"/>
    <w:rsid w:val="009F1124"/>
    <w:rsid w:val="00A16BEA"/>
    <w:rsid w:val="00A72C35"/>
    <w:rsid w:val="00AB6C1D"/>
    <w:rsid w:val="00AE4302"/>
    <w:rsid w:val="00B021A8"/>
    <w:rsid w:val="00B11BEA"/>
    <w:rsid w:val="00B179FE"/>
    <w:rsid w:val="00B362F7"/>
    <w:rsid w:val="00B65923"/>
    <w:rsid w:val="00B83EC5"/>
    <w:rsid w:val="00BD1EAA"/>
    <w:rsid w:val="00BF3482"/>
    <w:rsid w:val="00C46771"/>
    <w:rsid w:val="00C546A0"/>
    <w:rsid w:val="00CC3299"/>
    <w:rsid w:val="00CE6E50"/>
    <w:rsid w:val="00D823BE"/>
    <w:rsid w:val="00D94D81"/>
    <w:rsid w:val="00DA030E"/>
    <w:rsid w:val="00DC288D"/>
    <w:rsid w:val="00E1142B"/>
    <w:rsid w:val="00E23BF4"/>
    <w:rsid w:val="00E41815"/>
    <w:rsid w:val="00E41AAD"/>
    <w:rsid w:val="00E718DD"/>
    <w:rsid w:val="00E856D2"/>
    <w:rsid w:val="00E90F61"/>
    <w:rsid w:val="00E94AB6"/>
    <w:rsid w:val="00EB48F3"/>
    <w:rsid w:val="00EC05DF"/>
    <w:rsid w:val="00F67D78"/>
    <w:rsid w:val="00F7431A"/>
    <w:rsid w:val="00FE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39AE3"/>
  <w15:chartTrackingRefBased/>
  <w15:docId w15:val="{3A9A8537-4353-4738-B1A8-C27FAA7F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FF"/>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character" w:styleId="FootnoteReference">
    <w:name w:val="footnote reference"/>
    <w:unhideWhenUsed/>
    <w:rsid w:val="00861800"/>
    <w:rPr>
      <w:vertAlign w:val="superscript"/>
    </w:r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paragraph" w:styleId="BalloonText">
    <w:name w:val="Balloon Text"/>
    <w:basedOn w:val="Normal"/>
    <w:link w:val="BalloonTextChar"/>
    <w:rsid w:val="00B65923"/>
    <w:rPr>
      <w:rFonts w:ascii="Segoe UI" w:hAnsi="Segoe UI" w:cs="Segoe UI"/>
      <w:sz w:val="18"/>
      <w:szCs w:val="18"/>
    </w:rPr>
  </w:style>
  <w:style w:type="character" w:customStyle="1" w:styleId="BalloonTextChar">
    <w:name w:val="Balloon Text Char"/>
    <w:basedOn w:val="DefaultParagraphFont"/>
    <w:link w:val="BalloonText"/>
    <w:rsid w:val="00B65923"/>
    <w:rPr>
      <w:rFonts w:ascii="Segoe UI" w:hAnsi="Segoe UI" w:cs="Segoe UI"/>
      <w:sz w:val="18"/>
      <w:szCs w:val="18"/>
    </w:rPr>
  </w:style>
  <w:style w:type="character" w:styleId="CommentReference">
    <w:name w:val="annotation reference"/>
    <w:basedOn w:val="DefaultParagraphFont"/>
    <w:rsid w:val="00CE6E50"/>
    <w:rPr>
      <w:sz w:val="16"/>
      <w:szCs w:val="16"/>
    </w:rPr>
  </w:style>
  <w:style w:type="paragraph" w:styleId="CommentText">
    <w:name w:val="annotation text"/>
    <w:basedOn w:val="Normal"/>
    <w:link w:val="CommentTextChar"/>
    <w:rsid w:val="00CE6E50"/>
    <w:rPr>
      <w:sz w:val="20"/>
    </w:rPr>
  </w:style>
  <w:style w:type="character" w:customStyle="1" w:styleId="CommentTextChar">
    <w:name w:val="Comment Text Char"/>
    <w:basedOn w:val="DefaultParagraphFont"/>
    <w:link w:val="CommentText"/>
    <w:rsid w:val="00CE6E50"/>
  </w:style>
  <w:style w:type="paragraph" w:styleId="CommentSubject">
    <w:name w:val="annotation subject"/>
    <w:basedOn w:val="CommentText"/>
    <w:next w:val="CommentText"/>
    <w:link w:val="CommentSubjectChar"/>
    <w:rsid w:val="00CE6E50"/>
    <w:rPr>
      <w:b/>
      <w:bCs/>
    </w:rPr>
  </w:style>
  <w:style w:type="character" w:customStyle="1" w:styleId="CommentSubjectChar">
    <w:name w:val="Comment Subject Char"/>
    <w:basedOn w:val="CommentTextChar"/>
    <w:link w:val="CommentSubject"/>
    <w:rsid w:val="00CE6E50"/>
    <w:rPr>
      <w:b/>
      <w:bCs/>
    </w:rPr>
  </w:style>
  <w:style w:type="character" w:customStyle="1" w:styleId="SupBoldItalic">
    <w:name w:val="SupBoldItalic"/>
    <w:rsid w:val="00B021A8"/>
    <w:rPr>
      <w:b/>
      <w:bCs w:val="0"/>
      <w:i/>
      <w:iCs w:val="0"/>
      <w:color w:val="000000"/>
      <w:vertAlign w:val="superscript"/>
    </w:rPr>
  </w:style>
  <w:style w:type="paragraph" w:styleId="FootnoteText">
    <w:name w:val="footnote text"/>
    <w:basedOn w:val="Normal"/>
    <w:link w:val="FootnoteTextChar"/>
    <w:rsid w:val="00B021A8"/>
    <w:rPr>
      <w:sz w:val="20"/>
    </w:rPr>
  </w:style>
  <w:style w:type="character" w:customStyle="1" w:styleId="FootnoteTextChar">
    <w:name w:val="Footnote Text Char"/>
    <w:basedOn w:val="DefaultParagraphFont"/>
    <w:link w:val="FootnoteText"/>
    <w:rsid w:val="00B021A8"/>
  </w:style>
  <w:style w:type="character" w:customStyle="1" w:styleId="Normal12HangingChar">
    <w:name w:val="Normal12Hanging Char"/>
    <w:basedOn w:val="DefaultParagraphFont"/>
    <w:link w:val="Normal12Hanging"/>
    <w:locked/>
    <w:rsid w:val="00632575"/>
    <w:rPr>
      <w:sz w:val="24"/>
    </w:rPr>
  </w:style>
  <w:style w:type="paragraph" w:customStyle="1" w:styleId="NormalTabs">
    <w:name w:val="NormalTabs"/>
    <w:basedOn w:val="Normal"/>
    <w:qFormat/>
    <w:rsid w:val="003862BA"/>
    <w:pPr>
      <w:tabs>
        <w:tab w:val="center" w:pos="284"/>
        <w:tab w:val="left" w:pos="426"/>
      </w:tabs>
      <w:snapToGrid w:val="0"/>
    </w:pPr>
    <w:rPr>
      <w:lang w:val="en-US" w:eastAsia="en-US"/>
    </w:rPr>
  </w:style>
  <w:style w:type="paragraph" w:styleId="EndnoteText">
    <w:name w:val="endnote text"/>
    <w:basedOn w:val="Normal"/>
    <w:link w:val="EndnoteTextChar"/>
    <w:rsid w:val="00350B42"/>
    <w:rPr>
      <w:sz w:val="20"/>
    </w:rPr>
  </w:style>
  <w:style w:type="character" w:customStyle="1" w:styleId="EndnoteTextChar">
    <w:name w:val="Endnote Text Char"/>
    <w:basedOn w:val="DefaultParagraphFont"/>
    <w:link w:val="EndnoteText"/>
    <w:rsid w:val="00350B42"/>
    <w:rPr>
      <w:lang w:val="fr-FR"/>
    </w:rPr>
  </w:style>
  <w:style w:type="character" w:styleId="EndnoteReference">
    <w:name w:val="endnote reference"/>
    <w:basedOn w:val="DefaultParagraphFont"/>
    <w:rsid w:val="00350B42"/>
    <w:rPr>
      <w:vertAlign w:val="superscript"/>
    </w:rPr>
  </w:style>
  <w:style w:type="paragraph" w:customStyle="1" w:styleId="Hanging12">
    <w:name w:val="Hanging12"/>
    <w:basedOn w:val="Normal12Hanging"/>
    <w:qFormat/>
    <w:rsid w:val="000661FF"/>
    <w:pPr>
      <w:tabs>
        <w:tab w:val="left" w:pos="425"/>
      </w:tabs>
      <w:ind w:left="425"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9633">
      <w:bodyDiv w:val="1"/>
      <w:marLeft w:val="0"/>
      <w:marRight w:val="0"/>
      <w:marTop w:val="0"/>
      <w:marBottom w:val="0"/>
      <w:divBdr>
        <w:top w:val="none" w:sz="0" w:space="0" w:color="auto"/>
        <w:left w:val="none" w:sz="0" w:space="0" w:color="auto"/>
        <w:bottom w:val="none" w:sz="0" w:space="0" w:color="auto"/>
        <w:right w:val="none" w:sz="0" w:space="0" w:color="auto"/>
      </w:divBdr>
    </w:div>
    <w:div w:id="88234418">
      <w:bodyDiv w:val="1"/>
      <w:marLeft w:val="0"/>
      <w:marRight w:val="0"/>
      <w:marTop w:val="0"/>
      <w:marBottom w:val="0"/>
      <w:divBdr>
        <w:top w:val="none" w:sz="0" w:space="0" w:color="auto"/>
        <w:left w:val="none" w:sz="0" w:space="0" w:color="auto"/>
        <w:bottom w:val="none" w:sz="0" w:space="0" w:color="auto"/>
        <w:right w:val="none" w:sz="0" w:space="0" w:color="auto"/>
      </w:divBdr>
    </w:div>
    <w:div w:id="94986654">
      <w:bodyDiv w:val="1"/>
      <w:marLeft w:val="0"/>
      <w:marRight w:val="0"/>
      <w:marTop w:val="0"/>
      <w:marBottom w:val="0"/>
      <w:divBdr>
        <w:top w:val="none" w:sz="0" w:space="0" w:color="auto"/>
        <w:left w:val="none" w:sz="0" w:space="0" w:color="auto"/>
        <w:bottom w:val="none" w:sz="0" w:space="0" w:color="auto"/>
        <w:right w:val="none" w:sz="0" w:space="0" w:color="auto"/>
      </w:divBdr>
    </w:div>
    <w:div w:id="216746034">
      <w:bodyDiv w:val="1"/>
      <w:marLeft w:val="0"/>
      <w:marRight w:val="0"/>
      <w:marTop w:val="0"/>
      <w:marBottom w:val="0"/>
      <w:divBdr>
        <w:top w:val="none" w:sz="0" w:space="0" w:color="auto"/>
        <w:left w:val="none" w:sz="0" w:space="0" w:color="auto"/>
        <w:bottom w:val="none" w:sz="0" w:space="0" w:color="auto"/>
        <w:right w:val="none" w:sz="0" w:space="0" w:color="auto"/>
      </w:divBdr>
    </w:div>
    <w:div w:id="227114486">
      <w:bodyDiv w:val="1"/>
      <w:marLeft w:val="0"/>
      <w:marRight w:val="0"/>
      <w:marTop w:val="0"/>
      <w:marBottom w:val="0"/>
      <w:divBdr>
        <w:top w:val="none" w:sz="0" w:space="0" w:color="auto"/>
        <w:left w:val="none" w:sz="0" w:space="0" w:color="auto"/>
        <w:bottom w:val="none" w:sz="0" w:space="0" w:color="auto"/>
        <w:right w:val="none" w:sz="0" w:space="0" w:color="auto"/>
      </w:divBdr>
    </w:div>
    <w:div w:id="265581581">
      <w:bodyDiv w:val="1"/>
      <w:marLeft w:val="0"/>
      <w:marRight w:val="0"/>
      <w:marTop w:val="0"/>
      <w:marBottom w:val="0"/>
      <w:divBdr>
        <w:top w:val="none" w:sz="0" w:space="0" w:color="auto"/>
        <w:left w:val="none" w:sz="0" w:space="0" w:color="auto"/>
        <w:bottom w:val="none" w:sz="0" w:space="0" w:color="auto"/>
        <w:right w:val="none" w:sz="0" w:space="0" w:color="auto"/>
      </w:divBdr>
    </w:div>
    <w:div w:id="333848213">
      <w:bodyDiv w:val="1"/>
      <w:marLeft w:val="0"/>
      <w:marRight w:val="0"/>
      <w:marTop w:val="0"/>
      <w:marBottom w:val="0"/>
      <w:divBdr>
        <w:top w:val="none" w:sz="0" w:space="0" w:color="auto"/>
        <w:left w:val="none" w:sz="0" w:space="0" w:color="auto"/>
        <w:bottom w:val="none" w:sz="0" w:space="0" w:color="auto"/>
        <w:right w:val="none" w:sz="0" w:space="0" w:color="auto"/>
      </w:divBdr>
    </w:div>
    <w:div w:id="366957329">
      <w:bodyDiv w:val="1"/>
      <w:marLeft w:val="0"/>
      <w:marRight w:val="0"/>
      <w:marTop w:val="0"/>
      <w:marBottom w:val="0"/>
      <w:divBdr>
        <w:top w:val="none" w:sz="0" w:space="0" w:color="auto"/>
        <w:left w:val="none" w:sz="0" w:space="0" w:color="auto"/>
        <w:bottom w:val="none" w:sz="0" w:space="0" w:color="auto"/>
        <w:right w:val="none" w:sz="0" w:space="0" w:color="auto"/>
      </w:divBdr>
    </w:div>
    <w:div w:id="434138124">
      <w:bodyDiv w:val="1"/>
      <w:marLeft w:val="0"/>
      <w:marRight w:val="0"/>
      <w:marTop w:val="0"/>
      <w:marBottom w:val="0"/>
      <w:divBdr>
        <w:top w:val="none" w:sz="0" w:space="0" w:color="auto"/>
        <w:left w:val="none" w:sz="0" w:space="0" w:color="auto"/>
        <w:bottom w:val="none" w:sz="0" w:space="0" w:color="auto"/>
        <w:right w:val="none" w:sz="0" w:space="0" w:color="auto"/>
      </w:divBdr>
    </w:div>
    <w:div w:id="458495719">
      <w:bodyDiv w:val="1"/>
      <w:marLeft w:val="0"/>
      <w:marRight w:val="0"/>
      <w:marTop w:val="0"/>
      <w:marBottom w:val="0"/>
      <w:divBdr>
        <w:top w:val="none" w:sz="0" w:space="0" w:color="auto"/>
        <w:left w:val="none" w:sz="0" w:space="0" w:color="auto"/>
        <w:bottom w:val="none" w:sz="0" w:space="0" w:color="auto"/>
        <w:right w:val="none" w:sz="0" w:space="0" w:color="auto"/>
      </w:divBdr>
    </w:div>
    <w:div w:id="462504666">
      <w:bodyDiv w:val="1"/>
      <w:marLeft w:val="0"/>
      <w:marRight w:val="0"/>
      <w:marTop w:val="0"/>
      <w:marBottom w:val="0"/>
      <w:divBdr>
        <w:top w:val="none" w:sz="0" w:space="0" w:color="auto"/>
        <w:left w:val="none" w:sz="0" w:space="0" w:color="auto"/>
        <w:bottom w:val="none" w:sz="0" w:space="0" w:color="auto"/>
        <w:right w:val="none" w:sz="0" w:space="0" w:color="auto"/>
      </w:divBdr>
    </w:div>
    <w:div w:id="547911612">
      <w:bodyDiv w:val="1"/>
      <w:marLeft w:val="0"/>
      <w:marRight w:val="0"/>
      <w:marTop w:val="0"/>
      <w:marBottom w:val="0"/>
      <w:divBdr>
        <w:top w:val="none" w:sz="0" w:space="0" w:color="auto"/>
        <w:left w:val="none" w:sz="0" w:space="0" w:color="auto"/>
        <w:bottom w:val="none" w:sz="0" w:space="0" w:color="auto"/>
        <w:right w:val="none" w:sz="0" w:space="0" w:color="auto"/>
      </w:divBdr>
    </w:div>
    <w:div w:id="595480498">
      <w:bodyDiv w:val="1"/>
      <w:marLeft w:val="0"/>
      <w:marRight w:val="0"/>
      <w:marTop w:val="0"/>
      <w:marBottom w:val="0"/>
      <w:divBdr>
        <w:top w:val="none" w:sz="0" w:space="0" w:color="auto"/>
        <w:left w:val="none" w:sz="0" w:space="0" w:color="auto"/>
        <w:bottom w:val="none" w:sz="0" w:space="0" w:color="auto"/>
        <w:right w:val="none" w:sz="0" w:space="0" w:color="auto"/>
      </w:divBdr>
    </w:div>
    <w:div w:id="603657408">
      <w:bodyDiv w:val="1"/>
      <w:marLeft w:val="0"/>
      <w:marRight w:val="0"/>
      <w:marTop w:val="0"/>
      <w:marBottom w:val="0"/>
      <w:divBdr>
        <w:top w:val="none" w:sz="0" w:space="0" w:color="auto"/>
        <w:left w:val="none" w:sz="0" w:space="0" w:color="auto"/>
        <w:bottom w:val="none" w:sz="0" w:space="0" w:color="auto"/>
        <w:right w:val="none" w:sz="0" w:space="0" w:color="auto"/>
      </w:divBdr>
    </w:div>
    <w:div w:id="708725442">
      <w:bodyDiv w:val="1"/>
      <w:marLeft w:val="0"/>
      <w:marRight w:val="0"/>
      <w:marTop w:val="0"/>
      <w:marBottom w:val="0"/>
      <w:divBdr>
        <w:top w:val="none" w:sz="0" w:space="0" w:color="auto"/>
        <w:left w:val="none" w:sz="0" w:space="0" w:color="auto"/>
        <w:bottom w:val="none" w:sz="0" w:space="0" w:color="auto"/>
        <w:right w:val="none" w:sz="0" w:space="0" w:color="auto"/>
      </w:divBdr>
    </w:div>
    <w:div w:id="709719458">
      <w:bodyDiv w:val="1"/>
      <w:marLeft w:val="0"/>
      <w:marRight w:val="0"/>
      <w:marTop w:val="0"/>
      <w:marBottom w:val="0"/>
      <w:divBdr>
        <w:top w:val="none" w:sz="0" w:space="0" w:color="auto"/>
        <w:left w:val="none" w:sz="0" w:space="0" w:color="auto"/>
        <w:bottom w:val="none" w:sz="0" w:space="0" w:color="auto"/>
        <w:right w:val="none" w:sz="0" w:space="0" w:color="auto"/>
      </w:divBdr>
    </w:div>
    <w:div w:id="726148395">
      <w:bodyDiv w:val="1"/>
      <w:marLeft w:val="0"/>
      <w:marRight w:val="0"/>
      <w:marTop w:val="0"/>
      <w:marBottom w:val="0"/>
      <w:divBdr>
        <w:top w:val="none" w:sz="0" w:space="0" w:color="auto"/>
        <w:left w:val="none" w:sz="0" w:space="0" w:color="auto"/>
        <w:bottom w:val="none" w:sz="0" w:space="0" w:color="auto"/>
        <w:right w:val="none" w:sz="0" w:space="0" w:color="auto"/>
      </w:divBdr>
    </w:div>
    <w:div w:id="856430203">
      <w:bodyDiv w:val="1"/>
      <w:marLeft w:val="0"/>
      <w:marRight w:val="0"/>
      <w:marTop w:val="0"/>
      <w:marBottom w:val="0"/>
      <w:divBdr>
        <w:top w:val="none" w:sz="0" w:space="0" w:color="auto"/>
        <w:left w:val="none" w:sz="0" w:space="0" w:color="auto"/>
        <w:bottom w:val="none" w:sz="0" w:space="0" w:color="auto"/>
        <w:right w:val="none" w:sz="0" w:space="0" w:color="auto"/>
      </w:divBdr>
    </w:div>
    <w:div w:id="861165331">
      <w:bodyDiv w:val="1"/>
      <w:marLeft w:val="0"/>
      <w:marRight w:val="0"/>
      <w:marTop w:val="0"/>
      <w:marBottom w:val="0"/>
      <w:divBdr>
        <w:top w:val="none" w:sz="0" w:space="0" w:color="auto"/>
        <w:left w:val="none" w:sz="0" w:space="0" w:color="auto"/>
        <w:bottom w:val="none" w:sz="0" w:space="0" w:color="auto"/>
        <w:right w:val="none" w:sz="0" w:space="0" w:color="auto"/>
      </w:divBdr>
    </w:div>
    <w:div w:id="894581996">
      <w:bodyDiv w:val="1"/>
      <w:marLeft w:val="0"/>
      <w:marRight w:val="0"/>
      <w:marTop w:val="0"/>
      <w:marBottom w:val="0"/>
      <w:divBdr>
        <w:top w:val="none" w:sz="0" w:space="0" w:color="auto"/>
        <w:left w:val="none" w:sz="0" w:space="0" w:color="auto"/>
        <w:bottom w:val="none" w:sz="0" w:space="0" w:color="auto"/>
        <w:right w:val="none" w:sz="0" w:space="0" w:color="auto"/>
      </w:divBdr>
    </w:div>
    <w:div w:id="911768115">
      <w:bodyDiv w:val="1"/>
      <w:marLeft w:val="0"/>
      <w:marRight w:val="0"/>
      <w:marTop w:val="0"/>
      <w:marBottom w:val="0"/>
      <w:divBdr>
        <w:top w:val="none" w:sz="0" w:space="0" w:color="auto"/>
        <w:left w:val="none" w:sz="0" w:space="0" w:color="auto"/>
        <w:bottom w:val="none" w:sz="0" w:space="0" w:color="auto"/>
        <w:right w:val="none" w:sz="0" w:space="0" w:color="auto"/>
      </w:divBdr>
    </w:div>
    <w:div w:id="932208494">
      <w:bodyDiv w:val="1"/>
      <w:marLeft w:val="0"/>
      <w:marRight w:val="0"/>
      <w:marTop w:val="0"/>
      <w:marBottom w:val="0"/>
      <w:divBdr>
        <w:top w:val="none" w:sz="0" w:space="0" w:color="auto"/>
        <w:left w:val="none" w:sz="0" w:space="0" w:color="auto"/>
        <w:bottom w:val="none" w:sz="0" w:space="0" w:color="auto"/>
        <w:right w:val="none" w:sz="0" w:space="0" w:color="auto"/>
      </w:divBdr>
    </w:div>
    <w:div w:id="977879420">
      <w:bodyDiv w:val="1"/>
      <w:marLeft w:val="0"/>
      <w:marRight w:val="0"/>
      <w:marTop w:val="0"/>
      <w:marBottom w:val="0"/>
      <w:divBdr>
        <w:top w:val="none" w:sz="0" w:space="0" w:color="auto"/>
        <w:left w:val="none" w:sz="0" w:space="0" w:color="auto"/>
        <w:bottom w:val="none" w:sz="0" w:space="0" w:color="auto"/>
        <w:right w:val="none" w:sz="0" w:space="0" w:color="auto"/>
      </w:divBdr>
    </w:div>
    <w:div w:id="1013725885">
      <w:bodyDiv w:val="1"/>
      <w:marLeft w:val="0"/>
      <w:marRight w:val="0"/>
      <w:marTop w:val="0"/>
      <w:marBottom w:val="0"/>
      <w:divBdr>
        <w:top w:val="none" w:sz="0" w:space="0" w:color="auto"/>
        <w:left w:val="none" w:sz="0" w:space="0" w:color="auto"/>
        <w:bottom w:val="none" w:sz="0" w:space="0" w:color="auto"/>
        <w:right w:val="none" w:sz="0" w:space="0" w:color="auto"/>
      </w:divBdr>
    </w:div>
    <w:div w:id="1047529394">
      <w:bodyDiv w:val="1"/>
      <w:marLeft w:val="0"/>
      <w:marRight w:val="0"/>
      <w:marTop w:val="0"/>
      <w:marBottom w:val="0"/>
      <w:divBdr>
        <w:top w:val="none" w:sz="0" w:space="0" w:color="auto"/>
        <w:left w:val="none" w:sz="0" w:space="0" w:color="auto"/>
        <w:bottom w:val="none" w:sz="0" w:space="0" w:color="auto"/>
        <w:right w:val="none" w:sz="0" w:space="0" w:color="auto"/>
      </w:divBdr>
    </w:div>
    <w:div w:id="1104154587">
      <w:bodyDiv w:val="1"/>
      <w:marLeft w:val="0"/>
      <w:marRight w:val="0"/>
      <w:marTop w:val="0"/>
      <w:marBottom w:val="0"/>
      <w:divBdr>
        <w:top w:val="none" w:sz="0" w:space="0" w:color="auto"/>
        <w:left w:val="none" w:sz="0" w:space="0" w:color="auto"/>
        <w:bottom w:val="none" w:sz="0" w:space="0" w:color="auto"/>
        <w:right w:val="none" w:sz="0" w:space="0" w:color="auto"/>
      </w:divBdr>
    </w:div>
    <w:div w:id="1186211744">
      <w:bodyDiv w:val="1"/>
      <w:marLeft w:val="0"/>
      <w:marRight w:val="0"/>
      <w:marTop w:val="0"/>
      <w:marBottom w:val="0"/>
      <w:divBdr>
        <w:top w:val="none" w:sz="0" w:space="0" w:color="auto"/>
        <w:left w:val="none" w:sz="0" w:space="0" w:color="auto"/>
        <w:bottom w:val="none" w:sz="0" w:space="0" w:color="auto"/>
        <w:right w:val="none" w:sz="0" w:space="0" w:color="auto"/>
      </w:divBdr>
    </w:div>
    <w:div w:id="1237939847">
      <w:bodyDiv w:val="1"/>
      <w:marLeft w:val="0"/>
      <w:marRight w:val="0"/>
      <w:marTop w:val="0"/>
      <w:marBottom w:val="0"/>
      <w:divBdr>
        <w:top w:val="none" w:sz="0" w:space="0" w:color="auto"/>
        <w:left w:val="none" w:sz="0" w:space="0" w:color="auto"/>
        <w:bottom w:val="none" w:sz="0" w:space="0" w:color="auto"/>
        <w:right w:val="none" w:sz="0" w:space="0" w:color="auto"/>
      </w:divBdr>
    </w:div>
    <w:div w:id="1282956222">
      <w:bodyDiv w:val="1"/>
      <w:marLeft w:val="0"/>
      <w:marRight w:val="0"/>
      <w:marTop w:val="0"/>
      <w:marBottom w:val="0"/>
      <w:divBdr>
        <w:top w:val="none" w:sz="0" w:space="0" w:color="auto"/>
        <w:left w:val="none" w:sz="0" w:space="0" w:color="auto"/>
        <w:bottom w:val="none" w:sz="0" w:space="0" w:color="auto"/>
        <w:right w:val="none" w:sz="0" w:space="0" w:color="auto"/>
      </w:divBdr>
    </w:div>
    <w:div w:id="1315451967">
      <w:bodyDiv w:val="1"/>
      <w:marLeft w:val="0"/>
      <w:marRight w:val="0"/>
      <w:marTop w:val="0"/>
      <w:marBottom w:val="0"/>
      <w:divBdr>
        <w:top w:val="none" w:sz="0" w:space="0" w:color="auto"/>
        <w:left w:val="none" w:sz="0" w:space="0" w:color="auto"/>
        <w:bottom w:val="none" w:sz="0" w:space="0" w:color="auto"/>
        <w:right w:val="none" w:sz="0" w:space="0" w:color="auto"/>
      </w:divBdr>
    </w:div>
    <w:div w:id="1337998987">
      <w:bodyDiv w:val="1"/>
      <w:marLeft w:val="0"/>
      <w:marRight w:val="0"/>
      <w:marTop w:val="0"/>
      <w:marBottom w:val="0"/>
      <w:divBdr>
        <w:top w:val="none" w:sz="0" w:space="0" w:color="auto"/>
        <w:left w:val="none" w:sz="0" w:space="0" w:color="auto"/>
        <w:bottom w:val="none" w:sz="0" w:space="0" w:color="auto"/>
        <w:right w:val="none" w:sz="0" w:space="0" w:color="auto"/>
      </w:divBdr>
    </w:div>
    <w:div w:id="1357075852">
      <w:bodyDiv w:val="1"/>
      <w:marLeft w:val="0"/>
      <w:marRight w:val="0"/>
      <w:marTop w:val="0"/>
      <w:marBottom w:val="0"/>
      <w:divBdr>
        <w:top w:val="none" w:sz="0" w:space="0" w:color="auto"/>
        <w:left w:val="none" w:sz="0" w:space="0" w:color="auto"/>
        <w:bottom w:val="none" w:sz="0" w:space="0" w:color="auto"/>
        <w:right w:val="none" w:sz="0" w:space="0" w:color="auto"/>
      </w:divBdr>
    </w:div>
    <w:div w:id="1364867993">
      <w:bodyDiv w:val="1"/>
      <w:marLeft w:val="0"/>
      <w:marRight w:val="0"/>
      <w:marTop w:val="0"/>
      <w:marBottom w:val="0"/>
      <w:divBdr>
        <w:top w:val="none" w:sz="0" w:space="0" w:color="auto"/>
        <w:left w:val="none" w:sz="0" w:space="0" w:color="auto"/>
        <w:bottom w:val="none" w:sz="0" w:space="0" w:color="auto"/>
        <w:right w:val="none" w:sz="0" w:space="0" w:color="auto"/>
      </w:divBdr>
    </w:div>
    <w:div w:id="1390034850">
      <w:bodyDiv w:val="1"/>
      <w:marLeft w:val="0"/>
      <w:marRight w:val="0"/>
      <w:marTop w:val="0"/>
      <w:marBottom w:val="0"/>
      <w:divBdr>
        <w:top w:val="none" w:sz="0" w:space="0" w:color="auto"/>
        <w:left w:val="none" w:sz="0" w:space="0" w:color="auto"/>
        <w:bottom w:val="none" w:sz="0" w:space="0" w:color="auto"/>
        <w:right w:val="none" w:sz="0" w:space="0" w:color="auto"/>
      </w:divBdr>
    </w:div>
    <w:div w:id="1436897931">
      <w:bodyDiv w:val="1"/>
      <w:marLeft w:val="0"/>
      <w:marRight w:val="0"/>
      <w:marTop w:val="0"/>
      <w:marBottom w:val="0"/>
      <w:divBdr>
        <w:top w:val="none" w:sz="0" w:space="0" w:color="auto"/>
        <w:left w:val="none" w:sz="0" w:space="0" w:color="auto"/>
        <w:bottom w:val="none" w:sz="0" w:space="0" w:color="auto"/>
        <w:right w:val="none" w:sz="0" w:space="0" w:color="auto"/>
      </w:divBdr>
    </w:div>
    <w:div w:id="1461916721">
      <w:bodyDiv w:val="1"/>
      <w:marLeft w:val="0"/>
      <w:marRight w:val="0"/>
      <w:marTop w:val="0"/>
      <w:marBottom w:val="0"/>
      <w:divBdr>
        <w:top w:val="none" w:sz="0" w:space="0" w:color="auto"/>
        <w:left w:val="none" w:sz="0" w:space="0" w:color="auto"/>
        <w:bottom w:val="none" w:sz="0" w:space="0" w:color="auto"/>
        <w:right w:val="none" w:sz="0" w:space="0" w:color="auto"/>
      </w:divBdr>
    </w:div>
    <w:div w:id="1485975982">
      <w:bodyDiv w:val="1"/>
      <w:marLeft w:val="0"/>
      <w:marRight w:val="0"/>
      <w:marTop w:val="0"/>
      <w:marBottom w:val="0"/>
      <w:divBdr>
        <w:top w:val="none" w:sz="0" w:space="0" w:color="auto"/>
        <w:left w:val="none" w:sz="0" w:space="0" w:color="auto"/>
        <w:bottom w:val="none" w:sz="0" w:space="0" w:color="auto"/>
        <w:right w:val="none" w:sz="0" w:space="0" w:color="auto"/>
      </w:divBdr>
    </w:div>
    <w:div w:id="1489587612">
      <w:bodyDiv w:val="1"/>
      <w:marLeft w:val="0"/>
      <w:marRight w:val="0"/>
      <w:marTop w:val="0"/>
      <w:marBottom w:val="0"/>
      <w:divBdr>
        <w:top w:val="none" w:sz="0" w:space="0" w:color="auto"/>
        <w:left w:val="none" w:sz="0" w:space="0" w:color="auto"/>
        <w:bottom w:val="none" w:sz="0" w:space="0" w:color="auto"/>
        <w:right w:val="none" w:sz="0" w:space="0" w:color="auto"/>
      </w:divBdr>
    </w:div>
    <w:div w:id="1509977388">
      <w:bodyDiv w:val="1"/>
      <w:marLeft w:val="0"/>
      <w:marRight w:val="0"/>
      <w:marTop w:val="0"/>
      <w:marBottom w:val="0"/>
      <w:divBdr>
        <w:top w:val="none" w:sz="0" w:space="0" w:color="auto"/>
        <w:left w:val="none" w:sz="0" w:space="0" w:color="auto"/>
        <w:bottom w:val="none" w:sz="0" w:space="0" w:color="auto"/>
        <w:right w:val="none" w:sz="0" w:space="0" w:color="auto"/>
      </w:divBdr>
    </w:div>
    <w:div w:id="1542597449">
      <w:bodyDiv w:val="1"/>
      <w:marLeft w:val="0"/>
      <w:marRight w:val="0"/>
      <w:marTop w:val="0"/>
      <w:marBottom w:val="0"/>
      <w:divBdr>
        <w:top w:val="none" w:sz="0" w:space="0" w:color="auto"/>
        <w:left w:val="none" w:sz="0" w:space="0" w:color="auto"/>
        <w:bottom w:val="none" w:sz="0" w:space="0" w:color="auto"/>
        <w:right w:val="none" w:sz="0" w:space="0" w:color="auto"/>
      </w:divBdr>
    </w:div>
    <w:div w:id="1557742764">
      <w:bodyDiv w:val="1"/>
      <w:marLeft w:val="0"/>
      <w:marRight w:val="0"/>
      <w:marTop w:val="0"/>
      <w:marBottom w:val="0"/>
      <w:divBdr>
        <w:top w:val="none" w:sz="0" w:space="0" w:color="auto"/>
        <w:left w:val="none" w:sz="0" w:space="0" w:color="auto"/>
        <w:bottom w:val="none" w:sz="0" w:space="0" w:color="auto"/>
        <w:right w:val="none" w:sz="0" w:space="0" w:color="auto"/>
      </w:divBdr>
    </w:div>
    <w:div w:id="1577667624">
      <w:bodyDiv w:val="1"/>
      <w:marLeft w:val="0"/>
      <w:marRight w:val="0"/>
      <w:marTop w:val="0"/>
      <w:marBottom w:val="0"/>
      <w:divBdr>
        <w:top w:val="none" w:sz="0" w:space="0" w:color="auto"/>
        <w:left w:val="none" w:sz="0" w:space="0" w:color="auto"/>
        <w:bottom w:val="none" w:sz="0" w:space="0" w:color="auto"/>
        <w:right w:val="none" w:sz="0" w:space="0" w:color="auto"/>
      </w:divBdr>
    </w:div>
    <w:div w:id="1677682390">
      <w:bodyDiv w:val="1"/>
      <w:marLeft w:val="0"/>
      <w:marRight w:val="0"/>
      <w:marTop w:val="0"/>
      <w:marBottom w:val="0"/>
      <w:divBdr>
        <w:top w:val="none" w:sz="0" w:space="0" w:color="auto"/>
        <w:left w:val="none" w:sz="0" w:space="0" w:color="auto"/>
        <w:bottom w:val="none" w:sz="0" w:space="0" w:color="auto"/>
        <w:right w:val="none" w:sz="0" w:space="0" w:color="auto"/>
      </w:divBdr>
    </w:div>
    <w:div w:id="1680042923">
      <w:bodyDiv w:val="1"/>
      <w:marLeft w:val="0"/>
      <w:marRight w:val="0"/>
      <w:marTop w:val="0"/>
      <w:marBottom w:val="0"/>
      <w:divBdr>
        <w:top w:val="none" w:sz="0" w:space="0" w:color="auto"/>
        <w:left w:val="none" w:sz="0" w:space="0" w:color="auto"/>
        <w:bottom w:val="none" w:sz="0" w:space="0" w:color="auto"/>
        <w:right w:val="none" w:sz="0" w:space="0" w:color="auto"/>
      </w:divBdr>
    </w:div>
    <w:div w:id="1728529701">
      <w:bodyDiv w:val="1"/>
      <w:marLeft w:val="0"/>
      <w:marRight w:val="0"/>
      <w:marTop w:val="0"/>
      <w:marBottom w:val="0"/>
      <w:divBdr>
        <w:top w:val="none" w:sz="0" w:space="0" w:color="auto"/>
        <w:left w:val="none" w:sz="0" w:space="0" w:color="auto"/>
        <w:bottom w:val="none" w:sz="0" w:space="0" w:color="auto"/>
        <w:right w:val="none" w:sz="0" w:space="0" w:color="auto"/>
      </w:divBdr>
    </w:div>
    <w:div w:id="1763912491">
      <w:bodyDiv w:val="1"/>
      <w:marLeft w:val="0"/>
      <w:marRight w:val="0"/>
      <w:marTop w:val="0"/>
      <w:marBottom w:val="0"/>
      <w:divBdr>
        <w:top w:val="none" w:sz="0" w:space="0" w:color="auto"/>
        <w:left w:val="none" w:sz="0" w:space="0" w:color="auto"/>
        <w:bottom w:val="none" w:sz="0" w:space="0" w:color="auto"/>
        <w:right w:val="none" w:sz="0" w:space="0" w:color="auto"/>
      </w:divBdr>
    </w:div>
    <w:div w:id="1770352313">
      <w:bodyDiv w:val="1"/>
      <w:marLeft w:val="0"/>
      <w:marRight w:val="0"/>
      <w:marTop w:val="0"/>
      <w:marBottom w:val="0"/>
      <w:divBdr>
        <w:top w:val="none" w:sz="0" w:space="0" w:color="auto"/>
        <w:left w:val="none" w:sz="0" w:space="0" w:color="auto"/>
        <w:bottom w:val="none" w:sz="0" w:space="0" w:color="auto"/>
        <w:right w:val="none" w:sz="0" w:space="0" w:color="auto"/>
      </w:divBdr>
    </w:div>
    <w:div w:id="1824274500">
      <w:bodyDiv w:val="1"/>
      <w:marLeft w:val="0"/>
      <w:marRight w:val="0"/>
      <w:marTop w:val="0"/>
      <w:marBottom w:val="0"/>
      <w:divBdr>
        <w:top w:val="none" w:sz="0" w:space="0" w:color="auto"/>
        <w:left w:val="none" w:sz="0" w:space="0" w:color="auto"/>
        <w:bottom w:val="none" w:sz="0" w:space="0" w:color="auto"/>
        <w:right w:val="none" w:sz="0" w:space="0" w:color="auto"/>
      </w:divBdr>
    </w:div>
    <w:div w:id="1826816716">
      <w:bodyDiv w:val="1"/>
      <w:marLeft w:val="0"/>
      <w:marRight w:val="0"/>
      <w:marTop w:val="0"/>
      <w:marBottom w:val="0"/>
      <w:divBdr>
        <w:top w:val="none" w:sz="0" w:space="0" w:color="auto"/>
        <w:left w:val="none" w:sz="0" w:space="0" w:color="auto"/>
        <w:bottom w:val="none" w:sz="0" w:space="0" w:color="auto"/>
        <w:right w:val="none" w:sz="0" w:space="0" w:color="auto"/>
      </w:divBdr>
    </w:div>
    <w:div w:id="1913390632">
      <w:bodyDiv w:val="1"/>
      <w:marLeft w:val="0"/>
      <w:marRight w:val="0"/>
      <w:marTop w:val="0"/>
      <w:marBottom w:val="0"/>
      <w:divBdr>
        <w:top w:val="none" w:sz="0" w:space="0" w:color="auto"/>
        <w:left w:val="none" w:sz="0" w:space="0" w:color="auto"/>
        <w:bottom w:val="none" w:sz="0" w:space="0" w:color="auto"/>
        <w:right w:val="none" w:sz="0" w:space="0" w:color="auto"/>
      </w:divBdr>
    </w:div>
    <w:div w:id="1964772053">
      <w:bodyDiv w:val="1"/>
      <w:marLeft w:val="0"/>
      <w:marRight w:val="0"/>
      <w:marTop w:val="0"/>
      <w:marBottom w:val="0"/>
      <w:divBdr>
        <w:top w:val="none" w:sz="0" w:space="0" w:color="auto"/>
        <w:left w:val="none" w:sz="0" w:space="0" w:color="auto"/>
        <w:bottom w:val="none" w:sz="0" w:space="0" w:color="auto"/>
        <w:right w:val="none" w:sz="0" w:space="0" w:color="auto"/>
      </w:divBdr>
    </w:div>
    <w:div w:id="1971007553">
      <w:bodyDiv w:val="1"/>
      <w:marLeft w:val="0"/>
      <w:marRight w:val="0"/>
      <w:marTop w:val="0"/>
      <w:marBottom w:val="0"/>
      <w:divBdr>
        <w:top w:val="none" w:sz="0" w:space="0" w:color="auto"/>
        <w:left w:val="none" w:sz="0" w:space="0" w:color="auto"/>
        <w:bottom w:val="none" w:sz="0" w:space="0" w:color="auto"/>
        <w:right w:val="none" w:sz="0" w:space="0" w:color="auto"/>
      </w:divBdr>
    </w:div>
    <w:div w:id="2058577243">
      <w:bodyDiv w:val="1"/>
      <w:marLeft w:val="0"/>
      <w:marRight w:val="0"/>
      <w:marTop w:val="0"/>
      <w:marBottom w:val="0"/>
      <w:divBdr>
        <w:top w:val="none" w:sz="0" w:space="0" w:color="auto"/>
        <w:left w:val="none" w:sz="0" w:space="0" w:color="auto"/>
        <w:bottom w:val="none" w:sz="0" w:space="0" w:color="auto"/>
        <w:right w:val="none" w:sz="0" w:space="0" w:color="auto"/>
      </w:divBdr>
    </w:div>
    <w:div w:id="2064599090">
      <w:bodyDiv w:val="1"/>
      <w:marLeft w:val="0"/>
      <w:marRight w:val="0"/>
      <w:marTop w:val="0"/>
      <w:marBottom w:val="0"/>
      <w:divBdr>
        <w:top w:val="none" w:sz="0" w:space="0" w:color="auto"/>
        <w:left w:val="none" w:sz="0" w:space="0" w:color="auto"/>
        <w:bottom w:val="none" w:sz="0" w:space="0" w:color="auto"/>
        <w:right w:val="none" w:sz="0" w:space="0" w:color="auto"/>
      </w:divBdr>
    </w:div>
    <w:div w:id="2078817896">
      <w:bodyDiv w:val="1"/>
      <w:marLeft w:val="0"/>
      <w:marRight w:val="0"/>
      <w:marTop w:val="0"/>
      <w:marBottom w:val="0"/>
      <w:divBdr>
        <w:top w:val="none" w:sz="0" w:space="0" w:color="auto"/>
        <w:left w:val="none" w:sz="0" w:space="0" w:color="auto"/>
        <w:bottom w:val="none" w:sz="0" w:space="0" w:color="auto"/>
        <w:right w:val="none" w:sz="0" w:space="0" w:color="auto"/>
      </w:divBdr>
    </w:div>
    <w:div w:id="2094692755">
      <w:bodyDiv w:val="1"/>
      <w:marLeft w:val="0"/>
      <w:marRight w:val="0"/>
      <w:marTop w:val="0"/>
      <w:marBottom w:val="0"/>
      <w:divBdr>
        <w:top w:val="none" w:sz="0" w:space="0" w:color="auto"/>
        <w:left w:val="none" w:sz="0" w:space="0" w:color="auto"/>
        <w:bottom w:val="none" w:sz="0" w:space="0" w:color="auto"/>
        <w:right w:val="none" w:sz="0" w:space="0" w:color="auto"/>
      </w:divBdr>
    </w:div>
    <w:div w:id="2129158282">
      <w:bodyDiv w:val="1"/>
      <w:marLeft w:val="0"/>
      <w:marRight w:val="0"/>
      <w:marTop w:val="0"/>
      <w:marBottom w:val="0"/>
      <w:divBdr>
        <w:top w:val="none" w:sz="0" w:space="0" w:color="auto"/>
        <w:left w:val="none" w:sz="0" w:space="0" w:color="auto"/>
        <w:bottom w:val="none" w:sz="0" w:space="0" w:color="auto"/>
        <w:right w:val="none" w:sz="0" w:space="0" w:color="auto"/>
      </w:divBdr>
    </w:div>
    <w:div w:id="21383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C3F20-03C5-488B-9B49-F96B6487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6F7B0004.dotm</Template>
  <TotalTime>0</TotalTime>
  <Pages>12</Pages>
  <Words>4350</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HEYVAERT Valerie</dc:creator>
  <cp:keywords/>
  <dc:description/>
  <cp:lastModifiedBy>FRIMSTON Edmund</cp:lastModifiedBy>
  <cp:revision>2</cp:revision>
  <cp:lastPrinted>2017-09-29T12:25:00Z</cp:lastPrinted>
  <dcterms:created xsi:type="dcterms:W3CDTF">2017-10-04T11:11:00Z</dcterms:created>
  <dcterms:modified xsi:type="dcterms:W3CDTF">2017-10-04T11:11:00Z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9.0.0 Build [20170325]</vt:lpwstr>
  </property>
  <property fmtid="{D5CDD505-2E9C-101B-9397-08002B2CF9AE}" pid="4" name="LastEdited with">
    <vt:lpwstr>9.1.1 Build [20170911]</vt:lpwstr>
  </property>
  <property fmtid="{D5CDD505-2E9C-101B-9397-08002B2CF9AE}" pid="5" name="&lt;FdR&gt;">
    <vt:lpwstr>1134664</vt:lpwstr>
  </property>
  <property fmtid="{D5CDD505-2E9C-101B-9397-08002B2CF9AE}" pid="6" name="&lt;Type&gt;">
    <vt:lpwstr>AD</vt:lpwstr>
  </property>
  <property fmtid="{D5CDD505-2E9C-101B-9397-08002B2CF9AE}" pid="7" name="&lt;ModelCod&gt;">
    <vt:lpwstr>\\eiciBRUpr1\pdocep$\DocEP\DOCS\General\PA\PA_NonLeg.dot(15/06/2017 17:43:32)</vt:lpwstr>
  </property>
  <property fmtid="{D5CDD505-2E9C-101B-9397-08002B2CF9AE}" pid="8" name="&lt;ModelTra&gt;">
    <vt:lpwstr>\\eiciBRUpr1\pdocep$\DocEP\TRANSFIL\EN\PA_NonLeg.EN(01/02/2017 19:08:11)</vt:lpwstr>
  </property>
  <property fmtid="{D5CDD505-2E9C-101B-9397-08002B2CF9AE}" pid="9" name="&lt;Model&gt;">
    <vt:lpwstr>PA_NonLeg</vt:lpwstr>
  </property>
  <property fmtid="{D5CDD505-2E9C-101B-9397-08002B2CF9AE}" pid="10" name="FooterPath">
    <vt:lpwstr>AD\1134664XT.docx</vt:lpwstr>
  </property>
  <property fmtid="{D5CDD505-2E9C-101B-9397-08002B2CF9AE}" pid="11" name="PE number">
    <vt:lpwstr>606.272</vt:lpwstr>
  </property>
  <property fmtid="{D5CDD505-2E9C-101B-9397-08002B2CF9AE}" pid="12" name="SendToEpades">
    <vt:lpwstr>OK - 2017/09/29 16:53</vt:lpwstr>
  </property>
  <property fmtid="{D5CDD505-2E9C-101B-9397-08002B2CF9AE}" pid="13" name="SubscribeElise">
    <vt:lpwstr/>
  </property>
</Properties>
</file>