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trHeight w:hRule="exact" w:val="1417"/>
          <w:jc w:val="center"/>
        </w:trPr>
        <w:tc>
          <w:tcPr>
            <w:vAlign w:val="center"/>
          </w:tcPr>
          <w:p w:rsidR="00A77B3E">
            <w:pPr>
              <w:pStyle w:val="EPName"/>
            </w:pPr>
            <w:r>
              <w:t>European Parliament</w:t>
            </w:r>
          </w:p>
          <w:p>
            <w:pPr>
              <w:pStyle w:val="EPTerm"/>
            </w:pPr>
            <w:r>
              <w:t>2014-2019</w:t>
            </w:r>
          </w:p>
        </w:tc>
        <w:tc>
          <w:tcPr/>
          <w:p>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51.02pt;width:91.56pt">
                  <v:imagedata r:id="rId4" o:title=""/>
                </v:shape>
              </w:pict>
            </w:r>
          </w:p>
        </w:tc>
      </w:tr>
    </w:tbl>
    <w:p w:rsidR="00A77B3E">
      <w:pPr>
        <w:pStyle w:val="LineTop"/>
      </w:pPr>
    </w:p>
    <w:p>
      <w:pPr>
        <w:pStyle w:val="ZCommittee"/>
      </w:pPr>
      <w:r>
        <w:rPr>
          <w:rStyle w:val="HideTWBExt"/>
        </w:rPr>
        <w:t>&lt;</w:t>
      </w:r>
      <w:r>
        <w:rPr>
          <w:rStyle w:val="HideTWBExt"/>
        </w:rPr>
        <w:t>Commission</w:t>
      </w:r>
      <w:r>
        <w:rPr>
          <w:rStyle w:val="HideTWBExt"/>
        </w:rPr>
        <w:t>&gt;</w:t>
      </w:r>
      <w:r>
        <w:rPr>
          <w:rStyle w:val="HideTWBInt"/>
        </w:rPr>
        <w:t>{AFET}</w:t>
      </w:r>
      <w:r>
        <w:t>Committee on Foreign Affairs</w:t>
      </w:r>
      <w:r>
        <w:rPr>
          <w:rStyle w:val="HideTWBExt"/>
        </w:rPr>
        <w:t>&lt;/</w:t>
      </w:r>
      <w:r>
        <w:rPr>
          <w:rStyle w:val="HideTWBExt"/>
        </w:rPr>
        <w:t>Commission</w:t>
      </w:r>
      <w:r>
        <w:rPr>
          <w:rStyle w:val="HideTWBExt"/>
        </w:rPr>
        <w:t>&gt;</w:t>
      </w:r>
    </w:p>
    <w:p>
      <w:pPr>
        <w:pStyle w:val="LineBottom"/>
      </w:pPr>
    </w:p>
    <w:p>
      <w:pPr>
        <w:pStyle w:val="RefProc"/>
      </w:pPr>
      <w:r>
        <w:rPr>
          <w:rStyle w:val="HideTWBExt"/>
        </w:rPr>
        <w:t>&lt;</w:t>
      </w:r>
      <w:r>
        <w:rPr>
          <w:rStyle w:val="HideTWBExt"/>
        </w:rPr>
        <w:t>RefProc</w:t>
      </w:r>
      <w:r>
        <w:rPr>
          <w:rStyle w:val="HideTWBExt"/>
        </w:rPr>
        <w:t>&gt;</w:t>
      </w:r>
      <w:r>
        <w:t>2017/2044</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(BUD)</w:t>
      </w:r>
      <w:r>
        <w:rPr>
          <w:rStyle w:val="HideTWBExt"/>
        </w:rPr>
        <w:t>&lt;/</w:t>
      </w:r>
      <w:r>
        <w:rPr>
          <w:rStyle w:val="HideTWBExt"/>
        </w:rPr>
        <w:t>RefTypeProc</w:t>
      </w:r>
      <w:r>
        <w:rPr>
          <w:rStyle w:val="HideTWBExt"/>
        </w:rPr>
        <w:t>&gt;</w:t>
      </w:r>
    </w:p>
    <w:p>
      <w:pPr>
        <w:pStyle w:val="ZDate"/>
      </w:pPr>
      <w:r>
        <w:rPr>
          <w:rStyle w:val="HideTWBExt"/>
        </w:rPr>
        <w:t>&lt;</w:t>
      </w:r>
      <w:r>
        <w:rPr>
          <w:rStyle w:val="HideTWBExt"/>
        </w:rPr>
        <w:t>Date</w:t>
      </w:r>
      <w:r>
        <w:rPr>
          <w:rStyle w:val="HideTWBExt"/>
        </w:rPr>
        <w:t>&gt;</w:t>
      </w:r>
      <w:r>
        <w:rPr>
          <w:rStyle w:val="HideTWBInt"/>
        </w:rPr>
        <w:t>{</w:t>
      </w:r>
      <w:r>
        <w:rPr>
          <w:rStyle w:val="HideTWBInt"/>
        </w:rPr>
        <w:t>14/07/2017</w:t>
      </w:r>
      <w:r>
        <w:rPr>
          <w:rStyle w:val="HideTWBInt"/>
        </w:rPr>
        <w:t>}</w:t>
      </w:r>
      <w:r>
        <w:t>14.7.2017</w:t>
      </w:r>
      <w:r>
        <w:rPr>
          <w:rStyle w:val="HideTWBExt"/>
        </w:rPr>
        <w:t>&lt;/</w:t>
      </w:r>
      <w:r>
        <w:rPr>
          <w:rStyle w:val="HideTWBExt"/>
        </w:rPr>
        <w:t>Date</w:t>
      </w:r>
      <w:r>
        <w:rPr>
          <w:rStyle w:val="HideTWBExt"/>
        </w:rPr>
        <w:t>&gt;</w:t>
      </w:r>
    </w:p>
    <w:p>
      <w:pPr>
        <w:pStyle w:val="TypeDocAM"/>
      </w:pPr>
      <w:r>
        <w:rPr>
          <w:rStyle w:val="HideTWBExt"/>
        </w:rPr>
        <w:t>&lt;</w:t>
      </w:r>
      <w:r>
        <w:rPr>
          <w:rStyle w:val="HideTWBExt"/>
        </w:rPr>
        <w:t>TypeAM</w:t>
      </w:r>
      <w:r>
        <w:rPr>
          <w:rStyle w:val="HideTWBExt"/>
        </w:rPr>
        <w:t>&gt;</w:t>
      </w:r>
      <w:r>
        <w:t>AMENDMENTS</w:t>
      </w:r>
      <w:r>
        <w:rPr>
          <w:rStyle w:val="HideTWBExt"/>
        </w:rPr>
        <w:t>&lt;/</w:t>
      </w:r>
      <w:r>
        <w:rPr>
          <w:rStyle w:val="HideTWBExt"/>
        </w:rPr>
        <w:t>TypeAM</w:t>
      </w:r>
      <w:r>
        <w:rPr>
          <w:rStyle w:val="HideTWBExt"/>
        </w:rPr>
        <w:t>&gt;</w:t>
      </w:r>
    </w:p>
    <w:p>
      <w:pPr>
        <w:pStyle w:val="NRAMS"/>
      </w:pPr>
      <w:r>
        <w:rPr>
          <w:rStyle w:val="HideTWBExt"/>
        </w:rPr>
        <w:t>&lt;</w:t>
      </w:r>
      <w:r>
        <w:rPr>
          <w:rStyle w:val="HideTWBExt"/>
        </w:rPr>
        <w:t>RangeAM</w:t>
      </w:r>
      <w:r>
        <w:rPr>
          <w:rStyle w:val="HideTWBExt"/>
        </w:rPr>
        <w:t>&gt;</w:t>
      </w:r>
      <w:r>
        <w:t>1</w:t>
      </w:r>
      <w:r>
        <w:t xml:space="preserve"> - </w:t>
      </w:r>
      <w:r>
        <w:t>33</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Draft opinion</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Cristian Dan Preda</w:t>
      </w:r>
      <w:r>
        <w:rPr>
          <w:rStyle w:val="HideTWBExt"/>
        </w:rPr>
        <w:t>&lt;/</w:t>
      </w:r>
      <w:r>
        <w:rPr>
          <w:rStyle w:val="HideTWBExt"/>
        </w:rPr>
        <w:t>Rapporteur</w:t>
      </w:r>
      <w:r>
        <w:rPr>
          <w:rStyle w:val="HideTWBExt"/>
        </w:rPr>
        <w:t>&gt;</w:t>
      </w:r>
    </w:p>
    <w:p>
      <w:pPr>
        <w:pStyle w:val="Cover24"/>
      </w:pPr>
      <w:r>
        <w:t>(</w:t>
      </w:r>
      <w:r>
        <w:t>PE606.051v01-00</w:t>
      </w:r>
      <w:r>
        <w:t>)</w:t>
      </w:r>
    </w:p>
    <w:p>
      <w:pPr>
        <w:pStyle w:val="CoverNormal"/>
      </w:pPr>
      <w:r>
        <w:rPr>
          <w:rStyle w:val="HideTWBExt"/>
        </w:rPr>
        <w:t>&lt;</w:t>
      </w:r>
      <w:r>
        <w:rPr>
          <w:rStyle w:val="HideTWBExt"/>
        </w:rPr>
        <w:t>Titre</w:t>
      </w:r>
      <w:r>
        <w:rPr>
          <w:rStyle w:val="HideTWBExt"/>
        </w:rPr>
        <w:t>&gt;</w:t>
      </w:r>
      <w:r>
        <w:t xml:space="preserve">General budget of the European Union for the financial year 2018 - all sections </w:t>
      </w:r>
      <w:r>
        <w:rPr>
          <w:rStyle w:val="HideTWBExt"/>
        </w:rPr>
        <w:t>&lt;/</w:t>
      </w:r>
      <w:r>
        <w:rPr>
          <w:rStyle w:val="HideTWBExt"/>
        </w:rPr>
        <w:t>Titre</w:t>
      </w:r>
      <w:r>
        <w:rPr>
          <w:rStyle w:val="HideTWBExt"/>
        </w:rPr>
        <w:t>&gt;</w:t>
      </w:r>
    </w:p>
    <w:p>
      <w:pPr>
        <w:pStyle w:val="Cover24"/>
      </w:pPr>
      <w:r>
        <w:rPr>
          <w:rStyle w:val="HideTWBExt"/>
        </w:rPr>
        <w:t>&lt;</w:t>
      </w:r>
      <w:r>
        <w:rPr>
          <w:rStyle w:val="HideTWBExt"/>
        </w:rPr>
        <w:t>DocRef</w:t>
      </w:r>
      <w:r>
        <w:rPr>
          <w:rStyle w:val="HideTWBExt"/>
        </w:rPr>
        <w:t>&gt;</w:t>
      </w:r>
      <w:r>
        <w:t>(</w:t>
      </w:r>
      <w:r>
        <w:t>2017/2044(BUD)</w:t>
      </w:r>
      <w:r>
        <w:t>)</w:t>
      </w:r>
      <w:r>
        <w:rPr>
          <w:rStyle w:val="HideTWBExt"/>
        </w:rPr>
        <w:t>&lt;/</w:t>
      </w:r>
      <w:r>
        <w:rPr>
          <w:rStyle w:val="HideTWBExt"/>
        </w:rPr>
        <w:t>DocRef</w:t>
      </w:r>
      <w:r>
        <w:rPr>
          <w:rStyle w:val="HideTWBExt"/>
        </w:rPr>
        <w:t>&gt;</w:t>
      </w:r>
    </w:p>
    <w:p>
      <w:r>
        <w:br w:type="page"/>
      </w:r>
      <w:r>
        <w:t>AM_Com_NonLegOpinion</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Sabine Lösing</w:t>
      </w:r>
      <w:r>
        <w:t xml:space="preserve">, </w:t>
      </w:r>
      <w:r>
        <w:t>Javier Couso Permuy</w:t>
      </w:r>
      <w:r>
        <w:t xml:space="preserve">, </w:t>
      </w:r>
      <w:r>
        <w:t>Miguel Urbán Crespo</w:t>
      </w:r>
      <w:r>
        <w:t xml:space="preserve">, </w:t>
      </w:r>
      <w:r>
        <w:t>Takis Hadjigeorgiou</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 xml:space="preserve">Notes </w:t>
            </w:r>
            <w:r>
              <w:rPr>
                <w:rFonts w:ascii="Times New Roman" w:eastAsia="Times New Roman" w:hAnsi="Times New Roman" w:cs="Times New Roman"/>
                <w:b/>
                <w:i/>
                <w:strike w:val="0"/>
                <w:color w:val="000000"/>
                <w:sz w:val="24"/>
                <w:highlight w:val="none"/>
                <w:u w:val="none" w:color="auto"/>
              </w:rPr>
              <w:t>with concern</w:t>
            </w:r>
            <w:r>
              <w:t xml:space="preserve"> the Commission proposal for more than a half a billion euro decrease in both commitment and payment appropriations for Heading 4 expenditure (Global Europe); stresses that </w:t>
            </w:r>
            <w:r>
              <w:rPr>
                <w:rFonts w:ascii="Times New Roman" w:eastAsia="Times New Roman" w:hAnsi="Times New Roman" w:cs="Times New Roman"/>
                <w:b/>
                <w:i/>
                <w:strike w:val="0"/>
                <w:color w:val="000000"/>
                <w:sz w:val="24"/>
                <w:highlight w:val="none"/>
                <w:u w:val="none" w:color="auto"/>
              </w:rPr>
              <w:t>an ad hoc one-year increase, such as that in 2017, can hardly be considered sufficient in view of the pressing needs for stronger EU external action</w:t>
            </w:r>
            <w:r>
              <w:t>;</w:t>
            </w:r>
          </w:p>
        </w:tc>
        <w:tc>
          <w:tcPr/>
          <w:p>
            <w:pPr>
              <w:pStyle w:val="Normal6"/>
            </w:pPr>
            <w:r>
              <w:t>1.</w:t>
            </w:r>
            <w:r>
              <w:tab/>
            </w:r>
            <w:r>
              <w:t>Notes the Commission proposal for more than a half a billion euro decrease in both commitment and payment appropriations for Heading 4 expenditure (Global Europe); stresses that </w:t>
            </w:r>
            <w:r>
              <w:rPr>
                <w:rFonts w:ascii="Times New Roman" w:eastAsia="Times New Roman" w:hAnsi="Times New Roman" w:cs="Times New Roman"/>
                <w:b/>
                <w:i/>
                <w:strike w:val="0"/>
                <w:color w:val="000000"/>
                <w:sz w:val="24"/>
                <w:highlight w:val="none"/>
                <w:u w:val="none" w:color="auto"/>
              </w:rPr>
              <w:t>such decrease should not be at the expense of poverty eradication and the achievement of the Sustainable Development Goals, civil conflict solution and mediation, disarmament, demobilization and reintegration, arms control, disarmament and the non-proliferation regime or fair trade and should favour balanced economic relations, and humanitarian and development aid</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 xml:space="preserve">Notes with concern the Commission proposal for more than a half a billion euro decrease in both commitment and payment appropriations for Heading 4 expenditure (Global Europe); stresses that an ad hoc one-year increase, such as that in 2017, </w:t>
            </w:r>
            <w:r>
              <w:rPr>
                <w:rFonts w:ascii="Times New Roman" w:eastAsia="Times New Roman" w:hAnsi="Times New Roman" w:cs="Times New Roman"/>
                <w:b/>
                <w:i/>
                <w:strike w:val="0"/>
                <w:color w:val="000000"/>
                <w:sz w:val="24"/>
                <w:highlight w:val="none"/>
                <w:u w:val="none" w:color="auto"/>
              </w:rPr>
              <w:t>can hardly</w:t>
            </w:r>
            <w:r>
              <w:t xml:space="preserve"> be considered sufficient in view of the </w:t>
            </w:r>
            <w:r>
              <w:rPr>
                <w:rFonts w:ascii="Times New Roman" w:eastAsia="Times New Roman" w:hAnsi="Times New Roman" w:cs="Times New Roman"/>
                <w:b/>
                <w:i/>
                <w:strike w:val="0"/>
                <w:color w:val="000000"/>
                <w:sz w:val="24"/>
                <w:highlight w:val="none"/>
                <w:u w:val="none" w:color="auto"/>
              </w:rPr>
              <w:t>pressing needs</w:t>
            </w:r>
            <w:r>
              <w:t xml:space="preserve"> for stronger EU external action;</w:t>
            </w:r>
          </w:p>
        </w:tc>
        <w:tc>
          <w:tcPr/>
          <w:p>
            <w:pPr>
              <w:pStyle w:val="Normal6"/>
            </w:pPr>
            <w:r>
              <w:t>1.</w:t>
            </w:r>
            <w:r>
              <w:tab/>
            </w:r>
            <w:r>
              <w:t xml:space="preserve">Notes with concern the Commission proposal for more than a half a billion euro decrease in both commitment and payment appropriations for Heading 4 expenditure (Global Europe); stresses that an ad hoc one-year increase, such as that in 2017, </w:t>
            </w:r>
            <w:r>
              <w:rPr>
                <w:rFonts w:ascii="Times New Roman" w:eastAsia="Times New Roman" w:hAnsi="Times New Roman" w:cs="Times New Roman"/>
                <w:b/>
                <w:i/>
                <w:strike w:val="0"/>
                <w:color w:val="000000"/>
                <w:sz w:val="24"/>
                <w:highlight w:val="none"/>
                <w:u w:val="none" w:color="auto"/>
              </w:rPr>
              <w:t>cannot</w:t>
            </w:r>
            <w:r>
              <w:t xml:space="preserve"> be considered sufficient in view of the </w:t>
            </w:r>
            <w:r>
              <w:rPr>
                <w:rFonts w:ascii="Times New Roman" w:eastAsia="Times New Roman" w:hAnsi="Times New Roman" w:cs="Times New Roman"/>
                <w:b/>
                <w:i/>
                <w:strike w:val="0"/>
                <w:color w:val="000000"/>
                <w:sz w:val="24"/>
                <w:highlight w:val="none"/>
                <w:u w:val="none" w:color="auto"/>
              </w:rPr>
              <w:t>multiple complex challenges that the Union is facing and the need</w:t>
            </w:r>
            <w:r>
              <w:t xml:space="preserve"> for stronger EU external action;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Željana Zovko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 a.</w:t>
            </w:r>
            <w:r>
              <w:tab/>
            </w:r>
            <w:r>
              <w:rPr>
                <w:rFonts w:ascii="Times New Roman" w:eastAsia="Times New Roman" w:hAnsi="Times New Roman" w:cs="Times New Roman"/>
                <w:b/>
                <w:i/>
                <w:strike w:val="0"/>
                <w:color w:val="000000"/>
                <w:sz w:val="24"/>
                <w:highlight w:val="none"/>
                <w:u w:val="none" w:color="auto"/>
              </w:rPr>
              <w:t>Recalls that, in the context of the European Union Global Strategy (EUGS) and of the development of the Union's foreign policy and the image of the Union as a global power in securing borders, fight​ing​ against extremism and terrorism, providing humanitarian assistance and post crisis assistance to affected partner countries, it is necessary to increase the allocation for Heading 4 in order to keep pace with the global challenges;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Neena Gill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 a.</w:t>
            </w:r>
            <w:r>
              <w:tab/>
            </w:r>
            <w:r>
              <w:rPr>
                <w:rFonts w:ascii="Times New Roman" w:eastAsia="Times New Roman" w:hAnsi="Times New Roman" w:cs="Times New Roman"/>
                <w:b/>
                <w:i/>
                <w:strike w:val="0"/>
                <w:color w:val="000000"/>
                <w:sz w:val="24"/>
                <w:highlight w:val="none"/>
                <w:u w:val="none" w:color="auto"/>
              </w:rPr>
              <w:t>Questions the proposed increase in support for political reforms in Turkey under the Instrument for Pre-Accession assistance (IPA) in view of the lack of serious engagement by Turkish authorities in this area;</w:t>
            </w:r>
            <w:r>
              <w:rPr>
                <w:rFonts w:ascii="Times New Roman" w:eastAsia="Times New Roman" w:hAnsi="Times New Roman" w:cs="Times New Roman"/>
                <w:b/>
                <w:i/>
                <w:strike w:val="0"/>
                <w:color w:val="000000"/>
                <w:sz w:val="24"/>
                <w:highlight w:val="none"/>
                <w:u w:val="none" w:color="auto"/>
              </w:rPr>
              <w:t>calls for the increase in funding to be frozen until the Commission has put measures in place to redirect the additional funds towards supporting civil society;</w:t>
            </w:r>
            <w:r>
              <w:rPr>
                <w:rFonts w:ascii="Times New Roman" w:eastAsia="Times New Roman" w:hAnsi="Times New Roman" w:cs="Times New Roman"/>
                <w:b/>
                <w:i/>
                <w:strike w:val="0"/>
                <w:color w:val="000000"/>
                <w:sz w:val="24"/>
                <w:highlight w:val="none"/>
                <w:u w:val="none" w:color="auto"/>
              </w:rPr>
              <w:t>in general, underscores the need to step up investment in direct support to civil society and refugees in Turkey as well as to people-to people exchange programmes, such as Erasmus + for students, academics and journalists;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Michael Gahler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 a.</w:t>
            </w:r>
            <w:r>
              <w:tab/>
            </w:r>
            <w:r>
              <w:rPr>
                <w:rFonts w:ascii="Times New Roman" w:eastAsia="Times New Roman" w:hAnsi="Times New Roman" w:cs="Times New Roman"/>
                <w:b/>
                <w:i/>
                <w:strike w:val="0"/>
                <w:color w:val="000000"/>
                <w:sz w:val="24"/>
                <w:highlight w:val="none"/>
                <w:u w:val="none" w:color="auto"/>
              </w:rPr>
              <w:t>Attributes high importance to countering disinformation and to enhancing the Union's strategic communication in Central and Eastern Europe, and calls for an increase of EUR 2 million in appropriations to support such actions;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Željana Zovko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 xml:space="preserve">Draws attention to recent worrying political developments in the Western Balkans that require the Union's urgent attention to avoid progress achieved in the past decades being put into question; rejects, therefore, the proposed cut of almost EUR 90 million </w:t>
            </w:r>
            <w:r>
              <w:rPr>
                <w:rFonts w:ascii="Times New Roman" w:eastAsia="Times New Roman" w:hAnsi="Times New Roman" w:cs="Times New Roman"/>
                <w:b/>
                <w:i/>
                <w:strike w:val="0"/>
                <w:color w:val="000000"/>
                <w:sz w:val="24"/>
                <w:highlight w:val="none"/>
                <w:u w:val="none" w:color="auto"/>
              </w:rPr>
              <w:t>to</w:t>
            </w:r>
            <w:r>
              <w:t xml:space="preserve"> support for political reforms in the region under the Instrument for Pre-Accession assistance (IPA);</w:t>
            </w:r>
          </w:p>
        </w:tc>
        <w:tc>
          <w:tcPr/>
          <w:p>
            <w:pPr>
              <w:pStyle w:val="Normal6"/>
            </w:pPr>
            <w:r>
              <w:t>3.</w:t>
            </w:r>
            <w:r>
              <w:tab/>
            </w:r>
            <w:r>
              <w:t xml:space="preserve">Draws attention to </w:t>
            </w:r>
            <w:r>
              <w:rPr>
                <w:rFonts w:ascii="Times New Roman" w:eastAsia="Times New Roman" w:hAnsi="Times New Roman" w:cs="Times New Roman"/>
                <w:b/>
                <w:i/>
                <w:strike w:val="0"/>
                <w:color w:val="000000"/>
                <w:sz w:val="24"/>
                <w:highlight w:val="none"/>
                <w:u w:val="none" w:color="auto"/>
              </w:rPr>
              <w:t>the</w:t>
            </w:r>
            <w:r>
              <w:t xml:space="preserve"> recent worrying political developments in the Western Balkans that require the Union's urgent </w:t>
            </w:r>
            <w:r>
              <w:rPr>
                <w:rFonts w:ascii="Times New Roman" w:eastAsia="Times New Roman" w:hAnsi="Times New Roman" w:cs="Times New Roman"/>
                <w:b/>
                <w:i/>
                <w:strike w:val="0"/>
                <w:color w:val="000000"/>
                <w:sz w:val="24"/>
                <w:highlight w:val="none"/>
                <w:u w:val="none" w:color="auto"/>
              </w:rPr>
              <w:t>and more focused</w:t>
            </w:r>
            <w:r>
              <w:t xml:space="preserve"> attention </w:t>
            </w:r>
            <w:r>
              <w:rPr>
                <w:rFonts w:ascii="Times New Roman" w:eastAsia="Times New Roman" w:hAnsi="Times New Roman" w:cs="Times New Roman"/>
                <w:b/>
                <w:i/>
                <w:strike w:val="0"/>
                <w:color w:val="000000"/>
                <w:sz w:val="24"/>
                <w:highlight w:val="none"/>
                <w:u w:val="none" w:color="auto"/>
              </w:rPr>
              <w:t>and an active support towards Western Balkans countries in order</w:t>
            </w:r>
            <w:r>
              <w:t xml:space="preserve"> to avoid progress achieved in the past decades </w:t>
            </w:r>
            <w:r>
              <w:rPr>
                <w:rFonts w:ascii="Times New Roman" w:eastAsia="Times New Roman" w:hAnsi="Times New Roman" w:cs="Times New Roman"/>
                <w:b/>
                <w:i/>
                <w:strike w:val="0"/>
                <w:color w:val="000000"/>
                <w:sz w:val="24"/>
                <w:highlight w:val="none"/>
                <w:u w:val="none" w:color="auto"/>
              </w:rPr>
              <w:t>and their EU perspective</w:t>
            </w:r>
            <w:r>
              <w:t xml:space="preserve"> being put into question; </w:t>
            </w:r>
            <w:r>
              <w:rPr>
                <w:rFonts w:ascii="Times New Roman" w:eastAsia="Times New Roman" w:hAnsi="Times New Roman" w:cs="Times New Roman"/>
                <w:b/>
                <w:i/>
                <w:strike w:val="0"/>
                <w:color w:val="000000"/>
                <w:sz w:val="24"/>
                <w:highlight w:val="none"/>
                <w:u w:val="none" w:color="auto"/>
              </w:rPr>
              <w:t>reiterates that losing the prospect of the accession to the European Union could open those countries to the influence of non-European third countries, which could subsequently put in question the stability and security of the region, as well as the immediate borders of the Union;</w:t>
            </w:r>
            <w:r>
              <w:t xml:space="preserve"> rejects, therefore, the proposed cut of almost EUR 90 million </w:t>
            </w:r>
            <w:r>
              <w:rPr>
                <w:rFonts w:ascii="Times New Roman" w:eastAsia="Times New Roman" w:hAnsi="Times New Roman" w:cs="Times New Roman"/>
                <w:b/>
                <w:i/>
                <w:strike w:val="0"/>
                <w:color w:val="000000"/>
                <w:sz w:val="24"/>
                <w:highlight w:val="none"/>
                <w:u w:val="none" w:color="auto"/>
              </w:rPr>
              <w:t>in the</w:t>
            </w:r>
            <w:r>
              <w:t xml:space="preserve"> support for political</w:t>
            </w:r>
            <w:r>
              <w:rPr>
                <w:rFonts w:ascii="Times New Roman" w:eastAsia="Times New Roman" w:hAnsi="Times New Roman" w:cs="Times New Roman"/>
                <w:b/>
                <w:i/>
                <w:strike w:val="0"/>
                <w:color w:val="000000"/>
                <w:sz w:val="24"/>
                <w:highlight w:val="none"/>
                <w:u w:val="none" w:color="auto"/>
              </w:rPr>
              <w:t>, institutional and economic</w:t>
            </w:r>
            <w:r>
              <w:t xml:space="preserve"> reforms in the region under the Instrument for Pre-Accession assistance (IPA)</w:t>
            </w:r>
            <w:r>
              <w:rPr>
                <w:rFonts w:ascii="Times New Roman" w:eastAsia="Times New Roman" w:hAnsi="Times New Roman" w:cs="Times New Roman"/>
                <w:b/>
                <w:i/>
                <w:strike w:val="0"/>
                <w:color w:val="000000"/>
                <w:sz w:val="24"/>
                <w:highlight w:val="none"/>
                <w:u w:val="none" w:color="auto"/>
              </w:rPr>
              <w:t>, which are a prerequisite for successful EU prospects;</w:t>
            </w:r>
            <w:r>
              <w:t xml:space="preserve"> </w:t>
            </w:r>
            <w:r>
              <w:rPr>
                <w:rFonts w:ascii="Times New Roman" w:eastAsia="Times New Roman" w:hAnsi="Times New Roman" w:cs="Times New Roman"/>
                <w:b/>
                <w:i/>
                <w:strike w:val="0"/>
                <w:color w:val="000000"/>
                <w:sz w:val="24"/>
                <w:highlight w:val="none"/>
                <w:u w:val="none" w:color="auto"/>
              </w:rPr>
              <w:t>reminds, in contrary, that the budget for political, institutional and economic reforms should be increased, under IPA2, in order for citizens to sense the benefits of the EU negotiation process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Jordi Solé</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on behalf of the Verts/ALE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Draws attention to recent worrying political developments in the Western Balkans that require the Union's urgent attention to avoid progress achieved in the past decades being put into question; rejects, therefore, the proposed cut of almost EUR 90 million to support for political reforms in the region under the Instrument for Pre-Accession assistance (IPA);</w:t>
            </w:r>
          </w:p>
        </w:tc>
        <w:tc>
          <w:tcPr/>
          <w:p>
            <w:pPr>
              <w:pStyle w:val="Normal6"/>
            </w:pPr>
            <w:r>
              <w:t>3.</w:t>
            </w:r>
            <w:r>
              <w:tab/>
            </w:r>
            <w:r>
              <w:t xml:space="preserve">Draws attention to recent worrying political developments in the Western Balkans that require the Union's urgent attention to avoid progress achieved in the past decades being put into question; rejects, therefore, the proposed cut of almost EUR 90 million to support for political reforms in the region under the Instrument for Pre-Accession assistance (IPA); </w:t>
            </w:r>
            <w:r>
              <w:rPr>
                <w:rFonts w:ascii="Times New Roman" w:eastAsia="Times New Roman" w:hAnsi="Times New Roman" w:cs="Times New Roman"/>
                <w:b/>
                <w:i/>
                <w:strike w:val="0"/>
                <w:color w:val="000000"/>
                <w:sz w:val="24"/>
                <w:highlight w:val="none"/>
                <w:u w:val="none" w:color="auto"/>
              </w:rPr>
              <w:t>supports the reduction of funding for Turkey under the "Support for economic, social and territorial development" line;</w:t>
            </w:r>
            <w:r>
              <w:t xml:space="preserve"> </w:t>
            </w:r>
            <w:r>
              <w:rPr>
                <w:rFonts w:ascii="Times New Roman" w:eastAsia="Times New Roman" w:hAnsi="Times New Roman" w:cs="Times New Roman"/>
                <w:b/>
                <w:i/>
                <w:strike w:val="0"/>
                <w:color w:val="000000"/>
                <w:sz w:val="24"/>
                <w:highlight w:val="none"/>
                <w:u w:val="none" w:color="auto"/>
              </w:rPr>
              <w:t>believes however that an increase in EIDHR funding should be earmarked for Turkey in order to support civil society directly.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Draws attention to recent worrying political developments in the Western Balkans that require the Union's urgent attention to avoid progress achieved in the past decades being put into question; rejects, therefore, the proposed cut of almost EUR 90 million to support for political reforms in the region under the Instrument for Pre-Accession assistance (IPA);</w:t>
            </w:r>
          </w:p>
        </w:tc>
        <w:tc>
          <w:tcPr/>
          <w:p>
            <w:pPr>
              <w:pStyle w:val="Normal6"/>
            </w:pPr>
            <w:r>
              <w:t>3.</w:t>
            </w:r>
            <w:r>
              <w:tab/>
            </w:r>
            <w:r>
              <w:t xml:space="preserve">Draws attention to recent worrying political developments in the Western Balkans that require the Union's urgent attention to avoid progress achieved in the past decades being put into question; rejects, therefore, the proposed cut of almost EUR 90 million to support for political reforms in the region under the Instrument for Pre-Accession assistance (IPA); </w:t>
            </w:r>
            <w:r>
              <w:rPr>
                <w:rFonts w:ascii="Times New Roman" w:eastAsia="Times New Roman" w:hAnsi="Times New Roman" w:cs="Times New Roman"/>
                <w:b/>
                <w:i/>
                <w:strike w:val="0"/>
                <w:color w:val="000000"/>
                <w:sz w:val="24"/>
                <w:highlight w:val="none"/>
                <w:u w:val="none" w:color="auto"/>
              </w:rPr>
              <w:t>recalls that support for candidate countries and potential candidate countries in adopting and implementing political, economic and social reforms in view of their accession is an important tool to foster stability;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Paulo Rangel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Draws attention to recent worrying political developments in the Western Balkans that require the Union's urgent attention to avoid progress achieved in the past decades being put into question; rejects, therefore, the proposed cut of almost EUR 90 million to support for political reforms in the region under the Instrument for Pre-Accession assistance (IPA);</w:t>
            </w:r>
          </w:p>
        </w:tc>
        <w:tc>
          <w:tcPr/>
          <w:p>
            <w:pPr>
              <w:pStyle w:val="Normal6"/>
            </w:pPr>
            <w:r>
              <w:t>3.</w:t>
            </w:r>
            <w:r>
              <w:tab/>
            </w:r>
            <w:r>
              <w:t xml:space="preserve">Draws attention to recent worrying political developments in the Western Balkans that require the Union's urgent attention to avoid progress achieved in the past decades being put into question; rejects, therefore, the proposed cut of almost EUR 90 million to support for political reforms in the region under the Instrument for Pre-Accession assistance (IPA); </w:t>
            </w:r>
            <w:r>
              <w:rPr>
                <w:rFonts w:ascii="Times New Roman" w:eastAsia="Times New Roman" w:hAnsi="Times New Roman" w:cs="Times New Roman"/>
                <w:b/>
                <w:i/>
                <w:strike w:val="0"/>
                <w:color w:val="000000"/>
                <w:sz w:val="24"/>
                <w:highlight w:val="none"/>
                <w:u w:val="none" w:color="auto"/>
              </w:rPr>
              <w:t>stresses the importance of this instrument and the need to make more effective use of funding earmarked for this purpose;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PT</w:t>
      </w:r>
      <w:r>
        <w:rPr>
          <w:rStyle w:val="HideTWBInt"/>
        </w:rPr>
        <w:t>}</w:t>
      </w:r>
      <w:r>
        <w:t>pt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Draws attention to recent worrying political developments in the Western Balkans that require the Union's urgent attention to avoid progress achieved in the past decades being put into question; rejects, therefore, the proposed cut of almost EUR 90 million to support for political reforms in the region under the Instrument for Pre-Accession assistance (IPA);</w:t>
            </w:r>
          </w:p>
        </w:tc>
        <w:tc>
          <w:tcPr/>
          <w:p>
            <w:pPr>
              <w:pStyle w:val="Normal6"/>
            </w:pPr>
            <w:r>
              <w:t>3.</w:t>
            </w:r>
            <w:r>
              <w:tab/>
            </w:r>
            <w:r>
              <w:t xml:space="preserve">Draws attention to recent worrying political developments in the Western Balkans that require the Union's urgent attention to avoid progress achieved in the past decades being put into question </w:t>
            </w:r>
            <w:r>
              <w:rPr>
                <w:rFonts w:ascii="Times New Roman" w:eastAsia="Times New Roman" w:hAnsi="Times New Roman" w:cs="Times New Roman"/>
                <w:b/>
                <w:i/>
                <w:strike w:val="0"/>
                <w:color w:val="000000"/>
                <w:sz w:val="24"/>
                <w:highlight w:val="none"/>
                <w:u w:val="none" w:color="auto"/>
              </w:rPr>
              <w:t>and to consolidate their path toward accession</w:t>
            </w:r>
            <w:r>
              <w:t>; rejects, therefore, the proposed cut of almost EUR 90 million to support for political reforms in the region under the Instrument for Pre-Accession assistance (IPA);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Neena Gill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Underlines the strategic importance of both the Southern and Eastern neighbourhood for the Union and demands that the proposed decrease of resources for the European Neighbourhood Instrument (ENI) is avoided;</w:t>
            </w:r>
          </w:p>
        </w:tc>
        <w:tc>
          <w:tcPr/>
          <w:p>
            <w:pPr>
              <w:pStyle w:val="Normal6"/>
            </w:pPr>
            <w:r>
              <w:t>4.</w:t>
            </w:r>
            <w:r>
              <w:tab/>
            </w:r>
            <w:r>
              <w:t xml:space="preserve">Underlines the strategic importance of both the Southern and Eastern neighbourhood for the Union and demands that the proposed decrease of resources for the European Neighbourhood Instrument (ENI) is avoided; </w:t>
            </w:r>
            <w:r>
              <w:rPr>
                <w:rFonts w:ascii="Times New Roman" w:eastAsia="Times New Roman" w:hAnsi="Times New Roman" w:cs="Times New Roman"/>
                <w:b/>
                <w:i/>
                <w:strike w:val="0"/>
                <w:color w:val="000000"/>
                <w:sz w:val="24"/>
                <w:highlight w:val="none"/>
                <w:u w:val="none" w:color="auto"/>
              </w:rPr>
              <w:t>once again underscores the importance of continuing to support Tunisia as a potential example of democratic transition in the region;</w:t>
            </w:r>
            <w:r>
              <w:t xml:space="preserve"> </w:t>
            </w:r>
            <w:r>
              <w:rPr>
                <w:rFonts w:ascii="Times New Roman" w:eastAsia="Times New Roman" w:hAnsi="Times New Roman" w:cs="Times New Roman"/>
                <w:b/>
                <w:i/>
                <w:strike w:val="0"/>
                <w:color w:val="000000"/>
                <w:sz w:val="24"/>
                <w:highlight w:val="none"/>
                <w:u w:val="none" w:color="auto"/>
              </w:rPr>
              <w:t>considers it essential to maintain the Union's pivotal role in supporting the Middle East Peace Process as well as the Palestinian Authority and UNRWA in the light of recent worrying developments;</w:t>
            </w:r>
            <w:r>
              <w:t xml:space="preserve"> </w:t>
            </w:r>
            <w:r>
              <w:rPr>
                <w:rFonts w:ascii="Times New Roman" w:eastAsia="Times New Roman" w:hAnsi="Times New Roman" w:cs="Times New Roman"/>
                <w:b/>
                <w:i/>
                <w:strike w:val="0"/>
                <w:color w:val="000000"/>
                <w:sz w:val="24"/>
                <w:highlight w:val="none"/>
                <w:u w:val="none" w:color="auto"/>
              </w:rPr>
              <w:t>calls for increased support to accompany Libya's transition towards an inclusive democracy and for all possible measures to be taken to ensure the respect of human rights in the country;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Underlines the strategic importance of both the Southern and Eastern neighbourhood for the Union and demands that the proposed decrease of resources for the European Neighbourhood Instrument (ENI) is avoided;</w:t>
            </w:r>
          </w:p>
        </w:tc>
        <w:tc>
          <w:tcPr/>
          <w:p>
            <w:pPr>
              <w:pStyle w:val="Normal6"/>
            </w:pPr>
            <w:r>
              <w:t>4.</w:t>
            </w:r>
            <w:r>
              <w:tab/>
            </w:r>
            <w:r>
              <w:t xml:space="preserve">Underlines the strategic importance of both the Southern and Eastern neighbourhood for the Union and demands that the proposed decrease of resources for the European Neighbourhood Instrument (ENI) is avoided; </w:t>
            </w:r>
            <w:r>
              <w:rPr>
                <w:rFonts w:ascii="Times New Roman" w:eastAsia="Times New Roman" w:hAnsi="Times New Roman" w:cs="Times New Roman"/>
                <w:b/>
                <w:i/>
                <w:strike w:val="0"/>
                <w:color w:val="000000"/>
                <w:sz w:val="24"/>
                <w:highlight w:val="none"/>
                <w:u w:val="none" w:color="auto"/>
              </w:rPr>
              <w:t>supports the pledge of April 2017 Brussels Conference for an increased assistance in Syria, Jordan and Lebanon and stresses that a corresponding reinforcement of ENI should be foreseen;</w:t>
            </w:r>
            <w:r>
              <w:t xml:space="preserve"> </w:t>
            </w:r>
            <w:r>
              <w:rPr>
                <w:rFonts w:ascii="Times New Roman" w:eastAsia="Times New Roman" w:hAnsi="Times New Roman" w:cs="Times New Roman"/>
                <w:b/>
                <w:i/>
                <w:strike w:val="0"/>
                <w:color w:val="000000"/>
                <w:sz w:val="24"/>
                <w:highlight w:val="none"/>
                <w:u w:val="none" w:color="auto"/>
              </w:rPr>
              <w:t>takes positive note of the slight increase of funding for the Eastern Partnership countries under ENI and draws attention to the fact that, given the current challenges, further increases should be envisaged;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Tokia Saïfi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Underlines the strategic importance of both the Southern and Eastern neighbourhood for the Union and demands that the proposed decrease of resources for the European Neighbourhood Instrument (ENI) is avoided;</w:t>
            </w:r>
          </w:p>
        </w:tc>
        <w:tc>
          <w:tcPr/>
          <w:p>
            <w:pPr>
              <w:pStyle w:val="Normal6"/>
            </w:pPr>
            <w:r>
              <w:t>4.</w:t>
            </w:r>
            <w:r>
              <w:tab/>
            </w:r>
            <w:r>
              <w:t xml:space="preserve">Underlines the strategic importance of both the Southern and Eastern neighbourhood for the Union and demands that the proposed decrease of resources for the European Neighbourhood Instrument (ENI) is avoided; </w:t>
            </w:r>
            <w:r>
              <w:rPr>
                <w:rFonts w:ascii="Times New Roman" w:eastAsia="Times New Roman" w:hAnsi="Times New Roman" w:cs="Times New Roman"/>
                <w:b/>
                <w:i/>
                <w:strike w:val="0"/>
                <w:color w:val="000000"/>
                <w:sz w:val="24"/>
                <w:highlight w:val="none"/>
                <w:u w:val="none" w:color="auto"/>
              </w:rPr>
              <w:t xml:space="preserve">points out that the primary objective of European Neighbourhood Policy is growth and employment, particularly for young graduates; </w:t>
            </w:r>
            <w:r>
              <w:t xml:space="preserve"> </w:t>
            </w:r>
            <w:r>
              <w:rPr>
                <w:rFonts w:ascii="Times New Roman" w:eastAsia="Times New Roman" w:hAnsi="Times New Roman" w:cs="Times New Roman"/>
                <w:b/>
                <w:i/>
                <w:strike w:val="0"/>
                <w:color w:val="000000"/>
                <w:sz w:val="24"/>
                <w:highlight w:val="none"/>
                <w:u w:val="none" w:color="auto"/>
              </w:rPr>
              <w:t xml:space="preserve">calls on the Commission to respect and step up its ENI commitments to provide funding for projects promoting the employability of young people locally; </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Underlines the strategic importance of both the Southern and Eastern neighbourhood for the Union and demands that the proposed decrease of resources for the European Neighbourhood Instrument (ENI) is avoided;</w:t>
            </w:r>
          </w:p>
        </w:tc>
        <w:tc>
          <w:tcPr/>
          <w:p>
            <w:pPr>
              <w:pStyle w:val="Normal6"/>
            </w:pPr>
            <w:r>
              <w:t>4.</w:t>
            </w:r>
            <w:r>
              <w:tab/>
            </w:r>
            <w:r>
              <w:t xml:space="preserve">Underlines the strategic importance of both the Southern and Eastern neighbourhood for the Union and demands that the proposed decrease of resources for the European Neighbourhood Instrument (ENI) is avoided; </w:t>
            </w:r>
            <w:r>
              <w:rPr>
                <w:rFonts w:ascii="Times New Roman" w:eastAsia="Times New Roman" w:hAnsi="Times New Roman" w:cs="Times New Roman"/>
                <w:b/>
                <w:i/>
                <w:strike w:val="0"/>
                <w:color w:val="000000"/>
                <w:sz w:val="24"/>
                <w:highlight w:val="none"/>
                <w:u w:val="none" w:color="auto"/>
              </w:rPr>
              <w:t>underlines that, now more than ever, in the light of the migratory crisis affecting southern European countries, it is fundamental to keep a steady commitment to the southern neighbourhood;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Anders Primdahl Vistisen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rPr>
                <w:rFonts w:ascii="Times New Roman" w:eastAsia="Times New Roman" w:hAnsi="Times New Roman" w:cs="Times New Roman"/>
                <w:b/>
                <w:i/>
                <w:strike w:val="0"/>
                <w:color w:val="000000"/>
                <w:sz w:val="24"/>
                <w:highlight w:val="none"/>
                <w:u w:val="none" w:color="auto"/>
              </w:rPr>
              <w:t>Underlines</w:t>
            </w:r>
            <w:r>
              <w:t xml:space="preserve"> the strategic importance of both the Southern and Eastern neighbourhood for the Union and </w:t>
            </w:r>
            <w:r>
              <w:rPr>
                <w:rFonts w:ascii="Times New Roman" w:eastAsia="Times New Roman" w:hAnsi="Times New Roman" w:cs="Times New Roman"/>
                <w:b/>
                <w:i/>
                <w:strike w:val="0"/>
                <w:color w:val="000000"/>
                <w:sz w:val="24"/>
                <w:highlight w:val="none"/>
                <w:u w:val="none" w:color="auto"/>
              </w:rPr>
              <w:t>demands</w:t>
            </w:r>
            <w:r>
              <w:t xml:space="preserve"> that the proposed decrease of resources for the European Neighbourhood Instrument (ENI) is </w:t>
            </w:r>
            <w:r>
              <w:rPr>
                <w:rFonts w:ascii="Times New Roman" w:eastAsia="Times New Roman" w:hAnsi="Times New Roman" w:cs="Times New Roman"/>
                <w:b/>
                <w:i/>
                <w:strike w:val="0"/>
                <w:color w:val="000000"/>
                <w:sz w:val="24"/>
                <w:highlight w:val="none"/>
                <w:u w:val="none" w:color="auto"/>
              </w:rPr>
              <w:t>avoided</w:t>
            </w:r>
            <w:r>
              <w:t>;</w:t>
            </w:r>
          </w:p>
        </w:tc>
        <w:tc>
          <w:tcPr/>
          <w:p>
            <w:pPr>
              <w:pStyle w:val="Normal6"/>
            </w:pPr>
            <w:r>
              <w:t>4.</w:t>
            </w:r>
            <w:r>
              <w:tab/>
            </w:r>
            <w:r>
              <w:rPr>
                <w:rFonts w:ascii="Times New Roman" w:eastAsia="Times New Roman" w:hAnsi="Times New Roman" w:cs="Times New Roman"/>
                <w:b/>
                <w:i/>
                <w:strike w:val="0"/>
                <w:color w:val="000000"/>
                <w:sz w:val="24"/>
                <w:highlight w:val="none"/>
                <w:u w:val="none" w:color="auto"/>
              </w:rPr>
              <w:t>Recognises</w:t>
            </w:r>
            <w:r>
              <w:t xml:space="preserve"> the strategic importance of both the Southern and Eastern neighbourhood for the Union and </w:t>
            </w:r>
            <w:r>
              <w:rPr>
                <w:rFonts w:ascii="Times New Roman" w:eastAsia="Times New Roman" w:hAnsi="Times New Roman" w:cs="Times New Roman"/>
                <w:b/>
                <w:i/>
                <w:strike w:val="0"/>
                <w:color w:val="000000"/>
                <w:sz w:val="24"/>
                <w:highlight w:val="none"/>
                <w:u w:val="none" w:color="auto"/>
              </w:rPr>
              <w:t>suggests</w:t>
            </w:r>
            <w:r>
              <w:t xml:space="preserve"> that the proposed decrease of resources for the European Neighbourhood Instrument (ENI) is </w:t>
            </w:r>
            <w:r>
              <w:rPr>
                <w:rFonts w:ascii="Times New Roman" w:eastAsia="Times New Roman" w:hAnsi="Times New Roman" w:cs="Times New Roman"/>
                <w:b/>
                <w:i/>
                <w:strike w:val="0"/>
                <w:color w:val="000000"/>
                <w:sz w:val="24"/>
                <w:highlight w:val="none"/>
                <w:u w:val="none" w:color="auto"/>
              </w:rPr>
              <w:t>balanced by funding allocated elsewhere, particularly to instruments contributing to Union security and Member State border integrity</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Jordi Solé</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on behalf of the Verts/ALE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4 a.</w:t>
            </w:r>
            <w:r>
              <w:tab/>
            </w:r>
            <w:r>
              <w:rPr>
                <w:rFonts w:ascii="Times New Roman" w:eastAsia="Times New Roman" w:hAnsi="Times New Roman" w:cs="Times New Roman"/>
                <w:b/>
                <w:i/>
                <w:strike w:val="0"/>
                <w:color w:val="000000"/>
                <w:sz w:val="24"/>
                <w:highlight w:val="none"/>
                <w:u w:val="none" w:color="auto"/>
              </w:rPr>
              <w:t>Opposes the drastic reductions of financial contributions from the external financial instruments ENI, IPA, PI and DCI to Erasmus+, despite the fact that youth exchange programs can be considered as one of the most successful long-term investments into cultural diplomacy and mutual understanding, and calls rather for an increase of these contributions;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Jordi Solé</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on behalf of the Verts/ALE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 xml:space="preserve">Welcomes the fact that the proposed appropriations for the Instrument contributing to Stability and Peace (IcSP) return to their pre-2017 levels and are further strengthened in view of new capacity building tasks which </w:t>
            </w:r>
            <w:r>
              <w:rPr>
                <w:rFonts w:ascii="Times New Roman" w:eastAsia="Times New Roman" w:hAnsi="Times New Roman" w:cs="Times New Roman"/>
                <w:b/>
                <w:i/>
                <w:strike w:val="0"/>
                <w:color w:val="000000"/>
                <w:sz w:val="24"/>
                <w:highlight w:val="none"/>
                <w:u w:val="none" w:color="auto"/>
              </w:rPr>
              <w:t>should result from the ongoing revision of</w:t>
            </w:r>
            <w:r>
              <w:t xml:space="preserve"> the IcSP regulation;</w:t>
            </w:r>
          </w:p>
        </w:tc>
        <w:tc>
          <w:tcPr/>
          <w:p>
            <w:pPr>
              <w:pStyle w:val="Normal6"/>
            </w:pPr>
            <w:r>
              <w:t>5.</w:t>
            </w:r>
            <w:r>
              <w:tab/>
            </w:r>
            <w:r>
              <w:t xml:space="preserve">Welcomes the fact that the proposed appropriations for the Instrument contributing to Stability and Peace (IcSP) return to their pre-2017 levels and are further strengthened in view of </w:t>
            </w:r>
            <w:r>
              <w:rPr>
                <w:rFonts w:ascii="Times New Roman" w:eastAsia="Times New Roman" w:hAnsi="Times New Roman" w:cs="Times New Roman"/>
                <w:b/>
                <w:i/>
                <w:strike w:val="0"/>
                <w:color w:val="000000"/>
                <w:sz w:val="24"/>
                <w:highlight w:val="none"/>
                <w:u w:val="none" w:color="auto"/>
              </w:rPr>
              <w:t>its role as the Union's only instrument for civilian conflict prevention;</w:t>
            </w:r>
            <w:r>
              <w:t xml:space="preserve"> </w:t>
            </w:r>
            <w:r>
              <w:rPr>
                <w:rFonts w:ascii="Times New Roman" w:eastAsia="Times New Roman" w:hAnsi="Times New Roman" w:cs="Times New Roman"/>
                <w:b/>
                <w:i/>
                <w:strike w:val="0"/>
                <w:color w:val="000000"/>
                <w:sz w:val="24"/>
                <w:highlight w:val="none"/>
                <w:u w:val="none" w:color="auto"/>
              </w:rPr>
              <w:t>urges Member State to consider implementing the Union's</w:t>
            </w:r>
            <w:r>
              <w:t xml:space="preserve"> new capacity building tasks </w:t>
            </w:r>
            <w:r>
              <w:rPr>
                <w:rFonts w:ascii="Times New Roman" w:eastAsia="Times New Roman" w:hAnsi="Times New Roman" w:cs="Times New Roman"/>
                <w:b/>
                <w:i/>
                <w:strike w:val="0"/>
                <w:color w:val="000000"/>
                <w:sz w:val="24"/>
                <w:highlight w:val="none"/>
                <w:u w:val="none" w:color="auto"/>
              </w:rPr>
              <w:t>for military actors within the appropriate legal framework,</w:t>
            </w:r>
            <w:r>
              <w:t xml:space="preserve"> which </w:t>
            </w:r>
            <w:r>
              <w:rPr>
                <w:rFonts w:ascii="Times New Roman" w:eastAsia="Times New Roman" w:hAnsi="Times New Roman" w:cs="Times New Roman"/>
                <w:b/>
                <w:i/>
                <w:strike w:val="0"/>
                <w:color w:val="000000"/>
                <w:sz w:val="24"/>
                <w:highlight w:val="none"/>
                <w:u w:val="none" w:color="auto"/>
              </w:rPr>
              <w:t>is the CFSP;</w:t>
            </w:r>
            <w:r>
              <w:t xml:space="preserve"> </w:t>
            </w:r>
            <w:r>
              <w:rPr>
                <w:rFonts w:ascii="Times New Roman" w:eastAsia="Times New Roman" w:hAnsi="Times New Roman" w:cs="Times New Roman"/>
                <w:b/>
                <w:i/>
                <w:strike w:val="0"/>
                <w:color w:val="000000"/>
                <w:sz w:val="24"/>
                <w:highlight w:val="none"/>
                <w:u w:val="none" w:color="auto"/>
              </w:rPr>
              <w:t>calls therefore on the Commission to withdraw its 5 July 2016 legislative amendment to</w:t>
            </w:r>
            <w:r>
              <w:t xml:space="preserve"> the IcSP regulation;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Sabine Lösing</w:t>
      </w:r>
      <w:r>
        <w:t xml:space="preserve">, </w:t>
      </w:r>
      <w:r>
        <w:t>Javier Couso Permuy</w:t>
      </w:r>
      <w:r>
        <w:t xml:space="preserve">, </w:t>
      </w:r>
      <w:r>
        <w:t>Miguel Urbán Crespo</w:t>
      </w:r>
      <w:r>
        <w:t xml:space="preserve">, </w:t>
      </w:r>
      <w:r>
        <w:t>Takis Hadjigeorgiou</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rPr>
                <w:rFonts w:ascii="Times New Roman" w:eastAsia="Times New Roman" w:hAnsi="Times New Roman" w:cs="Times New Roman"/>
                <w:b/>
                <w:i/>
                <w:strike w:val="0"/>
                <w:color w:val="000000"/>
                <w:sz w:val="24"/>
                <w:highlight w:val="none"/>
                <w:u w:val="none" w:color="auto"/>
              </w:rPr>
              <w:t>Welcomes the fact that the proposed appropriations for</w:t>
            </w:r>
            <w:r>
              <w:t xml:space="preserve"> the Instrument contributing to Stability and Peace (IcSP) </w:t>
            </w:r>
            <w:r>
              <w:rPr>
                <w:rFonts w:ascii="Times New Roman" w:eastAsia="Times New Roman" w:hAnsi="Times New Roman" w:cs="Times New Roman"/>
                <w:b/>
                <w:i/>
                <w:strike w:val="0"/>
                <w:color w:val="000000"/>
                <w:sz w:val="24"/>
                <w:highlight w:val="none"/>
                <w:u w:val="none" w:color="auto"/>
              </w:rPr>
              <w:t>return to their pre-2017 levels and are further strengthened in view of new capacity building tasks which should result from the ongoing revision of the IcSP regulation</w:t>
            </w:r>
            <w:r>
              <w:t>;</w:t>
            </w:r>
          </w:p>
        </w:tc>
        <w:tc>
          <w:tcPr/>
          <w:p>
            <w:pPr>
              <w:pStyle w:val="Normal6"/>
            </w:pPr>
            <w:r>
              <w:t>5.</w:t>
            </w:r>
            <w:r>
              <w:tab/>
            </w:r>
            <w:r>
              <w:rPr>
                <w:rFonts w:ascii="Times New Roman" w:eastAsia="Times New Roman" w:hAnsi="Times New Roman" w:cs="Times New Roman"/>
                <w:b/>
                <w:i/>
                <w:strike w:val="0"/>
                <w:color w:val="000000"/>
                <w:sz w:val="24"/>
                <w:highlight w:val="none"/>
                <w:u w:val="none" w:color="auto"/>
              </w:rPr>
              <w:t>Strongly rejects the proposed amendment to the scope of</w:t>
            </w:r>
            <w:r>
              <w:t xml:space="preserve"> the Instrument contributing to Stability and Peace (IcSP) </w:t>
            </w:r>
            <w:r>
              <w:rPr>
                <w:rFonts w:ascii="Times New Roman" w:eastAsia="Times New Roman" w:hAnsi="Times New Roman" w:cs="Times New Roman"/>
                <w:b/>
                <w:i/>
                <w:strike w:val="0"/>
                <w:color w:val="000000"/>
                <w:sz w:val="24"/>
                <w:highlight w:val="none"/>
                <w:u w:val="none" w:color="auto"/>
              </w:rPr>
              <w:t>in order to finance also training and equipment for military;</w:t>
            </w:r>
            <w:r>
              <w:t xml:space="preserve"> </w:t>
            </w:r>
            <w:r>
              <w:rPr>
                <w:rFonts w:ascii="Times New Roman" w:eastAsia="Times New Roman" w:hAnsi="Times New Roman" w:cs="Times New Roman"/>
                <w:b/>
                <w:i/>
                <w:strike w:val="0"/>
                <w:color w:val="000000"/>
                <w:sz w:val="24"/>
                <w:highlight w:val="none"/>
                <w:u w:val="none" w:color="auto"/>
              </w:rPr>
              <w:t>highlights in this context the importance of providing sufficient funds to civilian conflict resolution and prevention and civil measures that contribute to the building of peace, development and poverty eradication</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Anders Primdahl Vistisen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Welcomes the fact that the proposed appropriations for the Instrument contributing to Stability and Peace (IcSP) return to their pre-2017 levels and are further strengthened in view of new capacity building tasks which should result from the ongoing revision of the IcSP regulation;</w:t>
            </w:r>
          </w:p>
        </w:tc>
        <w:tc>
          <w:tcPr/>
          <w:p>
            <w:pPr>
              <w:pStyle w:val="Normal6"/>
            </w:pPr>
            <w:r>
              <w:t>5.</w:t>
            </w:r>
            <w:r>
              <w:tab/>
            </w:r>
            <w:r>
              <w:t>Welcomes the fact that the proposed appropriations for the Instrument contributing to Stability and Peace (IcSP) return to their pre-2017 levels and are further strengthened in view of new capacity building tasks which should result from the ongoing revision of the IcSP regulation</w:t>
            </w:r>
            <w:r>
              <w:rPr>
                <w:rFonts w:ascii="Times New Roman" w:eastAsia="Times New Roman" w:hAnsi="Times New Roman" w:cs="Times New Roman"/>
                <w:b/>
                <w:i/>
                <w:strike w:val="0"/>
                <w:color w:val="000000"/>
                <w:sz w:val="24"/>
                <w:highlight w:val="none"/>
                <w:u w:val="none" w:color="auto"/>
              </w:rPr>
              <w:t>, and furthermore recognises the potential inherent in the IcSP for promoting Union security and border integrity</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 xml:space="preserve">Welcomes the fact that the proposed appropriations for the Instrument contributing to Stability and Peace (IcSP) return to their pre-2017 levels </w:t>
            </w:r>
            <w:r>
              <w:rPr>
                <w:rFonts w:ascii="Times New Roman" w:eastAsia="Times New Roman" w:hAnsi="Times New Roman" w:cs="Times New Roman"/>
                <w:b/>
                <w:i/>
                <w:strike w:val="0"/>
                <w:color w:val="000000"/>
                <w:sz w:val="24"/>
                <w:highlight w:val="none"/>
                <w:u w:val="none" w:color="auto"/>
              </w:rPr>
              <w:t>and are further strengthened in view of new capacity building tasks which should result from the ongoing revision of the IcSP regulation</w:t>
            </w:r>
            <w:r>
              <w:t>;</w:t>
            </w:r>
          </w:p>
        </w:tc>
        <w:tc>
          <w:tcPr/>
          <w:p>
            <w:pPr>
              <w:pStyle w:val="Normal6"/>
            </w:pPr>
            <w:r>
              <w:t>5.</w:t>
            </w:r>
            <w:r>
              <w:tab/>
            </w:r>
            <w:r>
              <w:t>Welcomes the fact that the proposed appropriations for the Instrument contributing to Stability and Peace (IcSP) return to their pre-2017 levels;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Neena Gill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5 a.</w:t>
            </w:r>
            <w:r>
              <w:tab/>
            </w:r>
            <w:r>
              <w:rPr>
                <w:rFonts w:ascii="Times New Roman" w:eastAsia="Times New Roman" w:hAnsi="Times New Roman" w:cs="Times New Roman"/>
                <w:b/>
                <w:i/>
                <w:strike w:val="0"/>
                <w:color w:val="000000"/>
                <w:sz w:val="24"/>
                <w:highlight w:val="none"/>
                <w:u w:val="none" w:color="auto"/>
              </w:rPr>
              <w:t>Welcomes the steps taken as a result of the last budgetary negotiations to allow for increased parliamentary scrutiny of activities falling under the Union's Trust Funds and the Turkey Refugee Facility;</w:t>
            </w:r>
            <w:r>
              <w:rPr>
                <w:rFonts w:ascii="Times New Roman" w:eastAsia="Times New Roman" w:hAnsi="Times New Roman" w:cs="Times New Roman"/>
                <w:b/>
                <w:i/>
                <w:strike w:val="0"/>
                <w:color w:val="000000"/>
                <w:sz w:val="24"/>
                <w:highlight w:val="none"/>
                <w:u w:val="none" w:color="auto"/>
              </w:rPr>
              <w:t>recalls that such ad hoc instruments should only be resorted to if the requirements in terms of Union added value and additionality are met;</w:t>
            </w:r>
            <w:r>
              <w:rPr>
                <w:rFonts w:ascii="Times New Roman" w:eastAsia="Times New Roman" w:hAnsi="Times New Roman" w:cs="Times New Roman"/>
                <w:b/>
                <w:i/>
                <w:strike w:val="0"/>
                <w:color w:val="000000"/>
                <w:sz w:val="24"/>
                <w:highlight w:val="none"/>
                <w:u w:val="none" w:color="auto"/>
              </w:rPr>
              <w:t>reiterates its call for Member States to substantially increase contributions to the Trust Funds and the Turkey Refugee Facility;</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Neena Gill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5 a.</w:t>
            </w:r>
            <w:r>
              <w:tab/>
            </w:r>
            <w:r>
              <w:rPr>
                <w:rFonts w:ascii="Times New Roman" w:eastAsia="Times New Roman" w:hAnsi="Times New Roman" w:cs="Times New Roman"/>
                <w:b/>
                <w:i/>
                <w:strike w:val="0"/>
                <w:color w:val="000000"/>
                <w:sz w:val="24"/>
                <w:highlight w:val="none"/>
                <w:u w:val="none" w:color="auto"/>
              </w:rPr>
              <w:t>Recalls the importance of investing in the visibility of the Union's external action in order to strengthen the impact of funding in that field and allow for ambitions on public diplomacy to be delivered under the Global Strategy;</w:t>
            </w:r>
            <w:r>
              <w:rPr>
                <w:rFonts w:ascii="Times New Roman" w:eastAsia="Times New Roman" w:hAnsi="Times New Roman" w:cs="Times New Roman"/>
                <w:b/>
                <w:i/>
                <w:strike w:val="0"/>
                <w:color w:val="000000"/>
                <w:sz w:val="24"/>
                <w:highlight w:val="none"/>
                <w:u w:val="none" w:color="auto"/>
              </w:rPr>
              <w:t>calls for further stepping up funding for strategic communication in view of the growing disinformation challenge emanating from third states and non-state actors targeting Union interests;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Cristian Dan Preda</w:t>
      </w:r>
      <w:r>
        <w:t xml:space="preserve">, </w:t>
      </w:r>
      <w:r>
        <w:t>Eduard Kukan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5 a.</w:t>
            </w:r>
            <w:r>
              <w:tab/>
            </w:r>
            <w:r>
              <w:rPr>
                <w:rFonts w:ascii="Times New Roman" w:eastAsia="Times New Roman" w:hAnsi="Times New Roman" w:cs="Times New Roman"/>
                <w:b/>
                <w:i/>
                <w:strike w:val="0"/>
                <w:color w:val="000000"/>
                <w:sz w:val="24"/>
                <w:highlight w:val="none"/>
                <w:u w:val="none" w:color="auto"/>
              </w:rPr>
              <w:t>Calls for significant new resources to counter disinformation campaigns and cyberattacks, which are increasingly used to undermine democratic order in countries in the Union's neighbourhood, as well as in the Union itself;</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Jordi Solé</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Verts/ALE</w:t>
      </w:r>
      <w:r>
        <w:rPr>
          <w:rStyle w:val="HideTWBInt"/>
        </w:rPr>
        <w:t>}</w:t>
      </w:r>
      <w:r>
        <w:t>on behalf of the Verts/ALE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 xml:space="preserve">Stresses the importance of stimulating cooperative defence research in Europe for addressing key capability shortfalls at a time when international developments increasingly require Europe to step up its efforts on defence; fully supports the increased </w:t>
            </w:r>
            <w:r>
              <w:rPr>
                <w:rFonts w:ascii="Times New Roman" w:eastAsia="Times New Roman" w:hAnsi="Times New Roman" w:cs="Times New Roman"/>
                <w:b/>
                <w:i/>
                <w:strike w:val="0"/>
                <w:color w:val="000000"/>
                <w:sz w:val="24"/>
                <w:highlight w:val="none"/>
                <w:u w:val="none" w:color="auto"/>
              </w:rPr>
              <w:t>allocation for the Preparatory Action on</w:t>
            </w:r>
            <w:r>
              <w:t xml:space="preserve"> defence </w:t>
            </w:r>
            <w:r>
              <w:rPr>
                <w:rFonts w:ascii="Times New Roman" w:eastAsia="Times New Roman" w:hAnsi="Times New Roman" w:cs="Times New Roman"/>
                <w:b/>
                <w:i/>
                <w:strike w:val="0"/>
                <w:color w:val="000000"/>
                <w:sz w:val="24"/>
                <w:highlight w:val="none"/>
                <w:u w:val="none" w:color="auto"/>
              </w:rPr>
              <w:t>research</w:t>
            </w:r>
            <w:r>
              <w:t>;</w:t>
            </w:r>
          </w:p>
        </w:tc>
        <w:tc>
          <w:tcPr/>
          <w:p>
            <w:pPr>
              <w:pStyle w:val="Normal6"/>
            </w:pPr>
            <w:r>
              <w:t>6.</w:t>
            </w:r>
            <w:r>
              <w:tab/>
            </w:r>
            <w:r>
              <w:t>Stresses the importance of stimulating cooperative defence research</w:t>
            </w:r>
            <w:r>
              <w:rPr>
                <w:rFonts w:ascii="Times New Roman" w:eastAsia="Times New Roman" w:hAnsi="Times New Roman" w:cs="Times New Roman"/>
                <w:b/>
                <w:i/>
                <w:strike w:val="0"/>
                <w:color w:val="000000"/>
                <w:sz w:val="24"/>
                <w:highlight w:val="none"/>
                <w:u w:val="none" w:color="auto"/>
              </w:rPr>
              <w:t>, development, acquisition, and maintenance</w:t>
            </w:r>
            <w:r>
              <w:t xml:space="preserve"> in Europe for addressing key capability shortfalls at a time when international developments increasingly require Europe to step up its efforts on defence; fully supports the </w:t>
            </w:r>
            <w:r>
              <w:rPr>
                <w:rFonts w:ascii="Times New Roman" w:eastAsia="Times New Roman" w:hAnsi="Times New Roman" w:cs="Times New Roman"/>
                <w:b/>
                <w:i/>
                <w:strike w:val="0"/>
                <w:color w:val="000000"/>
                <w:sz w:val="24"/>
                <w:highlight w:val="none"/>
                <w:u w:val="none" w:color="auto"/>
              </w:rPr>
              <w:t>idea of</w:t>
            </w:r>
            <w:r>
              <w:t xml:space="preserve"> increased </w:t>
            </w:r>
            <w:r>
              <w:rPr>
                <w:rFonts w:ascii="Times New Roman" w:eastAsia="Times New Roman" w:hAnsi="Times New Roman" w:cs="Times New Roman"/>
                <w:b/>
                <w:i/>
                <w:strike w:val="0"/>
                <w:color w:val="000000"/>
                <w:sz w:val="24"/>
                <w:highlight w:val="none"/>
                <w:u w:val="none" w:color="auto"/>
              </w:rPr>
              <w:t>pooling and sharing arrangements between Member States;</w:t>
            </w:r>
            <w:r>
              <w:t xml:space="preserve"> </w:t>
            </w:r>
            <w:r>
              <w:rPr>
                <w:rFonts w:ascii="Times New Roman" w:eastAsia="Times New Roman" w:hAnsi="Times New Roman" w:cs="Times New Roman"/>
                <w:b/>
                <w:i/>
                <w:strike w:val="0"/>
                <w:color w:val="000000"/>
                <w:sz w:val="24"/>
                <w:highlight w:val="none"/>
                <w:u w:val="none" w:color="auto"/>
              </w:rPr>
              <w:t>calls on the Commission to start enforcing the 2009 defence procurement directive;</w:t>
            </w:r>
            <w:r>
              <w:t xml:space="preserve"> </w:t>
            </w:r>
            <w:r>
              <w:rPr>
                <w:rFonts w:ascii="Times New Roman" w:eastAsia="Times New Roman" w:hAnsi="Times New Roman" w:cs="Times New Roman"/>
                <w:b/>
                <w:i/>
                <w:strike w:val="0"/>
                <w:color w:val="000000"/>
                <w:sz w:val="24"/>
                <w:highlight w:val="none"/>
                <w:u w:val="none" w:color="auto"/>
              </w:rPr>
              <w:t>urges Member States and the Commission to focus on methods which increase efficiency of national</w:t>
            </w:r>
            <w:r>
              <w:t xml:space="preserve"> defence </w:t>
            </w:r>
            <w:r>
              <w:rPr>
                <w:rFonts w:ascii="Times New Roman" w:eastAsia="Times New Roman" w:hAnsi="Times New Roman" w:cs="Times New Roman"/>
                <w:b/>
                <w:i/>
                <w:strike w:val="0"/>
                <w:color w:val="000000"/>
                <w:sz w:val="24"/>
                <w:highlight w:val="none"/>
                <w:u w:val="none" w:color="auto"/>
              </w:rPr>
              <w:t>spending instead of diverting Union budget funds from existing programs such as Erasmus+, the European Regional Development Funds or the Connecting Europe Facility</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Michael Gahler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Stresses the importance of stimulating cooperative defence research in Europe for addressing key capability shortfalls at a time when international developments increasingly require Europe to step up its efforts on defence; fully supports the increased allocation for the Preparatory Action on defence research;</w:t>
            </w:r>
          </w:p>
        </w:tc>
        <w:tc>
          <w:tcPr/>
          <w:p>
            <w:pPr>
              <w:pStyle w:val="Normal6"/>
            </w:pPr>
            <w:r>
              <w:t>6.</w:t>
            </w:r>
            <w:r>
              <w:tab/>
            </w:r>
            <w:r>
              <w:t xml:space="preserve">Stresses the importance of stimulating cooperative defence research in Europe for addressing key capability shortfalls at a time when international developments increasingly require Europe to step up its efforts on defence; fully supports the increased allocation for the Preparatory Action on defence research; </w:t>
            </w:r>
            <w:r>
              <w:rPr>
                <w:rFonts w:ascii="Times New Roman" w:eastAsia="Times New Roman" w:hAnsi="Times New Roman" w:cs="Times New Roman"/>
                <w:b/>
                <w:i/>
                <w:strike w:val="0"/>
                <w:color w:val="000000"/>
                <w:sz w:val="24"/>
                <w:highlight w:val="none"/>
                <w:u w:val="none" w:color="auto"/>
              </w:rPr>
              <w:t xml:space="preserve">welcomes the European defence industrial policy proposed by the Commission and urges that it be geared to meet the needs of the Common Security and Defence Policy (CSDP) as a matter of priority; </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DE</w:t>
      </w:r>
      <w:r>
        <w:rPr>
          <w:rStyle w:val="HideTWBInt"/>
        </w:rPr>
        <w:t>}</w:t>
      </w:r>
      <w:r>
        <w:t>de</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Sabine Lösing</w:t>
      </w:r>
      <w:r>
        <w:t xml:space="preserve">, </w:t>
      </w:r>
      <w:r>
        <w:t>Javier Couso Permuy</w:t>
      </w:r>
      <w:r>
        <w:t xml:space="preserve">, </w:t>
      </w:r>
      <w:r>
        <w:t>Miguel Urbán Crespo</w:t>
      </w:r>
      <w:r>
        <w:t xml:space="preserve">, </w:t>
      </w:r>
      <w:r>
        <w:t>Takis Hadjigeorgiou</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rPr>
                <w:rFonts w:ascii="Times New Roman" w:eastAsia="Times New Roman" w:hAnsi="Times New Roman" w:cs="Times New Roman"/>
                <w:b/>
                <w:i/>
                <w:strike w:val="0"/>
                <w:color w:val="000000"/>
                <w:sz w:val="24"/>
                <w:highlight w:val="none"/>
                <w:u w:val="none" w:color="auto"/>
              </w:rPr>
              <w:t>Stresses the importance of stimulating</w:t>
            </w:r>
            <w:r>
              <w:t xml:space="preserve"> cooperative defence research in Europe </w:t>
            </w:r>
            <w:r>
              <w:rPr>
                <w:rFonts w:ascii="Times New Roman" w:eastAsia="Times New Roman" w:hAnsi="Times New Roman" w:cs="Times New Roman"/>
                <w:b/>
                <w:i/>
                <w:strike w:val="0"/>
                <w:color w:val="000000"/>
                <w:sz w:val="24"/>
                <w:highlight w:val="none"/>
                <w:u w:val="none" w:color="auto"/>
              </w:rPr>
              <w:t>for addressing key capability shortfalls at a time when international developments increasingly require Europe to step up its efforts on defence; fully supports the increased allocation for the Preparatory Action on</w:t>
            </w:r>
            <w:r>
              <w:t xml:space="preserve"> defence </w:t>
            </w:r>
            <w:r>
              <w:rPr>
                <w:rFonts w:ascii="Times New Roman" w:eastAsia="Times New Roman" w:hAnsi="Times New Roman" w:cs="Times New Roman"/>
                <w:b/>
                <w:i/>
                <w:strike w:val="0"/>
                <w:color w:val="000000"/>
                <w:sz w:val="24"/>
                <w:highlight w:val="none"/>
                <w:u w:val="none" w:color="auto"/>
              </w:rPr>
              <w:t>research</w:t>
            </w:r>
            <w:r>
              <w:t>;</w:t>
            </w:r>
          </w:p>
        </w:tc>
        <w:tc>
          <w:tcPr/>
          <w:p>
            <w:pPr>
              <w:pStyle w:val="Normal6"/>
            </w:pPr>
            <w:r>
              <w:t>6.</w:t>
            </w:r>
            <w:r>
              <w:tab/>
            </w:r>
            <w:r>
              <w:rPr>
                <w:rFonts w:ascii="Times New Roman" w:eastAsia="Times New Roman" w:hAnsi="Times New Roman" w:cs="Times New Roman"/>
                <w:b/>
                <w:i/>
                <w:strike w:val="0"/>
                <w:color w:val="000000"/>
                <w:sz w:val="24"/>
                <w:highlight w:val="none"/>
                <w:u w:val="none" w:color="auto"/>
              </w:rPr>
              <w:t>Is highly concerned about the current proposals subsumed under the European Defence Union, such as</w:t>
            </w:r>
            <w:r>
              <w:t xml:space="preserve"> cooperative defence research in Europe</w:t>
            </w:r>
            <w:r>
              <w:rPr>
                <w:rFonts w:ascii="Times New Roman" w:eastAsia="Times New Roman" w:hAnsi="Times New Roman" w:cs="Times New Roman"/>
                <w:b/>
                <w:i/>
                <w:strike w:val="0"/>
                <w:color w:val="000000"/>
                <w:sz w:val="24"/>
                <w:highlight w:val="none"/>
                <w:u w:val="none" w:color="auto"/>
              </w:rPr>
              <w:t>;</w:t>
            </w:r>
            <w:r>
              <w:t xml:space="preserve"> </w:t>
            </w:r>
            <w:r>
              <w:rPr>
                <w:rFonts w:ascii="Times New Roman" w:eastAsia="Times New Roman" w:hAnsi="Times New Roman" w:cs="Times New Roman"/>
                <w:b/>
                <w:i/>
                <w:strike w:val="0"/>
                <w:color w:val="000000"/>
                <w:sz w:val="24"/>
                <w:highlight w:val="none"/>
                <w:u w:val="none" w:color="auto"/>
              </w:rPr>
              <w:t>rejects the increased allocation to the Preparatory Action on defence research and the use of the EU budget for military implications;</w:t>
            </w:r>
            <w:r>
              <w:t xml:space="preserve"> </w:t>
            </w:r>
            <w:r>
              <w:rPr>
                <w:rFonts w:ascii="Times New Roman" w:eastAsia="Times New Roman" w:hAnsi="Times New Roman" w:cs="Times New Roman"/>
                <w:b/>
                <w:i/>
                <w:strike w:val="0"/>
                <w:color w:val="000000"/>
                <w:sz w:val="24"/>
                <w:highlight w:val="none"/>
                <w:u w:val="none" w:color="auto"/>
              </w:rPr>
              <w:t>recalls the obligation pursuant to Article 41(2) TEU, whereby "expenditure arising from operations having military or</w:t>
            </w:r>
            <w:r>
              <w:t xml:space="preserve"> defence </w:t>
            </w:r>
            <w:r>
              <w:rPr>
                <w:rFonts w:ascii="Times New Roman" w:eastAsia="Times New Roman" w:hAnsi="Times New Roman" w:cs="Times New Roman"/>
                <w:b/>
                <w:i/>
                <w:strike w:val="0"/>
                <w:color w:val="000000"/>
                <w:sz w:val="24"/>
                <w:highlight w:val="none"/>
                <w:u w:val="none" w:color="auto"/>
              </w:rPr>
              <w:t>implications are not to be charged to the Union budget"</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Fabio Massimo Castaldo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 xml:space="preserve">Stresses the importance </w:t>
            </w:r>
            <w:r>
              <w:rPr>
                <w:rFonts w:ascii="Times New Roman" w:eastAsia="Times New Roman" w:hAnsi="Times New Roman" w:cs="Times New Roman"/>
                <w:b/>
                <w:i/>
                <w:strike w:val="0"/>
                <w:color w:val="000000"/>
                <w:sz w:val="24"/>
                <w:highlight w:val="none"/>
                <w:u w:val="none" w:color="auto"/>
              </w:rPr>
              <w:t>of stimulating</w:t>
            </w:r>
            <w:r>
              <w:t xml:space="preserve"> cooperative defence research in Europe </w:t>
            </w:r>
            <w:r>
              <w:rPr>
                <w:rFonts w:ascii="Times New Roman" w:eastAsia="Times New Roman" w:hAnsi="Times New Roman" w:cs="Times New Roman"/>
                <w:b/>
                <w:i/>
                <w:strike w:val="0"/>
                <w:color w:val="000000"/>
                <w:sz w:val="24"/>
                <w:highlight w:val="none"/>
                <w:u w:val="none" w:color="auto"/>
              </w:rPr>
              <w:t>for addressing key capability shortfalls at a time when international developments increasingly require Europe to step up its efforts on defence; fully supports</w:t>
            </w:r>
            <w:r>
              <w:t xml:space="preserve"> the increased allocation for the Preparatory Action on defence research;</w:t>
            </w:r>
          </w:p>
        </w:tc>
        <w:tc>
          <w:tcPr/>
          <w:p>
            <w:pPr>
              <w:pStyle w:val="Normal6"/>
            </w:pPr>
            <w:r>
              <w:t>6.</w:t>
            </w:r>
            <w:r>
              <w:tab/>
            </w:r>
            <w:r>
              <w:t xml:space="preserve">Stresses the importance </w:t>
            </w:r>
            <w:r>
              <w:rPr>
                <w:rFonts w:ascii="Times New Roman" w:eastAsia="Times New Roman" w:hAnsi="Times New Roman" w:cs="Times New Roman"/>
                <w:b/>
                <w:i/>
                <w:strike w:val="0"/>
                <w:color w:val="000000"/>
                <w:sz w:val="24"/>
                <w:highlight w:val="none"/>
                <w:u w:val="none" w:color="auto"/>
              </w:rPr>
              <w:t>that</w:t>
            </w:r>
            <w:r>
              <w:t xml:space="preserve"> cooperative defence research in Europe </w:t>
            </w:r>
            <w:r>
              <w:rPr>
                <w:rFonts w:ascii="Times New Roman" w:eastAsia="Times New Roman" w:hAnsi="Times New Roman" w:cs="Times New Roman"/>
                <w:b/>
                <w:i/>
                <w:strike w:val="0"/>
                <w:color w:val="000000"/>
                <w:sz w:val="24"/>
                <w:highlight w:val="none"/>
                <w:u w:val="none" w:color="auto"/>
              </w:rPr>
              <w:t>could have in avoiding duplications in spending, exploiting economies of scale and getting better value for money;</w:t>
            </w:r>
            <w:r>
              <w:t xml:space="preserve"> </w:t>
            </w:r>
            <w:r>
              <w:rPr>
                <w:rFonts w:ascii="Times New Roman" w:eastAsia="Times New Roman" w:hAnsi="Times New Roman" w:cs="Times New Roman"/>
                <w:b/>
                <w:i/>
                <w:strike w:val="0"/>
                <w:color w:val="000000"/>
                <w:sz w:val="24"/>
                <w:highlight w:val="none"/>
                <w:u w:val="none" w:color="auto"/>
              </w:rPr>
              <w:t>notes</w:t>
            </w:r>
            <w:r>
              <w:t xml:space="preserve"> the increased allocation for the Preparatory Action on defence research;</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Anders Primdahl Vistisen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6 a.</w:t>
            </w:r>
            <w:r>
              <w:tab/>
            </w:r>
            <w:r>
              <w:rPr>
                <w:rFonts w:ascii="Times New Roman" w:eastAsia="Times New Roman" w:hAnsi="Times New Roman" w:cs="Times New Roman"/>
                <w:b/>
                <w:i/>
                <w:strike w:val="0"/>
                <w:color w:val="000000"/>
                <w:sz w:val="24"/>
                <w:highlight w:val="none"/>
                <w:u w:val="none" w:color="auto"/>
              </w:rPr>
              <w:t>Recommends that the final Budget for 2018 reflect the serious concerns expressed by Member States regarding EU-Turkey relations, specifically by withdrawing the allocation of funds that may support undemocratic rule, oppression of citizens or the general abuse of power in any form by the Turkish government;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Neena Gill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6 a.</w:t>
            </w:r>
            <w:r>
              <w:tab/>
            </w:r>
            <w:r>
              <w:rPr>
                <w:rFonts w:ascii="Times New Roman" w:eastAsia="Times New Roman" w:hAnsi="Times New Roman" w:cs="Times New Roman"/>
                <w:b/>
                <w:i/>
                <w:strike w:val="0"/>
                <w:color w:val="000000"/>
                <w:sz w:val="24"/>
                <w:highlight w:val="none"/>
                <w:u w:val="none" w:color="auto"/>
              </w:rPr>
              <w:t>Welcomes the new External Investment Plan to increase investment in Africa and in the EU neighbourhood;</w:t>
            </w:r>
            <w:r>
              <w:rPr>
                <w:rFonts w:ascii="Times New Roman" w:eastAsia="Times New Roman" w:hAnsi="Times New Roman" w:cs="Times New Roman"/>
                <w:b/>
                <w:i/>
                <w:strike w:val="0"/>
                <w:color w:val="000000"/>
                <w:sz w:val="24"/>
                <w:highlight w:val="none"/>
                <w:u w:val="none" w:color="auto"/>
              </w:rPr>
              <w:t>underscores the need to ensure that the focus on encouraging private sector investment does not divert funding from long-term priorities in those regions, including the achievement of the Sustainable Development Goals;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Neena Gill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6 b.</w:t>
            </w:r>
            <w:r>
              <w:tab/>
            </w:r>
            <w:r>
              <w:rPr>
                <w:rFonts w:ascii="Times New Roman" w:eastAsia="Times New Roman" w:hAnsi="Times New Roman" w:cs="Times New Roman"/>
                <w:b/>
                <w:i/>
                <w:strike w:val="0"/>
                <w:color w:val="000000"/>
                <w:sz w:val="24"/>
                <w:highlight w:val="none"/>
                <w:u w:val="none" w:color="auto"/>
              </w:rPr>
              <w:t>Calls for an increased funding for Asian and Latin America countries that are key partners in order to jointly address global challenges;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Neena Gill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6 c.</w:t>
            </w:r>
            <w:r>
              <w:tab/>
            </w:r>
            <w:r>
              <w:rPr>
                <w:rFonts w:ascii="Times New Roman" w:eastAsia="Times New Roman" w:hAnsi="Times New Roman" w:cs="Times New Roman"/>
                <w:b/>
                <w:i/>
                <w:strike w:val="0"/>
                <w:color w:val="000000"/>
                <w:sz w:val="24"/>
                <w:highlight w:val="none"/>
                <w:u w:val="none" w:color="auto"/>
              </w:rPr>
              <w:t>Underlines once again the importance of the European Instrument for Democracy and Human Rights, including its support for election observation, stressing that respect of human rights, democracy and the rule of law are key for stability and prosperity in the world;</w:t>
            </w:r>
            <w:r>
              <w:rPr>
                <w:rFonts w:ascii="Times New Roman" w:eastAsia="Times New Roman" w:hAnsi="Times New Roman" w:cs="Times New Roman"/>
                <w:b/>
                <w:i/>
                <w:strike w:val="0"/>
                <w:color w:val="000000"/>
                <w:sz w:val="24"/>
                <w:highlight w:val="none"/>
                <w:u w:val="none" w:color="auto"/>
              </w:rPr>
              <w:t>welcomes the increase in funding of that Instrument, which should be further reinforced;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Neena Gill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t>Reiterates its request for the budget line for the EU Special Representatives to be transferred from the CFSP budget to the EEAS in order to strengthen the coherence of the Union’s external action.</w:t>
            </w:r>
          </w:p>
        </w:tc>
        <w:tc>
          <w:tcPr/>
          <w:p>
            <w:pPr>
              <w:pStyle w:val="Normal6"/>
            </w:pPr>
            <w:r>
              <w:t>7.</w:t>
            </w:r>
            <w:r>
              <w:tab/>
            </w:r>
            <w:r>
              <w:t xml:space="preserve">Reiterates its request for the budget line for the EU Special Representatives to be transferred </w:t>
            </w:r>
            <w:r>
              <w:rPr>
                <w:rFonts w:ascii="Times New Roman" w:eastAsia="Times New Roman" w:hAnsi="Times New Roman" w:cs="Times New Roman"/>
                <w:b/>
                <w:i/>
                <w:strike w:val="0"/>
                <w:color w:val="000000"/>
                <w:sz w:val="24"/>
                <w:highlight w:val="none"/>
                <w:u w:val="none" w:color="auto"/>
              </w:rPr>
              <w:t>in a budget neutral manner</w:t>
            </w:r>
            <w:r>
              <w:t xml:space="preserve"> from the CFSP budget to the EEAS in order to strengthen the coherence of the Union’s external action.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Željana Zovko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7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 a.</w:t>
            </w:r>
            <w:r>
              <w:tab/>
            </w:r>
            <w:r>
              <w:rPr>
                <w:rFonts w:ascii="Times New Roman" w:eastAsia="Times New Roman" w:hAnsi="Times New Roman" w:cs="Times New Roman"/>
                <w:b/>
                <w:i/>
                <w:strike w:val="0"/>
                <w:color w:val="000000"/>
                <w:sz w:val="24"/>
                <w:highlight w:val="none"/>
                <w:u w:val="none" w:color="auto"/>
              </w:rPr>
              <w:t>Calls for a lessons learned exercise to be carried out in order to identify shortcomings and improve the coordination between the Union's external financing instruments and financing instruments of other international institutions, such as the World Bank, the International Monetary Fund and other development/financing institution, in order to create synergies and maximise the impact of the financing instruments in developing countries;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PE</w:t>
    </w:r>
    <w:r>
      <w:rPr>
        <w:rStyle w:val="HideTWBExt"/>
      </w:rPr>
      <w:t>&lt;</w:t>
    </w:r>
    <w:r>
      <w:rPr>
        <w:rStyle w:val="HideTWBExt"/>
      </w:rPr>
      <w:t>NoPE</w:t>
    </w:r>
    <w:r>
      <w:rPr>
        <w:rStyle w:val="HideTWBExt"/>
      </w:rPr>
      <w:t>&gt;</w:t>
    </w:r>
    <w:r>
      <w:t>607.894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rPr>
        <w:rStyle w:val="HideTWBExt"/>
      </w:rPr>
      <w:t>&lt;</w:t>
    </w:r>
    <w:r>
      <w:rPr>
        <w:rStyle w:val="HideTWBExt"/>
      </w:rPr>
      <w:t>PathFdR</w:t>
    </w:r>
    <w:r>
      <w:rPr>
        <w:rStyle w:val="HideTWBExt"/>
      </w:rPr>
      <w:t>&gt;</w:t>
    </w:r>
    <w:r>
      <w:t>AM\1129782EN.docx</w:t>
    </w:r>
    <w:r>
      <w:rPr>
        <w:rStyle w:val="HideTWBExt"/>
      </w:rPr>
      <w:t>&lt;/</w:t>
    </w:r>
    <w:r>
      <w:rPr>
        <w:rStyle w:val="HideTWBExt"/>
      </w:rPr>
      <w:t>PathFdR</w:t>
    </w:r>
    <w:r>
      <w:rPr>
        <w:rStyle w:val="HideTWBExt"/>
      </w:rPr>
      <w:t>&gt;</w:t>
    </w:r>
  </w:p>
  <w:p>
    <w:pPr>
      <w:pStyle w:val="Footer2"/>
    </w:pP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AM\1129782EN.docx</w:t>
    </w:r>
    <w:r>
      <w:rPr>
        <w:rStyle w:val="HideTWBExt"/>
      </w:rPr>
      <w:t>&lt;/</w:t>
    </w:r>
    <w:r>
      <w:rPr>
        <w:rStyle w:val="HideTWBExt"/>
      </w:rPr>
      <w:t>PathFdR</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t>PE</w:t>
    </w:r>
    <w:r>
      <w:rPr>
        <w:rStyle w:val="HideTWBExt"/>
      </w:rPr>
      <w:t>&lt;</w:t>
    </w:r>
    <w:r>
      <w:rPr>
        <w:rStyle w:val="HideTWBExt"/>
      </w:rPr>
      <w:t>NoPE</w:t>
    </w:r>
    <w:r>
      <w:rPr>
        <w:rStyle w:val="HideTWBExt"/>
      </w:rPr>
      <w:t>&gt;</w:t>
    </w:r>
    <w:r>
      <w:t>607.894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ab/>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AM\1129782EN.docx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607.894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gruik" w:val="value of gruik"/>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248\fbidi \froman\fcharset238\fprq2 Times New Roman CE;}{\f249\fbidi \froman\fcharset204\fprq2 Times New Roman Cyr;}&#13;&#10;{\f251\fbidi \froman\fcharset161\fprq2 Times New Roman Greek;}{\f252\fbidi \froman\fcharset162\fprq2 Times New Roman Tur;}{\f253\fbidi \froman\fcharset177\fprq2 Times New Roman (Hebrew);}{\f254\fbidi \froman\fcharset178\fprq2 Times New Roman (Arabic);}&#13;&#10;{\f255\fbidi \froman\fcharset186\fprq2 Times New Roman Baltic;}{\f256\fbidi \froman\fcharset163\fprq2 Times New Roman (Vietnamese);}{\f258\fbidi \fswiss\fcharset238\fprq2 Arial CE;}{\f259\fbidi \fswiss\fcharset204\fprq2 Arial Cyr;}&#13;&#10;{\f261\fbidi \fswiss\fcharset161\fprq2 Arial Greek;}{\f262\fbidi \fswiss\fcharset162\fprq2 Arial Tur;}{\f263\fbidi \fswiss\fcharset177\fprq2 Arial (Hebrew);}{\f264\fbidi \fswiss\fcharset178\fprq2 Arial (Arabic);}&#13;&#10;{\f265\fbidi \fswiss\fcharset186\fprq2 Arial Baltic;}{\f266\fbidi \fswiss\fcharset163\fprq2 Arial (Vietnamese);}{\f588\fbidi \froman\fcharset238\fprq2 Cambria Math CE;}{\f589\fbidi \froman\fcharset204\fprq2 Cambria Math Cyr;}&#13;&#10;{\f591\fbidi \froman\fcharset161\fprq2 Cambria Math Greek;}{\f592\fbidi \froman\fcharset162\fprq2 Cambria Math Tur;}{\f595\fbidi \froman\fcharset186\fprq2 Cambria Math Baltic;}{\f596\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3105041 HideTWBExt;}{\s16\qr \li0\ri0\sb240\sa240\nowidctlpar\wrapdefault\aspalpha\aspnum\faauto\adjustright\rin0\lin0\itap0 \rtlch\fcs1 \af0\afs20\alang1025 \ltrch\fcs0 &#13;&#10;\fs24\lang1024\langfe1024\cgrid\noproof\langnp2057\langfenp2057 \sbasedon0 \snext16 \spriority0 \styrsid3105041 Olang;}{\s17\ql \li0\ri0\sa120\nowidctlpar\wrapdefault\aspalpha\aspnum\faauto\adjustright\rin0\lin0\itap0 \rtlch\fcs1 \af0\afs20\alang1025 &#13;&#10;\ltrch\fcs0 \fs24\lang1024\langfe1024\cgrid\noproof\langnp2057\langfenp2057 \sbasedon0 \snext17 \slink18 \spriority0 \styrsid3105041 Normal6;}{\*\cs18 \additive \fs24\lang1024\langfe1024\noproof\langnp2057\langfenp2057 &#13;&#10;\slink17 \slocked \spriority0 \styrsid3105041 Normal6 Char;}{\s19\ql \li0\ri0\nowidctlpar\wrapdefault\aspalpha\aspnum\faauto\adjustright\rin0\lin0\itap0 \rtlch\fcs1 \af0\afs20\alang1025 \ltrch\fcs0 &#13;&#10;\b\fs24\lang2057\langfe2057\cgrid\langnp2057\langfenp2057 \sbasedon0 \snext19 \slink20 \spriority0 \styrsid3105041 NormalBold;}{\*\cs20 \additive \b\fs24\lang2057\langfe2057\langnp2057\langfenp2057 \slink19 \slocked \spriority0 \styrsid3105041 &#13;&#10;NormalBold Char;}{\s21\qc \li0\ri0\sa240\nowidctlpar\wrapdefault\aspalpha\aspnum\faauto\adjustright\rin0\lin0\itap0 \rtlch\fcs1 \af0\afs20\alang1025 \ltrch\fcs0 \i\fs24\lang2057\langfe2057\cgrid\langnp2057\langfenp2057 &#13;&#10;\sbasedon0 \snext21 \spriority0 \styrsid3105041 ColumnHeading;}{\s22\ql \li0\ri0\sb240\nowidctlpar&#13;&#10;\tx879\tx936\tx1021\tx1077\tx1134\tx1191\tx1247\tx1304\tx1361\tx1418\tx1474\tx1531\tx1588\tx1644\tx1701\tx1758\tx1814\tx1871\tx2070\tx2126\tx3374\tx3430\wrapdefault\aspalpha\aspnum\faauto\adjustright\rin0\lin0\itap0 \rtlch\fcs1 \af0\afs20\alang1025 &#13;&#10;\ltrch\fcs0 \b\fs24\lang2057\langfe2057\cgrid\langnp2057\langfenp2057 \sbasedon0 \snext22 \spriority0 \styrsid3105041 AMNumberTabs;}}{\*\rsidtbl \rsid24658\rsid735077\rsid2892074\rsid3105041\rsid4666813\rsid6641733\rsid9636012\rsid11215221\rsid12154954&#13;&#10;\rsid14424199\rsid15204470\rsid15285974\rsid15950462\rsid15992473\rsid16324206\rsid16662270}{\mmathPr\mmathFont34\mbrkBin0\mbrkBinSub0\msmallFrac0\mdispDef1\mlMargin0\mrMargin0\mdefJc1\mwrapIndent1440\mintLim0\mnaryLim1}{\info{\author FELIX Karina}&#13;&#10;{\operator FELIX Karina}{\creatim\yr2015\mo5\dy8\hr15\min29}{\revtim\yr2015\mo5\dy8\hr15\min29}{\version1}{\edmins0}{\nofpages1}{\nofwords48}{\nofchars268}{\*\company European Parliament}{\nofcharsws315}{\vern49165}}{\*\xmlnstbl {\xmlns1 http://schemas.mi&#13;&#10;crosoft.com/office/word/20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3105041\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15992473 \chftnsep &#13;&#10;\par }}{\*\ftnsepc \ltrpar \pard\plain \ltrpar\ql \li0\ri0\widctlpar\wrapdefault\aspalpha\aspnum\faauto\adjustright\rin0\lin0\itap0 \rtlch\fcs1 \af0\afs20\alang1025 \ltrch\fcs0 \fs24\lang2057\langfe2057\cgrid\langnp2057\langfenp2057 {\rtlch\fcs1 \af0 &#13;&#10;\ltrch\fcs0 \insrsid15992473 \chftnsepc &#13;&#10;\par }}{\*\aftnsep \ltrpar \pard\plain \ltrpar\ql \li0\ri0\widctlpar\wrapdefault\aspalpha\aspnum\faauto\adjustright\rin0\lin0\itap0 \rtlch\fcs1 \af0\afs20\alang1025 \ltrch\fcs0 \fs24\lang2057\langfe2057\cgrid\langnp2057\langfenp2057 {\rtlch\fcs1 \af0 &#13;&#10;\ltrch\fcs0 \insrsid15992473 \chftnsep &#13;&#10;\par }}{\*\aftnsepc \ltrpar \pard\plain \ltrpar\ql \li0\ri0\widctlpar\wrapdefault\aspalpha\aspnum\faauto\adjustright\rin0\lin0\itap0 \rtlch\fcs1 \af0\afs20\alang1025 \ltrch\fcs0 \fs24\lang2057\langfe2057\cgrid\langnp2057\langfenp2057 {\rtlch\fcs1 \af0 &#13;&#10;\ltrch\fcs0 \insrsid15992473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s22\ql \li0\ri0\sb240\keepn\nowidctlpar\tx879\tx936\tx1021\tx1077\tx1134\tx1191\tx1247\tx1304\tx1361\tx1418\tx1474\tx1531\tx1588\tx1644\tx1701\tx1758\tx1814\tx1871\tx2070\tx2126\tx3374\tx3430\wrapdefault\aspalpha\aspnum\faauto\adjustright\rin0&#13;&#10;\lin0\itap0\pararsid13646180 \rtlch\fcs1 \af0\afs20\alang1025 \ltrch\fcs0 \b\fs24\lang2057\langfe2057\cgrid\langnp2057\langfenp2057 {\rtlch\fcs1 \af0 \ltrch\fcs0 \cs15\b0\v\f1\fs20\cf9\lang1024\langfe1024\noproof\insrsid3105041\charrsid4417459 &#13;&#10;{\*\bkmkstart restart}&lt;Amend&gt;}{\rtlch\fcs1 \af0 \ltrch\fcs0 \insrsid3105041\charrsid1799708 [ZAMENDMENT]}{\rtlch\fcs1 \af0 \ltrch\fcs0 \insrsid3105041 \tab \tab }{\rtlch\fcs1 \af0 \ltrch\fcs0 &#13;&#10;\cs15\b0\v\f1\fs20\cf9\lang1024\langfe1024\noproof\insrsid3105041\charrsid4417459 &lt;NumAm&gt;}{\rtlch\fcs1 \af0 \ltrch\fcs0 \insrsid3105041\charrsid1799708 [ZNRAM]}{\rtlch\fcs1 \af0 \ltrch\fcs0 &#13;&#10;\cs15\b0\v\f1\fs20\cf9\lang1024\langfe1024\noproof\insrsid3105041\charrsid4417459 &lt;/NumAm&gt;}{\rtlch\fcs1 \af0 \ltrch\fcs0 \insrsid3105041\charrsid4080556 &#13;&#10;\par }\pard\plain \ltrpar\s19\ql \li0\ri0\nowidctlpar\wrapdefault\aspalpha\aspnum\faauto\adjustright\rin0\lin0\itap0\pararsid3025377 \rtlch\fcs1 \af0\afs20\alang1025 \ltrch\fcs0 \b\fs24\lang2057\langfe2057\cgrid\langnp2057\langfenp2057 {\rtlch\fcs1 \af0 &#13;&#10;\ltrch\fcs0 \cs15\b0\v\f1\fs20\cf9\lang1024\langfe1024\noproof\insrsid3105041\charrsid14699840 &lt;RepeatBlock-By&gt;}{\rtlch\fcs1 \af0 \ltrch\fcs0 \lang1024\langfe1024\noproof\insrsid3105041\charrsid14699840 [RepeatMembers]}{\rtlch\fcs1 \af0 \ltrch\fcs0 &#13;&#10;\cs15\b0\v\f1\fs20\cf9\lang1024\langfe1024\noproof\insrsid3105041\charrsid14699840 &lt;Members&gt;}{\rtlch\fcs1 \af0 \ltrch\fcs0 \insrsid3105041\charrsid14699840 [ZMEMBERS]}{\rtlch\fcs1 \af0 \ltrch\fcs0 &#13;&#10;\cs15\b0\v\f1\fs20\cf9\lang1024\langfe1024\noproof\insrsid3105041\charrsid14699840 &lt;/Members&gt;}{\rtlch\fcs1 \af0 \ltrch\fcs0 \insrsid3105041\charrsid14699840 &#13;&#10;\par }\pard\plain \ltrpar\ql \li0\ri0\widctlpar\wrapdefault\aspalpha\aspnum\faauto\adjustright\rin0\lin0\itap0\pararsid3025377 \rtlch\fcs1 \af0\afs20\alang1025 \ltrch\fcs0 \fs24\lang2057\langfe2057\cgrid\langnp2057\langfenp2057 {\rtlch\fcs1 \af0 \ltrch\fcs0 &#13;&#10;\cs15\v\f1\fs20\cf9\lang1024\langfe1024\noproof\insrsid3105041\charrsid14699840 &lt;AuNomDe&gt;&lt;OptDel&gt;}{\rtlch\fcs1 \af0 \ltrch\fcs0 \insrsid3105041\charrsid14699840 [ZONBEHALF]}{\rtlch\fcs1 \af0 \ltrch\fcs0 &#13;&#10;\cs15\v\f1\fs20\cf9\lang1024\langfe1024\noproof\insrsid3105041\charrsid14699840 &lt;/OptDel&gt;&lt;/AuNomDe&gt;}{\rtlch\fcs1 \af0 \ltrch\fcs0 \insrsid3105041\charrsid14699840 &#13;&#10;\par &lt;&lt;&lt;}{\rtlch\fcs1 \af0 \ltrch\fcs0 \cs15\v\f1\fs20\cf9\lang1024\langfe1024\noproof\insrsid3105041\charrsid14699840 &lt;/RepeatBlock-By&gt;}{\rtlch\fcs1 \af0 \ltrch\fcs0 \insrsid3105041\charrsid14699840 &#13;&#10;\par }\pard\plain \ltrpar\s19\ql \li0\ri0\nowidctlpar\wrapdefault\aspalpha\aspnum\faauto\adjustright\rin0\lin0\itap0\pararsid3025377 \rtlch\fcs1 \af0\afs20\alang1025 \ltrch\fcs0 \b\fs24\lang2057\langfe2057\cgrid\langnp2057\langfenp2057 {\rtlch\fcs1 \af0 &#13;&#10;\ltrch\fcs0 \cs15\b0\v\f1\fs20\cf9\lang1024\langfe1024\noproof\insrsid3105041\charrsid4737239 &lt;DocAmend&gt;}{\rtlch\fcs1 \af0 \ltrch\fcs0 \insrsid3105041\charrsid1799708 [Z}{\rtlch\fcs1 \af0 \ltrch\fcs0 \insrsid3105041 AMDOC}{\rtlch\fcs1 \af0 \ltrch\fcs0 &#13;&#10;\insrsid3105041\charrsid1799708 ]}{\rtlch\fcs1 \af0 \ltrch\fcs0 \cs15\b0\v\f1\fs20\cf9\lang1024\langfe1024\noproof\insrsid3105041\charrsid4737239 &lt;/DocAmend&gt;}{\rtlch\fcs1 \af0 \ltrch\fcs0 \insrsid3105041\charrsid1799708 &#13;&#10;\par }\pard \ltrpar\s19\ql \li0\ri0\nowidctlpar\wrapdefault\aspalpha\aspnum\faauto\adjustright\rin0\lin0\itap0\pararsid14055546 {\rtlch\fcs1 \af0 \ltrch\fcs0 \cs15\b0\v\f1\fs20\cf9\lang1024\langfe1024\noproof\insrsid3105041\charrsid1799708 &lt;Article&gt;}{&#13;&#10;\rtlch\fcs1 \af0 \ltrch\fcs0 \insrsid3105041\charrsid1799708 [ZAMPART]}{\rtlch\fcs1 \af0 \ltrch\fcs0 \cs15\b0\v\f1\fs20\cf9\lang1024\langfe1024\noproof\insrsid3105041\charrsid1799708 &lt;/Article&gt;}{\rtlch\fcs1 \af0 \ltrch\fcs0 &#13;&#10;\insrsid3105041\charrsid1799708 &#13;&#10;\par \ltrrow}\trowd \ltrrow\ts11\trqc\trgaph340\trleft-340\trftsWidth3\trwWidth9752\trftsWidthB3\trftsWidthA3\trpaddl340\trpaddr340\trpaddfl3\trpaddfr3\tblrsid14055546\tblind0\tblindtype3 \clvertalt\clbrdrt\brdrtbl \clbrdrl\brdrtbl \clbrdrb\brdrtbl \clbrdrr&#13;&#10;\brdrtbl \cltxlrtb\clftsWidth3\clwWidth9752\clshdrawnil \cellx9412\pard\plain \ltrpar\ql \li0\ri0\keepn\widctlpar\intbl\wrapdefault\aspalpha\aspnum\faauto\adjustright\rin0\lin0\pararsid10708565 \rtlch\fcs1 \af0\afs20\alang1025 \ltrch\fcs0 &#13;&#10;\fs24\lang2057\langfe2057\cgrid\langnp2057\langfenp2057 {\rtlch\fcs1 \af0 \ltrch\fcs0 \insrsid3105041\charrsid1799708 \cell }\pard \ltrpar\ql \li0\ri0\widctlpar\intbl\wrapdefault\aspalpha\aspnum\faauto\adjustright\rin0\lin0 {\rtlch\fcs1 \af0 \ltrch\fcs0 &#13;&#10;\insrsid3105041\charrsid1799708 \trowd \ltrrow\ts11\trqc\trgaph340\trleft-340\trftsWidth3\trwWidth9752\trftsWidthB3\trftsWidthA3\trpaddl340\trpaddr340\trpaddfl3\trpaddfr3\tblrsid14055546\tblind0\tblindtype3 \clvertalt\clbrdrt\brdrtbl \clbrdrl\brdrtbl &#13;&#10;\clbrdrb\brdrtbl \clbrdrr\brdrtbl \cltxlrtb\clftsWidth3\clwWidth9752\clshdrawnil \cellx9412\row \ltrrow}\trowd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pard\plain \ltrpar&#13;&#10;\s21\qc \li0\ri0\sa240\keepn\nowidctlpar\intbl\wrapdefault\aspalpha\aspnum\faauto\adjustright\rin0\lin0\pararsid10708565 \rtlch\fcs1 \af0\afs20\alang1025 \ltrch\fcs0 \i\fs24\lang2057\langfe2057\cgrid\langnp2057\langfenp2057 {\rtlch\fcs1 \af0 \ltrch\fcs0 &#13;&#10;\insrsid3105041\charrsid1799708 [ZLEFT]\cell [ZRIGHT]\cell }\pard\plain \ltrpar\ql \li0\ri0\widctlpar\intbl\wrapdefault\aspalpha\aspnum\faauto\adjustright\rin0\lin0 \rtlch\fcs1 \af0\afs20\alang1025 \ltrch\fcs0 &#13;&#10;\fs24\lang2057\langfe2057\cgrid\langnp2057\langfenp2057 {\rtlch\fcs1 \af0 \ltrch\fcs0 \insrsid3105041\charrsid1799708 \trowd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row \ltrrow}\pard\plain \ltrpar&#13;&#10;\s17\ql \li0\ri0\sa120\nowidctlpar\intbl\wrapdefault\aspalpha\aspnum\faauto\adjustright\rin0\lin0\pararsid14055546 \rtlch\fcs1 \af0\afs20\alang1025 \ltrch\fcs0 \fs24\lang1024\langfe1024\cgrid\noproof\langnp2057\langfenp2057 {\rtlch\fcs1 \af0 \ltrch\fcs0 &#13;&#10;\insrsid3105041\charrsid1799708 [ZTEXTL]\cell [ZTEXTR]}{\rtlch\fcs1 \af0\afs24 \ltrch\fcs0 \insrsid3105041\charrsid1799708 \cell }\pard\plain \ltrpar\ql \li0\ri0\widctlpar\intbl\wrapdefault\aspalpha\aspnum\faauto\adjustright\rin0\lin0 \rtlch\fcs1 &#13;&#10;\af0\afs20\alang1025 \ltrch\fcs0 \fs24\lang2057\langfe2057\cgrid\langnp2057\langfenp2057 {\rtlch\fcs1 \af0 \ltrch\fcs0 \insrsid3105041\charrsid1799708 \trowd \lastrow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row }\pard\plain \ltrpar&#13;&#10;\s16\qr \li0\ri0\sb240\sa240\nowidctlpar\wrapdefault\aspalpha\aspnum\faauto\adjustright\rin0\lin0\itap0\pararsid14055546 \rtlch\fcs1 \af0\afs20\alang1025 \ltrch\fcs0 \fs24\lang1024\langfe1024\cgrid\noproof\langnp2057\langfenp2057 {\rtlch\fcs1 \af0 &#13;&#10;\ltrch\fcs0 \noproof0\insrsid3105041\charrsid1799708 Or. }{\rtlch\fcs1 \af0 \ltrch\fcs0 \cs15\v\f1\fs20\cf9\noproof0\insrsid3105041\charrsid1799708 &lt;Original&gt;}{\rtlch\fcs1 \af0 \ltrch\fcs0 \noproof0\insrsid3105041\charrsid1799708 [ZORLANG]}{\rtlch\fcs1 &#13;&#10;\af0 \ltrch\fcs0 \cs15\v\f1\fs20\cf9\noproof0\insrsid3105041\charrsid1799708 &lt;/Original&gt;}{\rtlch\fcs1 \af0 \ltrch\fcs0 \noproof0\insrsid3105041\charrsid1799708 &#13;&#10;\par }\pard\plain \ltrpar\ql \li0\ri0\widctlpar\wrapdefault\aspalpha\aspnum\faauto\adjustright\rin0\lin0\itap0\pararsid16324206 \rtlch\fcs1 \af0\afs20\alang1025 \ltrch\fcs0 \fs24\lang2057\langfe2057\cgrid\langnp2057\langfenp2057 {\rtlch\fcs1 \af0 \ltrch\fcs0 &#13;&#10;\cs15\v\f1\fs20\cf9\lang1024\langfe1024\noproof\insrsid3105041\charrsid1799708 &lt;/Amend&gt;}{\rtlch\fcs1 \af0 \ltrch\fcs0 \insrsid24658\charrsid16324206 {\*\bkmkend restart}&#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40b8&#13;&#10;880893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fr-FR"/>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paragraph" w:customStyle="1" w:styleId="EPLogo">
    <w:name w:val="EPLogo"/>
    <w:basedOn w:val="Normal"/>
    <w:qFormat/>
    <w:rsid w:val="00D7732B"/>
    <w:pPr>
      <w:widowControl w:val="0"/>
      <w:jc w:val="right"/>
    </w:pPr>
    <w:rPr>
      <w:sz w:val="24"/>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lang w:val="fr-FR"/>
    </w:rPr>
  </w:style>
  <w:style w:type="character" w:customStyle="1" w:styleId="FootNoteMarker">
    <w:name w:val="FootNoteMarker"/>
    <w:rPr>
      <w:color w:val="000000"/>
      <w:vertAlign w:val="superscript"/>
    </w:rPr>
  </w:style>
  <w:style w:type="paragraph" w:styleId="Footer">
    <w:name w:val="footer"/>
    <w:rsid w:val="00EC60CE"/>
    <w:pPr>
      <w:tabs>
        <w:tab w:val="center" w:pos="4536"/>
        <w:tab w:val="right" w:pos="9072"/>
      </w:tabs>
      <w:spacing w:before="0" w:after="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rsid w:val="00A801F5"/>
    <w:pPr>
      <w:tabs>
        <w:tab w:val="center" w:pos="4535"/>
        <w:tab w:val="right" w:pos="9923"/>
      </w:tabs>
      <w:spacing w:after="240"/>
      <w:ind w:left="-851"/>
    </w:pPr>
    <w:rPr>
      <w:rFonts w:ascii="Arial" w:eastAsia="Arial" w:hAnsi="Arial" w:cs="Arial"/>
      <w:b/>
      <w:color w:val="000000"/>
      <w:sz w:val="48"/>
      <w:szCs w:val="24"/>
    </w:rPr>
  </w:style>
  <w:style w:type="paragraph" w:customStyle="1" w:styleId="Footer2Landscape">
    <w:name w:val="Footer2Landscape"/>
    <w:qFormat/>
    <w:rsid w:val="00126EF9"/>
    <w:pPr>
      <w:tabs>
        <w:tab w:val="center" w:pos="4535"/>
        <w:tab w:val="center" w:pos="6804"/>
        <w:tab w:val="clear" w:pos="9923"/>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lear" w:pos="4536"/>
        <w:tab w:val="center" w:pos="6804"/>
        <w:tab w:val="clear" w:pos="9072"/>
        <w:tab w:val="center" w:pos="13608"/>
      </w:tabs>
      <w:spacing w:before="0" w:after="0"/>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sz w:val="24"/>
      <w:szCs w:val="24"/>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pPr>
      <w:spacing w:after="240"/>
      <w:jc w:val="right"/>
    </w:pPr>
    <w:rPr>
      <w:rFonts w:ascii="Arial" w:eastAsia="Arial" w:hAnsi="Arial" w:cs="Arial"/>
      <w:b/>
      <w:caps/>
      <w:color w:val="000000"/>
      <w:sz w:val="22"/>
      <w:szCs w:val="24"/>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1129782</vt:lpwstr>
  </property>
  <property fmtid="{D5CDD505-2E9C-101B-9397-08002B2CF9AE}" pid="4" name="&lt;FooterPath&gt;">
    <vt:lpwstr>AM\1129782EN.doc</vt:lpwstr>
  </property>
  <property fmtid="{D5CDD505-2E9C-101B-9397-08002B2CF9AE}" pid="5" name="&lt;Model&gt;">
    <vt:lpwstr>AM_Com_NonLegOpinion</vt:lpwstr>
  </property>
  <property fmtid="{D5CDD505-2E9C-101B-9397-08002B2CF9AE}" pid="6" name="&lt;Type&gt;">
    <vt:lpwstr>AM</vt:lpwstr>
  </property>
  <property fmtid="{D5CDD505-2E9C-101B-9397-08002B2CF9AE}" pid="7" name="DMXMLUID">
    <vt:lpwstr>20170721-123318-052568-278178</vt:lpwstr>
  </property>
  <property fmtid="{D5CDD505-2E9C-101B-9397-08002B2CF9AE}" pid="8" name="PE Number">
    <vt:lpwstr>607.894</vt:lpwstr>
  </property>
  <property fmtid="{D5CDD505-2E9C-101B-9397-08002B2CF9AE}" pid="9" name="UID">
    <vt:lpwstr>eu.europa.europarl-DIN1-2017-0000076845_02.00-en-01.00_text-xml</vt:lpwstr>
  </property>
</Properties>
</file>