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D03B1A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D03B1A" w:rsidRDefault="002834EA" w:rsidP="003E2402">
            <w:pPr>
              <w:pStyle w:val="EPName"/>
            </w:pPr>
            <w:bookmarkStart w:id="0" w:name="_GoBack"/>
            <w:bookmarkEnd w:id="0"/>
            <w:r w:rsidRPr="00D03B1A">
              <w:t>Evropský parlament</w:t>
            </w:r>
          </w:p>
          <w:p w:rsidR="00E856D2" w:rsidRPr="00D03B1A" w:rsidRDefault="007B0A44" w:rsidP="007B0A4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03B1A"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D03B1A" w:rsidRDefault="00491B9D" w:rsidP="003E24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0.7pt">
                  <v:imagedata r:id="rId7" o:title="EP logo RGB_Mute"/>
                </v:shape>
              </w:pict>
            </w:r>
          </w:p>
        </w:tc>
      </w:tr>
    </w:tbl>
    <w:p w:rsidR="001746D0" w:rsidRPr="00D03B1A" w:rsidRDefault="001746D0" w:rsidP="001746D0">
      <w:pPr>
        <w:pStyle w:val="LineTop"/>
      </w:pPr>
    </w:p>
    <w:p w:rsidR="001746D0" w:rsidRPr="00D03B1A" w:rsidRDefault="001746D0" w:rsidP="001746D0">
      <w:pPr>
        <w:pStyle w:val="ZCommittee"/>
      </w:pPr>
      <w:r w:rsidRPr="00D03B1A">
        <w:rPr>
          <w:rStyle w:val="HideTWBExt"/>
          <w:noProof w:val="0"/>
        </w:rPr>
        <w:t>&lt;</w:t>
      </w:r>
      <w:r w:rsidRPr="00D03B1A">
        <w:rPr>
          <w:rStyle w:val="HideTWBExt"/>
          <w:i w:val="0"/>
          <w:noProof w:val="0"/>
        </w:rPr>
        <w:t>Commission</w:t>
      </w:r>
      <w:r w:rsidRPr="00D03B1A">
        <w:rPr>
          <w:rStyle w:val="HideTWBExt"/>
          <w:noProof w:val="0"/>
        </w:rPr>
        <w:t>&gt;</w:t>
      </w:r>
      <w:r w:rsidRPr="00D03B1A">
        <w:rPr>
          <w:rStyle w:val="HideTWBInt"/>
        </w:rPr>
        <w:t>{DEVE}</w:t>
      </w:r>
      <w:r w:rsidRPr="00D03B1A">
        <w:t>Výbor pro rozvoj</w:t>
      </w:r>
      <w:r w:rsidRPr="00D03B1A">
        <w:rPr>
          <w:rStyle w:val="HideTWBExt"/>
          <w:noProof w:val="0"/>
        </w:rPr>
        <w:t>&lt;/</w:t>
      </w:r>
      <w:r w:rsidRPr="00D03B1A">
        <w:rPr>
          <w:rStyle w:val="HideTWBExt"/>
          <w:i w:val="0"/>
          <w:noProof w:val="0"/>
        </w:rPr>
        <w:t>Commission</w:t>
      </w:r>
      <w:r w:rsidRPr="00D03B1A">
        <w:rPr>
          <w:rStyle w:val="HideTWBExt"/>
          <w:noProof w:val="0"/>
        </w:rPr>
        <w:t>&gt;</w:t>
      </w:r>
    </w:p>
    <w:p w:rsidR="001746D0" w:rsidRPr="00D03B1A" w:rsidRDefault="001746D0" w:rsidP="001746D0">
      <w:pPr>
        <w:pStyle w:val="LineBottom"/>
      </w:pPr>
    </w:p>
    <w:p w:rsidR="002E2F2E" w:rsidRPr="00D03B1A" w:rsidRDefault="002E2F2E">
      <w:pPr>
        <w:pStyle w:val="RefProc"/>
      </w:pPr>
      <w:r w:rsidRPr="00D03B1A">
        <w:rPr>
          <w:rStyle w:val="HideTWBExt"/>
          <w:b w:val="0"/>
          <w:noProof w:val="0"/>
        </w:rPr>
        <w:t>&lt;</w:t>
      </w:r>
      <w:r w:rsidRPr="00D03B1A">
        <w:rPr>
          <w:rStyle w:val="HideTWBExt"/>
          <w:b w:val="0"/>
          <w:caps w:val="0"/>
          <w:noProof w:val="0"/>
        </w:rPr>
        <w:t>RefProc</w:t>
      </w:r>
      <w:r w:rsidRPr="00D03B1A">
        <w:rPr>
          <w:rStyle w:val="HideTWBExt"/>
          <w:b w:val="0"/>
          <w:noProof w:val="0"/>
        </w:rPr>
        <w:t>&gt;</w:t>
      </w:r>
      <w:r w:rsidRPr="00D03B1A">
        <w:t>2017/2052(INI)</w:t>
      </w:r>
      <w:r w:rsidRPr="00D03B1A">
        <w:rPr>
          <w:rStyle w:val="HideTWBExt"/>
          <w:b w:val="0"/>
          <w:noProof w:val="0"/>
        </w:rPr>
        <w:t>&lt;/</w:t>
      </w:r>
      <w:r w:rsidRPr="00D03B1A">
        <w:rPr>
          <w:rStyle w:val="HideTWBExt"/>
          <w:b w:val="0"/>
          <w:caps w:val="0"/>
          <w:noProof w:val="0"/>
        </w:rPr>
        <w:t>RefProc</w:t>
      </w:r>
      <w:r w:rsidRPr="00D03B1A">
        <w:rPr>
          <w:rStyle w:val="HideTWBExt"/>
          <w:b w:val="0"/>
          <w:noProof w:val="0"/>
        </w:rPr>
        <w:t>&gt;</w:t>
      </w:r>
    </w:p>
    <w:p w:rsidR="002E2F2E" w:rsidRPr="00D03B1A" w:rsidRDefault="002E2F2E">
      <w:pPr>
        <w:pStyle w:val="ZDate"/>
      </w:pPr>
      <w:r w:rsidRPr="00D03B1A">
        <w:rPr>
          <w:rStyle w:val="HideTWBExt"/>
          <w:noProof w:val="0"/>
        </w:rPr>
        <w:t>&lt;Date&gt;</w:t>
      </w:r>
      <w:r w:rsidRPr="00D03B1A">
        <w:rPr>
          <w:rStyle w:val="HideTWBInt"/>
        </w:rPr>
        <w:t>{31/01/2018}</w:t>
      </w:r>
      <w:r w:rsidRPr="00D03B1A">
        <w:t>31.1.2018</w:t>
      </w:r>
      <w:r w:rsidRPr="00D03B1A">
        <w:rPr>
          <w:rStyle w:val="HideTWBExt"/>
          <w:noProof w:val="0"/>
        </w:rPr>
        <w:t>&lt;/Date&gt;</w:t>
      </w:r>
    </w:p>
    <w:p w:rsidR="002E2F2E" w:rsidRPr="00D03B1A" w:rsidRDefault="002E2F2E">
      <w:pPr>
        <w:pStyle w:val="TypeDoc"/>
      </w:pPr>
      <w:r w:rsidRPr="00D03B1A">
        <w:rPr>
          <w:rStyle w:val="HideTWBExt"/>
          <w:b w:val="0"/>
          <w:noProof w:val="0"/>
        </w:rPr>
        <w:t>&lt;TitreType&gt;</w:t>
      </w:r>
      <w:r w:rsidRPr="00D03B1A">
        <w:t>STANOVISKO</w:t>
      </w:r>
      <w:r w:rsidRPr="00D03B1A">
        <w:rPr>
          <w:rStyle w:val="HideTWBExt"/>
          <w:b w:val="0"/>
          <w:noProof w:val="0"/>
        </w:rPr>
        <w:t>&lt;/TitreType&gt;</w:t>
      </w:r>
    </w:p>
    <w:p w:rsidR="002E2F2E" w:rsidRPr="00D03B1A" w:rsidRDefault="002E2F2E">
      <w:pPr>
        <w:pStyle w:val="Cover24"/>
      </w:pPr>
      <w:r w:rsidRPr="00D03B1A">
        <w:rPr>
          <w:rStyle w:val="HideTWBExt"/>
          <w:noProof w:val="0"/>
        </w:rPr>
        <w:t>&lt;CommissionResp&gt;</w:t>
      </w:r>
      <w:r w:rsidRPr="00D03B1A">
        <w:t>Výboru pro rozvoj</w:t>
      </w:r>
      <w:r w:rsidRPr="00D03B1A">
        <w:rPr>
          <w:rStyle w:val="HideTWBExt"/>
          <w:noProof w:val="0"/>
        </w:rPr>
        <w:t>&lt;/CommissionResp&gt;</w:t>
      </w:r>
    </w:p>
    <w:p w:rsidR="002E2F2E" w:rsidRPr="00D03B1A" w:rsidRDefault="002E2F2E" w:rsidP="00715747">
      <w:pPr>
        <w:pStyle w:val="Cover24"/>
        <w:tabs>
          <w:tab w:val="center" w:pos="5244"/>
        </w:tabs>
      </w:pPr>
      <w:r w:rsidRPr="00D03B1A">
        <w:rPr>
          <w:rStyle w:val="HideTWBExt"/>
          <w:noProof w:val="0"/>
        </w:rPr>
        <w:t>&lt;CommissionInt&gt;</w:t>
      </w:r>
      <w:r w:rsidRPr="00D03B1A">
        <w:t>pro Rozpočtový výbor</w:t>
      </w:r>
      <w:r w:rsidRPr="00D03B1A">
        <w:rPr>
          <w:rStyle w:val="HideTWBExt"/>
          <w:noProof w:val="0"/>
        </w:rPr>
        <w:t>&lt;/CommissionInt&gt;</w:t>
      </w:r>
    </w:p>
    <w:p w:rsidR="002E2F2E" w:rsidRPr="00D03B1A" w:rsidRDefault="002E2F2E">
      <w:pPr>
        <w:pStyle w:val="CoverNormal"/>
      </w:pPr>
      <w:r w:rsidRPr="00D03B1A">
        <w:rPr>
          <w:rStyle w:val="HideTWBExt"/>
          <w:noProof w:val="0"/>
        </w:rPr>
        <w:t>&lt;Titre&gt;</w:t>
      </w:r>
      <w:r w:rsidRPr="00D03B1A">
        <w:t>k příštímu VFR: příprava postoje Parlamentu k VFR po roce 2020</w:t>
      </w:r>
      <w:r w:rsidRPr="00D03B1A">
        <w:rPr>
          <w:rStyle w:val="HideTWBExt"/>
          <w:noProof w:val="0"/>
        </w:rPr>
        <w:t>&lt;/Titre&gt;</w:t>
      </w:r>
    </w:p>
    <w:p w:rsidR="002E2F2E" w:rsidRPr="00D03B1A" w:rsidRDefault="002E2F2E">
      <w:pPr>
        <w:pStyle w:val="Cover24"/>
      </w:pPr>
      <w:r w:rsidRPr="00D03B1A">
        <w:rPr>
          <w:rStyle w:val="HideTWBExt"/>
          <w:noProof w:val="0"/>
        </w:rPr>
        <w:t>&lt;DocRef&gt;</w:t>
      </w:r>
      <w:r w:rsidRPr="00D03B1A">
        <w:t>(2017/2052(</w:t>
      </w:r>
      <w:bookmarkStart w:id="1" w:name="DocEPTmp"/>
      <w:bookmarkEnd w:id="1"/>
      <w:r w:rsidRPr="00D03B1A">
        <w:t>INI))</w:t>
      </w:r>
      <w:r w:rsidRPr="00D03B1A">
        <w:rPr>
          <w:rStyle w:val="HideTWBExt"/>
          <w:noProof w:val="0"/>
        </w:rPr>
        <w:t>&lt;/DocRef&gt;</w:t>
      </w:r>
    </w:p>
    <w:p w:rsidR="002E2F2E" w:rsidRPr="00D03B1A" w:rsidRDefault="007B0A44">
      <w:pPr>
        <w:pStyle w:val="Cover24"/>
      </w:pPr>
      <w:r w:rsidRPr="00D03B1A">
        <w:t xml:space="preserve">Zpravodaj: </w:t>
      </w:r>
      <w:r w:rsidRPr="00D03B1A">
        <w:rPr>
          <w:rStyle w:val="HideTWBExt"/>
          <w:noProof w:val="0"/>
        </w:rPr>
        <w:t>&lt;Depute&gt;</w:t>
      </w:r>
      <w:r w:rsidRPr="00D03B1A">
        <w:t>Paul Rübig</w:t>
      </w:r>
      <w:r w:rsidRPr="00D03B1A">
        <w:rPr>
          <w:rStyle w:val="HideTWBExt"/>
          <w:noProof w:val="0"/>
        </w:rPr>
        <w:t>&lt;/Depute&gt;</w:t>
      </w:r>
    </w:p>
    <w:p w:rsidR="00A72C35" w:rsidRPr="00D03B1A" w:rsidRDefault="00A72C35" w:rsidP="00A72C35">
      <w:pPr>
        <w:pStyle w:val="CoverNormal"/>
      </w:pPr>
    </w:p>
    <w:p w:rsidR="000E7EBF" w:rsidRPr="00D03B1A" w:rsidRDefault="002E2F2E" w:rsidP="00E856D2">
      <w:pPr>
        <w:widowControl/>
        <w:tabs>
          <w:tab w:val="center" w:pos="4677"/>
        </w:tabs>
      </w:pPr>
      <w:r w:rsidRPr="00D03B1A">
        <w:br w:type="page"/>
      </w:r>
    </w:p>
    <w:p w:rsidR="002E2F2E" w:rsidRPr="00D03B1A" w:rsidRDefault="002834EA" w:rsidP="00E856D2">
      <w:pPr>
        <w:widowControl/>
        <w:tabs>
          <w:tab w:val="center" w:pos="4677"/>
        </w:tabs>
      </w:pPr>
      <w:r w:rsidRPr="00D03B1A">
        <w:t>PA_NonLeg</w:t>
      </w:r>
    </w:p>
    <w:p w:rsidR="002E2F2E" w:rsidRPr="00D03B1A" w:rsidRDefault="002E2F2E">
      <w:pPr>
        <w:pStyle w:val="PageHeadingNotTOC"/>
      </w:pPr>
      <w:r w:rsidRPr="00D03B1A">
        <w:br w:type="page"/>
      </w:r>
      <w:r w:rsidRPr="00D03B1A">
        <w:lastRenderedPageBreak/>
        <w:t>NÁVRHY</w:t>
      </w:r>
    </w:p>
    <w:p w:rsidR="00951BD1" w:rsidRPr="00D03B1A" w:rsidRDefault="007B0A44" w:rsidP="00951BD1">
      <w:pPr>
        <w:pStyle w:val="Normal12"/>
      </w:pPr>
      <w:r w:rsidRPr="00D03B1A">
        <w:t>Výbor pro rozvoj vyzývá Rozpočtový výbor jako věcně příslušný výbor, aby do svého návrhu usnesení začlenil</w:t>
      </w:r>
      <w:bookmarkStart w:id="2" w:name="DocEPTmp2"/>
      <w:bookmarkEnd w:id="2"/>
      <w:r w:rsidRPr="00D03B1A">
        <w:t xml:space="preserve"> tyto návrhy:</w:t>
      </w:r>
    </w:p>
    <w:p w:rsidR="00951BD1" w:rsidRPr="00D03B1A" w:rsidRDefault="00951BD1" w:rsidP="00951BD1">
      <w:pPr>
        <w:pStyle w:val="Hanging12"/>
      </w:pPr>
      <w:r w:rsidRPr="00D03B1A">
        <w:t>A.</w:t>
      </w:r>
      <w:r w:rsidRPr="00D03B1A">
        <w:tab/>
        <w:t>vzhledem k tomu, že prvořadým cílem politiky rozvojové spolupráce EU zakotveným v článku 208 Smlouvy o fungování Evropské unie (SFEU) je snižování chudoby a v dlouhodobém měřítku i její vymýcení;</w:t>
      </w:r>
    </w:p>
    <w:p w:rsidR="00951BD1" w:rsidRPr="00D03B1A" w:rsidRDefault="00951BD1" w:rsidP="00951BD1">
      <w:pPr>
        <w:pStyle w:val="Hanging12"/>
      </w:pPr>
      <w:r w:rsidRPr="00D03B1A">
        <w:t>1.</w:t>
      </w:r>
      <w:r w:rsidRPr="00D03B1A">
        <w:tab/>
        <w:t xml:space="preserve">domnívá se, že příprava příštího víceletého finančního rámce (VFR) musí vycházet ze závazku EU k provádění cílů udržitelného rozvoje, akčního programu z Addis Abeby a Pařížské dohody o změně klimatu; domnívá se dále, že podpora EU pro toto provádění v rozvojových zemích musí být zvýšena, a to při plném uplatňování zásady soudržnosti politik ve prospěch rozvoje (PCD), a rozvojová pomoc EU se musí plně řídit zásadami účinnosti pomoci a mít stále na zřeteli dlouhodobé cíle, jako je odstranění chudoby, boj proti nerovnostem a vyloučení, prosazování demokratické správy a lidských práv a posilování udržitelného rozvoje podporujícího začleňování, zejména v nejméně rozvinutých zemích, které mají největší finanční problémy; </w:t>
      </w:r>
    </w:p>
    <w:p w:rsidR="00951BD1" w:rsidRPr="00D03B1A" w:rsidRDefault="00951BD1" w:rsidP="00951BD1">
      <w:pPr>
        <w:pStyle w:val="Hanging12"/>
      </w:pPr>
      <w:r w:rsidRPr="00D03B1A">
        <w:t>2.</w:t>
      </w:r>
      <w:r w:rsidRPr="00D03B1A">
        <w:tab/>
        <w:t>konstatuje, že v roce 2017 si přírodní katastrofy, především lesní požáry, vyžádaly v Evropě životy více než 200 lidí, přičemž shořelo přes jeden milion hektarů lesů, což je třikrát více než evropský průměr za posledních pět let; poukazuje na to, že tyto lesní požáry představují lidskou, hospodářskou a ekologickou katastrofou, která vyžaduje reakci na úrovni EU a evropsko-středomořské úrovni; domnívá se, že by se Evropská unie měla podílet na prevenci požárů a boji s nimi a na obnově oblastí po katastrofách, zejména v souvislosti s lesními požáry; má za to, že prostředky k boji s požáry jsou na vnitrostátní úrovni omezené; konstatuje v této souvislosti, že požární letadla, zejména letouny Canadair, jsou v některých vnitrostátních leteckých flotilách využívány i po skončení své doby životnosti, a proto vyžadují co možná nejrychlejší obnovu; vyzývá členské státy a EU, aby v rámci diskusí o příštím VFR učinily z posílení společných kapacit prioritu;</w:t>
      </w:r>
    </w:p>
    <w:p w:rsidR="00951BD1" w:rsidRPr="00D03B1A" w:rsidRDefault="00951BD1" w:rsidP="00951BD1">
      <w:pPr>
        <w:pStyle w:val="Hanging12"/>
      </w:pPr>
      <w:r w:rsidRPr="00D03B1A">
        <w:t>3.</w:t>
      </w:r>
      <w:r w:rsidRPr="00D03B1A">
        <w:tab/>
        <w:t>domnívá se, že zvláštní rozvojový nástroj je nejlepší volbou pro vysoce kvalitní rozvojovou politiku v zájmu rozvojových zemí, a to především těch nejméně rozvinutých, přičemž hlavním cílem je vymýcení chudoby za současného dodržování mezinárodně schválených zásad účinnosti rozvojové pomoci;</w:t>
      </w:r>
    </w:p>
    <w:p w:rsidR="00951BD1" w:rsidRPr="00D03B1A" w:rsidRDefault="00951BD1" w:rsidP="00951BD1">
      <w:pPr>
        <w:pStyle w:val="Hanging12"/>
      </w:pPr>
      <w:r w:rsidRPr="00D03B1A">
        <w:t>4.</w:t>
      </w:r>
      <w:r w:rsidRPr="00D03B1A">
        <w:tab/>
        <w:t>požaduje vytvoření programu Erasmus Evropa – Afrika a založení poboček významných evropských univerzit na africkém kontinentu s cílem zajistit úzké partnerství, navýšit kapacitu profesionálního začleňování mladých lidí a bojovat proti odlivu mozků;</w:t>
      </w:r>
    </w:p>
    <w:p w:rsidR="00951BD1" w:rsidRPr="00D03B1A" w:rsidRDefault="00951BD1" w:rsidP="00951BD1">
      <w:pPr>
        <w:pStyle w:val="Hanging12"/>
      </w:pPr>
      <w:r w:rsidRPr="00D03B1A">
        <w:t>5.</w:t>
      </w:r>
      <w:r w:rsidRPr="00D03B1A">
        <w:tab/>
        <w:t>má za to, že rozvojová spolupráce musí být prováděna za maximálního dodržování mezinárodně schválených zásad účinnosti pomoci, a podporovat tedy vnitrostátní plány a strategie partnerských zemí na dosažení cílů udržitelného rozvoje;</w:t>
      </w:r>
    </w:p>
    <w:p w:rsidR="00951BD1" w:rsidRPr="00D03B1A" w:rsidRDefault="00951BD1" w:rsidP="00951BD1">
      <w:pPr>
        <w:pStyle w:val="Hanging12"/>
      </w:pPr>
      <w:r w:rsidRPr="00D03B1A">
        <w:t>6.</w:t>
      </w:r>
      <w:r w:rsidRPr="00D03B1A">
        <w:tab/>
        <w:t>zdůrazňuje, že příští VFR musí zachovat současnou úroveň kvality a dopadu evropské pomoci a zajistit potřebné záruky, pokud jde o provádění a kontrolu projektů;</w:t>
      </w:r>
    </w:p>
    <w:p w:rsidR="00951BD1" w:rsidRPr="00D03B1A" w:rsidRDefault="00951BD1" w:rsidP="00951BD1">
      <w:pPr>
        <w:pStyle w:val="Hanging12"/>
      </w:pPr>
      <w:r w:rsidRPr="00D03B1A">
        <w:t>7.</w:t>
      </w:r>
      <w:r w:rsidRPr="00D03B1A">
        <w:tab/>
        <w:t>připomíná závazky přijaté v rámci globální strategie EU pro zahraniční a bezpečnostní politiku a nový Evropský konsensus o rozvoji;</w:t>
      </w:r>
    </w:p>
    <w:p w:rsidR="00951BD1" w:rsidRPr="00D03B1A" w:rsidRDefault="00951BD1" w:rsidP="00951BD1">
      <w:pPr>
        <w:pStyle w:val="Hanging12"/>
      </w:pPr>
      <w:r w:rsidRPr="00D03B1A">
        <w:lastRenderedPageBreak/>
        <w:t>8.</w:t>
      </w:r>
      <w:r w:rsidRPr="00D03B1A">
        <w:tab/>
        <w:t>zdůrazňuje nutnost plnit závazek EU, potvrzený v Evropském konsensu o rozvoji, vyčlenit 20 % její oficiální rozvojové pomoci na sociální začleňování a lidský rozvoj; zdůrazňuje, že je nutné zaměřit se na cíle udržitelného rozvoje v oblasti zdraví, zejména na boj proti AIDS, tuberkulóze a malárii, a v oblasti bezpečnosti, potravin, vzdělání, zaměstnanosti, vody a hygieny, energetiky, průmyslu, inovací, infrastruktury, řádné správy, demokracie, právního státu, genderových otázek, životního prostředí a boje proti změně klimatu;</w:t>
      </w:r>
    </w:p>
    <w:p w:rsidR="00951BD1" w:rsidRPr="00D03B1A" w:rsidRDefault="00951BD1" w:rsidP="00951BD1">
      <w:pPr>
        <w:pStyle w:val="Hanging12"/>
      </w:pPr>
      <w:r w:rsidRPr="00D03B1A">
        <w:t>9.</w:t>
      </w:r>
      <w:r w:rsidRPr="00D03B1A">
        <w:tab/>
        <w:t>připomíná závazek EU začlenit genderové hledisko do příštího VFR a přezkoumat udržitelnost příštího VFR, aby se zajistila soudržnost politik ve prospěch rozvoje ve všech politikách EU; připomíná dále nutnost investovat do účinných prostředků umožňujících udržitelný lidský rozvoj, jako je například sexuální a reprodukční zdraví a práva;</w:t>
      </w:r>
    </w:p>
    <w:p w:rsidR="00951BD1" w:rsidRPr="00D03B1A" w:rsidRDefault="00951BD1" w:rsidP="00951BD1">
      <w:pPr>
        <w:pStyle w:val="Hanging12"/>
      </w:pPr>
      <w:r w:rsidRPr="00D03B1A">
        <w:t>10.</w:t>
      </w:r>
      <w:r w:rsidRPr="00D03B1A">
        <w:tab/>
        <w:t>připomíná zejména finanční závazky přijaté v rámci rámcové úmluvy OSN o změně klimatu a Pařížské dohody, stejně jako závazky přijaté v rámci nového Evropského konsensu o rozvoji; zdůrazňuje především nutnost zvýšit úsilí a finanční prostředky na podporu přizpůsobení se změně klimatu a omezování oteplování planety a také nutnost zrušit dotace na fosilní paliva, která škodí životnímu prostředí;</w:t>
      </w:r>
    </w:p>
    <w:p w:rsidR="00951BD1" w:rsidRPr="00D03B1A" w:rsidRDefault="00951BD1" w:rsidP="00951BD1">
      <w:pPr>
        <w:pStyle w:val="Hanging12"/>
      </w:pPr>
      <w:r w:rsidRPr="00D03B1A">
        <w:t>11.</w:t>
      </w:r>
      <w:r w:rsidRPr="00D03B1A">
        <w:tab/>
        <w:t>v této souvislosti vybízí k lepšímu využívání všech programů v rámci okruhů příštího VFR, například prostřednictvím výzkumných programů, k doplnění cílů EU v oblasti rozvojové spolupráce, k podpoře úsilí zaměřeného na řešení celosvětových výzev a k zajištění toho, aby prostřednictvím účinné politiky soudržnosti pro rozvoj (PCD) nebyla žádná politika nebo program EU v rozporu s cíli týkajícími se vymýcení chudoby, snižování nerovností v partnerských zemích a podpory lidských práv a udržitelného společenského, hospodářského a environmentálního rozvoje;</w:t>
      </w:r>
    </w:p>
    <w:p w:rsidR="00951BD1" w:rsidRPr="00D03B1A" w:rsidRDefault="00951BD1" w:rsidP="00951BD1">
      <w:pPr>
        <w:pStyle w:val="Hanging12"/>
      </w:pPr>
      <w:r w:rsidRPr="00D03B1A">
        <w:t>12.</w:t>
      </w:r>
      <w:r w:rsidRPr="00D03B1A">
        <w:tab/>
        <w:t>zdůrazňuje úlohu Evropského konsensu o rozvoji coby rámce pro společný přístup k rozvojové politice uplatňované orgány EU a členskými státy a pro provádění cílů udržitelného rozvoje; konstatuje, že by VFR měl odrážet klíčové priority výdajů na rozvoj v souladu s tímto konsensem a zahrnovat účinnost pomoci a zásady soudržnosti politik ve prospěch rozvoje;</w:t>
      </w:r>
    </w:p>
    <w:p w:rsidR="00951BD1" w:rsidRPr="00D03B1A" w:rsidRDefault="00951BD1" w:rsidP="00951BD1">
      <w:pPr>
        <w:pStyle w:val="Hanging12"/>
      </w:pPr>
      <w:r w:rsidRPr="00D03B1A">
        <w:t>13.</w:t>
      </w:r>
      <w:r w:rsidRPr="00D03B1A">
        <w:tab/>
        <w:t>připomíná nutnost vytvořit podmínky, které zaručí mladým lidem udržitelnou budoucnost, aby se stali aktivními občany svých zemí; a požaduje přijetí opatření nezbytných k posílení postavení žen v hospodářské, politické a sociální oblasti;</w:t>
      </w:r>
    </w:p>
    <w:p w:rsidR="00951BD1" w:rsidRPr="00D03B1A" w:rsidRDefault="00951BD1" w:rsidP="00951BD1">
      <w:pPr>
        <w:pStyle w:val="Hanging12"/>
      </w:pPr>
      <w:r w:rsidRPr="00D03B1A">
        <w:t>14.</w:t>
      </w:r>
      <w:r w:rsidRPr="00D03B1A">
        <w:tab/>
        <w:t>má za to, že v zájmu omezení negativních dopadů opětovného zavedení tzv. „globálního roubíkového pravidla“ jsou nutné větší investice do přístupu ke zdravotní péči v oblasti sexuálního a reprodukčního zdraví a k souvisejícím právům;</w:t>
      </w:r>
    </w:p>
    <w:p w:rsidR="00951BD1" w:rsidRPr="00D03B1A" w:rsidRDefault="00951BD1" w:rsidP="00951BD1">
      <w:pPr>
        <w:pStyle w:val="Hanging12"/>
      </w:pPr>
      <w:r w:rsidRPr="00D03B1A">
        <w:t>15.</w:t>
      </w:r>
      <w:r w:rsidRPr="00D03B1A">
        <w:tab/>
        <w:t>požaduje zajištění rovných šancí pro ženy i muže, pokud jde o přístup k rozhodovacím strukturám a hospodářským, sociálním, politickým, technologickým a kulturním zdrojům a službám; žádá, aby byla zohledněna veškerá opatření zaměřená na boj proti násilí páchanému na ženách;</w:t>
      </w:r>
    </w:p>
    <w:p w:rsidR="00951BD1" w:rsidRPr="00D03B1A" w:rsidRDefault="00951BD1" w:rsidP="00951BD1">
      <w:pPr>
        <w:pStyle w:val="Hanging12"/>
      </w:pPr>
      <w:r w:rsidRPr="00D03B1A">
        <w:t>16.</w:t>
      </w:r>
      <w:r w:rsidRPr="00D03B1A">
        <w:tab/>
        <w:t>požaduje, aby byla potvrzena udržitelnost příštího VFR jakožto praktického způsobu zajištění soudržnosti politik ve prospěch rozvoje v rozhodnutích EU o financování; domnívá se, že takový přístup by měl zajistit, aby byly vnitřní i vnější finanční zdroje EU v souladu s cíli rozvojové spolupráce, a měl by maximalizovat účinnost celého rozpočtu EU předcházením nekonzistentním a nehospodárným výdajům;</w:t>
      </w:r>
    </w:p>
    <w:p w:rsidR="00951BD1" w:rsidRPr="00D03B1A" w:rsidRDefault="00951BD1" w:rsidP="00951BD1">
      <w:pPr>
        <w:pStyle w:val="Hanging12"/>
      </w:pPr>
      <w:r w:rsidRPr="00D03B1A">
        <w:lastRenderedPageBreak/>
        <w:t>17.</w:t>
      </w:r>
      <w:r w:rsidRPr="00D03B1A">
        <w:tab/>
        <w:t>zdůrazňuje, že přidaná hodnota politiky rozvojové spolupráce na úrovni EU se jednoznačně projevila; poukazuje na zásadní úlohu oficiální rozvojové pomoci v nejméně rozvinutých zemích a v nestabilních státech a trvá na tom, že by EU měla splnit svůj závazek dosáhnout poměru rozvojové pomoci pro nejméně rozvinuté země k hrubému národnímu důchodu ve výši 0,20 %; upozorňuje na potenciál oficiální rozvojové pomoci usnadnit získávání finančních prostředků na rozvoj z jiných zdrojů, jak soukromých, tak veřejných, domácích i mezinárodních; podporuje nové úsilí EU o povzbuzení soukromých investic prostřednictvím kombinování grantů a půjček a poskytování záruk, a to i v zemích, v nichž jsou tyto prostředky naléhavě potřebné, zároveň však existují vysoká rizika; konstatuje, že to povede k významné potřebě finančních prostředků; zdůrazňuje, že tvorba programů v oblasti rozvojové pomoci by měla být zaměřena na více let a umožňovat předvídatelnost a zároveň ponechávat prostor pro flexibilitu a že by se při ní měly využívat různé a doplňkové způsoby plnění na základě kapacit, potřeb a výkonnosti dané země; domnívá se, že kombinované financování by mělo doplňovat a nikoli nahrazovat tradiční financování rozvoje; zdůrazňuje v této souvislosti, že při zapojení soukromého sektoru musí být dodržovány přísné normy transparentnosti a odpovědnosti;</w:t>
      </w:r>
    </w:p>
    <w:p w:rsidR="00951BD1" w:rsidRPr="00D03B1A" w:rsidRDefault="00951BD1" w:rsidP="00951BD1">
      <w:pPr>
        <w:pStyle w:val="Hanging12"/>
      </w:pPr>
      <w:r w:rsidRPr="00D03B1A">
        <w:t>18.</w:t>
      </w:r>
      <w:r w:rsidRPr="00D03B1A">
        <w:tab/>
        <w:t>požaduje podporu mezinárodní spolupráce v souladu s uznávanými mezinárodními normami pro boj proti nezákonným finančním tokům a daňovým únikům;</w:t>
      </w:r>
    </w:p>
    <w:p w:rsidR="00951BD1" w:rsidRPr="00D03B1A" w:rsidRDefault="00951BD1" w:rsidP="00951BD1">
      <w:pPr>
        <w:pStyle w:val="Hanging12"/>
      </w:pPr>
      <w:r w:rsidRPr="00D03B1A">
        <w:t>19.</w:t>
      </w:r>
      <w:r w:rsidRPr="00D03B1A">
        <w:tab/>
        <w:t>opakuje, že organizace občanské společnosti hrají významnou úlohu při oslovování nezranitelnějších a nejchudších vrstev společnosti; konstatuje, že organizace občanské společnosti potřebují dostatečnou kapacitu a podporu, mají-li podporovat, monitorovat a podávat zprávy o provádění unijních a vnitrostátních politik a podílet se na zlepšování finančních mechanismů; domnívá se, že finanční prostředky EU jsou velmi důležité z hlediska budování kapacit organizací občanské společnosti a že základním organizacím na místní úrovni musí být zaručen přístup k těmto finančním prostředkům;</w:t>
      </w:r>
    </w:p>
    <w:p w:rsidR="00951BD1" w:rsidRPr="00D03B1A" w:rsidRDefault="00951BD1" w:rsidP="00951BD1">
      <w:pPr>
        <w:pStyle w:val="Hanging12"/>
      </w:pPr>
      <w:r w:rsidRPr="00D03B1A">
        <w:t>20.</w:t>
      </w:r>
      <w:r w:rsidRPr="00D03B1A">
        <w:tab/>
        <w:t>připomíná, že v mnoha zemích se středními příjmy přetrvává vysoká úroveň nerovností, a vyzývá proto Komisi, aby pro tyto země zachovala zvláště vyčleněné prostředky; domnívá se, že rozlišování zemí z hlediska vyčleněných finančních prostředků a forem spolupráce by mělo být založeno na široké škále kritérií zohledňujících lidský rozvoj podporující začleňování, lidská práva a míru nerovností a rovněž priority země v oblasti udržitelného rozvoje;</w:t>
      </w:r>
    </w:p>
    <w:p w:rsidR="00951BD1" w:rsidRPr="00D03B1A" w:rsidRDefault="00951BD1" w:rsidP="00951BD1">
      <w:pPr>
        <w:pStyle w:val="Hanging12"/>
      </w:pPr>
      <w:r w:rsidRPr="00D03B1A">
        <w:t>21.</w:t>
      </w:r>
      <w:r w:rsidRPr="00D03B1A">
        <w:tab/>
        <w:t>je přesvědčen, že je třeba ulehčit využívání pomoci, a zdůrazňuje význam zásady převzetí odpovědnosti za rozvojovou pomoc, což vyžaduje zapojení partnerských zemí, protože ty jsou v první řadě odpovědné za vytváření strategií rozvoje; navrhuje proto zvážit zavedení odborné přípravy financované Evropskou unií, jejímž cílem by bylo umožnit lepší přístup ke stávajícímu financování ze strany EU;</w:t>
      </w:r>
    </w:p>
    <w:p w:rsidR="00951BD1" w:rsidRPr="00D03B1A" w:rsidRDefault="00951BD1" w:rsidP="00951BD1">
      <w:pPr>
        <w:pStyle w:val="Hanging12"/>
      </w:pPr>
      <w:r w:rsidRPr="00D03B1A">
        <w:t>22.</w:t>
      </w:r>
      <w:r w:rsidRPr="00D03B1A">
        <w:tab/>
        <w:t>doporučuje, aby před vyčleněním dalších prostředků oficiální rozvojové pomoci na poskytnutí záruk pro investice a podobné formy pomoci bylo provedeno důkladné posouzení finanční i rozvojové adicionality a dopadu Evropského fondu pro udržitelný rozvoj na lidská práva, společnost a životní prostředí;</w:t>
      </w:r>
    </w:p>
    <w:p w:rsidR="00951BD1" w:rsidRPr="00D03B1A" w:rsidRDefault="00951BD1" w:rsidP="00951BD1">
      <w:pPr>
        <w:pStyle w:val="Hanging12"/>
      </w:pPr>
      <w:r w:rsidRPr="00D03B1A">
        <w:t>23.</w:t>
      </w:r>
      <w:r w:rsidRPr="00D03B1A">
        <w:tab/>
        <w:t xml:space="preserve">připomíná, že zvyšování počtu svěřenských fondů využívajících rozvojové prostředky – například nouzového svěřenského fondu EU pro Afriku –, jež bylo nutné kvůli nedostatku zdrojů a flexibility, podrývá jednotnost rozpočtu a může představovat ohrožení demokratické účasti, transparentnosti, odpovědnost a účinnosti pomoci; je přesvědčen, že </w:t>
      </w:r>
      <w:r w:rsidRPr="00D03B1A">
        <w:lastRenderedPageBreak/>
        <w:t xml:space="preserve">využívání těchto nástrojů by mělo být jasně odůvodněné, doplňkové, časově omezené a zaměřené na plnění konkrétních cílů a nemělo by sloužit dlouhodobým cílům v oblasti rozvoje; </w:t>
      </w:r>
    </w:p>
    <w:p w:rsidR="00951BD1" w:rsidRPr="00D03B1A" w:rsidRDefault="00951BD1" w:rsidP="00951BD1">
      <w:pPr>
        <w:pStyle w:val="Hanging12"/>
      </w:pPr>
      <w:r w:rsidRPr="00D03B1A">
        <w:t>24.</w:t>
      </w:r>
      <w:r w:rsidRPr="00D03B1A">
        <w:tab/>
        <w:t xml:space="preserve">vyzývá Komisi, aby více posílila harmonizaci a soudržnost mezi svými programy dvoustranné a vícestranné rozvojové spolupráce, zejména jde-li o stejnou zemi, s cílem zvýšit účinnost pomoci EU; </w:t>
      </w:r>
    </w:p>
    <w:p w:rsidR="00951BD1" w:rsidRPr="00D03B1A" w:rsidRDefault="00951BD1" w:rsidP="00951BD1">
      <w:pPr>
        <w:pStyle w:val="Hanging12"/>
      </w:pPr>
      <w:r w:rsidRPr="00D03B1A">
        <w:t>25.</w:t>
      </w:r>
      <w:r w:rsidRPr="00D03B1A">
        <w:tab/>
        <w:t>požaduje, aby se v příštím VFR odrazily bezprecedentní potřeba humanitární pomoci a snižování rizika katastrof, připravenosti na katastrofy a epidemie a budování odolnosti v rozvojových zemích, a to prostřednictvím vyčlenění většího objemu finančních prostředků od začátku pro dobře sestavený nástroj humanitární pomoci a prostřednictvím značné rezervy na pomoc při mimořádných událostech; bere na vědomí rostoucí tlak na tyto potřeby, který vyplývá z konfliktů a válek, porušování lidských práv, špatné správy a korupce, nedostatečného poskytování či neexistence základních sociálních služeb, narůstající nerovnosti, změny klimatu a soupeření o omezené zdroje; vyzývá Komisi, aby předložila návrh, na jehož základě by platby systematicky odpovídaly závazkům týkajícím se opatření v oblasti humanitární pomoci s cílem zajistit, aby byly pro platby k dispozici dostatečné finanční prostředky; požaduje, aby se zvážilo vyčlenění většího objemu zdrojů na nástroj pro civilní ochranu a zajištění jeho větší flexibility, aby tak EU mohla poskytovat pomoc na místě těm, kdo ji potřebují;</w:t>
      </w:r>
    </w:p>
    <w:p w:rsidR="00951BD1" w:rsidRPr="00D03B1A" w:rsidRDefault="00951BD1" w:rsidP="00951BD1">
      <w:pPr>
        <w:pStyle w:val="Hanging12"/>
      </w:pPr>
      <w:r w:rsidRPr="00D03B1A">
        <w:t>26.</w:t>
      </w:r>
      <w:r w:rsidRPr="00D03B1A">
        <w:tab/>
        <w:t>má za to, že evropský mechanismus civilní ochrany je sice účinným, ale také neúplným nástrojem pro boj s lesními požáry, a je nutné jeho zlepšení; vítá proto sdělení Komise ze dne 23. listopadu 2017, v němž je navrženo vytvoření samostatné rezervy kapacit nazvané „rescEU“ a vyčlenění dalších 280 milionů EUR na evropský mechanismus civilní ochrany v zájmu financování skutečné rezervy kapacit EU, kterou budou tvořit zejména protipožární letouny EU; vyzývá členské státy a Komisi, aby uznaly, že stávající vnitrostátní infrastruktura má evropský rozměr, a podpořily vytvoření evropské sítě uzlů pro civilní ochranu a řízení rizik; vyzývá členské státy, aby začlenily návrh Komise do nového VFR s cílem umožnit co nejrychlejší financování a vývoj evropských protipožárních letadel Canadair;</w:t>
      </w:r>
    </w:p>
    <w:p w:rsidR="00951BD1" w:rsidRPr="00D03B1A" w:rsidRDefault="00951BD1" w:rsidP="00951BD1">
      <w:pPr>
        <w:pStyle w:val="Hanging12"/>
      </w:pPr>
      <w:r w:rsidRPr="00D03B1A">
        <w:t>27.</w:t>
      </w:r>
      <w:r w:rsidRPr="00D03B1A">
        <w:tab/>
        <w:t>vítá návrh Evropské komise na posilování reakce na katastrofy na úrovni EU, a to zejména prostřednictvím chystaného zavedení samostatné rezervy kapacit „rescEU“; vyzývá Komisi a členské státy, aby uznaly, že stávající vnitrostátní infrastruktura má evropský rozměr, a podpořily přípravná opatření na vytvoření evropské sítě uzlů pro civilní ochranu a řízení rizik;</w:t>
      </w:r>
    </w:p>
    <w:p w:rsidR="00951BD1" w:rsidRPr="00D03B1A" w:rsidRDefault="00951BD1" w:rsidP="00951BD1">
      <w:pPr>
        <w:pStyle w:val="Hanging12"/>
      </w:pPr>
      <w:r w:rsidRPr="00D03B1A">
        <w:t>28.</w:t>
      </w:r>
      <w:r w:rsidRPr="00D03B1A">
        <w:tab/>
        <w:t>v zájmu zvládání migrace požaduje, aby se uskutečnily rozsáhlé investice s cílem podpořit industrializaci, elektrifikaci a rozvoj infrastruktur, které mohou zajistit hospodářský růst podporující začlenění a důstojná pracovní místa; požaduje přijetí opatření zaměřená na ukončení obchodování s lidmi a otroctví a jakéhokoli porušování lidských práv, zejména v Libyi;</w:t>
      </w:r>
    </w:p>
    <w:p w:rsidR="00951BD1" w:rsidRPr="00D03B1A" w:rsidRDefault="00951BD1" w:rsidP="00951BD1">
      <w:pPr>
        <w:pStyle w:val="Hanging12"/>
      </w:pPr>
      <w:r w:rsidRPr="00D03B1A">
        <w:t>29.</w:t>
      </w:r>
      <w:r w:rsidRPr="00D03B1A">
        <w:tab/>
        <w:t>považuje za potřebné posilovat transparentnost zdrojů na rozvojovou a humanitární pomoc, stejně jako finančních prostředků na tuto pomoc, odpovědnost za ně a informování o nich, na základě rychlého schvalování rozpočtovým orgánem, kdykoli je to potřebné, zejména s ohledem na nově vytvořenou Agendu 2030 a s cílem dodržovat zásady soudržnosti politik ve prospěch rozvoje (PCD);</w:t>
      </w:r>
    </w:p>
    <w:p w:rsidR="00951BD1" w:rsidRPr="00D03B1A" w:rsidRDefault="00951BD1" w:rsidP="00951BD1">
      <w:pPr>
        <w:pStyle w:val="Hanging12"/>
      </w:pPr>
      <w:r w:rsidRPr="00D03B1A">
        <w:t>30.</w:t>
      </w:r>
      <w:r w:rsidRPr="00D03B1A">
        <w:tab/>
        <w:t>poukazuje na nutnost posílit klíčovou úlohu evropského nástroje pro demokracii a lidská práva při prosazování evropských hodnot po celém světě a upevňování lidských práv a demokracie ve vnější činnosti EU;</w:t>
      </w:r>
    </w:p>
    <w:p w:rsidR="00951BD1" w:rsidRPr="00D03B1A" w:rsidRDefault="00951BD1" w:rsidP="00951BD1">
      <w:pPr>
        <w:pStyle w:val="Hanging12"/>
      </w:pPr>
      <w:r w:rsidRPr="00D03B1A">
        <w:t>31.</w:t>
      </w:r>
      <w:r w:rsidRPr="00D03B1A">
        <w:tab/>
        <w:t>v zájmu co nejlepšího řízení dobrovolných návratů a podpory opětovného začleňování všech vrácených osob požaduje posílení kapacit orgánů a organizací občanské společnosti v zemích původu a tranzitních zemí v jejich oblastech působnosti;</w:t>
      </w:r>
    </w:p>
    <w:p w:rsidR="00951BD1" w:rsidRPr="00D03B1A" w:rsidRDefault="00951BD1" w:rsidP="00951BD1">
      <w:pPr>
        <w:pStyle w:val="Hanging12"/>
      </w:pPr>
      <w:r w:rsidRPr="00D03B1A">
        <w:t>32.</w:t>
      </w:r>
      <w:r w:rsidRPr="00D03B1A">
        <w:tab/>
        <w:t>zdůrazňuje, že nástroje pro financování vnější činnosti v rámci nového VFR by měly být v souladu s cíli udržitelného rozvoje a novým Evropským konsensem o rozvoji, který uznává důstojnou práci jako klíčovou hnací sílu pro dosažení udržitelného rozvoje podporujícího začleňování;</w:t>
      </w:r>
    </w:p>
    <w:p w:rsidR="00951BD1" w:rsidRPr="00D03B1A" w:rsidRDefault="00951BD1" w:rsidP="00951BD1">
      <w:pPr>
        <w:pStyle w:val="Hanging12"/>
      </w:pPr>
      <w:r w:rsidRPr="00D03B1A">
        <w:t>33.</w:t>
      </w:r>
      <w:r w:rsidRPr="00D03B1A">
        <w:tab/>
        <w:t>domnívá se, že nástroje EU pro financování vnější činnosti by měly podporovat tvorbu důstojných pracovních příležitostí a také nezbytné předpoklady a prostředí, v němž mohou pracovníci a odborové svazy reprezentovat své zájmy a svobodně působit; domnívá se v tomto kontextu, že by příští VFR měl obsahovat zvláštní finanční nástroj na podporu sociálního dialogu a sociálních partnerů v rozvojových zemích;</w:t>
      </w:r>
    </w:p>
    <w:p w:rsidR="00951BD1" w:rsidRPr="00D03B1A" w:rsidRDefault="00951BD1" w:rsidP="00951BD1">
      <w:pPr>
        <w:pStyle w:val="Hanging12"/>
      </w:pPr>
      <w:r w:rsidRPr="00D03B1A">
        <w:t>34.</w:t>
      </w:r>
      <w:r w:rsidRPr="00D03B1A">
        <w:tab/>
        <w:t>požaduje, aby příští VFR zajistil odpovídající zdroje pro ESVČ a delegace EU, a umožnil jim tak plnit jejich cíle a povinnosti v oblasti rozvojové spolupráce a humanitární pomoci;</w:t>
      </w:r>
    </w:p>
    <w:p w:rsidR="00951BD1" w:rsidRPr="00D03B1A" w:rsidRDefault="00951BD1" w:rsidP="00951BD1">
      <w:pPr>
        <w:pStyle w:val="Hanging12"/>
      </w:pPr>
      <w:r w:rsidRPr="00D03B1A">
        <w:t>35.</w:t>
      </w:r>
      <w:r w:rsidRPr="00D03B1A">
        <w:tab/>
        <w:t>požaduje, aby byl příští VFR v souladu s cíli Pařížské dohody; zdůrazňuje, že je zapotřebí navýšit financování opatření v oblasti klimatu v rozvojových zemích s cílem podpořit zmírňování změny klimatu a přizpůsobení se této změně, jakož i ochranu biologické rozmanitosti; požaduje účinné začleňování změny klimatu a otázek týkajících se životního prostředí do nástrojů EU pro financování vnější činnosti;</w:t>
      </w:r>
    </w:p>
    <w:p w:rsidR="00951BD1" w:rsidRPr="00D03B1A" w:rsidRDefault="00951BD1" w:rsidP="00951BD1">
      <w:pPr>
        <w:pStyle w:val="Hanging12"/>
      </w:pPr>
      <w:r w:rsidRPr="00D03B1A">
        <w:t>36.</w:t>
      </w:r>
      <w:r w:rsidRPr="00D03B1A">
        <w:tab/>
        <w:t xml:space="preserve">konstatuje, že příspěvek Spojeného království do rozpočtu Unie na rozvoj představuje 12 %; zdůrazňuje, že je nutné kompenzovat ztráty finančních prostředků EU na rozvojovou spolupráci způsobené brexitem; opakuje proto svůj dlouhodobý postoj, že Evropský rozvojový fond (ERF) by měl být spolu s dalšími nástroji mimo VFR začleněn do rozpočtu Unie; zdůrazňuje, že toto začlenění by mohlo zahrnovat finanční krytí nad rámec současného stropu VFR, aby nedošlo k ohrožení financování dalších politik a programů EU; </w:t>
      </w:r>
    </w:p>
    <w:p w:rsidR="00951BD1" w:rsidRPr="00D03B1A" w:rsidRDefault="00951BD1" w:rsidP="00951BD1">
      <w:pPr>
        <w:pStyle w:val="Hanging12"/>
      </w:pPr>
      <w:r w:rsidRPr="00D03B1A">
        <w:t>37.</w:t>
      </w:r>
      <w:r w:rsidRPr="00D03B1A">
        <w:tab/>
        <w:t xml:space="preserve">trvá na zachování celkové úrovně finančních prostředků na rozvojovou politiku EU se zaručením vyčlenění prostředků a na nalezení trvalého řešení, pokud jde o financování bezpečnostních výdajů EU, které jsou propojeny a sladěny s rozvojovou spoluprací; </w:t>
      </w:r>
    </w:p>
    <w:p w:rsidR="00951BD1" w:rsidRPr="00D03B1A" w:rsidRDefault="00951BD1" w:rsidP="00951BD1">
      <w:pPr>
        <w:pStyle w:val="Hanging12"/>
      </w:pPr>
      <w:r w:rsidRPr="00D03B1A">
        <w:t>38.</w:t>
      </w:r>
      <w:r w:rsidRPr="00D03B1A">
        <w:tab/>
        <w:t>cítí se povzbuzen výhodami, které může přinést začlenění do rozpočtu, jako je například silnější demokratická legitimita ERF a vyšší účinnost a účelnost rozvojové pomoci EU;</w:t>
      </w:r>
    </w:p>
    <w:p w:rsidR="00951BD1" w:rsidRPr="00D03B1A" w:rsidRDefault="00951BD1" w:rsidP="00951BD1">
      <w:pPr>
        <w:pStyle w:val="Hanging12"/>
      </w:pPr>
      <w:r w:rsidRPr="00D03B1A">
        <w:t>39.</w:t>
      </w:r>
      <w:r w:rsidRPr="00D03B1A">
        <w:tab/>
        <w:t>trvá na tom, že začlenění ERF do rozpočtu EU by nemělo vést ke snižování celkových výdajů na rozvojovou pomoc EU;</w:t>
      </w:r>
    </w:p>
    <w:p w:rsidR="00951BD1" w:rsidRPr="00D03B1A" w:rsidRDefault="00951BD1" w:rsidP="00951BD1">
      <w:pPr>
        <w:pStyle w:val="Hanging12"/>
      </w:pPr>
      <w:r w:rsidRPr="00D03B1A">
        <w:t>40.</w:t>
      </w:r>
      <w:r w:rsidRPr="00D03B1A">
        <w:tab/>
        <w:t>zdůrazňuje, že je nutné posílit a formalizovat úlohu Komise v kontrolních výborech při monitorování fondů EU a že by předběžné podmínky měly být monitorovány jak na úrovni plánování, tak na regulační úrovni; domnívá se, že občanská společnost a uživatelé služeb by měli být rovněž plně zapojeni do vytváření, provádění a monitorování projektů;</w:t>
      </w:r>
    </w:p>
    <w:p w:rsidR="00951BD1" w:rsidRPr="00D03B1A" w:rsidRDefault="00951BD1" w:rsidP="00951BD1">
      <w:pPr>
        <w:pStyle w:val="Hanging12"/>
      </w:pPr>
      <w:r w:rsidRPr="00D03B1A">
        <w:t>41.</w:t>
      </w:r>
      <w:r w:rsidRPr="00D03B1A">
        <w:tab/>
        <w:t>opakuje svůj postoj, že by ERF měl být začleněn do rozpočtu Unie; zdůrazňuje však, že by toto začlenění mělo být podmíněno geografickým přidělováním prostředků na základě potřeb zemí a ambiciózní úpravy stropů směrem nahoru, aby se zabránilo snižování současných zdrojů ERF;</w:t>
      </w:r>
    </w:p>
    <w:p w:rsidR="00951BD1" w:rsidRPr="00D03B1A" w:rsidRDefault="00951BD1" w:rsidP="00951BD1">
      <w:pPr>
        <w:pStyle w:val="Hanging12"/>
      </w:pPr>
      <w:r w:rsidRPr="00D03B1A">
        <w:t>42</w:t>
      </w:r>
      <w:r w:rsidRPr="00D03B1A">
        <w:rPr>
          <w:shd w:val="clear" w:color="auto" w:fill="FFFFFF"/>
        </w:rPr>
        <w:t>.</w:t>
      </w:r>
      <w:r w:rsidRPr="00D03B1A">
        <w:rPr>
          <w:shd w:val="clear" w:color="auto" w:fill="FFFFFF"/>
        </w:rPr>
        <w:tab/>
        <w:t>vybízí k obezřetnosti, pokud jde o jakoukoli úpravu struktury pomoci, aby nedošlo k ohrožení zeměpisných priorit, předvídatelnosti pomoci a politické jednoznačnosti vnější činnosti podle regionů;</w:t>
      </w:r>
    </w:p>
    <w:p w:rsidR="00951BD1" w:rsidRPr="00D03B1A" w:rsidRDefault="00951BD1" w:rsidP="00951BD1">
      <w:pPr>
        <w:pStyle w:val="Hanging12"/>
      </w:pPr>
      <w:r w:rsidRPr="00D03B1A">
        <w:t>43.</w:t>
      </w:r>
      <w:r w:rsidRPr="00D03B1A">
        <w:tab/>
        <w:t>poukazuje na významnou úlohu diaspory při rozvoji prostřednictvím převodu prostředků, kompetencí a nepeněžních hodnot, což slouží na podporu míru, demokracie, řádné správy a sociální stability;</w:t>
      </w:r>
    </w:p>
    <w:p w:rsidR="00951BD1" w:rsidRPr="00D03B1A" w:rsidRDefault="00951BD1" w:rsidP="00951BD1">
      <w:pPr>
        <w:pStyle w:val="Hanging12"/>
      </w:pPr>
      <w:r w:rsidRPr="00D03B1A">
        <w:t>44.</w:t>
      </w:r>
      <w:r w:rsidRPr="00D03B1A">
        <w:tab/>
        <w:t>připomíná klíčovou úlohu, kterou v současném VFR sehrávají zvláštní nástroje, a to zejména rezerva na pomoc při mimořádných situacích, při reakci na nenadálé události včetně nejnaléhavějších humanitárních krizí mimo EU;</w:t>
      </w:r>
    </w:p>
    <w:p w:rsidR="00951BD1" w:rsidRPr="00D03B1A" w:rsidRDefault="00951BD1" w:rsidP="00951BD1">
      <w:pPr>
        <w:pStyle w:val="Hanging12"/>
      </w:pPr>
      <w:r w:rsidRPr="00D03B1A">
        <w:t>45.</w:t>
      </w:r>
      <w:r w:rsidRPr="00D03B1A">
        <w:tab/>
        <w:t>zdůrazňuje, že by příští VFR měl také umožnit, aby EU napříč různými odvětvími politik plnila závazky přijaté na Světovém humanitárním summitu v roce 2016 s cílem snížit potřeby a zlepšit poskytování humanitární pomoci;</w:t>
      </w:r>
    </w:p>
    <w:p w:rsidR="00951BD1" w:rsidRPr="00D03B1A" w:rsidRDefault="00951BD1" w:rsidP="00951BD1">
      <w:pPr>
        <w:pStyle w:val="Hanging12"/>
      </w:pPr>
      <w:r w:rsidRPr="00D03B1A">
        <w:t>46.</w:t>
      </w:r>
      <w:r w:rsidRPr="00D03B1A">
        <w:tab/>
        <w:t xml:space="preserve">zdůrazňuje, že nebyl splněn závazek dosáhnout v roce 2015 poměru oficiální rozvojové pomoci k HND ve výši 0,7 %, a připomíná současný závazek EU a jejích členských států dosáhnout této úrovně do roku 2030; požaduje, aby v příštím VFR bylo toto zohledněno a aby se posílily mezinárodní závazky EU a jejích členských států; vyzývá členské státy, které stanovené úrovně dosud nedosáhly, k předložení plánu s podrobným popisem, jakým způsobem to chtějí včas dosáhnout; připomíná, že oficiální rozvojová pomoc EU přispívá k plnění závazků členských států a může významně zlepšit efektivitu výdajů v rámci oficiální rozvojové pomoci ve prospěch rozvoje, mimo jiné díky menší roztříštěnosti a díky usnadnění přístupu založeného na pobídkách vůči partnerským zemím; připomíná, že bez bezpečnosti není rozvoj možný; zdůrazňuje nutnost uplatňovat zásady účinnosti rozvoje a soudržnost politik ve prospěch rozvoje na všechny nástroje a způsoby financování; </w:t>
      </w:r>
    </w:p>
    <w:p w:rsidR="00951BD1" w:rsidRPr="00D03B1A" w:rsidRDefault="00951BD1" w:rsidP="00951BD1">
      <w:pPr>
        <w:pStyle w:val="Hanging12"/>
      </w:pPr>
      <w:r w:rsidRPr="00D03B1A">
        <w:t>47.</w:t>
      </w:r>
      <w:r w:rsidRPr="00D03B1A">
        <w:tab/>
        <w:t>požaduje, aby byl v příštím VFR vytvořen zvláštní rámec pro zámořské země a území tak, aby mohly těžit z finanční pomoci přizpůsobené ambicím partnerství mezi nimi a EU na základě zájmů a výzev, které tyto země a území s Evropskou unií sdílí, jak se uvádí ve čtvrté části SFEU, coby členové evropské rodiny a regiony strategického významu pro EU za současné podpory jejich regionální integrace;</w:t>
      </w:r>
    </w:p>
    <w:p w:rsidR="00951BD1" w:rsidRPr="00D03B1A" w:rsidRDefault="00951BD1" w:rsidP="00951BD1">
      <w:pPr>
        <w:pStyle w:val="Hanging12"/>
      </w:pPr>
      <w:r w:rsidRPr="00D03B1A">
        <w:t>48.</w:t>
      </w:r>
      <w:r w:rsidRPr="00D03B1A">
        <w:tab/>
        <w:t>domnívá se, že skutečné zjednodušení nástrojů EU pro financování vnější činnosti by mohlo posílit soudržnost a usnadnit demokratickou kontrolu a dohled; zdůrazňuje však, že toto zjednodušení by mělo respektovat právo Parlamentu na kontrolu a zásady účinnosti rozvoje a že financování rozvoje ze strany EU by mělo zachovat jeho základní cíl, tj. vymýtit chudobu, se zvláštním důrazem na nejméně rozvinuté země a nestabilní situace;</w:t>
      </w:r>
    </w:p>
    <w:p w:rsidR="00951BD1" w:rsidRPr="00D03B1A" w:rsidRDefault="00951BD1" w:rsidP="00951BD1">
      <w:pPr>
        <w:pStyle w:val="Hanging12"/>
      </w:pPr>
      <w:r w:rsidRPr="00D03B1A">
        <w:t>49.</w:t>
      </w:r>
      <w:r w:rsidRPr="00D03B1A">
        <w:tab/>
        <w:t>zdůrazňuje, že zdroje z okruhu 4 jsou během současného VFR pod velkým tlakem a že rozvojové fondy se čím dál častěji využívají jako rezerva pro nově vznikající priority v jiných oblastech politik; zdůrazňuje nutnost flexibility, která by umožnila rychlejší poskytování finančních prostředků v reakci na nenadálé události a krizové situace; zdůrazňuje však, že by větší flexibilita neměla být na úkor zásad účinnosti a předvídatelnosti pomoci, což by mělo nepříznivý dopad na nástroje určené k plnění dlouhodobých rozvojových cílů, ani by neměla vést k omezení parlamentní kontroly a konzultací s partnerskými zeměmi a občanskou společností; požaduje hodnocení rozvojových programů VFR v polovině období;</w:t>
      </w:r>
    </w:p>
    <w:p w:rsidR="00951BD1" w:rsidRPr="00D03B1A" w:rsidRDefault="00951BD1" w:rsidP="00951BD1">
      <w:pPr>
        <w:pStyle w:val="Hanging12"/>
      </w:pPr>
      <w:r w:rsidRPr="00D03B1A">
        <w:t>50.</w:t>
      </w:r>
      <w:r w:rsidRPr="00D03B1A">
        <w:tab/>
        <w:t>připomíná význam prohlubování spolupráce při řešení problémů spojených s obchodováním, výrobou a nelegálním užíváním drog, s dětskými vojáky, nezákonnou těžbou a neudržitelným hospodařením s přírodními zdroji, s námořní bezpečností a terorismem;</w:t>
      </w:r>
    </w:p>
    <w:p w:rsidR="00951BD1" w:rsidRPr="00D03B1A" w:rsidRDefault="00951BD1" w:rsidP="00951BD1">
      <w:pPr>
        <w:pStyle w:val="Hanging12"/>
      </w:pPr>
      <w:r w:rsidRPr="00D03B1A">
        <w:t>51.</w:t>
      </w:r>
      <w:r w:rsidRPr="00D03B1A">
        <w:tab/>
        <w:t>zdůrazňuje, že rozvojové země jsou nejzranitelnější a nejčastěji zasaženy změnou klimatu; vyzývá v této souvislosti Komisi, aby zohlednila změnu klimatu ve všech finančních nástrojích a aby současný cíl, který počítá s tím, že 20 % veškerých finančních prostředků EU by se mělo vynaložit na opatření související se změnou klimatu, zvýšila;</w:t>
      </w:r>
    </w:p>
    <w:p w:rsidR="00951BD1" w:rsidRPr="00D03B1A" w:rsidRDefault="00951BD1" w:rsidP="00951BD1">
      <w:pPr>
        <w:pStyle w:val="Hanging12"/>
      </w:pPr>
      <w:r w:rsidRPr="00D03B1A">
        <w:t>52.</w:t>
      </w:r>
      <w:r w:rsidRPr="00D03B1A">
        <w:tab/>
        <w:t>naléhavě vyzývá EU a její členské státy, aby přestaly s nadhodnocováním pomoci a vyňaly ze zpráv o oficiální rozvojové pomoci nadhodnocené položky (např. náklady na uprchlíky, vzniklé náklady na studenty, vázanou pomoc, úroky z úvěrů a odpouštění dluhů);</w:t>
      </w:r>
    </w:p>
    <w:p w:rsidR="00951BD1" w:rsidRPr="00D03B1A" w:rsidRDefault="00951BD1" w:rsidP="00951BD1">
      <w:pPr>
        <w:pStyle w:val="Hanging12"/>
      </w:pPr>
      <w:r w:rsidRPr="00D03B1A">
        <w:t>53.</w:t>
      </w:r>
      <w:r w:rsidRPr="00D03B1A">
        <w:tab/>
        <w:t>je přesvědčen, že podpora míru, bezpečnosti a spravedlnosti v rozvojových zemích je klíčová, a uznává, že ke splnění cíle udržitelného rozvoje č. 16 jsou nutné výdaje související s bezpečností; opakuje, že vytvořením zvláštního a samostatného nástroje na podporu budování kapacit pro bezpečnost a rozvoj by se mělo zabránit sekuritizaci rozvojových nástrojů a financování;</w:t>
      </w:r>
    </w:p>
    <w:p w:rsidR="00951BD1" w:rsidRPr="00D03B1A" w:rsidRDefault="00951BD1" w:rsidP="00951BD1">
      <w:pPr>
        <w:pStyle w:val="Hanging12"/>
      </w:pPr>
      <w:r w:rsidRPr="00D03B1A">
        <w:t>54.</w:t>
      </w:r>
      <w:r w:rsidRPr="00D03B1A">
        <w:tab/>
        <w:t>vyzývá EU, aby rozšířila svou pomoc v oblasti udržitelného zemědělství, a umožnila mu tak vyrovnat se se změnou klimatu, a aby za tímto účelem podporovala drobné zemědělce, diverzifikaci plodin, agrolesnictví a agroekologické postupy;</w:t>
      </w:r>
    </w:p>
    <w:p w:rsidR="00951BD1" w:rsidRPr="00D03B1A" w:rsidRDefault="00951BD1" w:rsidP="00951BD1">
      <w:pPr>
        <w:pStyle w:val="Hanging12"/>
      </w:pPr>
      <w:r w:rsidRPr="00D03B1A">
        <w:t>55.</w:t>
      </w:r>
      <w:r w:rsidRPr="00D03B1A">
        <w:tab/>
        <w:t>konstatuje, že rozvojová pomoc může hrát významnou úlohu v oblasti migrace při řešení příčin nuceného vysidlování a při posilování přínosů migrace a mobility pro rozvoj; domnívá se však, že by oficiální rozvojová pomoc neměla být využívána ke krytí dárcovských nákladů souvisejících s uprchlíky, na externalizaci migračních politik za hranice EU ani na náklady na navracení osob do zemí původu a jejich zpětného přebírání; odmítá myšlenku podmíněnosti podpory kontrolou hranic, řízením migračních toků nebo dohodami o zpětném přebírání osob jako základu partnerství a spolupráce se třetími zeměmi;</w:t>
      </w:r>
    </w:p>
    <w:p w:rsidR="00951BD1" w:rsidRPr="00D03B1A" w:rsidRDefault="00951BD1" w:rsidP="00951BD1">
      <w:pPr>
        <w:pStyle w:val="Hanging12"/>
      </w:pPr>
      <w:r w:rsidRPr="00D03B1A">
        <w:t>56.</w:t>
      </w:r>
      <w:r w:rsidRPr="00D03B1A">
        <w:tab/>
        <w:t>opakuje svou jednoznačnou výzvu k pokračování a ke zvýšení podpory a financování organizací občanské společnosti ze strany EU, které jsou samy o sobě aktéry rozvoje, a k jejich plnému a svobodnému zapojení do politického dialogu a do plánování a provádění programů v rámci nástrojů EU pro spolupráci;</w:t>
      </w:r>
    </w:p>
    <w:p w:rsidR="007B0A44" w:rsidRPr="00D03B1A" w:rsidRDefault="00951BD1" w:rsidP="00951BD1">
      <w:pPr>
        <w:pStyle w:val="Normal12"/>
        <w:ind w:left="357" w:hanging="357"/>
      </w:pPr>
      <w:r w:rsidRPr="00D03B1A">
        <w:t>57.</w:t>
      </w:r>
      <w:r w:rsidRPr="00D03B1A">
        <w:tab/>
        <w:t>domnívá se, že by Parlament měl přezkoumat možnosti vytvoření struktury komplexního a horizontálního mechanismu pro navázání na univerzální Agendu 2030 a jejích 17 cílů udržitelného rozvoje takovým způsobem, aby se zachovala její integrita a nedělitelnost.</w:t>
      </w:r>
    </w:p>
    <w:p w:rsidR="00FF1BB0" w:rsidRPr="00D03B1A" w:rsidRDefault="00FF1BB0" w:rsidP="00FF1BB0">
      <w:pPr>
        <w:pStyle w:val="PageHeadingNotTOC"/>
      </w:pPr>
      <w:r w:rsidRPr="00D03B1A">
        <w:br w:type="page"/>
      </w:r>
      <w:bookmarkStart w:id="3" w:name="ProcPageAD"/>
      <w:r w:rsidRPr="00D03B1A">
        <w:t>INFORMACE O PŘIJETÍ VE VÝBORU POŽÁDANÉM O STANOVISKO</w:t>
      </w:r>
    </w:p>
    <w:tbl>
      <w:tblPr>
        <w:tblW w:w="9637" w:type="dxa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FF1BB0" w:rsidRPr="00D03B1A" w:rsidTr="00951BD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03B1A">
              <w:rPr>
                <w:b/>
                <w:bCs/>
                <w:color w:val="000000"/>
                <w:sz w:val="20"/>
              </w:rPr>
              <w:t>Datum přijetí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24.1.2018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FF1BB0" w:rsidRPr="00D03B1A" w:rsidTr="00951BD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03B1A">
              <w:rPr>
                <w:b/>
                <w:bCs/>
                <w:color w:val="000000"/>
                <w:sz w:val="20"/>
              </w:rPr>
              <w:t>Výsledek konečného hlasování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+:</w:t>
            </w:r>
          </w:p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–:</w:t>
            </w:r>
          </w:p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17</w:t>
            </w:r>
          </w:p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2</w:t>
            </w:r>
          </w:p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2</w:t>
            </w:r>
          </w:p>
        </w:tc>
      </w:tr>
      <w:tr w:rsidR="00FF1BB0" w:rsidRPr="00D03B1A" w:rsidTr="00951BD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03B1A">
              <w:rPr>
                <w:b/>
                <w:bCs/>
                <w:color w:val="000000"/>
                <w:sz w:val="20"/>
              </w:rPr>
              <w:t>Členové přítomní při konečném hlasování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Ignazio Corrao, Mireille D’Ornano, Doru-Claudian Frunzulică, Charles Goerens, Enrique Guerrero Salom, György Hölvényi, Arne Lietz, Linda McAvan, Norbert Neuser, Vincent Peillon, Lola Sánchez Caldentey, Elly Schlein, Eleftherios Synadinos, Bogdan Brunon Wenta, Joachim Zeller</w:t>
            </w:r>
          </w:p>
        </w:tc>
      </w:tr>
      <w:tr w:rsidR="00FF1BB0" w:rsidRPr="00D03B1A" w:rsidTr="00951BD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03B1A">
              <w:rPr>
                <w:b/>
                <w:bCs/>
                <w:color w:val="000000"/>
                <w:sz w:val="20"/>
              </w:rPr>
              <w:t>Náhradníci přítomní při konečném hlasování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Ádám Kósa, Paul Rübig, Judith Sargentini, Adam Szejnfeld</w:t>
            </w:r>
          </w:p>
        </w:tc>
      </w:tr>
      <w:tr w:rsidR="00FF1BB0" w:rsidRPr="00D03B1A" w:rsidTr="00951BD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03B1A">
              <w:rPr>
                <w:b/>
                <w:bCs/>
                <w:color w:val="000000"/>
                <w:sz w:val="20"/>
              </w:rPr>
              <w:t>Náhradníci (čl. 200 odst. 2) přítomní při konečném hlasování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F1BB0" w:rsidRPr="00D03B1A" w:rsidRDefault="00FF1BB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03B1A">
              <w:rPr>
                <w:color w:val="000000"/>
                <w:sz w:val="20"/>
              </w:rPr>
              <w:t>Jean Lambert, Miroslav Mikolášik</w:t>
            </w:r>
          </w:p>
        </w:tc>
      </w:tr>
      <w:bookmarkEnd w:id="3"/>
    </w:tbl>
    <w:p w:rsidR="00951BD1" w:rsidRPr="00D03B1A" w:rsidRDefault="00951BD1" w:rsidP="00951BD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51BD1" w:rsidRPr="00D03B1A" w:rsidRDefault="00951BD1" w:rsidP="00951BD1">
      <w:r w:rsidRPr="00D03B1A">
        <w:br w:type="page"/>
      </w:r>
    </w:p>
    <w:p w:rsidR="00951BD1" w:rsidRPr="00D03B1A" w:rsidRDefault="00951BD1" w:rsidP="00951BD1">
      <w:pPr>
        <w:pStyle w:val="PageHeadingNotTOC"/>
      </w:pPr>
      <w:bookmarkStart w:id="4" w:name="RollCallPageAD"/>
      <w:r w:rsidRPr="00D03B1A">
        <w:t>JMENOVITÉ KONEČNÉ HLASOVÁNÍ</w:t>
      </w:r>
      <w:r w:rsidRPr="00D03B1A">
        <w:br/>
        <w:t>VE VÝBORU POŽÁDANÉM O STANOVISKO</w:t>
      </w:r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51BD1" w:rsidRPr="00D03B1A" w:rsidTr="002F22D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51BD1" w:rsidRPr="00D03B1A" w:rsidRDefault="00951BD1" w:rsidP="002F22D4">
            <w:pPr>
              <w:spacing w:before="120" w:after="120"/>
              <w:jc w:val="center"/>
              <w:rPr>
                <w:b/>
                <w:sz w:val="20"/>
              </w:rPr>
            </w:pPr>
            <w:r w:rsidRPr="00D03B1A">
              <w:rPr>
                <w:b/>
                <w:sz w:val="20"/>
              </w:rPr>
              <w:t>17</w:t>
            </w:r>
          </w:p>
        </w:tc>
        <w:tc>
          <w:tcPr>
            <w:tcW w:w="7371" w:type="dxa"/>
            <w:shd w:val="pct10" w:color="000000" w:fill="FFFFFF"/>
          </w:tcPr>
          <w:p w:rsidR="00951BD1" w:rsidRPr="00D03B1A" w:rsidRDefault="00951BD1" w:rsidP="002F22D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B1A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Charles Goerens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Ignazio Corrao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György Hölvényi, Ádám Kósa, Miroslav Mikolášik, Paul Rübig, Adam Szejnfeld, Bogdan Brunon Wenta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Doru-Claudian Frunzulică, Enrique Guerrero Salom, Arne Lietz, Linda McAvan, Norbert Neuser, Vincent Peillon, Elly Schlein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Jean Lambert, Judith Sargentini</w:t>
            </w:r>
          </w:p>
        </w:tc>
      </w:tr>
    </w:tbl>
    <w:p w:rsidR="00951BD1" w:rsidRPr="00D03B1A" w:rsidRDefault="00951BD1" w:rsidP="00951BD1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51BD1" w:rsidRPr="00D03B1A" w:rsidTr="002F22D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51BD1" w:rsidRPr="00D03B1A" w:rsidRDefault="00951BD1" w:rsidP="002F22D4">
            <w:pPr>
              <w:spacing w:before="120" w:after="120"/>
              <w:jc w:val="center"/>
              <w:rPr>
                <w:b/>
                <w:sz w:val="16"/>
              </w:rPr>
            </w:pPr>
            <w:r w:rsidRPr="00D03B1A"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:rsidR="00951BD1" w:rsidRPr="00D03B1A" w:rsidRDefault="00951BD1" w:rsidP="002F22D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03B1A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Eleftherios Synadinos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Joachim Zeller</w:t>
            </w:r>
          </w:p>
        </w:tc>
      </w:tr>
    </w:tbl>
    <w:p w:rsidR="00951BD1" w:rsidRPr="00D03B1A" w:rsidRDefault="00951BD1" w:rsidP="00951BD1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51BD1" w:rsidRPr="00D03B1A" w:rsidTr="002F22D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951BD1" w:rsidRPr="00D03B1A" w:rsidRDefault="00951BD1" w:rsidP="002F22D4">
            <w:pPr>
              <w:spacing w:before="120" w:after="120"/>
              <w:jc w:val="center"/>
              <w:rPr>
                <w:b/>
                <w:sz w:val="16"/>
              </w:rPr>
            </w:pPr>
            <w:r w:rsidRPr="00D03B1A"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:rsidR="00951BD1" w:rsidRPr="00D03B1A" w:rsidRDefault="00951BD1" w:rsidP="002F22D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03B1A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Mireille D’Ornano</w:t>
            </w:r>
          </w:p>
        </w:tc>
      </w:tr>
      <w:tr w:rsidR="00951BD1" w:rsidRPr="00D03B1A" w:rsidTr="002F22D4">
        <w:trPr>
          <w:cantSplit/>
        </w:trPr>
        <w:tc>
          <w:tcPr>
            <w:tcW w:w="170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951BD1" w:rsidRPr="00D03B1A" w:rsidRDefault="00951BD1" w:rsidP="002F22D4">
            <w:pPr>
              <w:spacing w:before="120" w:after="120"/>
              <w:rPr>
                <w:sz w:val="20"/>
              </w:rPr>
            </w:pPr>
            <w:r w:rsidRPr="00D03B1A">
              <w:rPr>
                <w:sz w:val="20"/>
              </w:rPr>
              <w:t>Lola Sánchez Caldentey</w:t>
            </w:r>
          </w:p>
        </w:tc>
      </w:tr>
    </w:tbl>
    <w:p w:rsidR="00951BD1" w:rsidRPr="00D03B1A" w:rsidRDefault="00951BD1" w:rsidP="00951BD1">
      <w:pPr>
        <w:pStyle w:val="Normal12"/>
      </w:pPr>
    </w:p>
    <w:p w:rsidR="00951BD1" w:rsidRPr="00D03B1A" w:rsidRDefault="00951BD1" w:rsidP="00951BD1">
      <w:r w:rsidRPr="00D03B1A">
        <w:t>Význam zkratek:</w:t>
      </w:r>
    </w:p>
    <w:p w:rsidR="00951BD1" w:rsidRPr="00D03B1A" w:rsidRDefault="00951BD1" w:rsidP="00951BD1">
      <w:pPr>
        <w:pStyle w:val="NormalTabs"/>
        <w:rPr>
          <w:szCs w:val="24"/>
        </w:rPr>
      </w:pPr>
      <w:r w:rsidRPr="00D03B1A">
        <w:t>+</w:t>
      </w:r>
      <w:r w:rsidRPr="00D03B1A">
        <w:tab/>
        <w:t>:</w:t>
      </w:r>
      <w:r w:rsidRPr="00D03B1A">
        <w:tab/>
        <w:t>pro</w:t>
      </w:r>
    </w:p>
    <w:p w:rsidR="00951BD1" w:rsidRPr="00D03B1A" w:rsidRDefault="00951BD1" w:rsidP="00951BD1">
      <w:pPr>
        <w:pStyle w:val="NormalTabs"/>
        <w:rPr>
          <w:szCs w:val="24"/>
        </w:rPr>
      </w:pPr>
      <w:r w:rsidRPr="00D03B1A">
        <w:t>-</w:t>
      </w:r>
      <w:r w:rsidRPr="00D03B1A">
        <w:tab/>
        <w:t>:</w:t>
      </w:r>
      <w:r w:rsidRPr="00D03B1A">
        <w:tab/>
        <w:t>proti</w:t>
      </w:r>
    </w:p>
    <w:p w:rsidR="00951BD1" w:rsidRPr="00D03B1A" w:rsidRDefault="00951BD1" w:rsidP="00951BD1">
      <w:pPr>
        <w:pStyle w:val="NormalTabs"/>
      </w:pPr>
      <w:r w:rsidRPr="00D03B1A">
        <w:t>0</w:t>
      </w:r>
      <w:r w:rsidRPr="00D03B1A">
        <w:tab/>
        <w:t>:</w:t>
      </w:r>
      <w:r w:rsidRPr="00D03B1A">
        <w:tab/>
        <w:t>zdrželi se</w:t>
      </w:r>
    </w:p>
    <w:p w:rsidR="00951BD1" w:rsidRPr="00D03B1A" w:rsidRDefault="00951BD1" w:rsidP="00951BD1"/>
    <w:bookmarkEnd w:id="4"/>
    <w:p w:rsidR="00951BD1" w:rsidRPr="00D03B1A" w:rsidRDefault="00951BD1" w:rsidP="00951BD1"/>
    <w:p w:rsidR="002E2F2E" w:rsidRPr="00D03B1A" w:rsidRDefault="002E2F2E" w:rsidP="00951BD1">
      <w:pPr>
        <w:autoSpaceDE w:val="0"/>
        <w:autoSpaceDN w:val="0"/>
        <w:adjustRightInd w:val="0"/>
      </w:pPr>
    </w:p>
    <w:sectPr w:rsidR="002E2F2E" w:rsidRPr="00D03B1A" w:rsidSect="00D03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EA" w:rsidRPr="00D03B1A" w:rsidRDefault="002834EA">
      <w:r w:rsidRPr="00D03B1A">
        <w:separator/>
      </w:r>
    </w:p>
  </w:endnote>
  <w:endnote w:type="continuationSeparator" w:id="0">
    <w:p w:rsidR="002834EA" w:rsidRPr="00D03B1A" w:rsidRDefault="002834EA">
      <w:r w:rsidRPr="00D03B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1A" w:rsidRPr="00D03B1A" w:rsidRDefault="00D03B1A" w:rsidP="00D03B1A">
    <w:pPr>
      <w:pStyle w:val="Footer"/>
    </w:pPr>
    <w:r w:rsidRPr="00D03B1A">
      <w:t>PE</w:t>
    </w:r>
    <w:r w:rsidRPr="00D03B1A">
      <w:rPr>
        <w:rStyle w:val="HideTWBExt"/>
        <w:noProof w:val="0"/>
      </w:rPr>
      <w:t>&lt;NoPE&gt;</w:t>
    </w:r>
    <w:r w:rsidRPr="00D03B1A">
      <w:t>612.385</w:t>
    </w:r>
    <w:r w:rsidRPr="00D03B1A">
      <w:rPr>
        <w:rStyle w:val="HideTWBExt"/>
        <w:noProof w:val="0"/>
      </w:rPr>
      <w:t>&lt;/NoPE&gt;&lt;Version&gt;</w:t>
    </w:r>
    <w:r w:rsidRPr="00D03B1A">
      <w:t>v02-00</w:t>
    </w:r>
    <w:r w:rsidRPr="00D03B1A">
      <w:rPr>
        <w:rStyle w:val="HideTWBExt"/>
        <w:noProof w:val="0"/>
      </w:rPr>
      <w:t>&lt;/Version&gt;</w:t>
    </w:r>
    <w:r w:rsidRPr="00D03B1A">
      <w:tab/>
    </w:r>
    <w:r w:rsidRPr="00D03B1A">
      <w:fldChar w:fldCharType="begin"/>
    </w:r>
    <w:r w:rsidRPr="00D03B1A">
      <w:instrText xml:space="preserve"> PAGE  \* MERGEFORMAT </w:instrText>
    </w:r>
    <w:r w:rsidRPr="00D03B1A">
      <w:fldChar w:fldCharType="separate"/>
    </w:r>
    <w:r w:rsidR="00491B9D">
      <w:rPr>
        <w:noProof/>
      </w:rPr>
      <w:t>4</w:t>
    </w:r>
    <w:r w:rsidRPr="00D03B1A">
      <w:fldChar w:fldCharType="end"/>
    </w:r>
    <w:r w:rsidRPr="00D03B1A">
      <w:t>/</w:t>
    </w:r>
    <w:fldSimple w:instr=" NUMPAGES  \* MERGEFORMAT ">
      <w:r w:rsidR="00491B9D">
        <w:rPr>
          <w:noProof/>
        </w:rPr>
        <w:t>11</w:t>
      </w:r>
    </w:fldSimple>
    <w:r w:rsidRPr="00D03B1A">
      <w:tab/>
    </w:r>
    <w:r w:rsidRPr="00D03B1A">
      <w:rPr>
        <w:rStyle w:val="HideTWBExt"/>
        <w:noProof w:val="0"/>
      </w:rPr>
      <w:t>&lt;PathFdR&gt;</w:t>
    </w:r>
    <w:r w:rsidRPr="00D03B1A">
      <w:t>AD\1143564CS.docx</w:t>
    </w:r>
    <w:r w:rsidRPr="00D03B1A">
      <w:rPr>
        <w:rStyle w:val="HideTWBExt"/>
        <w:noProof w:val="0"/>
      </w:rPr>
      <w:t>&lt;/PathFdR&gt;</w:t>
    </w:r>
  </w:p>
  <w:p w:rsidR="002E2F2E" w:rsidRPr="00D03B1A" w:rsidRDefault="00D03B1A" w:rsidP="00D03B1A">
    <w:pPr>
      <w:pStyle w:val="Footer2"/>
    </w:pPr>
    <w:r w:rsidRPr="00D03B1A"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1A" w:rsidRPr="00D03B1A" w:rsidRDefault="00D03B1A" w:rsidP="00D03B1A">
    <w:pPr>
      <w:pStyle w:val="Footer"/>
    </w:pPr>
    <w:r w:rsidRPr="00D03B1A">
      <w:rPr>
        <w:rStyle w:val="HideTWBExt"/>
        <w:noProof w:val="0"/>
      </w:rPr>
      <w:t>&lt;PathFdR&gt;</w:t>
    </w:r>
    <w:r w:rsidRPr="00D03B1A">
      <w:t>AD\1143564CS.docx</w:t>
    </w:r>
    <w:r w:rsidRPr="00D03B1A">
      <w:rPr>
        <w:rStyle w:val="HideTWBExt"/>
        <w:noProof w:val="0"/>
      </w:rPr>
      <w:t>&lt;/PathFdR&gt;</w:t>
    </w:r>
    <w:r w:rsidRPr="00D03B1A">
      <w:tab/>
    </w:r>
    <w:r w:rsidRPr="00D03B1A">
      <w:fldChar w:fldCharType="begin"/>
    </w:r>
    <w:r w:rsidRPr="00D03B1A">
      <w:instrText xml:space="preserve"> PAGE  \* MERGEFORMAT </w:instrText>
    </w:r>
    <w:r w:rsidRPr="00D03B1A">
      <w:fldChar w:fldCharType="separate"/>
    </w:r>
    <w:r w:rsidR="00491B9D">
      <w:rPr>
        <w:noProof/>
      </w:rPr>
      <w:t>3</w:t>
    </w:r>
    <w:r w:rsidRPr="00D03B1A">
      <w:fldChar w:fldCharType="end"/>
    </w:r>
    <w:r w:rsidRPr="00D03B1A">
      <w:t>/</w:t>
    </w:r>
    <w:fldSimple w:instr=" NUMPAGES  \* MERGEFORMAT ">
      <w:r w:rsidR="00491B9D">
        <w:rPr>
          <w:noProof/>
        </w:rPr>
        <w:t>11</w:t>
      </w:r>
    </w:fldSimple>
    <w:r w:rsidRPr="00D03B1A">
      <w:tab/>
      <w:t>PE</w:t>
    </w:r>
    <w:r w:rsidRPr="00D03B1A">
      <w:rPr>
        <w:rStyle w:val="HideTWBExt"/>
        <w:noProof w:val="0"/>
      </w:rPr>
      <w:t>&lt;NoPE&gt;</w:t>
    </w:r>
    <w:r w:rsidRPr="00D03B1A">
      <w:t>612.385</w:t>
    </w:r>
    <w:r w:rsidRPr="00D03B1A">
      <w:rPr>
        <w:rStyle w:val="HideTWBExt"/>
        <w:noProof w:val="0"/>
      </w:rPr>
      <w:t>&lt;/NoPE&gt;&lt;Version&gt;</w:t>
    </w:r>
    <w:r w:rsidRPr="00D03B1A">
      <w:t>v02-00</w:t>
    </w:r>
    <w:r w:rsidRPr="00D03B1A">
      <w:rPr>
        <w:rStyle w:val="HideTWBExt"/>
        <w:noProof w:val="0"/>
      </w:rPr>
      <w:t>&lt;/Version&gt;</w:t>
    </w:r>
  </w:p>
  <w:p w:rsidR="002E2F2E" w:rsidRPr="00D03B1A" w:rsidRDefault="00D03B1A" w:rsidP="00D03B1A">
    <w:pPr>
      <w:pStyle w:val="Footer2"/>
    </w:pPr>
    <w:r w:rsidRPr="00D03B1A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1A" w:rsidRPr="00D03B1A" w:rsidRDefault="00D03B1A" w:rsidP="00D03B1A">
    <w:pPr>
      <w:pStyle w:val="Footer"/>
    </w:pPr>
    <w:r w:rsidRPr="00D03B1A">
      <w:rPr>
        <w:rStyle w:val="HideTWBExt"/>
        <w:noProof w:val="0"/>
      </w:rPr>
      <w:t>&lt;PathFdR&gt;</w:t>
    </w:r>
    <w:r w:rsidRPr="00D03B1A">
      <w:t>AD\1143564CS.docx</w:t>
    </w:r>
    <w:r w:rsidRPr="00D03B1A">
      <w:rPr>
        <w:rStyle w:val="HideTWBExt"/>
        <w:noProof w:val="0"/>
      </w:rPr>
      <w:t>&lt;/PathFdR&gt;</w:t>
    </w:r>
    <w:r w:rsidRPr="00D03B1A">
      <w:tab/>
    </w:r>
    <w:r w:rsidRPr="00D03B1A">
      <w:tab/>
      <w:t>PE</w:t>
    </w:r>
    <w:r w:rsidRPr="00D03B1A">
      <w:rPr>
        <w:rStyle w:val="HideTWBExt"/>
        <w:noProof w:val="0"/>
      </w:rPr>
      <w:t>&lt;NoPE&gt;</w:t>
    </w:r>
    <w:r w:rsidRPr="00D03B1A">
      <w:t>612.385</w:t>
    </w:r>
    <w:r w:rsidRPr="00D03B1A">
      <w:rPr>
        <w:rStyle w:val="HideTWBExt"/>
        <w:noProof w:val="0"/>
      </w:rPr>
      <w:t>&lt;/NoPE&gt;&lt;Version&gt;</w:t>
    </w:r>
    <w:r w:rsidRPr="00D03B1A">
      <w:t>v02-00</w:t>
    </w:r>
    <w:r w:rsidRPr="00D03B1A">
      <w:rPr>
        <w:rStyle w:val="HideTWBExt"/>
        <w:noProof w:val="0"/>
      </w:rPr>
      <w:t>&lt;/Version&gt;</w:t>
    </w:r>
  </w:p>
  <w:p w:rsidR="002E2F2E" w:rsidRPr="00D03B1A" w:rsidRDefault="00D03B1A" w:rsidP="00D03B1A">
    <w:pPr>
      <w:pStyle w:val="Footer2"/>
      <w:tabs>
        <w:tab w:val="center" w:pos="4535"/>
      </w:tabs>
    </w:pPr>
    <w:r w:rsidRPr="00D03B1A">
      <w:t>CS</w:t>
    </w:r>
    <w:r w:rsidRPr="00D03B1A">
      <w:tab/>
    </w:r>
    <w:r w:rsidRPr="00D03B1A">
      <w:rPr>
        <w:b w:val="0"/>
        <w:i/>
        <w:color w:val="C0C0C0"/>
        <w:sz w:val="22"/>
      </w:rPr>
      <w:t>Jednotná v rozmanitosti</w:t>
    </w:r>
    <w:r w:rsidRPr="00D03B1A"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EA" w:rsidRPr="00D03B1A" w:rsidRDefault="002834EA">
      <w:r w:rsidRPr="00D03B1A">
        <w:separator/>
      </w:r>
    </w:p>
  </w:footnote>
  <w:footnote w:type="continuationSeparator" w:id="0">
    <w:p w:rsidR="002834EA" w:rsidRPr="00D03B1A" w:rsidRDefault="002834EA">
      <w:r w:rsidRPr="00D03B1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9D" w:rsidRDefault="00491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9D" w:rsidRDefault="00491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9D" w:rsidRDefault="00491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M2KEY" w:val="BUDG"/>
    <w:docVar w:name="COMKEY" w:val="DEVE"/>
    <w:docVar w:name="CopyToNetwork" w:val="-1"/>
    <w:docVar w:name="LastEditedSection" w:val=" 1"/>
    <w:docVar w:name="PROCMNU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0\fbidi \froman\fcharset238\fprq2 Times New Roman CE;}_x000d__x000a_{\f311\fbidi \froman\fcharset204\fprq2 Times New Roman Cyr;}{\f313\fbidi \froman\fcharset161\fprq2 Times New Roman Greek;}{\f314\fbidi \froman\fcharset162\fprq2 Times New Roman Tur;}{\f315\fbidi \froman\fcharset177\fprq2 Times New Roman (Hebrew);}_x000d__x000a_{\f316\fbidi \froman\fcharset178\fprq2 Times New Roman (Arabic);}{\f317\fbidi \froman\fcharset186\fprq2 Times New Roman Baltic;}{\f318\fbidi \froman\fcharset163\fprq2 Times New Roman (Vietnamese);}{\f650\fbidi \froman\fcharset238\fprq2 Cambria Math CE;}_x000d__x000a_{\f651\fbidi \froman\fcharset204\fprq2 Cambria Math Cyr;}{\f653\fbidi \froman\fcharset161\fprq2 Cambria Math Greek;}{\f654\fbidi \froman\fcharset162\fprq2 Cambria Math Tur;}{\f657\fbidi \froman\fcharset186\fprq2 Cambria Math Baltic;}_x000d__x000a_{\f658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405896 HideTWBInt;}{\s16\ql \fi-567\li567\ri0\sa240\nowidctlpar\wrapdefault\aspalpha\aspnum\faauto\adjustright\rin0\lin567\itap0 \rtlch\fcs1 \af0\afs20\alang1025 \ltrch\fcs0 _x000d__x000a_\fs24\lang1029\langfe2057\cgrid\langnp1029\langfenp2057 \sbasedon0 \snext16 \spriority0 \styrsid405896 Normal12Hanging;}}{\*\rsidtbl \rsid24658\rsid405896\rsid735077\rsid2892074\rsid4666813\rsid6641733\rsid9636012\rsid9848545\rsid11215221\rsid12154954_x000d__x000a_\rsid14424199\rsid15204470\rsid15285974\rsid15950462\rsid16324206\rsid16662270}{\mmathPr\mmathFont34\mbrkBin0\mbrkBinSub0\msmallFrac0\mdispDef1\mlMargin0\mrMargin0\mdefJc1\mwrapIndent1440\mintLim0\mnaryLim1}{\info{\author OSLADILOVA Jana}_x000d__x000a_{\operator OSLADILOVA Jana}{\creatim\yr2018\mo2\dy6\hr9\min14}{\revtim\yr2018\mo2\dy6\hr9\min14}{\version1}{\edmins0}{\nofpages1}{\nofwords1}{\nofchars11}{\*\company European Parliament}{\nofcharsws11}{\vern57443}}{\*\xmlnstbl {\xmlns1 http://schemas.micr_x000d__x000a_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05896\utinl \donotshowprops1\fet0{\*\wgrffmtfilter 013f}\ilfomacatclnup0{\*\template C:\\Users\\JOSLAD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84854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4854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4854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4854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567\li567\ri0\sa240\nowidctlpar\wrapdefault\aspalpha\aspnum\faauto\adjustright\rin0\lin567\itap0\pararsid9334102 \rtlch\fcs1 \af0\afs20\alang1025 \ltrch\fcs0 \fs24\lang1029\langfe2057\cgrid\langnp1029\langfenp2057 {\rtlch\fcs1 \af0 _x000d__x000a_\ltrch\fcs0 \insrsid405896\charrsid3961079 {\*\bkmkstart restart}#}{\rtlch\fcs1 \af0 \ltrch\fcs0 \cs15\v\cf15\insrsid405896\charrsid3961079 NRMSG}{\rtlch\fcs1 \af0 \ltrch\fcs0 \insrsid405896\charrsid3961079 #\tab ##}{\rtlch\fcs1 \af0 \ltrch\fcs0 _x000d__x000a_\insrsid405896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d_x000d__x000a_d890229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0\fbidi \froman\fcharset238\fprq2 Times New Roman CE;}_x000d__x000a_{\f311\fbidi \froman\fcharset204\fprq2 Times New Roman Cyr;}{\f313\fbidi \froman\fcharset161\fprq2 Times New Roman Greek;}{\f314\fbidi \froman\fcharset162\fprq2 Times New Roman Tur;}{\f315\fbidi \froman\fcharset177\fprq2 Times New Roman (Hebrew);}_x000d__x000a_{\f316\fbidi \froman\fcharset178\fprq2 Times New Roman (Arabic);}{\f317\fbidi \froman\fcharset186\fprq2 Times New Roman Baltic;}{\f318\fbidi \froman\fcharset163\fprq2 Times New Roman (Vietnamese);}{\f650\fbidi \froman\fcharset238\fprq2 Cambria Math CE;}_x000d__x000a_{\f651\fbidi \froman\fcharset204\fprq2 Cambria Math Cyr;}{\f653\fbidi \froman\fcharset161\fprq2 Cambria Math Greek;}{\f654\fbidi \froman\fcharset162\fprq2 Cambria Math Tur;}{\f657\fbidi \froman\fcharset186\fprq2 Cambria Math Baltic;}_x000d__x000a_{\f658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7607691 Normal12Hanging;}}{\*\rsidtbl \rsid24658\rsid735077\rsid2892074\rsid4666813\rsid6641733\rsid7607691\rsid9636012\rsid9992287\rsid11215221\rsid12154954\rsid14424199\rsid15204470\rsid15285974\rsid15950462_x000d__x000a_\rsid16324206\rsid16662270}{\mmathPr\mmathFont34\mbrkBin0\mbrkBinSub0\msmallFrac0\mdispDef1\mlMargin0\mrMargin0\mdefJc1\mwrapIndent1440\mintLim0\mnaryLim1}{\info{\author OSLADILOVA Jana}{\operator OSLADILOVA Jana}{\creatim\yr2018\mo2\dy6\hr9\min14}_x000d__x000a_{\revtim\yr2018\mo2\dy6\hr9\min14}{\version1}{\edmins0}{\nofpages1}{\nofwords5}{\nofchars30}{\*\company European Parliament}{\nofcharsws34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607691\utinl \donotshowprops1\fet0{\*\wgrffmtfilter 013f}\ilfomacatclnup0{\*\template C:\\Users\\JOSLAD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99228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99228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99228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99228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3211916 \rtlch\fcs1 \af0\afs20\alang1025 \ltrch\fcs0 \fs24\lang2057\langfe2057\cgrid\langnp2057\langfenp2057 {\rtlch\fcs1 \af0 _x000d__x000a_\ltrch\fcs0 \insrsid7607691\charrsid1525456 {\*\bkmkstart restart}[ZSUGGESTIONNR]\tab [ZSUGGESTIONTEXT]}{\rtlch\fcs1 \af0 \ltrch\fcs0 \insrsid7607691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b_x000d__x000a_e591229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43"/>
    <w:docVar w:name="TXTLANGUE" w:val="CS"/>
    <w:docVar w:name="TXTLANGUEMIN" w:val="cs"/>
    <w:docVar w:name="TXTNRPE" w:val="612.385"/>
    <w:docVar w:name="TXTNRPROC" w:val="2017/2052"/>
    <w:docVar w:name="TXTPEorAP" w:val="PE"/>
    <w:docVar w:name="TXTROUTE" w:val="AD\1143564CS.docx"/>
    <w:docVar w:name="TXTTITLE" w:val="on the next MFF: Preparing the Parliament’s position on the MFF post-2020"/>
    <w:docVar w:name="TXTVERSION" w:val="02-00"/>
  </w:docVars>
  <w:rsids>
    <w:rsidRoot w:val="002834EA"/>
    <w:rsid w:val="000E7EBF"/>
    <w:rsid w:val="000F1DB5"/>
    <w:rsid w:val="0010540E"/>
    <w:rsid w:val="00140BE6"/>
    <w:rsid w:val="0016635E"/>
    <w:rsid w:val="001746D0"/>
    <w:rsid w:val="0018794D"/>
    <w:rsid w:val="001D2ED9"/>
    <w:rsid w:val="001D427E"/>
    <w:rsid w:val="001F3E25"/>
    <w:rsid w:val="00267A8A"/>
    <w:rsid w:val="002834EA"/>
    <w:rsid w:val="002E2F2E"/>
    <w:rsid w:val="00325BCB"/>
    <w:rsid w:val="00390EB2"/>
    <w:rsid w:val="00396A0E"/>
    <w:rsid w:val="003E2402"/>
    <w:rsid w:val="00491B9D"/>
    <w:rsid w:val="004C28FB"/>
    <w:rsid w:val="00502726"/>
    <w:rsid w:val="005B2F11"/>
    <w:rsid w:val="005D60C6"/>
    <w:rsid w:val="00657AFB"/>
    <w:rsid w:val="006F5D0F"/>
    <w:rsid w:val="007146D9"/>
    <w:rsid w:val="00715747"/>
    <w:rsid w:val="007B0A44"/>
    <w:rsid w:val="007F38E5"/>
    <w:rsid w:val="008313E7"/>
    <w:rsid w:val="00871AA4"/>
    <w:rsid w:val="008A32C5"/>
    <w:rsid w:val="008F7002"/>
    <w:rsid w:val="00951BD1"/>
    <w:rsid w:val="009A171B"/>
    <w:rsid w:val="00A16BEA"/>
    <w:rsid w:val="00A72C35"/>
    <w:rsid w:val="00B362F7"/>
    <w:rsid w:val="00B95208"/>
    <w:rsid w:val="00BD1EAA"/>
    <w:rsid w:val="00CB3492"/>
    <w:rsid w:val="00D03B1A"/>
    <w:rsid w:val="00DB6AC2"/>
    <w:rsid w:val="00E16710"/>
    <w:rsid w:val="00E856D2"/>
    <w:rsid w:val="00F80178"/>
    <w:rsid w:val="00FC26A6"/>
    <w:rsid w:val="00FD0D1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D38E96-158F-44B6-950E-93FB8BD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12Hanging">
    <w:name w:val="Normal12Hanging"/>
    <w:basedOn w:val="Normal12"/>
    <w:rsid w:val="008313E7"/>
    <w:pPr>
      <w:ind w:left="567" w:hanging="567"/>
    </w:pPr>
  </w:style>
  <w:style w:type="paragraph" w:customStyle="1" w:styleId="Hanging12">
    <w:name w:val="Hanging12"/>
    <w:basedOn w:val="Normal12Hanging"/>
    <w:qFormat/>
    <w:rsid w:val="00951BD1"/>
    <w:pPr>
      <w:ind w:left="357" w:hanging="357"/>
    </w:pPr>
    <w:rPr>
      <w:szCs w:val="24"/>
    </w:rPr>
  </w:style>
  <w:style w:type="paragraph" w:customStyle="1" w:styleId="NormalTabs">
    <w:name w:val="NormalTabs"/>
    <w:basedOn w:val="Normal"/>
    <w:qFormat/>
    <w:rsid w:val="00951BD1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DE9413D9.dotm</Template>
  <TotalTime>0</TotalTime>
  <Pages>11</Pages>
  <Words>3478</Words>
  <Characters>21001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GOESSINGER SKLENAROVA Ruzena</dc:creator>
  <cp:keywords/>
  <dc:description/>
  <cp:lastModifiedBy>EINHORNOVA Marta</cp:lastModifiedBy>
  <cp:revision>2</cp:revision>
  <cp:lastPrinted>2004-10-28T11:33:00Z</cp:lastPrinted>
  <dcterms:created xsi:type="dcterms:W3CDTF">2018-02-14T08:45:00Z</dcterms:created>
  <dcterms:modified xsi:type="dcterms:W3CDTF">2018-02-14T08:45:00Z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1143564</vt:lpwstr>
  </property>
  <property fmtid="{D5CDD505-2E9C-101B-9397-08002B2CF9AE}" pid="5" name="&lt;Type&gt;">
    <vt:lpwstr>AD</vt:lpwstr>
  </property>
  <property fmtid="{D5CDD505-2E9C-101B-9397-08002B2CF9AE}" pid="6" name="&lt;ModelCod&gt;">
    <vt:lpwstr>\\eiciLUXpr1\pdocep$\DocEP\DOCS\General\PA\PA_NonLeg.dot(05/07/2017 15:38:43)</vt:lpwstr>
  </property>
  <property fmtid="{D5CDD505-2E9C-101B-9397-08002B2CF9AE}" pid="7" name="&lt;ModelTra&gt;">
    <vt:lpwstr>\\eiciLUXpr1\pdocep$\DocEP\TRANSFIL\CS\PA_NonLeg.CS(04/04/2017 07:34:14)</vt:lpwstr>
  </property>
  <property fmtid="{D5CDD505-2E9C-101B-9397-08002B2CF9AE}" pid="8" name="&lt;Model&gt;">
    <vt:lpwstr>PA_NonLeg</vt:lpwstr>
  </property>
  <property fmtid="{D5CDD505-2E9C-101B-9397-08002B2CF9AE}" pid="9" name="FooterPath">
    <vt:lpwstr>AD\1143564CS.docx</vt:lpwstr>
  </property>
  <property fmtid="{D5CDD505-2E9C-101B-9397-08002B2CF9AE}" pid="10" name="PE number">
    <vt:lpwstr>612.385</vt:lpwstr>
  </property>
  <property fmtid="{D5CDD505-2E9C-101B-9397-08002B2CF9AE}" pid="11" name="Bookout">
    <vt:lpwstr>OK - 2018/02/14 09:45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CS</vt:lpwstr>
  </property>
</Properties>
</file>