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397CA5" w14:paraId="1B5C4742" w14:textId="77777777" w:rsidTr="003E2402">
        <w:trPr>
          <w:trHeight w:hRule="exact" w:val="1418"/>
        </w:trPr>
        <w:tc>
          <w:tcPr>
            <w:tcW w:w="6804" w:type="dxa"/>
            <w:shd w:val="clear" w:color="auto" w:fill="auto"/>
            <w:vAlign w:val="center"/>
          </w:tcPr>
          <w:p w14:paraId="78DA8B2A" w14:textId="77777777" w:rsidR="00E856D2" w:rsidRPr="00397CA5" w:rsidRDefault="00A01A07" w:rsidP="003E2402">
            <w:pPr>
              <w:pStyle w:val="EPName"/>
              <w:rPr>
                <w:lang w:val="en-GB"/>
              </w:rPr>
            </w:pPr>
            <w:r w:rsidRPr="00397CA5">
              <w:rPr>
                <w:lang w:val="en-GB"/>
              </w:rPr>
              <w:t>European Parliament</w:t>
            </w:r>
          </w:p>
          <w:p w14:paraId="7319D433" w14:textId="77777777" w:rsidR="00E856D2" w:rsidRPr="00397CA5" w:rsidRDefault="00397CA5" w:rsidP="00397CA5">
            <w:pPr>
              <w:pStyle w:val="EPTerm"/>
              <w:rPr>
                <w:rStyle w:val="HideTWBExt"/>
                <w:noProof w:val="0"/>
                <w:vanish w:val="0"/>
                <w:color w:val="auto"/>
                <w:lang w:val="en-GB"/>
              </w:rPr>
            </w:pPr>
            <w:r w:rsidRPr="00397CA5">
              <w:rPr>
                <w:lang w:val="en-GB"/>
              </w:rPr>
              <w:t>2014-2019</w:t>
            </w:r>
          </w:p>
        </w:tc>
        <w:tc>
          <w:tcPr>
            <w:tcW w:w="2268" w:type="dxa"/>
            <w:shd w:val="clear" w:color="auto" w:fill="auto"/>
          </w:tcPr>
          <w:p w14:paraId="40EE91CD" w14:textId="77777777" w:rsidR="00E856D2" w:rsidRPr="00397CA5" w:rsidRDefault="0059199C" w:rsidP="003E2402">
            <w:pPr>
              <w:pStyle w:val="EPLogo"/>
            </w:pPr>
            <w:r>
              <w:rPr>
                <w:noProof/>
              </w:rPr>
              <w:drawing>
                <wp:inline distT="0" distB="0" distL="0" distR="0" wp14:anchorId="7D3D77E9" wp14:editId="3A2E0E2C">
                  <wp:extent cx="1163320" cy="65087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3320" cy="650875"/>
                          </a:xfrm>
                          <a:prstGeom prst="rect">
                            <a:avLst/>
                          </a:prstGeom>
                          <a:noFill/>
                          <a:ln>
                            <a:noFill/>
                          </a:ln>
                        </pic:spPr>
                      </pic:pic>
                    </a:graphicData>
                  </a:graphic>
                </wp:inline>
              </w:drawing>
            </w:r>
          </w:p>
        </w:tc>
      </w:tr>
    </w:tbl>
    <w:p w14:paraId="3E266407" w14:textId="77777777" w:rsidR="001746D0" w:rsidRPr="00397CA5" w:rsidRDefault="001746D0" w:rsidP="001746D0">
      <w:pPr>
        <w:pStyle w:val="LineTop"/>
        <w:rPr>
          <w:lang w:val="en-GB"/>
        </w:rPr>
      </w:pPr>
    </w:p>
    <w:p w14:paraId="61D82B18" w14:textId="77777777" w:rsidR="001746D0" w:rsidRPr="00397CA5" w:rsidRDefault="001746D0" w:rsidP="001746D0">
      <w:pPr>
        <w:pStyle w:val="ZCommittee"/>
        <w:rPr>
          <w:lang w:val="en-GB"/>
        </w:rPr>
      </w:pPr>
      <w:r w:rsidRPr="00397CA5">
        <w:rPr>
          <w:rStyle w:val="HideTWBExt"/>
          <w:noProof w:val="0"/>
          <w:lang w:val="en-GB"/>
        </w:rPr>
        <w:t>&lt;</w:t>
      </w:r>
      <w:r w:rsidRPr="00397CA5">
        <w:rPr>
          <w:rStyle w:val="HideTWBExt"/>
          <w:i w:val="0"/>
          <w:noProof w:val="0"/>
          <w:lang w:val="en-GB"/>
        </w:rPr>
        <w:t>Commission</w:t>
      </w:r>
      <w:r w:rsidRPr="00397CA5">
        <w:rPr>
          <w:rStyle w:val="HideTWBExt"/>
          <w:noProof w:val="0"/>
          <w:lang w:val="en-GB"/>
        </w:rPr>
        <w:t>&gt;</w:t>
      </w:r>
      <w:r w:rsidR="00397CA5" w:rsidRPr="00397CA5">
        <w:rPr>
          <w:rStyle w:val="HideTWBInt"/>
          <w:lang w:val="en-GB"/>
        </w:rPr>
        <w:t>{ITRE}</w:t>
      </w:r>
      <w:r w:rsidR="00397CA5" w:rsidRPr="00397CA5">
        <w:rPr>
          <w:lang w:val="en-GB"/>
        </w:rPr>
        <w:t>Committee on Industry, Research and Energy</w:t>
      </w:r>
      <w:r w:rsidRPr="00397CA5">
        <w:rPr>
          <w:rStyle w:val="HideTWBExt"/>
          <w:noProof w:val="0"/>
          <w:lang w:val="en-GB"/>
        </w:rPr>
        <w:t>&lt;/</w:t>
      </w:r>
      <w:r w:rsidRPr="00397CA5">
        <w:rPr>
          <w:rStyle w:val="HideTWBExt"/>
          <w:i w:val="0"/>
          <w:noProof w:val="0"/>
          <w:lang w:val="en-GB"/>
        </w:rPr>
        <w:t>Commission</w:t>
      </w:r>
      <w:r w:rsidRPr="00397CA5">
        <w:rPr>
          <w:rStyle w:val="HideTWBExt"/>
          <w:noProof w:val="0"/>
          <w:lang w:val="en-GB"/>
        </w:rPr>
        <w:t>&gt;</w:t>
      </w:r>
    </w:p>
    <w:p w14:paraId="3CFA2DA8" w14:textId="77777777" w:rsidR="001746D0" w:rsidRPr="00397CA5" w:rsidRDefault="001746D0" w:rsidP="001746D0">
      <w:pPr>
        <w:pStyle w:val="LineBottom"/>
      </w:pPr>
    </w:p>
    <w:p w14:paraId="64B65C1F" w14:textId="77777777" w:rsidR="002E2F2E" w:rsidRPr="00397CA5" w:rsidRDefault="002E2F2E">
      <w:pPr>
        <w:pStyle w:val="RefProc"/>
      </w:pPr>
      <w:r w:rsidRPr="00397CA5">
        <w:rPr>
          <w:rStyle w:val="HideTWBExt"/>
          <w:b w:val="0"/>
          <w:noProof w:val="0"/>
        </w:rPr>
        <w:t>&lt;</w:t>
      </w:r>
      <w:r w:rsidRPr="00397CA5">
        <w:rPr>
          <w:rStyle w:val="HideTWBExt"/>
          <w:b w:val="0"/>
          <w:caps w:val="0"/>
          <w:noProof w:val="0"/>
        </w:rPr>
        <w:t>RefProc</w:t>
      </w:r>
      <w:r w:rsidRPr="00397CA5">
        <w:rPr>
          <w:rStyle w:val="HideTWBExt"/>
          <w:b w:val="0"/>
          <w:noProof w:val="0"/>
        </w:rPr>
        <w:t>&gt;</w:t>
      </w:r>
      <w:r w:rsidR="00397CA5" w:rsidRPr="00397CA5">
        <w:t>2017/2087</w:t>
      </w:r>
      <w:r w:rsidR="00A01A07" w:rsidRPr="00397CA5">
        <w:t>(</w:t>
      </w:r>
      <w:r w:rsidR="00397CA5" w:rsidRPr="00397CA5">
        <w:t>INI</w:t>
      </w:r>
      <w:r w:rsidR="00A01A07" w:rsidRPr="00397CA5">
        <w:t>)</w:t>
      </w:r>
      <w:r w:rsidRPr="00397CA5">
        <w:rPr>
          <w:rStyle w:val="HideTWBExt"/>
          <w:b w:val="0"/>
          <w:noProof w:val="0"/>
        </w:rPr>
        <w:t>&lt;/</w:t>
      </w:r>
      <w:r w:rsidRPr="00397CA5">
        <w:rPr>
          <w:rStyle w:val="HideTWBExt"/>
          <w:b w:val="0"/>
          <w:caps w:val="0"/>
          <w:noProof w:val="0"/>
        </w:rPr>
        <w:t>RefProc</w:t>
      </w:r>
      <w:r w:rsidRPr="00397CA5">
        <w:rPr>
          <w:rStyle w:val="HideTWBExt"/>
          <w:b w:val="0"/>
          <w:noProof w:val="0"/>
        </w:rPr>
        <w:t>&gt;</w:t>
      </w:r>
    </w:p>
    <w:p w14:paraId="42F90626" w14:textId="4971B2D7" w:rsidR="002E2F2E" w:rsidRPr="00397CA5" w:rsidRDefault="002E2F2E">
      <w:pPr>
        <w:pStyle w:val="ZDate"/>
      </w:pPr>
      <w:r w:rsidRPr="00397CA5">
        <w:rPr>
          <w:rStyle w:val="HideTWBExt"/>
          <w:noProof w:val="0"/>
        </w:rPr>
        <w:t>&lt;Date&gt;</w:t>
      </w:r>
      <w:r w:rsidR="003F147C">
        <w:rPr>
          <w:rStyle w:val="HideTWBInt"/>
        </w:rPr>
        <w:t>{22</w:t>
      </w:r>
      <w:r w:rsidR="00657A6C" w:rsidRPr="00657A6C">
        <w:rPr>
          <w:rStyle w:val="HideTWBInt"/>
        </w:rPr>
        <w:t>/03/2018}</w:t>
      </w:r>
      <w:r w:rsidR="003F147C">
        <w:t>22</w:t>
      </w:r>
      <w:r w:rsidR="00657A6C" w:rsidRPr="00657A6C">
        <w:t>.3.2018</w:t>
      </w:r>
      <w:r w:rsidRPr="00397CA5">
        <w:rPr>
          <w:rStyle w:val="HideTWBExt"/>
          <w:noProof w:val="0"/>
        </w:rPr>
        <w:t>&lt;/Date&gt;</w:t>
      </w:r>
    </w:p>
    <w:p w14:paraId="666DC76E" w14:textId="5D34B0CB" w:rsidR="002E2F2E" w:rsidRPr="00397CA5" w:rsidRDefault="002E2F2E">
      <w:pPr>
        <w:pStyle w:val="TypeDoc"/>
      </w:pPr>
      <w:r w:rsidRPr="00397CA5">
        <w:rPr>
          <w:rStyle w:val="HideTWBExt"/>
          <w:b w:val="0"/>
          <w:noProof w:val="0"/>
        </w:rPr>
        <w:t>&lt;TitreType&gt;</w:t>
      </w:r>
      <w:r w:rsidR="00657A6C" w:rsidRPr="00657A6C">
        <w:t>OPINION</w:t>
      </w:r>
      <w:r w:rsidRPr="00397CA5">
        <w:rPr>
          <w:rStyle w:val="HideTWBExt"/>
          <w:b w:val="0"/>
          <w:noProof w:val="0"/>
        </w:rPr>
        <w:t>&lt;/TitreType&gt;</w:t>
      </w:r>
    </w:p>
    <w:p w14:paraId="1C88A8D2" w14:textId="77777777" w:rsidR="002E2F2E" w:rsidRPr="00397CA5" w:rsidRDefault="002E2F2E">
      <w:pPr>
        <w:pStyle w:val="Cover24"/>
      </w:pPr>
      <w:r w:rsidRPr="00397CA5">
        <w:rPr>
          <w:rStyle w:val="HideTWBExt"/>
          <w:noProof w:val="0"/>
        </w:rPr>
        <w:t>&lt;CommissionResp&gt;</w:t>
      </w:r>
      <w:r w:rsidR="00A01A07" w:rsidRPr="00397CA5">
        <w:t xml:space="preserve">of the </w:t>
      </w:r>
      <w:r w:rsidR="00397CA5" w:rsidRPr="00397CA5">
        <w:t>Committee on Industry, Research and Energy</w:t>
      </w:r>
      <w:r w:rsidRPr="00397CA5">
        <w:rPr>
          <w:rStyle w:val="HideTWBExt"/>
          <w:noProof w:val="0"/>
        </w:rPr>
        <w:t>&lt;/CommissionResp&gt;</w:t>
      </w:r>
    </w:p>
    <w:p w14:paraId="41C13C4F" w14:textId="77777777" w:rsidR="002E2F2E" w:rsidRPr="00397CA5" w:rsidRDefault="002E2F2E">
      <w:pPr>
        <w:pStyle w:val="Cover24"/>
      </w:pPr>
      <w:r w:rsidRPr="00397CA5">
        <w:rPr>
          <w:rStyle w:val="HideTWBExt"/>
          <w:noProof w:val="0"/>
        </w:rPr>
        <w:t>&lt;CommissionInt&gt;</w:t>
      </w:r>
      <w:r w:rsidR="00A01A07" w:rsidRPr="00397CA5">
        <w:t xml:space="preserve">for the </w:t>
      </w:r>
      <w:r w:rsidR="00397CA5" w:rsidRPr="00397CA5">
        <w:t>Committee on the Environment, Public Health and Food Safety</w:t>
      </w:r>
      <w:r w:rsidRPr="00397CA5">
        <w:rPr>
          <w:rStyle w:val="HideTWBExt"/>
          <w:noProof w:val="0"/>
        </w:rPr>
        <w:t>&lt;/CommissionInt&gt;</w:t>
      </w:r>
    </w:p>
    <w:p w14:paraId="2D336922" w14:textId="77777777" w:rsidR="002E2F2E" w:rsidRPr="00397CA5" w:rsidRDefault="002E2F2E">
      <w:pPr>
        <w:pStyle w:val="CoverNormal"/>
      </w:pPr>
      <w:r w:rsidRPr="00397CA5">
        <w:rPr>
          <w:rStyle w:val="HideTWBExt"/>
          <w:noProof w:val="0"/>
        </w:rPr>
        <w:t>&lt;Titre&gt;</w:t>
      </w:r>
      <w:r w:rsidR="004C0F0E">
        <w:t>on the implementation of the Ecodesign Directive (2009/125/EC)</w:t>
      </w:r>
      <w:r w:rsidRPr="00397CA5">
        <w:rPr>
          <w:rStyle w:val="HideTWBExt"/>
          <w:noProof w:val="0"/>
        </w:rPr>
        <w:t>&lt;/Titre&gt;</w:t>
      </w:r>
    </w:p>
    <w:p w14:paraId="28550D4D" w14:textId="77777777" w:rsidR="002E2F2E" w:rsidRPr="00F522B6" w:rsidRDefault="002E2F2E">
      <w:pPr>
        <w:pStyle w:val="Cover24"/>
        <w:rPr>
          <w:lang w:val="it-IT"/>
        </w:rPr>
      </w:pPr>
      <w:r w:rsidRPr="00F522B6">
        <w:rPr>
          <w:rStyle w:val="HideTWBExt"/>
          <w:noProof w:val="0"/>
          <w:lang w:val="it-IT"/>
        </w:rPr>
        <w:t>&lt;DocRef&gt;</w:t>
      </w:r>
      <w:r w:rsidR="00A01A07" w:rsidRPr="00F522B6">
        <w:rPr>
          <w:lang w:val="it-IT"/>
        </w:rPr>
        <w:t>(</w:t>
      </w:r>
      <w:r w:rsidR="00397CA5" w:rsidRPr="00F522B6">
        <w:rPr>
          <w:lang w:val="it-IT"/>
        </w:rPr>
        <w:t>2017/2087</w:t>
      </w:r>
      <w:r w:rsidR="00A01A07" w:rsidRPr="00F522B6">
        <w:rPr>
          <w:lang w:val="it-IT"/>
        </w:rPr>
        <w:t>(</w:t>
      </w:r>
      <w:bookmarkStart w:id="0" w:name="DocEPTmp"/>
      <w:bookmarkEnd w:id="0"/>
      <w:r w:rsidR="00397CA5" w:rsidRPr="00F522B6">
        <w:rPr>
          <w:lang w:val="it-IT"/>
        </w:rPr>
        <w:t>INI</w:t>
      </w:r>
      <w:r w:rsidR="00A01A07" w:rsidRPr="00F522B6">
        <w:rPr>
          <w:lang w:val="it-IT"/>
        </w:rPr>
        <w:t>))</w:t>
      </w:r>
      <w:r w:rsidRPr="00F522B6">
        <w:rPr>
          <w:rStyle w:val="HideTWBExt"/>
          <w:noProof w:val="0"/>
          <w:lang w:val="it-IT"/>
        </w:rPr>
        <w:t>&lt;/DocRef&gt;</w:t>
      </w:r>
    </w:p>
    <w:p w14:paraId="61EC158B" w14:textId="77777777" w:rsidR="002E2F2E" w:rsidRPr="00F522B6" w:rsidRDefault="00A01A07">
      <w:pPr>
        <w:pStyle w:val="Cover24"/>
        <w:rPr>
          <w:lang w:val="it-IT"/>
        </w:rPr>
      </w:pPr>
      <w:r w:rsidRPr="00F522B6">
        <w:rPr>
          <w:lang w:val="it-IT"/>
        </w:rPr>
        <w:t>Rapporteur:</w:t>
      </w:r>
      <w:r w:rsidR="002E2F2E" w:rsidRPr="00F522B6">
        <w:rPr>
          <w:lang w:val="it-IT"/>
        </w:rPr>
        <w:t xml:space="preserve"> </w:t>
      </w:r>
      <w:r w:rsidR="002E2F2E" w:rsidRPr="00F522B6">
        <w:rPr>
          <w:rStyle w:val="HideTWBExt"/>
          <w:noProof w:val="0"/>
          <w:lang w:val="it-IT"/>
        </w:rPr>
        <w:t>&lt;Depute&gt;</w:t>
      </w:r>
      <w:r w:rsidR="00397CA5" w:rsidRPr="00F522B6">
        <w:rPr>
          <w:lang w:val="it-IT"/>
        </w:rPr>
        <w:t>Michèle Rivasi</w:t>
      </w:r>
      <w:r w:rsidR="002E2F2E" w:rsidRPr="00F522B6">
        <w:rPr>
          <w:rStyle w:val="HideTWBExt"/>
          <w:noProof w:val="0"/>
          <w:lang w:val="it-IT"/>
        </w:rPr>
        <w:t>&lt;/Depute&gt;</w:t>
      </w:r>
    </w:p>
    <w:p w14:paraId="4FFE9CCB" w14:textId="77777777" w:rsidR="000E7EBF" w:rsidRPr="00F522B6" w:rsidRDefault="002E2F2E" w:rsidP="00E856D2">
      <w:pPr>
        <w:widowControl/>
        <w:tabs>
          <w:tab w:val="center" w:pos="4677"/>
        </w:tabs>
        <w:rPr>
          <w:lang w:val="it-IT"/>
        </w:rPr>
      </w:pPr>
      <w:r w:rsidRPr="00F522B6">
        <w:rPr>
          <w:lang w:val="it-IT"/>
        </w:rPr>
        <w:br w:type="page"/>
      </w:r>
    </w:p>
    <w:p w14:paraId="75D1E7FE" w14:textId="77777777" w:rsidR="002E2F2E" w:rsidRPr="00F522B6" w:rsidRDefault="00A01A07" w:rsidP="00E856D2">
      <w:pPr>
        <w:widowControl/>
        <w:tabs>
          <w:tab w:val="center" w:pos="4677"/>
        </w:tabs>
        <w:rPr>
          <w:lang w:val="it-IT"/>
        </w:rPr>
      </w:pPr>
      <w:r w:rsidRPr="00F522B6">
        <w:rPr>
          <w:lang w:val="it-IT"/>
        </w:rPr>
        <w:lastRenderedPageBreak/>
        <w:t>PA_NonLeg</w:t>
      </w:r>
    </w:p>
    <w:p w14:paraId="10BDE9B9" w14:textId="77777777" w:rsidR="002E2F2E" w:rsidRPr="00397CA5" w:rsidRDefault="002E2F2E">
      <w:pPr>
        <w:pStyle w:val="PageHeadingNotTOC"/>
      </w:pPr>
      <w:r w:rsidRPr="00603E71">
        <w:rPr>
          <w:lang w:val="it-IT"/>
        </w:rPr>
        <w:br w:type="page"/>
      </w:r>
      <w:r w:rsidR="00A01A07" w:rsidRPr="00397CA5">
        <w:lastRenderedPageBreak/>
        <w:t>SUGGESTIONS</w:t>
      </w:r>
    </w:p>
    <w:p w14:paraId="60BC07CA" w14:textId="77777777" w:rsidR="002E2F2E" w:rsidRPr="00397CA5" w:rsidRDefault="00A01A07" w:rsidP="008313E7">
      <w:pPr>
        <w:pStyle w:val="Normal12"/>
      </w:pPr>
      <w:r w:rsidRPr="00397CA5">
        <w:t xml:space="preserve">The </w:t>
      </w:r>
      <w:r w:rsidR="00397CA5" w:rsidRPr="00397CA5">
        <w:t>Committee on Industry, Research and Energy</w:t>
      </w:r>
      <w:r w:rsidRPr="00397CA5">
        <w:t xml:space="preserve"> calls on the </w:t>
      </w:r>
      <w:r w:rsidR="00397CA5" w:rsidRPr="00397CA5">
        <w:t>Committee on the Environment, Public Health and Food Safety</w:t>
      </w:r>
      <w:r w:rsidRPr="00397CA5">
        <w:t xml:space="preserve">, </w:t>
      </w:r>
      <w:r w:rsidR="00397CA5" w:rsidRPr="00397CA5">
        <w:t>as the committee responsible</w:t>
      </w:r>
      <w:r w:rsidRPr="00397CA5">
        <w:t xml:space="preserve">, to incorporate the following suggestions </w:t>
      </w:r>
      <w:r w:rsidR="00397CA5" w:rsidRPr="00397CA5">
        <w:t>into its</w:t>
      </w:r>
      <w:bookmarkStart w:id="1" w:name="DocEPTmp2"/>
      <w:bookmarkEnd w:id="1"/>
      <w:r w:rsidRPr="00397CA5">
        <w:t xml:space="preserve"> motion for a resolution:</w:t>
      </w:r>
    </w:p>
    <w:p w14:paraId="3C68A036" w14:textId="77777777" w:rsidR="00B9760B" w:rsidRDefault="00B9760B" w:rsidP="00603E71">
      <w:pPr>
        <w:pStyle w:val="Hanging12"/>
      </w:pPr>
      <w:bookmarkStart w:id="2" w:name="restart"/>
      <w:r w:rsidRPr="00A45C9A">
        <w:t>A.</w:t>
      </w:r>
      <w:r w:rsidRPr="00A45C9A">
        <w:tab/>
      </w:r>
      <w:r w:rsidRPr="008D220A">
        <w:t>whereas ecodesign brings economic benefits for industry and consumers and contributes significantly to the Union’s climate, energy and circular economy policies;</w:t>
      </w:r>
    </w:p>
    <w:p w14:paraId="2192532A" w14:textId="3E2774BA" w:rsidR="00B9760B" w:rsidRPr="00A45C9A" w:rsidRDefault="00E65CD6" w:rsidP="00603E71">
      <w:pPr>
        <w:pStyle w:val="Hanging12"/>
      </w:pPr>
      <w:r>
        <w:t>B</w:t>
      </w:r>
      <w:r w:rsidR="003D3D66">
        <w:t>.</w:t>
      </w:r>
      <w:r w:rsidR="008D220A" w:rsidRPr="00C73696">
        <w:tab/>
      </w:r>
      <w:r w:rsidR="00B9760B" w:rsidRPr="00A45C9A">
        <w:t xml:space="preserve">whereas the Commission estimates that the Ecodesign Directive, together with the Energy Labelling Regulation, contributes to around half of the energy savings target for 2020, and has </w:t>
      </w:r>
      <w:r w:rsidR="00455E7B">
        <w:t xml:space="preserve">even </w:t>
      </w:r>
      <w:r w:rsidR="0088315C">
        <w:t>greater</w:t>
      </w:r>
      <w:r w:rsidR="00B9760B" w:rsidRPr="00A45C9A">
        <w:t xml:space="preserve"> potential in the longer term, and that both legal acts should reduce dependence on fossil fuel imports by 23</w:t>
      </w:r>
      <w:r w:rsidR="0088315C">
        <w:t> </w:t>
      </w:r>
      <w:r w:rsidR="00B9760B" w:rsidRPr="00A45C9A">
        <w:t>% for natural gas and 37</w:t>
      </w:r>
      <w:r w:rsidR="0088315C">
        <w:t> </w:t>
      </w:r>
      <w:r w:rsidR="00B9760B" w:rsidRPr="00A45C9A">
        <w:t>% for coal</w:t>
      </w:r>
      <w:r w:rsidR="00B9760B" w:rsidRPr="00A45C9A">
        <w:rPr>
          <w:vertAlign w:val="superscript"/>
        </w:rPr>
        <w:t xml:space="preserve"> </w:t>
      </w:r>
      <w:r w:rsidR="00B9760B" w:rsidRPr="00A45C9A">
        <w:t xml:space="preserve">and should also help </w:t>
      </w:r>
      <w:r w:rsidR="0088315C">
        <w:t xml:space="preserve">to achieve </w:t>
      </w:r>
      <w:r w:rsidR="00B9760B" w:rsidRPr="00A45C9A">
        <w:t>our climate goals by reducing CO</w:t>
      </w:r>
      <w:r w:rsidR="00B9760B" w:rsidRPr="00A45C9A">
        <w:rPr>
          <w:vertAlign w:val="subscript"/>
        </w:rPr>
        <w:t>2</w:t>
      </w:r>
      <w:r w:rsidR="00B9760B" w:rsidRPr="00A45C9A">
        <w:t xml:space="preserve"> emissions </w:t>
      </w:r>
      <w:r w:rsidR="0088315C">
        <w:t>by 320 million tonnes every year</w:t>
      </w:r>
      <w:r w:rsidR="00B9760B" w:rsidRPr="00A45C9A">
        <w:t>;</w:t>
      </w:r>
    </w:p>
    <w:p w14:paraId="058D340C" w14:textId="6602E93A" w:rsidR="00B9760B" w:rsidRDefault="00E65CD6" w:rsidP="00603E71">
      <w:pPr>
        <w:pStyle w:val="Hanging12"/>
      </w:pPr>
      <w:r>
        <w:t>C</w:t>
      </w:r>
      <w:r w:rsidR="00B9760B">
        <w:t>.</w:t>
      </w:r>
      <w:r w:rsidR="00B9760B" w:rsidRPr="00C73696">
        <w:tab/>
      </w:r>
      <w:r w:rsidR="00B9760B" w:rsidRPr="00E61DF5">
        <w:t xml:space="preserve">whereas the estimated energy savings achieved through the Ecodesign and Energy Labelling framework could also translate into a </w:t>
      </w:r>
      <w:r w:rsidR="00455E7B">
        <w:t xml:space="preserve">EUR 490 </w:t>
      </w:r>
      <w:r w:rsidR="00EF723C">
        <w:t xml:space="preserve">annual </w:t>
      </w:r>
      <w:r w:rsidR="0088315C">
        <w:t>reduction in</w:t>
      </w:r>
      <w:r w:rsidR="00B9760B" w:rsidRPr="00E61DF5">
        <w:t xml:space="preserve"> the energy bills of each household, while </w:t>
      </w:r>
      <w:r w:rsidR="0088315C">
        <w:t xml:space="preserve">generating </w:t>
      </w:r>
      <w:r w:rsidR="00815900">
        <w:t xml:space="preserve">extra income of </w:t>
      </w:r>
      <w:r w:rsidR="0088315C">
        <w:t xml:space="preserve">EUR </w:t>
      </w:r>
      <w:r w:rsidR="00B9760B" w:rsidRPr="00E61DF5">
        <w:t xml:space="preserve">55 billion for industry </w:t>
      </w:r>
      <w:r w:rsidR="0019091E">
        <w:t xml:space="preserve">and the </w:t>
      </w:r>
      <w:r w:rsidR="00B9760B" w:rsidRPr="00E61DF5">
        <w:t>wholesale and retail sectors</w:t>
      </w:r>
      <w:r w:rsidR="00EF723C">
        <w:t xml:space="preserve"> every year</w:t>
      </w:r>
      <w:r w:rsidR="0088315C">
        <w:t>,</w:t>
      </w:r>
      <w:r w:rsidR="00B9760B" w:rsidRPr="00E61DF5">
        <w:t xml:space="preserve"> and the </w:t>
      </w:r>
      <w:r w:rsidR="0088315C">
        <w:t xml:space="preserve">potential </w:t>
      </w:r>
      <w:r w:rsidR="00B9760B" w:rsidRPr="00E61DF5">
        <w:t>creation of 800</w:t>
      </w:r>
      <w:r w:rsidR="0088315C">
        <w:t> </w:t>
      </w:r>
      <w:r w:rsidR="00B9760B" w:rsidRPr="00E61DF5">
        <w:t>000 new direct jobs in those sectors;</w:t>
      </w:r>
    </w:p>
    <w:p w14:paraId="15127645" w14:textId="08CCF274" w:rsidR="00B9760B" w:rsidRPr="00E61DF5" w:rsidRDefault="00E65CD6" w:rsidP="00603E71">
      <w:pPr>
        <w:pStyle w:val="Hanging12"/>
      </w:pPr>
      <w:r>
        <w:t>D</w:t>
      </w:r>
      <w:r w:rsidR="00B9760B">
        <w:t>.</w:t>
      </w:r>
      <w:r w:rsidR="00B9760B" w:rsidRPr="00C73696">
        <w:tab/>
      </w:r>
      <w:r w:rsidR="00B9760B" w:rsidRPr="00E61DF5">
        <w:t xml:space="preserve">whereas </w:t>
      </w:r>
      <w:r w:rsidR="00596841">
        <w:t>eco</w:t>
      </w:r>
      <w:r w:rsidR="00C74B18">
        <w:t xml:space="preserve">design </w:t>
      </w:r>
      <w:r w:rsidR="00B9760B" w:rsidRPr="00E61DF5">
        <w:t xml:space="preserve">measures should cover the whole lifecycle of products in order to improve resource efficiency in the Union, taking into account </w:t>
      </w:r>
      <w:r w:rsidR="0088315C">
        <w:t xml:space="preserve">the fact </w:t>
      </w:r>
      <w:r w:rsidR="00B9760B" w:rsidRPr="00E61DF5">
        <w:t>that more than 80</w:t>
      </w:r>
      <w:r w:rsidR="0088315C">
        <w:t> </w:t>
      </w:r>
      <w:r w:rsidR="00B9760B" w:rsidRPr="00E61DF5">
        <w:t xml:space="preserve">% of </w:t>
      </w:r>
      <w:r w:rsidR="00815900">
        <w:t xml:space="preserve">a product’s </w:t>
      </w:r>
      <w:r w:rsidR="00B9760B" w:rsidRPr="00E61DF5">
        <w:t>environmental impact is determined at the design stage</w:t>
      </w:r>
      <w:r w:rsidR="00FC3B59">
        <w:t>,</w:t>
      </w:r>
      <w:r w:rsidR="00B9760B" w:rsidRPr="00E61DF5">
        <w:t xml:space="preserve"> which </w:t>
      </w:r>
      <w:r w:rsidR="00B9760B" w:rsidRPr="00815900">
        <w:t>therefore</w:t>
      </w:r>
      <w:r w:rsidR="00B9760B" w:rsidRPr="00E61DF5">
        <w:t xml:space="preserve"> plays a </w:t>
      </w:r>
      <w:r w:rsidR="00360667">
        <w:t>highly</w:t>
      </w:r>
      <w:r w:rsidR="00815900">
        <w:t xml:space="preserve"> important </w:t>
      </w:r>
      <w:r w:rsidR="00B9760B" w:rsidRPr="00E61DF5">
        <w:t>role in promoting the circular economy aspects, durability, upgradability, reparability, re-use and recycling of a product;</w:t>
      </w:r>
    </w:p>
    <w:p w14:paraId="1D9CD328" w14:textId="412FE21F" w:rsidR="00F75F6D" w:rsidRPr="00F75F6D" w:rsidRDefault="00F8365F" w:rsidP="00603E71">
      <w:pPr>
        <w:pStyle w:val="Hanging12"/>
      </w:pPr>
      <w:r>
        <w:t>E</w:t>
      </w:r>
      <w:r w:rsidR="00F75F6D" w:rsidRPr="00F75F6D">
        <w:t>.</w:t>
      </w:r>
      <w:r w:rsidR="00F75F6D" w:rsidRPr="00F75F6D">
        <w:tab/>
        <w:t xml:space="preserve">whereas </w:t>
      </w:r>
      <w:r w:rsidR="00815900">
        <w:t>in addition to</w:t>
      </w:r>
      <w:r w:rsidR="00F75F6D" w:rsidRPr="00F75F6D">
        <w:t xml:space="preserve"> making </w:t>
      </w:r>
      <w:r>
        <w:t>more sustainable and resource-</w:t>
      </w:r>
      <w:r w:rsidR="00F75F6D" w:rsidRPr="00F75F6D">
        <w:t>efficient</w:t>
      </w:r>
      <w:r w:rsidR="002167C8">
        <w:t xml:space="preserve"> products</w:t>
      </w:r>
      <w:r w:rsidR="00F75F6D" w:rsidRPr="00F75F6D">
        <w:t>, the principles of the sharing economy and the service economy</w:t>
      </w:r>
      <w:r w:rsidR="00FC3B59">
        <w:t xml:space="preserve"> need to be strengthened</w:t>
      </w:r>
      <w:r w:rsidR="00F75F6D" w:rsidRPr="00F75F6D">
        <w:t xml:space="preserve">, while Member States should pay special attention </w:t>
      </w:r>
      <w:r w:rsidR="00F75F6D" w:rsidRPr="00F75F6D">
        <w:rPr>
          <w:bCs/>
          <w:iCs/>
          <w:lang w:val="en-US"/>
        </w:rPr>
        <w:t xml:space="preserve">to </w:t>
      </w:r>
      <w:r w:rsidR="00F75F6D" w:rsidRPr="00F75F6D">
        <w:t>low-income households, including those at risk of energy poverty, when present</w:t>
      </w:r>
      <w:r w:rsidR="00FC3B59">
        <w:t>ing</w:t>
      </w:r>
      <w:r w:rsidR="00F75F6D" w:rsidRPr="00F75F6D">
        <w:t xml:space="preserve"> programmes to encourage the uptake of the most resource-efficient products and services;</w:t>
      </w:r>
    </w:p>
    <w:p w14:paraId="2B9EDCEB" w14:textId="73C2AA7E" w:rsidR="00ED4FDC" w:rsidRPr="00765758" w:rsidRDefault="00F8365F" w:rsidP="00603E71">
      <w:pPr>
        <w:pStyle w:val="Hanging12"/>
      </w:pPr>
      <w:r>
        <w:t>F</w:t>
      </w:r>
      <w:r w:rsidR="00ED4FDC" w:rsidRPr="00765758">
        <w:t>.</w:t>
      </w:r>
      <w:r w:rsidR="00ED4FDC" w:rsidRPr="00765758">
        <w:tab/>
        <w:t xml:space="preserve">whereas the Union is a party </w:t>
      </w:r>
      <w:r w:rsidR="00FC3B59">
        <w:t>to</w:t>
      </w:r>
      <w:r w:rsidR="00ED4FDC" w:rsidRPr="00765758">
        <w:t xml:space="preserve"> the Stockholm Convention on Persistent Organic Pollutants (POPs)</w:t>
      </w:r>
      <w:r w:rsidR="00815900">
        <w:t>,</w:t>
      </w:r>
      <w:r w:rsidR="00ED4FDC" w:rsidRPr="00765758">
        <w:t xml:space="preserve"> and is therefore required to take action on phasing out those hazardous substances, </w:t>
      </w:r>
      <w:r w:rsidR="00FC3B59">
        <w:t xml:space="preserve">including </w:t>
      </w:r>
      <w:r w:rsidR="00ED4FDC" w:rsidRPr="00765758">
        <w:t>by limiting their use at product design stage;</w:t>
      </w:r>
    </w:p>
    <w:p w14:paraId="2CE59BC3" w14:textId="15339113" w:rsidR="00CF04F0" w:rsidRPr="00765758" w:rsidRDefault="00E65CD6" w:rsidP="00603E71">
      <w:pPr>
        <w:pStyle w:val="Hanging12"/>
      </w:pPr>
      <w:r>
        <w:t>G</w:t>
      </w:r>
      <w:r w:rsidR="00CF04F0" w:rsidRPr="00765758">
        <w:t>.</w:t>
      </w:r>
      <w:r w:rsidR="00CF04F0" w:rsidRPr="00765758">
        <w:tab/>
        <w:t>whereas the Parliament and the European Economic and Social Committee</w:t>
      </w:r>
      <w:r w:rsidR="006B5A4F">
        <w:t xml:space="preserve">, </w:t>
      </w:r>
      <w:r w:rsidR="006B5A4F" w:rsidRPr="00765758">
        <w:t>along with consumer protection stakeholders, the scientific community and a wide range of civil society organisations</w:t>
      </w:r>
      <w:r w:rsidR="006B5A4F">
        <w:t>,</w:t>
      </w:r>
      <w:r w:rsidR="00CF04F0" w:rsidRPr="00765758">
        <w:t xml:space="preserve"> have asked on several occasions for the scope of the Ecodesign Directive</w:t>
      </w:r>
      <w:r w:rsidR="00FC3B59">
        <w:t xml:space="preserve"> to be broadened</w:t>
      </w:r>
      <w:r w:rsidR="00CF04F0" w:rsidRPr="00765758">
        <w:t>;</w:t>
      </w:r>
    </w:p>
    <w:p w14:paraId="1A3F70AA" w14:textId="5D226E39" w:rsidR="00B9760B" w:rsidRDefault="00B9760B" w:rsidP="00603E71">
      <w:pPr>
        <w:pStyle w:val="Hanging12"/>
      </w:pPr>
      <w:r w:rsidRPr="00D638D0">
        <w:t>1.</w:t>
      </w:r>
      <w:r w:rsidRPr="00D638D0">
        <w:tab/>
        <w:t>Recommends that more consumer products are included within the scope of the Ecodesign Directive (2009/125/EC); emphasises that priority should be given to ICT products, which are sold in large numbers and replaced frequently; stresses that the Commission should carefully assess and evaluate how to improve and verify the sustainability of such product groups</w:t>
      </w:r>
      <w:r w:rsidR="00FC3B59">
        <w:t>,</w:t>
      </w:r>
      <w:r w:rsidRPr="00D638D0">
        <w:t xml:space="preserve"> </w:t>
      </w:r>
      <w:r w:rsidR="006B5A4F" w:rsidRPr="00D638D0">
        <w:t>particular</w:t>
      </w:r>
      <w:r w:rsidR="006B5A4F">
        <w:t>ly</w:t>
      </w:r>
      <w:r w:rsidR="006B5A4F" w:rsidRPr="00D638D0">
        <w:t xml:space="preserve"> mobiles/smartphones</w:t>
      </w:r>
      <w:r w:rsidR="006B5A4F">
        <w:t>,</w:t>
      </w:r>
      <w:r w:rsidR="006B5A4F" w:rsidRPr="00D638D0">
        <w:t xml:space="preserve"> </w:t>
      </w:r>
      <w:r w:rsidRPr="00D638D0">
        <w:t>for which spare parts, batteries and accessories should be easily replaceable and universal;</w:t>
      </w:r>
    </w:p>
    <w:p w14:paraId="51A1A98D" w14:textId="4080DAF6" w:rsidR="00826711" w:rsidRPr="00765758" w:rsidRDefault="00E65CD6" w:rsidP="00603E71">
      <w:pPr>
        <w:pStyle w:val="Hanging12"/>
      </w:pPr>
      <w:r>
        <w:t>2</w:t>
      </w:r>
      <w:r w:rsidR="00826711" w:rsidRPr="00765758">
        <w:t>.</w:t>
      </w:r>
      <w:r w:rsidR="00826711" w:rsidRPr="00765758">
        <w:tab/>
        <w:t xml:space="preserve">Acknowledges that the technology of ICT products is fast-evolving, which may result in legislation on those products already being outdated </w:t>
      </w:r>
      <w:r w:rsidR="00FC3B59">
        <w:t xml:space="preserve">by the time </w:t>
      </w:r>
      <w:r w:rsidR="00826711" w:rsidRPr="00765758">
        <w:t xml:space="preserve">it </w:t>
      </w:r>
      <w:r w:rsidR="00FC3B59">
        <w:t xml:space="preserve">actually </w:t>
      </w:r>
      <w:r w:rsidR="00826711" w:rsidRPr="00765758">
        <w:t>comes into force; urges the Commission</w:t>
      </w:r>
      <w:r w:rsidR="00FC3B59">
        <w:t>, therefore,</w:t>
      </w:r>
      <w:r w:rsidR="00826711" w:rsidRPr="00765758">
        <w:t xml:space="preserve"> to speed up the ecodesign regulatory processes for </w:t>
      </w:r>
      <w:r w:rsidR="002167C8">
        <w:t>ICT</w:t>
      </w:r>
      <w:r w:rsidR="002167C8" w:rsidRPr="00765758">
        <w:t xml:space="preserve"> </w:t>
      </w:r>
      <w:r w:rsidR="00826711" w:rsidRPr="00765758">
        <w:t xml:space="preserve">products and </w:t>
      </w:r>
      <w:r w:rsidR="00FC3B59">
        <w:t xml:space="preserve">to </w:t>
      </w:r>
      <w:r w:rsidR="00826711" w:rsidRPr="00765758">
        <w:t xml:space="preserve">look into alternatives, which can be complementary to ecodesign measures, in order to monitor resource efficiency when products are in use, for instance by using big data techniques; </w:t>
      </w:r>
    </w:p>
    <w:p w14:paraId="73DE597E" w14:textId="14048C54" w:rsidR="00826711" w:rsidRPr="00765758" w:rsidRDefault="00E65CD6" w:rsidP="00603E71">
      <w:pPr>
        <w:pStyle w:val="Hanging12"/>
      </w:pPr>
      <w:r>
        <w:t>3</w:t>
      </w:r>
      <w:r w:rsidR="00826711" w:rsidRPr="00765758">
        <w:t>.</w:t>
      </w:r>
      <w:r w:rsidR="00826711" w:rsidRPr="00765758">
        <w:tab/>
        <w:t xml:space="preserve">Considers that the Ecodesign Directive has been an important tool for the energy efficiency of products and believes that future coordination with initiatives connected to </w:t>
      </w:r>
      <w:r w:rsidR="00FC3B59">
        <w:t xml:space="preserve">the </w:t>
      </w:r>
      <w:r w:rsidR="00826711" w:rsidRPr="00765758">
        <w:t>circular economy could further</w:t>
      </w:r>
      <w:r w:rsidR="00815900">
        <w:t xml:space="preserve"> enhance energy efficiency</w:t>
      </w:r>
      <w:r w:rsidR="00826711" w:rsidRPr="00765758">
        <w:t>; calls therefore for an ambitious plan concerning ecodesign and the circular economy</w:t>
      </w:r>
      <w:r w:rsidR="00FC3B59">
        <w:t>,</w:t>
      </w:r>
      <w:r w:rsidR="00826711" w:rsidRPr="00765758">
        <w:t xml:space="preserve"> which </w:t>
      </w:r>
      <w:r w:rsidR="00FC3B59">
        <w:t xml:space="preserve">would </w:t>
      </w:r>
      <w:r w:rsidR="00826711" w:rsidRPr="00765758">
        <w:t>provide both environmental benefits and a unique opportunity for job development;</w:t>
      </w:r>
    </w:p>
    <w:p w14:paraId="0ED1ED8D" w14:textId="3E28B049" w:rsidR="00B9760B" w:rsidRPr="00D638D0" w:rsidRDefault="00E65CD6" w:rsidP="00603E71">
      <w:pPr>
        <w:pStyle w:val="Hanging12"/>
      </w:pPr>
      <w:r>
        <w:t>4</w:t>
      </w:r>
      <w:r w:rsidR="00B9760B" w:rsidRPr="00D638D0">
        <w:t>.</w:t>
      </w:r>
      <w:r w:rsidR="00B9760B" w:rsidRPr="00D638D0">
        <w:tab/>
        <w:t xml:space="preserve">Stresses the need to gradually adopt measurable and enforceable product requirements </w:t>
      </w:r>
      <w:r w:rsidR="00F64AFA">
        <w:t xml:space="preserve">which are </w:t>
      </w:r>
      <w:r w:rsidR="00B9760B" w:rsidRPr="00D638D0">
        <w:t xml:space="preserve">fully harmonised at Union level, in order to preserve the functioning of the </w:t>
      </w:r>
      <w:r w:rsidR="00F64AFA">
        <w:t>i</w:t>
      </w:r>
      <w:r w:rsidR="00B9760B" w:rsidRPr="00D638D0">
        <w:t xml:space="preserve">nternal </w:t>
      </w:r>
      <w:r w:rsidR="00F64AFA">
        <w:t>m</w:t>
      </w:r>
      <w:r w:rsidR="00B9760B" w:rsidRPr="00D638D0">
        <w:t xml:space="preserve">arket, </w:t>
      </w:r>
      <w:r w:rsidR="00F64AFA">
        <w:t xml:space="preserve">to </w:t>
      </w:r>
      <w:r w:rsidR="00B9760B" w:rsidRPr="00D638D0">
        <w:t xml:space="preserve">support innovation, research and the competitiveness of European manufacturers, and </w:t>
      </w:r>
      <w:r w:rsidR="00F64AFA">
        <w:t xml:space="preserve">to </w:t>
      </w:r>
      <w:r w:rsidR="00B9760B" w:rsidRPr="00D638D0">
        <w:t xml:space="preserve">ensure fair competition, without creating </w:t>
      </w:r>
      <w:r w:rsidR="00F64AFA">
        <w:t xml:space="preserve">an </w:t>
      </w:r>
      <w:r w:rsidR="00B9760B" w:rsidRPr="00D638D0">
        <w:t>unnecessary administrative burden;</w:t>
      </w:r>
    </w:p>
    <w:p w14:paraId="61D4C202" w14:textId="454589C1" w:rsidR="00B9760B" w:rsidRDefault="00E65CD6" w:rsidP="00603E71">
      <w:pPr>
        <w:pStyle w:val="Hanging12"/>
      </w:pPr>
      <w:r>
        <w:t>5</w:t>
      </w:r>
      <w:r w:rsidR="00B9760B" w:rsidRPr="00D638D0">
        <w:t>.</w:t>
      </w:r>
      <w:r w:rsidR="00B9760B" w:rsidRPr="00D638D0">
        <w:tab/>
        <w:t xml:space="preserve">Calls for the ecodesign criteria to be broadened </w:t>
      </w:r>
      <w:r w:rsidR="002167C8">
        <w:t xml:space="preserve">in order </w:t>
      </w:r>
      <w:r w:rsidR="00B9760B" w:rsidRPr="00D638D0">
        <w:t xml:space="preserve">to include resource efficiency, the circular economy and </w:t>
      </w:r>
      <w:r w:rsidR="00F64AFA">
        <w:t xml:space="preserve">the </w:t>
      </w:r>
      <w:r w:rsidR="00B9760B" w:rsidRPr="00D638D0">
        <w:t xml:space="preserve">health aspects of products; considers it necessary to combine resource efficiency and </w:t>
      </w:r>
      <w:r w:rsidR="00F64AFA">
        <w:t xml:space="preserve">the </w:t>
      </w:r>
      <w:r w:rsidR="00B9760B" w:rsidRPr="00D638D0">
        <w:t>circularity of materials with continuous energy savings</w:t>
      </w:r>
      <w:r w:rsidR="00F64AFA">
        <w:t>,</w:t>
      </w:r>
      <w:r w:rsidR="00B9760B" w:rsidRPr="00D638D0">
        <w:t xml:space="preserve"> taking into account </w:t>
      </w:r>
      <w:r w:rsidR="00F64AFA">
        <w:t xml:space="preserve">the </w:t>
      </w:r>
      <w:r w:rsidR="00B9760B" w:rsidRPr="00D638D0">
        <w:t xml:space="preserve">historical improvement rate for setting new requirements; stresses that energy, particularly renewable energy, should be considered a key resource and that products should be optimised for energy and water consumption and material use from a lifecycle perspective; believes that durability, upgradability, reparability and recyclability can also support job development; </w:t>
      </w:r>
    </w:p>
    <w:p w14:paraId="3FFF0B3E" w14:textId="17C27D3E" w:rsidR="00826711" w:rsidRPr="00F82AA0" w:rsidRDefault="00E65CD6" w:rsidP="00603E71">
      <w:pPr>
        <w:pStyle w:val="Hanging12"/>
      </w:pPr>
      <w:r>
        <w:t>6</w:t>
      </w:r>
      <w:r w:rsidR="00826711" w:rsidRPr="00F82AA0">
        <w:t>.</w:t>
      </w:r>
      <w:r w:rsidR="00826711" w:rsidRPr="00F82AA0">
        <w:tab/>
      </w:r>
      <w:r w:rsidR="00880BCA" w:rsidRPr="00765758">
        <w:t>S</w:t>
      </w:r>
      <w:r w:rsidR="00826711" w:rsidRPr="00765758">
        <w:t>tresses the need to introduce ethical criteria linked, in particular, to the origin and extraction of the materials used, as well as to the social conditions of workers and local populations;</w:t>
      </w:r>
    </w:p>
    <w:p w14:paraId="758DD3FC" w14:textId="39E01876" w:rsidR="00826711" w:rsidRPr="00765758" w:rsidRDefault="00E65CD6" w:rsidP="00603E71">
      <w:pPr>
        <w:pStyle w:val="Hanging12"/>
      </w:pPr>
      <w:r>
        <w:t>7</w:t>
      </w:r>
      <w:r w:rsidR="00826711" w:rsidRPr="00765758">
        <w:t>.</w:t>
      </w:r>
      <w:r w:rsidR="00826711" w:rsidRPr="00765758">
        <w:tab/>
        <w:t xml:space="preserve">Regrets that little progress has been made in including circular economy aspects in the review of existing product-specific measures and new product groups; </w:t>
      </w:r>
      <w:r w:rsidR="00AF6DEF">
        <w:t xml:space="preserve">notes that, </w:t>
      </w:r>
      <w:r w:rsidR="00826711" w:rsidRPr="00765758">
        <w:t>despite the promising specific attention given to circular economy aspects in the Ecodesign Working Plan 2016-2019, the Commission’s circular economy package and the importance of this topic, the work on this matter has been disappointing; urges the Commission</w:t>
      </w:r>
      <w:r w:rsidR="00F64AFA">
        <w:t>, therefore,</w:t>
      </w:r>
      <w:r w:rsidR="00826711" w:rsidRPr="00765758">
        <w:t xml:space="preserve"> to speed up actions to ensure that the Ecodesign Directive makes a significant contribution to the circular economy;</w:t>
      </w:r>
    </w:p>
    <w:p w14:paraId="03918AC2" w14:textId="65173D42" w:rsidR="0097455C" w:rsidRPr="00DE196D" w:rsidRDefault="00205ED8" w:rsidP="0097455C">
      <w:pPr>
        <w:pStyle w:val="Normal12Hanging"/>
      </w:pPr>
      <w:r>
        <w:t>8</w:t>
      </w:r>
      <w:r w:rsidR="0097455C" w:rsidRPr="00DE196D">
        <w:t>.</w:t>
      </w:r>
      <w:r w:rsidR="0097455C" w:rsidRPr="00DE196D">
        <w:tab/>
        <w:t>Stresses the need for:</w:t>
      </w:r>
    </w:p>
    <w:p w14:paraId="622AF42A" w14:textId="1AFCE10F" w:rsidR="0097455C" w:rsidRPr="00DE196D" w:rsidRDefault="00104ED6" w:rsidP="00FB0873">
      <w:pPr>
        <w:pStyle w:val="Normal12Hanging"/>
        <w:ind w:firstLine="0"/>
      </w:pPr>
      <w:r>
        <w:t>(a</w:t>
      </w:r>
      <w:r w:rsidR="0097455C" w:rsidRPr="00DE196D">
        <w:t>)</w:t>
      </w:r>
      <w:r w:rsidR="0097455C" w:rsidRPr="00DE196D">
        <w:tab/>
        <w:t xml:space="preserve">upgradability to be promoted through the availability of software updates for electronic devices, </w:t>
      </w:r>
    </w:p>
    <w:p w14:paraId="24E5E340" w14:textId="7BB760EE" w:rsidR="0097455C" w:rsidRPr="00DE196D" w:rsidRDefault="00104ED6" w:rsidP="00FB0873">
      <w:pPr>
        <w:pStyle w:val="Normal12Hanging"/>
        <w:ind w:firstLine="0"/>
      </w:pPr>
      <w:r>
        <w:t>(b</w:t>
      </w:r>
      <w:r w:rsidR="0097455C" w:rsidRPr="00DE196D">
        <w:t>)</w:t>
      </w:r>
      <w:r w:rsidR="0097455C" w:rsidRPr="00DE196D">
        <w:tab/>
        <w:t xml:space="preserve">reparability to be facilitated by the availability of spare parts throughout the life-cycle of a product at a reasonable price in relation to the total cost of the product, </w:t>
      </w:r>
    </w:p>
    <w:p w14:paraId="224BD416" w14:textId="588B5642" w:rsidR="0097455C" w:rsidRPr="00DE196D" w:rsidRDefault="00104ED6" w:rsidP="00FB0873">
      <w:pPr>
        <w:pStyle w:val="Normal12Hanging"/>
        <w:ind w:firstLine="0"/>
        <w:rPr>
          <w:szCs w:val="24"/>
        </w:rPr>
      </w:pPr>
      <w:r>
        <w:t>(c</w:t>
      </w:r>
      <w:r w:rsidR="0097455C" w:rsidRPr="00DE196D">
        <w:t>)</w:t>
      </w:r>
      <w:r w:rsidR="0097455C" w:rsidRPr="00DE196D">
        <w:tab/>
        <w:t>recyclability to be enhanced by using single or compatible plastic polymers;</w:t>
      </w:r>
    </w:p>
    <w:p w14:paraId="30BF5C01" w14:textId="3B92427F" w:rsidR="0097455C" w:rsidRPr="00DE196D" w:rsidRDefault="00205ED8" w:rsidP="00603E71">
      <w:pPr>
        <w:pStyle w:val="Hanging12"/>
      </w:pPr>
      <w:r>
        <w:t>9</w:t>
      </w:r>
      <w:r w:rsidR="0097455C" w:rsidRPr="00DE196D">
        <w:t>.</w:t>
      </w:r>
      <w:r w:rsidR="0097455C" w:rsidRPr="00DE196D">
        <w:tab/>
        <w:t xml:space="preserve">Stresses that, aside from ensuring recyclability, the actual use of recycled materials should also be promoted; </w:t>
      </w:r>
      <w:r w:rsidR="00F64AFA">
        <w:t xml:space="preserve">considers that, </w:t>
      </w:r>
      <w:r w:rsidR="0097455C" w:rsidRPr="00DE196D">
        <w:t xml:space="preserve">on the one hand, </w:t>
      </w:r>
      <w:r w:rsidR="00F64AFA">
        <w:t xml:space="preserve">the </w:t>
      </w:r>
      <w:r w:rsidR="0097455C" w:rsidRPr="00DE196D">
        <w:t>recyclability and easy dismantling of products needs to be incorporated in</w:t>
      </w:r>
      <w:r w:rsidR="00F64AFA">
        <w:t>to</w:t>
      </w:r>
      <w:r w:rsidR="0097455C" w:rsidRPr="00DE196D">
        <w:t xml:space="preserve"> the design phase so that end</w:t>
      </w:r>
      <w:r w:rsidR="00F64AFA">
        <w:t>-</w:t>
      </w:r>
      <w:r w:rsidR="0097455C" w:rsidRPr="00DE196D">
        <w:t>of</w:t>
      </w:r>
      <w:r w:rsidR="00F64AFA">
        <w:t>-</w:t>
      </w:r>
      <w:r w:rsidR="0097455C" w:rsidRPr="00DE196D">
        <w:t>life products may be converted into high</w:t>
      </w:r>
      <w:r w:rsidR="00F64AFA">
        <w:t>-</w:t>
      </w:r>
      <w:r w:rsidR="0097455C" w:rsidRPr="00DE196D">
        <w:t>quality secondary raw materials, and</w:t>
      </w:r>
      <w:r w:rsidR="00F64AFA">
        <w:t>,</w:t>
      </w:r>
      <w:r w:rsidR="0097455C" w:rsidRPr="00DE196D">
        <w:t xml:space="preserve"> on the other hand, the actual reuse of these secondary raw materials in new products needs to be promoted and endorsed, for example by setting a compulsory minimal usage of recycled materials for new products;</w:t>
      </w:r>
    </w:p>
    <w:p w14:paraId="14F74392" w14:textId="72331113" w:rsidR="0097455C" w:rsidRPr="00DE196D" w:rsidRDefault="00205ED8" w:rsidP="00603E71">
      <w:pPr>
        <w:pStyle w:val="Hanging12"/>
      </w:pPr>
      <w:r>
        <w:t>10</w:t>
      </w:r>
      <w:r w:rsidR="0097455C" w:rsidRPr="00DE196D">
        <w:t>.</w:t>
      </w:r>
      <w:r w:rsidR="0097455C" w:rsidRPr="00DE196D">
        <w:tab/>
        <w:t>Stresses that, in order to ensure the use of recycled/secondary materials, the availability of high</w:t>
      </w:r>
      <w:r w:rsidR="00F64AFA">
        <w:t>-</w:t>
      </w:r>
      <w:r w:rsidR="0097455C" w:rsidRPr="00DE196D">
        <w:t xml:space="preserve">quality secondary materials </w:t>
      </w:r>
      <w:r w:rsidR="00D6123D">
        <w:t xml:space="preserve">is imperative, </w:t>
      </w:r>
      <w:r w:rsidR="0097455C" w:rsidRPr="00DE196D">
        <w:t xml:space="preserve">and a well-organised market for </w:t>
      </w:r>
      <w:r w:rsidR="002167C8">
        <w:t xml:space="preserve">secondary </w:t>
      </w:r>
      <w:r w:rsidR="0097455C" w:rsidRPr="00DE196D">
        <w:t xml:space="preserve">materials should </w:t>
      </w:r>
      <w:r w:rsidR="00D6123D">
        <w:t xml:space="preserve">therefore </w:t>
      </w:r>
      <w:r w:rsidR="0097455C" w:rsidRPr="00DE196D">
        <w:t xml:space="preserve">be </w:t>
      </w:r>
      <w:r w:rsidR="002167C8">
        <w:t>established</w:t>
      </w:r>
      <w:r w:rsidR="0097455C" w:rsidRPr="00DE196D">
        <w:t>;</w:t>
      </w:r>
    </w:p>
    <w:p w14:paraId="5B1AB1A2" w14:textId="54440749" w:rsidR="0097455C" w:rsidRPr="00DE196D" w:rsidRDefault="00205ED8" w:rsidP="00603E71">
      <w:pPr>
        <w:pStyle w:val="Hanging12"/>
      </w:pPr>
      <w:r>
        <w:t>11</w:t>
      </w:r>
      <w:r w:rsidR="0097455C" w:rsidRPr="00DE196D">
        <w:t>.</w:t>
      </w:r>
      <w:r w:rsidR="0097455C" w:rsidRPr="00DE196D">
        <w:tab/>
        <w:t xml:space="preserve">Stresses the importance of attributing responsibility to producers and expanding guarantee periods and conditions, </w:t>
      </w:r>
      <w:r w:rsidR="00F64AFA">
        <w:t xml:space="preserve">of </w:t>
      </w:r>
      <w:r w:rsidR="0097455C" w:rsidRPr="00DE196D">
        <w:t xml:space="preserve">obliging manufacturers/sellers to take responsibility for the entire lifecycle of a product, </w:t>
      </w:r>
      <w:r w:rsidR="00F64AFA">
        <w:t xml:space="preserve">of </w:t>
      </w:r>
      <w:r w:rsidR="0097455C" w:rsidRPr="00DE196D">
        <w:t xml:space="preserve">boosting reparability, upgradability, modularity and recyclability and </w:t>
      </w:r>
      <w:r w:rsidR="00F64AFA">
        <w:t xml:space="preserve">of </w:t>
      </w:r>
      <w:r w:rsidR="0097455C" w:rsidRPr="00DE196D">
        <w:t>ensuring that raw materials and waste management remain within the European Union;</w:t>
      </w:r>
    </w:p>
    <w:p w14:paraId="774B0143" w14:textId="2B9664E0" w:rsidR="00B9760B" w:rsidRPr="00D638D0" w:rsidRDefault="00205ED8" w:rsidP="00603E71">
      <w:pPr>
        <w:pStyle w:val="Hanging12"/>
      </w:pPr>
      <w:r>
        <w:t>12</w:t>
      </w:r>
      <w:r w:rsidR="00B9760B" w:rsidRPr="00D638D0">
        <w:t>.</w:t>
      </w:r>
      <w:r w:rsidR="00B9760B" w:rsidRPr="00D638D0">
        <w:tab/>
      </w:r>
      <w:r w:rsidR="00B9760B" w:rsidRPr="00D638D0">
        <w:rPr>
          <w:bCs/>
          <w:iCs/>
        </w:rPr>
        <w:t xml:space="preserve">Stresses that the use of materials and substances of critical importance, such as </w:t>
      </w:r>
      <w:r w:rsidR="002167C8">
        <w:rPr>
          <w:bCs/>
          <w:iCs/>
        </w:rPr>
        <w:t>r</w:t>
      </w:r>
      <w:r w:rsidR="00B9760B" w:rsidRPr="00D638D0">
        <w:rPr>
          <w:bCs/>
          <w:iCs/>
        </w:rPr>
        <w:t xml:space="preserve">are </w:t>
      </w:r>
      <w:r w:rsidR="002167C8">
        <w:rPr>
          <w:bCs/>
          <w:iCs/>
        </w:rPr>
        <w:t>e</w:t>
      </w:r>
      <w:r w:rsidR="00B9760B" w:rsidRPr="00D638D0">
        <w:rPr>
          <w:bCs/>
          <w:iCs/>
        </w:rPr>
        <w:t xml:space="preserve">arth </w:t>
      </w:r>
      <w:r w:rsidR="002167C8">
        <w:rPr>
          <w:bCs/>
          <w:iCs/>
        </w:rPr>
        <w:t>e</w:t>
      </w:r>
      <w:r w:rsidR="00B9760B" w:rsidRPr="00D638D0">
        <w:rPr>
          <w:bCs/>
          <w:iCs/>
        </w:rPr>
        <w:t xml:space="preserve">lements (REE), or substances of </w:t>
      </w:r>
      <w:r w:rsidR="00F64AFA">
        <w:rPr>
          <w:bCs/>
          <w:iCs/>
        </w:rPr>
        <w:t xml:space="preserve">a </w:t>
      </w:r>
      <w:r w:rsidR="00B9760B" w:rsidRPr="00D638D0">
        <w:rPr>
          <w:bCs/>
          <w:iCs/>
        </w:rPr>
        <w:t xml:space="preserve">toxic nature or </w:t>
      </w:r>
      <w:r w:rsidR="00AF6DEF">
        <w:rPr>
          <w:bCs/>
          <w:iCs/>
        </w:rPr>
        <w:t xml:space="preserve">of concern, such as </w:t>
      </w:r>
      <w:r w:rsidR="002167C8">
        <w:rPr>
          <w:bCs/>
          <w:iCs/>
        </w:rPr>
        <w:t>p</w:t>
      </w:r>
      <w:r w:rsidR="00B9760B" w:rsidRPr="00D638D0">
        <w:rPr>
          <w:bCs/>
          <w:iCs/>
        </w:rPr>
        <w:t xml:space="preserve">ersistent </w:t>
      </w:r>
      <w:r w:rsidR="002167C8">
        <w:rPr>
          <w:bCs/>
          <w:iCs/>
        </w:rPr>
        <w:t>o</w:t>
      </w:r>
      <w:r w:rsidR="00B9760B" w:rsidRPr="00D638D0">
        <w:rPr>
          <w:bCs/>
          <w:iCs/>
        </w:rPr>
        <w:t xml:space="preserve">rganic </w:t>
      </w:r>
      <w:r w:rsidR="002167C8">
        <w:rPr>
          <w:bCs/>
          <w:iCs/>
        </w:rPr>
        <w:t>p</w:t>
      </w:r>
      <w:r w:rsidR="00B9760B" w:rsidRPr="00D638D0">
        <w:rPr>
          <w:bCs/>
          <w:iCs/>
        </w:rPr>
        <w:t xml:space="preserve">ollutants (POPs) and endocrine disrupters, </w:t>
      </w:r>
      <w:r w:rsidR="00F64AFA">
        <w:rPr>
          <w:bCs/>
          <w:iCs/>
        </w:rPr>
        <w:t>must</w:t>
      </w:r>
      <w:r w:rsidR="00B9760B" w:rsidRPr="00D638D0">
        <w:rPr>
          <w:bCs/>
          <w:iCs/>
        </w:rPr>
        <w:t xml:space="preserve"> be specifically considered under the broadened ecodesign criteria in order to restrict their use or at least to ensure the possibility of extracting/separating them at end-of-life;</w:t>
      </w:r>
    </w:p>
    <w:p w14:paraId="25891DA9" w14:textId="6E9A7D7A" w:rsidR="00B9760B" w:rsidRPr="00D638D0" w:rsidRDefault="00205ED8" w:rsidP="00603E71">
      <w:pPr>
        <w:pStyle w:val="Hanging12"/>
      </w:pPr>
      <w:r>
        <w:t>13</w:t>
      </w:r>
      <w:r w:rsidR="00B9760B" w:rsidRPr="00D638D0">
        <w:t>.</w:t>
      </w:r>
      <w:r w:rsidR="00B9760B" w:rsidRPr="00D638D0">
        <w:tab/>
        <w:t xml:space="preserve">Stresses the need to optimise and safeguard the decision-making process; emphasises that ecodesign measures </w:t>
      </w:r>
      <w:r w:rsidR="00AF6DEF">
        <w:t xml:space="preserve">should be adopted individually </w:t>
      </w:r>
      <w:r w:rsidR="00B9760B" w:rsidRPr="00D638D0">
        <w:t xml:space="preserve">within </w:t>
      </w:r>
      <w:r w:rsidR="002167C8">
        <w:t>established</w:t>
      </w:r>
      <w:r w:rsidR="00B9760B" w:rsidRPr="00D638D0">
        <w:t xml:space="preserve"> and communicated deadlines, and </w:t>
      </w:r>
      <w:r w:rsidR="002167C8">
        <w:t xml:space="preserve">should </w:t>
      </w:r>
      <w:r w:rsidR="00B9760B" w:rsidRPr="00D638D0">
        <w:t xml:space="preserve">be promptly implemented; calls on the Commission to set aside the necessary resources for implementation; </w:t>
      </w:r>
    </w:p>
    <w:p w14:paraId="56EF48E6" w14:textId="6FEA3C93" w:rsidR="00B9760B" w:rsidRPr="007D7477" w:rsidRDefault="00205ED8" w:rsidP="00603E71">
      <w:pPr>
        <w:pStyle w:val="Hanging12"/>
      </w:pPr>
      <w:r>
        <w:t>14</w:t>
      </w:r>
      <w:r w:rsidR="00B9760B" w:rsidRPr="007D7477">
        <w:t>.</w:t>
      </w:r>
      <w:r w:rsidR="00B9760B" w:rsidRPr="007D7477">
        <w:tab/>
      </w:r>
      <w:r w:rsidR="00B9760B" w:rsidRPr="00427B95">
        <w:t>Insists on the need to optimise the market surveillance of products placed on the market</w:t>
      </w:r>
      <w:r w:rsidR="00F64AFA">
        <w:t>,</w:t>
      </w:r>
      <w:r w:rsidR="00B9760B" w:rsidRPr="00427B95">
        <w:t xml:space="preserve"> through better cooperation between the Commission and the Member States and among the Member States themselves; recommends the organisation of EU-wide coordination</w:t>
      </w:r>
      <w:r w:rsidR="006B5A4F">
        <w:t>, run by the Commission,</w:t>
      </w:r>
      <w:r w:rsidR="00B9760B" w:rsidRPr="00427B95">
        <w:t xml:space="preserve"> between national market surveillance authorities;</w:t>
      </w:r>
    </w:p>
    <w:p w14:paraId="34CC7859" w14:textId="637041AE" w:rsidR="00B9760B" w:rsidRDefault="00205ED8" w:rsidP="00603E71">
      <w:pPr>
        <w:pStyle w:val="Hanging12"/>
        <w:rPr>
          <w:bCs/>
          <w:iCs/>
          <w:lang w:val="en-US"/>
        </w:rPr>
      </w:pPr>
      <w:r>
        <w:t>15</w:t>
      </w:r>
      <w:r w:rsidR="00B9760B" w:rsidRPr="007D7477">
        <w:t>.</w:t>
      </w:r>
      <w:r w:rsidR="00B9760B" w:rsidRPr="007D7477">
        <w:tab/>
        <w:t>Stresses that test protocols should be closer to real-life conditions, i.e. products should be</w:t>
      </w:r>
      <w:r w:rsidR="00B9760B" w:rsidRPr="007D7477">
        <w:rPr>
          <w:bCs/>
          <w:iCs/>
          <w:lang w:val="en-US"/>
        </w:rPr>
        <w:t xml:space="preserve"> tested under conditions and </w:t>
      </w:r>
      <w:r w:rsidR="0064500B">
        <w:rPr>
          <w:bCs/>
          <w:iCs/>
          <w:lang w:val="en-US"/>
        </w:rPr>
        <w:t xml:space="preserve">in </w:t>
      </w:r>
      <w:r w:rsidR="00B9760B" w:rsidRPr="007D7477">
        <w:rPr>
          <w:bCs/>
          <w:iCs/>
          <w:lang w:val="en-US"/>
        </w:rPr>
        <w:t>environment</w:t>
      </w:r>
      <w:r w:rsidR="0064500B">
        <w:rPr>
          <w:bCs/>
          <w:iCs/>
          <w:lang w:val="en-US"/>
        </w:rPr>
        <w:t>s</w:t>
      </w:r>
      <w:r w:rsidR="00B9760B" w:rsidRPr="007D7477">
        <w:rPr>
          <w:bCs/>
          <w:iCs/>
          <w:lang w:val="en-US"/>
        </w:rPr>
        <w:t xml:space="preserve"> that simulate as close as possible those of the average consumer; </w:t>
      </w:r>
      <w:r w:rsidR="00E0621B">
        <w:rPr>
          <w:bCs/>
          <w:iCs/>
          <w:lang w:val="en-US"/>
        </w:rPr>
        <w:t xml:space="preserve">calls for the </w:t>
      </w:r>
      <w:r w:rsidR="00B9760B" w:rsidRPr="007D7477">
        <w:rPr>
          <w:bCs/>
          <w:iCs/>
          <w:lang w:val="en-US"/>
        </w:rPr>
        <w:t>test</w:t>
      </w:r>
      <w:r w:rsidR="00E0621B">
        <w:rPr>
          <w:bCs/>
          <w:iCs/>
          <w:lang w:val="en-US"/>
        </w:rPr>
        <w:t>ing</w:t>
      </w:r>
      <w:r w:rsidR="00B9760B" w:rsidRPr="007D7477">
        <w:rPr>
          <w:bCs/>
          <w:iCs/>
          <w:lang w:val="en-US"/>
        </w:rPr>
        <w:t xml:space="preserve"> methods of both suppliers and market surveillance authorities to be established and executed in such a way that </w:t>
      </w:r>
      <w:r w:rsidR="00E0621B">
        <w:rPr>
          <w:bCs/>
          <w:iCs/>
          <w:lang w:val="en-US"/>
        </w:rPr>
        <w:t xml:space="preserve">any </w:t>
      </w:r>
      <w:r w:rsidR="00B9760B" w:rsidRPr="007D7477">
        <w:rPr>
          <w:bCs/>
          <w:iCs/>
          <w:lang w:val="en-US"/>
        </w:rPr>
        <w:t xml:space="preserve">intentional or unintentional manipulation or amelioration of test results is detected and eliminated, and </w:t>
      </w:r>
      <w:r w:rsidR="0064500B">
        <w:rPr>
          <w:bCs/>
          <w:iCs/>
          <w:lang w:val="en-US"/>
        </w:rPr>
        <w:t>for</w:t>
      </w:r>
      <w:r w:rsidR="00E0621B">
        <w:rPr>
          <w:bCs/>
          <w:iCs/>
          <w:lang w:val="en-US"/>
        </w:rPr>
        <w:t xml:space="preserve"> the permitted </w:t>
      </w:r>
      <w:r w:rsidR="00B9760B" w:rsidRPr="007D7477">
        <w:rPr>
          <w:bCs/>
          <w:iCs/>
          <w:lang w:val="en-US"/>
        </w:rPr>
        <w:t>deviations between tested and declared results to be limited to the statistical margin of error of the measurement equipment;</w:t>
      </w:r>
    </w:p>
    <w:p w14:paraId="2331AB2D" w14:textId="348B1350" w:rsidR="00B9760B" w:rsidRDefault="00205ED8" w:rsidP="00603E71">
      <w:pPr>
        <w:pStyle w:val="Hanging12"/>
        <w:rPr>
          <w:bCs/>
          <w:iCs/>
        </w:rPr>
      </w:pPr>
      <w:r>
        <w:t>16</w:t>
      </w:r>
      <w:r w:rsidR="00B9760B" w:rsidRPr="007D7477">
        <w:t>.</w:t>
      </w:r>
      <w:r w:rsidR="00B9760B" w:rsidRPr="007D7477">
        <w:tab/>
      </w:r>
      <w:r w:rsidR="00B9760B" w:rsidRPr="007D7477">
        <w:rPr>
          <w:bCs/>
          <w:iCs/>
        </w:rPr>
        <w:t>Highlights the Commission’s estimates that 10-25</w:t>
      </w:r>
      <w:r w:rsidR="00E0621B">
        <w:rPr>
          <w:bCs/>
          <w:iCs/>
        </w:rPr>
        <w:t> </w:t>
      </w:r>
      <w:r w:rsidR="00B9760B" w:rsidRPr="007D7477">
        <w:rPr>
          <w:bCs/>
          <w:iCs/>
        </w:rPr>
        <w:t>% of products on the market do not comply with ecodesign and energy labelling requirements</w:t>
      </w:r>
      <w:r w:rsidR="00E0621B">
        <w:rPr>
          <w:bCs/>
          <w:iCs/>
        </w:rPr>
        <w:t>,</w:t>
      </w:r>
      <w:r w:rsidR="00B9760B" w:rsidRPr="007D7477">
        <w:rPr>
          <w:bCs/>
          <w:iCs/>
        </w:rPr>
        <w:t xml:space="preserve"> which amounts to around 10</w:t>
      </w:r>
      <w:r w:rsidR="00E0621B">
        <w:rPr>
          <w:bCs/>
          <w:iCs/>
        </w:rPr>
        <w:t> </w:t>
      </w:r>
      <w:r w:rsidR="00B9760B" w:rsidRPr="007D7477">
        <w:rPr>
          <w:bCs/>
          <w:iCs/>
        </w:rPr>
        <w:t xml:space="preserve">% of the envisaged savings being lost; urges </w:t>
      </w:r>
      <w:r w:rsidR="004A33DE">
        <w:rPr>
          <w:bCs/>
          <w:iCs/>
        </w:rPr>
        <w:t xml:space="preserve">better monitoring of </w:t>
      </w:r>
      <w:r w:rsidR="00B9760B" w:rsidRPr="007D7477">
        <w:rPr>
          <w:bCs/>
          <w:iCs/>
        </w:rPr>
        <w:t>compliance</w:t>
      </w:r>
      <w:r w:rsidR="00B9760B">
        <w:rPr>
          <w:bCs/>
          <w:iCs/>
        </w:rPr>
        <w:t xml:space="preserve">; </w:t>
      </w:r>
      <w:r w:rsidR="00B9760B" w:rsidRPr="007D7477">
        <w:rPr>
          <w:bCs/>
          <w:iCs/>
        </w:rPr>
        <w:t xml:space="preserve">highlights the </w:t>
      </w:r>
      <w:r w:rsidR="00E0621B">
        <w:rPr>
          <w:bCs/>
          <w:iCs/>
        </w:rPr>
        <w:t>great</w:t>
      </w:r>
      <w:r w:rsidR="00B9760B" w:rsidRPr="007D7477">
        <w:rPr>
          <w:bCs/>
          <w:iCs/>
        </w:rPr>
        <w:t xml:space="preserve"> potential of fast screening methods in detecting the products and types of products that are more likely not to comply with the Ecodesign Directive; </w:t>
      </w:r>
    </w:p>
    <w:p w14:paraId="4380A3B5" w14:textId="036F2705" w:rsidR="00B9760B" w:rsidRPr="007D7477" w:rsidRDefault="00205ED8" w:rsidP="00603E71">
      <w:pPr>
        <w:pStyle w:val="Hanging12"/>
      </w:pPr>
      <w:r>
        <w:t>17</w:t>
      </w:r>
      <w:r w:rsidR="00B9760B" w:rsidRPr="007D7477">
        <w:t>.</w:t>
      </w:r>
      <w:r w:rsidR="00B9760B" w:rsidRPr="007D7477">
        <w:tab/>
      </w:r>
      <w:r w:rsidR="00B9760B" w:rsidRPr="007D7477">
        <w:rPr>
          <w:bCs/>
          <w:iCs/>
        </w:rPr>
        <w:t xml:space="preserve">Calls for greater coherence and synergy with other sector-specific legislation and European tools, including the criteria for responsible public procurement, the Ecolabel and the joint use of the product registration database established by Regulation (EU) 2017/1369 setting a framework for energy labelling; </w:t>
      </w:r>
    </w:p>
    <w:bookmarkEnd w:id="2"/>
    <w:p w14:paraId="19DCDAD2" w14:textId="2EC576B9" w:rsidR="00B9760B" w:rsidRDefault="00205ED8" w:rsidP="00603E71">
      <w:pPr>
        <w:pStyle w:val="Hanging12"/>
      </w:pPr>
      <w:r>
        <w:t>18</w:t>
      </w:r>
      <w:r w:rsidR="00B9760B" w:rsidRPr="007D7477">
        <w:t>.</w:t>
      </w:r>
      <w:r w:rsidR="00B9760B" w:rsidRPr="007D7477">
        <w:tab/>
        <w:t xml:space="preserve">Calls for proper funding so that the Union and </w:t>
      </w:r>
      <w:r w:rsidR="00E0621B">
        <w:t xml:space="preserve">the </w:t>
      </w:r>
      <w:r w:rsidR="00B9760B" w:rsidRPr="007D7477">
        <w:t xml:space="preserve">Member States can ensure adequate monitoring of policy development, undertake market surveillance, create new business opportunities, consult at national level before Member States vote on implementing measures and design proactive communication strategies; calls on the Commission to communicate proactively to European citizens the benefits of ecodesign measures as an integral part of the process of adopting </w:t>
      </w:r>
      <w:r w:rsidR="004A33DE">
        <w:t>those</w:t>
      </w:r>
      <w:r w:rsidR="00B9760B" w:rsidRPr="007D7477">
        <w:t xml:space="preserve"> measures;</w:t>
      </w:r>
    </w:p>
    <w:p w14:paraId="48C370F2" w14:textId="059E1AE3" w:rsidR="00B9760B" w:rsidRPr="007D7477" w:rsidRDefault="00205ED8" w:rsidP="00603E71">
      <w:pPr>
        <w:pStyle w:val="Hanging12"/>
      </w:pPr>
      <w:r>
        <w:t>19</w:t>
      </w:r>
      <w:r w:rsidR="00B9760B" w:rsidRPr="007D7477">
        <w:t>.</w:t>
      </w:r>
      <w:r w:rsidR="00B9760B" w:rsidRPr="007D7477">
        <w:tab/>
        <w:t>Calls on the EU institutions and</w:t>
      </w:r>
      <w:r w:rsidR="00E0621B">
        <w:t xml:space="preserve"> the</w:t>
      </w:r>
      <w:r w:rsidR="00B9760B" w:rsidRPr="007D7477">
        <w:t xml:space="preserve"> Member States to set the right example b</w:t>
      </w:r>
      <w:bookmarkStart w:id="3" w:name="_GoBack"/>
      <w:bookmarkEnd w:id="3"/>
      <w:r w:rsidR="00B9760B" w:rsidRPr="007D7477">
        <w:t xml:space="preserve">y establishing and making full use of the circular economy and the Green Public Procurement strategies (GPP) in order to </w:t>
      </w:r>
      <w:r w:rsidR="00E0621B">
        <w:t>prioritise</w:t>
      </w:r>
      <w:r w:rsidR="00B9760B" w:rsidRPr="007D7477">
        <w:t xml:space="preserve"> </w:t>
      </w:r>
      <w:r w:rsidR="00B9760B" w:rsidRPr="007D7477">
        <w:rPr>
          <w:lang w:val="en-US"/>
        </w:rPr>
        <w:t>proven sustainable products</w:t>
      </w:r>
      <w:r w:rsidR="004A33DE">
        <w:rPr>
          <w:lang w:val="en-US"/>
        </w:rPr>
        <w:t>,</w:t>
      </w:r>
      <w:r w:rsidR="00B9760B" w:rsidRPr="007D7477">
        <w:rPr>
          <w:lang w:val="en-US"/>
        </w:rPr>
        <w:t xml:space="preserve"> such as Ecolabel products</w:t>
      </w:r>
      <w:r w:rsidR="004A33DE">
        <w:rPr>
          <w:lang w:val="en-US"/>
        </w:rPr>
        <w:t>,</w:t>
      </w:r>
      <w:r w:rsidR="00B9760B" w:rsidRPr="007D7477">
        <w:rPr>
          <w:lang w:val="en-US"/>
        </w:rPr>
        <w:t xml:space="preserve"> </w:t>
      </w:r>
      <w:r w:rsidR="00B9760B" w:rsidRPr="007D7477">
        <w:t>and the highest resource efficiency standards in all investments</w:t>
      </w:r>
      <w:r w:rsidR="00E0621B">
        <w:t>,</w:t>
      </w:r>
      <w:r w:rsidR="00B9760B" w:rsidRPr="007D7477">
        <w:t xml:space="preserve"> and to promote a widespread use of green procure</w:t>
      </w:r>
      <w:r w:rsidR="0066212F">
        <w:t>ment</w:t>
      </w:r>
      <w:r w:rsidR="00E0621B">
        <w:t>,</w:t>
      </w:r>
      <w:r w:rsidR="0066212F">
        <w:t xml:space="preserve"> </w:t>
      </w:r>
      <w:r w:rsidR="00E0621B">
        <w:t xml:space="preserve">including </w:t>
      </w:r>
      <w:r w:rsidR="0066212F">
        <w:t>in the private sector.</w:t>
      </w:r>
    </w:p>
    <w:p w14:paraId="191806BD" w14:textId="77777777" w:rsidR="00657A6C" w:rsidRPr="00657A6C" w:rsidRDefault="00657A6C" w:rsidP="00603E71">
      <w:pPr>
        <w:pStyle w:val="Hanging12"/>
      </w:pPr>
      <w:r w:rsidRPr="00657A6C">
        <w:br w:type="page"/>
      </w:r>
    </w:p>
    <w:p w14:paraId="47DCFC30" w14:textId="2CFC2192" w:rsidR="006E41DA" w:rsidRDefault="006E41DA" w:rsidP="006E41DA">
      <w:pPr>
        <w:pStyle w:val="PageHeadingNotTOC"/>
      </w:pPr>
      <w:bookmarkStart w:id="4" w:name="ProcPageAD"/>
      <w:r>
        <w:t>INFORMATION ON ADOPTION IN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E41DA" w14:paraId="3E93A1C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3C3873F" w14:textId="77777777" w:rsidR="006E41DA" w:rsidRDefault="006E41DA">
            <w:pPr>
              <w:autoSpaceDE w:val="0"/>
              <w:autoSpaceDN w:val="0"/>
              <w:adjustRightInd w:val="0"/>
              <w:rPr>
                <w:b/>
                <w:bCs/>
                <w:color w:val="000000"/>
                <w:sz w:val="20"/>
              </w:rPr>
            </w:pPr>
            <w:r>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F282C23" w14:textId="77777777" w:rsidR="006E41DA" w:rsidRDefault="006E41DA">
            <w:pPr>
              <w:autoSpaceDE w:val="0"/>
              <w:autoSpaceDN w:val="0"/>
              <w:adjustRightInd w:val="0"/>
              <w:rPr>
                <w:color w:val="000000"/>
                <w:sz w:val="20"/>
              </w:rPr>
            </w:pPr>
            <w:r>
              <w:rPr>
                <w:color w:val="000000"/>
                <w:sz w:val="20"/>
              </w:rPr>
              <w:t>21.3.2018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3323A05" w14:textId="77777777" w:rsidR="006E41DA" w:rsidRDefault="006E41D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8E89CAB" w14:textId="77777777" w:rsidR="006E41DA" w:rsidRDefault="006E41D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ECF3792" w14:textId="77777777" w:rsidR="006E41DA" w:rsidRDefault="006E41DA">
            <w:pPr>
              <w:autoSpaceDE w:val="0"/>
              <w:autoSpaceDN w:val="0"/>
              <w:adjustRightInd w:val="0"/>
              <w:rPr>
                <w:rFonts w:ascii="sans-serif" w:hAnsi="sans-serif" w:cs="sans-serif"/>
                <w:color w:val="000000"/>
                <w:szCs w:val="24"/>
              </w:rPr>
            </w:pPr>
          </w:p>
        </w:tc>
      </w:tr>
      <w:tr w:rsidR="006E41DA" w14:paraId="54F1273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0B2ED12" w14:textId="77777777" w:rsidR="006E41DA" w:rsidRDefault="006E41DA">
            <w:pPr>
              <w:autoSpaceDE w:val="0"/>
              <w:autoSpaceDN w:val="0"/>
              <w:adjustRightInd w:val="0"/>
              <w:rPr>
                <w:b/>
                <w:bCs/>
                <w:color w:val="000000"/>
                <w:sz w:val="20"/>
              </w:rPr>
            </w:pPr>
            <w:r>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B3D9CD6" w14:textId="77777777" w:rsidR="006E41DA" w:rsidRDefault="006E41DA">
            <w:pPr>
              <w:autoSpaceDE w:val="0"/>
              <w:autoSpaceDN w:val="0"/>
              <w:adjustRightInd w:val="0"/>
              <w:rPr>
                <w:color w:val="000000"/>
                <w:sz w:val="20"/>
              </w:rPr>
            </w:pPr>
            <w:r>
              <w:rPr>
                <w:color w:val="000000"/>
                <w:sz w:val="20"/>
              </w:rPr>
              <w:t>+:</w:t>
            </w:r>
          </w:p>
          <w:p w14:paraId="75B69AA6" w14:textId="77777777" w:rsidR="006E41DA" w:rsidRDefault="006E41DA">
            <w:pPr>
              <w:autoSpaceDE w:val="0"/>
              <w:autoSpaceDN w:val="0"/>
              <w:adjustRightInd w:val="0"/>
              <w:rPr>
                <w:color w:val="000000"/>
                <w:sz w:val="20"/>
              </w:rPr>
            </w:pPr>
            <w:r>
              <w:rPr>
                <w:color w:val="000000"/>
                <w:sz w:val="20"/>
              </w:rPr>
              <w:t>–:</w:t>
            </w:r>
          </w:p>
          <w:p w14:paraId="7957DB7F" w14:textId="77777777" w:rsidR="006E41DA" w:rsidRDefault="006E41DA">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A8C8774" w14:textId="77777777" w:rsidR="006E41DA" w:rsidRDefault="006E41DA">
            <w:pPr>
              <w:autoSpaceDE w:val="0"/>
              <w:autoSpaceDN w:val="0"/>
              <w:adjustRightInd w:val="0"/>
              <w:rPr>
                <w:color w:val="000000"/>
                <w:sz w:val="20"/>
              </w:rPr>
            </w:pPr>
            <w:r>
              <w:rPr>
                <w:color w:val="000000"/>
                <w:sz w:val="20"/>
              </w:rPr>
              <w:t>58</w:t>
            </w:r>
          </w:p>
          <w:p w14:paraId="3C3551C5" w14:textId="77777777" w:rsidR="006E41DA" w:rsidRDefault="006E41DA">
            <w:pPr>
              <w:autoSpaceDE w:val="0"/>
              <w:autoSpaceDN w:val="0"/>
              <w:adjustRightInd w:val="0"/>
              <w:rPr>
                <w:color w:val="000000"/>
                <w:sz w:val="20"/>
              </w:rPr>
            </w:pPr>
            <w:r>
              <w:rPr>
                <w:color w:val="000000"/>
                <w:sz w:val="20"/>
              </w:rPr>
              <w:t>3</w:t>
            </w:r>
          </w:p>
          <w:p w14:paraId="648ECA3B" w14:textId="77777777" w:rsidR="006E41DA" w:rsidRDefault="006E41DA">
            <w:pPr>
              <w:autoSpaceDE w:val="0"/>
              <w:autoSpaceDN w:val="0"/>
              <w:adjustRightInd w:val="0"/>
              <w:rPr>
                <w:color w:val="000000"/>
                <w:sz w:val="20"/>
              </w:rPr>
            </w:pPr>
            <w:r>
              <w:rPr>
                <w:color w:val="000000"/>
                <w:sz w:val="20"/>
              </w:rPr>
              <w:t>1</w:t>
            </w:r>
          </w:p>
        </w:tc>
      </w:tr>
      <w:tr w:rsidR="006E41DA" w14:paraId="6DEEA1E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279D3B3" w14:textId="77777777" w:rsidR="006E41DA" w:rsidRDefault="006E41DA">
            <w:pPr>
              <w:autoSpaceDE w:val="0"/>
              <w:autoSpaceDN w:val="0"/>
              <w:adjustRightInd w:val="0"/>
              <w:rPr>
                <w:b/>
                <w:bCs/>
                <w:color w:val="000000"/>
                <w:sz w:val="20"/>
              </w:rPr>
            </w:pPr>
            <w:r>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6BB63C0" w14:textId="77777777" w:rsidR="006E41DA" w:rsidRDefault="006E41DA">
            <w:pPr>
              <w:autoSpaceDE w:val="0"/>
              <w:autoSpaceDN w:val="0"/>
              <w:adjustRightInd w:val="0"/>
              <w:rPr>
                <w:color w:val="000000"/>
                <w:sz w:val="20"/>
              </w:rPr>
            </w:pPr>
            <w:r>
              <w:rPr>
                <w:color w:val="000000"/>
                <w:sz w:val="20"/>
              </w:rPr>
              <w:t>Zigmantas Balčytis, Bendt Bendtsen, Xabier Benito Ziluaga, José Blanco López, Jonathan Bullock, Cristian-Silviu Buşoi, Reinhard Bütikofer, Jerzy Buzek, Angelo Ciocca, Edward Czesak, Jakop Dalunde, Pilar del Castillo Vera, Ashley Fox, Adam Gierek, Theresa Griffin, Rebecca Harms, Hans-Olaf Henkel, Eva Kaili, Kaja Kallas, Krišjānis Kariņš, Seán Kelly, Jeppe Kofod, Jaromír Kohlíček, Peter Kouroumbashev, Zdzisław Krasnodębski, Miapetra Kumpula-Natri, Christelle Lechevalier, Janusz Lewandowski, Paloma López Bermejo, Edouard Martin, Angelika Mlinar, Nadine Morano, Dan Nica, Angelika Niebler, Morten Helveg Petersen, Miroslav Poche, Julia Reda, Paul Rübig, Massimiliano Salini, Algirdas Saudargas, Sven Schulze, Neoklis Sylikiotis, Dario Tamburrano, Patrizia Toia, Evžen Tošenovský, Claude Turmes, Vladimir Urutchev, Kathleen Van Brempt, Henna Virkkunen, Martina Werner, Hermann Winkler, Anna Záborská, Flavio Zanonato, Carlos Zorrinho</w:t>
            </w:r>
          </w:p>
        </w:tc>
      </w:tr>
      <w:tr w:rsidR="006E41DA" w14:paraId="05F7531E"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6C5FCFF" w14:textId="77777777" w:rsidR="006E41DA" w:rsidRDefault="006E41DA">
            <w:pPr>
              <w:autoSpaceDE w:val="0"/>
              <w:autoSpaceDN w:val="0"/>
              <w:adjustRightInd w:val="0"/>
              <w:rPr>
                <w:b/>
                <w:bCs/>
                <w:color w:val="000000"/>
                <w:sz w:val="20"/>
              </w:rPr>
            </w:pPr>
            <w:r>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487BA00" w14:textId="77777777" w:rsidR="006E41DA" w:rsidRDefault="006E41DA">
            <w:pPr>
              <w:autoSpaceDE w:val="0"/>
              <w:autoSpaceDN w:val="0"/>
              <w:adjustRightInd w:val="0"/>
              <w:rPr>
                <w:color w:val="000000"/>
                <w:sz w:val="20"/>
              </w:rPr>
            </w:pPr>
            <w:r>
              <w:rPr>
                <w:color w:val="000000"/>
                <w:sz w:val="20"/>
              </w:rPr>
              <w:t>Jakop Dalunde, Luděk Niedermayer, Dennis Radtke, Dominique Riquet, Pavel Telička</w:t>
            </w:r>
          </w:p>
        </w:tc>
      </w:tr>
      <w:tr w:rsidR="006E41DA" w:rsidRPr="00603E71" w14:paraId="7617EBF5"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C3C5374" w14:textId="77777777" w:rsidR="006E41DA" w:rsidRDefault="006E41DA">
            <w:pPr>
              <w:autoSpaceDE w:val="0"/>
              <w:autoSpaceDN w:val="0"/>
              <w:adjustRightInd w:val="0"/>
              <w:rPr>
                <w:b/>
                <w:bCs/>
                <w:color w:val="000000"/>
                <w:sz w:val="20"/>
              </w:rPr>
            </w:pPr>
            <w:r>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15A73C4" w14:textId="77777777" w:rsidR="006E41DA" w:rsidRPr="00F522B6" w:rsidRDefault="006E41DA">
            <w:pPr>
              <w:autoSpaceDE w:val="0"/>
              <w:autoSpaceDN w:val="0"/>
              <w:adjustRightInd w:val="0"/>
              <w:rPr>
                <w:color w:val="000000"/>
                <w:sz w:val="20"/>
                <w:lang w:val="pt-PT"/>
              </w:rPr>
            </w:pPr>
            <w:r w:rsidRPr="00F522B6">
              <w:rPr>
                <w:color w:val="000000"/>
                <w:sz w:val="20"/>
                <w:lang w:val="pt-PT"/>
              </w:rPr>
              <w:t>Gerolf Annemans, Rosa D’Amato, Emilian Pavel</w:t>
            </w:r>
          </w:p>
        </w:tc>
      </w:tr>
    </w:tbl>
    <w:p w14:paraId="0EC41A55" w14:textId="77777777" w:rsidR="006E41DA" w:rsidRPr="00F522B6" w:rsidRDefault="006E41DA">
      <w:pPr>
        <w:autoSpaceDE w:val="0"/>
        <w:autoSpaceDN w:val="0"/>
        <w:adjustRightInd w:val="0"/>
        <w:rPr>
          <w:rFonts w:ascii="Arial" w:hAnsi="Arial" w:cs="Arial"/>
          <w:szCs w:val="24"/>
          <w:lang w:val="pt-PT"/>
        </w:rPr>
      </w:pPr>
    </w:p>
    <w:p w14:paraId="03D9D8D4" w14:textId="7DE09D36" w:rsidR="00B218F2" w:rsidRPr="001D7DD7" w:rsidRDefault="00B218F2" w:rsidP="00657A6C">
      <w:pPr>
        <w:rPr>
          <w:lang w:val="pt-PT"/>
        </w:rPr>
      </w:pPr>
    </w:p>
    <w:bookmarkEnd w:id="4"/>
    <w:p w14:paraId="25157568" w14:textId="01A64A60" w:rsidR="001D7DD7" w:rsidRPr="00672C8A" w:rsidRDefault="001D7DD7" w:rsidP="00672C8A">
      <w:pPr>
        <w:rPr>
          <w:lang w:val="pt-PT"/>
        </w:rPr>
      </w:pPr>
      <w:r w:rsidRPr="00672C8A">
        <w:rPr>
          <w:lang w:val="pt-PT"/>
        </w:rPr>
        <w:br w:type="page"/>
      </w:r>
    </w:p>
    <w:p w14:paraId="1959B05B" w14:textId="3A5965D5" w:rsidR="00672C8A" w:rsidRPr="0099178F" w:rsidRDefault="00672C8A" w:rsidP="00C2406B">
      <w:pPr>
        <w:pStyle w:val="PageHeadingNotTOC"/>
      </w:pPr>
      <w:bookmarkStart w:id="5" w:name="RollCallPageAD"/>
      <w:r>
        <w:lastRenderedPageBreak/>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72C8A" w:rsidRPr="00F64B87" w14:paraId="1E3C0DA5" w14:textId="77777777" w:rsidTr="008920AC">
        <w:trPr>
          <w:cantSplit/>
        </w:trPr>
        <w:tc>
          <w:tcPr>
            <w:tcW w:w="1701" w:type="dxa"/>
            <w:shd w:val="pct10" w:color="000000" w:fill="FFFFFF"/>
            <w:vAlign w:val="center"/>
          </w:tcPr>
          <w:p w14:paraId="20CF40EB" w14:textId="6EBD8E71" w:rsidR="00672C8A" w:rsidRPr="00F079B8" w:rsidRDefault="00672C8A" w:rsidP="008920AC">
            <w:pPr>
              <w:spacing w:before="120" w:after="120"/>
              <w:jc w:val="center"/>
              <w:rPr>
                <w:b/>
                <w:sz w:val="20"/>
              </w:rPr>
            </w:pPr>
            <w:r>
              <w:rPr>
                <w:b/>
                <w:sz w:val="20"/>
              </w:rPr>
              <w:t>58</w:t>
            </w:r>
          </w:p>
        </w:tc>
        <w:tc>
          <w:tcPr>
            <w:tcW w:w="7371" w:type="dxa"/>
            <w:shd w:val="pct10" w:color="000000" w:fill="FFFFFF"/>
          </w:tcPr>
          <w:p w14:paraId="49FA3124" w14:textId="77777777" w:rsidR="00672C8A" w:rsidRPr="00AB7DBA" w:rsidRDefault="00672C8A" w:rsidP="008920AC">
            <w:pPr>
              <w:spacing w:before="120" w:after="120"/>
              <w:jc w:val="center"/>
              <w:rPr>
                <w:rFonts w:ascii="Arial" w:hAnsi="Arial" w:cs="Arial"/>
                <w:b/>
                <w:sz w:val="28"/>
                <w:szCs w:val="28"/>
              </w:rPr>
            </w:pPr>
            <w:r w:rsidRPr="00AB7DBA">
              <w:rPr>
                <w:rFonts w:ascii="Arial" w:hAnsi="Arial" w:cs="Arial"/>
                <w:b/>
                <w:sz w:val="28"/>
                <w:szCs w:val="28"/>
              </w:rPr>
              <w:t>+</w:t>
            </w:r>
          </w:p>
        </w:tc>
      </w:tr>
      <w:tr w:rsidR="00672C8A" w:rsidRPr="00F64B87" w14:paraId="793543DA" w14:textId="77777777" w:rsidTr="008920AC">
        <w:trPr>
          <w:cantSplit/>
        </w:trPr>
        <w:tc>
          <w:tcPr>
            <w:tcW w:w="1701" w:type="dxa"/>
            <w:shd w:val="clear" w:color="auto" w:fill="FFFFFF"/>
          </w:tcPr>
          <w:p w14:paraId="00E42513" w14:textId="6204295F" w:rsidR="00672C8A" w:rsidRPr="00F079B8" w:rsidRDefault="00672C8A" w:rsidP="008920AC">
            <w:pPr>
              <w:spacing w:before="120" w:after="120"/>
              <w:rPr>
                <w:sz w:val="20"/>
              </w:rPr>
            </w:pPr>
            <w:r>
              <w:rPr>
                <w:sz w:val="20"/>
              </w:rPr>
              <w:t>ALDE</w:t>
            </w:r>
          </w:p>
        </w:tc>
        <w:tc>
          <w:tcPr>
            <w:tcW w:w="7371" w:type="dxa"/>
            <w:shd w:val="clear" w:color="auto" w:fill="FFFFFF"/>
          </w:tcPr>
          <w:p w14:paraId="4B6EEADF" w14:textId="1AEED8A4" w:rsidR="00672C8A" w:rsidRPr="00F079B8" w:rsidRDefault="00672C8A" w:rsidP="008920AC">
            <w:pPr>
              <w:spacing w:before="120" w:after="120"/>
              <w:rPr>
                <w:sz w:val="20"/>
              </w:rPr>
            </w:pPr>
            <w:r>
              <w:rPr>
                <w:sz w:val="20"/>
              </w:rPr>
              <w:t>Kaja Kallas, Angelika Mlinar, Morten Helveg Petersen, Dominique Riquet, Pavel Telička</w:t>
            </w:r>
          </w:p>
        </w:tc>
      </w:tr>
      <w:tr w:rsidR="00672C8A" w:rsidRPr="00F64B87" w14:paraId="0666DFE7" w14:textId="77777777" w:rsidTr="008920AC">
        <w:trPr>
          <w:cantSplit/>
        </w:trPr>
        <w:tc>
          <w:tcPr>
            <w:tcW w:w="1701" w:type="dxa"/>
            <w:shd w:val="clear" w:color="auto" w:fill="FFFFFF"/>
          </w:tcPr>
          <w:p w14:paraId="1414A5F9" w14:textId="33A86807" w:rsidR="00672C8A" w:rsidRDefault="00672C8A" w:rsidP="008920AC">
            <w:pPr>
              <w:spacing w:before="120" w:after="120"/>
              <w:rPr>
                <w:sz w:val="20"/>
              </w:rPr>
            </w:pPr>
            <w:r>
              <w:rPr>
                <w:sz w:val="20"/>
              </w:rPr>
              <w:t>ECR</w:t>
            </w:r>
          </w:p>
        </w:tc>
        <w:tc>
          <w:tcPr>
            <w:tcW w:w="7371" w:type="dxa"/>
            <w:shd w:val="clear" w:color="auto" w:fill="FFFFFF"/>
          </w:tcPr>
          <w:p w14:paraId="772FF8C0" w14:textId="5EAB967A" w:rsidR="00672C8A" w:rsidRDefault="00672C8A" w:rsidP="008920AC">
            <w:pPr>
              <w:spacing w:before="120" w:after="120"/>
              <w:rPr>
                <w:sz w:val="20"/>
              </w:rPr>
            </w:pPr>
            <w:r>
              <w:rPr>
                <w:sz w:val="20"/>
              </w:rPr>
              <w:t>Edward Czesak, Ashley Fox, Hans-Olaf Henkel, Zdzisław Krasnodębski, Evžen Tošenovský</w:t>
            </w:r>
          </w:p>
        </w:tc>
      </w:tr>
      <w:tr w:rsidR="00672C8A" w:rsidRPr="00F64B87" w14:paraId="2417D25C" w14:textId="77777777" w:rsidTr="008920AC">
        <w:trPr>
          <w:cantSplit/>
        </w:trPr>
        <w:tc>
          <w:tcPr>
            <w:tcW w:w="1701" w:type="dxa"/>
            <w:shd w:val="clear" w:color="auto" w:fill="FFFFFF"/>
          </w:tcPr>
          <w:p w14:paraId="067242FC" w14:textId="40EDDEF3" w:rsidR="00672C8A" w:rsidRDefault="00672C8A" w:rsidP="008920AC">
            <w:pPr>
              <w:spacing w:before="120" w:after="120"/>
              <w:rPr>
                <w:sz w:val="20"/>
              </w:rPr>
            </w:pPr>
            <w:r>
              <w:rPr>
                <w:sz w:val="20"/>
              </w:rPr>
              <w:t>EFDD</w:t>
            </w:r>
          </w:p>
        </w:tc>
        <w:tc>
          <w:tcPr>
            <w:tcW w:w="7371" w:type="dxa"/>
            <w:shd w:val="clear" w:color="auto" w:fill="FFFFFF"/>
          </w:tcPr>
          <w:p w14:paraId="68807BBC" w14:textId="008EEDB8" w:rsidR="00672C8A" w:rsidRDefault="00672C8A" w:rsidP="008920AC">
            <w:pPr>
              <w:spacing w:before="120" w:after="120"/>
              <w:rPr>
                <w:sz w:val="20"/>
              </w:rPr>
            </w:pPr>
            <w:r>
              <w:rPr>
                <w:sz w:val="20"/>
              </w:rPr>
              <w:t>Rosa D'Amato, Dario Tamburrano</w:t>
            </w:r>
          </w:p>
        </w:tc>
      </w:tr>
      <w:tr w:rsidR="00672C8A" w:rsidRPr="00F64B87" w14:paraId="3F7E43EC" w14:textId="77777777" w:rsidTr="008920AC">
        <w:trPr>
          <w:cantSplit/>
        </w:trPr>
        <w:tc>
          <w:tcPr>
            <w:tcW w:w="1701" w:type="dxa"/>
            <w:shd w:val="clear" w:color="auto" w:fill="FFFFFF"/>
          </w:tcPr>
          <w:p w14:paraId="7CE8536A" w14:textId="6A007FBC" w:rsidR="00672C8A" w:rsidRDefault="00672C8A" w:rsidP="008920AC">
            <w:pPr>
              <w:spacing w:before="120" w:after="120"/>
              <w:rPr>
                <w:sz w:val="20"/>
              </w:rPr>
            </w:pPr>
            <w:r>
              <w:rPr>
                <w:sz w:val="20"/>
              </w:rPr>
              <w:t>ENF</w:t>
            </w:r>
          </w:p>
        </w:tc>
        <w:tc>
          <w:tcPr>
            <w:tcW w:w="7371" w:type="dxa"/>
            <w:shd w:val="clear" w:color="auto" w:fill="FFFFFF"/>
          </w:tcPr>
          <w:p w14:paraId="77D4F314" w14:textId="303148AF" w:rsidR="00672C8A" w:rsidRDefault="00672C8A" w:rsidP="008920AC">
            <w:pPr>
              <w:spacing w:before="120" w:after="120"/>
              <w:rPr>
                <w:sz w:val="20"/>
              </w:rPr>
            </w:pPr>
            <w:r>
              <w:rPr>
                <w:sz w:val="20"/>
              </w:rPr>
              <w:t>Christelle Lechevalier</w:t>
            </w:r>
          </w:p>
        </w:tc>
      </w:tr>
      <w:tr w:rsidR="00672C8A" w:rsidRPr="00F64B87" w14:paraId="5A9799CC" w14:textId="77777777" w:rsidTr="008920AC">
        <w:trPr>
          <w:cantSplit/>
        </w:trPr>
        <w:tc>
          <w:tcPr>
            <w:tcW w:w="1701" w:type="dxa"/>
            <w:shd w:val="clear" w:color="auto" w:fill="FFFFFF"/>
          </w:tcPr>
          <w:p w14:paraId="279F46CD" w14:textId="04F41E19" w:rsidR="00672C8A" w:rsidRDefault="00672C8A" w:rsidP="008920AC">
            <w:pPr>
              <w:spacing w:before="120" w:after="120"/>
              <w:rPr>
                <w:sz w:val="20"/>
              </w:rPr>
            </w:pPr>
            <w:r>
              <w:rPr>
                <w:sz w:val="20"/>
              </w:rPr>
              <w:t>GUE/NGL</w:t>
            </w:r>
          </w:p>
        </w:tc>
        <w:tc>
          <w:tcPr>
            <w:tcW w:w="7371" w:type="dxa"/>
            <w:shd w:val="clear" w:color="auto" w:fill="FFFFFF"/>
          </w:tcPr>
          <w:p w14:paraId="246BE75D" w14:textId="243369A5" w:rsidR="00672C8A" w:rsidRDefault="00672C8A" w:rsidP="008920AC">
            <w:pPr>
              <w:spacing w:before="120" w:after="120"/>
              <w:rPr>
                <w:sz w:val="20"/>
              </w:rPr>
            </w:pPr>
            <w:r>
              <w:rPr>
                <w:sz w:val="20"/>
              </w:rPr>
              <w:t>Xabier Benito Ziluaga, Jaromír Kohlíček, Paloma López Bermejo, Neoklis Sylikiotis</w:t>
            </w:r>
          </w:p>
        </w:tc>
      </w:tr>
      <w:tr w:rsidR="00672C8A" w:rsidRPr="00F64B87" w14:paraId="11338C10" w14:textId="77777777" w:rsidTr="008920AC">
        <w:trPr>
          <w:cantSplit/>
        </w:trPr>
        <w:tc>
          <w:tcPr>
            <w:tcW w:w="1701" w:type="dxa"/>
            <w:shd w:val="clear" w:color="auto" w:fill="FFFFFF"/>
          </w:tcPr>
          <w:p w14:paraId="4A321CA0" w14:textId="01910195" w:rsidR="00672C8A" w:rsidRDefault="00672C8A" w:rsidP="008920AC">
            <w:pPr>
              <w:spacing w:before="120" w:after="120"/>
              <w:rPr>
                <w:sz w:val="20"/>
              </w:rPr>
            </w:pPr>
            <w:r>
              <w:rPr>
                <w:sz w:val="20"/>
              </w:rPr>
              <w:t>PPE</w:t>
            </w:r>
          </w:p>
        </w:tc>
        <w:tc>
          <w:tcPr>
            <w:tcW w:w="7371" w:type="dxa"/>
            <w:shd w:val="clear" w:color="auto" w:fill="FFFFFF"/>
          </w:tcPr>
          <w:p w14:paraId="7F80F492" w14:textId="2F0E9C0C" w:rsidR="00672C8A" w:rsidRDefault="00672C8A" w:rsidP="008920AC">
            <w:pPr>
              <w:spacing w:before="120" w:after="120"/>
              <w:rPr>
                <w:sz w:val="20"/>
              </w:rPr>
            </w:pPr>
            <w:r>
              <w:rPr>
                <w:sz w:val="20"/>
              </w:rPr>
              <w:t>Bendt Bendtsen, Cristian-Silviu Buşoi, Jerzy Buzek, Pilar del Castillo Vera, Gunnar Hökmark, Krišjānis Kariņš, Seán Kelly, Janusz Lewandowski, Nadine Morano, Angelika Niebler, Luděk Niedermayer, Dennis Radtke, Paul Rübig, Massimiliano Salini, Algirdas Saudargas, Sven Schulze, Vladimir Urutchev, Henna Virkkunen, Anna Záborská</w:t>
            </w:r>
          </w:p>
        </w:tc>
      </w:tr>
      <w:tr w:rsidR="00672C8A" w:rsidRPr="00F64B87" w14:paraId="7C2541F3" w14:textId="77777777" w:rsidTr="008920AC">
        <w:trPr>
          <w:cantSplit/>
        </w:trPr>
        <w:tc>
          <w:tcPr>
            <w:tcW w:w="1701" w:type="dxa"/>
            <w:shd w:val="clear" w:color="auto" w:fill="FFFFFF"/>
          </w:tcPr>
          <w:p w14:paraId="47B8BD6C" w14:textId="3C5FF50C" w:rsidR="00672C8A" w:rsidRDefault="00672C8A" w:rsidP="008920AC">
            <w:pPr>
              <w:spacing w:before="120" w:after="120"/>
              <w:rPr>
                <w:sz w:val="20"/>
              </w:rPr>
            </w:pPr>
            <w:r>
              <w:rPr>
                <w:sz w:val="20"/>
              </w:rPr>
              <w:t>S&amp;D</w:t>
            </w:r>
          </w:p>
        </w:tc>
        <w:tc>
          <w:tcPr>
            <w:tcW w:w="7371" w:type="dxa"/>
            <w:shd w:val="clear" w:color="auto" w:fill="FFFFFF"/>
          </w:tcPr>
          <w:p w14:paraId="1547BCDE" w14:textId="26DE5A38" w:rsidR="00672C8A" w:rsidRDefault="00672C8A" w:rsidP="008920AC">
            <w:pPr>
              <w:spacing w:before="120" w:after="120"/>
              <w:rPr>
                <w:sz w:val="20"/>
              </w:rPr>
            </w:pPr>
            <w:r>
              <w:rPr>
                <w:sz w:val="20"/>
              </w:rPr>
              <w:t>Zigmantas Balčytis, José Blanco López, Adam Gierek, Theresa Griffin, Eva Kaili, Jeppe Kofod, Peter Kouroumbashev, Miapetra Kumpula-Natri, Edouard Martin, Dan Nica, Emilian Pavel, Miroslav Poche, Patrizia Toia, Kathleen Van Brempt, Martina Werner, Flavio Zanonato, Carlos Zorrinho</w:t>
            </w:r>
          </w:p>
        </w:tc>
      </w:tr>
      <w:tr w:rsidR="00672C8A" w:rsidRPr="00F64B87" w14:paraId="3AA45491" w14:textId="77777777" w:rsidTr="008920AC">
        <w:trPr>
          <w:cantSplit/>
        </w:trPr>
        <w:tc>
          <w:tcPr>
            <w:tcW w:w="1701" w:type="dxa"/>
            <w:shd w:val="clear" w:color="auto" w:fill="FFFFFF"/>
          </w:tcPr>
          <w:p w14:paraId="0CB7C244" w14:textId="4D4D1B70" w:rsidR="00672C8A" w:rsidRDefault="00672C8A" w:rsidP="008920AC">
            <w:pPr>
              <w:spacing w:before="120" w:after="120"/>
              <w:rPr>
                <w:sz w:val="20"/>
              </w:rPr>
            </w:pPr>
            <w:r>
              <w:rPr>
                <w:sz w:val="20"/>
              </w:rPr>
              <w:t>VERTS/ALE</w:t>
            </w:r>
          </w:p>
        </w:tc>
        <w:tc>
          <w:tcPr>
            <w:tcW w:w="7371" w:type="dxa"/>
            <w:shd w:val="clear" w:color="auto" w:fill="FFFFFF"/>
          </w:tcPr>
          <w:p w14:paraId="00A4502C" w14:textId="2222780C" w:rsidR="00672C8A" w:rsidRDefault="00672C8A" w:rsidP="008920AC">
            <w:pPr>
              <w:spacing w:before="120" w:after="120"/>
              <w:rPr>
                <w:sz w:val="20"/>
              </w:rPr>
            </w:pPr>
            <w:r>
              <w:rPr>
                <w:sz w:val="20"/>
              </w:rPr>
              <w:t>Reinhard Bütikofer, Jakop Dalunde, Rebecca Harms, Julia Reda, Claude Turmes</w:t>
            </w:r>
          </w:p>
        </w:tc>
      </w:tr>
    </w:tbl>
    <w:p w14:paraId="0B78FB82" w14:textId="77777777" w:rsidR="00672C8A" w:rsidRDefault="00672C8A"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72C8A" w:rsidRPr="00F64B87" w14:paraId="1A558ED5" w14:textId="77777777" w:rsidTr="008920AC">
        <w:trPr>
          <w:cantSplit/>
        </w:trPr>
        <w:tc>
          <w:tcPr>
            <w:tcW w:w="1701" w:type="dxa"/>
            <w:shd w:val="pct10" w:color="000000" w:fill="FFFFFF"/>
            <w:vAlign w:val="center"/>
          </w:tcPr>
          <w:p w14:paraId="3B5560B3" w14:textId="3A4AD0CB" w:rsidR="00672C8A" w:rsidRPr="00BF54D6" w:rsidRDefault="00672C8A" w:rsidP="008920AC">
            <w:pPr>
              <w:spacing w:before="120" w:after="120"/>
              <w:jc w:val="center"/>
              <w:rPr>
                <w:b/>
                <w:sz w:val="16"/>
              </w:rPr>
            </w:pPr>
            <w:r>
              <w:rPr>
                <w:b/>
                <w:sz w:val="20"/>
              </w:rPr>
              <w:t>3</w:t>
            </w:r>
          </w:p>
        </w:tc>
        <w:tc>
          <w:tcPr>
            <w:tcW w:w="7371" w:type="dxa"/>
            <w:shd w:val="pct10" w:color="000000" w:fill="FFFFFF"/>
          </w:tcPr>
          <w:p w14:paraId="556B8EE3" w14:textId="77777777" w:rsidR="00672C8A" w:rsidRPr="00AB7DBA" w:rsidRDefault="00672C8A" w:rsidP="008920AC">
            <w:pPr>
              <w:spacing w:before="120" w:after="120"/>
              <w:jc w:val="center"/>
              <w:rPr>
                <w:sz w:val="28"/>
                <w:szCs w:val="28"/>
              </w:rPr>
            </w:pPr>
            <w:r w:rsidRPr="00AB7DBA">
              <w:rPr>
                <w:rFonts w:ascii="Arial" w:hAnsi="Arial" w:cs="Arial"/>
                <w:b/>
                <w:sz w:val="28"/>
                <w:szCs w:val="28"/>
              </w:rPr>
              <w:t>-</w:t>
            </w:r>
          </w:p>
        </w:tc>
      </w:tr>
      <w:tr w:rsidR="00672C8A" w:rsidRPr="00F64B87" w14:paraId="308658E7" w14:textId="77777777" w:rsidTr="008920AC">
        <w:trPr>
          <w:cantSplit/>
        </w:trPr>
        <w:tc>
          <w:tcPr>
            <w:tcW w:w="1701" w:type="dxa"/>
            <w:shd w:val="clear" w:color="auto" w:fill="FFFFFF"/>
          </w:tcPr>
          <w:p w14:paraId="5F55383A" w14:textId="6157575B" w:rsidR="00672C8A" w:rsidRPr="00F079B8" w:rsidRDefault="00672C8A" w:rsidP="008920AC">
            <w:pPr>
              <w:spacing w:before="120" w:after="120"/>
              <w:rPr>
                <w:sz w:val="20"/>
              </w:rPr>
            </w:pPr>
            <w:r>
              <w:rPr>
                <w:sz w:val="20"/>
              </w:rPr>
              <w:t>EFDD</w:t>
            </w:r>
          </w:p>
        </w:tc>
        <w:tc>
          <w:tcPr>
            <w:tcW w:w="7371" w:type="dxa"/>
            <w:shd w:val="clear" w:color="auto" w:fill="FFFFFF"/>
          </w:tcPr>
          <w:p w14:paraId="635AE169" w14:textId="37298004" w:rsidR="00672C8A" w:rsidRPr="00F079B8" w:rsidRDefault="00672C8A" w:rsidP="008920AC">
            <w:pPr>
              <w:spacing w:before="120" w:after="120"/>
              <w:rPr>
                <w:sz w:val="20"/>
              </w:rPr>
            </w:pPr>
            <w:r>
              <w:rPr>
                <w:sz w:val="20"/>
              </w:rPr>
              <w:t>Jonathan Bullock</w:t>
            </w:r>
          </w:p>
        </w:tc>
      </w:tr>
      <w:tr w:rsidR="00672C8A" w:rsidRPr="00F64B87" w14:paraId="1E5917B2" w14:textId="77777777" w:rsidTr="008920AC">
        <w:trPr>
          <w:cantSplit/>
        </w:trPr>
        <w:tc>
          <w:tcPr>
            <w:tcW w:w="1701" w:type="dxa"/>
            <w:shd w:val="clear" w:color="auto" w:fill="FFFFFF"/>
          </w:tcPr>
          <w:p w14:paraId="092CBE93" w14:textId="5AEEC58E" w:rsidR="00672C8A" w:rsidRDefault="00672C8A" w:rsidP="008920AC">
            <w:pPr>
              <w:spacing w:before="120" w:after="120"/>
              <w:rPr>
                <w:sz w:val="20"/>
              </w:rPr>
            </w:pPr>
            <w:r>
              <w:rPr>
                <w:sz w:val="20"/>
              </w:rPr>
              <w:t>ENF</w:t>
            </w:r>
          </w:p>
        </w:tc>
        <w:tc>
          <w:tcPr>
            <w:tcW w:w="7371" w:type="dxa"/>
            <w:shd w:val="clear" w:color="auto" w:fill="FFFFFF"/>
          </w:tcPr>
          <w:p w14:paraId="1497CB25" w14:textId="151DB3C7" w:rsidR="00672C8A" w:rsidRDefault="00672C8A" w:rsidP="008920AC">
            <w:pPr>
              <w:spacing w:before="120" w:after="120"/>
              <w:rPr>
                <w:sz w:val="20"/>
              </w:rPr>
            </w:pPr>
            <w:r>
              <w:rPr>
                <w:sz w:val="20"/>
              </w:rPr>
              <w:t>Angelo Ciocca</w:t>
            </w:r>
          </w:p>
        </w:tc>
      </w:tr>
      <w:tr w:rsidR="00672C8A" w:rsidRPr="00F64B87" w14:paraId="4328E43B" w14:textId="77777777" w:rsidTr="008920AC">
        <w:trPr>
          <w:cantSplit/>
        </w:trPr>
        <w:tc>
          <w:tcPr>
            <w:tcW w:w="1701" w:type="dxa"/>
            <w:shd w:val="clear" w:color="auto" w:fill="FFFFFF"/>
          </w:tcPr>
          <w:p w14:paraId="5A5B8361" w14:textId="12C887AC" w:rsidR="00672C8A" w:rsidRDefault="00672C8A" w:rsidP="008920AC">
            <w:pPr>
              <w:spacing w:before="120" w:after="120"/>
              <w:rPr>
                <w:sz w:val="20"/>
              </w:rPr>
            </w:pPr>
            <w:r>
              <w:rPr>
                <w:sz w:val="20"/>
              </w:rPr>
              <w:t>PPE</w:t>
            </w:r>
          </w:p>
        </w:tc>
        <w:tc>
          <w:tcPr>
            <w:tcW w:w="7371" w:type="dxa"/>
            <w:shd w:val="clear" w:color="auto" w:fill="FFFFFF"/>
          </w:tcPr>
          <w:p w14:paraId="03CBF955" w14:textId="32099BF7" w:rsidR="00672C8A" w:rsidRDefault="00672C8A" w:rsidP="008920AC">
            <w:pPr>
              <w:spacing w:before="120" w:after="120"/>
              <w:rPr>
                <w:sz w:val="20"/>
              </w:rPr>
            </w:pPr>
            <w:r>
              <w:rPr>
                <w:sz w:val="20"/>
              </w:rPr>
              <w:t>Hermann Winkler</w:t>
            </w:r>
          </w:p>
        </w:tc>
      </w:tr>
    </w:tbl>
    <w:p w14:paraId="2D0D7501" w14:textId="77777777" w:rsidR="00672C8A" w:rsidRDefault="00672C8A"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72C8A" w:rsidRPr="00F64B87" w14:paraId="5283E8A8" w14:textId="77777777" w:rsidTr="008920AC">
        <w:trPr>
          <w:cantSplit/>
        </w:trPr>
        <w:tc>
          <w:tcPr>
            <w:tcW w:w="1701" w:type="dxa"/>
            <w:shd w:val="pct10" w:color="000000" w:fill="FFFFFF"/>
            <w:vAlign w:val="center"/>
          </w:tcPr>
          <w:p w14:paraId="784E6E18" w14:textId="1763A1C9" w:rsidR="00672C8A" w:rsidRPr="00BF54D6" w:rsidRDefault="00672C8A" w:rsidP="008920AC">
            <w:pPr>
              <w:spacing w:before="120" w:after="120"/>
              <w:jc w:val="center"/>
              <w:rPr>
                <w:b/>
                <w:sz w:val="16"/>
              </w:rPr>
            </w:pPr>
            <w:r>
              <w:rPr>
                <w:b/>
                <w:sz w:val="20"/>
              </w:rPr>
              <w:t>1</w:t>
            </w:r>
          </w:p>
        </w:tc>
        <w:tc>
          <w:tcPr>
            <w:tcW w:w="7371" w:type="dxa"/>
            <w:shd w:val="pct10" w:color="000000" w:fill="FFFFFF"/>
          </w:tcPr>
          <w:p w14:paraId="73E27A8A" w14:textId="77777777" w:rsidR="00672C8A" w:rsidRPr="00AB7DBA" w:rsidRDefault="00672C8A" w:rsidP="008920AC">
            <w:pPr>
              <w:spacing w:before="120" w:after="120"/>
              <w:jc w:val="center"/>
              <w:rPr>
                <w:sz w:val="28"/>
                <w:szCs w:val="28"/>
              </w:rPr>
            </w:pPr>
            <w:r w:rsidRPr="00AB7DBA">
              <w:rPr>
                <w:rFonts w:ascii="Arial" w:hAnsi="Arial" w:cs="Arial"/>
                <w:b/>
                <w:sz w:val="28"/>
                <w:szCs w:val="28"/>
              </w:rPr>
              <w:t>0</w:t>
            </w:r>
          </w:p>
        </w:tc>
      </w:tr>
      <w:tr w:rsidR="00672C8A" w:rsidRPr="00F64B87" w14:paraId="3DF9D719" w14:textId="77777777" w:rsidTr="008920AC">
        <w:trPr>
          <w:cantSplit/>
        </w:trPr>
        <w:tc>
          <w:tcPr>
            <w:tcW w:w="1701" w:type="dxa"/>
            <w:shd w:val="clear" w:color="auto" w:fill="FFFFFF"/>
          </w:tcPr>
          <w:p w14:paraId="29815DDC" w14:textId="66728C74" w:rsidR="00672C8A" w:rsidRPr="00F079B8" w:rsidRDefault="00672C8A" w:rsidP="008920AC">
            <w:pPr>
              <w:spacing w:before="120" w:after="120"/>
              <w:rPr>
                <w:sz w:val="20"/>
              </w:rPr>
            </w:pPr>
            <w:r>
              <w:rPr>
                <w:sz w:val="20"/>
              </w:rPr>
              <w:t>ENF</w:t>
            </w:r>
          </w:p>
        </w:tc>
        <w:tc>
          <w:tcPr>
            <w:tcW w:w="7371" w:type="dxa"/>
            <w:shd w:val="clear" w:color="auto" w:fill="FFFFFF"/>
          </w:tcPr>
          <w:p w14:paraId="62FA78D1" w14:textId="6B3B1BD0" w:rsidR="00672C8A" w:rsidRPr="00F079B8" w:rsidRDefault="00672C8A" w:rsidP="008920AC">
            <w:pPr>
              <w:spacing w:before="120" w:after="120"/>
              <w:rPr>
                <w:sz w:val="20"/>
              </w:rPr>
            </w:pPr>
            <w:r>
              <w:rPr>
                <w:sz w:val="20"/>
              </w:rPr>
              <w:t>Gerolf Annemans</w:t>
            </w:r>
          </w:p>
        </w:tc>
      </w:tr>
    </w:tbl>
    <w:p w14:paraId="34BDA683" w14:textId="77777777" w:rsidR="00672C8A" w:rsidRDefault="00672C8A" w:rsidP="00147FBF">
      <w:pPr>
        <w:pStyle w:val="Normal12"/>
      </w:pPr>
    </w:p>
    <w:p w14:paraId="6AA9AD8E" w14:textId="6A7F0F04" w:rsidR="00672C8A" w:rsidRDefault="00672C8A" w:rsidP="00B735E3">
      <w:r>
        <w:t>Key to symbols:</w:t>
      </w:r>
    </w:p>
    <w:p w14:paraId="0A7402BF" w14:textId="1093FB5A" w:rsidR="00672C8A" w:rsidRDefault="00672C8A" w:rsidP="00B735E3">
      <w:pPr>
        <w:pStyle w:val="NormalTabs"/>
      </w:pPr>
      <w:r>
        <w:t>+</w:t>
      </w:r>
      <w:r>
        <w:tab/>
        <w:t>:</w:t>
      </w:r>
      <w:r>
        <w:tab/>
        <w:t>in favour</w:t>
      </w:r>
    </w:p>
    <w:p w14:paraId="1F9A0AEB" w14:textId="633B29DE" w:rsidR="00672C8A" w:rsidRDefault="00672C8A" w:rsidP="00B735E3">
      <w:pPr>
        <w:pStyle w:val="NormalTabs"/>
      </w:pPr>
      <w:r>
        <w:t>-</w:t>
      </w:r>
      <w:r>
        <w:tab/>
        <w:t>:</w:t>
      </w:r>
      <w:r>
        <w:tab/>
        <w:t>against</w:t>
      </w:r>
    </w:p>
    <w:p w14:paraId="73A18F51" w14:textId="0193BE02" w:rsidR="00672C8A" w:rsidRDefault="00672C8A" w:rsidP="00B735E3">
      <w:pPr>
        <w:pStyle w:val="NormalTabs"/>
      </w:pPr>
      <w:r>
        <w:t>0</w:t>
      </w:r>
      <w:r>
        <w:tab/>
        <w:t>:</w:t>
      </w:r>
      <w:r>
        <w:tab/>
        <w:t>abstention</w:t>
      </w:r>
    </w:p>
    <w:p w14:paraId="18040E3D" w14:textId="77777777" w:rsidR="00672C8A" w:rsidRDefault="00672C8A" w:rsidP="00AD5932"/>
    <w:bookmarkEnd w:id="5"/>
    <w:p w14:paraId="637FE7B7" w14:textId="77777777" w:rsidR="002E2F2E" w:rsidRPr="00672C8A" w:rsidRDefault="002E2F2E" w:rsidP="00672C8A"/>
    <w:sectPr w:rsidR="002E2F2E" w:rsidRPr="00672C8A" w:rsidSect="00AE7219">
      <w:footerReference w:type="even" r:id="rId8"/>
      <w:footerReference w:type="default" r:id="rId9"/>
      <w:footerReference w:type="first" r:id="rId10"/>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47A87" w14:textId="77777777" w:rsidR="00A01A07" w:rsidRPr="00397CA5" w:rsidRDefault="00A01A07">
      <w:r w:rsidRPr="00397CA5">
        <w:separator/>
      </w:r>
    </w:p>
  </w:endnote>
  <w:endnote w:type="continuationSeparator" w:id="0">
    <w:p w14:paraId="73DC9886" w14:textId="77777777" w:rsidR="00A01A07" w:rsidRPr="00397CA5" w:rsidRDefault="00A01A07">
      <w:r w:rsidRPr="00397CA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0AD47" w14:textId="490D628A" w:rsidR="00AE7219" w:rsidRPr="00603E71" w:rsidRDefault="00AE7219" w:rsidP="00AE7219">
    <w:pPr>
      <w:pStyle w:val="Footer"/>
      <w:rPr>
        <w:lang w:val="it-IT"/>
      </w:rPr>
    </w:pPr>
    <w:r w:rsidRPr="00603E71">
      <w:rPr>
        <w:lang w:val="it-IT"/>
      </w:rPr>
      <w:t>PE</w:t>
    </w:r>
    <w:r w:rsidRPr="00603E71">
      <w:rPr>
        <w:rStyle w:val="HideTWBExt"/>
        <w:lang w:val="it-IT"/>
      </w:rPr>
      <w:t>&lt;NoPE&gt;</w:t>
    </w:r>
    <w:r w:rsidRPr="00603E71">
      <w:rPr>
        <w:lang w:val="it-IT"/>
      </w:rPr>
      <w:t>615.480</w:t>
    </w:r>
    <w:r w:rsidRPr="00603E71">
      <w:rPr>
        <w:rStyle w:val="HideTWBExt"/>
        <w:lang w:val="it-IT"/>
      </w:rPr>
      <w:t>&lt;/NoPE&gt;&lt;Version&gt;</w:t>
    </w:r>
    <w:r w:rsidRPr="00603E71">
      <w:rPr>
        <w:lang w:val="it-IT"/>
      </w:rPr>
      <w:t>v01-00</w:t>
    </w:r>
    <w:r w:rsidRPr="00603E71">
      <w:rPr>
        <w:rStyle w:val="HideTWBExt"/>
        <w:lang w:val="it-IT"/>
      </w:rPr>
      <w:t>&lt;/Version&gt;</w:t>
    </w:r>
    <w:r w:rsidRPr="00603E71">
      <w:rPr>
        <w:lang w:val="it-IT"/>
      </w:rPr>
      <w:tab/>
    </w:r>
    <w:r>
      <w:fldChar w:fldCharType="begin"/>
    </w:r>
    <w:r w:rsidRPr="00603E71">
      <w:rPr>
        <w:lang w:val="it-IT"/>
      </w:rPr>
      <w:instrText xml:space="preserve"> PAGE  \* MERGEFORMAT </w:instrText>
    </w:r>
    <w:r>
      <w:fldChar w:fldCharType="separate"/>
    </w:r>
    <w:r w:rsidR="00603E71">
      <w:rPr>
        <w:noProof/>
        <w:lang w:val="it-IT"/>
      </w:rPr>
      <w:t>8</w:t>
    </w:r>
    <w:r>
      <w:fldChar w:fldCharType="end"/>
    </w:r>
    <w:r w:rsidRPr="00603E71">
      <w:rPr>
        <w:lang w:val="it-IT"/>
      </w:rPr>
      <w:t>/</w:t>
    </w:r>
    <w:r w:rsidR="006E41DA">
      <w:fldChar w:fldCharType="begin"/>
    </w:r>
    <w:r w:rsidR="006E41DA" w:rsidRPr="00603E71">
      <w:rPr>
        <w:lang w:val="it-IT"/>
      </w:rPr>
      <w:instrText xml:space="preserve"> NUMPAGES  \* MERGEFORMAT </w:instrText>
    </w:r>
    <w:r w:rsidR="006E41DA">
      <w:fldChar w:fldCharType="separate"/>
    </w:r>
    <w:r w:rsidR="00603E71">
      <w:rPr>
        <w:noProof/>
        <w:lang w:val="it-IT"/>
      </w:rPr>
      <w:t>8</w:t>
    </w:r>
    <w:r w:rsidR="006E41DA">
      <w:rPr>
        <w:noProof/>
      </w:rPr>
      <w:fldChar w:fldCharType="end"/>
    </w:r>
    <w:r w:rsidRPr="00603E71">
      <w:rPr>
        <w:lang w:val="it-IT"/>
      </w:rPr>
      <w:tab/>
    </w:r>
    <w:r w:rsidRPr="00603E71">
      <w:rPr>
        <w:rStyle w:val="HideTWBExt"/>
        <w:lang w:val="it-IT"/>
      </w:rPr>
      <w:t>&lt;PathFdR&gt;</w:t>
    </w:r>
    <w:r w:rsidRPr="00603E71">
      <w:rPr>
        <w:lang w:val="it-IT"/>
      </w:rPr>
      <w:t>AD\1148642</w:t>
    </w:r>
    <w:r w:rsidR="00603E71" w:rsidRPr="00603E71">
      <w:rPr>
        <w:lang w:val="it-IT"/>
      </w:rPr>
      <w:t>EN</w:t>
    </w:r>
    <w:r w:rsidRPr="00603E71">
      <w:rPr>
        <w:lang w:val="it-IT"/>
      </w:rPr>
      <w:t>.docx</w:t>
    </w:r>
    <w:r w:rsidRPr="00603E71">
      <w:rPr>
        <w:rStyle w:val="HideTWBExt"/>
        <w:lang w:val="it-IT"/>
      </w:rPr>
      <w:t>&lt;/PathFdR&gt;</w:t>
    </w:r>
  </w:p>
  <w:p w14:paraId="230F656D" w14:textId="7120E5CF" w:rsidR="002E2F2E" w:rsidRPr="00397CA5" w:rsidRDefault="00603E71" w:rsidP="00AE7219">
    <w:pPr>
      <w:pStyle w:val="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6A1EC" w14:textId="6AB23D96" w:rsidR="00AE7219" w:rsidRPr="00603E71" w:rsidRDefault="00AE7219" w:rsidP="00AE7219">
    <w:pPr>
      <w:pStyle w:val="Footer"/>
      <w:rPr>
        <w:lang w:val="it-IT"/>
      </w:rPr>
    </w:pPr>
    <w:r w:rsidRPr="00603E71">
      <w:rPr>
        <w:rStyle w:val="HideTWBExt"/>
        <w:lang w:val="it-IT"/>
      </w:rPr>
      <w:t>&lt;PathFdR&gt;</w:t>
    </w:r>
    <w:r w:rsidRPr="00603E71">
      <w:rPr>
        <w:lang w:val="it-IT"/>
      </w:rPr>
      <w:t>AD\1148642</w:t>
    </w:r>
    <w:r w:rsidR="00603E71" w:rsidRPr="00603E71">
      <w:rPr>
        <w:lang w:val="it-IT"/>
      </w:rPr>
      <w:t>EN</w:t>
    </w:r>
    <w:r w:rsidRPr="00603E71">
      <w:rPr>
        <w:lang w:val="it-IT"/>
      </w:rPr>
      <w:t>.docx</w:t>
    </w:r>
    <w:r w:rsidRPr="00603E71">
      <w:rPr>
        <w:rStyle w:val="HideTWBExt"/>
        <w:lang w:val="it-IT"/>
      </w:rPr>
      <w:t>&lt;/PathFdR&gt;</w:t>
    </w:r>
    <w:r w:rsidRPr="00603E71">
      <w:rPr>
        <w:lang w:val="it-IT"/>
      </w:rPr>
      <w:tab/>
    </w:r>
    <w:r>
      <w:fldChar w:fldCharType="begin"/>
    </w:r>
    <w:r w:rsidRPr="00603E71">
      <w:rPr>
        <w:lang w:val="it-IT"/>
      </w:rPr>
      <w:instrText xml:space="preserve"> PAGE  \* MERGEFORMAT </w:instrText>
    </w:r>
    <w:r>
      <w:fldChar w:fldCharType="separate"/>
    </w:r>
    <w:r w:rsidR="00603E71">
      <w:rPr>
        <w:noProof/>
        <w:lang w:val="it-IT"/>
      </w:rPr>
      <w:t>7</w:t>
    </w:r>
    <w:r>
      <w:fldChar w:fldCharType="end"/>
    </w:r>
    <w:r w:rsidRPr="00603E71">
      <w:rPr>
        <w:lang w:val="it-IT"/>
      </w:rPr>
      <w:t>/</w:t>
    </w:r>
    <w:r w:rsidR="006E41DA">
      <w:fldChar w:fldCharType="begin"/>
    </w:r>
    <w:r w:rsidR="006E41DA" w:rsidRPr="00603E71">
      <w:rPr>
        <w:lang w:val="it-IT"/>
      </w:rPr>
      <w:instrText xml:space="preserve"> NUMPAGES  \* MERGEFORMAT </w:instrText>
    </w:r>
    <w:r w:rsidR="006E41DA">
      <w:fldChar w:fldCharType="separate"/>
    </w:r>
    <w:r w:rsidR="00603E71">
      <w:rPr>
        <w:noProof/>
        <w:lang w:val="it-IT"/>
      </w:rPr>
      <w:t>8</w:t>
    </w:r>
    <w:r w:rsidR="006E41DA">
      <w:rPr>
        <w:noProof/>
      </w:rPr>
      <w:fldChar w:fldCharType="end"/>
    </w:r>
    <w:r w:rsidRPr="00603E71">
      <w:rPr>
        <w:lang w:val="it-IT"/>
      </w:rPr>
      <w:tab/>
      <w:t>PE</w:t>
    </w:r>
    <w:r w:rsidRPr="00603E71">
      <w:rPr>
        <w:rStyle w:val="HideTWBExt"/>
        <w:lang w:val="it-IT"/>
      </w:rPr>
      <w:t>&lt;NoPE&gt;</w:t>
    </w:r>
    <w:r w:rsidRPr="00603E71">
      <w:rPr>
        <w:lang w:val="it-IT"/>
      </w:rPr>
      <w:t>615.480</w:t>
    </w:r>
    <w:r w:rsidRPr="00603E71">
      <w:rPr>
        <w:rStyle w:val="HideTWBExt"/>
        <w:lang w:val="it-IT"/>
      </w:rPr>
      <w:t>&lt;/NoPE&gt;&lt;Version&gt;</w:t>
    </w:r>
    <w:r w:rsidRPr="00603E71">
      <w:rPr>
        <w:lang w:val="it-IT"/>
      </w:rPr>
      <w:t>v01-00</w:t>
    </w:r>
    <w:r w:rsidRPr="00603E71">
      <w:rPr>
        <w:rStyle w:val="HideTWBExt"/>
        <w:lang w:val="it-IT"/>
      </w:rPr>
      <w:t>&lt;/Version&gt;</w:t>
    </w:r>
  </w:p>
  <w:p w14:paraId="42490D5F" w14:textId="2120F924" w:rsidR="002E2F2E" w:rsidRPr="00397CA5" w:rsidRDefault="00AE7219" w:rsidP="00AE7219">
    <w:pPr>
      <w:pStyle w:val="Footer2"/>
    </w:pPr>
    <w:r w:rsidRPr="00603E71">
      <w:rPr>
        <w:lang w:val="it-IT"/>
      </w:rPr>
      <w:tab/>
    </w:r>
    <w:r w:rsidR="00603E71">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18D72" w14:textId="0902A3BC" w:rsidR="00AE7219" w:rsidRPr="00F522B6" w:rsidRDefault="00AE7219" w:rsidP="00AE7219">
    <w:pPr>
      <w:pStyle w:val="Footer"/>
      <w:rPr>
        <w:lang w:val="it-IT"/>
      </w:rPr>
    </w:pPr>
    <w:r w:rsidRPr="00F522B6">
      <w:rPr>
        <w:rStyle w:val="HideTWBExt"/>
        <w:lang w:val="it-IT"/>
      </w:rPr>
      <w:t>&lt;PathFdR&gt;</w:t>
    </w:r>
    <w:r w:rsidRPr="00F522B6">
      <w:rPr>
        <w:lang w:val="it-IT"/>
      </w:rPr>
      <w:t>AD\</w:t>
    </w:r>
    <w:r w:rsidR="00603E71" w:rsidRPr="00F522B6">
      <w:rPr>
        <w:lang w:val="it-IT"/>
      </w:rPr>
      <w:t>1148642</w:t>
    </w:r>
    <w:r w:rsidR="00603E71">
      <w:rPr>
        <w:lang w:val="it-IT"/>
      </w:rPr>
      <w:t>EN</w:t>
    </w:r>
    <w:r w:rsidRPr="00F522B6">
      <w:rPr>
        <w:lang w:val="it-IT"/>
      </w:rPr>
      <w:t>.docx</w:t>
    </w:r>
    <w:r w:rsidRPr="00F522B6">
      <w:rPr>
        <w:rStyle w:val="HideTWBExt"/>
        <w:lang w:val="it-IT"/>
      </w:rPr>
      <w:t>&lt;/PathFdR&gt;</w:t>
    </w:r>
    <w:r w:rsidRPr="00F522B6">
      <w:rPr>
        <w:lang w:val="it-IT"/>
      </w:rPr>
      <w:tab/>
    </w:r>
    <w:r w:rsidRPr="00F522B6">
      <w:rPr>
        <w:lang w:val="it-IT"/>
      </w:rPr>
      <w:tab/>
      <w:t>PE</w:t>
    </w:r>
    <w:r w:rsidRPr="00F522B6">
      <w:rPr>
        <w:rStyle w:val="HideTWBExt"/>
        <w:lang w:val="it-IT"/>
      </w:rPr>
      <w:t>&lt;NoPE&gt;</w:t>
    </w:r>
    <w:r w:rsidRPr="00F522B6">
      <w:rPr>
        <w:lang w:val="it-IT"/>
      </w:rPr>
      <w:t>615.480</w:t>
    </w:r>
    <w:r w:rsidRPr="00F522B6">
      <w:rPr>
        <w:rStyle w:val="HideTWBExt"/>
        <w:lang w:val="it-IT"/>
      </w:rPr>
      <w:t>&lt;/NoPE&gt;&lt;Version&gt;</w:t>
    </w:r>
    <w:r w:rsidRPr="00F522B6">
      <w:rPr>
        <w:lang w:val="it-IT"/>
      </w:rPr>
      <w:t>v01-00</w:t>
    </w:r>
    <w:r w:rsidRPr="00F522B6">
      <w:rPr>
        <w:rStyle w:val="HideTWBExt"/>
        <w:lang w:val="it-IT"/>
      </w:rPr>
      <w:t>&lt;/Version&gt;</w:t>
    </w:r>
  </w:p>
  <w:p w14:paraId="5C939260" w14:textId="2617AB65" w:rsidR="002E2F2E" w:rsidRPr="00397CA5" w:rsidRDefault="00603E71" w:rsidP="00AE7219">
    <w:pPr>
      <w:pStyle w:val="Footer2"/>
      <w:tabs>
        <w:tab w:val="center" w:pos="4535"/>
      </w:tabs>
    </w:pPr>
    <w:r>
      <w:t>EN</w:t>
    </w:r>
    <w:r w:rsidR="00AE7219">
      <w:tab/>
    </w:r>
    <w:r w:rsidR="00AE7219" w:rsidRPr="00AE7219">
      <w:rPr>
        <w:b w:val="0"/>
        <w:i/>
        <w:color w:val="C0C0C0"/>
        <w:sz w:val="22"/>
      </w:rPr>
      <w:t>United in diversity</w:t>
    </w:r>
    <w:r w:rsidR="00AE7219">
      <w:tab/>
    </w:r>
    <w:r>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1866D" w14:textId="77777777" w:rsidR="00A01A07" w:rsidRPr="00397CA5" w:rsidRDefault="00A01A07">
      <w:r w:rsidRPr="00397CA5">
        <w:separator/>
      </w:r>
    </w:p>
  </w:footnote>
  <w:footnote w:type="continuationSeparator" w:id="0">
    <w:p w14:paraId="23758614" w14:textId="77777777" w:rsidR="00A01A07" w:rsidRPr="00397CA5" w:rsidRDefault="00A01A07">
      <w:r w:rsidRPr="00397CA5">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ENVI"/>
    <w:docVar w:name="COMKEY" w:val="ITRE"/>
    <w:docVar w:name="CopyToNetwork" w:val="-1"/>
    <w:docVar w:name="LastEditedSection" w:val=" 1"/>
    <w:docVar w:name="PROCMNU" w:val=" 1"/>
    <w:docVar w:name="RepeatBlock-Amend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8409302 HideTWBInt;}{\s16\ql \fi-567\li567\ri0\sa240\nowidctlpar\wrapdefault\aspalpha\aspnum\faauto\adjustright\rin0\lin567\itap0 \rtlch\fcs1 \af0\afs20\alang1025 \ltrch\fcs0 _x000d__x000a_\fs24\lang2057\langfe2057\cgrid\langnp2057\langfenp2057 \sbasedon0 \snext16 \spriority0 \styrsid8409302 Normal12Hanging;}}{\*\rsidtbl \rsid24658\rsid735077\rsid2892074\rsid4666813\rsid5906677\rsid6641733\rsid8409302\rsid9636012\rsid11215221\rsid12154954_x000d__x000a_\rsid14424199\rsid15204470\rsid15285974\rsid15950462\rsid16324206\rsid16662270}{\mmathPr\mmathFont34\mbrkBin0\mbrkBinSub0\msmallFrac0\mdispDef1\mlMargin0\mrMargin0\mdefJc1\mwrapIndent1440\mintLim0\mnaryLim1}{\info{\author UWIZERA Marie-Claire}_x000d__x000a_{\operator UWIZERA Marie-Claire}{\creatim\yr2018\mo3\dy15\hr14\min45}{\revtim\yr2018\mo3\dy15\hr14\min45}{\version1}{\edmins0}{\nofpages1}{\nofwords1}{\nofchars12}{\*\company European Parliament}{\nofcharsws12}{\vern57443}}{\*\xmlnstbl {\xmlns1 http://sch_x000d__x000a_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409302\utinl \fet0{\*\wgrffmtfilter 013f}\ilfomacatclnup0{\*\template C:\\Users\\muwizera\\AppData\\Local\\Temp\\Blank1.dot}{\*\ftnsep \ltrpar \pard\plain \ltrpar_x000d__x000a_\ql \li0\ri0\widctlpar\wrapdefault\aspalpha\aspnum\faauto\adjustright\rin0\lin0\itap0 \rtlch\fcs1 \af0\afs20\alang1025 \ltrch\fcs0 \fs24\lang2057\langfe2057\cgrid\langnp2057\langfenp2057 {\rtlch\fcs1 \af0 \ltrch\fcs0 \insrsid5906677 \chftnsep _x000d__x000a_\par }}{\*\ftnsepc \ltrpar \pard\plain \ltrpar\ql \li0\ri0\widctlpar\wrapdefault\aspalpha\aspnum\faauto\adjustright\rin0\lin0\itap0 \rtlch\fcs1 \af0\afs20\alang1025 \ltrch\fcs0 \fs24\lang2057\langfe2057\cgrid\langnp2057\langfenp2057 {\rtlch\fcs1 \af0 _x000d__x000a_\ltrch\fcs0 \insrsid5906677 \chftnsepc _x000d__x000a_\par }}{\*\aftnsep \ltrpar \pard\plain \ltrpar\ql \li0\ri0\widctlpar\wrapdefault\aspalpha\aspnum\faauto\adjustright\rin0\lin0\itap0 \rtlch\fcs1 \af0\afs20\alang1025 \ltrch\fcs0 \fs24\lang2057\langfe2057\cgrid\langnp2057\langfenp2057 {\rtlch\fcs1 \af0 _x000d__x000a_\ltrch\fcs0 \insrsid5906677 \chftnsep _x000d__x000a_\par }}{\*\aftnsepc \ltrpar \pard\plain \ltrpar\ql \li0\ri0\widctlpar\wrapdefault\aspalpha\aspnum\faauto\adjustright\rin0\lin0\itap0 \rtlch\fcs1 \af0\afs20\alang1025 \ltrch\fcs0 \fs24\lang2057\langfe2057\cgrid\langnp2057\langfenp2057 {\rtlch\fcs1 \af0 _x000d__x000a_\ltrch\fcs0 \insrsid590667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567\li567\ri0\sa240\nowidctlpar\wrapdefault\aspalpha\aspnum\faauto\adjustright\rin0\lin567\itap0\pararsid2641060 \rtlch\fcs1 \af0\afs20\alang1025 \ltrch\fcs0 \fs24\lang2057\langfe2057\cgrid\langnp2057\langfenp2057 {\rtlch\fcs1 \af0 _x000d__x000a_\ltrch\fcs0 \insrsid8409302\charrsid10492423 {\*\bkmkstart restart}#}{\rtlch\fcs1 \af0 \ltrch\fcs0 \cs15\v\cf15\insrsid8409302\charrsid10492423 NRMSG}{\rtlch\fcs1 \af0 \ltrch\fcs0 \insrsid8409302\charrsid10492423 #.\tab ##}{\rtlch\fcs1 \af0 \ltrch\fcs0 _x000d__x000a_\insrsid8409302\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5f_x000d__x000a_46dc63bc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1523316 Normal12Hanging;}}{\*\rsidtbl \rsid24658\rsid735077\rsid1523316\rsid2892074\rsid4666813\rsid6641733\rsid9636012\rsid10371150\rsid11215221\rsid12154954\rsid14424199\rsid15204470\rsid15285974\rsid15950462_x000d__x000a_\rsid16324206\rsid16662270}{\mmathPr\mmathFont34\mbrkBin0\mbrkBinSub0\msmallFrac0\mdispDef1\mlMargin0\mrMargin0\mdefJc1\mwrapIndent1440\mintLim0\mnaryLim1}{\info{\author UWIZERA Marie-Claire}{\operator UWIZERA Marie-Claire}_x000d__x000a_{\creatim\yr2018\mo3\dy15\hr14\min45}{\revtim\yr2018\mo3\dy15\hr14\min45}{\version1}{\edmins0}{\nofpages1}{\nofwords4}{\nofchars31}{\*\company European Parliament}{\nofcharsws34}{\vern57443}}{\*\xmlnstbl {\xmlns1 http://schemas.microsoft.com/office/word/2_x000d__x000a_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23316\utinl \fet0{\*\wgrffmtfilter 013f}\ilfomacatclnup0{\*\template C:\\Users\\muwizera\\AppData\\Local\\Temp\\Blank1.dot}{\*\ftnsep \ltrpar \pard\plain \ltrpar_x000d__x000a_\ql \li0\ri0\widctlpar\wrapdefault\aspalpha\aspnum\faauto\adjustright\rin0\lin0\itap0 \rtlch\fcs1 \af0\afs20\alang1025 \ltrch\fcs0 \fs24\lang2057\langfe2057\cgrid\langnp2057\langfenp2057 {\rtlch\fcs1 \af0 \ltrch\fcs0 \insrsid10371150 \chftnsep _x000d__x000a_\par }}{\*\ftnsepc \ltrpar \pard\plain \ltrpar\ql \li0\ri0\widctlpar\wrapdefault\aspalpha\aspnum\faauto\adjustright\rin0\lin0\itap0 \rtlch\fcs1 \af0\afs20\alang1025 \ltrch\fcs0 \fs24\lang2057\langfe2057\cgrid\langnp2057\langfenp2057 {\rtlch\fcs1 \af0 _x000d__x000a_\ltrch\fcs0 \insrsid10371150 \chftnsepc _x000d__x000a_\par }}{\*\aftnsep \ltrpar \pard\plain \ltrpar\ql \li0\ri0\widctlpar\wrapdefault\aspalpha\aspnum\faauto\adjustright\rin0\lin0\itap0 \rtlch\fcs1 \af0\afs20\alang1025 \ltrch\fcs0 \fs24\lang2057\langfe2057\cgrid\langnp2057\langfenp2057 {\rtlch\fcs1 \af0 _x000d__x000a_\ltrch\fcs0 \insrsid10371150 \chftnsep _x000d__x000a_\par }}{\*\aftnsepc \ltrpar \pard\plain \ltrpar\ql \li0\ri0\widctlpar\wrapdefault\aspalpha\aspnum\faauto\adjustright\rin0\lin0\itap0 \rtlch\fcs1 \af0\afs20\alang1025 \ltrch\fcs0 \fs24\lang2057\langfe2057\cgrid\langnp2057\langfenp2057 {\rtlch\fcs1 \af0 _x000d__x000a_\ltrch\fcs0 \insrsid103711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4664372 \rtlch\fcs1 \af0\afs20\alang1025 \ltrch\fcs0 \fs24\lang2057\langfe2057\cgrid\langnp2057\langfenp2057 {\rtlch\fcs1 \af0 _x000d__x000a_\ltrch\fcs0 \insrsid1523316\charrsid1525456 {\*\bkmkstart restart}[ZSUGGESTIONNR]\tab [ZSUGGESTIONTEXT]}{\rtlch\fcs1 \af0 \ltrch\fcs0 \insrsid1523316\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30_x000d__x000a_6bdd63bc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48"/>
    <w:docVar w:name="TXTLANGUE" w:val="EN"/>
    <w:docVar w:name="TXTLANGUEMIN" w:val="en"/>
    <w:docVar w:name="TXTNRPE" w:val="615.480"/>
    <w:docVar w:name="TXTNRPROC" w:val="2017/2087"/>
    <w:docVar w:name="TXTPEorAP" w:val="PE"/>
    <w:docVar w:name="TXTROUTE" w:val="AD\1148642XT.docx"/>
    <w:docVar w:name="TXTTITLE" w:val="Implementation of the Ecodesign Directive (2009/125/EC)"/>
    <w:docVar w:name="TXTVERSION" w:val="01-00"/>
  </w:docVars>
  <w:rsids>
    <w:rsidRoot w:val="00A01A07"/>
    <w:rsid w:val="00024276"/>
    <w:rsid w:val="00057C08"/>
    <w:rsid w:val="000B5FE9"/>
    <w:rsid w:val="000E4A93"/>
    <w:rsid w:val="000E7EBF"/>
    <w:rsid w:val="00104ED6"/>
    <w:rsid w:val="00140BE6"/>
    <w:rsid w:val="0016635E"/>
    <w:rsid w:val="001723D2"/>
    <w:rsid w:val="001746D0"/>
    <w:rsid w:val="0019091E"/>
    <w:rsid w:val="001D2ED9"/>
    <w:rsid w:val="001D7DD7"/>
    <w:rsid w:val="00205ED8"/>
    <w:rsid w:val="002167C8"/>
    <w:rsid w:val="00235ACE"/>
    <w:rsid w:val="00294FA6"/>
    <w:rsid w:val="002C226A"/>
    <w:rsid w:val="002E2F2E"/>
    <w:rsid w:val="002E33BF"/>
    <w:rsid w:val="00325BCB"/>
    <w:rsid w:val="00340742"/>
    <w:rsid w:val="00360667"/>
    <w:rsid w:val="00384E3A"/>
    <w:rsid w:val="00390EB2"/>
    <w:rsid w:val="0039262E"/>
    <w:rsid w:val="00396A0E"/>
    <w:rsid w:val="00397CA5"/>
    <w:rsid w:val="003C178D"/>
    <w:rsid w:val="003D3D66"/>
    <w:rsid w:val="003E2402"/>
    <w:rsid w:val="003F147C"/>
    <w:rsid w:val="00407E6D"/>
    <w:rsid w:val="00427B95"/>
    <w:rsid w:val="00455E7B"/>
    <w:rsid w:val="004A33DE"/>
    <w:rsid w:val="004C0F0E"/>
    <w:rsid w:val="004C28FB"/>
    <w:rsid w:val="00501260"/>
    <w:rsid w:val="005478DE"/>
    <w:rsid w:val="005870A7"/>
    <w:rsid w:val="0059199C"/>
    <w:rsid w:val="005955B2"/>
    <w:rsid w:val="00596841"/>
    <w:rsid w:val="005B2F11"/>
    <w:rsid w:val="005D60C6"/>
    <w:rsid w:val="00603E71"/>
    <w:rsid w:val="0064500B"/>
    <w:rsid w:val="00657A6C"/>
    <w:rsid w:val="00657AFB"/>
    <w:rsid w:val="0066212F"/>
    <w:rsid w:val="00672C8A"/>
    <w:rsid w:val="006B5A4F"/>
    <w:rsid w:val="006E41DA"/>
    <w:rsid w:val="0071763F"/>
    <w:rsid w:val="00765758"/>
    <w:rsid w:val="007D7477"/>
    <w:rsid w:val="00815900"/>
    <w:rsid w:val="00826711"/>
    <w:rsid w:val="008313E7"/>
    <w:rsid w:val="00867324"/>
    <w:rsid w:val="00880BCA"/>
    <w:rsid w:val="0088315C"/>
    <w:rsid w:val="008A32C5"/>
    <w:rsid w:val="008D220A"/>
    <w:rsid w:val="008F4BFA"/>
    <w:rsid w:val="008F7002"/>
    <w:rsid w:val="0097455C"/>
    <w:rsid w:val="009F5954"/>
    <w:rsid w:val="00A01A07"/>
    <w:rsid w:val="00A0428F"/>
    <w:rsid w:val="00A04E72"/>
    <w:rsid w:val="00A16BEA"/>
    <w:rsid w:val="00A26746"/>
    <w:rsid w:val="00A27C02"/>
    <w:rsid w:val="00A31F01"/>
    <w:rsid w:val="00A34F29"/>
    <w:rsid w:val="00A45C9A"/>
    <w:rsid w:val="00A72C35"/>
    <w:rsid w:val="00AB2279"/>
    <w:rsid w:val="00AE7219"/>
    <w:rsid w:val="00AF6DEF"/>
    <w:rsid w:val="00B218F2"/>
    <w:rsid w:val="00B362F7"/>
    <w:rsid w:val="00B44225"/>
    <w:rsid w:val="00B442EB"/>
    <w:rsid w:val="00B667B7"/>
    <w:rsid w:val="00B9760B"/>
    <w:rsid w:val="00BC464B"/>
    <w:rsid w:val="00BD1EAA"/>
    <w:rsid w:val="00BE1BB7"/>
    <w:rsid w:val="00BF6257"/>
    <w:rsid w:val="00C058D3"/>
    <w:rsid w:val="00C1232C"/>
    <w:rsid w:val="00C47056"/>
    <w:rsid w:val="00C73696"/>
    <w:rsid w:val="00C74B18"/>
    <w:rsid w:val="00CF04F0"/>
    <w:rsid w:val="00D27978"/>
    <w:rsid w:val="00D6123D"/>
    <w:rsid w:val="00D638D0"/>
    <w:rsid w:val="00D9189C"/>
    <w:rsid w:val="00DC0B92"/>
    <w:rsid w:val="00DE196D"/>
    <w:rsid w:val="00E0621B"/>
    <w:rsid w:val="00E61DF5"/>
    <w:rsid w:val="00E65CD6"/>
    <w:rsid w:val="00E7634B"/>
    <w:rsid w:val="00E856D2"/>
    <w:rsid w:val="00E97796"/>
    <w:rsid w:val="00ED2586"/>
    <w:rsid w:val="00ED4FDC"/>
    <w:rsid w:val="00EF723C"/>
    <w:rsid w:val="00F37BE9"/>
    <w:rsid w:val="00F438DD"/>
    <w:rsid w:val="00F522B6"/>
    <w:rsid w:val="00F64AFA"/>
    <w:rsid w:val="00F75F6D"/>
    <w:rsid w:val="00F8365F"/>
    <w:rsid w:val="00F97C0D"/>
    <w:rsid w:val="00FB0873"/>
    <w:rsid w:val="00FC3B59"/>
    <w:rsid w:val="00FD0D14"/>
    <w:rsid w:val="00FE4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45238"/>
  <w15:chartTrackingRefBased/>
  <w15:docId w15:val="{6145C269-EE3A-4A9E-9449-9B052A87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lang w:val="fr-FR"/>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lang w:val="fr-FR"/>
    </w:rPr>
  </w:style>
  <w:style w:type="paragraph" w:customStyle="1" w:styleId="EPLogo">
    <w:name w:val="EPLogo"/>
    <w:basedOn w:val="Normal"/>
    <w:qFormat/>
    <w:rsid w:val="00E856D2"/>
    <w:pPr>
      <w:jc w:val="right"/>
    </w:pPr>
  </w:style>
  <w:style w:type="paragraph" w:customStyle="1" w:styleId="Normal12Hanging">
    <w:name w:val="Normal12Hanging"/>
    <w:basedOn w:val="Normal12"/>
    <w:link w:val="Normal12HangingChar"/>
    <w:rsid w:val="00C73696"/>
    <w:pPr>
      <w:ind w:left="357" w:hanging="357"/>
    </w:pPr>
  </w:style>
  <w:style w:type="character" w:customStyle="1" w:styleId="Normal12HangingChar">
    <w:name w:val="Normal12Hanging Char"/>
    <w:link w:val="Normal12Hanging"/>
    <w:locked/>
    <w:rsid w:val="00C73696"/>
    <w:rPr>
      <w:sz w:val="24"/>
    </w:rPr>
  </w:style>
  <w:style w:type="paragraph" w:customStyle="1" w:styleId="Hanging12">
    <w:name w:val="Hanging 12"/>
    <w:basedOn w:val="Normal12Hanging"/>
    <w:rsid w:val="004C0F0E"/>
    <w:rPr>
      <w:szCs w:val="24"/>
    </w:rPr>
  </w:style>
  <w:style w:type="paragraph" w:customStyle="1" w:styleId="Hanging120">
    <w:name w:val="Hanging12"/>
    <w:basedOn w:val="Normal"/>
    <w:rsid w:val="004C0F0E"/>
    <w:pPr>
      <w:tabs>
        <w:tab w:val="left" w:pos="357"/>
      </w:tabs>
      <w:spacing w:after="240"/>
      <w:ind w:left="357" w:hanging="357"/>
    </w:pPr>
  </w:style>
  <w:style w:type="paragraph" w:styleId="BalloonText">
    <w:name w:val="Balloon Text"/>
    <w:basedOn w:val="Normal"/>
    <w:link w:val="BalloonTextChar"/>
    <w:rsid w:val="00ED2586"/>
    <w:rPr>
      <w:rFonts w:ascii="Segoe UI" w:hAnsi="Segoe UI" w:cs="Segoe UI"/>
      <w:sz w:val="18"/>
      <w:szCs w:val="18"/>
    </w:rPr>
  </w:style>
  <w:style w:type="character" w:customStyle="1" w:styleId="BalloonTextChar">
    <w:name w:val="Balloon Text Char"/>
    <w:basedOn w:val="DefaultParagraphFont"/>
    <w:link w:val="BalloonText"/>
    <w:rsid w:val="00ED2586"/>
    <w:rPr>
      <w:rFonts w:ascii="Segoe UI" w:hAnsi="Segoe UI" w:cs="Segoe UI"/>
      <w:sz w:val="18"/>
      <w:szCs w:val="18"/>
    </w:rPr>
  </w:style>
  <w:style w:type="character" w:styleId="CommentReference">
    <w:name w:val="annotation reference"/>
    <w:basedOn w:val="DefaultParagraphFont"/>
    <w:rsid w:val="00E7634B"/>
    <w:rPr>
      <w:sz w:val="16"/>
      <w:szCs w:val="16"/>
    </w:rPr>
  </w:style>
  <w:style w:type="paragraph" w:styleId="CommentText">
    <w:name w:val="annotation text"/>
    <w:basedOn w:val="Normal"/>
    <w:link w:val="CommentTextChar"/>
    <w:rsid w:val="00E7634B"/>
    <w:rPr>
      <w:sz w:val="20"/>
    </w:rPr>
  </w:style>
  <w:style w:type="character" w:customStyle="1" w:styleId="CommentTextChar">
    <w:name w:val="Comment Text Char"/>
    <w:basedOn w:val="DefaultParagraphFont"/>
    <w:link w:val="CommentText"/>
    <w:rsid w:val="00E7634B"/>
  </w:style>
  <w:style w:type="paragraph" w:styleId="CommentSubject">
    <w:name w:val="annotation subject"/>
    <w:basedOn w:val="CommentText"/>
    <w:next w:val="CommentText"/>
    <w:link w:val="CommentSubjectChar"/>
    <w:rsid w:val="00E7634B"/>
    <w:rPr>
      <w:b/>
      <w:bCs/>
    </w:rPr>
  </w:style>
  <w:style w:type="character" w:customStyle="1" w:styleId="CommentSubjectChar">
    <w:name w:val="Comment Subject Char"/>
    <w:basedOn w:val="CommentTextChar"/>
    <w:link w:val="CommentSubject"/>
    <w:rsid w:val="00E7634B"/>
    <w:rPr>
      <w:b/>
      <w:bCs/>
    </w:rPr>
  </w:style>
  <w:style w:type="paragraph" w:styleId="FootnoteText">
    <w:name w:val="footnote text"/>
    <w:basedOn w:val="Normal"/>
    <w:link w:val="FootnoteTextChar"/>
    <w:rsid w:val="00826711"/>
    <w:rPr>
      <w:noProof/>
      <w:sz w:val="20"/>
    </w:rPr>
  </w:style>
  <w:style w:type="character" w:customStyle="1" w:styleId="FootnoteTextChar">
    <w:name w:val="Footnote Text Char"/>
    <w:basedOn w:val="DefaultParagraphFont"/>
    <w:link w:val="FootnoteText"/>
    <w:rsid w:val="00826711"/>
    <w:rPr>
      <w:noProof/>
    </w:rPr>
  </w:style>
  <w:style w:type="character" w:styleId="FootnoteReference">
    <w:name w:val="footnote reference"/>
    <w:basedOn w:val="DefaultParagraphFont"/>
    <w:rsid w:val="00826711"/>
    <w:rPr>
      <w:vertAlign w:val="superscript"/>
    </w:rPr>
  </w:style>
  <w:style w:type="paragraph" w:customStyle="1" w:styleId="NormalTabs">
    <w:name w:val="NormalTabs"/>
    <w:basedOn w:val="Normal"/>
    <w:qFormat/>
    <w:rsid w:val="001D7DD7"/>
    <w:pPr>
      <w:tabs>
        <w:tab w:val="center" w:pos="284"/>
        <w:tab w:val="left" w:pos="426"/>
      </w:tabs>
    </w:pPr>
    <w:rPr>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7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1955</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UWIZERA Marie-Claire</dc:creator>
  <cp:keywords/>
  <dc:description/>
  <cp:lastModifiedBy>FRIMSTON Edmund</cp:lastModifiedBy>
  <cp:revision>2</cp:revision>
  <cp:lastPrinted>2004-10-28T11:33:00Z</cp:lastPrinted>
  <dcterms:created xsi:type="dcterms:W3CDTF">2018-03-26T15:48:00Z</dcterms:created>
  <dcterms:modified xsi:type="dcterms:W3CDTF">2018-03-26T15:48:00Z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XT</vt:lpwstr>
  </property>
  <property fmtid="{D5CDD505-2E9C-101B-9397-08002B2CF9AE}" pid="3" name="Created with">
    <vt:lpwstr>9.2.0 Build [20171110]</vt:lpwstr>
  </property>
  <property fmtid="{D5CDD505-2E9C-101B-9397-08002B2CF9AE}" pid="4" name="LastEdited with">
    <vt:lpwstr>9.3.0 Build [20180301]</vt:lpwstr>
  </property>
  <property fmtid="{D5CDD505-2E9C-101B-9397-08002B2CF9AE}" pid="5" name="&lt;FdR&gt;">
    <vt:lpwstr>1148642</vt:lpwstr>
  </property>
  <property fmtid="{D5CDD505-2E9C-101B-9397-08002B2CF9AE}" pid="6" name="&lt;Type&gt;">
    <vt:lpwstr>AD</vt:lpwstr>
  </property>
  <property fmtid="{D5CDD505-2E9C-101B-9397-08002B2CF9AE}" pid="7" name="&lt;ModelCod&gt;">
    <vt:lpwstr>\\eiciBRUpr1\pdocep$\DocEP\DOCS\General\PA\PA_NonLeg.dot(05/07/2017 15:38:43)</vt:lpwstr>
  </property>
  <property fmtid="{D5CDD505-2E9C-101B-9397-08002B2CF9AE}" pid="8" name="&lt;ModelTra&gt;">
    <vt:lpwstr>\\eiciBRUpr1\pdocep$\DocEP\TRANSFIL\EN\PA_NonLeg.EN(01/02/2017 18:08:11)</vt:lpwstr>
  </property>
  <property fmtid="{D5CDD505-2E9C-101B-9397-08002B2CF9AE}" pid="9" name="&lt;Model&gt;">
    <vt:lpwstr>PA_NonLeg</vt:lpwstr>
  </property>
  <property fmtid="{D5CDD505-2E9C-101B-9397-08002B2CF9AE}" pid="10" name="FooterPath">
    <vt:lpwstr>AD\1148642XT.docx</vt:lpwstr>
  </property>
  <property fmtid="{D5CDD505-2E9C-101B-9397-08002B2CF9AE}" pid="11" name="PE number">
    <vt:lpwstr>615.480</vt:lpwstr>
  </property>
  <property fmtid="{D5CDD505-2E9C-101B-9397-08002B2CF9AE}" pid="12" name="SubscribeElise">
    <vt:lpwstr/>
  </property>
  <property fmtid="{D5CDD505-2E9C-101B-9397-08002B2CF9AE}" pid="13" name="SendToEpades">
    <vt:lpwstr>OK - 2018/03/22 11:45</vt:lpwstr>
  </property>
</Properties>
</file>