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2544DF" w:rsidRPr="000425AF" w:rsidTr="00BB70F1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2544DF" w:rsidRPr="000425AF" w:rsidRDefault="00CA1E2F" w:rsidP="00BB70F1">
            <w:pPr>
              <w:pStyle w:val="EPName"/>
            </w:pPr>
            <w:r w:rsidRPr="000425AF">
              <w:t>Europski parlament</w:t>
            </w:r>
          </w:p>
          <w:p w:rsidR="002544DF" w:rsidRPr="000425AF" w:rsidRDefault="00EF04F0" w:rsidP="00EF04F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425AF">
              <w:t>2014-2019</w:t>
            </w:r>
          </w:p>
        </w:tc>
        <w:tc>
          <w:tcPr>
            <w:tcW w:w="2268" w:type="dxa"/>
            <w:shd w:val="clear" w:color="auto" w:fill="auto"/>
          </w:tcPr>
          <w:p w:rsidR="002544DF" w:rsidRPr="000425AF" w:rsidRDefault="005F044B" w:rsidP="00BB70F1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3537C" w:rsidRPr="000425AF" w:rsidRDefault="00E3537C" w:rsidP="00E3537C">
      <w:pPr>
        <w:pStyle w:val="LineTop"/>
      </w:pPr>
    </w:p>
    <w:p w:rsidR="00E3537C" w:rsidRPr="000425AF" w:rsidRDefault="00E3537C" w:rsidP="00E3537C">
      <w:pPr>
        <w:pStyle w:val="ZCommittee"/>
      </w:pPr>
      <w:r w:rsidRPr="000425AF">
        <w:rPr>
          <w:rStyle w:val="HideTWBExt"/>
          <w:noProof w:val="0"/>
        </w:rPr>
        <w:t>&lt;</w:t>
      </w:r>
      <w:r w:rsidRPr="000425AF">
        <w:rPr>
          <w:rStyle w:val="HideTWBExt"/>
          <w:i w:val="0"/>
          <w:noProof w:val="0"/>
        </w:rPr>
        <w:t>Commission</w:t>
      </w:r>
      <w:r w:rsidRPr="000425AF">
        <w:rPr>
          <w:rStyle w:val="HideTWBExt"/>
          <w:noProof w:val="0"/>
        </w:rPr>
        <w:t>&gt;</w:t>
      </w:r>
      <w:r w:rsidRPr="000425AF">
        <w:rPr>
          <w:rStyle w:val="HideTWBInt"/>
        </w:rPr>
        <w:t>{AFCO}</w:t>
      </w:r>
      <w:r w:rsidRPr="000425AF">
        <w:t>Odbor za ustavna</w:t>
      </w:r>
      <w:bookmarkStart w:id="0" w:name="_GoBack"/>
      <w:bookmarkEnd w:id="0"/>
      <w:r w:rsidRPr="000425AF">
        <w:t xml:space="preserve"> pitanja</w:t>
      </w:r>
      <w:r w:rsidRPr="000425AF">
        <w:rPr>
          <w:rStyle w:val="HideTWBExt"/>
          <w:noProof w:val="0"/>
        </w:rPr>
        <w:t>&lt;/</w:t>
      </w:r>
      <w:r w:rsidRPr="000425AF">
        <w:rPr>
          <w:rStyle w:val="HideTWBExt"/>
          <w:i w:val="0"/>
          <w:noProof w:val="0"/>
        </w:rPr>
        <w:t>Commission</w:t>
      </w:r>
      <w:r w:rsidRPr="000425AF">
        <w:rPr>
          <w:rStyle w:val="HideTWBExt"/>
          <w:noProof w:val="0"/>
        </w:rPr>
        <w:t>&gt;</w:t>
      </w:r>
    </w:p>
    <w:p w:rsidR="00E3537C" w:rsidRPr="000425AF" w:rsidRDefault="00E3537C" w:rsidP="00E3537C">
      <w:pPr>
        <w:pStyle w:val="LineBottom"/>
      </w:pPr>
    </w:p>
    <w:p w:rsidR="00100069" w:rsidRPr="000425AF" w:rsidRDefault="00100069">
      <w:pPr>
        <w:pStyle w:val="RefProc"/>
      </w:pPr>
      <w:r w:rsidRPr="000425AF">
        <w:rPr>
          <w:rStyle w:val="HideTWBExt"/>
          <w:b w:val="0"/>
          <w:noProof w:val="0"/>
        </w:rPr>
        <w:t>&lt;</w:t>
      </w:r>
      <w:r w:rsidRPr="000425AF">
        <w:rPr>
          <w:rStyle w:val="HideTWBExt"/>
          <w:b w:val="0"/>
          <w:caps w:val="0"/>
          <w:noProof w:val="0"/>
        </w:rPr>
        <w:t>RefProc</w:t>
      </w:r>
      <w:r w:rsidRPr="000425AF">
        <w:rPr>
          <w:rStyle w:val="HideTWBExt"/>
          <w:b w:val="0"/>
          <w:noProof w:val="0"/>
        </w:rPr>
        <w:t>&gt;</w:t>
      </w:r>
      <w:r w:rsidRPr="000425AF">
        <w:t>2017/2037</w:t>
      </w:r>
      <w:r w:rsidRPr="000425AF">
        <w:rPr>
          <w:rStyle w:val="HideTWBExt"/>
          <w:b w:val="0"/>
          <w:noProof w:val="0"/>
        </w:rPr>
        <w:t>&lt;/</w:t>
      </w:r>
      <w:r w:rsidRPr="000425AF">
        <w:rPr>
          <w:rStyle w:val="HideTWBExt"/>
          <w:b w:val="0"/>
          <w:caps w:val="0"/>
          <w:noProof w:val="0"/>
        </w:rPr>
        <w:t>RefProc</w:t>
      </w:r>
      <w:r w:rsidRPr="000425AF">
        <w:rPr>
          <w:rStyle w:val="HideTWBExt"/>
          <w:b w:val="0"/>
          <w:noProof w:val="0"/>
        </w:rPr>
        <w:t>&gt;&lt;</w:t>
      </w:r>
      <w:r w:rsidRPr="000425AF">
        <w:rPr>
          <w:rStyle w:val="HideTWBExt"/>
          <w:b w:val="0"/>
          <w:caps w:val="0"/>
          <w:noProof w:val="0"/>
        </w:rPr>
        <w:t>RefTypeProc</w:t>
      </w:r>
      <w:r w:rsidRPr="000425AF">
        <w:rPr>
          <w:rStyle w:val="HideTWBExt"/>
          <w:b w:val="0"/>
          <w:noProof w:val="0"/>
        </w:rPr>
        <w:t>&gt;</w:t>
      </w:r>
      <w:r w:rsidRPr="000425AF">
        <w:t>(INI)</w:t>
      </w:r>
      <w:r w:rsidRPr="000425AF">
        <w:rPr>
          <w:rStyle w:val="HideTWBExt"/>
          <w:b w:val="0"/>
          <w:noProof w:val="0"/>
        </w:rPr>
        <w:t>&lt;/</w:t>
      </w:r>
      <w:r w:rsidRPr="000425AF">
        <w:rPr>
          <w:rStyle w:val="HideTWBExt"/>
          <w:b w:val="0"/>
          <w:caps w:val="0"/>
          <w:noProof w:val="0"/>
        </w:rPr>
        <w:t>RefTypeProc</w:t>
      </w:r>
      <w:r w:rsidRPr="000425AF">
        <w:rPr>
          <w:rStyle w:val="HideTWBExt"/>
          <w:b w:val="0"/>
          <w:noProof w:val="0"/>
        </w:rPr>
        <w:t>&gt;</w:t>
      </w:r>
    </w:p>
    <w:p w:rsidR="00100069" w:rsidRPr="000425AF" w:rsidRDefault="00100069">
      <w:pPr>
        <w:pStyle w:val="ZDate"/>
      </w:pPr>
      <w:r w:rsidRPr="000425AF">
        <w:rPr>
          <w:rStyle w:val="HideTWBExt"/>
          <w:noProof w:val="0"/>
        </w:rPr>
        <w:t>&lt;Date&gt;</w:t>
      </w:r>
      <w:r w:rsidRPr="000425AF">
        <w:rPr>
          <w:rStyle w:val="HideTWBInt"/>
        </w:rPr>
        <w:t>{19/02/2018}</w:t>
      </w:r>
      <w:r w:rsidRPr="000425AF">
        <w:t>19.2.2018</w:t>
      </w:r>
      <w:r w:rsidRPr="000425AF">
        <w:rPr>
          <w:rStyle w:val="HideTWBExt"/>
          <w:noProof w:val="0"/>
        </w:rPr>
        <w:t>&lt;/Date&gt;</w:t>
      </w:r>
    </w:p>
    <w:p w:rsidR="00100069" w:rsidRPr="000425AF" w:rsidRDefault="00100069">
      <w:pPr>
        <w:pStyle w:val="TypeDoc"/>
      </w:pPr>
      <w:r w:rsidRPr="000425AF">
        <w:rPr>
          <w:rStyle w:val="HideTWBExt"/>
          <w:b w:val="0"/>
          <w:noProof w:val="0"/>
        </w:rPr>
        <w:t>&lt;TitreType&gt;</w:t>
      </w:r>
      <w:r w:rsidRPr="000425AF">
        <w:t>NACRT IZVJEŠĆA</w:t>
      </w:r>
      <w:r w:rsidRPr="000425AF">
        <w:rPr>
          <w:rStyle w:val="HideTWBExt"/>
          <w:b w:val="0"/>
          <w:noProof w:val="0"/>
        </w:rPr>
        <w:t>&lt;/TitreType&gt;</w:t>
      </w:r>
    </w:p>
    <w:p w:rsidR="00100069" w:rsidRPr="000425AF" w:rsidRDefault="00100069">
      <w:pPr>
        <w:pStyle w:val="CoverNormal"/>
      </w:pPr>
      <w:r w:rsidRPr="000425AF">
        <w:rPr>
          <w:rStyle w:val="HideTWBExt"/>
          <w:noProof w:val="0"/>
        </w:rPr>
        <w:t>&lt;Titre&gt;</w:t>
      </w:r>
      <w:r w:rsidRPr="000425AF">
        <w:t>o ulozi gradova u institucionalnom okviru Unije</w:t>
      </w:r>
      <w:r w:rsidRPr="000425AF">
        <w:rPr>
          <w:rStyle w:val="HideTWBExt"/>
          <w:noProof w:val="0"/>
        </w:rPr>
        <w:t>&lt;/Titre&gt;</w:t>
      </w:r>
    </w:p>
    <w:p w:rsidR="00100069" w:rsidRPr="000425AF" w:rsidRDefault="00100069">
      <w:pPr>
        <w:pStyle w:val="Cover24"/>
      </w:pPr>
      <w:r w:rsidRPr="000425AF">
        <w:rPr>
          <w:rStyle w:val="HideTWBExt"/>
          <w:noProof w:val="0"/>
        </w:rPr>
        <w:t>&lt;DocRef&gt;</w:t>
      </w:r>
      <w:r w:rsidRPr="000425AF">
        <w:t>(2017/2037(INI))</w:t>
      </w:r>
      <w:r w:rsidRPr="000425AF">
        <w:rPr>
          <w:rStyle w:val="HideTWBExt"/>
          <w:noProof w:val="0"/>
        </w:rPr>
        <w:t>&lt;/DocRef&gt;</w:t>
      </w:r>
    </w:p>
    <w:p w:rsidR="00100069" w:rsidRPr="000425AF" w:rsidRDefault="00100069">
      <w:pPr>
        <w:pStyle w:val="Cover24"/>
      </w:pPr>
      <w:r w:rsidRPr="000425AF">
        <w:rPr>
          <w:rStyle w:val="HideTWBExt"/>
          <w:noProof w:val="0"/>
        </w:rPr>
        <w:t>&lt;Commission&gt;</w:t>
      </w:r>
      <w:r w:rsidRPr="000425AF">
        <w:rPr>
          <w:rStyle w:val="HideTWBInt"/>
        </w:rPr>
        <w:t>{AFCO}</w:t>
      </w:r>
      <w:r w:rsidRPr="000425AF">
        <w:t>Odbor za ustavna pitanja</w:t>
      </w:r>
      <w:r w:rsidRPr="000425AF">
        <w:rPr>
          <w:rStyle w:val="HideTWBExt"/>
          <w:noProof w:val="0"/>
        </w:rPr>
        <w:t>&lt;/Commission&gt;</w:t>
      </w:r>
    </w:p>
    <w:p w:rsidR="00EF04F0" w:rsidRPr="000425AF" w:rsidRDefault="00EF04F0" w:rsidP="00EF04F0">
      <w:pPr>
        <w:pStyle w:val="Cover24"/>
        <w:rPr>
          <w:rStyle w:val="HideTWBExt"/>
          <w:noProof w:val="0"/>
          <w:vanish w:val="0"/>
        </w:rPr>
      </w:pPr>
      <w:r w:rsidRPr="000425AF">
        <w:t xml:space="preserve">Izvjestitelj: </w:t>
      </w:r>
      <w:r w:rsidRPr="000425AF">
        <w:rPr>
          <w:rStyle w:val="HideTWBExt"/>
          <w:noProof w:val="0"/>
        </w:rPr>
        <w:t>&lt;Depute&gt;</w:t>
      </w:r>
      <w:r w:rsidRPr="000425AF">
        <w:t>Kazimierz Michał Ujazdowski</w:t>
      </w:r>
      <w:r w:rsidRPr="000425AF">
        <w:rPr>
          <w:rStyle w:val="HideTWBExt"/>
          <w:noProof w:val="0"/>
        </w:rPr>
        <w:t>&lt;/Depute&gt;</w:t>
      </w:r>
    </w:p>
    <w:p w:rsidR="000F1C74" w:rsidRPr="000425AF" w:rsidRDefault="000F1C74" w:rsidP="00EF04F0">
      <w:pPr>
        <w:pStyle w:val="CoverNormal"/>
        <w:rPr>
          <w:snapToGrid w:val="0"/>
          <w:szCs w:val="24"/>
        </w:rPr>
      </w:pPr>
    </w:p>
    <w:p w:rsidR="00EF04F0" w:rsidRPr="000425AF" w:rsidRDefault="000F1C74" w:rsidP="00EF04F0">
      <w:pPr>
        <w:pStyle w:val="CoverNormal"/>
        <w:rPr>
          <w:snapToGrid w:val="0"/>
          <w:szCs w:val="24"/>
        </w:rPr>
      </w:pPr>
      <w:r w:rsidRPr="000425AF">
        <w:rPr>
          <w:snapToGrid w:val="0"/>
          <w:szCs w:val="24"/>
        </w:rPr>
        <w:t>Izvjestitelj za mišljenje (*):</w:t>
      </w:r>
    </w:p>
    <w:p w:rsidR="00EF04F0" w:rsidRPr="000425AF" w:rsidRDefault="00EF04F0" w:rsidP="00EF04F0">
      <w:pPr>
        <w:pStyle w:val="CoverNormal"/>
        <w:rPr>
          <w:snapToGrid w:val="0"/>
          <w:szCs w:val="24"/>
        </w:rPr>
      </w:pPr>
    </w:p>
    <w:p w:rsidR="00EF04F0" w:rsidRPr="000425AF" w:rsidRDefault="00EF04F0" w:rsidP="00EF04F0">
      <w:pPr>
        <w:pStyle w:val="CoverNormal"/>
        <w:rPr>
          <w:snapToGrid w:val="0"/>
          <w:szCs w:val="24"/>
        </w:rPr>
      </w:pPr>
    </w:p>
    <w:p w:rsidR="00EF04F0" w:rsidRPr="000425AF" w:rsidRDefault="00EF04F0" w:rsidP="00EF04F0">
      <w:pPr>
        <w:pStyle w:val="CoverNormal"/>
      </w:pPr>
      <w:r w:rsidRPr="000425AF">
        <w:rPr>
          <w:snapToGrid w:val="0"/>
          <w:szCs w:val="24"/>
        </w:rPr>
        <w:t>(*)</w:t>
      </w:r>
      <w:r w:rsidRPr="000425AF">
        <w:rPr>
          <w:snapToGrid w:val="0"/>
          <w:szCs w:val="24"/>
        </w:rPr>
        <w:tab/>
        <w:t>Pridruženi odbor – članak 54. Poslovnika</w:t>
      </w:r>
    </w:p>
    <w:p w:rsidR="00EF04F0" w:rsidRPr="000425AF" w:rsidRDefault="00EF04F0">
      <w:pPr>
        <w:pStyle w:val="Cover24"/>
      </w:pPr>
    </w:p>
    <w:p w:rsidR="00E155CA" w:rsidRPr="000425AF" w:rsidRDefault="00E155CA" w:rsidP="00E155CA">
      <w:pPr>
        <w:pStyle w:val="CoverNormal"/>
      </w:pPr>
    </w:p>
    <w:p w:rsidR="00100069" w:rsidRPr="000425AF" w:rsidRDefault="00100069" w:rsidP="002544DF">
      <w:pPr>
        <w:widowControl/>
        <w:tabs>
          <w:tab w:val="center" w:pos="4677"/>
        </w:tabs>
      </w:pPr>
      <w:r w:rsidRPr="000425AF">
        <w:br w:type="page"/>
      </w:r>
    </w:p>
    <w:p w:rsidR="00100069" w:rsidRPr="000425AF" w:rsidRDefault="00CA1E2F" w:rsidP="002544DF">
      <w:pPr>
        <w:widowControl/>
        <w:tabs>
          <w:tab w:val="center" w:pos="4677"/>
        </w:tabs>
      </w:pPr>
      <w:r w:rsidRPr="000425AF">
        <w:t>PR_INI</w:t>
      </w:r>
    </w:p>
    <w:p w:rsidR="00100069" w:rsidRPr="000425AF" w:rsidRDefault="00CA1E2F">
      <w:pPr>
        <w:pStyle w:val="TOCHeading"/>
      </w:pPr>
      <w:r w:rsidRPr="000425AF">
        <w:t>SADRŽAJ</w:t>
      </w:r>
    </w:p>
    <w:p w:rsidR="00100069" w:rsidRPr="000425AF" w:rsidRDefault="00CA1E2F">
      <w:pPr>
        <w:pStyle w:val="TOCPage"/>
      </w:pPr>
      <w:r w:rsidRPr="000425AF">
        <w:t>Stranica</w:t>
      </w:r>
    </w:p>
    <w:p w:rsidR="005F044B" w:rsidRDefault="002544DF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0425AF">
        <w:rPr>
          <w:b/>
        </w:rPr>
        <w:fldChar w:fldCharType="begin"/>
      </w:r>
      <w:r w:rsidRPr="000425AF">
        <w:rPr>
          <w:b/>
        </w:rPr>
        <w:instrText xml:space="preserve"> TOC \t "PageHeading</w:instrText>
      </w:r>
      <w:r w:rsidR="005F044B">
        <w:rPr>
          <w:b/>
        </w:rPr>
        <w:instrText>;</w:instrText>
      </w:r>
      <w:r w:rsidRPr="000425AF">
        <w:rPr>
          <w:b/>
        </w:rPr>
        <w:instrText xml:space="preserve">1" </w:instrText>
      </w:r>
      <w:r w:rsidRPr="000425AF">
        <w:rPr>
          <w:b/>
        </w:rPr>
        <w:fldChar w:fldCharType="separate"/>
      </w:r>
      <w:r w:rsidR="005F044B">
        <w:rPr>
          <w:noProof/>
        </w:rPr>
        <w:t>PRIJEDLOG REZOLUCIJE EUROPSKOG PARLAMENTA</w:t>
      </w:r>
      <w:r w:rsidR="005F044B">
        <w:rPr>
          <w:noProof/>
        </w:rPr>
        <w:tab/>
      </w:r>
      <w:r w:rsidR="005F044B">
        <w:rPr>
          <w:noProof/>
        </w:rPr>
        <w:fldChar w:fldCharType="begin"/>
      </w:r>
      <w:r w:rsidR="005F044B">
        <w:rPr>
          <w:noProof/>
        </w:rPr>
        <w:instrText xml:space="preserve"> PAGEREF _Toc507658669 \h </w:instrText>
      </w:r>
      <w:r w:rsidR="005F044B">
        <w:rPr>
          <w:noProof/>
        </w:rPr>
      </w:r>
      <w:r w:rsidR="005F044B">
        <w:rPr>
          <w:noProof/>
        </w:rPr>
        <w:fldChar w:fldCharType="separate"/>
      </w:r>
      <w:r w:rsidR="005F044B">
        <w:rPr>
          <w:noProof/>
        </w:rPr>
        <w:t>3</w:t>
      </w:r>
      <w:r w:rsidR="005F044B">
        <w:rPr>
          <w:noProof/>
        </w:rPr>
        <w:fldChar w:fldCharType="end"/>
      </w:r>
    </w:p>
    <w:p w:rsidR="00100069" w:rsidRPr="000425AF" w:rsidRDefault="002544DF" w:rsidP="00E155CA">
      <w:r w:rsidRPr="000425AF">
        <w:rPr>
          <w:b/>
        </w:rPr>
        <w:fldChar w:fldCharType="end"/>
      </w:r>
    </w:p>
    <w:p w:rsidR="00E155CA" w:rsidRPr="000425AF" w:rsidRDefault="00E155CA" w:rsidP="00E155CA"/>
    <w:p w:rsidR="00E155CA" w:rsidRPr="000425AF" w:rsidRDefault="00E155CA">
      <w:pPr>
        <w:pStyle w:val="PageHeading"/>
      </w:pPr>
    </w:p>
    <w:p w:rsidR="00100069" w:rsidRPr="000425AF" w:rsidRDefault="00100069">
      <w:pPr>
        <w:pStyle w:val="PageHeading"/>
      </w:pPr>
      <w:r w:rsidRPr="000425AF">
        <w:br w:type="page"/>
      </w:r>
      <w:bookmarkStart w:id="1" w:name="_Toc507658669"/>
      <w:r w:rsidRPr="000425AF">
        <w:lastRenderedPageBreak/>
        <w:t>PRIJEDLOG REZOLUCIJE EUROPSKOG PARLAMENTA</w:t>
      </w:r>
      <w:bookmarkEnd w:id="1"/>
    </w:p>
    <w:p w:rsidR="00100069" w:rsidRPr="000425AF" w:rsidRDefault="00EF04F0">
      <w:pPr>
        <w:pStyle w:val="NormalBold"/>
      </w:pPr>
      <w:r w:rsidRPr="000425AF">
        <w:t>o ulozi gradova u institucionalnom okviru Unije</w:t>
      </w:r>
    </w:p>
    <w:p w:rsidR="00100069" w:rsidRPr="000425AF" w:rsidRDefault="00CA1E2F">
      <w:pPr>
        <w:pStyle w:val="Normal12Bold"/>
      </w:pPr>
      <w:r w:rsidRPr="000425AF">
        <w:t>(</w:t>
      </w:r>
      <w:bookmarkStart w:id="2" w:name="DocEPLastVariable"/>
      <w:bookmarkEnd w:id="2"/>
      <w:r w:rsidRPr="000425AF">
        <w:t>2017/2037(INI))</w:t>
      </w:r>
    </w:p>
    <w:p w:rsidR="00100069" w:rsidRPr="000425AF" w:rsidRDefault="00CA1E2F">
      <w:pPr>
        <w:pStyle w:val="Normal12"/>
      </w:pPr>
      <w:r w:rsidRPr="000425AF">
        <w:rPr>
          <w:i/>
        </w:rPr>
        <w:t>Europski parlament</w:t>
      </w:r>
      <w:r w:rsidRPr="000425AF">
        <w:t>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Ugovor o Europskoj uniji (UEU), osobito njegov članak 5. stavak 3., i Ugovor o funkcioniranju Europske unije (UFEU),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svoju Rezoluciju od 7. svibnja 2009. o utjecaju Ugovora iz Lisabona na razvoj institucionalne ravnoteže Europske unije</w:t>
      </w:r>
      <w:r w:rsidRPr="000425AF">
        <w:rPr>
          <w:shd w:val="clear" w:color="auto" w:fill="FFFFFF"/>
          <w:vertAlign w:val="superscript"/>
        </w:rPr>
        <w:footnoteReference w:id="1"/>
      </w:r>
      <w:r w:rsidRPr="000425AF">
        <w:t>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Amsterdamski pakt kojim se uspostavlja plan EU-a za gradove koji su 30. svibnja 2016. odobrili ministri EU-a odgovorni za urbana pitanja,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svoju Rezoluciju od 9. rujna 2015. o urbanoj dimenziji politika EU-a</w:t>
      </w:r>
      <w:r w:rsidRPr="000425AF">
        <w:rPr>
          <w:rFonts w:eastAsia="Calibri"/>
          <w:vertAlign w:val="superscript"/>
        </w:rPr>
        <w:footnoteReference w:id="2"/>
      </w:r>
      <w:r w:rsidRPr="000425AF">
        <w:t>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komunikaciju Komisije od 18. srpnja 2014. naslovljenu „Urbana dimenzija politika EU-a – ključne značajke Plana EU-a za gradove” (COM(2014)0490),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svoju Rezoluciju od 16. veljače 2017. o poboljšanju funkcioniranja Europske unije korištenjem potencijala Ugovora iz Lisabona</w:t>
      </w:r>
      <w:r w:rsidRPr="000425AF">
        <w:rPr>
          <w:rFonts w:eastAsia="Calibri"/>
          <w:vertAlign w:val="superscript"/>
        </w:rPr>
        <w:footnoteReference w:id="3"/>
      </w:r>
      <w:r w:rsidRPr="000425AF">
        <w:t>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svoju Rezoluciju od 16. veljače 2017. o mogućim promjenama i prilagodbama aktualnog institucijskog ustroja Europske unije</w:t>
      </w:r>
      <w:r w:rsidRPr="000425AF">
        <w:rPr>
          <w:rFonts w:eastAsia="Calibri"/>
          <w:vertAlign w:val="superscript"/>
        </w:rPr>
        <w:footnoteReference w:id="4"/>
      </w:r>
      <w:r w:rsidRPr="000425AF">
        <w:t>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zaključke Vijeća od 24. lipnja 2016. o Programu EU-a za gradove,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Povelju iz Leipziga o održivim europskim gradovima, donesenu na neformalnom sastanku ministara o urbanom razvoju i teritorijalnoj koheziji 24. i 25. svibnja 2007. u Leipzigu,</w:t>
      </w:r>
    </w:p>
    <w:p w:rsidR="00EF04F0" w:rsidRPr="000425AF" w:rsidRDefault="00EF04F0" w:rsidP="00EF04F0">
      <w:pPr>
        <w:pStyle w:val="Normal12Hanging"/>
      </w:pPr>
      <w:r w:rsidRPr="000425AF">
        <w:t>–</w:t>
      </w:r>
      <w:r w:rsidRPr="000425AF">
        <w:tab/>
        <w:t>uzimajući u obzir izvješće Komisije o stanju u europskim gradovima iz 2016.,</w:t>
      </w:r>
    </w:p>
    <w:p w:rsidR="00100069" w:rsidRPr="000425AF" w:rsidRDefault="00100069">
      <w:pPr>
        <w:pStyle w:val="Normal12Hanging"/>
      </w:pPr>
      <w:r w:rsidRPr="000425AF">
        <w:t>–</w:t>
      </w:r>
      <w:r w:rsidRPr="000425AF">
        <w:tab/>
        <w:t>uzimajući u obz</w:t>
      </w:r>
      <w:bookmarkStart w:id="3" w:name="DocEPLastPosition"/>
      <w:bookmarkEnd w:id="3"/>
      <w:r w:rsidRPr="000425AF">
        <w:t>ir članak 52. Poslovnika,</w:t>
      </w:r>
    </w:p>
    <w:p w:rsidR="00100069" w:rsidRPr="000425AF" w:rsidRDefault="00100069">
      <w:pPr>
        <w:pStyle w:val="Normal12Hanging"/>
      </w:pPr>
      <w:r w:rsidRPr="000425AF">
        <w:t>–</w:t>
      </w:r>
      <w:r w:rsidRPr="000425AF">
        <w:tab/>
        <w:t xml:space="preserve">uzimajući u obzir izvješće Odbora za ustavna pitanja </w:t>
      </w:r>
      <w:bookmarkStart w:id="4" w:name="DocEPTmp"/>
      <w:bookmarkEnd w:id="4"/>
      <w:r w:rsidRPr="000425AF">
        <w:t>i mišljenje</w:t>
      </w:r>
      <w:bookmarkStart w:id="5" w:name="DocEPTmp2"/>
      <w:bookmarkEnd w:id="5"/>
      <w:r w:rsidRPr="000425AF">
        <w:t xml:space="preserve"> Odbora za regionalni razvoj (A8-0000/2018),</w:t>
      </w:r>
    </w:p>
    <w:p w:rsidR="00EF04F0" w:rsidRPr="000425AF" w:rsidRDefault="00100069" w:rsidP="00EF04F0">
      <w:pPr>
        <w:pStyle w:val="Normal12Hanging"/>
      </w:pPr>
      <w:r w:rsidRPr="000425AF">
        <w:t>A.</w:t>
      </w:r>
      <w:r w:rsidRPr="000425AF">
        <w:tab/>
        <w:t>budući da je Ugovorom iz Maastrichta osnovan Europski odbor regija kojim se gradovima daje savjetodavna uloga u postupku donošenja odluka u EU-u;</w:t>
      </w:r>
    </w:p>
    <w:p w:rsidR="00EF04F0" w:rsidRPr="000425AF" w:rsidRDefault="00EF04F0" w:rsidP="00EF04F0">
      <w:pPr>
        <w:pStyle w:val="Normal12Hanging"/>
      </w:pPr>
      <w:r w:rsidRPr="000425AF">
        <w:lastRenderedPageBreak/>
        <w:t>B.</w:t>
      </w:r>
      <w:r w:rsidRPr="000425AF">
        <w:tab/>
        <w:t>budući da se Protokolom br. 2 Ugovora o funkcioniranju Europske unije (UFEU) o primjeni načela supsidijarnosti i proporcionalnosti daje ovlast Europskom odboru regija da, u slučaju da se načelo supsidijarnosti ili proporcionalnosti nije poštovalo, na Sudu Europske unije pokrene postupak protiv zakonodavnih akata pri čijem je donošenju Ugovorom predviđeno savjetovanje s Odborom regija;</w:t>
      </w:r>
    </w:p>
    <w:p w:rsidR="00EF04F0" w:rsidRPr="000425AF" w:rsidRDefault="00EF04F0" w:rsidP="00EF04F0">
      <w:pPr>
        <w:pStyle w:val="Normal12Hanging"/>
      </w:pPr>
      <w:r w:rsidRPr="000425AF">
        <w:t>C.</w:t>
      </w:r>
      <w:r w:rsidRPr="000425AF">
        <w:tab/>
        <w:t>budući da većina stanovništva EU-a (više od 70 %) živi u gradskim sredinama;</w:t>
      </w:r>
    </w:p>
    <w:p w:rsidR="00EF04F0" w:rsidRPr="000425AF" w:rsidRDefault="00EF04F0" w:rsidP="00EF04F0">
      <w:pPr>
        <w:pStyle w:val="Normal12Hanging"/>
      </w:pPr>
      <w:r w:rsidRPr="000425AF">
        <w:t>D.</w:t>
      </w:r>
      <w:r w:rsidRPr="000425AF">
        <w:tab/>
        <w:t>budući da se većina politika i zakonodavstva EU-a provodi na lokalnoj i regionalnoj razini, uključujući gradsku razinu;</w:t>
      </w:r>
    </w:p>
    <w:p w:rsidR="00EF04F0" w:rsidRPr="000425AF" w:rsidRDefault="00EF04F0" w:rsidP="00EF04F0">
      <w:pPr>
        <w:pStyle w:val="Normal12Hanging"/>
      </w:pPr>
      <w:r w:rsidRPr="000425AF">
        <w:t>E.</w:t>
      </w:r>
      <w:r w:rsidRPr="000425AF">
        <w:tab/>
        <w:t>budući da se institucionalna arhitektura EU-a temelji na načelu supsidijarnosti i višerazinskog upravljanja;</w:t>
      </w:r>
    </w:p>
    <w:p w:rsidR="00EF04F0" w:rsidRPr="000425AF" w:rsidRDefault="00EF04F0" w:rsidP="00EF04F0">
      <w:pPr>
        <w:pStyle w:val="Normal12Hanging"/>
      </w:pPr>
      <w:r w:rsidRPr="000425AF">
        <w:t>F.</w:t>
      </w:r>
      <w:r w:rsidRPr="000425AF">
        <w:tab/>
        <w:t>budući da se u Povelji iz Leipziga o održivim europskim gradovima koristi izraz „europski gradovi”;</w:t>
      </w:r>
    </w:p>
    <w:p w:rsidR="00EF04F0" w:rsidRPr="000425AF" w:rsidRDefault="00EF04F0" w:rsidP="00EF04F0">
      <w:pPr>
        <w:pStyle w:val="Normal12Hanging"/>
      </w:pPr>
      <w:r w:rsidRPr="000425AF">
        <w:t>G.</w:t>
      </w:r>
      <w:r w:rsidRPr="000425AF">
        <w:tab/>
        <w:t>budući da su prema Povelji iz Leipziga gradovi „vrijedna i nezamjenjiva gospodarska, društvena i kulturna dobra”, a prema jednom od glavnih zaključaka izvješća Komisije iz 2016. o gradovima, oni imaju središnju ulogu u postizanju ključnih gospodarskih, društvenih i ekoloških ciljeva EU-a;</w:t>
      </w:r>
    </w:p>
    <w:p w:rsidR="00EF04F0" w:rsidRPr="000425AF" w:rsidRDefault="00EF04F0" w:rsidP="00EF04F0">
      <w:pPr>
        <w:pStyle w:val="Normal12Hanging"/>
      </w:pPr>
      <w:r w:rsidRPr="000425AF">
        <w:t>H.</w:t>
      </w:r>
      <w:r w:rsidRPr="000425AF">
        <w:tab/>
        <w:t>budući da se Poveljom iz Leipziga priznaje obveza nadležnih ministara država članica da promiču uravnoteženu teritorijalnu organizaciju temeljenu na europskoj policentričnoj gradskoj strukturi i navodi da bi gradovi trebali biti glavni centri za razvoj urbanih regija i preuzeti odgovornost za teritorijalnu koheziju;</w:t>
      </w:r>
    </w:p>
    <w:p w:rsidR="00EF04F0" w:rsidRPr="000425AF" w:rsidRDefault="00EF04F0" w:rsidP="00EF04F0">
      <w:pPr>
        <w:pStyle w:val="Normal12Hanging"/>
      </w:pPr>
      <w:r w:rsidRPr="000425AF">
        <w:t>I.</w:t>
      </w:r>
      <w:r w:rsidRPr="000425AF">
        <w:tab/>
        <w:t>budući da plan EU-a za gradove („Amsterdamski pakt”), uz puno poštovanje načela supsidijarnosti i nadležnosti u skladu s Ugovorima EU-a, stvara platformu za suradnju između država članica, regija, gradova, Komisije, Parlamenta, savjetodavnih tijela Unije i drugih dionika u okviru partnerstva, s ciljem davanja neformalnog doprinosa oblikovanju i reviziji budućeg i postojećeg zakonodavstva EU-a;</w:t>
      </w:r>
    </w:p>
    <w:p w:rsidR="00EF04F0" w:rsidRPr="000425AF" w:rsidRDefault="00EF04F0" w:rsidP="00EF04F0">
      <w:pPr>
        <w:pStyle w:val="Normal12Hanging"/>
      </w:pPr>
      <w:r w:rsidRPr="000425AF">
        <w:t>J.</w:t>
      </w:r>
      <w:r w:rsidRPr="000425AF">
        <w:tab/>
        <w:t>budući da u područje primjene plana za gradove osobito ulazi stup o boljoj regulativi koji je usmjeren na učinkovitiju i koherentniju provedbu politika, zakonodavstva i pravnih instrumenata EU-a bez razvoja novog zakonodavstva;</w:t>
      </w:r>
    </w:p>
    <w:p w:rsidR="00EF04F0" w:rsidRPr="000425AF" w:rsidRDefault="00EF04F0" w:rsidP="00EF04F0">
      <w:pPr>
        <w:pStyle w:val="Normal12Hanging"/>
      </w:pPr>
      <w:r w:rsidRPr="000425AF">
        <w:t>K.</w:t>
      </w:r>
      <w:r w:rsidRPr="000425AF">
        <w:tab/>
        <w:t>budući da je u svojim zaključcima od 24. lipnja 2016. Vijeće pozdravilo Amsterdamski pakt i pozvalo Komisiju, države članice, lokalne i regionalne vlasti i Europski parlament, među ostalim, da poduzmu odgovarajuće mjere u tom kontekstu, te pozvalo Parlament da uzme u obzir rezultate i preporuke partnerstava slijedom smjernica glavnih direktora odgovornih za urbana pitanja u okviru dnevnih redova sastanaka relevantnih odbora tijekom kojih se razmatra relevantno novo i postojeće zakonodavstvo EU-a;</w:t>
      </w:r>
    </w:p>
    <w:p w:rsidR="00EF04F0" w:rsidRPr="000425AF" w:rsidRDefault="00EF04F0" w:rsidP="00EF04F0">
      <w:pPr>
        <w:pStyle w:val="Normal12Hanging"/>
      </w:pPr>
      <w:r w:rsidRPr="000425AF">
        <w:t>L.</w:t>
      </w:r>
      <w:r w:rsidRPr="000425AF">
        <w:tab/>
        <w:t>budući da je u samom planu za gradove predviđeno da Komisija, među ostalim, uzme u obzir rezultate i preporuke partnerstva pri izradi ili reviziji relevantnog zakonodavstva EU-a, instrumenata i inicijativa i da surađuje s gradskim vlastima i njihovim predstavničkim organizacijama pomoću raznih ponuđenih mogućnosti savjetovanja i pružanja povratnih informacija prilikom razvoja novih politika i zakonodavnih inicijativa i evaluacije postojećih strategija, politika i zakonodavstva EU-a;</w:t>
      </w:r>
    </w:p>
    <w:p w:rsidR="00EF04F0" w:rsidRPr="000425AF" w:rsidRDefault="00EF04F0" w:rsidP="00EF04F0">
      <w:pPr>
        <w:pStyle w:val="Normal12Hanging"/>
      </w:pPr>
      <w:r w:rsidRPr="000425AF">
        <w:t>M.</w:t>
      </w:r>
      <w:r w:rsidRPr="000425AF">
        <w:tab/>
        <w:t xml:space="preserve">budući da novi izazovi povezani sa sigurnošću i imigracijom te izazovi koji se odnose na kvalitetu javnih usluga, pristup čistoj i pristupačnoj energiji, prirodne katastrofe i zaštitu okoliša zahtijevaju snažniju predanost gradova pri oblikovanju i provedbi politika EU-a; </w:t>
      </w:r>
    </w:p>
    <w:p w:rsidR="00EF04F0" w:rsidRPr="000425AF" w:rsidRDefault="00EF04F0" w:rsidP="00EF04F0">
      <w:pPr>
        <w:pStyle w:val="Normal12Hanging"/>
      </w:pPr>
      <w:r w:rsidRPr="000425AF">
        <w:t>N.</w:t>
      </w:r>
      <w:r w:rsidRPr="000425AF">
        <w:tab/>
        <w:t>budući da vrijednost europskih gradova također proizlazi iz činjenice da se u gradovima nalazi veliki dio zajedničke europske kulturne baštine;</w:t>
      </w:r>
    </w:p>
    <w:p w:rsidR="00EF04F0" w:rsidRPr="000425AF" w:rsidRDefault="00EF04F0" w:rsidP="00EF04F0">
      <w:pPr>
        <w:pStyle w:val="Normal12Hanging"/>
      </w:pPr>
      <w:r w:rsidRPr="000425AF">
        <w:t>O.</w:t>
      </w:r>
      <w:r w:rsidRPr="000425AF">
        <w:tab/>
        <w:t>budući da gradovi imaju velik potencijal kao mjesta u kojima građani mogu sudjelovati u konstruktivnim raspravama za koje iskustva Odbora regija u organiziranju dijaloga s građanima u suradnji s lokalnim i regionalnim partnerima pružaju optimistične izglede;</w:t>
      </w:r>
    </w:p>
    <w:p w:rsidR="00EF04F0" w:rsidRPr="000425AF" w:rsidRDefault="00EF04F0" w:rsidP="00EF04F0">
      <w:pPr>
        <w:pStyle w:val="Normal12Hanging"/>
      </w:pPr>
      <w:r w:rsidRPr="000425AF">
        <w:t>P.</w:t>
      </w:r>
      <w:r w:rsidRPr="000425AF">
        <w:tab/>
        <w:t>budući da će povećanje sudjelovanja gradova u politikama EU-a pridonijeti stvaranju jačih i sposobnijih institucija i poboljšanju kvalitete javnih usluga na razini cijelog EU-a te stoga unapređenju prava građana na život u gradu, kao značajan dio prava na dobru javnu upravu;</w:t>
      </w:r>
    </w:p>
    <w:p w:rsidR="00EF04F0" w:rsidRPr="000425AF" w:rsidRDefault="00EF04F0" w:rsidP="00EF04F0">
      <w:pPr>
        <w:pStyle w:val="Normal12Hanging"/>
      </w:pPr>
      <w:r w:rsidRPr="000425AF">
        <w:t>Q.</w:t>
      </w:r>
      <w:r w:rsidRPr="000425AF">
        <w:tab/>
        <w:t>budući da su trenutačni oblici sudjelovanja gradova i dalje nezadovoljavajući s gledišta željenog učinka na oblikovanje i provedbu politika i zakonodavstva EU-a;</w:t>
      </w:r>
    </w:p>
    <w:p w:rsidR="00EF04F0" w:rsidRPr="000425AF" w:rsidRDefault="00EF04F0" w:rsidP="00EF04F0">
      <w:pPr>
        <w:pStyle w:val="Normal12Hanging"/>
      </w:pPr>
      <w:r w:rsidRPr="000425AF">
        <w:t>1.</w:t>
      </w:r>
      <w:r w:rsidRPr="000425AF">
        <w:tab/>
        <w:t>napominje da ne postoji nikakva pravna osnova u Ugovorima koja omogućuje gradovima da službeno sudjeluju u donošenju odluka na razini EU-a; smatra, međutim, da trenutačni institucionalni ustroj omogućava poticanje razvoja platformi za suradnju među gradovima, te između gradova i tijela nadležnih za donošenje odluka na nacionalnoj razini i na razini EU-a;</w:t>
      </w:r>
    </w:p>
    <w:p w:rsidR="00EF04F0" w:rsidRPr="000425AF" w:rsidRDefault="00EF04F0" w:rsidP="00EF04F0">
      <w:pPr>
        <w:pStyle w:val="Normal12Hanging"/>
      </w:pPr>
      <w:r w:rsidRPr="000425AF">
        <w:t>2.</w:t>
      </w:r>
      <w:r w:rsidRPr="000425AF">
        <w:tab/>
        <w:t>podsjeća da na razini sekundarnog zakonodavstva gradovi imaju određenu ulogu u provedbi određenih politika i instrumenata, kao na primjer u području europskih strukturnih i investicijskih fondova;</w:t>
      </w:r>
    </w:p>
    <w:p w:rsidR="00EF04F0" w:rsidRPr="000425AF" w:rsidRDefault="00EF04F0" w:rsidP="00EF04F0">
      <w:pPr>
        <w:pStyle w:val="Normal12Hanging"/>
      </w:pPr>
      <w:r w:rsidRPr="000425AF">
        <w:t>3.</w:t>
      </w:r>
      <w:r w:rsidRPr="000425AF">
        <w:tab/>
        <w:t>smatra da je potrebno nadograditi postojeći ustroj EU-a i ocijeniti nedavne razvoje događaja, kako bi se s obzirom na načelo supsidijarnosti povećala uključenost gradova u donošenje odluka i institucijske strukture EU-a te ojačao demokratski legitimitet i odgovornost u duhu Ugovorâ, štiteći istovremeno transparentnost u politici i donošenju odluka;</w:t>
      </w:r>
    </w:p>
    <w:p w:rsidR="00EF04F0" w:rsidRPr="000425AF" w:rsidRDefault="00EF04F0" w:rsidP="00EF04F0">
      <w:pPr>
        <w:pStyle w:val="Normal12Hanging"/>
      </w:pPr>
      <w:r w:rsidRPr="000425AF">
        <w:t>4.</w:t>
      </w:r>
      <w:r w:rsidRPr="000425AF">
        <w:tab/>
        <w:t>preporučuje jaču zastupljenost gradova unutar trenutnih struktura, kao i veću ulogu gradova u Odboru regija;</w:t>
      </w:r>
    </w:p>
    <w:p w:rsidR="00EF04F0" w:rsidRPr="000425AF" w:rsidRDefault="00EF04F0" w:rsidP="00EF04F0">
      <w:pPr>
        <w:pStyle w:val="Normal12Hanging"/>
      </w:pPr>
      <w:r w:rsidRPr="000425AF">
        <w:t>5.</w:t>
      </w:r>
      <w:r w:rsidRPr="000425AF">
        <w:tab/>
        <w:t>zagovara konsolidaciju sudjelovanja udruženja koja zastupaju interese lokalnih vlasti i gradova u oblikovanju politike, poput mreže Eurocities i Vijeća europskih općina i regija te smatra da bi takva udruženja trebala postati stalni savjetnici u pogledu politika EU-a;</w:t>
      </w:r>
    </w:p>
    <w:p w:rsidR="00EF04F0" w:rsidRPr="000425AF" w:rsidRDefault="00EF04F0" w:rsidP="00EF04F0">
      <w:pPr>
        <w:pStyle w:val="Normal12Hanging"/>
      </w:pPr>
      <w:r w:rsidRPr="000425AF">
        <w:t>6.</w:t>
      </w:r>
      <w:r w:rsidRPr="000425AF">
        <w:tab/>
        <w:t>potiče Vijeće da razmisli o sazivanju vlastitih sastanaka posebno posvećenih urbanim pitanjima; poziva na to da se gradovima i regijama omogući pristup radnim skupinama Vijeća, kako bi mogli pratiti i bolje doprinijeti radu Vijeća u područjima koja utječu na njih i njihove nadležnosti;</w:t>
      </w:r>
    </w:p>
    <w:p w:rsidR="00EF04F0" w:rsidRPr="000425AF" w:rsidRDefault="00EF04F0" w:rsidP="00EF04F0">
      <w:pPr>
        <w:pStyle w:val="Normal12Hanging"/>
      </w:pPr>
      <w:r w:rsidRPr="000425AF">
        <w:t>7.</w:t>
      </w:r>
      <w:r w:rsidRPr="000425AF">
        <w:tab/>
        <w:t>smatra da gradovi nisu samo puke strukture javnog upravljanja pod demokratskom kontrolom te da su urbana središta potencijalni forumi za javne rasprave, prijenos znanja i oblikovanje političkog prostora u EU-u;</w:t>
      </w:r>
    </w:p>
    <w:p w:rsidR="00EF04F0" w:rsidRPr="000425AF" w:rsidRDefault="00EF04F0" w:rsidP="00EF04F0">
      <w:pPr>
        <w:pStyle w:val="Normal12Hanging"/>
      </w:pPr>
      <w:r w:rsidRPr="000425AF">
        <w:t>8.</w:t>
      </w:r>
      <w:r w:rsidRPr="000425AF">
        <w:tab/>
        <w:t>tvrdi da gradove treba prepoznati kao centre koji imaju pozitivnu ulogu u razvoju strategija Europske unije i koji pridonose jačanju sustava višerazinskog upravljanja Unije što ima praktične posljedice na institucionalni okvir u procesu donošenja odluka EU-a odozdo prema gore ili odozgo prema dolje;</w:t>
      </w:r>
    </w:p>
    <w:p w:rsidR="00EF04F0" w:rsidRPr="000425AF" w:rsidRDefault="00EF04F0" w:rsidP="00EF04F0">
      <w:pPr>
        <w:pStyle w:val="Normal12Hanging"/>
      </w:pPr>
      <w:r w:rsidRPr="000425AF">
        <w:t>9.</w:t>
      </w:r>
      <w:r w:rsidRPr="000425AF">
        <w:tab/>
        <w:t>smatra da gradove ne bi trebali predstavljati samo njihovi službeni predstavnici koji sudjeluju u strukturama upravljanja i savjetovanja te da gradovi, a ne samo glavni gradovi država i regija, trebaju postati centri za raspravu o budućnosti Unije i njezinih politika;</w:t>
      </w:r>
    </w:p>
    <w:p w:rsidR="00EF04F0" w:rsidRPr="000425AF" w:rsidRDefault="00EF04F0" w:rsidP="00EF04F0">
      <w:pPr>
        <w:pStyle w:val="Normal12Hanging"/>
      </w:pPr>
      <w:r w:rsidRPr="000425AF">
        <w:t>10.</w:t>
      </w:r>
      <w:r w:rsidRPr="000425AF">
        <w:tab/>
        <w:t>preporuča da se iskoristi potencijal gradova EU-a za potrebe oblikovanja i provedbe politika EU-a pomoću rasprava i savjetovanja u područjima izvan urbane politike u užem smislu;</w:t>
      </w:r>
    </w:p>
    <w:p w:rsidR="00EF04F0" w:rsidRPr="000425AF" w:rsidRDefault="00EF04F0" w:rsidP="00EF04F0">
      <w:pPr>
        <w:pStyle w:val="Normal12Hanging"/>
      </w:pPr>
      <w:r w:rsidRPr="000425AF">
        <w:t>11.</w:t>
      </w:r>
      <w:r w:rsidRPr="000425AF">
        <w:tab/>
        <w:t>ustraje u tome da će takav cilj biti ostvaren samo ako se rasprave budu održavale u gradskim područjima izvan nacionalnih i regionalnih glavnih gradova, što bi građanima koji žive u blizini olakšalo pristup forumima;</w:t>
      </w:r>
    </w:p>
    <w:p w:rsidR="00EF04F0" w:rsidRPr="000425AF" w:rsidRDefault="00EF04F0" w:rsidP="00EF04F0">
      <w:pPr>
        <w:pStyle w:val="Normal12Hanging"/>
      </w:pPr>
      <w:r w:rsidRPr="000425AF">
        <w:t>12.</w:t>
      </w:r>
      <w:r w:rsidRPr="000425AF">
        <w:tab/>
        <w:t>smatra da su Parlament i Odbor regija, kao tijela koja postavljaju pitanja koja su polazna točka za rasprave i savjetovanja te donose zaključke utemeljene na glasovima, mišljenjima i prikupljenim projektima, prirodni promotori tog procesa;</w:t>
      </w:r>
    </w:p>
    <w:p w:rsidR="00EF04F0" w:rsidRPr="000425AF" w:rsidRDefault="00EF04F0" w:rsidP="00EF04F0">
      <w:pPr>
        <w:pStyle w:val="Normal12Hanging"/>
      </w:pPr>
      <w:r w:rsidRPr="000425AF">
        <w:t>13.</w:t>
      </w:r>
      <w:r w:rsidRPr="000425AF">
        <w:tab/>
        <w:t>predlaže da taj proces ostvare Parlament i Odbor regija u suradnji s onim europskim gradskim vijećima koja su priznata kao forumi za europsku raspravu i da se ti forumi, u bliskoj suradnji s državama članicama, uspostave u gradovima s utjecajem na najmanje milijun stanovnika kako bi se osiguralo najveće moguće sudjelovanje;</w:t>
      </w:r>
    </w:p>
    <w:p w:rsidR="00EF04F0" w:rsidRPr="000425AF" w:rsidRDefault="00EF04F0" w:rsidP="00EF04F0">
      <w:pPr>
        <w:pStyle w:val="Normal12Hanging"/>
      </w:pPr>
      <w:r w:rsidRPr="000425AF">
        <w:t>14.</w:t>
      </w:r>
      <w:r w:rsidRPr="000425AF">
        <w:tab/>
        <w:t>predlaže da vijeća gradova koji su priznati kao forumi za europsku raspravu budu odgovorna da se lokalnim sveučilištima, medijima, društvenim organizacijama i građanima s opsežnim profesionalnim i stručnim iskustvom osigura slobodan i otvoren pristup te mogućnost sudjelovanja u raspravama i savjetovanjima; smatra da bi ta gradska vijeća također trebala biti odgovorna za pozivanje predstavnika sa svih razina upravljanja gradovima, uključujući manje jedinice ili partnerska vijeća iz šireg gradskog područja i da bi također bilo razborito odrediti teritorijalni opseg te obveze u sporazumu sklopljenom između tijela na razini EU-a ili nadležnih tijela i vijeća grada s europskim forumom;</w:t>
      </w:r>
    </w:p>
    <w:p w:rsidR="00EF04F0" w:rsidRPr="000425AF" w:rsidRDefault="00EF04F0" w:rsidP="00EF04F0">
      <w:pPr>
        <w:pStyle w:val="Normal12Hanging"/>
      </w:pPr>
      <w:r w:rsidRPr="000425AF">
        <w:t>15.</w:t>
      </w:r>
      <w:r w:rsidRPr="000425AF">
        <w:tab/>
        <w:t>predlaže da se uspostavi pilot-program od 54 europska foruma za raspravu (dva za svaku državu članicu) u mjestima koja nisu glavni gradovi;</w:t>
      </w:r>
    </w:p>
    <w:p w:rsidR="00EF04F0" w:rsidRPr="000425AF" w:rsidRDefault="00EF04F0" w:rsidP="00EF04F0">
      <w:pPr>
        <w:pStyle w:val="Normal12Hanging"/>
      </w:pPr>
      <w:r w:rsidRPr="000425AF">
        <w:t>16.</w:t>
      </w:r>
      <w:r w:rsidRPr="000425AF">
        <w:tab/>
        <w:t>smatra da konsolidacija položaja gradova u oblikovanju politika EU-a ne narušava povjerenje u države članice, s obzirom na to da jača višerazinsko upravljanje i supsidijarnost koji se temelje na bilateralnom povjerenju između EU-a, država članica te regionalnih i lokalnih struktura;</w:t>
      </w:r>
    </w:p>
    <w:p w:rsidR="00100069" w:rsidRPr="000425AF" w:rsidRDefault="00EF04F0" w:rsidP="00EF04F0">
      <w:pPr>
        <w:pStyle w:val="Normal12Hanging"/>
      </w:pPr>
      <w:r w:rsidRPr="000425AF">
        <w:t>17.</w:t>
      </w:r>
      <w:r w:rsidRPr="000425AF">
        <w:tab/>
        <w:t>nalaže svojem predsjedniku da ovu Rezoluciju proslijedi Vijeću, Komisiji, Odboru regija, Europskom gospodarskom i socijalnom odboru te vladama i parlamentima država članica.</w:t>
      </w:r>
    </w:p>
    <w:sectPr w:rsidR="00100069" w:rsidRPr="000425AF" w:rsidSect="00312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2F" w:rsidRPr="000425AF" w:rsidRDefault="00CA1E2F">
      <w:r w:rsidRPr="000425AF">
        <w:separator/>
      </w:r>
    </w:p>
  </w:endnote>
  <w:endnote w:type="continuationSeparator" w:id="0">
    <w:p w:rsidR="00CA1E2F" w:rsidRPr="000425AF" w:rsidRDefault="00CA1E2F">
      <w:r w:rsidRPr="000425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40" w:rsidRPr="000425AF" w:rsidRDefault="00312440" w:rsidP="00312440">
    <w:pPr>
      <w:pStyle w:val="Footer"/>
    </w:pPr>
    <w:r w:rsidRPr="000425AF">
      <w:t>PE</w:t>
    </w:r>
    <w:r w:rsidRPr="000425AF">
      <w:rPr>
        <w:rStyle w:val="HideTWBExt"/>
        <w:noProof w:val="0"/>
      </w:rPr>
      <w:t>&lt;NoPE&gt;</w:t>
    </w:r>
    <w:r w:rsidRPr="000425AF">
      <w:t>618.070</w:t>
    </w:r>
    <w:r w:rsidRPr="000425AF">
      <w:rPr>
        <w:rStyle w:val="HideTWBExt"/>
        <w:noProof w:val="0"/>
      </w:rPr>
      <w:t>&lt;/NoPE&gt;&lt;Version&gt;</w:t>
    </w:r>
    <w:r w:rsidRPr="000425AF">
      <w:t>v02-00</w:t>
    </w:r>
    <w:r w:rsidRPr="000425AF">
      <w:rPr>
        <w:rStyle w:val="HideTWBExt"/>
        <w:noProof w:val="0"/>
      </w:rPr>
      <w:t>&lt;/Version&gt;</w:t>
    </w:r>
    <w:r w:rsidRPr="000425AF">
      <w:tab/>
    </w:r>
    <w:r w:rsidRPr="000425AF">
      <w:fldChar w:fldCharType="begin"/>
    </w:r>
    <w:r w:rsidRPr="000425AF">
      <w:instrText xml:space="preserve"> PAGE  \* MERGEFORMAT </w:instrText>
    </w:r>
    <w:r w:rsidRPr="000425AF">
      <w:fldChar w:fldCharType="separate"/>
    </w:r>
    <w:r w:rsidR="005F044B">
      <w:rPr>
        <w:noProof/>
      </w:rPr>
      <w:t>2</w:t>
    </w:r>
    <w:r w:rsidRPr="000425AF">
      <w:fldChar w:fldCharType="end"/>
    </w:r>
    <w:r w:rsidRPr="000425AF">
      <w:t>/</w:t>
    </w:r>
    <w:fldSimple w:instr=" NUMPAGES  \* MERGEFORMAT ">
      <w:r w:rsidR="005F044B">
        <w:rPr>
          <w:noProof/>
        </w:rPr>
        <w:t>7</w:t>
      </w:r>
    </w:fldSimple>
    <w:r w:rsidRPr="000425AF">
      <w:tab/>
    </w:r>
    <w:r w:rsidRPr="000425AF">
      <w:rPr>
        <w:rStyle w:val="HideTWBExt"/>
        <w:noProof w:val="0"/>
      </w:rPr>
      <w:t>&lt;PathFdR&gt;</w:t>
    </w:r>
    <w:r w:rsidR="000425AF" w:rsidRPr="000425AF">
      <w:t>PR\1146246HR.docx</w:t>
    </w:r>
    <w:r w:rsidRPr="000425AF">
      <w:rPr>
        <w:rStyle w:val="HideTWBExt"/>
        <w:noProof w:val="0"/>
      </w:rPr>
      <w:t>&lt;/PathFdR&gt;</w:t>
    </w:r>
  </w:p>
  <w:p w:rsidR="00100069" w:rsidRPr="000425AF" w:rsidRDefault="00312440" w:rsidP="00312440">
    <w:pPr>
      <w:pStyle w:val="Footer2"/>
    </w:pPr>
    <w:r w:rsidRPr="000425AF"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40" w:rsidRPr="000425AF" w:rsidRDefault="00312440" w:rsidP="00312440">
    <w:pPr>
      <w:pStyle w:val="Footer"/>
    </w:pPr>
    <w:r w:rsidRPr="000425AF">
      <w:rPr>
        <w:rStyle w:val="HideTWBExt"/>
        <w:noProof w:val="0"/>
      </w:rPr>
      <w:t>&lt;PathFdR&gt;</w:t>
    </w:r>
    <w:r w:rsidR="000425AF" w:rsidRPr="000425AF">
      <w:t>PR\1146246HR.docx</w:t>
    </w:r>
    <w:r w:rsidRPr="000425AF">
      <w:rPr>
        <w:rStyle w:val="HideTWBExt"/>
        <w:noProof w:val="0"/>
      </w:rPr>
      <w:t>&lt;/PathFdR&gt;</w:t>
    </w:r>
    <w:r w:rsidRPr="000425AF">
      <w:tab/>
    </w:r>
    <w:r w:rsidRPr="000425AF">
      <w:fldChar w:fldCharType="begin"/>
    </w:r>
    <w:r w:rsidRPr="000425AF">
      <w:instrText xml:space="preserve"> PAGE  \* MERGEFORMAT </w:instrText>
    </w:r>
    <w:r w:rsidRPr="000425AF">
      <w:fldChar w:fldCharType="separate"/>
    </w:r>
    <w:r w:rsidR="005F044B">
      <w:rPr>
        <w:noProof/>
      </w:rPr>
      <w:t>3</w:t>
    </w:r>
    <w:r w:rsidRPr="000425AF">
      <w:fldChar w:fldCharType="end"/>
    </w:r>
    <w:r w:rsidRPr="000425AF">
      <w:t>/</w:t>
    </w:r>
    <w:fldSimple w:instr=" NUMPAGES  \* MERGEFORMAT ">
      <w:r w:rsidR="005F044B">
        <w:rPr>
          <w:noProof/>
        </w:rPr>
        <w:t>7</w:t>
      </w:r>
    </w:fldSimple>
    <w:r w:rsidRPr="000425AF">
      <w:tab/>
      <w:t>PE</w:t>
    </w:r>
    <w:r w:rsidRPr="000425AF">
      <w:rPr>
        <w:rStyle w:val="HideTWBExt"/>
        <w:noProof w:val="0"/>
      </w:rPr>
      <w:t>&lt;NoPE&gt;</w:t>
    </w:r>
    <w:r w:rsidRPr="000425AF">
      <w:t>618.070</w:t>
    </w:r>
    <w:r w:rsidRPr="000425AF">
      <w:rPr>
        <w:rStyle w:val="HideTWBExt"/>
        <w:noProof w:val="0"/>
      </w:rPr>
      <w:t>&lt;/NoPE&gt;&lt;Version&gt;</w:t>
    </w:r>
    <w:r w:rsidRPr="000425AF">
      <w:t>v02-00</w:t>
    </w:r>
    <w:r w:rsidRPr="000425AF">
      <w:rPr>
        <w:rStyle w:val="HideTWBExt"/>
        <w:noProof w:val="0"/>
      </w:rPr>
      <w:t>&lt;/Version&gt;</w:t>
    </w:r>
  </w:p>
  <w:p w:rsidR="00100069" w:rsidRPr="000425AF" w:rsidRDefault="00312440" w:rsidP="00312440">
    <w:pPr>
      <w:pStyle w:val="Footer2"/>
    </w:pPr>
    <w:r w:rsidRPr="000425AF"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40" w:rsidRPr="000425AF" w:rsidRDefault="00312440" w:rsidP="00312440">
    <w:pPr>
      <w:pStyle w:val="Footer"/>
    </w:pPr>
    <w:r w:rsidRPr="000425AF">
      <w:rPr>
        <w:rStyle w:val="HideTWBExt"/>
        <w:noProof w:val="0"/>
      </w:rPr>
      <w:t>&lt;PathFdR&gt;</w:t>
    </w:r>
    <w:r w:rsidR="000425AF" w:rsidRPr="000425AF">
      <w:t>PR\1146246HR.docx</w:t>
    </w:r>
    <w:r w:rsidRPr="000425AF">
      <w:rPr>
        <w:rStyle w:val="HideTWBExt"/>
        <w:noProof w:val="0"/>
      </w:rPr>
      <w:t>&lt;/PathFdR&gt;</w:t>
    </w:r>
    <w:r w:rsidRPr="000425AF">
      <w:tab/>
    </w:r>
    <w:r w:rsidRPr="000425AF">
      <w:tab/>
      <w:t>PE</w:t>
    </w:r>
    <w:r w:rsidRPr="000425AF">
      <w:rPr>
        <w:rStyle w:val="HideTWBExt"/>
        <w:noProof w:val="0"/>
      </w:rPr>
      <w:t>&lt;NoPE&gt;</w:t>
    </w:r>
    <w:r w:rsidRPr="000425AF">
      <w:t>618.070</w:t>
    </w:r>
    <w:r w:rsidRPr="000425AF">
      <w:rPr>
        <w:rStyle w:val="HideTWBExt"/>
        <w:noProof w:val="0"/>
      </w:rPr>
      <w:t>&lt;/NoPE&gt;&lt;Version&gt;</w:t>
    </w:r>
    <w:r w:rsidRPr="000425AF">
      <w:t>v02-00</w:t>
    </w:r>
    <w:r w:rsidRPr="000425AF">
      <w:rPr>
        <w:rStyle w:val="HideTWBExt"/>
        <w:noProof w:val="0"/>
      </w:rPr>
      <w:t>&lt;/Version&gt;</w:t>
    </w:r>
  </w:p>
  <w:p w:rsidR="00100069" w:rsidRPr="000425AF" w:rsidRDefault="00312440" w:rsidP="00312440">
    <w:pPr>
      <w:pStyle w:val="Footer2"/>
      <w:tabs>
        <w:tab w:val="center" w:pos="4535"/>
      </w:tabs>
    </w:pPr>
    <w:r w:rsidRPr="000425AF">
      <w:t>HR</w:t>
    </w:r>
    <w:r w:rsidRPr="000425AF">
      <w:tab/>
    </w:r>
    <w:r w:rsidRPr="000425AF">
      <w:rPr>
        <w:b w:val="0"/>
        <w:i/>
        <w:color w:val="C0C0C0"/>
        <w:sz w:val="22"/>
      </w:rPr>
      <w:t>Ujedinjena u raznolikosti</w:t>
    </w:r>
    <w:r w:rsidRPr="000425AF">
      <w:tab/>
      <w:t>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2F" w:rsidRPr="000425AF" w:rsidRDefault="00CA1E2F">
      <w:r w:rsidRPr="000425AF">
        <w:separator/>
      </w:r>
    </w:p>
  </w:footnote>
  <w:footnote w:type="continuationSeparator" w:id="0">
    <w:p w:rsidR="00CA1E2F" w:rsidRPr="000425AF" w:rsidRDefault="00CA1E2F">
      <w:r w:rsidRPr="000425AF">
        <w:continuationSeparator/>
      </w:r>
    </w:p>
  </w:footnote>
  <w:footnote w:id="1">
    <w:p w:rsidR="00EF04F0" w:rsidRPr="000425AF" w:rsidRDefault="00EF04F0" w:rsidP="00EF04F0">
      <w:pPr>
        <w:pStyle w:val="Tre"/>
        <w:tabs>
          <w:tab w:val="center" w:pos="4513"/>
          <w:tab w:val="right" w:pos="9026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0425A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425AF">
        <w:rPr>
          <w:rFonts w:ascii="Times New Roman" w:hAnsi="Times New Roman"/>
          <w:sz w:val="20"/>
          <w:szCs w:val="20"/>
        </w:rPr>
        <w:t xml:space="preserve"> SL C 212 E, 5.8.2010., str. 82.</w:t>
      </w:r>
    </w:p>
  </w:footnote>
  <w:footnote w:id="2">
    <w:p w:rsidR="00EF04F0" w:rsidRPr="000425AF" w:rsidRDefault="00EF04F0" w:rsidP="00EF04F0">
      <w:pPr>
        <w:pStyle w:val="Tre"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A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425AF">
        <w:rPr>
          <w:rFonts w:ascii="Times New Roman" w:hAnsi="Times New Roman"/>
          <w:sz w:val="20"/>
          <w:szCs w:val="20"/>
        </w:rPr>
        <w:t xml:space="preserve"> </w:t>
      </w:r>
      <w:r w:rsidRPr="000425AF">
        <w:rPr>
          <w:rFonts w:ascii="Times New Roman" w:hAnsi="Times New Roman"/>
          <w:color w:val="auto"/>
          <w:sz w:val="20"/>
          <w:szCs w:val="20"/>
        </w:rPr>
        <w:t>SL C 316, 22.9.2017., str. 124.</w:t>
      </w:r>
    </w:p>
  </w:footnote>
  <w:footnote w:id="3">
    <w:p w:rsidR="00EF04F0" w:rsidRPr="000425AF" w:rsidRDefault="00EF04F0" w:rsidP="00EF04F0">
      <w:pPr>
        <w:pStyle w:val="FootnoteText"/>
      </w:pPr>
      <w:r w:rsidRPr="000425AF">
        <w:rPr>
          <w:vertAlign w:val="superscript"/>
        </w:rPr>
        <w:footnoteRef/>
      </w:r>
      <w:r w:rsidRPr="000425AF">
        <w:t xml:space="preserve"> Usvojeni tekstovi, P8_TA(2017)0049.</w:t>
      </w:r>
    </w:p>
  </w:footnote>
  <w:footnote w:id="4">
    <w:p w:rsidR="00EF04F0" w:rsidRPr="000425AF" w:rsidRDefault="00EF04F0" w:rsidP="00EF04F0">
      <w:pPr>
        <w:pStyle w:val="FootnoteText"/>
        <w:rPr>
          <w:shd w:val="clear" w:color="auto" w:fill="FFFF00"/>
        </w:rPr>
      </w:pPr>
      <w:r w:rsidRPr="000425AF">
        <w:rPr>
          <w:vertAlign w:val="superscript"/>
        </w:rPr>
        <w:footnoteRef/>
      </w:r>
      <w:r w:rsidRPr="000425AF">
        <w:t xml:space="preserve"> Usvojeni tekstovi, P8_TA(2017)0048.</w:t>
      </w:r>
    </w:p>
    <w:p w:rsidR="00EF04F0" w:rsidRPr="000425AF" w:rsidRDefault="00EF04F0" w:rsidP="00EF04F0">
      <w:pPr>
        <w:pStyle w:val="FootnoteText"/>
      </w:pPr>
      <w:r w:rsidRPr="000425AF">
        <w:t xml:space="preserve">  </w:t>
      </w:r>
    </w:p>
    <w:p w:rsidR="00EF04F0" w:rsidRPr="000425AF" w:rsidRDefault="00EF04F0" w:rsidP="00EF04F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4B" w:rsidRDefault="005F0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4B" w:rsidRDefault="005F0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4B" w:rsidRDefault="005F0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1"/>
    <w:docVar w:name="COMKEY" w:val="AFCO"/>
    <w:docVar w:name="CopyToNetwork" w:val="-1"/>
    <w:docVar w:name="LastEditedSection" w:val=" 1"/>
    <w:docVar w:name="MOTIONMNU" w:val=" 3"/>
    <w:docVar w:name="RULEMNU" w:val=" 1"/>
    <w:docVar w:name="strDocTypeID" w:val="PR_INI"/>
    <w:docVar w:name="strSubDir" w:val="1146"/>
    <w:docVar w:name="TXTLANGUE" w:val="HR"/>
    <w:docVar w:name="TXTLANGUEMIN" w:val="hr"/>
    <w:docVar w:name="TXTNRINI" w:val="2017/2037"/>
    <w:docVar w:name="TXTNRPE" w:val="618.070"/>
    <w:docVar w:name="TXTPEorAP" w:val="PE"/>
    <w:docVar w:name="TXTROUTE" w:val="PR\1146246HR.docx"/>
    <w:docVar w:name="TXTTITLE" w:val="on the role of cities in the institutional framework of the Union"/>
    <w:docVar w:name="TXTVERSION" w:val="02-00"/>
  </w:docVars>
  <w:rsids>
    <w:rsidRoot w:val="00CA1E2F"/>
    <w:rsid w:val="00040EAC"/>
    <w:rsid w:val="000425AF"/>
    <w:rsid w:val="000F1C74"/>
    <w:rsid w:val="00100069"/>
    <w:rsid w:val="001046B1"/>
    <w:rsid w:val="0010766A"/>
    <w:rsid w:val="002544DF"/>
    <w:rsid w:val="00312440"/>
    <w:rsid w:val="00315E09"/>
    <w:rsid w:val="003E6413"/>
    <w:rsid w:val="00473253"/>
    <w:rsid w:val="005F044B"/>
    <w:rsid w:val="006272CD"/>
    <w:rsid w:val="00705D44"/>
    <w:rsid w:val="008C4C65"/>
    <w:rsid w:val="00956282"/>
    <w:rsid w:val="00A6767B"/>
    <w:rsid w:val="00B64C6F"/>
    <w:rsid w:val="00BA2A57"/>
    <w:rsid w:val="00BB70F1"/>
    <w:rsid w:val="00BC7C60"/>
    <w:rsid w:val="00C50396"/>
    <w:rsid w:val="00CA1E2F"/>
    <w:rsid w:val="00E155CA"/>
    <w:rsid w:val="00E3537C"/>
    <w:rsid w:val="00E61690"/>
    <w:rsid w:val="00E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52D31D-298E-4D30-9F18-65B0421E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2544DF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3E6413"/>
    <w:pPr>
      <w:tabs>
        <w:tab w:val="left" w:pos="567"/>
      </w:tabs>
    </w:pPr>
  </w:style>
  <w:style w:type="paragraph" w:customStyle="1" w:styleId="RefProc">
    <w:name w:val="RefProc"/>
    <w:basedOn w:val="Normal"/>
    <w:rsid w:val="0010006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E3537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E3537C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E3537C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2544DF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2544DF"/>
    <w:pPr>
      <w:jc w:val="right"/>
    </w:pPr>
  </w:style>
  <w:style w:type="paragraph" w:styleId="FootnoteText">
    <w:name w:val="footnote text"/>
    <w:basedOn w:val="Normal"/>
    <w:link w:val="FootnoteTextChar"/>
    <w:rsid w:val="00EF04F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04F0"/>
  </w:style>
  <w:style w:type="paragraph" w:customStyle="1" w:styleId="Tre">
    <w:name w:val="Treść"/>
    <w:rsid w:val="00EF04F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azi\AppData\Local\Temp\PR_I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PR_INI.dot</Template>
  <TotalTime>0</TotalTime>
  <Pages>7</Pages>
  <Words>1732</Words>
  <Characters>9529</Characters>
  <Application>Microsoft Office Word</Application>
  <DocSecurity>0</DocSecurity>
  <Lines>179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PR_INI</vt:lpstr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PR_INI</dc:title>
  <dc:subject/>
  <dc:creator>BLAŽI Sanja</dc:creator>
  <cp:keywords/>
  <dc:description/>
  <cp:lastModifiedBy>VUKSAN KNEŽEVIĆ Maja</cp:lastModifiedBy>
  <cp:revision>2</cp:revision>
  <cp:lastPrinted>2004-12-08T15:27:00Z</cp:lastPrinted>
  <dcterms:created xsi:type="dcterms:W3CDTF">2018-03-01T08:09:00Z</dcterms:created>
  <dcterms:modified xsi:type="dcterms:W3CDTF">2018-03-01T08:09:00Z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1146246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\\eiciLUXpr1\pdocep$\DocEP\DOCS\General\PR\PR_NonLeg\INI\PR_INI.dot(08/09/2017 14:47:57)</vt:lpwstr>
  </property>
  <property fmtid="{D5CDD505-2E9C-101B-9397-08002B2CF9AE}" pid="7" name="&lt;ModelTra&gt;">
    <vt:lpwstr>\\eiciLUXpr1\pdocep$\DocEP\TRANSFIL\HR\PR_INI.HR(05/02/2018 16:19:34)</vt:lpwstr>
  </property>
  <property fmtid="{D5CDD505-2E9C-101B-9397-08002B2CF9AE}" pid="8" name="&lt;Model&gt;">
    <vt:lpwstr>PR_INI</vt:lpwstr>
  </property>
  <property fmtid="{D5CDD505-2E9C-101B-9397-08002B2CF9AE}" pid="9" name="FooterPath">
    <vt:lpwstr>PR\1146246HR.docx</vt:lpwstr>
  </property>
  <property fmtid="{D5CDD505-2E9C-101B-9397-08002B2CF9AE}" pid="10" name="PE number">
    <vt:lpwstr>618.070</vt:lpwstr>
  </property>
  <property fmtid="{D5CDD505-2E9C-101B-9397-08002B2CF9AE}" pid="11" name="Bookout">
    <vt:lpwstr>OK - 2018/03/01 09:09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