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43809" w14:paraId="2732F7B6" w14:textId="77777777" w:rsidTr="006F7907">
        <w:trPr>
          <w:trHeight w:hRule="exact" w:val="1418"/>
        </w:trPr>
        <w:tc>
          <w:tcPr>
            <w:tcW w:w="6804" w:type="dxa"/>
            <w:shd w:val="clear" w:color="auto" w:fill="auto"/>
            <w:vAlign w:val="center"/>
          </w:tcPr>
          <w:p w14:paraId="16532A24" w14:textId="77777777" w:rsidR="006F7907" w:rsidRPr="00E43809" w:rsidRDefault="000B2E38" w:rsidP="00FD1DEF">
            <w:pPr>
              <w:pStyle w:val="EPName"/>
            </w:pPr>
            <w:bookmarkStart w:id="0" w:name="_GoBack"/>
            <w:bookmarkEnd w:id="0"/>
            <w:r w:rsidRPr="00E43809">
              <w:t>Parlaimint na hEorpa</w:t>
            </w:r>
          </w:p>
          <w:p w14:paraId="0F845B02" w14:textId="77777777" w:rsidR="006F7907" w:rsidRPr="00E43809" w:rsidRDefault="000D2999" w:rsidP="000D2999">
            <w:pPr>
              <w:pStyle w:val="EPTerm"/>
              <w:rPr>
                <w:rStyle w:val="HideTWBExt"/>
                <w:noProof w:val="0"/>
                <w:vanish w:val="0"/>
                <w:color w:val="auto"/>
              </w:rPr>
            </w:pPr>
            <w:r w:rsidRPr="00E43809">
              <w:t>2014-2019</w:t>
            </w:r>
          </w:p>
        </w:tc>
        <w:tc>
          <w:tcPr>
            <w:tcW w:w="2268" w:type="dxa"/>
            <w:shd w:val="clear" w:color="auto" w:fill="auto"/>
          </w:tcPr>
          <w:p w14:paraId="63A40A7B" w14:textId="77777777" w:rsidR="006F7907" w:rsidRPr="00E43809" w:rsidRDefault="00E43809" w:rsidP="00896BB4">
            <w:pPr>
              <w:pStyle w:val="EPLogo"/>
            </w:pPr>
            <w:r w:rsidRPr="00E43809">
              <w:pict w14:anchorId="7030B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8" o:title="EP logo RGB_Mute"/>
                </v:shape>
              </w:pict>
            </w:r>
          </w:p>
        </w:tc>
      </w:tr>
    </w:tbl>
    <w:p w14:paraId="6955D197" w14:textId="77777777" w:rsidR="00461601" w:rsidRPr="00E43809" w:rsidRDefault="00461601" w:rsidP="00461601">
      <w:pPr>
        <w:pStyle w:val="LineTop"/>
      </w:pPr>
    </w:p>
    <w:p w14:paraId="1C566AD8" w14:textId="77777777" w:rsidR="00461601" w:rsidRPr="00E43809" w:rsidRDefault="00461601" w:rsidP="00461601">
      <w:pPr>
        <w:pStyle w:val="ZCommittee"/>
      </w:pPr>
      <w:r w:rsidRPr="00E43809">
        <w:rPr>
          <w:rStyle w:val="HideTWBExt"/>
          <w:noProof w:val="0"/>
        </w:rPr>
        <w:t>&lt;</w:t>
      </w:r>
      <w:r w:rsidRPr="00E43809">
        <w:rPr>
          <w:rStyle w:val="HideTWBExt"/>
          <w:i w:val="0"/>
          <w:noProof w:val="0"/>
        </w:rPr>
        <w:t>Commission</w:t>
      </w:r>
      <w:r w:rsidRPr="00E43809">
        <w:rPr>
          <w:rStyle w:val="HideTWBExt"/>
          <w:noProof w:val="0"/>
        </w:rPr>
        <w:t>&gt;</w:t>
      </w:r>
      <w:r w:rsidRPr="00E43809">
        <w:rPr>
          <w:rStyle w:val="HideTWBInt"/>
          <w:color w:val="auto"/>
        </w:rPr>
        <w:t>{JURI}</w:t>
      </w:r>
      <w:r w:rsidRPr="00E43809">
        <w:t>An Coiste um Ghnóthaí Dlíthiúla</w:t>
      </w:r>
      <w:r w:rsidRPr="00E43809">
        <w:rPr>
          <w:rStyle w:val="HideTWBExt"/>
          <w:noProof w:val="0"/>
        </w:rPr>
        <w:t>&lt;/</w:t>
      </w:r>
      <w:r w:rsidRPr="00E43809">
        <w:rPr>
          <w:rStyle w:val="HideTWBExt"/>
          <w:i w:val="0"/>
          <w:noProof w:val="0"/>
        </w:rPr>
        <w:t>Commission</w:t>
      </w:r>
      <w:r w:rsidRPr="00E43809">
        <w:rPr>
          <w:rStyle w:val="HideTWBExt"/>
          <w:noProof w:val="0"/>
        </w:rPr>
        <w:t>&gt;</w:t>
      </w:r>
    </w:p>
    <w:p w14:paraId="3A4DA3E8" w14:textId="77777777" w:rsidR="00461601" w:rsidRPr="00E43809" w:rsidRDefault="00461601" w:rsidP="00461601">
      <w:pPr>
        <w:pStyle w:val="LineBottom"/>
      </w:pPr>
    </w:p>
    <w:p w14:paraId="4F95C10A" w14:textId="77777777" w:rsidR="00793EA9" w:rsidRPr="00E43809" w:rsidRDefault="00793EA9">
      <w:pPr>
        <w:pStyle w:val="RefProc"/>
      </w:pPr>
      <w:r w:rsidRPr="00E43809">
        <w:rPr>
          <w:rStyle w:val="HideTWBExt"/>
          <w:b w:val="0"/>
          <w:noProof w:val="0"/>
        </w:rPr>
        <w:t>&lt;</w:t>
      </w:r>
      <w:r w:rsidRPr="00E43809">
        <w:rPr>
          <w:rStyle w:val="HideTWBExt"/>
          <w:b w:val="0"/>
          <w:caps w:val="0"/>
          <w:noProof w:val="0"/>
        </w:rPr>
        <w:t>RefProc</w:t>
      </w:r>
      <w:r w:rsidRPr="00E43809">
        <w:rPr>
          <w:rStyle w:val="HideTWBExt"/>
          <w:b w:val="0"/>
          <w:noProof w:val="0"/>
        </w:rPr>
        <w:t>&gt;</w:t>
      </w:r>
      <w:r w:rsidRPr="00E43809">
        <w:t>2018/0044</w:t>
      </w:r>
      <w:r w:rsidRPr="00E43809">
        <w:rPr>
          <w:rStyle w:val="HideTWBExt"/>
          <w:b w:val="0"/>
          <w:noProof w:val="0"/>
        </w:rPr>
        <w:t>&lt;/</w:t>
      </w:r>
      <w:r w:rsidRPr="00E43809">
        <w:rPr>
          <w:rStyle w:val="HideTWBExt"/>
          <w:b w:val="0"/>
          <w:caps w:val="0"/>
          <w:noProof w:val="0"/>
        </w:rPr>
        <w:t>RefProc</w:t>
      </w:r>
      <w:r w:rsidRPr="00E43809">
        <w:rPr>
          <w:rStyle w:val="HideTWBExt"/>
          <w:b w:val="0"/>
          <w:noProof w:val="0"/>
        </w:rPr>
        <w:t>&gt;&lt;</w:t>
      </w:r>
      <w:r w:rsidRPr="00E43809">
        <w:rPr>
          <w:rStyle w:val="HideTWBExt"/>
          <w:b w:val="0"/>
          <w:caps w:val="0"/>
          <w:noProof w:val="0"/>
        </w:rPr>
        <w:t>RefTypeProc</w:t>
      </w:r>
      <w:r w:rsidRPr="00E43809">
        <w:rPr>
          <w:rStyle w:val="HideTWBExt"/>
          <w:b w:val="0"/>
          <w:noProof w:val="0"/>
        </w:rPr>
        <w:t>&gt;</w:t>
      </w:r>
      <w:r w:rsidRPr="00E43809">
        <w:t>(COD)</w:t>
      </w:r>
      <w:r w:rsidRPr="00E43809">
        <w:rPr>
          <w:rStyle w:val="HideTWBExt"/>
          <w:b w:val="0"/>
          <w:noProof w:val="0"/>
        </w:rPr>
        <w:t>&lt;/</w:t>
      </w:r>
      <w:r w:rsidRPr="00E43809">
        <w:rPr>
          <w:rStyle w:val="HideTWBExt"/>
          <w:b w:val="0"/>
          <w:caps w:val="0"/>
          <w:noProof w:val="0"/>
        </w:rPr>
        <w:t>RefTypeProc</w:t>
      </w:r>
      <w:r w:rsidRPr="00E43809">
        <w:rPr>
          <w:rStyle w:val="HideTWBExt"/>
          <w:b w:val="0"/>
          <w:noProof w:val="0"/>
        </w:rPr>
        <w:t>&gt;</w:t>
      </w:r>
    </w:p>
    <w:p w14:paraId="3F1B7A98" w14:textId="77777777" w:rsidR="00793EA9" w:rsidRPr="00E43809" w:rsidRDefault="00793EA9">
      <w:pPr>
        <w:pStyle w:val="ZDate"/>
      </w:pPr>
      <w:r w:rsidRPr="00E43809">
        <w:rPr>
          <w:rStyle w:val="HideTWBExt"/>
          <w:noProof w:val="0"/>
        </w:rPr>
        <w:t>&lt;Date&gt;</w:t>
      </w:r>
      <w:r w:rsidRPr="00E43809">
        <w:rPr>
          <w:rStyle w:val="HideTWBInt"/>
          <w:color w:val="auto"/>
        </w:rPr>
        <w:t>{03/05/2018}</w:t>
      </w:r>
      <w:r w:rsidRPr="00E43809">
        <w:t>3.5.2018</w:t>
      </w:r>
      <w:r w:rsidRPr="00E43809">
        <w:rPr>
          <w:rStyle w:val="HideTWBExt"/>
          <w:noProof w:val="0"/>
        </w:rPr>
        <w:t>&lt;/Date&gt;</w:t>
      </w:r>
    </w:p>
    <w:p w14:paraId="1C3AEA85" w14:textId="77777777" w:rsidR="00793EA9" w:rsidRPr="00E43809" w:rsidRDefault="00793EA9">
      <w:pPr>
        <w:pStyle w:val="StarsAndIs"/>
      </w:pPr>
      <w:r w:rsidRPr="00E43809">
        <w:rPr>
          <w:rStyle w:val="HideTWBExt"/>
          <w:b w:val="0"/>
          <w:noProof w:val="0"/>
        </w:rPr>
        <w:t>&lt;RefProcLect&gt;</w:t>
      </w:r>
      <w:r w:rsidRPr="00E43809">
        <w:t>***I</w:t>
      </w:r>
      <w:r w:rsidRPr="00E43809">
        <w:rPr>
          <w:rStyle w:val="HideTWBExt"/>
          <w:b w:val="0"/>
          <w:noProof w:val="0"/>
        </w:rPr>
        <w:t>&lt;/RefProcLect&gt;</w:t>
      </w:r>
    </w:p>
    <w:p w14:paraId="1B43A6DE" w14:textId="77777777" w:rsidR="00793EA9" w:rsidRPr="00E43809" w:rsidRDefault="00793EA9">
      <w:pPr>
        <w:pStyle w:val="TypeDoc"/>
      </w:pPr>
      <w:r w:rsidRPr="00E43809">
        <w:rPr>
          <w:rStyle w:val="HideTWBExt"/>
          <w:b w:val="0"/>
          <w:noProof w:val="0"/>
        </w:rPr>
        <w:t>&lt;TitreType&gt;</w:t>
      </w:r>
      <w:r w:rsidRPr="00E43809">
        <w:t>DRÉACHT-TUARASCÁIL</w:t>
      </w:r>
      <w:r w:rsidRPr="00E43809">
        <w:rPr>
          <w:rStyle w:val="HideTWBExt"/>
          <w:b w:val="0"/>
          <w:noProof w:val="0"/>
        </w:rPr>
        <w:t>&lt;/TitreType&gt;</w:t>
      </w:r>
    </w:p>
    <w:p w14:paraId="0D654F1E" w14:textId="77777777" w:rsidR="00793EA9" w:rsidRPr="00E43809" w:rsidRDefault="00793EA9">
      <w:pPr>
        <w:pStyle w:val="CoverNormal"/>
      </w:pPr>
      <w:r w:rsidRPr="00E43809">
        <w:rPr>
          <w:rStyle w:val="HideTWBExt"/>
          <w:noProof w:val="0"/>
        </w:rPr>
        <w:t>&lt;Titre&gt;</w:t>
      </w:r>
      <w:r w:rsidRPr="00E43809">
        <w:t>ar an togra le haghaidh rialachán ó Pharlaimint na hEorpa agus ón gComhairle maidir leis an dlí is infheidhme i dtaca le héifeachtaí tríú páirtí ó thaobh sannadh éileamh de</w:t>
      </w:r>
      <w:r w:rsidRPr="00E43809">
        <w:rPr>
          <w:rStyle w:val="HideTWBExt"/>
          <w:noProof w:val="0"/>
        </w:rPr>
        <w:t>&lt;/Titre&gt;</w:t>
      </w:r>
    </w:p>
    <w:p w14:paraId="0298FBC8" w14:textId="77777777" w:rsidR="00793EA9" w:rsidRPr="00E43809" w:rsidRDefault="00793EA9">
      <w:pPr>
        <w:pStyle w:val="Cover24"/>
      </w:pPr>
      <w:r w:rsidRPr="00E43809">
        <w:rPr>
          <w:rStyle w:val="HideTWBExt"/>
          <w:noProof w:val="0"/>
        </w:rPr>
        <w:t>&lt;DocRef&gt;</w:t>
      </w:r>
      <w:r w:rsidRPr="00E43809">
        <w:t>(COM(2018)0096 – C8</w:t>
      </w:r>
      <w:r w:rsidRPr="00E43809">
        <w:noBreakHyphen/>
        <w:t>0109/2018 – 2018/0044(COD))</w:t>
      </w:r>
      <w:r w:rsidRPr="00E43809">
        <w:rPr>
          <w:rStyle w:val="HideTWBExt"/>
          <w:noProof w:val="0"/>
        </w:rPr>
        <w:t>&lt;/DocRef&gt;</w:t>
      </w:r>
    </w:p>
    <w:p w14:paraId="41FFDEE1" w14:textId="77777777" w:rsidR="00793EA9" w:rsidRPr="00E43809" w:rsidRDefault="00793EA9">
      <w:pPr>
        <w:pStyle w:val="Cover24"/>
      </w:pPr>
      <w:r w:rsidRPr="00E43809">
        <w:rPr>
          <w:rStyle w:val="HideTWBExt"/>
          <w:noProof w:val="0"/>
        </w:rPr>
        <w:t>&lt;Commission&gt;</w:t>
      </w:r>
      <w:r w:rsidRPr="00E43809">
        <w:rPr>
          <w:rStyle w:val="HideTWBInt"/>
          <w:color w:val="auto"/>
        </w:rPr>
        <w:t>{JURI}</w:t>
      </w:r>
      <w:r w:rsidRPr="00E43809">
        <w:t>An Coiste um Ghnóthaí Dlíthiúla</w:t>
      </w:r>
      <w:r w:rsidRPr="00E43809">
        <w:rPr>
          <w:rStyle w:val="HideTWBExt"/>
          <w:noProof w:val="0"/>
        </w:rPr>
        <w:t>&lt;/Commission&gt;</w:t>
      </w:r>
    </w:p>
    <w:p w14:paraId="10163290" w14:textId="77777777" w:rsidR="00793EA9" w:rsidRPr="00E43809" w:rsidRDefault="000B2E38">
      <w:pPr>
        <w:pStyle w:val="Cover24"/>
      </w:pPr>
      <w:r w:rsidRPr="00E43809">
        <w:t xml:space="preserve">Rapóirtéir: </w:t>
      </w:r>
      <w:r w:rsidRPr="00E43809">
        <w:rPr>
          <w:rStyle w:val="HideTWBExt"/>
          <w:noProof w:val="0"/>
        </w:rPr>
        <w:t>&lt;Depute&gt;</w:t>
      </w:r>
      <w:r w:rsidRPr="00E43809">
        <w:t>Pavel Svoboda</w:t>
      </w:r>
      <w:r w:rsidRPr="00E43809">
        <w:rPr>
          <w:rStyle w:val="HideTWBExt"/>
          <w:noProof w:val="0"/>
        </w:rPr>
        <w:t>&lt;/Depute&gt;</w:t>
      </w:r>
    </w:p>
    <w:p w14:paraId="3E9E7A1B" w14:textId="77777777" w:rsidR="001C5B44" w:rsidRPr="00E43809" w:rsidRDefault="001C5B44" w:rsidP="001C5B44">
      <w:pPr>
        <w:pStyle w:val="CoverNormal"/>
      </w:pPr>
    </w:p>
    <w:p w14:paraId="60BF35B3" w14:textId="77777777" w:rsidR="00793EA9" w:rsidRPr="00E43809" w:rsidRDefault="00793EA9" w:rsidP="00187008">
      <w:pPr>
        <w:widowControl/>
        <w:tabs>
          <w:tab w:val="center" w:pos="4677"/>
        </w:tabs>
      </w:pPr>
      <w:r w:rsidRPr="00E43809">
        <w:br w:type="page"/>
      </w:r>
    </w:p>
    <w:p w14:paraId="227BF057" w14:textId="1B0ECF97" w:rsidR="000D2999" w:rsidRPr="00E43809" w:rsidRDefault="00E00AE7">
      <w:fldSimple w:instr=" TITLE  \* MERGEFORMAT ">
        <w:r w:rsidR="001A5A34">
          <w:t>PR_COD_1amCom</w:t>
        </w:r>
      </w:fldSimple>
    </w:p>
    <w:p w14:paraId="07C00B0E" w14:textId="77777777" w:rsidR="000D2999" w:rsidRPr="00E43809" w:rsidRDefault="000D2999"/>
    <w:p w14:paraId="6D74DC91" w14:textId="77777777" w:rsidR="000D2999" w:rsidRPr="00E43809" w:rsidRDefault="000D299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D2999" w:rsidRPr="00E43809" w14:paraId="79B19630" w14:textId="77777777">
        <w:tc>
          <w:tcPr>
            <w:tcW w:w="5811" w:type="dxa"/>
          </w:tcPr>
          <w:p w14:paraId="373EA7A1" w14:textId="77777777" w:rsidR="000D2999" w:rsidRPr="00E43809" w:rsidRDefault="000D2999">
            <w:pPr>
              <w:pStyle w:val="Lgendetitre"/>
            </w:pPr>
            <w:r w:rsidRPr="00E43809">
              <w:t>Eochair do na siombailí a úsáidtear</w:t>
            </w:r>
          </w:p>
        </w:tc>
      </w:tr>
      <w:tr w:rsidR="000D2999" w:rsidRPr="00E43809" w14:paraId="163296A9" w14:textId="77777777" w:rsidTr="00C50C36">
        <w:trPr>
          <w:cantSplit/>
          <w:trHeight w:val="1944"/>
        </w:trPr>
        <w:tc>
          <w:tcPr>
            <w:tcW w:w="5811" w:type="dxa"/>
            <w:tcBorders>
              <w:bottom w:val="single" w:sz="4" w:space="0" w:color="auto"/>
            </w:tcBorders>
          </w:tcPr>
          <w:p w14:paraId="2CDBB350" w14:textId="77777777" w:rsidR="000D2999" w:rsidRPr="00E43809" w:rsidRDefault="000D2999">
            <w:pPr>
              <w:pStyle w:val="Lgendesigne"/>
            </w:pPr>
            <w:r w:rsidRPr="00E43809">
              <w:tab/>
              <w:t>*</w:t>
            </w:r>
            <w:r w:rsidRPr="00E43809">
              <w:tab/>
              <w:t>An nós imeachta comhairliúcháin</w:t>
            </w:r>
          </w:p>
          <w:p w14:paraId="037AD1EB" w14:textId="77777777" w:rsidR="000D2999" w:rsidRPr="00E43809" w:rsidRDefault="000D2999">
            <w:pPr>
              <w:pStyle w:val="Lgendesigne"/>
            </w:pPr>
            <w:r w:rsidRPr="00E43809">
              <w:tab/>
              <w:t>***</w:t>
            </w:r>
            <w:r w:rsidRPr="00E43809">
              <w:tab/>
              <w:t>Nós imeachta an toilithe</w:t>
            </w:r>
          </w:p>
          <w:p w14:paraId="19D3CD49" w14:textId="77777777" w:rsidR="000D2999" w:rsidRPr="00E43809" w:rsidRDefault="000D2999">
            <w:pPr>
              <w:pStyle w:val="Lgendesigne"/>
            </w:pPr>
            <w:r w:rsidRPr="00E43809">
              <w:tab/>
              <w:t>***I</w:t>
            </w:r>
            <w:r w:rsidRPr="00E43809">
              <w:tab/>
              <w:t>An gnáthnós imeachta reachtach (an chéad léamh)</w:t>
            </w:r>
          </w:p>
          <w:p w14:paraId="6D7723BD" w14:textId="77777777" w:rsidR="000D2999" w:rsidRPr="00E43809" w:rsidRDefault="000D2999">
            <w:pPr>
              <w:pStyle w:val="Lgendesigne"/>
            </w:pPr>
            <w:r w:rsidRPr="00E43809">
              <w:tab/>
              <w:t>***II</w:t>
            </w:r>
            <w:r w:rsidRPr="00E43809">
              <w:tab/>
              <w:t>An gnáthnós imeachta reachtach (an dara léamh)</w:t>
            </w:r>
          </w:p>
          <w:p w14:paraId="0EA2E8AC" w14:textId="77777777" w:rsidR="000D2999" w:rsidRPr="00E43809" w:rsidRDefault="000D2999">
            <w:pPr>
              <w:pStyle w:val="Lgendesigne"/>
            </w:pPr>
            <w:r w:rsidRPr="00E43809">
              <w:tab/>
              <w:t>***III</w:t>
            </w:r>
            <w:r w:rsidRPr="00E43809">
              <w:tab/>
              <w:t>An gnáthnós imeachta reachtach (an tríú léamh)</w:t>
            </w:r>
          </w:p>
          <w:p w14:paraId="1AC4CE40" w14:textId="77777777" w:rsidR="000D2999" w:rsidRPr="00E43809" w:rsidRDefault="000D2999">
            <w:pPr>
              <w:pStyle w:val="Lgendesigne"/>
              <w:ind w:left="0" w:firstLine="0"/>
            </w:pPr>
          </w:p>
          <w:p w14:paraId="0B2936D5" w14:textId="77777777" w:rsidR="000D2999" w:rsidRPr="00E43809" w:rsidRDefault="000D2999">
            <w:pPr>
              <w:pStyle w:val="Lgendestandard"/>
            </w:pPr>
            <w:r w:rsidRPr="00E43809">
              <w:t>(Braitheann an cineál nós imeachta ar an mbunús dlí a mholtar sa dréachtghníomh.)</w:t>
            </w:r>
          </w:p>
          <w:p w14:paraId="47294B17" w14:textId="77777777" w:rsidR="000D2999" w:rsidRPr="00E43809" w:rsidRDefault="000D2999">
            <w:pPr>
              <w:pStyle w:val="Lgendesigne"/>
              <w:ind w:left="0" w:firstLine="0"/>
            </w:pPr>
          </w:p>
        </w:tc>
      </w:tr>
    </w:tbl>
    <w:p w14:paraId="2DCA9B0D" w14:textId="77777777" w:rsidR="000D2999" w:rsidRPr="00E43809" w:rsidRDefault="000D2999"/>
    <w:p w14:paraId="50AB0A67" w14:textId="77777777" w:rsidR="000D2999" w:rsidRPr="00E43809" w:rsidRDefault="000D2999"/>
    <w:p w14:paraId="4CBAF299" w14:textId="77777777" w:rsidR="000D2999" w:rsidRPr="00E43809" w:rsidRDefault="000D2999"/>
    <w:p w14:paraId="3AF9C7FA" w14:textId="77777777" w:rsidR="000D2999" w:rsidRPr="00E43809" w:rsidRDefault="000D299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D2999" w:rsidRPr="00E43809" w14:paraId="203C17C3" w14:textId="77777777">
        <w:tc>
          <w:tcPr>
            <w:tcW w:w="5811" w:type="dxa"/>
          </w:tcPr>
          <w:p w14:paraId="1B7986FB" w14:textId="77777777" w:rsidR="000D2999" w:rsidRPr="00E43809" w:rsidRDefault="000D2999">
            <w:pPr>
              <w:pStyle w:val="Lgendetitre"/>
            </w:pPr>
            <w:r w:rsidRPr="00E43809">
              <w:t>Leasuithe ar dhréachtghníomh</w:t>
            </w:r>
          </w:p>
        </w:tc>
      </w:tr>
      <w:tr w:rsidR="000D2999" w:rsidRPr="00E43809" w14:paraId="6312C793" w14:textId="77777777">
        <w:tc>
          <w:tcPr>
            <w:tcW w:w="5811" w:type="dxa"/>
          </w:tcPr>
          <w:p w14:paraId="3C685FBE" w14:textId="77777777" w:rsidR="000D2999" w:rsidRPr="00E43809" w:rsidRDefault="000D2999" w:rsidP="00A55AC8">
            <w:pPr>
              <w:pStyle w:val="Lgendestandard"/>
              <w:rPr>
                <w:szCs w:val="24"/>
              </w:rPr>
            </w:pPr>
            <w:r w:rsidRPr="00E43809">
              <w:rPr>
                <w:b/>
                <w:szCs w:val="24"/>
              </w:rPr>
              <w:t>Leasuithe ó Pharlaimint na hEorpa arna leagan amach in dhá cholún</w:t>
            </w:r>
          </w:p>
          <w:p w14:paraId="0B2DD5F1" w14:textId="77777777" w:rsidR="000D2999" w:rsidRPr="00E43809" w:rsidRDefault="000D2999" w:rsidP="00A55AC8">
            <w:pPr>
              <w:pStyle w:val="Lgendestandard"/>
              <w:rPr>
                <w:szCs w:val="24"/>
              </w:rPr>
            </w:pPr>
          </w:p>
          <w:p w14:paraId="787530D3" w14:textId="77777777" w:rsidR="000D2999" w:rsidRPr="00E43809" w:rsidRDefault="000D2999" w:rsidP="00A55AC8">
            <w:pPr>
              <w:pStyle w:val="Lgendestandard"/>
              <w:rPr>
                <w:szCs w:val="24"/>
              </w:rPr>
            </w:pPr>
            <w:r w:rsidRPr="00E43809">
              <w:t xml:space="preserve">Léirítear téacs atá scriosta le </w:t>
            </w:r>
            <w:r w:rsidRPr="00E43809">
              <w:rPr>
                <w:b/>
                <w:i/>
              </w:rPr>
              <w:t>cló trom iodálach</w:t>
            </w:r>
            <w:r w:rsidRPr="00E43809">
              <w:t xml:space="preserve"> sa cholún ar chlé. Léirítear téacs atá curtha in ionad téacs eile le </w:t>
            </w:r>
            <w:r w:rsidRPr="00E43809">
              <w:rPr>
                <w:b/>
                <w:i/>
              </w:rPr>
              <w:t>cló trom iodálach</w:t>
            </w:r>
            <w:r w:rsidRPr="00E43809">
              <w:t xml:space="preserve"> sa dá cholún. Léirítear téacs nua le </w:t>
            </w:r>
            <w:r w:rsidRPr="00E43809">
              <w:rPr>
                <w:b/>
                <w:i/>
              </w:rPr>
              <w:t>cló trom iodálach</w:t>
            </w:r>
            <w:r w:rsidRPr="00E43809">
              <w:t xml:space="preserve"> sa cholún ar dheis.</w:t>
            </w:r>
          </w:p>
          <w:p w14:paraId="42DF0A49" w14:textId="77777777" w:rsidR="000D2999" w:rsidRPr="00E43809" w:rsidRDefault="000D2999" w:rsidP="00A55AC8">
            <w:pPr>
              <w:pStyle w:val="Lgendestandard"/>
              <w:rPr>
                <w:szCs w:val="24"/>
              </w:rPr>
            </w:pPr>
          </w:p>
          <w:p w14:paraId="019A6146" w14:textId="77777777" w:rsidR="000D2999" w:rsidRPr="00E43809" w:rsidRDefault="000D2999" w:rsidP="00A55AC8">
            <w:pPr>
              <w:pStyle w:val="Lgendestandard"/>
              <w:rPr>
                <w:szCs w:val="24"/>
              </w:rPr>
            </w:pPr>
            <w:r w:rsidRPr="00E43809">
              <w:t>Sa chéad agus sa dara líne den cheanntásc a ghabhann le gach leasú, sonraítear an chuid ábhartha den dréachtghníomh atá á breithniú. Má bhaineann leasú le gníomh atá cheana ann agus go bhfuil sé i gceist é a leasú le dréachtghníomh, bíonn an tríú líne i gceanntásc an leasaithe ina sonraítear an gníomh atá cheana ann agus bíonn an ceathrú líne ann ina sonraítear an fhoráil den ghníomh sin is mian le Parlaimint na hEorpa a leasú.</w:t>
            </w:r>
          </w:p>
          <w:p w14:paraId="1A926A3D" w14:textId="77777777" w:rsidR="000D2999" w:rsidRPr="00E43809" w:rsidRDefault="000D2999" w:rsidP="00A55AC8">
            <w:pPr>
              <w:pStyle w:val="Lgendestandard"/>
              <w:rPr>
                <w:szCs w:val="24"/>
              </w:rPr>
            </w:pPr>
          </w:p>
          <w:p w14:paraId="7E02554A" w14:textId="77777777" w:rsidR="000D2999" w:rsidRPr="00E43809" w:rsidRDefault="000D2999" w:rsidP="00A55AC8">
            <w:pPr>
              <w:pStyle w:val="Lgendestandard"/>
              <w:rPr>
                <w:b/>
                <w:szCs w:val="24"/>
              </w:rPr>
            </w:pPr>
            <w:r w:rsidRPr="00E43809">
              <w:rPr>
                <w:b/>
                <w:szCs w:val="24"/>
              </w:rPr>
              <w:t>Leasuithe ó Pharlaimint na hEorpa i bhfoirm téacs comhdhlúite</w:t>
            </w:r>
          </w:p>
          <w:p w14:paraId="3A8EE6E4" w14:textId="77777777" w:rsidR="000D2999" w:rsidRPr="00E43809" w:rsidRDefault="000D2999" w:rsidP="00A55AC8">
            <w:pPr>
              <w:pStyle w:val="Lgendestandard"/>
              <w:rPr>
                <w:szCs w:val="24"/>
              </w:rPr>
            </w:pPr>
          </w:p>
          <w:p w14:paraId="173C8362" w14:textId="77777777" w:rsidR="000D2999" w:rsidRPr="00E43809" w:rsidRDefault="000D2999" w:rsidP="00A55AC8">
            <w:pPr>
              <w:pStyle w:val="Lgendestandard"/>
              <w:rPr>
                <w:szCs w:val="24"/>
              </w:rPr>
            </w:pPr>
            <w:r w:rsidRPr="00E43809">
              <w:t xml:space="preserve">Aibhsítear téacs nua le </w:t>
            </w:r>
            <w:r w:rsidRPr="00E43809">
              <w:rPr>
                <w:b/>
                <w:i/>
              </w:rPr>
              <w:t>cló trom iodálach</w:t>
            </w:r>
            <w:r w:rsidRPr="00E43809">
              <w:t xml:space="preserve">. Léirítear téacs atá scriosta trí leas a bhaint as an tsiombail ▌ nó cuirtear líne tríd an téacs. Léirítear téacs atá curtha in ionad téacs eile tríd an téacs nua a aibhsiú le </w:t>
            </w:r>
            <w:r w:rsidRPr="00E43809">
              <w:rPr>
                <w:b/>
                <w:i/>
              </w:rPr>
              <w:t>cló trom iodálach</w:t>
            </w:r>
            <w:r w:rsidRPr="00E43809">
              <w:t xml:space="preserve"> agus tríd an téacs atá á ionadú a scriosadh nó líne a chur tríd. </w:t>
            </w:r>
          </w:p>
          <w:p w14:paraId="0789162E" w14:textId="77777777" w:rsidR="000D2999" w:rsidRPr="00E43809" w:rsidRDefault="000D2999" w:rsidP="00A55AC8">
            <w:pPr>
              <w:pStyle w:val="Lgendestandard"/>
              <w:rPr>
                <w:szCs w:val="24"/>
              </w:rPr>
            </w:pPr>
            <w:r w:rsidRPr="00E43809">
              <w:t>Mar eisceacht air sin, ní aibhsítear athruithe atá go hiomlán teicniúil agus ar athruithe iad a rinne na ranna dréachtaithe nuair a bhí an téacs críochnaitheach á ullmhú.</w:t>
            </w:r>
          </w:p>
          <w:p w14:paraId="31249271" w14:textId="77777777" w:rsidR="000D2999" w:rsidRPr="00E43809" w:rsidRDefault="000D2999">
            <w:pPr>
              <w:pStyle w:val="Lgendestandard"/>
            </w:pPr>
          </w:p>
        </w:tc>
      </w:tr>
    </w:tbl>
    <w:p w14:paraId="627F3A07" w14:textId="77777777" w:rsidR="000D2999" w:rsidRPr="00E43809" w:rsidRDefault="000D2999"/>
    <w:p w14:paraId="45E20066" w14:textId="77777777" w:rsidR="00793EA9" w:rsidRPr="00E43809" w:rsidRDefault="00793EA9" w:rsidP="00012351">
      <w:pPr>
        <w:widowControl/>
        <w:tabs>
          <w:tab w:val="center" w:pos="4677"/>
        </w:tabs>
      </w:pPr>
    </w:p>
    <w:p w14:paraId="0A362B70" w14:textId="77777777" w:rsidR="00793EA9" w:rsidRPr="00E43809" w:rsidRDefault="00793EA9">
      <w:pPr>
        <w:pStyle w:val="TOCHeading"/>
      </w:pPr>
      <w:r w:rsidRPr="00E43809">
        <w:br w:type="page"/>
      </w:r>
      <w:r w:rsidRPr="00E43809">
        <w:lastRenderedPageBreak/>
        <w:t>CLÁR</w:t>
      </w:r>
    </w:p>
    <w:p w14:paraId="5B2D2E1E" w14:textId="77777777" w:rsidR="00793EA9" w:rsidRPr="00E43809" w:rsidRDefault="000B2E38">
      <w:pPr>
        <w:pStyle w:val="TOCPage"/>
      </w:pPr>
      <w:r w:rsidRPr="00E43809">
        <w:t>Leathanach</w:t>
      </w:r>
    </w:p>
    <w:p w14:paraId="247E4BA4" w14:textId="07221176" w:rsidR="001A5A34" w:rsidRDefault="001767E2">
      <w:pPr>
        <w:pStyle w:val="TOC1"/>
        <w:tabs>
          <w:tab w:val="right" w:leader="dot" w:pos="9060"/>
        </w:tabs>
        <w:rPr>
          <w:rFonts w:asciiTheme="minorHAnsi" w:eastAsiaTheme="minorEastAsia" w:hAnsiTheme="minorHAnsi" w:cstheme="minorBidi"/>
          <w:noProof/>
          <w:sz w:val="22"/>
          <w:szCs w:val="22"/>
          <w:lang w:val="en-GB"/>
        </w:rPr>
      </w:pPr>
      <w:r w:rsidRPr="00E43809">
        <w:rPr>
          <w:b/>
        </w:rPr>
        <w:fldChar w:fldCharType="begin"/>
      </w:r>
      <w:r w:rsidRPr="00E43809">
        <w:rPr>
          <w:b/>
        </w:rPr>
        <w:instrText xml:space="preserve"> TOC \t "PageHeading</w:instrText>
      </w:r>
      <w:r w:rsidR="00446247" w:rsidRPr="00E43809">
        <w:rPr>
          <w:b/>
        </w:rPr>
        <w:instrText>;</w:instrText>
      </w:r>
      <w:r w:rsidRPr="00E43809">
        <w:rPr>
          <w:b/>
        </w:rPr>
        <w:instrText xml:space="preserve">1" </w:instrText>
      </w:r>
      <w:r w:rsidRPr="00E43809">
        <w:rPr>
          <w:b/>
        </w:rPr>
        <w:fldChar w:fldCharType="separate"/>
      </w:r>
      <w:r w:rsidR="001A5A34">
        <w:rPr>
          <w:noProof/>
        </w:rPr>
        <w:t>DRÉACHTRÚN REACHTACH Ó PHARLAIMINT NA hEORPA</w:t>
      </w:r>
      <w:r w:rsidR="001A5A34">
        <w:rPr>
          <w:noProof/>
        </w:rPr>
        <w:tab/>
      </w:r>
      <w:r w:rsidR="001A5A34">
        <w:rPr>
          <w:noProof/>
        </w:rPr>
        <w:fldChar w:fldCharType="begin"/>
      </w:r>
      <w:r w:rsidR="001A5A34">
        <w:rPr>
          <w:noProof/>
        </w:rPr>
        <w:instrText xml:space="preserve"> PAGEREF _Toc514331618 \h </w:instrText>
      </w:r>
      <w:r w:rsidR="001A5A34">
        <w:rPr>
          <w:noProof/>
        </w:rPr>
      </w:r>
      <w:r w:rsidR="001A5A34">
        <w:rPr>
          <w:noProof/>
        </w:rPr>
        <w:fldChar w:fldCharType="separate"/>
      </w:r>
      <w:r w:rsidR="001A5A34">
        <w:rPr>
          <w:noProof/>
        </w:rPr>
        <w:t>5</w:t>
      </w:r>
      <w:r w:rsidR="001A5A34">
        <w:rPr>
          <w:noProof/>
        </w:rPr>
        <w:fldChar w:fldCharType="end"/>
      </w:r>
    </w:p>
    <w:p w14:paraId="1C288CE0" w14:textId="69015D5C" w:rsidR="001A5A34" w:rsidRDefault="001A5A34">
      <w:pPr>
        <w:pStyle w:val="TOC1"/>
        <w:tabs>
          <w:tab w:val="right" w:leader="dot" w:pos="9060"/>
        </w:tabs>
        <w:rPr>
          <w:rFonts w:asciiTheme="minorHAnsi" w:eastAsiaTheme="minorEastAsia" w:hAnsiTheme="minorHAnsi" w:cstheme="minorBidi"/>
          <w:noProof/>
          <w:sz w:val="22"/>
          <w:szCs w:val="22"/>
          <w:lang w:val="en-GB"/>
        </w:rPr>
      </w:pPr>
      <w:r>
        <w:rPr>
          <w:noProof/>
        </w:rPr>
        <w:t>RÁITEAS MÍNIÚCHÁIN</w:t>
      </w:r>
      <w:r>
        <w:rPr>
          <w:noProof/>
        </w:rPr>
        <w:tab/>
      </w:r>
      <w:r>
        <w:rPr>
          <w:noProof/>
        </w:rPr>
        <w:fldChar w:fldCharType="begin"/>
      </w:r>
      <w:r>
        <w:rPr>
          <w:noProof/>
        </w:rPr>
        <w:instrText xml:space="preserve"> PAGEREF _Toc514331619 \h </w:instrText>
      </w:r>
      <w:r>
        <w:rPr>
          <w:noProof/>
        </w:rPr>
      </w:r>
      <w:r>
        <w:rPr>
          <w:noProof/>
        </w:rPr>
        <w:fldChar w:fldCharType="separate"/>
      </w:r>
      <w:r>
        <w:rPr>
          <w:noProof/>
        </w:rPr>
        <w:t>14</w:t>
      </w:r>
      <w:r>
        <w:rPr>
          <w:noProof/>
        </w:rPr>
        <w:fldChar w:fldCharType="end"/>
      </w:r>
    </w:p>
    <w:p w14:paraId="7950D6DE" w14:textId="19DF3EF0" w:rsidR="00793EA9" w:rsidRPr="00E43809" w:rsidRDefault="001767E2" w:rsidP="002346B0">
      <w:r w:rsidRPr="00E43809">
        <w:rPr>
          <w:b/>
        </w:rPr>
        <w:fldChar w:fldCharType="end"/>
      </w:r>
    </w:p>
    <w:p w14:paraId="2D4FFA16" w14:textId="77777777" w:rsidR="002346B0" w:rsidRPr="00E43809" w:rsidRDefault="002346B0" w:rsidP="002346B0"/>
    <w:p w14:paraId="7039E625" w14:textId="77777777" w:rsidR="002346B0" w:rsidRPr="00E43809" w:rsidRDefault="002346B0">
      <w:pPr>
        <w:pStyle w:val="PageHeading"/>
      </w:pPr>
    </w:p>
    <w:p w14:paraId="783F1692" w14:textId="77777777" w:rsidR="00793EA9" w:rsidRPr="00E43809" w:rsidRDefault="00793EA9">
      <w:pPr>
        <w:pStyle w:val="PageHeading"/>
      </w:pPr>
      <w:r w:rsidRPr="00E43809">
        <w:br w:type="page"/>
      </w:r>
      <w:r w:rsidRPr="00E43809">
        <w:br w:type="page"/>
      </w:r>
      <w:bookmarkStart w:id="1" w:name="_Toc514331618"/>
      <w:r w:rsidRPr="00E43809">
        <w:t>DRÉACHTRÚN REACHTACH Ó PHARLAIMINT NA hEORPA</w:t>
      </w:r>
      <w:bookmarkEnd w:id="1"/>
    </w:p>
    <w:p w14:paraId="2751C611" w14:textId="77777777" w:rsidR="00793EA9" w:rsidRPr="00E43809" w:rsidRDefault="000B2E38">
      <w:pPr>
        <w:pStyle w:val="NormalBold"/>
      </w:pPr>
      <w:r w:rsidRPr="00E43809">
        <w:t>ar an togra le haghaidh rialachán ó Pharlaimint na hEorpa agus ón gComhairle maidir leis an dlí is infheidhme i dtaca le héifeachtaí tríú páirtí ó thaobh sannadh éileamh de</w:t>
      </w:r>
    </w:p>
    <w:p w14:paraId="07284ABA" w14:textId="77777777" w:rsidR="00793EA9" w:rsidRPr="00E43809" w:rsidRDefault="000B2E38">
      <w:pPr>
        <w:pStyle w:val="Normal12Bold"/>
      </w:pPr>
      <w:r w:rsidRPr="00E43809">
        <w:t>(COM(2018)0096 – C8</w:t>
      </w:r>
      <w:r w:rsidRPr="00E43809">
        <w:noBreakHyphen/>
        <w:t>0109/2018 – 2018/0044(COD))</w:t>
      </w:r>
    </w:p>
    <w:p w14:paraId="2FC77F2A" w14:textId="77777777" w:rsidR="00793EA9" w:rsidRPr="00E43809" w:rsidRDefault="000B2E38">
      <w:pPr>
        <w:pStyle w:val="Normal12Bold"/>
      </w:pPr>
      <w:r w:rsidRPr="00E43809">
        <w:t>(An gnáthnós imeachta reachtach: an chéad léamh)</w:t>
      </w:r>
    </w:p>
    <w:p w14:paraId="13662D93" w14:textId="77777777" w:rsidR="00793EA9" w:rsidRPr="00E43809" w:rsidRDefault="000B2E38">
      <w:pPr>
        <w:pStyle w:val="Normal12"/>
      </w:pPr>
      <w:r w:rsidRPr="00E43809">
        <w:rPr>
          <w:i/>
        </w:rPr>
        <w:t>Tá Parlaimint na hEorpa,</w:t>
      </w:r>
    </w:p>
    <w:p w14:paraId="51EF2689" w14:textId="77777777" w:rsidR="00793EA9" w:rsidRPr="00E43809" w:rsidRDefault="00793EA9">
      <w:pPr>
        <w:pStyle w:val="Normal12Hanging"/>
      </w:pPr>
      <w:r w:rsidRPr="00E43809">
        <w:t>–</w:t>
      </w:r>
      <w:r w:rsidRPr="00E43809">
        <w:tab/>
        <w:t>ag féachaint don togra ón gCoimisiún chuig Parlaimint na hEorpa agus chuig an gComhairle (COM(2018)0096),</w:t>
      </w:r>
    </w:p>
    <w:p w14:paraId="5EA63035" w14:textId="77777777" w:rsidR="00793EA9" w:rsidRPr="00E43809" w:rsidRDefault="00793EA9">
      <w:pPr>
        <w:pStyle w:val="Normal12Hanging"/>
      </w:pPr>
      <w:r w:rsidRPr="00E43809">
        <w:t>–</w:t>
      </w:r>
      <w:r w:rsidRPr="00E43809">
        <w:tab/>
        <w:t>ag féachaint d’Airteagal 294(2) agus d’Airteagal 81(2) den Chonradh ar Fheidhmiú an Aontais Eorpaigh, ar dá mbun a thíolaic an Coimisiún an togra do Pharlaimint na hEorpa (C8</w:t>
      </w:r>
      <w:r w:rsidRPr="00E43809">
        <w:noBreakHyphen/>
        <w:t>0109/2018),</w:t>
      </w:r>
    </w:p>
    <w:p w14:paraId="28944450" w14:textId="77777777" w:rsidR="00A26F46" w:rsidRPr="00E43809" w:rsidRDefault="00A26F46" w:rsidP="00A26F46">
      <w:pPr>
        <w:pStyle w:val="Normal12Hanging"/>
      </w:pPr>
      <w:r w:rsidRPr="00E43809">
        <w:t>–</w:t>
      </w:r>
      <w:r w:rsidRPr="00E43809">
        <w:tab/>
        <w:t>ag féachaint d’Airteagal 294(3) den Chonradh ar Fheidhmiú an Aontais Eorpaigh,</w:t>
      </w:r>
    </w:p>
    <w:p w14:paraId="5B0D697B" w14:textId="77777777" w:rsidR="00793EA9" w:rsidRPr="00E43809" w:rsidRDefault="00793EA9">
      <w:pPr>
        <w:pStyle w:val="Normal12Hanging"/>
      </w:pPr>
      <w:r w:rsidRPr="00E43809">
        <w:t>–</w:t>
      </w:r>
      <w:r w:rsidRPr="00E43809">
        <w:tab/>
        <w:t>ag féachaint do Riail 59 dá Rialacha Nós Imeachta,</w:t>
      </w:r>
    </w:p>
    <w:p w14:paraId="2C948B45" w14:textId="77777777" w:rsidR="00793EA9" w:rsidRPr="00E43809" w:rsidRDefault="00793EA9">
      <w:pPr>
        <w:pStyle w:val="Normal12Hanging"/>
      </w:pPr>
      <w:r w:rsidRPr="00E43809">
        <w:t>–</w:t>
      </w:r>
      <w:r w:rsidRPr="00E43809">
        <w:tab/>
        <w:t>ag féachaint don tuarascáil ón gCoiste um Ghnóthaí Dlíthiúla (A8</w:t>
      </w:r>
      <w:r w:rsidRPr="00E43809">
        <w:noBreakHyphen/>
        <w:t>0000/2018),</w:t>
      </w:r>
    </w:p>
    <w:p w14:paraId="59AFAC02" w14:textId="77777777" w:rsidR="009F6C2F" w:rsidRPr="00E43809" w:rsidRDefault="009F6C2F" w:rsidP="009F6C2F">
      <w:pPr>
        <w:pStyle w:val="Normal12Hanging"/>
      </w:pPr>
      <w:r w:rsidRPr="00E43809">
        <w:t>1.</w:t>
      </w:r>
      <w:r w:rsidRPr="00E43809">
        <w:tab/>
        <w:t>ag glacadh a seasaimh ar an gcéad léamh faoi mar a leagtar amach anseo ina dhiaidh seo;</w:t>
      </w:r>
    </w:p>
    <w:p w14:paraId="4366AFAE" w14:textId="77777777" w:rsidR="009F6C2F" w:rsidRPr="00E43809" w:rsidRDefault="00CC7589" w:rsidP="009F6C2F">
      <w:pPr>
        <w:pStyle w:val="Normal12Hanging"/>
      </w:pPr>
      <w:r w:rsidRPr="00E43809">
        <w:t>2.</w:t>
      </w:r>
      <w:r w:rsidRPr="00E43809">
        <w:tab/>
        <w:t>á iarraidh ar an gCoimisiún an t-ábhar a tharchur chuig Parlaimint na hEorpa arís má dhéanann sé téacs eile a chur in ionad a thogra, má dhéanann sé a thogra a leasú go substaintiúil nó má tá sé ar intinn aige a thogra a leasú go substaintiúil;</w:t>
      </w:r>
    </w:p>
    <w:p w14:paraId="556E6FB7" w14:textId="77777777" w:rsidR="009F6C2F" w:rsidRPr="00E43809" w:rsidRDefault="00CC7589" w:rsidP="009F6C2F">
      <w:pPr>
        <w:pStyle w:val="Normal12Hanging"/>
      </w:pPr>
      <w:r w:rsidRPr="00E43809">
        <w:t>3.</w:t>
      </w:r>
      <w:r w:rsidRPr="00E43809">
        <w:tab/>
        <w:t>á threorú dá hUachtarán a seasamh a chur ar aghaidh chuig an gComhairle, chuig an gCoimisiún agus chuig na parlaimintí náisiúnta.</w:t>
      </w:r>
    </w:p>
    <w:p w14:paraId="08C0A097" w14:textId="77777777" w:rsidR="00CA7E6B" w:rsidRPr="00E43809" w:rsidRDefault="00CA7E6B" w:rsidP="00CA7E6B">
      <w:pPr>
        <w:pStyle w:val="AMNumberTabs"/>
        <w:keepNext/>
      </w:pPr>
      <w:r w:rsidRPr="00E43809">
        <w:rPr>
          <w:rStyle w:val="HideTWBExt"/>
          <w:b w:val="0"/>
          <w:noProof w:val="0"/>
        </w:rPr>
        <w:t>&lt;RepeatBlock-Amend&gt;</w:t>
      </w:r>
      <w:bookmarkStart w:id="2" w:name="restart"/>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w:t>
      </w:r>
      <w:r w:rsidRPr="00E43809">
        <w:rPr>
          <w:rStyle w:val="HideTWBExt"/>
          <w:b w:val="0"/>
          <w:noProof w:val="0"/>
        </w:rPr>
        <w:t>&lt;/NumAm&gt;</w:t>
      </w:r>
    </w:p>
    <w:p w14:paraId="60DD83EA"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2D1A97A7" w14:textId="77777777" w:rsidR="00CA7E6B" w:rsidRPr="00E43809" w:rsidRDefault="00CA7E6B" w:rsidP="00402B06">
      <w:pPr>
        <w:pStyle w:val="NormalBold"/>
        <w:keepNext/>
      </w:pPr>
      <w:r w:rsidRPr="00E43809">
        <w:rPr>
          <w:rStyle w:val="HideTWBExt"/>
          <w:b w:val="0"/>
          <w:noProof w:val="0"/>
        </w:rPr>
        <w:t>&lt;Article&gt;</w:t>
      </w:r>
      <w:r w:rsidRPr="00E43809">
        <w:t>Aithris 15</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4973136F" w14:textId="77777777" w:rsidTr="00CA7E6B">
        <w:trPr>
          <w:jc w:val="center"/>
        </w:trPr>
        <w:tc>
          <w:tcPr>
            <w:tcW w:w="9752" w:type="dxa"/>
            <w:gridSpan w:val="2"/>
          </w:tcPr>
          <w:p w14:paraId="7038ADDE" w14:textId="77777777" w:rsidR="00CA7E6B" w:rsidRPr="00E43809" w:rsidRDefault="00CA7E6B">
            <w:pPr>
              <w:keepNext/>
            </w:pPr>
          </w:p>
        </w:tc>
      </w:tr>
      <w:tr w:rsidR="00CA7E6B" w:rsidRPr="00E43809" w14:paraId="3CFD94AD" w14:textId="77777777" w:rsidTr="00CA7E6B">
        <w:trPr>
          <w:jc w:val="center"/>
        </w:trPr>
        <w:tc>
          <w:tcPr>
            <w:tcW w:w="4876" w:type="dxa"/>
            <w:hideMark/>
          </w:tcPr>
          <w:p w14:paraId="5EBD77D8" w14:textId="77777777" w:rsidR="00CA7E6B" w:rsidRPr="00E43809" w:rsidRDefault="00CA7E6B">
            <w:pPr>
              <w:pStyle w:val="ColumnHeading"/>
              <w:keepNext/>
            </w:pPr>
            <w:r w:rsidRPr="00E43809">
              <w:t>Téacs arna mholadh ag an gCoimisiún</w:t>
            </w:r>
          </w:p>
        </w:tc>
        <w:tc>
          <w:tcPr>
            <w:tcW w:w="4876" w:type="dxa"/>
            <w:hideMark/>
          </w:tcPr>
          <w:p w14:paraId="25AB703D" w14:textId="77777777" w:rsidR="00CA7E6B" w:rsidRPr="00E43809" w:rsidRDefault="00CA7E6B">
            <w:pPr>
              <w:pStyle w:val="ColumnHeading"/>
              <w:keepNext/>
            </w:pPr>
            <w:r w:rsidRPr="00E43809">
              <w:t>Leasú</w:t>
            </w:r>
          </w:p>
        </w:tc>
      </w:tr>
      <w:tr w:rsidR="00CA7E6B" w:rsidRPr="00E43809" w14:paraId="464FBD11" w14:textId="77777777" w:rsidTr="00CA7E6B">
        <w:trPr>
          <w:jc w:val="center"/>
        </w:trPr>
        <w:tc>
          <w:tcPr>
            <w:tcW w:w="4876" w:type="dxa"/>
            <w:hideMark/>
          </w:tcPr>
          <w:p w14:paraId="673D7362" w14:textId="77777777" w:rsidR="00CA7E6B" w:rsidRPr="00E43809" w:rsidRDefault="00CA7E6B" w:rsidP="00402B06">
            <w:pPr>
              <w:pStyle w:val="Normal6"/>
            </w:pPr>
            <w:r w:rsidRPr="00E43809">
              <w:t>(15)</w:t>
            </w:r>
            <w:r w:rsidRPr="00E43809">
              <w:tab/>
              <w:t xml:space="preserve">Ba cheart go rialódh na rialacha easaontachta dlíthe a leagtar síos sa Rialachán seo éifeachtaí </w:t>
            </w:r>
            <w:r w:rsidRPr="00E43809">
              <w:rPr>
                <w:b/>
                <w:i/>
              </w:rPr>
              <w:t>dílseánaigh</w:t>
            </w:r>
            <w:r w:rsidRPr="00E43809">
              <w:t xml:space="preserve"> ó thaobh sannadh éileamh de </w:t>
            </w:r>
            <w:r w:rsidRPr="00E43809">
              <w:rPr>
                <w:b/>
                <w:i/>
              </w:rPr>
              <w:t>idir na páirtithe go léir a bhaineann leis an sannadh (is é sin, idir an sannóir agus an sannaí agus idir an sannaí agus an féichiúnaí) agus</w:t>
            </w:r>
            <w:r w:rsidRPr="00E43809">
              <w:t xml:space="preserve"> i ndáil le tríú páirtithe (creidiúnaí de chuid an tsannóra, mar shampla). </w:t>
            </w:r>
          </w:p>
        </w:tc>
        <w:tc>
          <w:tcPr>
            <w:tcW w:w="4876" w:type="dxa"/>
            <w:hideMark/>
          </w:tcPr>
          <w:p w14:paraId="3B805BD5" w14:textId="77777777" w:rsidR="00CA7E6B" w:rsidRPr="00E43809" w:rsidRDefault="00CA7E6B" w:rsidP="00DE3D47">
            <w:pPr>
              <w:pStyle w:val="Normal6"/>
              <w:rPr>
                <w:szCs w:val="24"/>
              </w:rPr>
            </w:pPr>
            <w:r w:rsidRPr="00E43809">
              <w:t>(15)</w:t>
            </w:r>
            <w:r w:rsidRPr="00E43809">
              <w:tab/>
              <w:t>Ba cheart go rialódh na rialacha easaontachta dlíthe a leagtar síos sa Rialachán seo éifeachtaí ó thaobh sannadh éileamh de i ndáil le tríú páirtithe (creidiúnaí de chuid an tsannóra, mar shampla</w:t>
            </w:r>
            <w:r w:rsidRPr="00E43809">
              <w:rPr>
                <w:b/>
                <w:i/>
              </w:rPr>
              <w:t>, diomaite den fhéichiúnaí</w:t>
            </w:r>
            <w:r w:rsidRPr="00E43809">
              <w:t xml:space="preserve">).  </w:t>
            </w:r>
          </w:p>
        </w:tc>
      </w:tr>
    </w:tbl>
    <w:p w14:paraId="7C1501F9"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4CF9B4A1" w14:textId="77777777" w:rsidR="00CA7E6B" w:rsidRPr="00E43809" w:rsidRDefault="00CA7E6B" w:rsidP="00CA7E6B">
      <w:r w:rsidRPr="00E43809">
        <w:rPr>
          <w:rStyle w:val="HideTWBExt"/>
          <w:noProof w:val="0"/>
        </w:rPr>
        <w:t>&lt;/Amend&gt;</w:t>
      </w:r>
    </w:p>
    <w:p w14:paraId="2293520B"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2</w:t>
      </w:r>
      <w:r w:rsidRPr="00E43809">
        <w:rPr>
          <w:rStyle w:val="HideTWBExt"/>
          <w:b w:val="0"/>
          <w:noProof w:val="0"/>
        </w:rPr>
        <w:t>&lt;/NumAm&gt;</w:t>
      </w:r>
    </w:p>
    <w:p w14:paraId="08BF2367"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27BDCAC3" w14:textId="77777777" w:rsidR="00CA7E6B" w:rsidRPr="00E43809" w:rsidRDefault="00CA7E6B" w:rsidP="00402B06">
      <w:pPr>
        <w:pStyle w:val="NormalBold"/>
        <w:keepNext/>
      </w:pPr>
      <w:r w:rsidRPr="00E43809">
        <w:rPr>
          <w:rStyle w:val="HideTWBExt"/>
          <w:b w:val="0"/>
          <w:noProof w:val="0"/>
        </w:rPr>
        <w:t>&lt;Article&gt;</w:t>
      </w:r>
      <w:r w:rsidRPr="00E43809">
        <w:t>Aithris 16</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3B0E24C3" w14:textId="77777777" w:rsidTr="00CA7E6B">
        <w:trPr>
          <w:jc w:val="center"/>
        </w:trPr>
        <w:tc>
          <w:tcPr>
            <w:tcW w:w="9752" w:type="dxa"/>
            <w:gridSpan w:val="2"/>
          </w:tcPr>
          <w:p w14:paraId="371851FD" w14:textId="77777777" w:rsidR="00CA7E6B" w:rsidRPr="00E43809" w:rsidRDefault="00CA7E6B">
            <w:pPr>
              <w:keepNext/>
            </w:pPr>
          </w:p>
        </w:tc>
      </w:tr>
      <w:tr w:rsidR="00CA7E6B" w:rsidRPr="00E43809" w14:paraId="32180EE9" w14:textId="77777777" w:rsidTr="00CA7E6B">
        <w:trPr>
          <w:jc w:val="center"/>
        </w:trPr>
        <w:tc>
          <w:tcPr>
            <w:tcW w:w="4876" w:type="dxa"/>
            <w:hideMark/>
          </w:tcPr>
          <w:p w14:paraId="28A51C1E" w14:textId="77777777" w:rsidR="00CA7E6B" w:rsidRPr="00E43809" w:rsidRDefault="00CA7E6B">
            <w:pPr>
              <w:pStyle w:val="ColumnHeading"/>
              <w:keepNext/>
            </w:pPr>
            <w:r w:rsidRPr="00E43809">
              <w:t>Téacs arna mholadh ag an gCoimisiún</w:t>
            </w:r>
          </w:p>
        </w:tc>
        <w:tc>
          <w:tcPr>
            <w:tcW w:w="4876" w:type="dxa"/>
            <w:hideMark/>
          </w:tcPr>
          <w:p w14:paraId="6134651E" w14:textId="77777777" w:rsidR="00CA7E6B" w:rsidRPr="00E43809" w:rsidRDefault="00CA7E6B">
            <w:pPr>
              <w:pStyle w:val="ColumnHeading"/>
              <w:keepNext/>
            </w:pPr>
            <w:r w:rsidRPr="00E43809">
              <w:t>Leasú</w:t>
            </w:r>
          </w:p>
        </w:tc>
      </w:tr>
      <w:tr w:rsidR="00CA7E6B" w:rsidRPr="00E43809" w14:paraId="5E99B248" w14:textId="77777777" w:rsidTr="00CA7E6B">
        <w:trPr>
          <w:jc w:val="center"/>
        </w:trPr>
        <w:tc>
          <w:tcPr>
            <w:tcW w:w="4876" w:type="dxa"/>
            <w:hideMark/>
          </w:tcPr>
          <w:p w14:paraId="6000C068" w14:textId="77777777" w:rsidR="00CA7E6B" w:rsidRPr="00E43809" w:rsidRDefault="00CA7E6B" w:rsidP="006F43A3">
            <w:pPr>
              <w:pStyle w:val="Normal6"/>
            </w:pPr>
            <w:r w:rsidRPr="00E43809">
              <w:t>(16)</w:t>
            </w:r>
            <w:r w:rsidRPr="00E43809">
              <w:tab/>
            </w:r>
            <w:r w:rsidRPr="00E43809">
              <w:rPr>
                <w:b/>
                <w:i/>
              </w:rPr>
              <w:t>Is</w:t>
            </w:r>
            <w:r w:rsidRPr="00E43809">
              <w:t xml:space="preserve"> infháltais trádála iad na héilimh a chumhdaítear leis an Rialachán seo, éilimh a eascraíonn as ionstraimí airgeadais mar a shainmhínítear iad i dTreoir 2014/65/AE maidir le margaí in ionstraimí airgeadais</w:t>
            </w:r>
            <w:r w:rsidRPr="00E43809">
              <w:rPr>
                <w:vertAlign w:val="superscript"/>
              </w:rPr>
              <w:t>44</w:t>
            </w:r>
            <w:r w:rsidRPr="00E43809">
              <w:t xml:space="preserve"> agus airgead a chreidiúnaítear do chuntas in institiúid chreidmheasa. Áirítear le hionstraimí airgeadais mar a shainmhínítear iad i dTreoir 2014/65/AE urrúis agus díorthaigh arna dtrádáil ar na margaí airgeadais. Cé gur sócmhainní iad urrúis, is conarthaí iad díorthaigh lena n-áirítear cearta (nó éilimh) agus oibleagáidí ar na páirtithe sa chonradh.</w:t>
            </w:r>
          </w:p>
        </w:tc>
        <w:tc>
          <w:tcPr>
            <w:tcW w:w="4876" w:type="dxa"/>
            <w:hideMark/>
          </w:tcPr>
          <w:p w14:paraId="17E245BA" w14:textId="77777777" w:rsidR="00CA7E6B" w:rsidRPr="00E43809" w:rsidRDefault="00CA7E6B" w:rsidP="003E7E9C">
            <w:pPr>
              <w:pStyle w:val="Normal6"/>
              <w:rPr>
                <w:i/>
                <w:szCs w:val="24"/>
              </w:rPr>
            </w:pPr>
            <w:r w:rsidRPr="00E43809">
              <w:rPr>
                <w:bCs/>
              </w:rPr>
              <w:t>(16)</w:t>
            </w:r>
            <w:r w:rsidRPr="00E43809">
              <w:tab/>
            </w:r>
            <w:r w:rsidRPr="00E43809">
              <w:rPr>
                <w:b/>
                <w:i/>
              </w:rPr>
              <w:t>Sna</w:t>
            </w:r>
            <w:r w:rsidRPr="00E43809">
              <w:t xml:space="preserve"> héilimh a chumhdaítear leis an Rialachán seo, </w:t>
            </w:r>
            <w:r w:rsidRPr="00E43809">
              <w:rPr>
                <w:b/>
                <w:i/>
              </w:rPr>
              <w:t>áirítear</w:t>
            </w:r>
            <w:r w:rsidRPr="00E43809">
              <w:t xml:space="preserve"> infháltais trádála, éilimh a eascraíonn as ionstraimí airgeadais mar a shainmhínítear iad i dTreoir 2014/65/AE </w:t>
            </w:r>
            <w:r w:rsidRPr="00E43809">
              <w:rPr>
                <w:b/>
                <w:i/>
              </w:rPr>
              <w:t>ó Pharlaimint na hEorpa agus ón gComhairle</w:t>
            </w:r>
            <w:r w:rsidRPr="00E43809">
              <w:rPr>
                <w:b/>
                <w:i/>
                <w:vertAlign w:val="superscript"/>
              </w:rPr>
              <w:t>44</w:t>
            </w:r>
            <w:r w:rsidRPr="00E43809">
              <w:t xml:space="preserve"> agus airgead tirim a chreidiúnaítear do chuntas in institiúid chreidmheasa. Áirítear in ionstraimí airgeadais mar a shainmhínítear iad i dTreoir 2014/65/AE urrúis agus díorthaigh arna dtrádáil ar na margaí airgeadais. Cé gur sócmhainní iad urrúis, is conarthaí iad díorthaigh lena n-áirítear cearta (nó éilimh) agus oibleagáidí ar na páirtithe sa chonradh.</w:t>
            </w:r>
          </w:p>
        </w:tc>
      </w:tr>
      <w:tr w:rsidR="004B5A16" w:rsidRPr="00E43809" w14:paraId="6FDE565C" w14:textId="77777777" w:rsidTr="00CA7E6B">
        <w:trPr>
          <w:jc w:val="center"/>
        </w:trPr>
        <w:tc>
          <w:tcPr>
            <w:tcW w:w="4876" w:type="dxa"/>
          </w:tcPr>
          <w:p w14:paraId="49595976" w14:textId="77777777" w:rsidR="004B5A16" w:rsidRPr="00E43809" w:rsidRDefault="004B5A16" w:rsidP="004B5A16">
            <w:pPr>
              <w:pStyle w:val="Normal6"/>
            </w:pPr>
            <w:r w:rsidRPr="00E43809">
              <w:t>___________________</w:t>
            </w:r>
          </w:p>
        </w:tc>
        <w:tc>
          <w:tcPr>
            <w:tcW w:w="4876" w:type="dxa"/>
          </w:tcPr>
          <w:p w14:paraId="03C9CD87" w14:textId="77777777" w:rsidR="004B5A16" w:rsidRPr="00E43809" w:rsidRDefault="004B5A16" w:rsidP="000856D7">
            <w:pPr>
              <w:pStyle w:val="Normal6"/>
              <w:rPr>
                <w:bCs/>
              </w:rPr>
            </w:pPr>
            <w:r w:rsidRPr="00E43809">
              <w:rPr>
                <w:bCs/>
              </w:rPr>
              <w:t>___________________</w:t>
            </w:r>
          </w:p>
        </w:tc>
      </w:tr>
      <w:tr w:rsidR="004B5A16" w:rsidRPr="00E43809" w14:paraId="61C34AA2" w14:textId="77777777" w:rsidTr="00CA7E6B">
        <w:trPr>
          <w:jc w:val="center"/>
        </w:trPr>
        <w:tc>
          <w:tcPr>
            <w:tcW w:w="4876" w:type="dxa"/>
          </w:tcPr>
          <w:p w14:paraId="3FA3E89B" w14:textId="77777777" w:rsidR="004B5A16" w:rsidRPr="00E43809" w:rsidRDefault="006F43A3" w:rsidP="004B5A16">
            <w:pPr>
              <w:pStyle w:val="Normal6"/>
            </w:pPr>
            <w:r w:rsidRPr="00E43809">
              <w:rPr>
                <w:vertAlign w:val="superscript"/>
              </w:rPr>
              <w:t>44</w:t>
            </w:r>
            <w:r w:rsidRPr="00E43809">
              <w:t xml:space="preserve">Treoir 2014/65/CE ó Pharlaimint na hEorpa agus ón gComhairle an 15 Bealtaine 2014 maidir le margaí in ionstraimí airgeadais agus lena leasaítear Treoir 2002/92/CE agus Treoir 2011/61/AE, IO L 173, 12.6.2014, lgh. 349-496. </w:t>
            </w:r>
          </w:p>
        </w:tc>
        <w:tc>
          <w:tcPr>
            <w:tcW w:w="4876" w:type="dxa"/>
          </w:tcPr>
          <w:p w14:paraId="0E1F4C6B" w14:textId="77777777" w:rsidR="004B5A16" w:rsidRPr="00E43809" w:rsidRDefault="006F43A3" w:rsidP="000856D7">
            <w:pPr>
              <w:pStyle w:val="Normal6"/>
              <w:rPr>
                <w:bCs/>
              </w:rPr>
            </w:pPr>
            <w:r w:rsidRPr="00E43809">
              <w:rPr>
                <w:bCs/>
                <w:vertAlign w:val="superscript"/>
              </w:rPr>
              <w:t>44</w:t>
            </w:r>
            <w:r w:rsidRPr="00E43809">
              <w:rPr>
                <w:bCs/>
              </w:rPr>
              <w:t>Treoir 2014/65/CE ó Pharlaimint na hEorpa agus ón gComhairle an 15 Bealtaine 2014 maidir le margaí in ionstraimí airgeadais agus lena leasaítear Treoir 2002/92/CE agus Treoir 2011/61/AE (IO L 173, 12.6.2014, lch. 349).</w:t>
            </w:r>
          </w:p>
        </w:tc>
      </w:tr>
    </w:tbl>
    <w:p w14:paraId="1C1317AC"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237FEDC3" w14:textId="77777777" w:rsidR="00CA7E6B" w:rsidRPr="00E43809" w:rsidRDefault="00CA7E6B" w:rsidP="00CA7E6B">
      <w:r w:rsidRPr="00E43809">
        <w:rPr>
          <w:rStyle w:val="HideTWBExt"/>
          <w:noProof w:val="0"/>
        </w:rPr>
        <w:t>&lt;/Amend&gt;</w:t>
      </w:r>
    </w:p>
    <w:p w14:paraId="7DD1283B"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3</w:t>
      </w:r>
      <w:r w:rsidRPr="00E43809">
        <w:rPr>
          <w:rStyle w:val="HideTWBExt"/>
          <w:b w:val="0"/>
          <w:noProof w:val="0"/>
        </w:rPr>
        <w:t>&lt;/NumAm&gt;</w:t>
      </w:r>
    </w:p>
    <w:p w14:paraId="5C0149D5"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387A4785" w14:textId="77777777" w:rsidR="00CA7E6B" w:rsidRPr="00E43809" w:rsidRDefault="00CA7E6B" w:rsidP="00402B06">
      <w:pPr>
        <w:pStyle w:val="NormalBold"/>
        <w:keepNext/>
      </w:pPr>
      <w:r w:rsidRPr="00E43809">
        <w:rPr>
          <w:rStyle w:val="HideTWBExt"/>
          <w:b w:val="0"/>
          <w:noProof w:val="0"/>
        </w:rPr>
        <w:t>&lt;Article&gt;</w:t>
      </w:r>
      <w:r w:rsidRPr="00E43809">
        <w:t>Aithris 17</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6C8546C7" w14:textId="77777777" w:rsidTr="00CA7E6B">
        <w:trPr>
          <w:jc w:val="center"/>
        </w:trPr>
        <w:tc>
          <w:tcPr>
            <w:tcW w:w="9752" w:type="dxa"/>
            <w:gridSpan w:val="2"/>
          </w:tcPr>
          <w:p w14:paraId="46169CAC" w14:textId="77777777" w:rsidR="00CA7E6B" w:rsidRPr="00E43809" w:rsidRDefault="00CA7E6B">
            <w:pPr>
              <w:keepNext/>
            </w:pPr>
          </w:p>
        </w:tc>
      </w:tr>
      <w:tr w:rsidR="00CA7E6B" w:rsidRPr="00E43809" w14:paraId="70C26237" w14:textId="77777777" w:rsidTr="00CA7E6B">
        <w:trPr>
          <w:jc w:val="center"/>
        </w:trPr>
        <w:tc>
          <w:tcPr>
            <w:tcW w:w="4876" w:type="dxa"/>
            <w:hideMark/>
          </w:tcPr>
          <w:p w14:paraId="4FF92765" w14:textId="77777777" w:rsidR="00CA7E6B" w:rsidRPr="00E43809" w:rsidRDefault="00CA7E6B">
            <w:pPr>
              <w:pStyle w:val="ColumnHeading"/>
              <w:keepNext/>
            </w:pPr>
            <w:r w:rsidRPr="00E43809">
              <w:t>Téacs arna mholadh ag an gCoimisiún</w:t>
            </w:r>
          </w:p>
        </w:tc>
        <w:tc>
          <w:tcPr>
            <w:tcW w:w="4876" w:type="dxa"/>
            <w:hideMark/>
          </w:tcPr>
          <w:p w14:paraId="24692522" w14:textId="77777777" w:rsidR="00CA7E6B" w:rsidRPr="00E43809" w:rsidRDefault="00CA7E6B">
            <w:pPr>
              <w:pStyle w:val="ColumnHeading"/>
              <w:keepNext/>
            </w:pPr>
            <w:r w:rsidRPr="00E43809">
              <w:t>Leasú</w:t>
            </w:r>
          </w:p>
        </w:tc>
      </w:tr>
      <w:tr w:rsidR="00CA7E6B" w:rsidRPr="00E43809" w14:paraId="49FD40DE" w14:textId="77777777" w:rsidTr="00CA7E6B">
        <w:trPr>
          <w:jc w:val="center"/>
        </w:trPr>
        <w:tc>
          <w:tcPr>
            <w:tcW w:w="4876" w:type="dxa"/>
          </w:tcPr>
          <w:p w14:paraId="6C3EC227" w14:textId="77777777" w:rsidR="00CA7E6B" w:rsidRPr="00E43809" w:rsidRDefault="00CA7E6B" w:rsidP="00402B06">
            <w:pPr>
              <w:pStyle w:val="Normal6"/>
              <w:rPr>
                <w:b/>
                <w:i/>
              </w:rPr>
            </w:pPr>
            <w:r w:rsidRPr="00E43809">
              <w:t xml:space="preserve">(17) </w:t>
            </w:r>
            <w:r w:rsidRPr="00E43809">
              <w:tab/>
              <w:t xml:space="preserve">Baineann an Rialachán le héifeachtaí tríú páirtí ó thaobh sannadh éileamh de. </w:t>
            </w:r>
            <w:r w:rsidRPr="00E43809">
              <w:rPr>
                <w:b/>
                <w:i/>
              </w:rPr>
              <w:t>Ní</w:t>
            </w:r>
            <w:r w:rsidRPr="00E43809">
              <w:t xml:space="preserve"> </w:t>
            </w:r>
            <w:r w:rsidRPr="00E43809">
              <w:rPr>
                <w:b/>
                <w:i/>
              </w:rPr>
              <w:t>chumhdaítear</w:t>
            </w:r>
            <w:r w:rsidRPr="00E43809">
              <w:t xml:space="preserve"> </w:t>
            </w:r>
            <w:r w:rsidRPr="00E43809">
              <w:rPr>
                <w:b/>
                <w:i/>
              </w:rPr>
              <w:t>leis</w:t>
            </w:r>
            <w:r w:rsidRPr="00E43809">
              <w:t xml:space="preserve"> aistriú na gconarthaí sin (amhail conarthaí díorthacha), ina bhfuil cearta (nó éilimh) agus oibleagáidí san áireamh, nó nuachan conarthaí ina gcuimsítear cearta agus oibleagáidí den sórt sin. </w:t>
            </w:r>
            <w:r w:rsidRPr="00E43809">
              <w:rPr>
                <w:b/>
                <w:i/>
              </w:rPr>
              <w:t>Toisc nach gcumhdaítear leis an Rialachán seo aistriú ná nuachan conarthaí, leanfar den trádáil in ionstraimí airgeadais, agus imréiteach agus socrú na n-ionstraimí sin, a bheith arna rialú ag an dlí is infheidhme i ndáil le hoibleagáidí conarthacha mar a leagtar síos i Rialachán na Róimhe I é. De ghnáth, is iad na páirtithe sa chonradh a roghnaíonn an dlí nó ainmnítear é le rialacha neamhroghnacha is infheidhme maidir le margaí airgeadais.</w:t>
            </w:r>
          </w:p>
        </w:tc>
        <w:tc>
          <w:tcPr>
            <w:tcW w:w="4876" w:type="dxa"/>
            <w:hideMark/>
          </w:tcPr>
          <w:p w14:paraId="3EAB3AD8" w14:textId="77777777" w:rsidR="00CA7E6B" w:rsidRPr="00E43809" w:rsidRDefault="004B5A16" w:rsidP="00402B06">
            <w:pPr>
              <w:pStyle w:val="Normal6"/>
              <w:rPr>
                <w:szCs w:val="24"/>
              </w:rPr>
            </w:pPr>
            <w:r w:rsidRPr="00E43809">
              <w:t>17.</w:t>
            </w:r>
            <w:r w:rsidRPr="00E43809">
              <w:tab/>
              <w:t xml:space="preserve">Baineann an Rialachán le héifeachtaí tríú páirtí ó thaobh sannadh éileamh de. </w:t>
            </w:r>
            <w:r w:rsidRPr="00E43809">
              <w:rPr>
                <w:b/>
                <w:i/>
              </w:rPr>
              <w:t xml:space="preserve">Cumhdaítear ann go háirithe </w:t>
            </w:r>
            <w:r w:rsidRPr="00E43809">
              <w:t xml:space="preserve">aistriú na gconarthaí sin (amhail conarthaí díorthacha), ina bhfuil cearta (nó éilimh) agus oibleagáidí san áireamh, nó nuachan conarthaí ina gcuimsítear cearta agus oibleagáidí den sórt sin. </w:t>
            </w:r>
          </w:p>
        </w:tc>
      </w:tr>
    </w:tbl>
    <w:p w14:paraId="13AE5AAB"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22D919AE" w14:textId="77777777" w:rsidR="00CA7E6B" w:rsidRPr="00E43809" w:rsidRDefault="00CA7E6B" w:rsidP="00CA7E6B">
      <w:r w:rsidRPr="00E43809">
        <w:rPr>
          <w:rStyle w:val="HideTWBExt"/>
          <w:noProof w:val="0"/>
        </w:rPr>
        <w:t>&lt;/Amend&gt;</w:t>
      </w:r>
      <w:bookmarkEnd w:id="2"/>
    </w:p>
    <w:p w14:paraId="7DBAED97"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4</w:t>
      </w:r>
      <w:r w:rsidRPr="00E43809">
        <w:rPr>
          <w:rStyle w:val="HideTWBExt"/>
          <w:b w:val="0"/>
          <w:noProof w:val="0"/>
        </w:rPr>
        <w:t>&lt;/NumAm&gt;</w:t>
      </w:r>
    </w:p>
    <w:p w14:paraId="0739C1B4"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4DC8D601" w14:textId="77777777" w:rsidR="00CA7E6B" w:rsidRPr="00E43809" w:rsidRDefault="00CA7E6B" w:rsidP="00402B06">
      <w:pPr>
        <w:pStyle w:val="NormalBold"/>
        <w:keepNext/>
      </w:pPr>
      <w:r w:rsidRPr="00E43809">
        <w:rPr>
          <w:rStyle w:val="HideTWBExt"/>
          <w:b w:val="0"/>
          <w:noProof w:val="0"/>
        </w:rPr>
        <w:t>&lt;Article&gt;</w:t>
      </w:r>
      <w:r w:rsidRPr="00E43809">
        <w:t>Aithris 28</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60B4F477" w14:textId="77777777" w:rsidTr="00CA7E6B">
        <w:trPr>
          <w:jc w:val="center"/>
        </w:trPr>
        <w:tc>
          <w:tcPr>
            <w:tcW w:w="9752" w:type="dxa"/>
            <w:gridSpan w:val="2"/>
          </w:tcPr>
          <w:p w14:paraId="2CC6C65F" w14:textId="77777777" w:rsidR="00CA7E6B" w:rsidRPr="00E43809" w:rsidRDefault="00CA7E6B">
            <w:pPr>
              <w:keepNext/>
            </w:pPr>
          </w:p>
        </w:tc>
      </w:tr>
      <w:tr w:rsidR="00CA7E6B" w:rsidRPr="00E43809" w14:paraId="3818365F" w14:textId="77777777" w:rsidTr="00CA7E6B">
        <w:trPr>
          <w:jc w:val="center"/>
        </w:trPr>
        <w:tc>
          <w:tcPr>
            <w:tcW w:w="4876" w:type="dxa"/>
            <w:hideMark/>
          </w:tcPr>
          <w:p w14:paraId="19135DC9" w14:textId="77777777" w:rsidR="00CA7E6B" w:rsidRPr="00E43809" w:rsidRDefault="00CA7E6B">
            <w:pPr>
              <w:pStyle w:val="ColumnHeading"/>
              <w:keepNext/>
            </w:pPr>
            <w:r w:rsidRPr="00E43809">
              <w:t>Téacs arna mholadh ag an gCoimisiún</w:t>
            </w:r>
          </w:p>
        </w:tc>
        <w:tc>
          <w:tcPr>
            <w:tcW w:w="4876" w:type="dxa"/>
            <w:hideMark/>
          </w:tcPr>
          <w:p w14:paraId="1701B8B8" w14:textId="77777777" w:rsidR="00CA7E6B" w:rsidRPr="00E43809" w:rsidRDefault="00CA7E6B">
            <w:pPr>
              <w:pStyle w:val="ColumnHeading"/>
              <w:keepNext/>
            </w:pPr>
            <w:r w:rsidRPr="00E43809">
              <w:t>Leasú</w:t>
            </w:r>
          </w:p>
        </w:tc>
      </w:tr>
      <w:tr w:rsidR="00CA7E6B" w:rsidRPr="00E43809" w14:paraId="3E9C744A" w14:textId="77777777" w:rsidTr="00CA7E6B">
        <w:trPr>
          <w:jc w:val="center"/>
        </w:trPr>
        <w:tc>
          <w:tcPr>
            <w:tcW w:w="4876" w:type="dxa"/>
          </w:tcPr>
          <w:p w14:paraId="13EAB7F3" w14:textId="77777777" w:rsidR="00CA7E6B" w:rsidRPr="00E43809" w:rsidRDefault="00CA7E6B">
            <w:pPr>
              <w:pStyle w:val="Normal6"/>
            </w:pPr>
            <w:r w:rsidRPr="00E43809">
              <w:t>(28)</w:t>
            </w:r>
            <w:r w:rsidRPr="00E43809">
              <w:tab/>
            </w:r>
            <w:r w:rsidRPr="00E43809">
              <w:rPr>
                <w:b/>
                <w:i/>
              </w:rPr>
              <w:t xml:space="preserve">Ba cheart foráil a dhéanamh maidir leis an tsolúbthacht i gcinneadh an dlí is infheidhme i ndáil le héifeachtaí tríú páirtí ó thaobh </w:t>
            </w:r>
            <w:r w:rsidRPr="00E43809">
              <w:t>sannadh éileamh de i gcomhthéacs urrúsú chun freastal ar riachtanais na n-urrúsóirí uile agus chun leathnú an mhargaidh urrúsúcháin trasteorann a éascú d'oibreoirí beaga. Cé gur cheart go mbeadh feidhm ag an dlí maidir le gnáthchónaí an tsannóra mar an riail réamhshocraithe i dtaca le héifeachtaí tríú páirtí ó thaobh sannadh éileamh de i gcomhthéacs urrúsú, ba cheart go mbeadh an sannóir (an tionscnóir) agus an sannaí (an t-aonán sainchuspóireach) in ann a roghnú gur cheart go mbeadh feidhm ag dlí an éilimh arna shannadh maidir le héifeachtaí tríú páirtí ó thaobh sannadh éileamh de. Ba cheart don sannóir agus don sannaí a bheith in ann a chinneadh go bhfanfaidh éifeachtaí tríú páirtí ó thaobh sannadh éileamh de, i gcomhthéacs urrúsú, de bheith faoi réir na rialach  ginearálta maidir le gnáthchónaí an tsannóra nó ba cheart iad a bheith in ann dlí an éilimh arna shannadh a roghnú maidir le feidhm struchtúir agus shaintréithe an idirbhirt, mar shampla líon agus suíomh na dtionscnóirí agus an líon dlíthe lena rialaítear na héilimh arna sannadh.</w:t>
            </w:r>
          </w:p>
        </w:tc>
        <w:tc>
          <w:tcPr>
            <w:tcW w:w="4876" w:type="dxa"/>
          </w:tcPr>
          <w:p w14:paraId="2E9FAC29" w14:textId="77777777" w:rsidR="00CA7E6B" w:rsidRPr="00E43809" w:rsidRDefault="00CA7E6B" w:rsidP="00DC683D">
            <w:pPr>
              <w:pStyle w:val="Normal6"/>
              <w:rPr>
                <w:b/>
                <w:bCs/>
                <w:i/>
                <w:iCs/>
              </w:rPr>
            </w:pPr>
            <w:r w:rsidRPr="00E43809">
              <w:rPr>
                <w:bCs/>
                <w:iCs/>
              </w:rPr>
              <w:t>(28)</w:t>
            </w:r>
            <w:r w:rsidRPr="00E43809">
              <w:rPr>
                <w:bCs/>
                <w:iCs/>
              </w:rPr>
              <w:tab/>
            </w:r>
            <w:r w:rsidRPr="00E43809">
              <w:rPr>
                <w:b/>
                <w:bCs/>
                <w:i/>
                <w:iCs/>
              </w:rPr>
              <w:t>Maidir le</w:t>
            </w:r>
            <w:r w:rsidRPr="00E43809">
              <w:rPr>
                <w:bCs/>
                <w:iCs/>
              </w:rPr>
              <w:t xml:space="preserve"> sannadh éileamh i gcomhthéacs urrúsaithe, </w:t>
            </w:r>
            <w:r w:rsidRPr="00E43809">
              <w:rPr>
                <w:b/>
                <w:bCs/>
                <w:i/>
                <w:iCs/>
              </w:rPr>
              <w:t xml:space="preserve">is gnách gur institiúidí airgeadais a shannann iad d’aonáin shainchuspóireacha (SPEnna) a chruthaítear chun críche an urrúsaithe. Ní gnách go ndéanann roinnt mhaith institiúidí de chuid Ballstáit éagsúla éilimh a shannadh don SPE céanna agus gur mar thoradh air sin go bhfuil na sannacháin don SPE faoi réir orduithe dlíthiúla éagsúla. Leis an riail ghinearálta maidir le gnáthchónaí an tsannóra, ba ann d’intuarthacht leordhóthanach i dtaca le sannadh éileamh chun críche urrúsuithe. </w:t>
            </w:r>
          </w:p>
        </w:tc>
      </w:tr>
    </w:tbl>
    <w:p w14:paraId="13261B18"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37EA23E3" w14:textId="77777777" w:rsidR="00CA7E6B" w:rsidRPr="00E43809" w:rsidRDefault="00CA7E6B" w:rsidP="00CA7E6B">
      <w:r w:rsidRPr="00E43809">
        <w:rPr>
          <w:rStyle w:val="HideTWBExt"/>
          <w:noProof w:val="0"/>
        </w:rPr>
        <w:t>&lt;/Amend&gt;</w:t>
      </w:r>
    </w:p>
    <w:p w14:paraId="2C6F8FD6"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5</w:t>
      </w:r>
      <w:r w:rsidRPr="00E43809">
        <w:rPr>
          <w:rStyle w:val="HideTWBExt"/>
          <w:b w:val="0"/>
          <w:noProof w:val="0"/>
        </w:rPr>
        <w:t>&lt;/NumAm&gt;</w:t>
      </w:r>
    </w:p>
    <w:p w14:paraId="4EEDCC73"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13C92B1A" w14:textId="77777777" w:rsidR="00CA7E6B" w:rsidRPr="00E43809" w:rsidRDefault="00CA7E6B" w:rsidP="00402B06">
      <w:pPr>
        <w:pStyle w:val="NormalBold"/>
        <w:keepNext/>
      </w:pPr>
      <w:r w:rsidRPr="00E43809">
        <w:rPr>
          <w:rStyle w:val="HideTWBExt"/>
          <w:b w:val="0"/>
          <w:noProof w:val="0"/>
        </w:rPr>
        <w:t>&lt;Article&gt;</w:t>
      </w:r>
      <w:r w:rsidRPr="00E43809">
        <w:t>Airteagal 1 – mír 1 – fomhír 1</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09622B72" w14:textId="77777777" w:rsidTr="00CA7E6B">
        <w:trPr>
          <w:jc w:val="center"/>
        </w:trPr>
        <w:tc>
          <w:tcPr>
            <w:tcW w:w="9752" w:type="dxa"/>
            <w:gridSpan w:val="2"/>
          </w:tcPr>
          <w:p w14:paraId="27873753" w14:textId="77777777" w:rsidR="00CA7E6B" w:rsidRPr="00E43809" w:rsidRDefault="00CA7E6B">
            <w:pPr>
              <w:keepNext/>
            </w:pPr>
          </w:p>
        </w:tc>
      </w:tr>
      <w:tr w:rsidR="00CA7E6B" w:rsidRPr="00E43809" w14:paraId="2BB22F6B" w14:textId="77777777" w:rsidTr="00CA7E6B">
        <w:trPr>
          <w:jc w:val="center"/>
        </w:trPr>
        <w:tc>
          <w:tcPr>
            <w:tcW w:w="4876" w:type="dxa"/>
            <w:hideMark/>
          </w:tcPr>
          <w:p w14:paraId="1629620C" w14:textId="77777777" w:rsidR="00CA7E6B" w:rsidRPr="00E43809" w:rsidRDefault="00CA7E6B">
            <w:pPr>
              <w:pStyle w:val="ColumnHeading"/>
              <w:keepNext/>
            </w:pPr>
            <w:r w:rsidRPr="00E43809">
              <w:t>Téacs arna mholadh ag an gCoimisiún</w:t>
            </w:r>
          </w:p>
        </w:tc>
        <w:tc>
          <w:tcPr>
            <w:tcW w:w="4876" w:type="dxa"/>
            <w:hideMark/>
          </w:tcPr>
          <w:p w14:paraId="4CA33196" w14:textId="77777777" w:rsidR="00CA7E6B" w:rsidRPr="00E43809" w:rsidRDefault="00CA7E6B">
            <w:pPr>
              <w:pStyle w:val="ColumnHeading"/>
              <w:keepNext/>
            </w:pPr>
            <w:r w:rsidRPr="00E43809">
              <w:t>Leasú</w:t>
            </w:r>
          </w:p>
        </w:tc>
      </w:tr>
      <w:tr w:rsidR="00CA7E6B" w:rsidRPr="00E43809" w14:paraId="3BCC3075" w14:textId="77777777" w:rsidTr="00CA7E6B">
        <w:trPr>
          <w:jc w:val="center"/>
        </w:trPr>
        <w:tc>
          <w:tcPr>
            <w:tcW w:w="4876" w:type="dxa"/>
          </w:tcPr>
          <w:p w14:paraId="6DD1F33C" w14:textId="77777777" w:rsidR="00CA7E6B" w:rsidRPr="00E43809" w:rsidRDefault="00CA7E6B" w:rsidP="00402B06">
            <w:pPr>
              <w:pStyle w:val="Normal6"/>
            </w:pPr>
            <w:r w:rsidRPr="00E43809">
              <w:t xml:space="preserve">Beidh feidhm ag an Rialachán seo, i gcásanna ina mbeidh easaontacht dlíthe, maidir le héifeachtaí tríú páirtí ó thaobh sannadh éileamh de in ábhair shibhialta agus tráchtála. </w:t>
            </w:r>
          </w:p>
        </w:tc>
        <w:tc>
          <w:tcPr>
            <w:tcW w:w="4876" w:type="dxa"/>
          </w:tcPr>
          <w:p w14:paraId="2A6D3D0F" w14:textId="77777777" w:rsidR="00CA7E6B" w:rsidRPr="00E43809" w:rsidRDefault="00CA7E6B" w:rsidP="00402B06">
            <w:pPr>
              <w:pStyle w:val="Normal6"/>
            </w:pPr>
            <w:r w:rsidRPr="00E43809">
              <w:t xml:space="preserve">Beidh feidhm ag an Rialachán seo, i gcásanna ina mbeidh easaontacht dlíthe, maidir le héifeachtaí tríú páirtí ó thaobh sannadh éileamh de in ábhair shibhialta agus tráchtála </w:t>
            </w:r>
            <w:r w:rsidRPr="00E43809">
              <w:rPr>
                <w:b/>
                <w:bCs/>
                <w:i/>
                <w:iCs/>
              </w:rPr>
              <w:t xml:space="preserve">seachas éifeachtaí tríú páirtí ar fhéichiúnaí an éilimh ar sannadh dó. </w:t>
            </w:r>
            <w:r w:rsidRPr="00E43809">
              <w:t xml:space="preserve"> </w:t>
            </w:r>
          </w:p>
        </w:tc>
      </w:tr>
    </w:tbl>
    <w:p w14:paraId="236BC156"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77E4C8FF" w14:textId="77777777" w:rsidR="00CA7E6B" w:rsidRPr="00E43809" w:rsidRDefault="00CA7E6B" w:rsidP="00CA7E6B">
      <w:r w:rsidRPr="00E43809">
        <w:rPr>
          <w:rStyle w:val="HideTWBExt"/>
          <w:noProof w:val="0"/>
        </w:rPr>
        <w:t>&lt;/Amend&gt;</w:t>
      </w:r>
    </w:p>
    <w:p w14:paraId="1EFFC6CA"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6</w:t>
      </w:r>
      <w:r w:rsidRPr="00E43809">
        <w:rPr>
          <w:rStyle w:val="HideTWBExt"/>
          <w:b w:val="0"/>
          <w:noProof w:val="0"/>
        </w:rPr>
        <w:t>&lt;/NumAm&gt;</w:t>
      </w:r>
    </w:p>
    <w:p w14:paraId="5579F971"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43633785" w14:textId="77777777" w:rsidR="00CA7E6B" w:rsidRPr="00E43809" w:rsidRDefault="00CA7E6B" w:rsidP="00402B06">
      <w:pPr>
        <w:pStyle w:val="NormalBold"/>
        <w:keepNext/>
      </w:pPr>
      <w:r w:rsidRPr="00E43809">
        <w:rPr>
          <w:rStyle w:val="HideTWBExt"/>
          <w:b w:val="0"/>
          <w:noProof w:val="0"/>
        </w:rPr>
        <w:t>&lt;Article&gt;</w:t>
      </w:r>
      <w:r w:rsidRPr="00E43809">
        <w:t>Airteagal 1 – mír 2 – pointe f a (nua)</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072C5030" w14:textId="77777777" w:rsidTr="00CA7E6B">
        <w:trPr>
          <w:jc w:val="center"/>
        </w:trPr>
        <w:tc>
          <w:tcPr>
            <w:tcW w:w="9752" w:type="dxa"/>
            <w:gridSpan w:val="2"/>
          </w:tcPr>
          <w:p w14:paraId="5055D07E" w14:textId="77777777" w:rsidR="00CA7E6B" w:rsidRPr="00E43809" w:rsidRDefault="00CA7E6B">
            <w:pPr>
              <w:keepNext/>
            </w:pPr>
          </w:p>
        </w:tc>
      </w:tr>
      <w:tr w:rsidR="00CA7E6B" w:rsidRPr="00E43809" w14:paraId="0CB37A0A" w14:textId="77777777" w:rsidTr="00CA7E6B">
        <w:trPr>
          <w:jc w:val="center"/>
        </w:trPr>
        <w:tc>
          <w:tcPr>
            <w:tcW w:w="4876" w:type="dxa"/>
            <w:hideMark/>
          </w:tcPr>
          <w:p w14:paraId="4A0CEFD1" w14:textId="77777777" w:rsidR="00CA7E6B" w:rsidRPr="00E43809" w:rsidRDefault="00CA7E6B">
            <w:pPr>
              <w:pStyle w:val="ColumnHeading"/>
              <w:keepNext/>
            </w:pPr>
            <w:r w:rsidRPr="00E43809">
              <w:t>Téacs arna mholadh ag an gCoimisiún</w:t>
            </w:r>
          </w:p>
        </w:tc>
        <w:tc>
          <w:tcPr>
            <w:tcW w:w="4876" w:type="dxa"/>
            <w:hideMark/>
          </w:tcPr>
          <w:p w14:paraId="6D590F79" w14:textId="77777777" w:rsidR="00CA7E6B" w:rsidRPr="00E43809" w:rsidRDefault="00CA7E6B">
            <w:pPr>
              <w:pStyle w:val="ColumnHeading"/>
              <w:keepNext/>
            </w:pPr>
            <w:r w:rsidRPr="00E43809">
              <w:t>Leasú</w:t>
            </w:r>
          </w:p>
        </w:tc>
      </w:tr>
      <w:tr w:rsidR="00CA7E6B" w:rsidRPr="00E43809" w14:paraId="035F2DE5" w14:textId="77777777" w:rsidTr="00CA7E6B">
        <w:trPr>
          <w:jc w:val="center"/>
        </w:trPr>
        <w:tc>
          <w:tcPr>
            <w:tcW w:w="4876" w:type="dxa"/>
          </w:tcPr>
          <w:p w14:paraId="5C5D8675" w14:textId="77777777" w:rsidR="00CA7E6B" w:rsidRPr="00E43809" w:rsidRDefault="00CA7E6B">
            <w:pPr>
              <w:spacing w:after="240"/>
            </w:pPr>
          </w:p>
        </w:tc>
        <w:tc>
          <w:tcPr>
            <w:tcW w:w="4876" w:type="dxa"/>
          </w:tcPr>
          <w:p w14:paraId="0AFC1285" w14:textId="77777777" w:rsidR="00CA7E6B" w:rsidRPr="00E43809" w:rsidRDefault="00CA7E6B" w:rsidP="00A45B27">
            <w:pPr>
              <w:pStyle w:val="Normal6"/>
              <w:rPr>
                <w:b/>
                <w:bCs/>
                <w:i/>
                <w:iCs/>
              </w:rPr>
            </w:pPr>
            <w:r w:rsidRPr="00E43809">
              <w:rPr>
                <w:b/>
                <w:bCs/>
                <w:i/>
                <w:iCs/>
              </w:rPr>
              <w:t>(fa)</w:t>
            </w:r>
            <w:r w:rsidRPr="00E43809">
              <w:rPr>
                <w:b/>
                <w:bCs/>
                <w:i/>
                <w:iCs/>
              </w:rPr>
              <w:tab/>
              <w:t>éilimh a shannadh le linn comhimeachta faoi Rialachán (AE) 2015/848.</w:t>
            </w:r>
          </w:p>
        </w:tc>
      </w:tr>
    </w:tbl>
    <w:p w14:paraId="757058CB"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720B6332" w14:textId="77777777" w:rsidR="00CA7E6B" w:rsidRPr="00E43809" w:rsidRDefault="00CA7E6B" w:rsidP="00CA7E6B">
      <w:r w:rsidRPr="00E43809">
        <w:rPr>
          <w:rStyle w:val="HideTWBExt"/>
          <w:noProof w:val="0"/>
        </w:rPr>
        <w:t>&lt;/Amend&gt;</w:t>
      </w:r>
    </w:p>
    <w:p w14:paraId="39E97451"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7</w:t>
      </w:r>
      <w:r w:rsidRPr="00E43809">
        <w:rPr>
          <w:rStyle w:val="HideTWBExt"/>
          <w:b w:val="0"/>
          <w:noProof w:val="0"/>
        </w:rPr>
        <w:t>&lt;/NumAm&gt;</w:t>
      </w:r>
    </w:p>
    <w:p w14:paraId="4C202AB5"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09132F15" w14:textId="77777777" w:rsidR="00CA7E6B" w:rsidRPr="00E43809" w:rsidRDefault="00CA7E6B" w:rsidP="00402B06">
      <w:pPr>
        <w:pStyle w:val="NormalBold"/>
        <w:keepNext/>
      </w:pPr>
      <w:r w:rsidRPr="00E43809">
        <w:rPr>
          <w:rStyle w:val="HideTWBExt"/>
          <w:b w:val="0"/>
          <w:noProof w:val="0"/>
        </w:rPr>
        <w:t>&lt;Article&gt;</w:t>
      </w:r>
      <w:r w:rsidRPr="00E43809">
        <w:t>Airteagal 2 – mír 1 – pointe e</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27667B7B" w14:textId="77777777" w:rsidTr="00CA7E6B">
        <w:trPr>
          <w:jc w:val="center"/>
        </w:trPr>
        <w:tc>
          <w:tcPr>
            <w:tcW w:w="9752" w:type="dxa"/>
            <w:gridSpan w:val="2"/>
          </w:tcPr>
          <w:p w14:paraId="4001FD7D" w14:textId="77777777" w:rsidR="00CA7E6B" w:rsidRPr="00E43809" w:rsidRDefault="00CA7E6B">
            <w:pPr>
              <w:keepNext/>
            </w:pPr>
          </w:p>
        </w:tc>
      </w:tr>
      <w:tr w:rsidR="00CA7E6B" w:rsidRPr="00E43809" w14:paraId="42881B59" w14:textId="77777777" w:rsidTr="00CA7E6B">
        <w:trPr>
          <w:jc w:val="center"/>
        </w:trPr>
        <w:tc>
          <w:tcPr>
            <w:tcW w:w="4876" w:type="dxa"/>
            <w:hideMark/>
          </w:tcPr>
          <w:p w14:paraId="219BD3B6" w14:textId="77777777" w:rsidR="00CA7E6B" w:rsidRPr="00E43809" w:rsidRDefault="00CA7E6B">
            <w:pPr>
              <w:pStyle w:val="ColumnHeading"/>
              <w:keepNext/>
            </w:pPr>
            <w:r w:rsidRPr="00E43809">
              <w:t>Téacs arna mholadh ag an gCoimisiún</w:t>
            </w:r>
          </w:p>
        </w:tc>
        <w:tc>
          <w:tcPr>
            <w:tcW w:w="4876" w:type="dxa"/>
            <w:hideMark/>
          </w:tcPr>
          <w:p w14:paraId="72159F2B" w14:textId="77777777" w:rsidR="00CA7E6B" w:rsidRPr="00E43809" w:rsidRDefault="00CA7E6B">
            <w:pPr>
              <w:pStyle w:val="ColumnHeading"/>
              <w:keepNext/>
            </w:pPr>
            <w:r w:rsidRPr="00E43809">
              <w:t>Leasú</w:t>
            </w:r>
          </w:p>
        </w:tc>
      </w:tr>
      <w:tr w:rsidR="00CA7E6B" w:rsidRPr="00E43809" w14:paraId="06F000D3" w14:textId="77777777" w:rsidTr="00CA7E6B">
        <w:trPr>
          <w:jc w:val="center"/>
        </w:trPr>
        <w:tc>
          <w:tcPr>
            <w:tcW w:w="4876" w:type="dxa"/>
          </w:tcPr>
          <w:p w14:paraId="7A8E005E" w14:textId="77777777" w:rsidR="00CA7E6B" w:rsidRPr="00E43809" w:rsidRDefault="006F43A3" w:rsidP="000856D7">
            <w:pPr>
              <w:pStyle w:val="Normal6"/>
            </w:pPr>
            <w:r w:rsidRPr="00E43809">
              <w:t>(e)</w:t>
            </w:r>
            <w:r w:rsidRPr="00E43809">
              <w:tab/>
              <w:t>ciallaíonn "éifeachtaí tríú páirtí" éifeachtaí dílseánaigh, is é sin, ceart an tsannaí a theideal dlí a dhearbhú ar éileamh a shanntar dó i leith sannaithe nó tairbhithe eile ar an éileamh céanna nó ar éileamh atá coibhéiseach ó thaobh feidhme de, creidiúnaithe an tsannóra nó i leith tríú páirtithe eile;</w:t>
            </w:r>
          </w:p>
        </w:tc>
        <w:tc>
          <w:tcPr>
            <w:tcW w:w="4876" w:type="dxa"/>
          </w:tcPr>
          <w:p w14:paraId="34B10A97" w14:textId="77777777" w:rsidR="00CA7E6B" w:rsidRPr="00E43809" w:rsidRDefault="006F43A3" w:rsidP="000856D7">
            <w:pPr>
              <w:pStyle w:val="Normal6"/>
              <w:rPr>
                <w:szCs w:val="22"/>
              </w:rPr>
            </w:pPr>
            <w:r w:rsidRPr="00E43809">
              <w:t>(e)</w:t>
            </w:r>
            <w:r w:rsidRPr="00E43809">
              <w:tab/>
              <w:t xml:space="preserve">ciallaíonn ‘éifeachtaí tríú páirtí’ éifeachtaí dílseánaigh, is é sin, ceart an tsannaí a theideal dlí a dhearbhú ar éileamh a shanntar dó i leith sannaithe nó tairbhithe eile ar an éileamh céanna nó ar éileamh atá coibhéiseach ó thaobh feidhme de, creidiúnaithe an tsannóra nó i leith tríú páirtithe eile, </w:t>
            </w:r>
            <w:r w:rsidRPr="00E43809">
              <w:rPr>
                <w:b/>
                <w:i/>
              </w:rPr>
              <w:t>diomaite den fhéichiúnaí</w:t>
            </w:r>
            <w:r w:rsidRPr="00E43809">
              <w:t>;</w:t>
            </w:r>
          </w:p>
        </w:tc>
      </w:tr>
    </w:tbl>
    <w:p w14:paraId="405C5A72"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32069F4E" w14:textId="77777777" w:rsidR="00CA7E6B" w:rsidRPr="00E43809" w:rsidRDefault="00CA7E6B" w:rsidP="00CA7E6B">
      <w:r w:rsidRPr="00E43809">
        <w:rPr>
          <w:rStyle w:val="HideTWBExt"/>
          <w:noProof w:val="0"/>
        </w:rPr>
        <w:t>&lt;/Amend&gt;</w:t>
      </w:r>
    </w:p>
    <w:p w14:paraId="431A4FA6"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8</w:t>
      </w:r>
      <w:r w:rsidRPr="00E43809">
        <w:rPr>
          <w:rStyle w:val="HideTWBExt"/>
          <w:b w:val="0"/>
          <w:noProof w:val="0"/>
        </w:rPr>
        <w:t>&lt;/NumAm&gt;</w:t>
      </w:r>
    </w:p>
    <w:p w14:paraId="636E64C0"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1D1C049A" w14:textId="77777777" w:rsidR="00CA7E6B" w:rsidRPr="00E43809" w:rsidRDefault="00CA7E6B" w:rsidP="00402B06">
      <w:pPr>
        <w:pStyle w:val="NormalBold"/>
        <w:keepNext/>
      </w:pPr>
      <w:r w:rsidRPr="00E43809">
        <w:rPr>
          <w:rStyle w:val="HideTWBExt"/>
          <w:b w:val="0"/>
          <w:noProof w:val="0"/>
        </w:rPr>
        <w:t>&lt;Article&gt;</w:t>
      </w:r>
      <w:r w:rsidRPr="00E43809">
        <w:t>Airteagal 2 – mír 1 – pointe h</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4CB62E9D" w14:textId="77777777" w:rsidTr="00CA7E6B">
        <w:trPr>
          <w:jc w:val="center"/>
        </w:trPr>
        <w:tc>
          <w:tcPr>
            <w:tcW w:w="9752" w:type="dxa"/>
            <w:gridSpan w:val="2"/>
          </w:tcPr>
          <w:p w14:paraId="56E93C2B" w14:textId="77777777" w:rsidR="00CA7E6B" w:rsidRPr="00E43809" w:rsidRDefault="00CA7E6B">
            <w:pPr>
              <w:keepNext/>
            </w:pPr>
          </w:p>
        </w:tc>
      </w:tr>
      <w:tr w:rsidR="00CA7E6B" w:rsidRPr="00E43809" w14:paraId="716EAF8F" w14:textId="77777777" w:rsidTr="00CA7E6B">
        <w:trPr>
          <w:jc w:val="center"/>
        </w:trPr>
        <w:tc>
          <w:tcPr>
            <w:tcW w:w="4876" w:type="dxa"/>
            <w:hideMark/>
          </w:tcPr>
          <w:p w14:paraId="04271395" w14:textId="77777777" w:rsidR="00CA7E6B" w:rsidRPr="00E43809" w:rsidRDefault="00CA7E6B">
            <w:pPr>
              <w:pStyle w:val="ColumnHeading"/>
              <w:keepNext/>
            </w:pPr>
            <w:r w:rsidRPr="00E43809">
              <w:t>Téacs arna mholadh ag an gCoimisiún</w:t>
            </w:r>
          </w:p>
        </w:tc>
        <w:tc>
          <w:tcPr>
            <w:tcW w:w="4876" w:type="dxa"/>
            <w:hideMark/>
          </w:tcPr>
          <w:p w14:paraId="6A26E6BC" w14:textId="77777777" w:rsidR="00CA7E6B" w:rsidRPr="00E43809" w:rsidRDefault="00CA7E6B">
            <w:pPr>
              <w:pStyle w:val="ColumnHeading"/>
              <w:keepNext/>
            </w:pPr>
            <w:r w:rsidRPr="00E43809">
              <w:t>Leasú</w:t>
            </w:r>
          </w:p>
        </w:tc>
      </w:tr>
      <w:tr w:rsidR="00CA7E6B" w:rsidRPr="00E43809" w14:paraId="6505227F" w14:textId="77777777" w:rsidTr="00CA7E6B">
        <w:trPr>
          <w:jc w:val="center"/>
        </w:trPr>
        <w:tc>
          <w:tcPr>
            <w:tcW w:w="4876" w:type="dxa"/>
          </w:tcPr>
          <w:p w14:paraId="3E51E50E" w14:textId="77777777" w:rsidR="00CA7E6B" w:rsidRPr="00E43809" w:rsidRDefault="00BD56B3" w:rsidP="00BD56B3">
            <w:pPr>
              <w:pStyle w:val="Normal6"/>
              <w:rPr>
                <w:b/>
                <w:i/>
              </w:rPr>
            </w:pPr>
            <w:r w:rsidRPr="00E43809">
              <w:rPr>
                <w:b/>
                <w:i/>
              </w:rPr>
              <w:t>(h)</w:t>
            </w:r>
            <w:r w:rsidRPr="00E43809">
              <w:rPr>
                <w:b/>
                <w:i/>
              </w:rPr>
              <w:tab/>
              <w:t>ciallaíonn "airgead" airgead a chreidiúnaítear do chuntas in institiúid chreidmheasa in aon chineál airgeadra;</w:t>
            </w:r>
          </w:p>
        </w:tc>
        <w:tc>
          <w:tcPr>
            <w:tcW w:w="4876" w:type="dxa"/>
            <w:hideMark/>
          </w:tcPr>
          <w:p w14:paraId="66CD1756" w14:textId="77777777" w:rsidR="00CA7E6B" w:rsidRPr="00E43809" w:rsidRDefault="00CA7E6B">
            <w:pPr>
              <w:ind w:left="284" w:hanging="284"/>
              <w:rPr>
                <w:b/>
                <w:i/>
                <w:szCs w:val="24"/>
              </w:rPr>
            </w:pPr>
            <w:r w:rsidRPr="00E43809">
              <w:rPr>
                <w:b/>
                <w:i/>
              </w:rPr>
              <w:t>scriosta</w:t>
            </w:r>
          </w:p>
        </w:tc>
      </w:tr>
    </w:tbl>
    <w:p w14:paraId="11093D54"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2A82752A" w14:textId="77777777" w:rsidR="00CA7E6B" w:rsidRPr="00E43809" w:rsidRDefault="00CA7E6B" w:rsidP="00CA7E6B">
      <w:r w:rsidRPr="00E43809">
        <w:rPr>
          <w:rStyle w:val="HideTWBExt"/>
          <w:noProof w:val="0"/>
        </w:rPr>
        <w:t>&lt;/Amend&gt;</w:t>
      </w:r>
    </w:p>
    <w:p w14:paraId="69D5A831"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9</w:t>
      </w:r>
      <w:r w:rsidRPr="00E43809">
        <w:rPr>
          <w:rStyle w:val="HideTWBExt"/>
          <w:b w:val="0"/>
          <w:noProof w:val="0"/>
        </w:rPr>
        <w:t>&lt;/NumAm&gt;</w:t>
      </w:r>
    </w:p>
    <w:p w14:paraId="44A25B22"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238F0072" w14:textId="77777777" w:rsidR="00CA7E6B" w:rsidRPr="00E43809" w:rsidRDefault="00CA7E6B" w:rsidP="00402B06">
      <w:pPr>
        <w:pStyle w:val="NormalBold"/>
        <w:keepNext/>
      </w:pPr>
      <w:r w:rsidRPr="00E43809">
        <w:rPr>
          <w:rStyle w:val="HideTWBExt"/>
          <w:b w:val="0"/>
          <w:noProof w:val="0"/>
        </w:rPr>
        <w:t>&lt;Article&gt;</w:t>
      </w:r>
      <w:r w:rsidRPr="00E43809">
        <w:t xml:space="preserve">Airteagal 4 – mír 1 – fomhír 1 </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5ECC8670" w14:textId="77777777" w:rsidTr="00CA7E6B">
        <w:trPr>
          <w:jc w:val="center"/>
        </w:trPr>
        <w:tc>
          <w:tcPr>
            <w:tcW w:w="9752" w:type="dxa"/>
            <w:gridSpan w:val="2"/>
          </w:tcPr>
          <w:p w14:paraId="4010C7C4" w14:textId="77777777" w:rsidR="00CA7E6B" w:rsidRPr="00E43809" w:rsidRDefault="00CA7E6B">
            <w:pPr>
              <w:keepNext/>
            </w:pPr>
          </w:p>
        </w:tc>
      </w:tr>
      <w:tr w:rsidR="00CA7E6B" w:rsidRPr="00E43809" w14:paraId="39EF6E4E" w14:textId="77777777" w:rsidTr="00CA7E6B">
        <w:trPr>
          <w:jc w:val="center"/>
        </w:trPr>
        <w:tc>
          <w:tcPr>
            <w:tcW w:w="4876" w:type="dxa"/>
            <w:hideMark/>
          </w:tcPr>
          <w:p w14:paraId="674E6787" w14:textId="77777777" w:rsidR="00CA7E6B" w:rsidRPr="00E43809" w:rsidRDefault="00CA7E6B">
            <w:pPr>
              <w:pStyle w:val="ColumnHeading"/>
              <w:keepNext/>
            </w:pPr>
            <w:r w:rsidRPr="00E43809">
              <w:t>Téacs arna mholadh ag an gCoimisiún</w:t>
            </w:r>
          </w:p>
        </w:tc>
        <w:tc>
          <w:tcPr>
            <w:tcW w:w="4876" w:type="dxa"/>
            <w:hideMark/>
          </w:tcPr>
          <w:p w14:paraId="45E69503" w14:textId="77777777" w:rsidR="00CA7E6B" w:rsidRPr="00E43809" w:rsidRDefault="00CA7E6B">
            <w:pPr>
              <w:pStyle w:val="ColumnHeading"/>
              <w:keepNext/>
            </w:pPr>
            <w:r w:rsidRPr="00E43809">
              <w:t>Leasú</w:t>
            </w:r>
          </w:p>
        </w:tc>
      </w:tr>
      <w:tr w:rsidR="00CA7E6B" w:rsidRPr="00E43809" w14:paraId="5963E243" w14:textId="77777777" w:rsidTr="00CA7E6B">
        <w:trPr>
          <w:jc w:val="center"/>
        </w:trPr>
        <w:tc>
          <w:tcPr>
            <w:tcW w:w="4876" w:type="dxa"/>
            <w:hideMark/>
          </w:tcPr>
          <w:p w14:paraId="3167747D" w14:textId="77777777" w:rsidR="00CA7E6B" w:rsidRPr="00E43809" w:rsidRDefault="00CA7E6B">
            <w:pPr>
              <w:pStyle w:val="Normal6"/>
            </w:pPr>
            <w:r w:rsidRPr="00E43809">
              <w:t xml:space="preserve">Mura foráiltear a mhalairt san Airteagal seo, is é dlí na tíre ina bhfuil gnáthchónaí ar an sannóir ag an am </w:t>
            </w:r>
            <w:r w:rsidRPr="00E43809">
              <w:rPr>
                <w:b/>
                <w:i/>
              </w:rPr>
              <w:t>ábhartha</w:t>
            </w:r>
            <w:r w:rsidRPr="00E43809">
              <w:t xml:space="preserve"> an dlí lena rialófar éifeachtaí tríú páirtí ó thaobh sannadh éileamh de.</w:t>
            </w:r>
          </w:p>
        </w:tc>
        <w:tc>
          <w:tcPr>
            <w:tcW w:w="4876" w:type="dxa"/>
            <w:hideMark/>
          </w:tcPr>
          <w:p w14:paraId="68ECA431" w14:textId="77777777" w:rsidR="00CA7E6B" w:rsidRPr="00E43809" w:rsidRDefault="00CA7E6B" w:rsidP="00BD56B3">
            <w:pPr>
              <w:pStyle w:val="Normal6"/>
              <w:rPr>
                <w:i/>
                <w:szCs w:val="24"/>
              </w:rPr>
            </w:pPr>
            <w:r w:rsidRPr="00E43809">
              <w:t xml:space="preserve">Ach amháin má fhoráiltear a mhalairt san Airteagal seo, is é dlí na tíre ina bhfuil gnáthchónaí ar an sannóir </w:t>
            </w:r>
            <w:r w:rsidRPr="00E43809">
              <w:rPr>
                <w:b/>
                <w:i/>
              </w:rPr>
              <w:t>tráth a gcuirfear conradh an tsannta i gcrích</w:t>
            </w:r>
            <w:r w:rsidRPr="00E43809">
              <w:t xml:space="preserve"> lena rialófar éifeachtaí tríú páirtí ó thaobh sannadh éileamh de.</w:t>
            </w:r>
          </w:p>
        </w:tc>
      </w:tr>
    </w:tbl>
    <w:p w14:paraId="67EC04D8"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6482D0DF" w14:textId="77777777" w:rsidR="00CA7E6B" w:rsidRPr="00E43809" w:rsidRDefault="00CA7E6B" w:rsidP="00CA7E6B">
      <w:r w:rsidRPr="00E43809">
        <w:rPr>
          <w:rStyle w:val="HideTWBExt"/>
          <w:noProof w:val="0"/>
        </w:rPr>
        <w:t>&lt;/Amend&gt;</w:t>
      </w:r>
    </w:p>
    <w:p w14:paraId="0993E544"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10</w:t>
      </w:r>
      <w:r w:rsidRPr="00E43809">
        <w:rPr>
          <w:rStyle w:val="HideTWBExt"/>
          <w:b w:val="0"/>
          <w:noProof w:val="0"/>
        </w:rPr>
        <w:t>&lt;/NumAm&gt;</w:t>
      </w:r>
    </w:p>
    <w:p w14:paraId="09CF048C"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65EE3417" w14:textId="77777777" w:rsidR="00CA7E6B" w:rsidRPr="00E43809" w:rsidRDefault="00CA7E6B" w:rsidP="00402B06">
      <w:pPr>
        <w:pStyle w:val="NormalBold"/>
        <w:keepNext/>
      </w:pPr>
      <w:r w:rsidRPr="00E43809">
        <w:rPr>
          <w:rStyle w:val="HideTWBExt"/>
          <w:b w:val="0"/>
          <w:noProof w:val="0"/>
        </w:rPr>
        <w:t>&lt;Article&gt;</w:t>
      </w:r>
      <w:r w:rsidRPr="00E43809">
        <w:t>Airteagal 4 – mír 1 – fomhír 2</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1081087D" w14:textId="77777777" w:rsidTr="00CA7E6B">
        <w:trPr>
          <w:jc w:val="center"/>
        </w:trPr>
        <w:tc>
          <w:tcPr>
            <w:tcW w:w="9752" w:type="dxa"/>
            <w:gridSpan w:val="2"/>
          </w:tcPr>
          <w:p w14:paraId="7E515043" w14:textId="77777777" w:rsidR="00CA7E6B" w:rsidRPr="00E43809" w:rsidRDefault="00CA7E6B">
            <w:pPr>
              <w:keepNext/>
            </w:pPr>
          </w:p>
        </w:tc>
      </w:tr>
      <w:tr w:rsidR="00CA7E6B" w:rsidRPr="00E43809" w14:paraId="2BB5AB3B" w14:textId="77777777" w:rsidTr="00CA7E6B">
        <w:trPr>
          <w:jc w:val="center"/>
        </w:trPr>
        <w:tc>
          <w:tcPr>
            <w:tcW w:w="4876" w:type="dxa"/>
            <w:hideMark/>
          </w:tcPr>
          <w:p w14:paraId="412F577C" w14:textId="77777777" w:rsidR="00CA7E6B" w:rsidRPr="00E43809" w:rsidRDefault="00CA7E6B">
            <w:pPr>
              <w:pStyle w:val="ColumnHeading"/>
              <w:keepNext/>
            </w:pPr>
            <w:r w:rsidRPr="00E43809">
              <w:t>Téacs arna mholadh ag an gCoimisiún</w:t>
            </w:r>
          </w:p>
        </w:tc>
        <w:tc>
          <w:tcPr>
            <w:tcW w:w="4876" w:type="dxa"/>
            <w:hideMark/>
          </w:tcPr>
          <w:p w14:paraId="503C131A" w14:textId="77777777" w:rsidR="00CA7E6B" w:rsidRPr="00E43809" w:rsidRDefault="00CA7E6B">
            <w:pPr>
              <w:pStyle w:val="ColumnHeading"/>
              <w:keepNext/>
            </w:pPr>
            <w:r w:rsidRPr="00E43809">
              <w:t>Leasú</w:t>
            </w:r>
          </w:p>
        </w:tc>
      </w:tr>
      <w:tr w:rsidR="00CA7E6B" w:rsidRPr="00E43809" w14:paraId="6E7A307B" w14:textId="77777777" w:rsidTr="00CA7E6B">
        <w:trPr>
          <w:jc w:val="center"/>
        </w:trPr>
        <w:tc>
          <w:tcPr>
            <w:tcW w:w="4876" w:type="dxa"/>
          </w:tcPr>
          <w:p w14:paraId="7376C7A7" w14:textId="77777777" w:rsidR="00CA7E6B" w:rsidRPr="00E43809" w:rsidRDefault="00CA7E6B" w:rsidP="00BD56B3">
            <w:pPr>
              <w:pStyle w:val="Normal6"/>
            </w:pPr>
            <w:r w:rsidRPr="00E43809">
              <w:t>I gcás ina athróidh an sannóir áit a ghnáthchónaí idir dhá shannadh den éileamh céanna ar shannaithe éagsúla, beidh tosaíocht cirt sannaí ar cheart sannaí eile arna rialú ag an dlí maidir le gnáthchónaí an tsannóra ag am a tháinig an sannadh i bhfeidhm den chéad uair in aghaidh tríú páirtithe faoin dlí a ainmnítear mar an dlí is infheidhme de bhun na chéad fhomhíre.</w:t>
            </w:r>
          </w:p>
        </w:tc>
        <w:tc>
          <w:tcPr>
            <w:tcW w:w="4876" w:type="dxa"/>
          </w:tcPr>
          <w:p w14:paraId="2ED64DFA" w14:textId="77777777" w:rsidR="00CA7E6B" w:rsidRPr="00E43809" w:rsidRDefault="00CA7E6B" w:rsidP="00BD56B3">
            <w:pPr>
              <w:pStyle w:val="Normal6"/>
            </w:pPr>
            <w:r w:rsidRPr="00E43809">
              <w:t xml:space="preserve">I gcás ina n-athróidh an sannóir áit a ghnáthchónaí idir dhá shannadh den éileamh céanna do shannaithe éagsúla, beidh tosaíocht cirt sannaí ar cheart sannaí eile arna rialú ag an dlí maidir le gnáthchónaí an tsannóra tráth ar tháinig an sannadh i bhfeidhm den chéad uair in aghaidh tríú páirtithe </w:t>
            </w:r>
            <w:r w:rsidRPr="00E43809">
              <w:rPr>
                <w:b/>
                <w:i/>
              </w:rPr>
              <w:t>eile</w:t>
            </w:r>
            <w:r w:rsidRPr="00E43809">
              <w:t xml:space="preserve"> faoin dlí a ainmnítear mar an dlí is infheidhme de bhun na chéad fhomhíre.</w:t>
            </w:r>
          </w:p>
        </w:tc>
      </w:tr>
    </w:tbl>
    <w:p w14:paraId="60A2D585"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61E62C73" w14:textId="77777777" w:rsidR="00CA7E6B" w:rsidRPr="00E43809" w:rsidRDefault="00CA7E6B" w:rsidP="00CA7E6B">
      <w:r w:rsidRPr="00E43809">
        <w:rPr>
          <w:rStyle w:val="HideTWBExt"/>
          <w:noProof w:val="0"/>
        </w:rPr>
        <w:t>&lt;/Amend&gt;</w:t>
      </w:r>
    </w:p>
    <w:p w14:paraId="56442F83"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11</w:t>
      </w:r>
      <w:r w:rsidRPr="00E43809">
        <w:rPr>
          <w:rStyle w:val="HideTWBExt"/>
          <w:b w:val="0"/>
          <w:noProof w:val="0"/>
        </w:rPr>
        <w:t>&lt;/NumAm&gt;</w:t>
      </w:r>
    </w:p>
    <w:p w14:paraId="10DF9879"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6CE9124D" w14:textId="77777777" w:rsidR="00CA7E6B" w:rsidRPr="00E43809" w:rsidRDefault="00CA7E6B" w:rsidP="00402B06">
      <w:pPr>
        <w:pStyle w:val="NormalBold"/>
        <w:keepNext/>
      </w:pPr>
      <w:r w:rsidRPr="00E43809">
        <w:rPr>
          <w:rStyle w:val="HideTWBExt"/>
          <w:b w:val="0"/>
          <w:noProof w:val="0"/>
        </w:rPr>
        <w:t>&lt;Article&gt;</w:t>
      </w:r>
      <w:r w:rsidRPr="00E43809">
        <w:t>Airteagal 4 – mír 2 – an chuid réamhráiteach</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186CEEFF" w14:textId="77777777" w:rsidTr="00CA7E6B">
        <w:trPr>
          <w:jc w:val="center"/>
        </w:trPr>
        <w:tc>
          <w:tcPr>
            <w:tcW w:w="9752" w:type="dxa"/>
            <w:gridSpan w:val="2"/>
          </w:tcPr>
          <w:p w14:paraId="44700497" w14:textId="77777777" w:rsidR="00CA7E6B" w:rsidRPr="00E43809" w:rsidRDefault="00CA7E6B">
            <w:pPr>
              <w:keepNext/>
            </w:pPr>
          </w:p>
        </w:tc>
      </w:tr>
      <w:tr w:rsidR="00CA7E6B" w:rsidRPr="00E43809" w14:paraId="0CB035E4" w14:textId="77777777" w:rsidTr="00CA7E6B">
        <w:trPr>
          <w:jc w:val="center"/>
        </w:trPr>
        <w:tc>
          <w:tcPr>
            <w:tcW w:w="4876" w:type="dxa"/>
            <w:hideMark/>
          </w:tcPr>
          <w:p w14:paraId="261973D2" w14:textId="77777777" w:rsidR="00CA7E6B" w:rsidRPr="00E43809" w:rsidRDefault="00CA7E6B">
            <w:pPr>
              <w:pStyle w:val="ColumnHeading"/>
              <w:keepNext/>
            </w:pPr>
            <w:r w:rsidRPr="00E43809">
              <w:t>Téacs arna mholadh ag an gCoimisiún</w:t>
            </w:r>
          </w:p>
        </w:tc>
        <w:tc>
          <w:tcPr>
            <w:tcW w:w="4876" w:type="dxa"/>
            <w:hideMark/>
          </w:tcPr>
          <w:p w14:paraId="397D0832" w14:textId="77777777" w:rsidR="00CA7E6B" w:rsidRPr="00E43809" w:rsidRDefault="00CA7E6B">
            <w:pPr>
              <w:pStyle w:val="ColumnHeading"/>
              <w:keepNext/>
            </w:pPr>
            <w:r w:rsidRPr="00E43809">
              <w:t>Leasú</w:t>
            </w:r>
          </w:p>
        </w:tc>
      </w:tr>
      <w:tr w:rsidR="00CA7E6B" w:rsidRPr="00E43809" w14:paraId="5733F83F" w14:textId="77777777" w:rsidTr="00CA7E6B">
        <w:trPr>
          <w:jc w:val="center"/>
        </w:trPr>
        <w:tc>
          <w:tcPr>
            <w:tcW w:w="4876" w:type="dxa"/>
          </w:tcPr>
          <w:p w14:paraId="5F10297E" w14:textId="77777777" w:rsidR="00CA7E6B" w:rsidRPr="00E43809" w:rsidRDefault="00CA7E6B" w:rsidP="00BD56B3">
            <w:pPr>
              <w:pStyle w:val="Normal6"/>
            </w:pPr>
            <w:r w:rsidRPr="00E43809">
              <w:t>2.</w:t>
            </w:r>
            <w:r w:rsidRPr="00E43809">
              <w:tab/>
              <w:t xml:space="preserve">Rialóidh </w:t>
            </w:r>
            <w:r w:rsidRPr="00E43809">
              <w:rPr>
                <w:b/>
                <w:i/>
              </w:rPr>
              <w:t>an</w:t>
            </w:r>
            <w:r w:rsidRPr="00E43809">
              <w:t xml:space="preserve"> dlí is infheidhme i ndáil leis an éileamh arna shannadh éifeachtaí tríú páirtí maidir le sannadh na nithe seo a leanas:</w:t>
            </w:r>
          </w:p>
        </w:tc>
        <w:tc>
          <w:tcPr>
            <w:tcW w:w="4876" w:type="dxa"/>
          </w:tcPr>
          <w:p w14:paraId="0A14B36C" w14:textId="77777777" w:rsidR="00CA7E6B" w:rsidRPr="00E43809" w:rsidRDefault="00CA7E6B" w:rsidP="00BD56B3">
            <w:pPr>
              <w:pStyle w:val="Normal6"/>
            </w:pPr>
            <w:r w:rsidRPr="00E43809">
              <w:t>2.</w:t>
            </w:r>
            <w:r w:rsidRPr="00E43809">
              <w:tab/>
            </w:r>
            <w:r w:rsidRPr="00E43809">
              <w:rPr>
                <w:b/>
                <w:i/>
              </w:rPr>
              <w:t xml:space="preserve">D’ainneoin mír 1 den Airteagal seo, </w:t>
            </w:r>
            <w:r w:rsidRPr="00E43809">
              <w:t xml:space="preserve">rialóidh </w:t>
            </w:r>
            <w:r w:rsidRPr="00E43809">
              <w:rPr>
                <w:b/>
                <w:i/>
              </w:rPr>
              <w:t xml:space="preserve">an </w:t>
            </w:r>
            <w:r w:rsidRPr="00E43809">
              <w:t>dlí is infheidhme i ndáil leis an éileamh arna shannadh éifeachtaí tríú páirtí maidir le sannadh na nithe seo a leanas:</w:t>
            </w:r>
          </w:p>
        </w:tc>
      </w:tr>
    </w:tbl>
    <w:p w14:paraId="7FC763B2"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1F48A990" w14:textId="77777777" w:rsidR="00CA7E6B" w:rsidRPr="00E43809" w:rsidRDefault="00CA7E6B" w:rsidP="00CA7E6B">
      <w:r w:rsidRPr="00E43809">
        <w:rPr>
          <w:rStyle w:val="HideTWBExt"/>
          <w:noProof w:val="0"/>
        </w:rPr>
        <w:t>&lt;/Amend&gt;</w:t>
      </w:r>
    </w:p>
    <w:p w14:paraId="419DC391"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12</w:t>
      </w:r>
      <w:r w:rsidRPr="00E43809">
        <w:rPr>
          <w:rStyle w:val="HideTWBExt"/>
          <w:b w:val="0"/>
          <w:noProof w:val="0"/>
        </w:rPr>
        <w:t>&lt;/NumAm&gt;</w:t>
      </w:r>
    </w:p>
    <w:p w14:paraId="5C646BBD"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1386183D" w14:textId="77777777" w:rsidR="00CA7E6B" w:rsidRPr="00E43809" w:rsidRDefault="00980788" w:rsidP="00402B06">
      <w:pPr>
        <w:pStyle w:val="NormalBold"/>
        <w:keepNext/>
      </w:pPr>
      <w:r w:rsidRPr="00E43809">
        <w:rPr>
          <w:rStyle w:val="HideTWBExt"/>
          <w:b w:val="0"/>
          <w:noProof w:val="0"/>
        </w:rPr>
        <w:t>&lt;Article&gt;</w:t>
      </w:r>
      <w:r w:rsidRPr="00E43809">
        <w:t>Airteagal 4 – mír 2 – pointe a</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6FD365C9" w14:textId="77777777" w:rsidTr="00CA7E6B">
        <w:trPr>
          <w:jc w:val="center"/>
        </w:trPr>
        <w:tc>
          <w:tcPr>
            <w:tcW w:w="9752" w:type="dxa"/>
            <w:gridSpan w:val="2"/>
          </w:tcPr>
          <w:p w14:paraId="1A5CA930" w14:textId="77777777" w:rsidR="00CA7E6B" w:rsidRPr="00E43809" w:rsidRDefault="00CA7E6B">
            <w:pPr>
              <w:keepNext/>
            </w:pPr>
          </w:p>
        </w:tc>
      </w:tr>
      <w:tr w:rsidR="00CA7E6B" w:rsidRPr="00E43809" w14:paraId="45D4C857" w14:textId="77777777" w:rsidTr="00CA7E6B">
        <w:trPr>
          <w:jc w:val="center"/>
        </w:trPr>
        <w:tc>
          <w:tcPr>
            <w:tcW w:w="4876" w:type="dxa"/>
            <w:hideMark/>
          </w:tcPr>
          <w:p w14:paraId="1BF4B793" w14:textId="77777777" w:rsidR="00CA7E6B" w:rsidRPr="00E43809" w:rsidRDefault="00CA7E6B">
            <w:pPr>
              <w:pStyle w:val="ColumnHeading"/>
              <w:keepNext/>
            </w:pPr>
            <w:r w:rsidRPr="00E43809">
              <w:t>Téacs arna mholadh ag an gCoimisiún</w:t>
            </w:r>
          </w:p>
        </w:tc>
        <w:tc>
          <w:tcPr>
            <w:tcW w:w="4876" w:type="dxa"/>
            <w:hideMark/>
          </w:tcPr>
          <w:p w14:paraId="16333714" w14:textId="77777777" w:rsidR="00CA7E6B" w:rsidRPr="00E43809" w:rsidRDefault="00CA7E6B">
            <w:pPr>
              <w:pStyle w:val="ColumnHeading"/>
              <w:keepNext/>
            </w:pPr>
            <w:r w:rsidRPr="00E43809">
              <w:t>Leasú</w:t>
            </w:r>
          </w:p>
        </w:tc>
      </w:tr>
      <w:tr w:rsidR="00CA7E6B" w:rsidRPr="00E43809" w14:paraId="097E484C" w14:textId="77777777" w:rsidTr="00CA7E6B">
        <w:trPr>
          <w:jc w:val="center"/>
        </w:trPr>
        <w:tc>
          <w:tcPr>
            <w:tcW w:w="4876" w:type="dxa"/>
          </w:tcPr>
          <w:p w14:paraId="0F1695CA" w14:textId="77777777" w:rsidR="00CA7E6B" w:rsidRPr="00E43809" w:rsidRDefault="00B05F09" w:rsidP="00BD56B3">
            <w:pPr>
              <w:pStyle w:val="Normal6"/>
            </w:pPr>
            <w:r w:rsidRPr="00E43809">
              <w:t>(a)</w:t>
            </w:r>
            <w:r w:rsidRPr="00E43809">
              <w:tab/>
            </w:r>
            <w:r w:rsidRPr="00E43809">
              <w:rPr>
                <w:b/>
                <w:i/>
              </w:rPr>
              <w:t xml:space="preserve">airgead tirim </w:t>
            </w:r>
            <w:r w:rsidRPr="00E43809">
              <w:t>a chreidiúnaítear do chuntas in institiúid chreidmheasa;</w:t>
            </w:r>
          </w:p>
        </w:tc>
        <w:tc>
          <w:tcPr>
            <w:tcW w:w="4876" w:type="dxa"/>
          </w:tcPr>
          <w:p w14:paraId="707D143C" w14:textId="77777777" w:rsidR="00CA7E6B" w:rsidRPr="00E43809" w:rsidRDefault="00745FCA" w:rsidP="00BD56B3">
            <w:pPr>
              <w:pStyle w:val="Normal6"/>
              <w:rPr>
                <w:szCs w:val="22"/>
              </w:rPr>
            </w:pPr>
            <w:r w:rsidRPr="00E43809">
              <w:t>(a)</w:t>
            </w:r>
            <w:r w:rsidRPr="00E43809">
              <w:tab/>
            </w:r>
            <w:r w:rsidRPr="00E43809">
              <w:rPr>
                <w:b/>
                <w:i/>
              </w:rPr>
              <w:t>airgead</w:t>
            </w:r>
            <w:r w:rsidRPr="00E43809">
              <w:t xml:space="preserve"> a chreidiúnaítear do chuntas in institiúid chreidmheasa;</w:t>
            </w:r>
          </w:p>
        </w:tc>
      </w:tr>
    </w:tbl>
    <w:p w14:paraId="4CA840E2"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6DCDFD8F" w14:textId="77777777" w:rsidR="00CA7E6B" w:rsidRPr="00E43809" w:rsidRDefault="00CA7E6B" w:rsidP="00CA7E6B">
      <w:r w:rsidRPr="00E43809">
        <w:rPr>
          <w:rStyle w:val="HideTWBExt"/>
          <w:noProof w:val="0"/>
        </w:rPr>
        <w:t>&lt;/Amend&gt;</w:t>
      </w:r>
    </w:p>
    <w:p w14:paraId="12854087"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13</w:t>
      </w:r>
      <w:r w:rsidRPr="00E43809">
        <w:rPr>
          <w:rStyle w:val="HideTWBExt"/>
          <w:b w:val="0"/>
          <w:noProof w:val="0"/>
        </w:rPr>
        <w:t>&lt;/NumAm&gt;</w:t>
      </w:r>
    </w:p>
    <w:p w14:paraId="1D092BF9"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03E8BA64" w14:textId="77777777" w:rsidR="00CA7E6B" w:rsidRPr="00E43809" w:rsidRDefault="00CA7E6B" w:rsidP="00402B06">
      <w:pPr>
        <w:pStyle w:val="NormalBold"/>
        <w:keepNext/>
      </w:pPr>
      <w:r w:rsidRPr="00E43809">
        <w:rPr>
          <w:rStyle w:val="HideTWBExt"/>
          <w:b w:val="0"/>
          <w:noProof w:val="0"/>
        </w:rPr>
        <w:t>&lt;Article&gt;</w:t>
      </w:r>
      <w:r w:rsidRPr="00E43809">
        <w:t>Airteagal 4 – mír 3 – fomhír 1</w:t>
      </w:r>
      <w:r w:rsidRPr="00E4380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372F654E" w14:textId="77777777" w:rsidTr="00402B06">
        <w:trPr>
          <w:jc w:val="center"/>
        </w:trPr>
        <w:tc>
          <w:tcPr>
            <w:tcW w:w="9752" w:type="dxa"/>
            <w:gridSpan w:val="2"/>
          </w:tcPr>
          <w:p w14:paraId="12433405" w14:textId="77777777" w:rsidR="00CA7E6B" w:rsidRPr="00E43809" w:rsidRDefault="00CA7E6B">
            <w:pPr>
              <w:keepNext/>
            </w:pPr>
          </w:p>
        </w:tc>
      </w:tr>
      <w:tr w:rsidR="00CA7E6B" w:rsidRPr="00E43809" w14:paraId="45DC1DFB" w14:textId="77777777" w:rsidTr="00402B06">
        <w:trPr>
          <w:jc w:val="center"/>
        </w:trPr>
        <w:tc>
          <w:tcPr>
            <w:tcW w:w="4876" w:type="dxa"/>
            <w:hideMark/>
          </w:tcPr>
          <w:p w14:paraId="304E31BC" w14:textId="77777777" w:rsidR="00CA7E6B" w:rsidRPr="00E43809" w:rsidRDefault="00CA7E6B">
            <w:pPr>
              <w:pStyle w:val="ColumnHeading"/>
              <w:keepNext/>
            </w:pPr>
            <w:r w:rsidRPr="00E43809">
              <w:t>Téacs arna mholadh ag an gCoimisiún</w:t>
            </w:r>
          </w:p>
        </w:tc>
        <w:tc>
          <w:tcPr>
            <w:tcW w:w="4876" w:type="dxa"/>
            <w:hideMark/>
          </w:tcPr>
          <w:p w14:paraId="42D6CF51" w14:textId="77777777" w:rsidR="00CA7E6B" w:rsidRPr="00E43809" w:rsidRDefault="00CA7E6B">
            <w:pPr>
              <w:pStyle w:val="ColumnHeading"/>
              <w:keepNext/>
            </w:pPr>
            <w:r w:rsidRPr="00E43809">
              <w:t>Leasú</w:t>
            </w:r>
          </w:p>
        </w:tc>
      </w:tr>
      <w:tr w:rsidR="00CA7E6B" w:rsidRPr="00E43809" w14:paraId="0C7EDB75" w14:textId="77777777" w:rsidTr="00402B06">
        <w:trPr>
          <w:jc w:val="center"/>
        </w:trPr>
        <w:tc>
          <w:tcPr>
            <w:tcW w:w="4876" w:type="dxa"/>
          </w:tcPr>
          <w:p w14:paraId="287711EF" w14:textId="77777777" w:rsidR="00CA7E6B" w:rsidRPr="00E43809" w:rsidRDefault="00CA7E6B" w:rsidP="00402B06">
            <w:pPr>
              <w:pStyle w:val="Normal6"/>
            </w:pPr>
            <w:r w:rsidRPr="00E43809">
              <w:t xml:space="preserve">Féadfaidh </w:t>
            </w:r>
            <w:r w:rsidRPr="00E43809">
              <w:rPr>
                <w:b/>
                <w:i/>
              </w:rPr>
              <w:t>an</w:t>
            </w:r>
            <w:r w:rsidRPr="00E43809">
              <w:t xml:space="preserve"> sannóir agus an sannaí an dlí is infheidhme i ndáil leis an </w:t>
            </w:r>
            <w:r w:rsidRPr="00E43809">
              <w:rPr>
                <w:b/>
                <w:i/>
              </w:rPr>
              <w:t>éileamh</w:t>
            </w:r>
            <w:r w:rsidRPr="00E43809">
              <w:t xml:space="preserve"> arna shannadh a roghnú mar an dlí is infheidhme i ndáil le héifeachtaí tríú páirtí </w:t>
            </w:r>
            <w:r w:rsidRPr="00E43809">
              <w:rPr>
                <w:b/>
                <w:i/>
              </w:rPr>
              <w:t>ó thaobh sannadh éileamh de i bhfianaise urrúsú</w:t>
            </w:r>
            <w:r w:rsidRPr="00E43809">
              <w:t>.</w:t>
            </w:r>
          </w:p>
        </w:tc>
        <w:tc>
          <w:tcPr>
            <w:tcW w:w="4876" w:type="dxa"/>
          </w:tcPr>
          <w:p w14:paraId="7AF7B8F0" w14:textId="77777777" w:rsidR="00CA7E6B" w:rsidRPr="00E43809" w:rsidRDefault="000018E9" w:rsidP="00DE3D47">
            <w:pPr>
              <w:pStyle w:val="Normal6"/>
            </w:pPr>
            <w:r w:rsidRPr="00E43809">
              <w:rPr>
                <w:b/>
                <w:i/>
              </w:rPr>
              <w:t xml:space="preserve">Maidir le sannadh éileamh dá dtagraítear i mír 2 chun críche urrúsaithe, </w:t>
            </w:r>
            <w:r w:rsidRPr="00E43809">
              <w:t>féadfaidh</w:t>
            </w:r>
            <w:r w:rsidRPr="00E43809">
              <w:rPr>
                <w:b/>
                <w:i/>
              </w:rPr>
              <w:t xml:space="preserve"> an</w:t>
            </w:r>
            <w:r w:rsidRPr="00E43809">
              <w:t xml:space="preserve"> sannóir agus an sannaí a roghnú </w:t>
            </w:r>
            <w:r w:rsidRPr="00E43809">
              <w:rPr>
                <w:b/>
                <w:i/>
              </w:rPr>
              <w:t>go mbeidh feidhm</w:t>
            </w:r>
            <w:r w:rsidRPr="00E43809">
              <w:t xml:space="preserve"> ag an dlí is infheidhme i ndáil leis an </w:t>
            </w:r>
            <w:r w:rsidRPr="00E43809">
              <w:rPr>
                <w:b/>
                <w:i/>
              </w:rPr>
              <w:t>líon is mó</w:t>
            </w:r>
            <w:r w:rsidRPr="00E43809">
              <w:t xml:space="preserve"> </w:t>
            </w:r>
            <w:r w:rsidRPr="00E43809">
              <w:rPr>
                <w:b/>
                <w:i/>
              </w:rPr>
              <w:t>éileamh</w:t>
            </w:r>
            <w:r w:rsidRPr="00E43809">
              <w:t xml:space="preserve"> arna sannadh mar an dlí is infheidhme i ndáil le héifeachtaí tríú páirtí </w:t>
            </w:r>
            <w:r w:rsidRPr="00E43809">
              <w:rPr>
                <w:b/>
                <w:i/>
              </w:rPr>
              <w:t>ó thaobh gach sannadh éileamh de</w:t>
            </w:r>
            <w:r w:rsidRPr="00E43809">
              <w:t xml:space="preserve">. </w:t>
            </w:r>
          </w:p>
        </w:tc>
      </w:tr>
    </w:tbl>
    <w:p w14:paraId="79B5CC2D"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4E66CEC9" w14:textId="77777777" w:rsidR="00CA7E6B" w:rsidRPr="00E43809" w:rsidRDefault="00CA7E6B" w:rsidP="00CA7E6B">
      <w:r w:rsidRPr="00E43809">
        <w:rPr>
          <w:rStyle w:val="HideTWBExt"/>
          <w:noProof w:val="0"/>
        </w:rPr>
        <w:t>&lt;/Amend&gt;</w:t>
      </w:r>
    </w:p>
    <w:p w14:paraId="5917D959"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14</w:t>
      </w:r>
      <w:r w:rsidRPr="00E43809">
        <w:rPr>
          <w:rStyle w:val="HideTWBExt"/>
          <w:b w:val="0"/>
          <w:noProof w:val="0"/>
        </w:rPr>
        <w:t>&lt;/NumAm&gt;</w:t>
      </w:r>
    </w:p>
    <w:p w14:paraId="02FA0D7E"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4DE44C4D" w14:textId="77777777" w:rsidR="00CA7E6B" w:rsidRPr="00E43809" w:rsidRDefault="00CA7E6B" w:rsidP="00402B06">
      <w:pPr>
        <w:pStyle w:val="NormalBold"/>
        <w:keepNext/>
      </w:pPr>
      <w:r w:rsidRPr="00E43809">
        <w:rPr>
          <w:rStyle w:val="HideTWBExt"/>
          <w:b w:val="0"/>
          <w:noProof w:val="0"/>
        </w:rPr>
        <w:t>&lt;Article&gt;</w:t>
      </w:r>
      <w:r w:rsidRPr="00E43809">
        <w:t>Airteagal 4 – mír 4</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7A7492F7" w14:textId="77777777" w:rsidTr="00CA7E6B">
        <w:trPr>
          <w:jc w:val="center"/>
        </w:trPr>
        <w:tc>
          <w:tcPr>
            <w:tcW w:w="9752" w:type="dxa"/>
            <w:gridSpan w:val="2"/>
          </w:tcPr>
          <w:p w14:paraId="4A500249" w14:textId="77777777" w:rsidR="00CA7E6B" w:rsidRPr="00E43809" w:rsidRDefault="00CA7E6B">
            <w:pPr>
              <w:keepNext/>
            </w:pPr>
          </w:p>
        </w:tc>
      </w:tr>
      <w:tr w:rsidR="00CA7E6B" w:rsidRPr="00E43809" w14:paraId="2CD3A8CF" w14:textId="77777777" w:rsidTr="00CA7E6B">
        <w:trPr>
          <w:jc w:val="center"/>
        </w:trPr>
        <w:tc>
          <w:tcPr>
            <w:tcW w:w="4876" w:type="dxa"/>
            <w:hideMark/>
          </w:tcPr>
          <w:p w14:paraId="653715E0" w14:textId="77777777" w:rsidR="00CA7E6B" w:rsidRPr="00E43809" w:rsidRDefault="00CA7E6B">
            <w:pPr>
              <w:pStyle w:val="ColumnHeading"/>
              <w:keepNext/>
            </w:pPr>
            <w:r w:rsidRPr="00E43809">
              <w:t>Téacs arna mholadh ag an gCoimisiún</w:t>
            </w:r>
          </w:p>
        </w:tc>
        <w:tc>
          <w:tcPr>
            <w:tcW w:w="4876" w:type="dxa"/>
            <w:hideMark/>
          </w:tcPr>
          <w:p w14:paraId="0D4F0DDE" w14:textId="77777777" w:rsidR="00CA7E6B" w:rsidRPr="00E43809" w:rsidRDefault="00CA7E6B">
            <w:pPr>
              <w:pStyle w:val="ColumnHeading"/>
              <w:keepNext/>
            </w:pPr>
            <w:r w:rsidRPr="00E43809">
              <w:t>Leasú</w:t>
            </w:r>
          </w:p>
        </w:tc>
      </w:tr>
      <w:tr w:rsidR="00CA7E6B" w:rsidRPr="00E43809" w14:paraId="27F9EAB8" w14:textId="77777777" w:rsidTr="00CA7E6B">
        <w:trPr>
          <w:jc w:val="center"/>
        </w:trPr>
        <w:tc>
          <w:tcPr>
            <w:tcW w:w="4876" w:type="dxa"/>
          </w:tcPr>
          <w:p w14:paraId="4EFFD8A7" w14:textId="77777777" w:rsidR="00CA7E6B" w:rsidRPr="00E43809" w:rsidRDefault="00CA7E6B" w:rsidP="00BD56B3">
            <w:pPr>
              <w:pStyle w:val="Normal6"/>
            </w:pPr>
            <w:r w:rsidRPr="00E43809">
              <w:t>4.</w:t>
            </w:r>
            <w:r w:rsidRPr="00E43809">
              <w:tab/>
              <w:t xml:space="preserve">Déanfar coinbhleacht tosaíochta idir sannaithe an éilimh chéanna áit a bhfuil éifeachtaí tríú páirtí ceann amháin de na sanntaí arna rialú ag dlí na tíre ina bhfuil gnáthchónaí ar an sannóir agus éifeachtaí tríú páirtí sanntaí eile arna rialú ag an dlí is infheidhme i ndáil leis an éileamh arna shannadh, déanfar an choinbhleacht sin a rialú ag an dlí is infheidhme i ndáil le héifeachtaí tríú páirtí an éilimh arna shannadh a raibh feidhm leis den chéad uair in aghaidh tríú páirtithe faoin dlí is infheidhme. </w:t>
            </w:r>
          </w:p>
        </w:tc>
        <w:tc>
          <w:tcPr>
            <w:tcW w:w="4876" w:type="dxa"/>
          </w:tcPr>
          <w:p w14:paraId="48275523" w14:textId="77777777" w:rsidR="00CA7E6B" w:rsidRPr="00E43809" w:rsidRDefault="00CA7E6B" w:rsidP="00BD56B3">
            <w:pPr>
              <w:pStyle w:val="Normal6"/>
            </w:pPr>
            <w:r w:rsidRPr="00E43809">
              <w:t>4.</w:t>
            </w:r>
            <w:r w:rsidRPr="00E43809">
              <w:tab/>
              <w:t xml:space="preserve">Maidir le coinbhleacht tosaíochta idir sannaithe an éilimh chéanna i gcás ina bhfuil éifeachtaí tríú páirtí ceann amháin de na sannacháin arna rialú ag dlí na tíre ina bhfuil gnáthchónaí ar an sannóir agus éifeachtaí tríú páirtí sannacháin eile arna rialú ag an dlí is infheidhme i ndáil leis an éileamh arna shannadh, déanfar an choinbhleacht sin a rialú ag an dlí is infheidhme i ndáil le héifeachtaí tríú páirtí an éilimh arna shannadh a raibh feidhm leis den chéad uair in aghaidh tríú páirtithe </w:t>
            </w:r>
            <w:r w:rsidRPr="00E43809">
              <w:rPr>
                <w:b/>
                <w:i/>
              </w:rPr>
              <w:t xml:space="preserve">eile </w:t>
            </w:r>
            <w:r w:rsidRPr="00E43809">
              <w:t xml:space="preserve">faoin dlí is infheidhme. </w:t>
            </w:r>
          </w:p>
        </w:tc>
      </w:tr>
    </w:tbl>
    <w:p w14:paraId="39AE67DD"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72D36D03" w14:textId="77777777" w:rsidR="00CA7E6B" w:rsidRPr="00E43809" w:rsidRDefault="00CA7E6B" w:rsidP="00CA7E6B">
      <w:r w:rsidRPr="00E43809">
        <w:rPr>
          <w:rStyle w:val="HideTWBExt"/>
          <w:noProof w:val="0"/>
        </w:rPr>
        <w:t>&lt;/Amend&gt;</w:t>
      </w:r>
    </w:p>
    <w:p w14:paraId="340A033A"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15</w:t>
      </w:r>
      <w:r w:rsidRPr="00E43809">
        <w:rPr>
          <w:rStyle w:val="HideTWBExt"/>
          <w:b w:val="0"/>
          <w:noProof w:val="0"/>
        </w:rPr>
        <w:t>&lt;/NumAm&gt;</w:t>
      </w:r>
    </w:p>
    <w:p w14:paraId="7F2A9AB6"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207E45BC" w14:textId="77777777" w:rsidR="00CA7E6B" w:rsidRPr="00E43809" w:rsidRDefault="00CA7E6B" w:rsidP="00402B06">
      <w:pPr>
        <w:pStyle w:val="NormalBold"/>
        <w:keepNext/>
      </w:pPr>
      <w:r w:rsidRPr="00E43809">
        <w:rPr>
          <w:rStyle w:val="HideTWBExt"/>
          <w:b w:val="0"/>
          <w:noProof w:val="0"/>
        </w:rPr>
        <w:t>&lt;Article&gt;</w:t>
      </w:r>
      <w:r w:rsidRPr="00E43809">
        <w:t>Airteagal 6 – mír 2 a (nua)</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42F3196D" w14:textId="77777777" w:rsidTr="00CA7E6B">
        <w:trPr>
          <w:jc w:val="center"/>
        </w:trPr>
        <w:tc>
          <w:tcPr>
            <w:tcW w:w="9752" w:type="dxa"/>
            <w:gridSpan w:val="2"/>
          </w:tcPr>
          <w:p w14:paraId="2745FC77" w14:textId="77777777" w:rsidR="00CA7E6B" w:rsidRPr="00E43809" w:rsidRDefault="00CA7E6B">
            <w:pPr>
              <w:keepNext/>
            </w:pPr>
          </w:p>
        </w:tc>
      </w:tr>
      <w:tr w:rsidR="00CA7E6B" w:rsidRPr="00E43809" w14:paraId="6A10C7E9" w14:textId="77777777" w:rsidTr="00CA7E6B">
        <w:trPr>
          <w:jc w:val="center"/>
        </w:trPr>
        <w:tc>
          <w:tcPr>
            <w:tcW w:w="4876" w:type="dxa"/>
            <w:hideMark/>
          </w:tcPr>
          <w:p w14:paraId="03234D48" w14:textId="77777777" w:rsidR="00CA7E6B" w:rsidRPr="00E43809" w:rsidRDefault="00CA7E6B">
            <w:pPr>
              <w:pStyle w:val="ColumnHeading"/>
              <w:keepNext/>
            </w:pPr>
            <w:r w:rsidRPr="00E43809">
              <w:t>Téacs arna mholadh ag an gCoimisiún</w:t>
            </w:r>
          </w:p>
        </w:tc>
        <w:tc>
          <w:tcPr>
            <w:tcW w:w="4876" w:type="dxa"/>
            <w:hideMark/>
          </w:tcPr>
          <w:p w14:paraId="7C587F18" w14:textId="77777777" w:rsidR="00CA7E6B" w:rsidRPr="00E43809" w:rsidRDefault="00CA7E6B">
            <w:pPr>
              <w:pStyle w:val="ColumnHeading"/>
              <w:keepNext/>
            </w:pPr>
            <w:r w:rsidRPr="00E43809">
              <w:t>Leasú</w:t>
            </w:r>
          </w:p>
        </w:tc>
      </w:tr>
      <w:tr w:rsidR="00CA7E6B" w:rsidRPr="00E43809" w14:paraId="3CF86416" w14:textId="77777777" w:rsidTr="00CA7E6B">
        <w:trPr>
          <w:jc w:val="center"/>
        </w:trPr>
        <w:tc>
          <w:tcPr>
            <w:tcW w:w="4876" w:type="dxa"/>
          </w:tcPr>
          <w:p w14:paraId="20D220B8" w14:textId="77777777" w:rsidR="00CA7E6B" w:rsidRPr="00E43809" w:rsidRDefault="00CA7E6B">
            <w:pPr>
              <w:pStyle w:val="Normal6"/>
            </w:pPr>
          </w:p>
        </w:tc>
        <w:tc>
          <w:tcPr>
            <w:tcW w:w="4876" w:type="dxa"/>
          </w:tcPr>
          <w:p w14:paraId="383DFBF9" w14:textId="77777777" w:rsidR="00CA7E6B" w:rsidRPr="00E43809" w:rsidRDefault="009E6C82" w:rsidP="00916110">
            <w:pPr>
              <w:pStyle w:val="Normal6"/>
              <w:rPr>
                <w:b/>
                <w:bCs/>
                <w:i/>
                <w:iCs/>
              </w:rPr>
            </w:pPr>
            <w:r w:rsidRPr="00E43809">
              <w:rPr>
                <w:b/>
                <w:bCs/>
                <w:i/>
                <w:iCs/>
              </w:rPr>
              <w:t>2a.</w:t>
            </w:r>
            <w:r w:rsidRPr="00E43809">
              <w:rPr>
                <w:b/>
                <w:bCs/>
                <w:i/>
                <w:iCs/>
              </w:rPr>
              <w:tab/>
              <w:t>Déanfar éifeacht a thabhairt d’fhorálacha sainordaitheacha sáraitheacha dhlí an Bhallstáit nach mór nó nár mhór an sannachán a fheidhmiú ann, a mhéid a fhágann na forálacha sainordaitheacha sáraitheacha sin go mbeidh feidhmiú an chonartha neamhdhleathach.</w:t>
            </w:r>
          </w:p>
        </w:tc>
      </w:tr>
    </w:tbl>
    <w:p w14:paraId="202477A9"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320F55CD" w14:textId="77777777" w:rsidR="00CA7E6B" w:rsidRPr="00E43809" w:rsidRDefault="00CA7E6B" w:rsidP="00CA7E6B">
      <w:r w:rsidRPr="00E43809">
        <w:rPr>
          <w:rStyle w:val="HideTWBExt"/>
          <w:noProof w:val="0"/>
        </w:rPr>
        <w:t>&lt;/Amend&gt;</w:t>
      </w:r>
    </w:p>
    <w:p w14:paraId="115B7749" w14:textId="77777777" w:rsidR="00CA7E6B" w:rsidRPr="00E43809" w:rsidRDefault="00CA7E6B" w:rsidP="00CA7E6B">
      <w:pPr>
        <w:pStyle w:val="AMNumberTabs"/>
        <w:keepNext/>
      </w:pPr>
      <w:r w:rsidRPr="00E43809">
        <w:rPr>
          <w:rStyle w:val="HideTWBExt"/>
          <w:b w:val="0"/>
          <w:noProof w:val="0"/>
        </w:rPr>
        <w:t>&lt;Amend&gt;</w:t>
      </w:r>
      <w:r w:rsidRPr="00E43809">
        <w:t>Leasú</w:t>
      </w:r>
      <w:r w:rsidRPr="00E43809">
        <w:tab/>
      </w:r>
      <w:r w:rsidRPr="00E43809">
        <w:tab/>
      </w:r>
      <w:r w:rsidRPr="00E43809">
        <w:rPr>
          <w:rStyle w:val="HideTWBExt"/>
          <w:b w:val="0"/>
          <w:noProof w:val="0"/>
        </w:rPr>
        <w:t>&lt;NumAm&gt;</w:t>
      </w:r>
      <w:r w:rsidRPr="00E43809">
        <w:t>16</w:t>
      </w:r>
      <w:r w:rsidRPr="00E43809">
        <w:rPr>
          <w:rStyle w:val="HideTWBExt"/>
          <w:b w:val="0"/>
          <w:noProof w:val="0"/>
        </w:rPr>
        <w:t>&lt;/NumAm&gt;</w:t>
      </w:r>
    </w:p>
    <w:p w14:paraId="7CFBEEE0" w14:textId="77777777" w:rsidR="00CA7E6B" w:rsidRPr="00E43809" w:rsidRDefault="00CA7E6B" w:rsidP="00CA7E6B">
      <w:pPr>
        <w:pStyle w:val="NormalBold12b"/>
        <w:keepNext/>
      </w:pPr>
      <w:r w:rsidRPr="00E43809">
        <w:rPr>
          <w:rStyle w:val="HideTWBExt"/>
          <w:b w:val="0"/>
          <w:noProof w:val="0"/>
        </w:rPr>
        <w:t>&lt;DocAmend&gt;</w:t>
      </w:r>
      <w:r w:rsidRPr="00E43809">
        <w:t>Togra le haghaidh rialacháin</w:t>
      </w:r>
      <w:r w:rsidRPr="00E43809">
        <w:rPr>
          <w:rStyle w:val="HideTWBExt"/>
          <w:b w:val="0"/>
          <w:noProof w:val="0"/>
        </w:rPr>
        <w:t>&lt;/DocAmend&gt;</w:t>
      </w:r>
    </w:p>
    <w:p w14:paraId="680812E4" w14:textId="77777777" w:rsidR="00CA7E6B" w:rsidRPr="00E43809" w:rsidRDefault="00CA7E6B" w:rsidP="00402B06">
      <w:pPr>
        <w:pStyle w:val="NormalBold"/>
        <w:keepNext/>
      </w:pPr>
      <w:r w:rsidRPr="00E43809">
        <w:rPr>
          <w:rStyle w:val="HideTWBExt"/>
          <w:b w:val="0"/>
          <w:noProof w:val="0"/>
        </w:rPr>
        <w:t>&lt;Article&gt;</w:t>
      </w:r>
      <w:r w:rsidRPr="00E43809">
        <w:t>Airteagal 14 – mír 2</w:t>
      </w:r>
      <w:r w:rsidRPr="00E4380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A7E6B" w:rsidRPr="00E43809" w14:paraId="08B4F950" w14:textId="77777777" w:rsidTr="00CA7E6B">
        <w:trPr>
          <w:jc w:val="center"/>
        </w:trPr>
        <w:tc>
          <w:tcPr>
            <w:tcW w:w="9752" w:type="dxa"/>
            <w:gridSpan w:val="2"/>
          </w:tcPr>
          <w:p w14:paraId="18C99710" w14:textId="77777777" w:rsidR="00CA7E6B" w:rsidRPr="00E43809" w:rsidRDefault="00CA7E6B">
            <w:pPr>
              <w:keepNext/>
            </w:pPr>
          </w:p>
        </w:tc>
      </w:tr>
      <w:tr w:rsidR="00CA7E6B" w:rsidRPr="00E43809" w14:paraId="0E86CEA2" w14:textId="77777777" w:rsidTr="00CA7E6B">
        <w:trPr>
          <w:jc w:val="center"/>
        </w:trPr>
        <w:tc>
          <w:tcPr>
            <w:tcW w:w="4876" w:type="dxa"/>
            <w:hideMark/>
          </w:tcPr>
          <w:p w14:paraId="21CD23E4" w14:textId="77777777" w:rsidR="00CA7E6B" w:rsidRPr="00E43809" w:rsidRDefault="00CA7E6B">
            <w:pPr>
              <w:pStyle w:val="ColumnHeading"/>
              <w:keepNext/>
            </w:pPr>
            <w:r w:rsidRPr="00E43809">
              <w:t>Téacs arna mholadh ag an gCoimisiún</w:t>
            </w:r>
          </w:p>
        </w:tc>
        <w:tc>
          <w:tcPr>
            <w:tcW w:w="4876" w:type="dxa"/>
            <w:hideMark/>
          </w:tcPr>
          <w:p w14:paraId="55E6B3A6" w14:textId="77777777" w:rsidR="00CA7E6B" w:rsidRPr="00E43809" w:rsidRDefault="00CA7E6B">
            <w:pPr>
              <w:pStyle w:val="ColumnHeading"/>
              <w:keepNext/>
            </w:pPr>
            <w:r w:rsidRPr="00E43809">
              <w:t>Leasú</w:t>
            </w:r>
          </w:p>
        </w:tc>
      </w:tr>
      <w:tr w:rsidR="00CA7E6B" w:rsidRPr="00E43809" w14:paraId="24DB4DD3" w14:textId="77777777" w:rsidTr="00CA7E6B">
        <w:trPr>
          <w:jc w:val="center"/>
        </w:trPr>
        <w:tc>
          <w:tcPr>
            <w:tcW w:w="4876" w:type="dxa"/>
          </w:tcPr>
          <w:p w14:paraId="64B1E2D5" w14:textId="77777777" w:rsidR="00CA7E6B" w:rsidRPr="00E43809" w:rsidRDefault="00CA7E6B" w:rsidP="00BD56B3">
            <w:pPr>
              <w:pStyle w:val="Normal6"/>
            </w:pPr>
            <w:r w:rsidRPr="00E43809">
              <w:t>2.</w:t>
            </w:r>
            <w:r w:rsidRPr="00E43809">
              <w:tab/>
              <w:t>Cinnfidh an dlí is infheidhme de bhun an Rialacháin seo an bhfuil tosaíocht ag cearta tríú páirtí i leith éileamh arna shannadh tar éis dháta chur i bhfeidhm an Rialacháin seo ar chearta tríú duine eile a fuarthas sula raibh an Rialachán seo infheidhme.</w:t>
            </w:r>
          </w:p>
        </w:tc>
        <w:tc>
          <w:tcPr>
            <w:tcW w:w="4876" w:type="dxa"/>
          </w:tcPr>
          <w:p w14:paraId="1757F83F" w14:textId="3F964155" w:rsidR="00CA7E6B" w:rsidRPr="00E43809" w:rsidRDefault="00CA7E6B" w:rsidP="00916110">
            <w:pPr>
              <w:pStyle w:val="Normal6"/>
            </w:pPr>
            <w:r w:rsidRPr="00E43809">
              <w:t>2.</w:t>
            </w:r>
            <w:r w:rsidRPr="00E43809">
              <w:tab/>
              <w:t xml:space="preserve">Cinnfidh an dlí is infheidhme de bhun an Rialacháin seo an bhfuil tosaíocht ag cearta tríú páirtí maidir le héileamh arna shannadh tar éis dháta chur i bhfeidhm an Rialacháin seo ar chearta tríú duine eile a fuarthas sula dtiocfaidh an Rialachán seo i bhfeidhm. </w:t>
            </w:r>
            <w:r w:rsidRPr="00E43809">
              <w:rPr>
                <w:b/>
                <w:i/>
              </w:rPr>
              <w:t>I gcás ina bhfuil coimhlint idir éilimh bunaithe ar shannacháin, cinnfidh an dlí is infheidhme de bhun an Rialacháin seo cearta na sannaithe faoi seach, maidir le sannacháin a chuirfear i gcrích tar éis dháta chur i bhfeidhm an Rialacháin seo.</w:t>
            </w:r>
          </w:p>
        </w:tc>
      </w:tr>
    </w:tbl>
    <w:p w14:paraId="0C454F54" w14:textId="77777777" w:rsidR="00CA7E6B" w:rsidRPr="00E43809" w:rsidRDefault="00CA7E6B" w:rsidP="00C03277">
      <w:pPr>
        <w:pStyle w:val="Olang"/>
        <w:rPr>
          <w:noProof w:val="0"/>
        </w:rPr>
      </w:pPr>
      <w:r w:rsidRPr="00E43809">
        <w:rPr>
          <w:noProof w:val="0"/>
        </w:rPr>
        <w:t xml:space="preserve">Or. </w:t>
      </w:r>
      <w:r w:rsidRPr="00E43809">
        <w:rPr>
          <w:rStyle w:val="HideTWBExt"/>
          <w:noProof w:val="0"/>
        </w:rPr>
        <w:t>&lt;Original&gt;</w:t>
      </w:r>
      <w:r w:rsidRPr="00E43809">
        <w:rPr>
          <w:rStyle w:val="HideTWBInt"/>
          <w:noProof w:val="0"/>
        </w:rPr>
        <w:t>{EN}</w:t>
      </w:r>
      <w:r w:rsidRPr="00E43809">
        <w:rPr>
          <w:noProof w:val="0"/>
        </w:rPr>
        <w:t>en</w:t>
      </w:r>
      <w:r w:rsidRPr="00E43809">
        <w:rPr>
          <w:rStyle w:val="HideTWBExt"/>
          <w:noProof w:val="0"/>
        </w:rPr>
        <w:t>&lt;/Original&gt;</w:t>
      </w:r>
    </w:p>
    <w:p w14:paraId="5A00FB6B" w14:textId="77777777" w:rsidR="00CC7589" w:rsidRPr="00E43809" w:rsidRDefault="00CA7E6B" w:rsidP="008F0F94">
      <w:pPr>
        <w:widowControl/>
        <w:rPr>
          <w:szCs w:val="24"/>
        </w:rPr>
      </w:pPr>
      <w:r w:rsidRPr="00E43809">
        <w:rPr>
          <w:rStyle w:val="HideTWBExt"/>
          <w:noProof w:val="0"/>
        </w:rPr>
        <w:t>&lt;/Amend&gt;</w:t>
      </w:r>
    </w:p>
    <w:p w14:paraId="72BA10A9" w14:textId="77777777" w:rsidR="002669B6" w:rsidRPr="00E43809" w:rsidRDefault="002669B6" w:rsidP="002669B6">
      <w:r w:rsidRPr="00E43809">
        <w:rPr>
          <w:rStyle w:val="HideTWBExt"/>
          <w:noProof w:val="0"/>
        </w:rPr>
        <w:t>&lt;/RepeatBlock-Amend&gt;</w:t>
      </w:r>
    </w:p>
    <w:p w14:paraId="671E0699" w14:textId="77777777" w:rsidR="002669B6" w:rsidRPr="00E43809" w:rsidRDefault="00745FCA" w:rsidP="00745FCA">
      <w:pPr>
        <w:pStyle w:val="PageHeading"/>
      </w:pPr>
      <w:r w:rsidRPr="00E43809">
        <w:br w:type="page"/>
      </w:r>
      <w:bookmarkStart w:id="3" w:name="_Toc514331619"/>
      <w:r w:rsidRPr="00E43809">
        <w:t>RÁITEAS MÍNIÚCHÁIN</w:t>
      </w:r>
      <w:bookmarkEnd w:id="3"/>
    </w:p>
    <w:p w14:paraId="05F0084F" w14:textId="77777777" w:rsidR="00745FCA" w:rsidRPr="00E43809" w:rsidRDefault="00745FCA" w:rsidP="00745FCA"/>
    <w:p w14:paraId="647B6150" w14:textId="77777777" w:rsidR="00745FCA" w:rsidRPr="00E43809" w:rsidRDefault="00745FCA" w:rsidP="00745FCA">
      <w:pPr>
        <w:widowControl/>
        <w:autoSpaceDE w:val="0"/>
        <w:autoSpaceDN w:val="0"/>
        <w:adjustRightInd w:val="0"/>
      </w:pPr>
      <w:r w:rsidRPr="00E43809">
        <w:t xml:space="preserve">Áiríodh rialacha a bhaineann leis an dlí is infheidhme i dtaca le héifeachtaí tríú páirtí ó thaobh sannadh éileamh de sa togra ón gCoimisiún, ar togra é a ndearnadh Rialachán (CE) 593/208 ó Pharlaimint na hEorpa agus ón gComhairle an 17 Meitheamh 2008 maidir leis an dlí is infheidhme ar oibleagáidí conarthacha (Rialachán na Róimhe I) de ach níor áiríodh na rialacha sin sa leagan deiridh. Ba é rún soiléir na reachtóirí, agus iad ag tógáil na gceisteanna seo as Rialachán na Róimhe I, ná go dtiocfadh an Coimisiún ar ais le togra tráth níos déanaí. </w:t>
      </w:r>
    </w:p>
    <w:p w14:paraId="6C51371E" w14:textId="77777777" w:rsidR="00745FCA" w:rsidRPr="00E43809" w:rsidRDefault="00745FCA" w:rsidP="00745FCA">
      <w:pPr>
        <w:widowControl/>
        <w:autoSpaceDE w:val="0"/>
        <w:autoSpaceDN w:val="0"/>
        <w:adjustRightInd w:val="0"/>
      </w:pPr>
    </w:p>
    <w:p w14:paraId="02BC59D0" w14:textId="77777777" w:rsidR="00745FCA" w:rsidRPr="00E43809" w:rsidRDefault="00745FCA" w:rsidP="00745FCA">
      <w:pPr>
        <w:widowControl/>
        <w:autoSpaceDE w:val="0"/>
        <w:autoSpaceDN w:val="0"/>
        <w:adjustRightInd w:val="0"/>
      </w:pPr>
      <w:r w:rsidRPr="00E43809">
        <w:t xml:space="preserve">Ardaíodh na ceisteanna arís i bhfianaise Phlean Gníomhaíochta 2015 maidir le hAontas na Margaí Caipitil. I mí na Bealtaine 2017, leag Athbhreithniú Meántéarmach an Choimisiúin amach na bearta eile a dhéanfar chun bunchlocha tógála Aontas na Margaí Caipitil a chur i bhfeidhm faoi 2019, agus é mar aidhm leis bacainní ar infheistíocht trasteorann a bhaint agus costais chistithe a ísliú. </w:t>
      </w:r>
    </w:p>
    <w:p w14:paraId="0ECE20DC" w14:textId="77777777" w:rsidR="00745FCA" w:rsidRPr="00E43809" w:rsidRDefault="00745FCA" w:rsidP="00745FCA">
      <w:pPr>
        <w:widowControl/>
        <w:autoSpaceDE w:val="0"/>
        <w:autoSpaceDN w:val="0"/>
        <w:adjustRightInd w:val="0"/>
      </w:pPr>
    </w:p>
    <w:p w14:paraId="14CF566B" w14:textId="77777777" w:rsidR="00745FCA" w:rsidRPr="00E43809" w:rsidRDefault="00745FCA" w:rsidP="00745FCA">
      <w:pPr>
        <w:widowControl/>
        <w:autoSpaceDE w:val="0"/>
        <w:autoSpaceDN w:val="0"/>
        <w:adjustRightInd w:val="0"/>
        <w:rPr>
          <w:b/>
          <w:i/>
        </w:rPr>
      </w:pPr>
      <w:r w:rsidRPr="00E43809">
        <w:rPr>
          <w:b/>
          <w:i/>
        </w:rPr>
        <w:t>Raon feidhme na Tuarascála</w:t>
      </w:r>
    </w:p>
    <w:p w14:paraId="7132FDB7" w14:textId="77777777" w:rsidR="00745FCA" w:rsidRPr="00E43809" w:rsidRDefault="00745FCA" w:rsidP="00745FCA">
      <w:pPr>
        <w:widowControl/>
        <w:autoSpaceDE w:val="0"/>
        <w:autoSpaceDN w:val="0"/>
        <w:adjustRightInd w:val="0"/>
      </w:pPr>
      <w:r w:rsidRPr="00E43809">
        <w:t xml:space="preserve">Tá cúig mhír déag sa togra ón gCoimisiún. Cloítear go dlúth ann le Rialachán na Róimhe I agus Rialachán na Róimhe II. Sa tuarascáil seo, cuirtear béim ar fhorálacha a bhaineann go sonrach leis an togra seo, ach ní dhéantar aon athrú ar na forálacha a cóipeáladh ó Rialachán na Róimhe I agus Rialachán na Róimhe II. Tá an seasamh seo á ghlacadh chun go bhféadfaí an comhad reachtach a chur i gcrích roimh dheireadh na tréimshe reachtaí. </w:t>
      </w:r>
    </w:p>
    <w:p w14:paraId="4C3C542F" w14:textId="77777777" w:rsidR="00745FCA" w:rsidRPr="00E43809" w:rsidRDefault="00745FCA" w:rsidP="00745FCA">
      <w:pPr>
        <w:widowControl/>
        <w:autoSpaceDE w:val="0"/>
        <w:autoSpaceDN w:val="0"/>
        <w:adjustRightInd w:val="0"/>
      </w:pPr>
    </w:p>
    <w:p w14:paraId="41766EE8" w14:textId="77777777" w:rsidR="00745FCA" w:rsidRPr="00E43809" w:rsidRDefault="00745FCA" w:rsidP="00745FCA">
      <w:pPr>
        <w:widowControl/>
        <w:autoSpaceDE w:val="0"/>
        <w:autoSpaceDN w:val="0"/>
        <w:adjustRightInd w:val="0"/>
        <w:rPr>
          <w:b/>
          <w:i/>
        </w:rPr>
      </w:pPr>
      <w:r w:rsidRPr="00E43809">
        <w:rPr>
          <w:b/>
          <w:i/>
        </w:rPr>
        <w:t xml:space="preserve">An phríomhriail </w:t>
      </w:r>
    </w:p>
    <w:p w14:paraId="7789A055" w14:textId="77777777" w:rsidR="00745FCA" w:rsidRPr="00E43809" w:rsidRDefault="00745FCA" w:rsidP="00745FCA">
      <w:pPr>
        <w:widowControl/>
        <w:autoSpaceDE w:val="0"/>
        <w:autoSpaceDN w:val="0"/>
        <w:adjustRightInd w:val="0"/>
      </w:pPr>
      <w:r w:rsidRPr="00E43809">
        <w:t xml:space="preserve">Sa togra ón gCoimisiún, is é an phríomhriail is infheidhme ó thaobh sannadh de ná an dlí maidir le gnáthchónaí an tsannóra. Tá an riail seo i bhfeidhm i roinnt Ballstát, ach i mBallstáit eile, mar shampla, déantar an dlí is infheidhme ó thaobh an éilimh arna shannadh de a chur i bhfeidhm. D’fhéadfaí go mbeadh príomh-iarmhairtí diúltacha maidir le sannacháin i gceist do chreidiúnaithe an tsannóra nó do thríú páirtithe atá comhlachaithe leis an sannóir. Chuige sin, thabharfadh an dlí maidir le gnáthchónaí an tsannóra leibhéal ard trédhearcachta agus intuarthachta do na tríú páirtithe a bhféadfadh baint a bheith acu leis. </w:t>
      </w:r>
    </w:p>
    <w:p w14:paraId="75D8C5DA" w14:textId="77777777" w:rsidR="00745FCA" w:rsidRPr="00E43809" w:rsidRDefault="00745FCA" w:rsidP="00745FCA">
      <w:pPr>
        <w:widowControl/>
        <w:autoSpaceDE w:val="0"/>
        <w:autoSpaceDN w:val="0"/>
        <w:adjustRightInd w:val="0"/>
      </w:pPr>
    </w:p>
    <w:p w14:paraId="182B2878" w14:textId="77777777" w:rsidR="00745FCA" w:rsidRPr="00E43809" w:rsidRDefault="00745FCA" w:rsidP="00745FCA">
      <w:pPr>
        <w:widowControl/>
        <w:autoSpaceDE w:val="0"/>
        <w:autoSpaceDN w:val="0"/>
        <w:adjustRightInd w:val="0"/>
        <w:rPr>
          <w:b/>
          <w:i/>
        </w:rPr>
      </w:pPr>
      <w:r w:rsidRPr="00E43809">
        <w:rPr>
          <w:b/>
          <w:i/>
        </w:rPr>
        <w:t xml:space="preserve">Eisiamh sainráite na bhféichiúnaithe </w:t>
      </w:r>
    </w:p>
    <w:p w14:paraId="4ABC4934" w14:textId="77777777" w:rsidR="00745FCA" w:rsidRPr="00E43809" w:rsidRDefault="00745FCA" w:rsidP="00745FCA">
      <w:pPr>
        <w:widowControl/>
        <w:autoSpaceDE w:val="0"/>
        <w:autoSpaceDN w:val="0"/>
        <w:adjustRightInd w:val="0"/>
      </w:pPr>
      <w:r w:rsidRPr="00E43809">
        <w:t xml:space="preserve">Rialaítear an dlí is infheidhme i ndáil le hiarmhairtí sannacháin ar an bhféichiúnaí le hAirteagal 14 de Rialachán na Róimhe I. I gcás nach n-eisiafaí féichiúnaithe go sainráite ó thríú páirtithe faoin Rialachán seo, chiallódh sé sin go mbeadh feidhm </w:t>
      </w:r>
      <w:r w:rsidRPr="00E43809">
        <w:rPr>
          <w:i/>
        </w:rPr>
        <w:t>lex specialis</w:t>
      </w:r>
      <w:r w:rsidRPr="00E43809">
        <w:t xml:space="preserve"> ag an bhforáil i Rialachán na Róimhe I ach féadfar go mbeidh ceist ann i dtaca lena mhéid a dhéanann an Rialachán seo Rialachán na Róimhe I a chomhlánú. Ionas go ndéanfar iarmhairtí tríú páirtithe ar fhéichiúnaithe a rialáil le Rialachán na Róimhe I, ba cheart eisiamh sainráite a thabhairt isteach sa Rialachán seo. </w:t>
      </w:r>
    </w:p>
    <w:p w14:paraId="34511FEA" w14:textId="77777777" w:rsidR="00745FCA" w:rsidRPr="00E43809" w:rsidRDefault="00745FCA" w:rsidP="00745FCA">
      <w:pPr>
        <w:widowControl/>
        <w:autoSpaceDE w:val="0"/>
        <w:autoSpaceDN w:val="0"/>
        <w:adjustRightInd w:val="0"/>
      </w:pPr>
    </w:p>
    <w:p w14:paraId="27422D8D" w14:textId="77777777" w:rsidR="00745FCA" w:rsidRPr="00E43809" w:rsidRDefault="00745FCA" w:rsidP="00745FCA">
      <w:pPr>
        <w:widowControl/>
        <w:autoSpaceDE w:val="0"/>
        <w:autoSpaceDN w:val="0"/>
        <w:adjustRightInd w:val="0"/>
        <w:rPr>
          <w:b/>
          <w:i/>
        </w:rPr>
      </w:pPr>
      <w:r w:rsidRPr="00E43809">
        <w:rPr>
          <w:b/>
          <w:i/>
        </w:rPr>
        <w:t>Eisiamh imeachtaí dócmhainneachta</w:t>
      </w:r>
    </w:p>
    <w:p w14:paraId="30DA3006" w14:textId="77777777" w:rsidR="00745FCA" w:rsidRPr="00E43809" w:rsidRDefault="00745FCA" w:rsidP="00745FCA">
      <w:pPr>
        <w:widowControl/>
        <w:autoSpaceDE w:val="0"/>
        <w:autoSpaceDN w:val="0"/>
        <w:adjustRightInd w:val="0"/>
      </w:pPr>
      <w:r w:rsidRPr="00E43809">
        <w:t>Tá rialacha maidir leis an dlí is infheidhme i Rialachán (CE) Uimh. 2015/848 ó Pharlaimint na hEorpa agus ón gComhairle an 20 Bealtaine 2015 maidir le himeachtaí dócmhainneachta. Chuige sin, ba cheart sannacháin a dhéantar le linn comhimeachta de réir an Rialacháin sin a eisiamh ó raon feidhme chur i bhfeidhm an Rialacháin seo.</w:t>
      </w:r>
    </w:p>
    <w:p w14:paraId="3D7119B1" w14:textId="77777777" w:rsidR="00745FCA" w:rsidRPr="00E43809" w:rsidRDefault="00745FCA" w:rsidP="00745FCA"/>
    <w:p w14:paraId="36F36807" w14:textId="77777777" w:rsidR="00745FCA" w:rsidRPr="00E43809" w:rsidRDefault="00745FCA" w:rsidP="00745FCA">
      <w:pPr>
        <w:rPr>
          <w:b/>
          <w:i/>
        </w:rPr>
      </w:pPr>
      <w:r w:rsidRPr="00E43809">
        <w:rPr>
          <w:b/>
          <w:i/>
        </w:rPr>
        <w:t xml:space="preserve">Urrúsú </w:t>
      </w:r>
    </w:p>
    <w:p w14:paraId="32EAAE62" w14:textId="77777777" w:rsidR="00745FCA" w:rsidRPr="00E43809" w:rsidRDefault="00745FCA" w:rsidP="00745FCA">
      <w:r w:rsidRPr="00E43809">
        <w:t>Mhol an Coimisiún go mbeidh an sannóir agus an sannaí in ann rogha a dhéanamh maidir leis an dlí is infheidhme i ndáil le hiarmhairtí tríú páirtí ar shannacháin. Tá riail den sórt sin contrártha do cheann de bhunphrionsabail dhlí sibhialta na hEorpa: nach bhféadfaidh páirtithe i gcomhaontú, cearta tríú páirtithe a shainiú trí chomhaontú. Rachfaí thar a bhfuil gá leis dá mbeadh lánrogha ag na páirtithe sa chomhaontú maidir le sannadh i ndáil leis an méid sin, go háirithe i bhfianaise Airteagal 3. Le réiteach, áfach, ina mbeadh na páirtithe sa chomhshocrú maidir le hurrúsú in ann a roghnú go mbeidh feidhm ag an dlí is infheidhme i ndáil leis an líon is mó éileamh maidir le gach éileamh, bhainfí cuíchóiriú leordhóthanach amach ach ag an am céanna go mbeadh fós ann leibhéal leordhóthanach cosanta do thríú páirtithe.</w:t>
      </w:r>
    </w:p>
    <w:sectPr w:rsidR="00745FCA" w:rsidRPr="00E43809" w:rsidSect="00E4380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7E52" w14:textId="77777777" w:rsidR="000B2E38" w:rsidRPr="00E43809" w:rsidRDefault="000B2E38">
      <w:r w:rsidRPr="00E43809">
        <w:separator/>
      </w:r>
    </w:p>
  </w:endnote>
  <w:endnote w:type="continuationSeparator" w:id="0">
    <w:p w14:paraId="7B014B68" w14:textId="77777777" w:rsidR="000B2E38" w:rsidRPr="00E43809" w:rsidRDefault="000B2E38">
      <w:r w:rsidRPr="00E438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AE2" w14:textId="04C7F3E5" w:rsidR="00E43809" w:rsidRPr="00E43809" w:rsidRDefault="00E43809" w:rsidP="00E43809">
    <w:pPr>
      <w:pStyle w:val="Footer"/>
    </w:pPr>
    <w:r w:rsidRPr="00E43809">
      <w:t>PE</w:t>
    </w:r>
    <w:r w:rsidRPr="00E43809">
      <w:rPr>
        <w:rStyle w:val="HideTWBExt"/>
        <w:noProof w:val="0"/>
      </w:rPr>
      <w:t>&lt;NoPE&gt;</w:t>
    </w:r>
    <w:r w:rsidRPr="00E43809">
      <w:t>621.985</w:t>
    </w:r>
    <w:r w:rsidRPr="00E43809">
      <w:rPr>
        <w:rStyle w:val="HideTWBExt"/>
        <w:noProof w:val="0"/>
      </w:rPr>
      <w:t>&lt;/NoPE&gt;&lt;Version&gt;</w:t>
    </w:r>
    <w:r w:rsidRPr="00E43809">
      <w:t>v01-00</w:t>
    </w:r>
    <w:r w:rsidRPr="00E43809">
      <w:rPr>
        <w:rStyle w:val="HideTWBExt"/>
        <w:noProof w:val="0"/>
      </w:rPr>
      <w:t>&lt;/Version&gt;</w:t>
    </w:r>
    <w:r w:rsidRPr="00E43809">
      <w:tab/>
    </w:r>
    <w:r w:rsidRPr="00E43809">
      <w:fldChar w:fldCharType="begin"/>
    </w:r>
    <w:r w:rsidRPr="00E43809">
      <w:instrText xml:space="preserve"> PAGE  \* MERGEFORMAT </w:instrText>
    </w:r>
    <w:r w:rsidRPr="00E43809">
      <w:fldChar w:fldCharType="separate"/>
    </w:r>
    <w:r w:rsidR="001A5A34">
      <w:rPr>
        <w:noProof/>
      </w:rPr>
      <w:t>2</w:t>
    </w:r>
    <w:r w:rsidRPr="00E43809">
      <w:fldChar w:fldCharType="end"/>
    </w:r>
    <w:r w:rsidRPr="00E43809">
      <w:t>/</w:t>
    </w:r>
    <w:fldSimple w:instr=" NUMPAGES  \* MERGEFORMAT ">
      <w:r w:rsidR="001A5A34">
        <w:rPr>
          <w:noProof/>
        </w:rPr>
        <w:t>15</w:t>
      </w:r>
    </w:fldSimple>
    <w:r w:rsidRPr="00E43809">
      <w:tab/>
    </w:r>
    <w:r w:rsidRPr="00E43809">
      <w:rPr>
        <w:rStyle w:val="HideTWBExt"/>
        <w:noProof w:val="0"/>
      </w:rPr>
      <w:t>&lt;PathFdR&gt;</w:t>
    </w:r>
    <w:r w:rsidRPr="00E43809">
      <w:t>PR\1152478GA.docx</w:t>
    </w:r>
    <w:r w:rsidRPr="00E43809">
      <w:rPr>
        <w:rStyle w:val="HideTWBExt"/>
        <w:noProof w:val="0"/>
      </w:rPr>
      <w:t>&lt;/PathFdR&gt;</w:t>
    </w:r>
  </w:p>
  <w:p w14:paraId="1C39FEA2" w14:textId="5DD7D1CF" w:rsidR="00FB52FE" w:rsidRPr="00E43809" w:rsidRDefault="00E43809" w:rsidP="00E43809">
    <w:pPr>
      <w:pStyle w:val="Footer2"/>
    </w:pPr>
    <w:r w:rsidRPr="00E43809">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08D0" w14:textId="4AC1E339" w:rsidR="00E43809" w:rsidRPr="00E43809" w:rsidRDefault="00E43809" w:rsidP="00E43809">
    <w:pPr>
      <w:pStyle w:val="Footer"/>
    </w:pPr>
    <w:r w:rsidRPr="00E43809">
      <w:rPr>
        <w:rStyle w:val="HideTWBExt"/>
        <w:noProof w:val="0"/>
      </w:rPr>
      <w:t>&lt;PathFdR&gt;</w:t>
    </w:r>
    <w:r w:rsidRPr="00E43809">
      <w:t>PR\1152478GA.docx</w:t>
    </w:r>
    <w:r w:rsidRPr="00E43809">
      <w:rPr>
        <w:rStyle w:val="HideTWBExt"/>
        <w:noProof w:val="0"/>
      </w:rPr>
      <w:t>&lt;/PathFdR&gt;</w:t>
    </w:r>
    <w:r w:rsidRPr="00E43809">
      <w:tab/>
    </w:r>
    <w:r w:rsidRPr="00E43809">
      <w:fldChar w:fldCharType="begin"/>
    </w:r>
    <w:r w:rsidRPr="00E43809">
      <w:instrText xml:space="preserve"> PAGE  \* MERGEFORMAT </w:instrText>
    </w:r>
    <w:r w:rsidRPr="00E43809">
      <w:fldChar w:fldCharType="separate"/>
    </w:r>
    <w:r w:rsidR="001A5A34">
      <w:rPr>
        <w:noProof/>
      </w:rPr>
      <w:t>15</w:t>
    </w:r>
    <w:r w:rsidRPr="00E43809">
      <w:fldChar w:fldCharType="end"/>
    </w:r>
    <w:r w:rsidRPr="00E43809">
      <w:t>/</w:t>
    </w:r>
    <w:fldSimple w:instr=" NUMPAGES  \* MERGEFORMAT ">
      <w:r w:rsidR="001A5A34">
        <w:rPr>
          <w:noProof/>
        </w:rPr>
        <w:t>15</w:t>
      </w:r>
    </w:fldSimple>
    <w:r w:rsidRPr="00E43809">
      <w:tab/>
      <w:t>PE</w:t>
    </w:r>
    <w:r w:rsidRPr="00E43809">
      <w:rPr>
        <w:rStyle w:val="HideTWBExt"/>
        <w:noProof w:val="0"/>
      </w:rPr>
      <w:t>&lt;NoPE&gt;</w:t>
    </w:r>
    <w:r w:rsidRPr="00E43809">
      <w:t>621.985</w:t>
    </w:r>
    <w:r w:rsidRPr="00E43809">
      <w:rPr>
        <w:rStyle w:val="HideTWBExt"/>
        <w:noProof w:val="0"/>
      </w:rPr>
      <w:t>&lt;/NoPE&gt;&lt;Version&gt;</w:t>
    </w:r>
    <w:r w:rsidRPr="00E43809">
      <w:t>v01-00</w:t>
    </w:r>
    <w:r w:rsidRPr="00E43809">
      <w:rPr>
        <w:rStyle w:val="HideTWBExt"/>
        <w:noProof w:val="0"/>
      </w:rPr>
      <w:t>&lt;/Version&gt;</w:t>
    </w:r>
  </w:p>
  <w:p w14:paraId="0C81B93E" w14:textId="056D4B3C" w:rsidR="00FB52FE" w:rsidRPr="00E43809" w:rsidRDefault="00E43809" w:rsidP="00E43809">
    <w:pPr>
      <w:pStyle w:val="Footer2"/>
    </w:pPr>
    <w:r w:rsidRPr="00E43809">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4ED2" w14:textId="77777777" w:rsidR="00E43809" w:rsidRPr="00E43809" w:rsidRDefault="00E43809" w:rsidP="00E43809">
    <w:pPr>
      <w:pStyle w:val="Footer"/>
    </w:pPr>
    <w:r w:rsidRPr="00E43809">
      <w:rPr>
        <w:rStyle w:val="HideTWBExt"/>
        <w:noProof w:val="0"/>
      </w:rPr>
      <w:t>&lt;PathFdR&gt;</w:t>
    </w:r>
    <w:r w:rsidRPr="00E43809">
      <w:t>PR\1152478GA.docx</w:t>
    </w:r>
    <w:r w:rsidRPr="00E43809">
      <w:rPr>
        <w:rStyle w:val="HideTWBExt"/>
        <w:noProof w:val="0"/>
      </w:rPr>
      <w:t>&lt;/PathFdR&gt;</w:t>
    </w:r>
    <w:r w:rsidRPr="00E43809">
      <w:tab/>
    </w:r>
    <w:r w:rsidRPr="00E43809">
      <w:tab/>
      <w:t>PE</w:t>
    </w:r>
    <w:r w:rsidRPr="00E43809">
      <w:rPr>
        <w:rStyle w:val="HideTWBExt"/>
        <w:noProof w:val="0"/>
      </w:rPr>
      <w:t>&lt;NoPE&gt;</w:t>
    </w:r>
    <w:r w:rsidRPr="00E43809">
      <w:t>621.985</w:t>
    </w:r>
    <w:r w:rsidRPr="00E43809">
      <w:rPr>
        <w:rStyle w:val="HideTWBExt"/>
        <w:noProof w:val="0"/>
      </w:rPr>
      <w:t>&lt;/NoPE&gt;&lt;Version&gt;</w:t>
    </w:r>
    <w:r w:rsidRPr="00E43809">
      <w:t>v01-00</w:t>
    </w:r>
    <w:r w:rsidRPr="00E43809">
      <w:rPr>
        <w:rStyle w:val="HideTWBExt"/>
        <w:noProof w:val="0"/>
      </w:rPr>
      <w:t>&lt;/Version&gt;</w:t>
    </w:r>
  </w:p>
  <w:p w14:paraId="1586601F" w14:textId="7AC378AD" w:rsidR="00FB52FE" w:rsidRPr="00E43809" w:rsidRDefault="00E43809" w:rsidP="00E43809">
    <w:pPr>
      <w:pStyle w:val="Footer2"/>
      <w:tabs>
        <w:tab w:val="center" w:pos="4535"/>
      </w:tabs>
    </w:pPr>
    <w:r w:rsidRPr="00E43809">
      <w:t>GA</w:t>
    </w:r>
    <w:r w:rsidRPr="00E43809">
      <w:tab/>
    </w:r>
    <w:r w:rsidRPr="00E43809">
      <w:rPr>
        <w:b w:val="0"/>
        <w:i/>
        <w:color w:val="C0C0C0"/>
        <w:sz w:val="22"/>
      </w:rPr>
      <w:t>Aontaithe san éagsúlacht</w:t>
    </w:r>
    <w:r w:rsidRPr="00E43809">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62F7" w14:textId="77777777" w:rsidR="000B2E38" w:rsidRPr="00E43809" w:rsidRDefault="000B2E38">
      <w:r w:rsidRPr="00E43809">
        <w:separator/>
      </w:r>
    </w:p>
  </w:footnote>
  <w:footnote w:type="continuationSeparator" w:id="0">
    <w:p w14:paraId="65AB83F4" w14:textId="77777777" w:rsidR="000B2E38" w:rsidRPr="00E43809" w:rsidRDefault="000B2E38">
      <w:r w:rsidRPr="00E438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FC41" w14:textId="77777777" w:rsidR="001A5A34" w:rsidRDefault="001A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C135" w14:textId="77777777" w:rsidR="001A5A34" w:rsidRDefault="001A5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0529" w14:textId="77777777" w:rsidR="001A5A34" w:rsidRDefault="001A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JURI"/>
    <w:docVar w:name="CopyToNetwork" w:val="-1"/>
    <w:docVar w:name="CVar" w:val="16"/>
    <w:docVar w:name="DOCMNU" w:val=" 1"/>
    <w:docVar w:name="EPSTATMNU" w:val=" 5"/>
    <w:docVar w:name="iNoAmend" w:val="16"/>
    <w:docVar w:name="INSTITUTIONSMNU" w:val=" 2"/>
    <w:docVar w:name="JURI1MNU" w:val=" 1"/>
    <w:docVar w:name="JURI2MNU" w:val=" 2"/>
    <w:docVar w:name="LastEditedSection"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707993 HideTWBExt;}{\*\cs16 \additive \v\cf15 \spriority0 \styrsid13707993 HideTWBInt;}{\s17\ql \li0\ri0\sa120\nowidctlpar\wrapdefault\aspalpha\aspnum\faauto\adjustright\rin0\lin0\itap0 _x000d__x000a_\rtlch\fcs1 \af0\afs20\alang1025 \ltrch\fcs0 \fs24\lang2057\langfe2057\cgrid\langnp2057\langfenp2057 \sbasedon0 \snext17 \slink18 \spriority0 \styrsid13707993 Normal6;}{\*\cs18 \additive \fs24 \slink17 \slocked \spriority0 \styrsid13707993 Normal6 Char;}{_x000d__x000a_\s19\ql \li0\ri0\nowidctlpar\wrapdefault\aspalpha\aspnum\faauto\adjustright\rin0\lin0\itap0 \rtlch\fcs1 \af0\afs20\alang1025 \ltrch\fcs0 \b\fs24\lang2057\langfe2057\cgrid\langnp2057\langfenp2057 \sbasedon0 \snext19 \slink20 \spriority0 \styrsid13707993 _x000d__x000a_NormalBold;}{\*\cs20 \additive \b\fs24 \slink19 \slocked \spriority0 \styrsid13707993 NormalBold Char;}{\s21\ql \li0\ri0\sb240\nowidctlpar\wrapdefault\aspalpha\aspnum\faauto\adjustright\rin0\lin0\itap0 \rtlch\fcs1 \af0\afs20\alang1025 \ltrch\fcs0 _x000d__x000a_\i\fs24\lang2057\langfe2057\cgrid\langnp2057\langfenp2057 \sbasedon0 \snext21 \spriority0 \styrsid13707993 Normal12Italic;}{\s22\qc \li0\ri0\sb240\nowidctlpar\wrapdefault\aspalpha\aspnum\faauto\adjustright\rin0\lin0\itap0 \rtlch\fcs1 \af0\afs20\alang1025 _x000d__x000a_\ltrch\fcs0 \i\fs24\lang2057\langfe2057\cgrid\langnp2057\langfenp2057 \sbasedon0 \snext22 \spriority0 \styrsid13707993 CrossRef;}{\s23\qc \li0\ri0\sb240\keepn\nowidctlpar\wrapdefault\aspalpha\aspnum\faauto\adjustright\rin0\lin0\itap0 \rtlch\fcs1 _x000d__x000a_\af0\afs20\alang1025 \ltrch\fcs0 \i\fs24\lang2057\langfe2057\cgrid\langnp2057\langfenp2057 \sbasedon0 \snext0 \spriority0 \styrsid13707993 JustificationTitle;}{_x000d__x000a_\s24\qr \li0\ri0\sb240\sa240\nowidctlpar\wrapdefault\aspalpha\aspnum\faauto\adjustright\rin0\lin0\itap0 \rtlch\fcs1 \af0\afs20\alang1025 \ltrch\fcs0 \fs24\lang1024\langfe1024\cgrid\noproof\langnp2057\langfenp2057 _x000d__x000a_\sbasedon0 \snext24 \spriority0 \styrsid13707993 Olang;}{\s25\qc \li0\ri0\sa240\nowidctlpar\wrapdefault\aspalpha\aspnum\faauto\adjustright\rin0\lin0\itap0 \rtlch\fcs1 \af0\afs20\alang1025 \ltrch\fcs0 _x000d__x000a_\i\fs24\lang2057\langfe2057\cgrid\langnp2057\langfenp2057 \sbasedon0 \snext25 \spriority0 \styrsid1370799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707993 AMNumberTabs;}{\s27\ql \li0\ri0\sb240\nowidctlpar\wrapdefault\aspalpha\aspnum\faauto\adjustright\rin0\lin0\itap0 \rtlch\fcs1 _x000d__x000a_\af0\afs20\alang1025 \ltrch\fcs0 \b\fs24\lang2057\langfe2057\cgrid\langnp2057\langfenp2057 \sbasedon0 \snext27 \spriority0 \styrsid13707993 NormalBold12b;}}{\*\rsidtbl \rsid24658\rsid735077\rsid2892074\rsid4666813\rsid6641733\rsid7014970\rsid9636012_x000d__x000a_\rsid11215221\rsid12154954\rsid13707993\rsid14424199\rsid15204470\rsid15285974\rsid15950462\rsid16324206\rsid16662270}{\mmathPr\mmathFont34\mbrkBin0\mbrkBinSub0\msmallFrac0\mdispDef1\mlMargin0\mrMargin0\mdefJc1\mwrapIndent1440\mintLim0\mnaryLim1}{\info_x000d__x000a_{\author EGGINK Ieva}{\operator EGGINK Ieva}{\creatim\yr2018\mo5\dy3\hr9\min59}{\revtim\yr2018\mo5\dy3\hr9\min59}{\version1}{\edmins0}{\nofpages1}{\nofwords56}{\nofchars644}{\*\company European Parliament}{\nofcharsws647}{\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707993\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7014970 \chftnsep _x000d__x000a_\par }}{\*\ftnsepc \ltrpar \pard\plain \ltrpar\ql \li0\ri0\widctlpar\wrapdefault\aspalpha\aspnum\faauto\adjustright\rin0\lin0\itap0 \rtlch\fcs1 \af0\afs20\alang1025 \ltrch\fcs0 \fs24\lang2057\langfe2057\cgrid\langnp2057\langfenp2057 {\rtlch\fcs1 \af0 _x000d__x000a_\ltrch\fcs0 \insrsid7014970 \chftnsepc _x000d__x000a_\par }}{\*\aftnsep \ltrpar \pard\plain \ltrpar\ql \li0\ri0\widctlpar\wrapdefault\aspalpha\aspnum\faauto\adjustright\rin0\lin0\itap0 \rtlch\fcs1 \af0\afs20\alang1025 \ltrch\fcs0 \fs24\lang2057\langfe2057\cgrid\langnp2057\langfenp2057 {\rtlch\fcs1 \af0 _x000d__x000a_\ltrch\fcs0 \insrsid7014970 \chftnsep _x000d__x000a_\par }}{\*\aftnsepc \ltrpar \pard\plain \ltrpar\ql \li0\ri0\widctlpar\wrapdefault\aspalpha\aspnum\faauto\adjustright\rin0\lin0\itap0 \rtlch\fcs1 \af0\afs20\alang1025 \ltrch\fcs0 \fs24\lang2057\langfe2057\cgrid\langnp2057\langfenp2057 {\rtlch\fcs1 \af0 _x000d__x000a_\ltrch\fcs0 \insrsid701497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3707993\charrsid732728 {\*\bkmkstart restart}&lt;Amend&gt;}{_x000d__x000a_\rtlch\fcs1 \af0 \ltrch\fcs0 \insrsid13707993\charrsid732728 Amendment\tab \tab }{\rtlch\fcs1 \af0 \ltrch\fcs0 \cs15\b0\v\f1\fs20\cf9\insrsid13707993\charrsid732728 &lt;NumAm&gt;}{\rtlch\fcs1 \af0 \ltrch\fcs0 \insrsid13707993\charrsid732728 #}{\rtlch\fcs1 \af0 _x000d__x000a_\ltrch\fcs0 \cs16\v\cf15\insrsid13707993\charrsid732728 ENMIENDA@NRAM@}{\rtlch\fcs1 \af0 \ltrch\fcs0 \insrsid13707993\charrsid732728 #}{\rtlch\fcs1 \af0 \ltrch\fcs0 \cs15\b0\v\f1\fs20\cf9\insrsid13707993\charrsid732728 &lt;/NumAm&gt;}{\rtlch\fcs1 \af0 _x000d__x000a_\ltrch\fcs0 \insrsid13707993\charrsid732728 _x000d__x000a_\par }\pard\plain \ltrpar\s27\ql \li0\ri0\sb240\keepn\nowidctlpar\wrapdefault\aspalpha\aspnum\faauto\adjustright\rin0\lin0\itap0\pararsid2173828 \rtlch\fcs1 \af0\afs20\alang1025 \ltrch\fcs0 \b\fs24\lang2057\langfe2057\cgrid\langnp2057\langfenp2057 {_x000d__x000a_\rtlch\fcs1 \af0 \ltrch\fcs0 \cs15\b0\v\f1\fs20\cf9\insrsid13707993\charrsid732728 &lt;DocAmend&gt;}{\rtlch\fcs1 \af0 \ltrch\fcs0 \insrsid13707993\charrsid732728 Proposal for a #}{\rtlch\fcs1 \af0 \ltrch\fcs0 \cs16\v\cf15\insrsid13707993\charrsid732728 _x000d__x000a_MNU[DOC1][DOC2][DOC3]@DOCMSG@DOCMNU}{\rtlch\fcs1 \af0 \ltrch\fcs0 \insrsid13707993\charrsid732728 ##}{\rtlch\fcs1 \af0 \ltrch\fcs0 \cs16\v\cf15\insrsid13707993\charrsid732728 MNU[AMACTYES][NOTAPP]@CHOICE@AMACTMNU}{\rtlch\fcs1 \af0 \ltrch\fcs0 _x000d__x000a_\insrsid13707993\charrsid732728 #}{\rtlch\fcs1 \af0 \ltrch\fcs0 \cs15\b0\v\f1\fs20\cf9\insrsid13707993\charrsid732728 &lt;/DocAmend&gt;}{\rtlch\fcs1 \af0 \ltrch\fcs0 \insrsid13707993\charrsid732728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13707993\charrsid732728 &lt;Article&gt;}{\rtlch\fcs1 \af0 \ltrch\fcs0 \insrsid13707993\charrsid732728 #}{\rtlch\fcs1 \af0 \ltrch\fcs0 \cs16\v\cf15\insrsid13707993\charrsid732728 _x000d__x000a_MNU[AMACTPARTYES][AMACTPARTNO]@CHOICE@AMACTMNU}{\rtlch\fcs1 \af0 \ltrch\fcs0 \insrsid13707993\charrsid732728 #}{\rtlch\fcs1 \af0 \ltrch\fcs0 \cs15\b0\v\f1\fs20\cf9\insrsid13707993\charrsid732728 &lt;/Article&gt;}{\rtlch\fcs1 \af0 \ltrch\fcs0 _x000d__x000a_\insrsid13707993\charrsid732728 _x000d__x000a_\par }\pard\plain \ltrpar\ql \li0\ri0\keepn\widctlpar\wrapdefault\aspalpha\aspnum\faauto\adjustright\rin0\lin0\itap0\pararsid1856914 \rtlch\fcs1 \af0\afs20\alang1025 \ltrch\fcs0 \fs24\lang2057\langfe2057\cgrid\langnp2057\langfenp2057 {\rtlch\fcs1 \af0 _x000d__x000a_\ltrch\fcs0 \cs15\v\f1\fs20\cf9\insrsid13707993\charrsid732728 &lt;DocAmend2&gt;&lt;OptDel&gt;}{\rtlch\fcs1 \af0 \ltrch\fcs0 \insrsid13707993\charrsid732728 #}{\rtlch\fcs1 \af0 \ltrch\fcs0 \cs16\v\cf15\insrsid13707993\charrsid732728 _x000d__x000a_MNU[OPTNRACTYES][NOTAPP]@CHOICE@AMACTMNU}{\rtlch\fcs1 \af0 \ltrch\fcs0 \insrsid13707993\charrsid732728 #}{\rtlch\fcs1 \af0 \ltrch\fcs0 \cs15\v\f1\fs20\cf9\insrsid13707993\charrsid732728 &lt;/OptDel&gt;&lt;/DocAmend2&gt;}{\rtlch\fcs1 \af0 \ltrch\fcs0 _x000d__x000a_\insrsid13707993\charrsid732728 _x000d__x000a_\par }\pard \ltrpar\ql \li0\ri0\widctlpar\wrapdefault\aspalpha\aspnum\faauto\adjustright\rin0\lin0\itap0\pararsid2517430 {\rtlch\fcs1 \af0 \ltrch\fcs0 \cs15\v\f1\fs20\cf9\insrsid13707993\charrsid732728 &lt;Article2&gt;&lt;OptDel&gt;}{\rtlch\fcs1 \af0 \ltrch\fcs0 _x000d__x000a_\insrsid13707993\charrsid732728 #}{\rtlch\fcs1 \af0 \ltrch\fcs0 \cs16\v\cf15\insrsid13707993\charrsid732728 MNU[OPTACTPARTYES][NOTAPP]@CHOICE@AMACTMNU}{\rtlch\fcs1 \af0 \ltrch\fcs0 \insrsid13707993\charrsid732728 #}{\rtlch\fcs1 \af0 \ltrch\fcs0 _x000d__x000a_\cs15\v\f1\fs20\cf9\insrsid13707993\charrsid732728 &lt;/OptDel&gt;&lt;/Article2&gt;}{\rtlch\fcs1 \af0 \ltrch\fcs0 \insrsid13707993\charrsid73272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3707993\charrsid732728 _x000d__x000a_\cell }\pard \ltrpar\ql \li0\ri0\widctlpar\intbl\wrapdefault\aspalpha\aspnum\faauto\adjustright\rin0\lin0 {\rtlch\fcs1 \af0 \ltrch\fcs0 \insrsid13707993\charrsid732728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15216 \rtlch\fcs1 \af0\afs20\alang1025 \ltrch\fcs0 \i\fs24\lang2057\langfe2057\cgrid\langnp2057\langfenp2057 {_x000d__x000a_\rtlch\fcs1 \af0 \ltrch\fcs0 \insrsid13707993\charrsid732728 #}{\rtlch\fcs1 \af0 \ltrch\fcs0 \cs16\v\cf15\insrsid13707993\charrsid732728 MNU[OPTLEFTAMACT][LEFTPROP]@CHOICE@AMACTMNU}{\rtlch\fcs1 \af0 \ltrch\fcs0 \insrsid13707993\charrsid732728 #\cell _x000d__x000a_Amendment\cell }\pard\plain \ltrpar\ql \li0\ri0\widctlpar\intbl\wrapdefault\aspalpha\aspnum\faauto\adjustright\rin0\lin0 \rtlch\fcs1 \af0\afs20\alang1025 \ltrch\fcs0 \fs24\lang2057\langfe2057\cgrid\langnp2057\langfenp2057 {\rtlch\fcs1 \af0 \ltrch\fcs0 _x000d__x000a_\insrsid13707993\charrsid732728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3707993\charrsid732728 ##\cell ##}{\rtlch\fcs1 \af0\afs24 \ltrch\fcs0 \insrsid13707993\charrsid732728 \cell }\pard\plain \ltrpar\ql \li0\ri0\widctlpar\intbl\wrapdefault\aspalpha\aspnum\faauto\adjustright\rin0\lin0 \rtlch\fcs1 _x000d__x000a_\af0\afs20\alang1025 \ltrch\fcs0 \fs24\lang2057\langfe2057\cgrid\langnp2057\langfenp2057 {\rtlch\fcs1 \af0 \ltrch\fcs0 \insrsid13707993\charrsid732728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2057\langfenp2057 {\rtlch\fcs1 \af0 _x000d__x000a_\ltrch\fcs0 \noproof0\insrsid13707993\charrsid732728 Or. }{\rtlch\fcs1 \af0 \ltrch\fcs0 \cs15\v\f1\fs20\cf9\noproof0\insrsid13707993\charrsid732728 &lt;Original&gt;}{\rtlch\fcs1 \af0 \ltrch\fcs0 \noproof0\insrsid13707993\charrsid732728 #}{\rtlch\fcs1 \af0 _x000d__x000a_\ltrch\fcs0 \cs16\v\cf15\noproof0\insrsid13707993\charrsid732728 MNU[ORLANGONE][ORLANGMORE]@CHOICE@ORLANGMNU}{\rtlch\fcs1 \af0 \ltrch\fcs0 \noproof0\insrsid13707993\charrsid732728 #}{\rtlch\fcs1 \af0 \ltrch\fcs0 _x000d__x000a_\cs15\v\f1\fs20\cf9\noproof0\insrsid13707993\charrsid732728 &lt;/Original&gt;}{\rtlch\fcs1 \af0 \ltrch\fcs0 \noproof0\insrsid13707993\charrsid732728 _x000d__x000a_\par }\pard\plain \ltrpar\s22\qc \li0\ri0\sb240\nowidctlpar\wrapdefault\aspalpha\aspnum\faauto\adjustright\rin0\lin0\itap0\pararsid2517430 \rtlch\fcs1 \af0\afs20\alang1025 \ltrch\fcs0 \i\fs24\lang2057\langfe2057\cgrid\langnp2057\langfenp2057 {\rtlch\fcs1 \af0 _x000d__x000a_\ltrch\fcs0 \cs15\i0\v\f1\fs20\cf9\insrsid13707993\charrsid732728 &lt;OptDel&gt;}{\rtlch\fcs1 \af0 \ltrch\fcs0 \insrsid13707993\charrsid732728 #}{\rtlch\fcs1 \af0 \ltrch\fcs0 \cs16\v\cf15\insrsid13707993\charrsid732728 MNU[CROSSREFNO][CROSSREFYES]@CHOICE@}{_x000d__x000a_\rtlch\fcs1 \af0 \ltrch\fcs0 \insrsid13707993\charrsid732728 #}{\rtlch\fcs1 \af0 \ltrch\fcs0 \cs15\i0\v\f1\fs20\cf9\insrsid13707993\charrsid732728 &lt;/OptDel&gt;}{\rtlch\fcs1 \af0 \ltrch\fcs0 \insrsid13707993\charrsid732728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13707993\charrsid732728 &lt;TitreJust&gt;}{\rtlch\fcs1 \af0 \ltrch\fcs0 \insrsid13707993\charrsid732728 Justification}{\rtlch\fcs1 \af0 \ltrch\fcs0 \cs15\i0\v\f1\fs20\cf9\insrsid13707993\charrsid732728 _x000d__x000a_&lt;/TitreJust&gt;}{\rtlch\fcs1 \af0 \ltrch\fcs0 \insrsid13707993\charrsid732728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13707993\charrsid732728 &lt;OptDelPrev&gt;}{\rtlch\fcs1 \af0 \ltrch\fcs0 \insrsid13707993\charrsid732728 #}{\rtlch\fcs1 \af0 \ltrch\fcs0 \cs16\v\cf15\insrsid13707993\charrsid732728 MNU[TEXTJUSTYES][TEXTJUSTNO]@CHOICE@}{_x000d__x000a_\rtlch\fcs1 \af0 \ltrch\fcs0 \insrsid13707993\charrsid732728 #}{\rtlch\fcs1 \af0 \ltrch\fcs0 \cs15\i0\v\f1\fs20\cf9\insrsid13707993\charrsid732728 &lt;/OptDelPrev&gt;}{\rtlch\fcs1 \af0 \ltrch\fcs0 \insrsid13707993\charrsid732728 _x000d__x000a_\par }\pard\plain \ltrpar\ql \li0\ri0\widctlpar\wrapdefault\aspalpha\aspnum\faauto\adjustright\rin0\lin0\itap0\pararsid16324206 \rtlch\fcs1 \af0\afs20\alang1025 \ltrch\fcs0 \fs24\lang2057\langfe2057\cgrid\langnp2057\langfenp2057 {\rtlch\fcs1 \af0 \ltrch\fcs0 _x000d__x000a_\cs15\v\f1\fs20\cf9\insrsid13707993\charrsid73272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e_x000d__x000a_d1b3b4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52"/>
    <w:docVar w:name="TXTAUTHOR" w:val="Pavel Svoboda"/>
    <w:docVar w:name="TXTLANGUE" w:val="EN"/>
    <w:docVar w:name="TXTLANGUEMIN" w:val="en"/>
    <w:docVar w:name="TXTNRC" w:val="0109/2018"/>
    <w:docVar w:name="TXTNRCOD" w:val="2018/0044"/>
    <w:docVar w:name="TXTNRCOM" w:val="(2018)0096"/>
    <w:docVar w:name="TXTNRFIRSTAM" w:val="1"/>
    <w:docVar w:name="TXTNRLASTAM" w:val="16"/>
    <w:docVar w:name="TXTNRPE" w:val="621.985"/>
    <w:docVar w:name="TXTPEorAP" w:val="PE"/>
    <w:docVar w:name="TXTROUTE" w:val="PR\1152478EN.docx"/>
    <w:docVar w:name="TXTTITLE" w:val="on the law applicable to third party effects of assignments of claims"/>
    <w:docVar w:name="TXTVERSION" w:val="01-00"/>
  </w:docVars>
  <w:rsids>
    <w:rsidRoot w:val="000B2E38"/>
    <w:rsid w:val="000018E9"/>
    <w:rsid w:val="0000466A"/>
    <w:rsid w:val="00011AAB"/>
    <w:rsid w:val="00012351"/>
    <w:rsid w:val="00022E90"/>
    <w:rsid w:val="00037760"/>
    <w:rsid w:val="0005255E"/>
    <w:rsid w:val="00062EC7"/>
    <w:rsid w:val="00084E89"/>
    <w:rsid w:val="000856D7"/>
    <w:rsid w:val="000924C4"/>
    <w:rsid w:val="000B2E38"/>
    <w:rsid w:val="000D2999"/>
    <w:rsid w:val="000F1096"/>
    <w:rsid w:val="00123DD5"/>
    <w:rsid w:val="00142215"/>
    <w:rsid w:val="001767E2"/>
    <w:rsid w:val="00187008"/>
    <w:rsid w:val="001A5A34"/>
    <w:rsid w:val="001C5592"/>
    <w:rsid w:val="001C5B44"/>
    <w:rsid w:val="001C6FFC"/>
    <w:rsid w:val="00212B84"/>
    <w:rsid w:val="002346B0"/>
    <w:rsid w:val="002667C3"/>
    <w:rsid w:val="002669B6"/>
    <w:rsid w:val="00290BED"/>
    <w:rsid w:val="002A6CB4"/>
    <w:rsid w:val="002F40BB"/>
    <w:rsid w:val="002F4B02"/>
    <w:rsid w:val="00323EF8"/>
    <w:rsid w:val="00370AC3"/>
    <w:rsid w:val="003B1502"/>
    <w:rsid w:val="003C2068"/>
    <w:rsid w:val="003C37CF"/>
    <w:rsid w:val="003E7E9C"/>
    <w:rsid w:val="00402B06"/>
    <w:rsid w:val="004100B1"/>
    <w:rsid w:val="00446247"/>
    <w:rsid w:val="00446354"/>
    <w:rsid w:val="00461601"/>
    <w:rsid w:val="004B5A16"/>
    <w:rsid w:val="004C0915"/>
    <w:rsid w:val="004D424E"/>
    <w:rsid w:val="004E42C8"/>
    <w:rsid w:val="0051271F"/>
    <w:rsid w:val="00521F46"/>
    <w:rsid w:val="00551123"/>
    <w:rsid w:val="00570A6A"/>
    <w:rsid w:val="00584A7B"/>
    <w:rsid w:val="00586E50"/>
    <w:rsid w:val="005A4CCE"/>
    <w:rsid w:val="005D1A99"/>
    <w:rsid w:val="005D7609"/>
    <w:rsid w:val="005D7EE8"/>
    <w:rsid w:val="006D49FC"/>
    <w:rsid w:val="006F43A3"/>
    <w:rsid w:val="006F7907"/>
    <w:rsid w:val="00743189"/>
    <w:rsid w:val="00745FCA"/>
    <w:rsid w:val="007608DA"/>
    <w:rsid w:val="007932B3"/>
    <w:rsid w:val="00793EA9"/>
    <w:rsid w:val="007D6F68"/>
    <w:rsid w:val="008633CC"/>
    <w:rsid w:val="00865190"/>
    <w:rsid w:val="008719B9"/>
    <w:rsid w:val="00894ECE"/>
    <w:rsid w:val="00896BB4"/>
    <w:rsid w:val="008A7FB8"/>
    <w:rsid w:val="008D084A"/>
    <w:rsid w:val="008E0A66"/>
    <w:rsid w:val="008F0F94"/>
    <w:rsid w:val="009022B8"/>
    <w:rsid w:val="00915684"/>
    <w:rsid w:val="00916110"/>
    <w:rsid w:val="00917CC4"/>
    <w:rsid w:val="009763DA"/>
    <w:rsid w:val="00980788"/>
    <w:rsid w:val="00987B5A"/>
    <w:rsid w:val="009B4B93"/>
    <w:rsid w:val="009E6C82"/>
    <w:rsid w:val="009F24BE"/>
    <w:rsid w:val="009F6C2F"/>
    <w:rsid w:val="00A22533"/>
    <w:rsid w:val="00A26F46"/>
    <w:rsid w:val="00A34FD3"/>
    <w:rsid w:val="00A36929"/>
    <w:rsid w:val="00A45B27"/>
    <w:rsid w:val="00A90E56"/>
    <w:rsid w:val="00A94536"/>
    <w:rsid w:val="00AA2132"/>
    <w:rsid w:val="00AA35B0"/>
    <w:rsid w:val="00AD18C8"/>
    <w:rsid w:val="00AD7FA6"/>
    <w:rsid w:val="00AE4643"/>
    <w:rsid w:val="00AF0416"/>
    <w:rsid w:val="00B05F09"/>
    <w:rsid w:val="00B10CB4"/>
    <w:rsid w:val="00B23B72"/>
    <w:rsid w:val="00B42702"/>
    <w:rsid w:val="00B57F31"/>
    <w:rsid w:val="00B84C12"/>
    <w:rsid w:val="00B85407"/>
    <w:rsid w:val="00B95702"/>
    <w:rsid w:val="00BB08B2"/>
    <w:rsid w:val="00BC6489"/>
    <w:rsid w:val="00BC6F14"/>
    <w:rsid w:val="00BD480C"/>
    <w:rsid w:val="00BD56B3"/>
    <w:rsid w:val="00C03277"/>
    <w:rsid w:val="00C53805"/>
    <w:rsid w:val="00C73602"/>
    <w:rsid w:val="00CA7E6B"/>
    <w:rsid w:val="00CC7589"/>
    <w:rsid w:val="00CF60C8"/>
    <w:rsid w:val="00D32924"/>
    <w:rsid w:val="00D503A3"/>
    <w:rsid w:val="00D90E38"/>
    <w:rsid w:val="00DA6ED0"/>
    <w:rsid w:val="00DC5011"/>
    <w:rsid w:val="00DC683D"/>
    <w:rsid w:val="00DE3D47"/>
    <w:rsid w:val="00E00AE7"/>
    <w:rsid w:val="00E171B6"/>
    <w:rsid w:val="00E43809"/>
    <w:rsid w:val="00E852CB"/>
    <w:rsid w:val="00EB1753"/>
    <w:rsid w:val="00EB6CFF"/>
    <w:rsid w:val="00EE3996"/>
    <w:rsid w:val="00EF6D9B"/>
    <w:rsid w:val="00F43006"/>
    <w:rsid w:val="00F708D1"/>
    <w:rsid w:val="00F904AE"/>
    <w:rsid w:val="00F934F8"/>
    <w:rsid w:val="00F94001"/>
    <w:rsid w:val="00FB52FE"/>
    <w:rsid w:val="00FC0A34"/>
    <w:rsid w:val="00FD1DEF"/>
    <w:rsid w:val="00FE3B3F"/>
    <w:rsid w:val="00FF5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6B09"/>
  <w15:chartTrackingRefBased/>
  <w15:docId w15:val="{5B5A95BC-BA97-472C-941E-48F39CC2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6"/>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ga-I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ga-I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0D299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0D2999"/>
    <w:pPr>
      <w:spacing w:before="240" w:after="240"/>
    </w:pPr>
    <w:rPr>
      <w:b/>
      <w:i/>
      <w:snapToGrid w:val="0"/>
      <w:lang w:eastAsia="en-US"/>
    </w:rPr>
  </w:style>
  <w:style w:type="paragraph" w:customStyle="1" w:styleId="Lgendestandard">
    <w:name w:val="Légende standard"/>
    <w:basedOn w:val="Lgendesigne"/>
    <w:rsid w:val="000D2999"/>
    <w:pPr>
      <w:ind w:left="0" w:firstLine="0"/>
    </w:pPr>
  </w:style>
  <w:style w:type="paragraph" w:styleId="FootnoteText">
    <w:name w:val="footnote text"/>
    <w:basedOn w:val="Normal"/>
    <w:link w:val="FootnoteTextChar"/>
    <w:uiPriority w:val="99"/>
    <w:unhideWhenUsed/>
    <w:rsid w:val="00CA7E6B"/>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CA7E6B"/>
    <w:rPr>
      <w:rFonts w:eastAsia="Calibri"/>
      <w:lang w:val="ga-IE" w:eastAsia="en-US"/>
    </w:rPr>
  </w:style>
  <w:style w:type="paragraph" w:customStyle="1" w:styleId="ManualConsidrant">
    <w:name w:val="Manual Considérant"/>
    <w:basedOn w:val="Normal"/>
    <w:rsid w:val="00CA7E6B"/>
    <w:pPr>
      <w:widowControl/>
      <w:spacing w:before="120" w:after="120"/>
      <w:ind w:left="709" w:hanging="709"/>
      <w:jc w:val="both"/>
    </w:pPr>
    <w:rPr>
      <w:rFonts w:eastAsia="Calibri"/>
      <w:szCs w:val="22"/>
      <w:lang w:eastAsia="en-US"/>
    </w:rPr>
  </w:style>
  <w:style w:type="paragraph" w:customStyle="1" w:styleId="Point0number">
    <w:name w:val="Point 0 (number)"/>
    <w:basedOn w:val="Normal"/>
    <w:rsid w:val="00CA7E6B"/>
    <w:pPr>
      <w:widowControl/>
      <w:numPr>
        <w:numId w:val="4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CA7E6B"/>
    <w:pPr>
      <w:widowControl/>
      <w:numPr>
        <w:ilvl w:val="2"/>
        <w:numId w:val="4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CA7E6B"/>
    <w:pPr>
      <w:widowControl/>
      <w:numPr>
        <w:ilvl w:val="4"/>
        <w:numId w:val="4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CA7E6B"/>
    <w:pPr>
      <w:widowControl/>
      <w:numPr>
        <w:ilvl w:val="6"/>
        <w:numId w:val="4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CA7E6B"/>
    <w:pPr>
      <w:widowControl/>
      <w:numPr>
        <w:ilvl w:val="1"/>
        <w:numId w:val="4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CA7E6B"/>
    <w:pPr>
      <w:widowControl/>
      <w:numPr>
        <w:ilvl w:val="3"/>
        <w:numId w:val="41"/>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CA7E6B"/>
    <w:pPr>
      <w:widowControl/>
      <w:numPr>
        <w:ilvl w:val="5"/>
        <w:numId w:val="4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CA7E6B"/>
    <w:pPr>
      <w:widowControl/>
      <w:numPr>
        <w:ilvl w:val="7"/>
        <w:numId w:val="4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CA7E6B"/>
    <w:pPr>
      <w:widowControl/>
      <w:numPr>
        <w:ilvl w:val="8"/>
        <w:numId w:val="41"/>
      </w:numPr>
      <w:tabs>
        <w:tab w:val="clear" w:pos="3118"/>
        <w:tab w:val="num" w:pos="360"/>
      </w:tabs>
      <w:spacing w:before="120" w:after="120"/>
      <w:ind w:left="360" w:hanging="360"/>
      <w:jc w:val="both"/>
    </w:pPr>
    <w:rPr>
      <w:rFonts w:eastAsia="Calibri"/>
      <w:szCs w:val="22"/>
      <w:lang w:eastAsia="en-US"/>
    </w:rPr>
  </w:style>
  <w:style w:type="character" w:styleId="FootnoteReference">
    <w:name w:val="footnote reference"/>
    <w:uiPriority w:val="99"/>
    <w:unhideWhenUsed/>
    <w:rsid w:val="00CA7E6B"/>
    <w:rPr>
      <w:vertAlign w:val="superscript"/>
    </w:rPr>
  </w:style>
  <w:style w:type="paragraph" w:styleId="BalloonText">
    <w:name w:val="Balloon Text"/>
    <w:basedOn w:val="Normal"/>
    <w:link w:val="BalloonTextChar"/>
    <w:rsid w:val="00402B06"/>
    <w:rPr>
      <w:rFonts w:ascii="Segoe UI" w:hAnsi="Segoe UI" w:cs="Segoe UI"/>
      <w:sz w:val="18"/>
      <w:szCs w:val="18"/>
    </w:rPr>
  </w:style>
  <w:style w:type="character" w:customStyle="1" w:styleId="BalloonTextChar">
    <w:name w:val="Balloon Text Char"/>
    <w:basedOn w:val="DefaultParagraphFont"/>
    <w:link w:val="BalloonText"/>
    <w:rsid w:val="00402B06"/>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A45B27"/>
  </w:style>
  <w:style w:type="paragraph" w:styleId="CommentSubject">
    <w:name w:val="annotation subject"/>
    <w:basedOn w:val="CommentText"/>
    <w:next w:val="CommentText"/>
    <w:link w:val="CommentSubjectChar"/>
    <w:rsid w:val="00A45B27"/>
    <w:rPr>
      <w:b/>
      <w:bCs/>
    </w:rPr>
  </w:style>
  <w:style w:type="character" w:customStyle="1" w:styleId="CommentSubjectChar">
    <w:name w:val="Comment Subject Char"/>
    <w:basedOn w:val="CommentTextChar"/>
    <w:link w:val="CommentSubject"/>
    <w:rsid w:val="00A45B27"/>
    <w:rPr>
      <w:b/>
      <w:bCs/>
    </w:rPr>
  </w:style>
  <w:style w:type="paragraph" w:customStyle="1" w:styleId="CM1">
    <w:name w:val="CM1"/>
    <w:basedOn w:val="Normal"/>
    <w:next w:val="Normal"/>
    <w:uiPriority w:val="99"/>
    <w:rsid w:val="00A45B27"/>
    <w:pPr>
      <w:widowControl/>
      <w:autoSpaceDE w:val="0"/>
      <w:autoSpaceDN w:val="0"/>
      <w:adjustRightInd w:val="0"/>
    </w:pPr>
    <w:rPr>
      <w:szCs w:val="24"/>
    </w:rPr>
  </w:style>
  <w:style w:type="paragraph" w:customStyle="1" w:styleId="CM3">
    <w:name w:val="CM3"/>
    <w:basedOn w:val="Normal"/>
    <w:next w:val="Normal"/>
    <w:uiPriority w:val="99"/>
    <w:rsid w:val="00A45B27"/>
    <w:pPr>
      <w:widowControl/>
      <w:autoSpaceDE w:val="0"/>
      <w:autoSpaceDN w:val="0"/>
      <w:adjustRightInd w:val="0"/>
    </w:pPr>
    <w:rPr>
      <w:szCs w:val="24"/>
    </w:rPr>
  </w:style>
  <w:style w:type="paragraph" w:customStyle="1" w:styleId="CM4">
    <w:name w:val="CM4"/>
    <w:basedOn w:val="Normal"/>
    <w:next w:val="Normal"/>
    <w:uiPriority w:val="99"/>
    <w:rsid w:val="00A45B27"/>
    <w:pPr>
      <w:widowControl/>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6614">
      <w:bodyDiv w:val="1"/>
      <w:marLeft w:val="0"/>
      <w:marRight w:val="0"/>
      <w:marTop w:val="0"/>
      <w:marBottom w:val="0"/>
      <w:divBdr>
        <w:top w:val="none" w:sz="0" w:space="0" w:color="auto"/>
        <w:left w:val="none" w:sz="0" w:space="0" w:color="auto"/>
        <w:bottom w:val="none" w:sz="0" w:space="0" w:color="auto"/>
        <w:right w:val="none" w:sz="0" w:space="0" w:color="auto"/>
      </w:divBdr>
    </w:div>
    <w:div w:id="1328635191">
      <w:bodyDiv w:val="1"/>
      <w:marLeft w:val="0"/>
      <w:marRight w:val="0"/>
      <w:marTop w:val="0"/>
      <w:marBottom w:val="0"/>
      <w:divBdr>
        <w:top w:val="none" w:sz="0" w:space="0" w:color="auto"/>
        <w:left w:val="none" w:sz="0" w:space="0" w:color="auto"/>
        <w:bottom w:val="none" w:sz="0" w:space="0" w:color="auto"/>
        <w:right w:val="none" w:sz="0" w:space="0" w:color="auto"/>
      </w:divBdr>
    </w:div>
    <w:div w:id="15762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1949-DBAB-4C85-9D08-02B56168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3533</Words>
  <Characters>18095</Characters>
  <Application>Microsoft Office Word</Application>
  <DocSecurity>0</DocSecurity>
  <Lines>623</Lines>
  <Paragraphs>245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EGGINK Ieva</dc:creator>
  <cp:keywords/>
  <dc:description/>
  <cp:lastModifiedBy>DALY Nessa</cp:lastModifiedBy>
  <cp:revision>2</cp:revision>
  <cp:lastPrinted>2018-05-03T12:30:00Z</cp:lastPrinted>
  <dcterms:created xsi:type="dcterms:W3CDTF">2018-05-17T12:44:00Z</dcterms:created>
  <dcterms:modified xsi:type="dcterms:W3CDTF">2018-05-17T12:44:00Z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1152478</vt:lpwstr>
  </property>
  <property fmtid="{D5CDD505-2E9C-101B-9397-08002B2CF9AE}" pid="5" name="&lt;Type&gt;">
    <vt:lpwstr>PR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\\eiciBRUpr1\pdocep$\DocEP\TRANSFIL\EN\PR_COD_1amCom.EN(27/04/2018 13:15:07)</vt:lpwstr>
  </property>
  <property fmtid="{D5CDD505-2E9C-101B-9397-08002B2CF9AE}" pid="8" name="&lt;Model&gt;">
    <vt:lpwstr>PR_COD_1amCom</vt:lpwstr>
  </property>
  <property fmtid="{D5CDD505-2E9C-101B-9397-08002B2CF9AE}" pid="9" name="FooterPath">
    <vt:lpwstr>PR\1152478GA.docx</vt:lpwstr>
  </property>
  <property fmtid="{D5CDD505-2E9C-101B-9397-08002B2CF9AE}" pid="10" name="PE number">
    <vt:lpwstr>621.985</vt:lpwstr>
  </property>
  <property fmtid="{D5CDD505-2E9C-101B-9397-08002B2CF9AE}" pid="11" name="SendToEpades">
    <vt:lpwstr>OK - 2018/05/03 13:40</vt:lpwstr>
  </property>
  <property fmtid="{D5CDD505-2E9C-101B-9397-08002B2CF9AE}" pid="12" name="SubscribeElise">
    <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- 2018/05/17 14:44</vt:lpwstr>
  </property>
</Properties>
</file>