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B33F79" w14:paraId="5B3DA053" w14:textId="77777777" w:rsidTr="006F7907">
        <w:trPr>
          <w:trHeight w:hRule="exact" w:val="1418"/>
        </w:trPr>
        <w:tc>
          <w:tcPr>
            <w:tcW w:w="6804" w:type="dxa"/>
            <w:shd w:val="clear" w:color="auto" w:fill="auto"/>
            <w:vAlign w:val="center"/>
          </w:tcPr>
          <w:p w14:paraId="081D3ECB" w14:textId="77777777" w:rsidR="006F7907" w:rsidRPr="00B33F79" w:rsidRDefault="00F26B5C" w:rsidP="00FD1DEF">
            <w:pPr>
              <w:pStyle w:val="EPName"/>
            </w:pPr>
            <w:r w:rsidRPr="00B33F79">
              <w:t>European Parliament</w:t>
            </w:r>
          </w:p>
          <w:p w14:paraId="64FE9868" w14:textId="77777777" w:rsidR="006F7907" w:rsidRPr="00B33F79" w:rsidRDefault="00D63D4A" w:rsidP="00D63D4A">
            <w:pPr>
              <w:pStyle w:val="EPTerm"/>
              <w:rPr>
                <w:rStyle w:val="HideTWBExt"/>
                <w:noProof w:val="0"/>
                <w:vanish w:val="0"/>
                <w:color w:val="auto"/>
              </w:rPr>
            </w:pPr>
            <w:r w:rsidRPr="00B33F79">
              <w:t>2014-2019</w:t>
            </w:r>
          </w:p>
        </w:tc>
        <w:tc>
          <w:tcPr>
            <w:tcW w:w="2268" w:type="dxa"/>
            <w:shd w:val="clear" w:color="auto" w:fill="auto"/>
          </w:tcPr>
          <w:p w14:paraId="1629C37F" w14:textId="77777777" w:rsidR="006F7907" w:rsidRPr="00B33F79" w:rsidRDefault="000377F2" w:rsidP="00896BB4">
            <w:pPr>
              <w:pStyle w:val="EPLogo"/>
            </w:pPr>
            <w:r w:rsidRPr="00B33F79">
              <w:pict w14:anchorId="3CA8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8" o:title="EP logo RGB_Mute"/>
                </v:shape>
              </w:pict>
            </w:r>
          </w:p>
        </w:tc>
      </w:tr>
    </w:tbl>
    <w:p w14:paraId="663C6B0A" w14:textId="77777777" w:rsidR="00461601" w:rsidRPr="00B33F79" w:rsidRDefault="00461601" w:rsidP="00461601">
      <w:pPr>
        <w:pStyle w:val="LineTop"/>
      </w:pPr>
    </w:p>
    <w:p w14:paraId="36E34523" w14:textId="77777777" w:rsidR="00461601" w:rsidRPr="00B33F79" w:rsidRDefault="00461601" w:rsidP="00461601">
      <w:pPr>
        <w:pStyle w:val="ZCommittee"/>
      </w:pPr>
      <w:r w:rsidRPr="00B33F79">
        <w:rPr>
          <w:rStyle w:val="HideTWBExt"/>
          <w:noProof w:val="0"/>
        </w:rPr>
        <w:t>&lt;</w:t>
      </w:r>
      <w:r w:rsidRPr="00B33F79">
        <w:rPr>
          <w:rStyle w:val="HideTWBExt"/>
          <w:i w:val="0"/>
          <w:noProof w:val="0"/>
        </w:rPr>
        <w:t>Commission</w:t>
      </w:r>
      <w:r w:rsidRPr="00B33F79">
        <w:rPr>
          <w:rStyle w:val="HideTWBExt"/>
          <w:noProof w:val="0"/>
        </w:rPr>
        <w:t>&gt;</w:t>
      </w:r>
      <w:r w:rsidRPr="00B33F79">
        <w:rPr>
          <w:rStyle w:val="HideTWBInt"/>
          <w:color w:val="0000F0"/>
        </w:rPr>
        <w:t>{EMPL}</w:t>
      </w:r>
      <w:r w:rsidRPr="00B33F79">
        <w:rPr>
          <w:color w:val="0000F0"/>
        </w:rPr>
        <w:t>Committee on Employment and Social Affairs</w:t>
      </w:r>
      <w:r w:rsidRPr="00B33F79">
        <w:rPr>
          <w:rStyle w:val="HideTWBExt"/>
          <w:noProof w:val="0"/>
        </w:rPr>
        <w:t>&lt;/</w:t>
      </w:r>
      <w:r w:rsidRPr="00B33F79">
        <w:rPr>
          <w:rStyle w:val="HideTWBExt"/>
          <w:i w:val="0"/>
          <w:noProof w:val="0"/>
        </w:rPr>
        <w:t>Commission</w:t>
      </w:r>
      <w:r w:rsidRPr="00B33F79">
        <w:rPr>
          <w:rStyle w:val="HideTWBExt"/>
          <w:noProof w:val="0"/>
        </w:rPr>
        <w:t>&gt;</w:t>
      </w:r>
    </w:p>
    <w:p w14:paraId="47E015C6" w14:textId="77777777" w:rsidR="00461601" w:rsidRPr="00B33F79" w:rsidRDefault="00461601" w:rsidP="00461601">
      <w:pPr>
        <w:pStyle w:val="LineBottom"/>
      </w:pPr>
    </w:p>
    <w:p w14:paraId="7AB02066" w14:textId="77777777" w:rsidR="00793EA9" w:rsidRPr="00B33F79" w:rsidRDefault="00793EA9">
      <w:pPr>
        <w:pStyle w:val="RefProc"/>
      </w:pPr>
      <w:r w:rsidRPr="00B33F79">
        <w:rPr>
          <w:rStyle w:val="HideTWBExt"/>
          <w:b w:val="0"/>
          <w:noProof w:val="0"/>
        </w:rPr>
        <w:t>&lt;</w:t>
      </w:r>
      <w:r w:rsidRPr="00B33F79">
        <w:rPr>
          <w:rStyle w:val="HideTWBExt"/>
          <w:b w:val="0"/>
          <w:caps w:val="0"/>
          <w:noProof w:val="0"/>
        </w:rPr>
        <w:t>RefProc</w:t>
      </w:r>
      <w:r w:rsidRPr="00B33F79">
        <w:rPr>
          <w:rStyle w:val="HideTWBExt"/>
          <w:b w:val="0"/>
          <w:noProof w:val="0"/>
        </w:rPr>
        <w:t>&gt;</w:t>
      </w:r>
      <w:r w:rsidRPr="00B33F79">
        <w:rPr>
          <w:color w:val="0000F0"/>
        </w:rPr>
        <w:t>2018/0081</w:t>
      </w:r>
      <w:r w:rsidRPr="00B33F79">
        <w:rPr>
          <w:rStyle w:val="HideTWBExt"/>
          <w:b w:val="0"/>
          <w:noProof w:val="0"/>
        </w:rPr>
        <w:t>&lt;/</w:t>
      </w:r>
      <w:r w:rsidRPr="00B33F79">
        <w:rPr>
          <w:rStyle w:val="HideTWBExt"/>
          <w:b w:val="0"/>
          <w:caps w:val="0"/>
          <w:noProof w:val="0"/>
        </w:rPr>
        <w:t>RefProc</w:t>
      </w:r>
      <w:r w:rsidRPr="00B33F79">
        <w:rPr>
          <w:rStyle w:val="HideTWBExt"/>
          <w:b w:val="0"/>
          <w:noProof w:val="0"/>
        </w:rPr>
        <w:t>&gt;&lt;</w:t>
      </w:r>
      <w:r w:rsidRPr="00B33F79">
        <w:rPr>
          <w:rStyle w:val="HideTWBExt"/>
          <w:b w:val="0"/>
          <w:caps w:val="0"/>
          <w:noProof w:val="0"/>
        </w:rPr>
        <w:t>RefTypeProc</w:t>
      </w:r>
      <w:r w:rsidRPr="00B33F79">
        <w:rPr>
          <w:rStyle w:val="HideTWBExt"/>
          <w:b w:val="0"/>
          <w:noProof w:val="0"/>
        </w:rPr>
        <w:t>&gt;</w:t>
      </w:r>
      <w:r w:rsidRPr="00B33F79">
        <w:rPr>
          <w:color w:val="0000F0"/>
        </w:rPr>
        <w:t>(COD)</w:t>
      </w:r>
      <w:r w:rsidRPr="00B33F79">
        <w:rPr>
          <w:rStyle w:val="HideTWBExt"/>
          <w:b w:val="0"/>
          <w:noProof w:val="0"/>
        </w:rPr>
        <w:t>&lt;/</w:t>
      </w:r>
      <w:r w:rsidRPr="00B33F79">
        <w:rPr>
          <w:rStyle w:val="HideTWBExt"/>
          <w:b w:val="0"/>
          <w:caps w:val="0"/>
          <w:noProof w:val="0"/>
        </w:rPr>
        <w:t>RefTypeProc</w:t>
      </w:r>
      <w:r w:rsidRPr="00B33F79">
        <w:rPr>
          <w:rStyle w:val="HideTWBExt"/>
          <w:b w:val="0"/>
          <w:noProof w:val="0"/>
        </w:rPr>
        <w:t>&gt;</w:t>
      </w:r>
    </w:p>
    <w:p w14:paraId="51D7D03B" w14:textId="49854369" w:rsidR="00793EA9" w:rsidRPr="00B33F79" w:rsidRDefault="00793EA9">
      <w:pPr>
        <w:pStyle w:val="ZDate"/>
      </w:pPr>
      <w:r w:rsidRPr="00B33F79">
        <w:rPr>
          <w:rStyle w:val="HideTWBExt"/>
          <w:noProof w:val="0"/>
        </w:rPr>
        <w:t>&lt;Date&gt;</w:t>
      </w:r>
      <w:r w:rsidRPr="00B33F79">
        <w:rPr>
          <w:rStyle w:val="HideTWBInt"/>
          <w:color w:val="0000F0"/>
        </w:rPr>
        <w:t>{29/06/2018}</w:t>
      </w:r>
      <w:r w:rsidRPr="00B33F79">
        <w:rPr>
          <w:color w:val="0000F0"/>
        </w:rPr>
        <w:t>29.6.2018</w:t>
      </w:r>
      <w:r w:rsidRPr="00B33F79">
        <w:rPr>
          <w:rStyle w:val="HideTWBExt"/>
          <w:noProof w:val="0"/>
        </w:rPr>
        <w:t>&lt;/Date&gt;</w:t>
      </w:r>
    </w:p>
    <w:p w14:paraId="5F5C45EB" w14:textId="77777777" w:rsidR="00793EA9" w:rsidRPr="00B33F79" w:rsidRDefault="00793EA9">
      <w:pPr>
        <w:pStyle w:val="StarsAndIs"/>
      </w:pPr>
      <w:r w:rsidRPr="00B33F79">
        <w:rPr>
          <w:rStyle w:val="HideTWBExt"/>
          <w:b w:val="0"/>
          <w:noProof w:val="0"/>
        </w:rPr>
        <w:t>&lt;RefProcLect&gt;</w:t>
      </w:r>
      <w:r w:rsidRPr="00B33F79">
        <w:rPr>
          <w:color w:val="0000F0"/>
        </w:rPr>
        <w:t>***I</w:t>
      </w:r>
      <w:r w:rsidRPr="00B33F79">
        <w:rPr>
          <w:rStyle w:val="HideTWBExt"/>
          <w:b w:val="0"/>
          <w:noProof w:val="0"/>
        </w:rPr>
        <w:t>&lt;/RefProcLect&gt;</w:t>
      </w:r>
    </w:p>
    <w:p w14:paraId="71F32415" w14:textId="77777777" w:rsidR="00793EA9" w:rsidRPr="00B33F79" w:rsidRDefault="00793EA9">
      <w:pPr>
        <w:pStyle w:val="TypeDoc"/>
      </w:pPr>
      <w:r w:rsidRPr="00B33F79">
        <w:rPr>
          <w:rStyle w:val="HideTWBExt"/>
          <w:b w:val="0"/>
          <w:noProof w:val="0"/>
        </w:rPr>
        <w:t>&lt;TitreType&gt;</w:t>
      </w:r>
      <w:r w:rsidRPr="00B33F79">
        <w:rPr>
          <w:color w:val="0000F0"/>
        </w:rPr>
        <w:t>DRAFT REPORT</w:t>
      </w:r>
      <w:r w:rsidRPr="00B33F79">
        <w:rPr>
          <w:rStyle w:val="HideTWBExt"/>
          <w:b w:val="0"/>
          <w:noProof w:val="0"/>
        </w:rPr>
        <w:t>&lt;/TitreType&gt;</w:t>
      </w:r>
    </w:p>
    <w:p w14:paraId="17BC200F" w14:textId="36D7FA74" w:rsidR="00793EA9" w:rsidRPr="00B33F79" w:rsidRDefault="00793EA9">
      <w:pPr>
        <w:pStyle w:val="CoverNormal"/>
      </w:pPr>
      <w:r w:rsidRPr="00B33F79">
        <w:rPr>
          <w:rStyle w:val="HideTWBExt"/>
          <w:noProof w:val="0"/>
        </w:rPr>
        <w:t>&lt;Titre&gt;</w:t>
      </w:r>
      <w:r w:rsidRPr="00B33F79">
        <w:t>on the proposal for a directive of the European Parliament and of the Council amending Directive 2004/37/EC on the protection of workers from the risks related to exposure to carcinogens or mutagens at work</w:t>
      </w:r>
      <w:r w:rsidRPr="00B33F79">
        <w:rPr>
          <w:rStyle w:val="HideTWBExt"/>
          <w:noProof w:val="0"/>
        </w:rPr>
        <w:t>&lt;/Titre&gt;</w:t>
      </w:r>
    </w:p>
    <w:p w14:paraId="27269E9E" w14:textId="16FDD508" w:rsidR="00793EA9" w:rsidRPr="00B33F79" w:rsidRDefault="00793EA9">
      <w:pPr>
        <w:pStyle w:val="Cover24"/>
      </w:pPr>
      <w:r w:rsidRPr="00B33F79">
        <w:rPr>
          <w:rStyle w:val="HideTWBExt"/>
          <w:noProof w:val="0"/>
        </w:rPr>
        <w:t>&lt;DocRef&gt;</w:t>
      </w:r>
      <w:r w:rsidRPr="00B33F79">
        <w:rPr>
          <w:color w:val="0000F0"/>
        </w:rPr>
        <w:t>(COM(2018)0171 – C8-0130/2018 – 2018/0081(COD))</w:t>
      </w:r>
      <w:r w:rsidRPr="00B33F79">
        <w:rPr>
          <w:rStyle w:val="HideTWBExt"/>
          <w:noProof w:val="0"/>
        </w:rPr>
        <w:t>&lt;/DocRef&gt;</w:t>
      </w:r>
    </w:p>
    <w:p w14:paraId="0F9FCB99" w14:textId="77777777" w:rsidR="00793EA9" w:rsidRPr="00B33F79" w:rsidRDefault="00793EA9">
      <w:pPr>
        <w:pStyle w:val="Cover24"/>
      </w:pPr>
      <w:r w:rsidRPr="00B33F79">
        <w:rPr>
          <w:rStyle w:val="HideTWBExt"/>
          <w:noProof w:val="0"/>
        </w:rPr>
        <w:t>&lt;Commission&gt;</w:t>
      </w:r>
      <w:r w:rsidRPr="00B33F79">
        <w:rPr>
          <w:rStyle w:val="HideTWBInt"/>
          <w:color w:val="0000F0"/>
        </w:rPr>
        <w:t>{EMPL}</w:t>
      </w:r>
      <w:r w:rsidRPr="00B33F79">
        <w:rPr>
          <w:color w:val="0000F0"/>
        </w:rPr>
        <w:t>Committee on Employment and Social Affairs</w:t>
      </w:r>
      <w:r w:rsidRPr="00B33F79">
        <w:rPr>
          <w:rStyle w:val="HideTWBExt"/>
          <w:noProof w:val="0"/>
        </w:rPr>
        <w:t>&lt;/Commission&gt;</w:t>
      </w:r>
    </w:p>
    <w:p w14:paraId="005268E7" w14:textId="77777777" w:rsidR="00793EA9" w:rsidRPr="00B33F79" w:rsidRDefault="00F26B5C">
      <w:pPr>
        <w:pStyle w:val="Cover24"/>
      </w:pPr>
      <w:r w:rsidRPr="00B33F79">
        <w:rPr>
          <w:color w:val="0000F0"/>
        </w:rPr>
        <w:t xml:space="preserve">Rapporteur: </w:t>
      </w:r>
      <w:r w:rsidRPr="00B33F79">
        <w:rPr>
          <w:rStyle w:val="HideTWBExt"/>
          <w:noProof w:val="0"/>
        </w:rPr>
        <w:t>&lt;Depute&gt;</w:t>
      </w:r>
      <w:r w:rsidRPr="00B33F79">
        <w:rPr>
          <w:color w:val="0000F0"/>
        </w:rPr>
        <w:t>Laura Agea</w:t>
      </w:r>
      <w:r w:rsidRPr="00B33F79">
        <w:rPr>
          <w:rStyle w:val="HideTWBExt"/>
          <w:noProof w:val="0"/>
        </w:rPr>
        <w:t>&lt;/Depute&gt;</w:t>
      </w:r>
    </w:p>
    <w:p w14:paraId="748F21DC" w14:textId="77777777" w:rsidR="001C5B44" w:rsidRPr="00B33F79" w:rsidRDefault="001C5B44" w:rsidP="001C5B44">
      <w:pPr>
        <w:pStyle w:val="CoverNormal"/>
      </w:pPr>
    </w:p>
    <w:p w14:paraId="3212DAC1" w14:textId="77777777" w:rsidR="00793EA9" w:rsidRPr="00B33F79" w:rsidRDefault="00793EA9" w:rsidP="00187008">
      <w:pPr>
        <w:widowControl/>
        <w:tabs>
          <w:tab w:val="center" w:pos="4677"/>
        </w:tabs>
      </w:pPr>
      <w:r w:rsidRPr="00B33F79">
        <w:br w:type="page"/>
      </w:r>
    </w:p>
    <w:p w14:paraId="185EDA49" w14:textId="43DCF0EA" w:rsidR="00D63D4A" w:rsidRPr="00B33F79" w:rsidRDefault="000377F2">
      <w:r w:rsidRPr="00B33F79">
        <w:fldChar w:fldCharType="begin"/>
      </w:r>
      <w:r w:rsidRPr="00B33F79">
        <w:instrText xml:space="preserve"> TITLE  \* MERGEFORMAT </w:instrText>
      </w:r>
      <w:r w:rsidRPr="00B33F79">
        <w:fldChar w:fldCharType="separate"/>
      </w:r>
      <w:r>
        <w:t>PR_COD_1amCom</w:t>
      </w:r>
      <w:r w:rsidRPr="00B33F79">
        <w:fldChar w:fldCharType="end"/>
      </w:r>
    </w:p>
    <w:p w14:paraId="09E8D087" w14:textId="77777777" w:rsidR="00D63D4A" w:rsidRPr="00B33F79" w:rsidRDefault="00D63D4A"/>
    <w:p w14:paraId="439492C0" w14:textId="77777777" w:rsidR="00D63D4A" w:rsidRPr="00B33F79" w:rsidRDefault="00D63D4A"/>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63D4A" w:rsidRPr="00B33F79" w14:paraId="5352C2C7" w14:textId="77777777">
        <w:tc>
          <w:tcPr>
            <w:tcW w:w="5811" w:type="dxa"/>
          </w:tcPr>
          <w:p w14:paraId="35CEA312" w14:textId="77777777" w:rsidR="00D63D4A" w:rsidRPr="00B33F79" w:rsidRDefault="00D63D4A">
            <w:pPr>
              <w:pStyle w:val="Lgendetitre"/>
            </w:pPr>
            <w:r w:rsidRPr="00B33F79">
              <w:t>Symbols for procedures</w:t>
            </w:r>
          </w:p>
        </w:tc>
      </w:tr>
      <w:tr w:rsidR="00D63D4A" w:rsidRPr="00B33F79" w14:paraId="5E751089" w14:textId="77777777" w:rsidTr="007A2F98">
        <w:trPr>
          <w:cantSplit/>
          <w:trHeight w:val="1944"/>
        </w:trPr>
        <w:tc>
          <w:tcPr>
            <w:tcW w:w="5811" w:type="dxa"/>
            <w:tcBorders>
              <w:bottom w:val="single" w:sz="4" w:space="0" w:color="auto"/>
            </w:tcBorders>
          </w:tcPr>
          <w:p w14:paraId="290732F2" w14:textId="77777777" w:rsidR="00D63D4A" w:rsidRPr="00B33F79" w:rsidRDefault="00D63D4A">
            <w:pPr>
              <w:pStyle w:val="Lgendesigne"/>
            </w:pPr>
            <w:r w:rsidRPr="00B33F79">
              <w:tab/>
              <w:t>*</w:t>
            </w:r>
            <w:r w:rsidRPr="00B33F79">
              <w:tab/>
              <w:t>Consultation procedure</w:t>
            </w:r>
          </w:p>
          <w:p w14:paraId="143A41E9" w14:textId="77777777" w:rsidR="00D63D4A" w:rsidRPr="00B33F79" w:rsidRDefault="00D63D4A">
            <w:pPr>
              <w:pStyle w:val="Lgendesigne"/>
            </w:pPr>
            <w:r w:rsidRPr="00B33F79">
              <w:tab/>
              <w:t>***</w:t>
            </w:r>
            <w:r w:rsidRPr="00B33F79">
              <w:tab/>
              <w:t>Consent procedure</w:t>
            </w:r>
          </w:p>
          <w:p w14:paraId="19FF52E0" w14:textId="77777777" w:rsidR="00D63D4A" w:rsidRPr="00B33F79" w:rsidRDefault="00D63D4A">
            <w:pPr>
              <w:pStyle w:val="Lgendesigne"/>
            </w:pPr>
            <w:r w:rsidRPr="00B33F79">
              <w:tab/>
              <w:t>***I</w:t>
            </w:r>
            <w:r w:rsidRPr="00B33F79">
              <w:tab/>
              <w:t>Ordinary legislative procedure (first reading)</w:t>
            </w:r>
          </w:p>
          <w:p w14:paraId="731B1CEF" w14:textId="77777777" w:rsidR="00D63D4A" w:rsidRPr="00B33F79" w:rsidRDefault="00D63D4A">
            <w:pPr>
              <w:pStyle w:val="Lgendesigne"/>
            </w:pPr>
            <w:r w:rsidRPr="00B33F79">
              <w:tab/>
              <w:t>***II</w:t>
            </w:r>
            <w:r w:rsidRPr="00B33F79">
              <w:tab/>
              <w:t>Ordinary legislative procedure (second reading)</w:t>
            </w:r>
          </w:p>
          <w:p w14:paraId="7231FA8D" w14:textId="77777777" w:rsidR="00D63D4A" w:rsidRPr="00B33F79" w:rsidRDefault="00D63D4A">
            <w:pPr>
              <w:pStyle w:val="Lgendesigne"/>
            </w:pPr>
            <w:r w:rsidRPr="00B33F79">
              <w:tab/>
              <w:t>***III</w:t>
            </w:r>
            <w:r w:rsidRPr="00B33F79">
              <w:tab/>
              <w:t>Ordinary legislative procedure (third reading)</w:t>
            </w:r>
          </w:p>
          <w:p w14:paraId="0265EBA3" w14:textId="77777777" w:rsidR="00D63D4A" w:rsidRPr="00B33F79" w:rsidRDefault="00D63D4A">
            <w:pPr>
              <w:pStyle w:val="Lgendesigne"/>
              <w:ind w:left="0" w:firstLine="0"/>
            </w:pPr>
          </w:p>
          <w:p w14:paraId="1B0D7BCC" w14:textId="77777777" w:rsidR="00D63D4A" w:rsidRPr="00B33F79" w:rsidRDefault="00D63D4A">
            <w:pPr>
              <w:pStyle w:val="Lgendestandard"/>
            </w:pPr>
            <w:r w:rsidRPr="00B33F79">
              <w:t>(The type of procedure depends on the legal basis proposed by the draft act.)</w:t>
            </w:r>
          </w:p>
          <w:p w14:paraId="6F5301B3" w14:textId="77777777" w:rsidR="00D63D4A" w:rsidRPr="00B33F79" w:rsidRDefault="00D63D4A">
            <w:pPr>
              <w:pStyle w:val="Lgendesigne"/>
              <w:ind w:left="0" w:firstLine="0"/>
            </w:pPr>
          </w:p>
        </w:tc>
      </w:tr>
    </w:tbl>
    <w:p w14:paraId="4C082FCF" w14:textId="77777777" w:rsidR="00D63D4A" w:rsidRPr="00B33F79" w:rsidRDefault="00D63D4A"/>
    <w:p w14:paraId="711F0272" w14:textId="77777777" w:rsidR="00D63D4A" w:rsidRPr="00B33F79" w:rsidRDefault="00D63D4A"/>
    <w:p w14:paraId="4DADBEFB" w14:textId="77777777" w:rsidR="00D63D4A" w:rsidRPr="00B33F79" w:rsidRDefault="00D63D4A"/>
    <w:p w14:paraId="1D848EDC" w14:textId="77777777" w:rsidR="00D63D4A" w:rsidRPr="00B33F79" w:rsidRDefault="00D63D4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D63D4A" w:rsidRPr="00B33F79" w14:paraId="3E189690" w14:textId="77777777">
        <w:tc>
          <w:tcPr>
            <w:tcW w:w="5811" w:type="dxa"/>
          </w:tcPr>
          <w:p w14:paraId="01694213" w14:textId="77777777" w:rsidR="00D63D4A" w:rsidRPr="00B33F79" w:rsidRDefault="00D63D4A">
            <w:pPr>
              <w:pStyle w:val="Lgendetitre"/>
            </w:pPr>
            <w:r w:rsidRPr="00B33F79">
              <w:t>Amendments to a draft act</w:t>
            </w:r>
          </w:p>
        </w:tc>
      </w:tr>
      <w:tr w:rsidR="00D63D4A" w:rsidRPr="00B33F79" w14:paraId="42D8DA6B" w14:textId="77777777">
        <w:tc>
          <w:tcPr>
            <w:tcW w:w="5811" w:type="dxa"/>
          </w:tcPr>
          <w:p w14:paraId="5054ECFA" w14:textId="77777777" w:rsidR="00D63D4A" w:rsidRPr="00B33F79" w:rsidRDefault="00D63D4A" w:rsidP="007A2F98">
            <w:pPr>
              <w:pStyle w:val="Lgendestandard"/>
              <w:rPr>
                <w:szCs w:val="24"/>
              </w:rPr>
            </w:pPr>
            <w:r w:rsidRPr="00B33F79">
              <w:rPr>
                <w:b/>
                <w:szCs w:val="24"/>
              </w:rPr>
              <w:t>Amendments by Parliament set out in two columns</w:t>
            </w:r>
          </w:p>
          <w:p w14:paraId="65140FE1" w14:textId="77777777" w:rsidR="00D63D4A" w:rsidRPr="00B33F79" w:rsidRDefault="00D63D4A" w:rsidP="007A2F98">
            <w:pPr>
              <w:pStyle w:val="Lgendestandard"/>
              <w:rPr>
                <w:szCs w:val="24"/>
              </w:rPr>
            </w:pPr>
          </w:p>
          <w:p w14:paraId="4DB21B81" w14:textId="77777777" w:rsidR="00D63D4A" w:rsidRPr="00B33F79" w:rsidRDefault="00D63D4A" w:rsidP="007A2F98">
            <w:pPr>
              <w:pStyle w:val="Lgendestandard"/>
              <w:rPr>
                <w:szCs w:val="24"/>
              </w:rPr>
            </w:pPr>
            <w:r w:rsidRPr="00B33F79">
              <w:t xml:space="preserve">Deletions are indicated in </w:t>
            </w:r>
            <w:r w:rsidRPr="00B33F79">
              <w:rPr>
                <w:b/>
                <w:i/>
                <w:szCs w:val="24"/>
              </w:rPr>
              <w:t>bold italics</w:t>
            </w:r>
            <w:r w:rsidRPr="00B33F79">
              <w:t xml:space="preserve"> in the left-hand column. Replacements are indicated in </w:t>
            </w:r>
            <w:r w:rsidRPr="00B33F79">
              <w:rPr>
                <w:b/>
                <w:i/>
                <w:szCs w:val="24"/>
              </w:rPr>
              <w:t>bold italics</w:t>
            </w:r>
            <w:r w:rsidRPr="00B33F79">
              <w:t xml:space="preserve"> in both columns. New text is indicated in </w:t>
            </w:r>
            <w:r w:rsidRPr="00B33F79">
              <w:rPr>
                <w:b/>
                <w:i/>
                <w:szCs w:val="24"/>
              </w:rPr>
              <w:t>bold italics</w:t>
            </w:r>
            <w:r w:rsidRPr="00B33F79">
              <w:t xml:space="preserve"> in the right-hand column.</w:t>
            </w:r>
          </w:p>
          <w:p w14:paraId="44D60BDD" w14:textId="77777777" w:rsidR="00D63D4A" w:rsidRPr="00B33F79" w:rsidRDefault="00D63D4A" w:rsidP="007A2F98">
            <w:pPr>
              <w:pStyle w:val="Lgendestandard"/>
              <w:rPr>
                <w:szCs w:val="24"/>
              </w:rPr>
            </w:pPr>
          </w:p>
          <w:p w14:paraId="6291FB9E" w14:textId="77777777" w:rsidR="00D63D4A" w:rsidRPr="00B33F79" w:rsidRDefault="00D63D4A" w:rsidP="007A2F98">
            <w:pPr>
              <w:pStyle w:val="Lgendestandard"/>
              <w:rPr>
                <w:szCs w:val="24"/>
              </w:rPr>
            </w:pPr>
            <w:r w:rsidRPr="00B33F79">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156ED08A" w14:textId="77777777" w:rsidR="00D63D4A" w:rsidRPr="00B33F79" w:rsidRDefault="00D63D4A" w:rsidP="007A2F98">
            <w:pPr>
              <w:pStyle w:val="Lgendestandard"/>
              <w:rPr>
                <w:szCs w:val="24"/>
              </w:rPr>
            </w:pPr>
          </w:p>
          <w:p w14:paraId="57430670" w14:textId="77777777" w:rsidR="00D63D4A" w:rsidRPr="00B33F79" w:rsidRDefault="00D63D4A" w:rsidP="007A2F98">
            <w:pPr>
              <w:pStyle w:val="Lgendestandard"/>
              <w:rPr>
                <w:b/>
                <w:szCs w:val="24"/>
              </w:rPr>
            </w:pPr>
            <w:r w:rsidRPr="00B33F79">
              <w:rPr>
                <w:b/>
                <w:szCs w:val="24"/>
              </w:rPr>
              <w:t>Amendments by Parliament in the form of a consolidated text</w:t>
            </w:r>
          </w:p>
          <w:p w14:paraId="415ADB64" w14:textId="77777777" w:rsidR="00D63D4A" w:rsidRPr="00B33F79" w:rsidRDefault="00D63D4A" w:rsidP="007A2F98">
            <w:pPr>
              <w:pStyle w:val="Lgendestandard"/>
              <w:rPr>
                <w:szCs w:val="24"/>
              </w:rPr>
            </w:pPr>
          </w:p>
          <w:p w14:paraId="559F69F6" w14:textId="77777777" w:rsidR="00D63D4A" w:rsidRPr="00B33F79" w:rsidRDefault="00D63D4A" w:rsidP="007A2F98">
            <w:pPr>
              <w:pStyle w:val="Lgendestandard"/>
              <w:rPr>
                <w:szCs w:val="24"/>
              </w:rPr>
            </w:pPr>
            <w:r w:rsidRPr="00B33F79">
              <w:t xml:space="preserve">New text is highlighted in </w:t>
            </w:r>
            <w:r w:rsidRPr="00B33F79">
              <w:rPr>
                <w:b/>
                <w:i/>
                <w:szCs w:val="24"/>
              </w:rPr>
              <w:t>bold italics</w:t>
            </w:r>
            <w:r w:rsidRPr="00B33F79">
              <w:t xml:space="preserve">. Deletions are indicated using either the ▌symbol or strikeout. Replacements are indicated by highlighting the new text in </w:t>
            </w:r>
            <w:r w:rsidRPr="00B33F79">
              <w:rPr>
                <w:b/>
                <w:i/>
                <w:szCs w:val="24"/>
              </w:rPr>
              <w:t>bold italics</w:t>
            </w:r>
            <w:r w:rsidRPr="00B33F79">
              <w:t xml:space="preserve"> and by deleting or striking out the text that has been replaced. </w:t>
            </w:r>
          </w:p>
          <w:p w14:paraId="5FB0EC04" w14:textId="77777777" w:rsidR="00D63D4A" w:rsidRPr="00B33F79" w:rsidRDefault="00D63D4A" w:rsidP="007A2F98">
            <w:pPr>
              <w:pStyle w:val="Lgendestandard"/>
              <w:rPr>
                <w:szCs w:val="24"/>
              </w:rPr>
            </w:pPr>
            <w:r w:rsidRPr="00B33F79">
              <w:t>By way of exception, purely technical changes made by the drafting departments in preparing the final text are not highlighted.</w:t>
            </w:r>
          </w:p>
          <w:p w14:paraId="215B33A4" w14:textId="77777777" w:rsidR="00D63D4A" w:rsidRPr="00B33F79" w:rsidRDefault="00D63D4A">
            <w:pPr>
              <w:pStyle w:val="Lgendestandard"/>
            </w:pPr>
          </w:p>
        </w:tc>
      </w:tr>
    </w:tbl>
    <w:p w14:paraId="14400B6C" w14:textId="77777777" w:rsidR="00D63D4A" w:rsidRPr="00B33F79" w:rsidRDefault="00D63D4A"/>
    <w:p w14:paraId="7802EBD3" w14:textId="77777777" w:rsidR="00793EA9" w:rsidRPr="00B33F79" w:rsidRDefault="00793EA9" w:rsidP="00012351">
      <w:pPr>
        <w:widowControl/>
        <w:tabs>
          <w:tab w:val="center" w:pos="4677"/>
        </w:tabs>
      </w:pPr>
    </w:p>
    <w:p w14:paraId="231DE355" w14:textId="77777777" w:rsidR="00793EA9" w:rsidRPr="00B33F79" w:rsidRDefault="00793EA9">
      <w:pPr>
        <w:pStyle w:val="TOCHeading"/>
      </w:pPr>
      <w:r w:rsidRPr="00B33F79">
        <w:br w:type="page"/>
      </w:r>
      <w:r w:rsidRPr="00B33F79">
        <w:lastRenderedPageBreak/>
        <w:t>CONTENTS</w:t>
      </w:r>
    </w:p>
    <w:p w14:paraId="4CA6FA16" w14:textId="77777777" w:rsidR="00793EA9" w:rsidRPr="00B33F79" w:rsidRDefault="00F26B5C">
      <w:pPr>
        <w:pStyle w:val="TOCPage"/>
      </w:pPr>
      <w:r w:rsidRPr="00B33F79">
        <w:t>Page</w:t>
      </w:r>
    </w:p>
    <w:p w14:paraId="0E6880B5" w14:textId="77777777" w:rsidR="000377F2" w:rsidRDefault="001767E2">
      <w:pPr>
        <w:pStyle w:val="TOC1"/>
        <w:tabs>
          <w:tab w:val="right" w:leader="dot" w:pos="9060"/>
        </w:tabs>
        <w:rPr>
          <w:rFonts w:asciiTheme="minorHAnsi" w:eastAsiaTheme="minorEastAsia" w:hAnsiTheme="minorHAnsi" w:cstheme="minorBidi"/>
          <w:noProof/>
          <w:sz w:val="22"/>
          <w:szCs w:val="22"/>
        </w:rPr>
      </w:pPr>
      <w:r w:rsidRPr="00B33F79">
        <w:rPr>
          <w:b/>
        </w:rPr>
        <w:fldChar w:fldCharType="begin"/>
      </w:r>
      <w:r w:rsidRPr="00B33F79">
        <w:rPr>
          <w:b/>
        </w:rPr>
        <w:instrText xml:space="preserve"> TOC \t "PageHeading</w:instrText>
      </w:r>
      <w:r w:rsidR="000377F2">
        <w:rPr>
          <w:b/>
        </w:rPr>
        <w:instrText>;</w:instrText>
      </w:r>
      <w:r w:rsidRPr="00B33F79">
        <w:rPr>
          <w:b/>
        </w:rPr>
        <w:instrText xml:space="preserve">1" </w:instrText>
      </w:r>
      <w:r w:rsidRPr="00B33F79">
        <w:rPr>
          <w:b/>
        </w:rPr>
        <w:fldChar w:fldCharType="separate"/>
      </w:r>
      <w:r w:rsidR="000377F2">
        <w:rPr>
          <w:noProof/>
        </w:rPr>
        <w:t>DRAFT EUROPEAN PARLIAMENT LEGISLATIVE RESOLUTION</w:t>
      </w:r>
      <w:r w:rsidR="000377F2">
        <w:rPr>
          <w:noProof/>
        </w:rPr>
        <w:tab/>
      </w:r>
      <w:r w:rsidR="000377F2">
        <w:rPr>
          <w:noProof/>
        </w:rPr>
        <w:fldChar w:fldCharType="begin"/>
      </w:r>
      <w:r w:rsidR="000377F2">
        <w:rPr>
          <w:noProof/>
        </w:rPr>
        <w:instrText xml:space="preserve"> PAGEREF _Toc518379541 \h </w:instrText>
      </w:r>
      <w:r w:rsidR="000377F2">
        <w:rPr>
          <w:noProof/>
        </w:rPr>
      </w:r>
      <w:r w:rsidR="000377F2">
        <w:rPr>
          <w:noProof/>
        </w:rPr>
        <w:fldChar w:fldCharType="separate"/>
      </w:r>
      <w:r w:rsidR="000377F2">
        <w:rPr>
          <w:noProof/>
        </w:rPr>
        <w:t>5</w:t>
      </w:r>
      <w:r w:rsidR="000377F2">
        <w:rPr>
          <w:noProof/>
        </w:rPr>
        <w:fldChar w:fldCharType="end"/>
      </w:r>
    </w:p>
    <w:p w14:paraId="5A1E66A3" w14:textId="77777777" w:rsidR="000377F2" w:rsidRDefault="000377F2">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_Toc518379542 \h </w:instrText>
      </w:r>
      <w:r>
        <w:rPr>
          <w:noProof/>
        </w:rPr>
      </w:r>
      <w:r>
        <w:rPr>
          <w:noProof/>
        </w:rPr>
        <w:fldChar w:fldCharType="separate"/>
      </w:r>
      <w:r>
        <w:rPr>
          <w:noProof/>
        </w:rPr>
        <w:t>24</w:t>
      </w:r>
      <w:r>
        <w:rPr>
          <w:noProof/>
        </w:rPr>
        <w:fldChar w:fldCharType="end"/>
      </w:r>
    </w:p>
    <w:p w14:paraId="66B62B11" w14:textId="41F8D957" w:rsidR="00793EA9" w:rsidRPr="00B33F79" w:rsidRDefault="001767E2" w:rsidP="002346B0">
      <w:r w:rsidRPr="00B33F79">
        <w:rPr>
          <w:b/>
        </w:rPr>
        <w:fldChar w:fldCharType="end"/>
      </w:r>
    </w:p>
    <w:p w14:paraId="759F1F3D" w14:textId="77777777" w:rsidR="002346B0" w:rsidRPr="00B33F79" w:rsidRDefault="002346B0" w:rsidP="002346B0"/>
    <w:p w14:paraId="747E4EDC" w14:textId="77777777" w:rsidR="002346B0" w:rsidRPr="00B33F79" w:rsidRDefault="002346B0">
      <w:pPr>
        <w:pStyle w:val="PageHeading"/>
      </w:pPr>
    </w:p>
    <w:p w14:paraId="2CA436C0" w14:textId="77777777" w:rsidR="00793EA9" w:rsidRPr="00B33F79" w:rsidRDefault="00793EA9">
      <w:pPr>
        <w:pStyle w:val="PageHeading"/>
      </w:pPr>
      <w:r w:rsidRPr="00B33F79">
        <w:br w:type="page"/>
      </w:r>
      <w:r w:rsidRPr="00B33F79">
        <w:lastRenderedPageBreak/>
        <w:br w:type="page"/>
      </w:r>
      <w:bookmarkStart w:id="0" w:name="_Toc518379541"/>
      <w:r w:rsidRPr="00B33F79">
        <w:lastRenderedPageBreak/>
        <w:t>DRAFT EUROPEAN PARLIAMENT LEGISLATIVE RESOLUTION</w:t>
      </w:r>
      <w:bookmarkEnd w:id="0"/>
    </w:p>
    <w:p w14:paraId="32D51BB9" w14:textId="16B00823" w:rsidR="00793EA9" w:rsidRPr="00B33F79" w:rsidRDefault="00F26B5C">
      <w:pPr>
        <w:pStyle w:val="NormalBold"/>
      </w:pPr>
      <w:r w:rsidRPr="00B33F79">
        <w:t>on the proposal for a directive of the European Parliament and of the Council amending Directive 2004/37/EC on the protection of workers from the risks related to exposure to carcinogens or mutagens at work</w:t>
      </w:r>
    </w:p>
    <w:p w14:paraId="349555FC" w14:textId="5F23DD66" w:rsidR="00793EA9" w:rsidRPr="00B33F79" w:rsidRDefault="00F26B5C">
      <w:pPr>
        <w:pStyle w:val="Normal12Bold"/>
      </w:pPr>
      <w:r w:rsidRPr="00B33F79">
        <w:t>(COM(2018)0171 – C8-0130/2018 – 2018/0081(COD))</w:t>
      </w:r>
    </w:p>
    <w:p w14:paraId="60106CDA" w14:textId="77777777" w:rsidR="00793EA9" w:rsidRPr="00B33F79" w:rsidRDefault="00F26B5C">
      <w:pPr>
        <w:pStyle w:val="Normal12Bold"/>
      </w:pPr>
      <w:r w:rsidRPr="00B33F79">
        <w:t>(Ordinary legislative procedure: first reading)</w:t>
      </w:r>
    </w:p>
    <w:p w14:paraId="712CCBE5" w14:textId="77777777" w:rsidR="0042241A" w:rsidRPr="00B33F79" w:rsidRDefault="0042241A" w:rsidP="0042241A">
      <w:pPr>
        <w:pStyle w:val="Normal12"/>
      </w:pPr>
      <w:r w:rsidRPr="00B33F79">
        <w:rPr>
          <w:i/>
        </w:rPr>
        <w:t>The European Parliament</w:t>
      </w:r>
      <w:r w:rsidRPr="00B33F79">
        <w:t>,</w:t>
      </w:r>
    </w:p>
    <w:p w14:paraId="5E971530" w14:textId="77777777" w:rsidR="0042241A" w:rsidRPr="00B33F79" w:rsidRDefault="0042241A" w:rsidP="0042241A">
      <w:pPr>
        <w:pStyle w:val="Normal12Hanging"/>
      </w:pPr>
      <w:r w:rsidRPr="00B33F79">
        <w:t>–</w:t>
      </w:r>
      <w:r w:rsidRPr="00B33F79">
        <w:tab/>
        <w:t>having regard to the Commission proposal to Parliament and the Council (COM2018/0171),</w:t>
      </w:r>
    </w:p>
    <w:p w14:paraId="6514BC29" w14:textId="356B37D5" w:rsidR="0042241A" w:rsidRPr="00B33F79" w:rsidRDefault="0042241A" w:rsidP="0042241A">
      <w:pPr>
        <w:pStyle w:val="Normal12Hanging"/>
      </w:pPr>
      <w:r w:rsidRPr="00B33F79">
        <w:t>–</w:t>
      </w:r>
      <w:r w:rsidRPr="00B33F79">
        <w:tab/>
        <w:t>having regard to Article 294(2) and Articles 153(2)(b) and 153(1)(a) of the Treaty on the Functioning of the European Union, pursuant to which the Commission submitted the proposal to Parliament (C8-0130/2018),</w:t>
      </w:r>
    </w:p>
    <w:p w14:paraId="6783560C" w14:textId="77777777" w:rsidR="0042241A" w:rsidRPr="00B33F79" w:rsidRDefault="0042241A" w:rsidP="0042241A">
      <w:pPr>
        <w:pStyle w:val="Normal12Hanging"/>
      </w:pPr>
      <w:r w:rsidRPr="00B33F79">
        <w:t>–</w:t>
      </w:r>
      <w:r w:rsidRPr="00B33F79">
        <w:tab/>
        <w:t>having regard to Article 294(3) of the Treaty on the Functioning of the European Union,</w:t>
      </w:r>
    </w:p>
    <w:p w14:paraId="3488EC71" w14:textId="77777777" w:rsidR="0042241A" w:rsidRPr="00B33F79" w:rsidRDefault="0042241A" w:rsidP="0042241A">
      <w:pPr>
        <w:pStyle w:val="Normal12Hanging"/>
      </w:pPr>
      <w:r w:rsidRPr="00B33F79">
        <w:t>–</w:t>
      </w:r>
      <w:r w:rsidRPr="00B33F79">
        <w:tab/>
        <w:t>having regard to Rule 59 of its Rules of Procedure,</w:t>
      </w:r>
    </w:p>
    <w:p w14:paraId="03E37BFA" w14:textId="41D2F0D8" w:rsidR="00793EA9" w:rsidRPr="00B33F79" w:rsidRDefault="00793EA9">
      <w:pPr>
        <w:pStyle w:val="Normal12Hanging"/>
      </w:pPr>
      <w:r w:rsidRPr="00B33F79">
        <w:t>–</w:t>
      </w:r>
      <w:r w:rsidRPr="00B33F79">
        <w:tab/>
        <w:t>having regard to the report of the Committee on Employment and Social Affairs and also the opinions of the Committee on the Environment, Public Health and Food Safety and the Committee on Legal Affairs (A8-0000/2018),</w:t>
      </w:r>
    </w:p>
    <w:p w14:paraId="4917DFE4" w14:textId="77777777" w:rsidR="00D1772A" w:rsidRPr="00B33F79" w:rsidRDefault="00D1772A" w:rsidP="00D1772A">
      <w:pPr>
        <w:pStyle w:val="Normal12Hanging"/>
      </w:pPr>
      <w:r w:rsidRPr="00B33F79">
        <w:t>1.</w:t>
      </w:r>
      <w:r w:rsidRPr="00B33F79">
        <w:tab/>
        <w:t>Adopts its position at first reading hereinafter set out;</w:t>
      </w:r>
    </w:p>
    <w:p w14:paraId="33F4FEE7" w14:textId="77777777" w:rsidR="00D1772A" w:rsidRPr="00B33F79" w:rsidRDefault="00D1772A" w:rsidP="00D1772A">
      <w:pPr>
        <w:pStyle w:val="Normal12Hanging"/>
      </w:pPr>
      <w:r w:rsidRPr="00B33F79">
        <w:t>2.</w:t>
      </w:r>
      <w:r w:rsidRPr="00B33F79">
        <w:tab/>
        <w:t>Calls on the Commission to refer the matter to Parliament again if it replaces, substantially amends or intends to substantially amend its proposal;</w:t>
      </w:r>
    </w:p>
    <w:p w14:paraId="58E3ABEC" w14:textId="77777777" w:rsidR="00D1772A" w:rsidRPr="00B33F79" w:rsidRDefault="00D1772A" w:rsidP="00D1772A">
      <w:pPr>
        <w:pStyle w:val="Normal12Hanging"/>
      </w:pPr>
      <w:r w:rsidRPr="00B33F79">
        <w:t>3.</w:t>
      </w:r>
      <w:r w:rsidRPr="00B33F79">
        <w:tab/>
        <w:t>Instructs its President to forward its position to the Council, the Commission and the national parliaments.</w:t>
      </w:r>
    </w:p>
    <w:p w14:paraId="31476BEE" w14:textId="1877DEAD" w:rsidR="00F30A91" w:rsidRPr="00B33F79" w:rsidRDefault="0042241A" w:rsidP="00F30A91">
      <w:pPr>
        <w:pStyle w:val="AMNumberTabs"/>
        <w:keepNext/>
      </w:pPr>
      <w:r w:rsidRPr="00B33F79">
        <w:br w:type="page"/>
      </w:r>
      <w:r w:rsidRPr="00B33F79">
        <w:rPr>
          <w:rStyle w:val="HideTWBExt"/>
          <w:b w:val="0"/>
          <w:noProof w:val="0"/>
        </w:rPr>
        <w:lastRenderedPageBreak/>
        <w:t>&lt;RepeatBlock-Amend&gt;&lt;Amend&gt;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1</w:t>
      </w:r>
      <w:r w:rsidRPr="00B33F79">
        <w:rPr>
          <w:rStyle w:val="HideTWBExt"/>
          <w:b w:val="0"/>
          <w:noProof w:val="0"/>
        </w:rPr>
        <w:t>&lt;/NumAm&gt;</w:t>
      </w:r>
    </w:p>
    <w:p w14:paraId="1C045238"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6CD2F021" w14:textId="77777777" w:rsidR="00F30A91" w:rsidRPr="00B33F79" w:rsidRDefault="00F30A91" w:rsidP="00F30A91">
      <w:pPr>
        <w:pStyle w:val="NormalBold"/>
      </w:pPr>
      <w:r w:rsidRPr="00B33F79">
        <w:rPr>
          <w:rStyle w:val="HideTWBExt"/>
          <w:b w:val="0"/>
          <w:noProof w:val="0"/>
        </w:rPr>
        <w:t>&lt;Article&gt;</w:t>
      </w:r>
      <w:r w:rsidRPr="00B33F79">
        <w:rPr>
          <w:color w:val="0000EB"/>
        </w:rPr>
        <w:t>Recital 1</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5456E5F3" w14:textId="77777777" w:rsidTr="00F30A91">
        <w:trPr>
          <w:jc w:val="center"/>
        </w:trPr>
        <w:tc>
          <w:tcPr>
            <w:tcW w:w="9752" w:type="dxa"/>
            <w:gridSpan w:val="2"/>
          </w:tcPr>
          <w:p w14:paraId="73530E42" w14:textId="77777777" w:rsidR="00F30A91" w:rsidRPr="00B33F79" w:rsidRDefault="00F30A91">
            <w:pPr>
              <w:keepNext/>
            </w:pPr>
          </w:p>
        </w:tc>
      </w:tr>
      <w:tr w:rsidR="00F30A91" w:rsidRPr="00B33F79" w14:paraId="3F07E1A5" w14:textId="77777777" w:rsidTr="00F30A91">
        <w:trPr>
          <w:jc w:val="center"/>
        </w:trPr>
        <w:tc>
          <w:tcPr>
            <w:tcW w:w="4876" w:type="dxa"/>
            <w:hideMark/>
          </w:tcPr>
          <w:p w14:paraId="24C06B61"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04E42263" w14:textId="77777777" w:rsidR="00F30A91" w:rsidRPr="00B33F79" w:rsidRDefault="00F30A91">
            <w:pPr>
              <w:pStyle w:val="ColumnHeading"/>
              <w:keepNext/>
              <w:rPr>
                <w:color w:val="0000F5"/>
              </w:rPr>
            </w:pPr>
            <w:r w:rsidRPr="00B33F79">
              <w:rPr>
                <w:color w:val="0000F5"/>
              </w:rPr>
              <w:t>Amendment</w:t>
            </w:r>
          </w:p>
        </w:tc>
      </w:tr>
      <w:tr w:rsidR="00F30A91" w:rsidRPr="00B33F79" w14:paraId="2E006FF1" w14:textId="77777777" w:rsidTr="00F30A91">
        <w:trPr>
          <w:jc w:val="center"/>
        </w:trPr>
        <w:tc>
          <w:tcPr>
            <w:tcW w:w="4876" w:type="dxa"/>
            <w:hideMark/>
          </w:tcPr>
          <w:p w14:paraId="2C683AD4" w14:textId="77777777" w:rsidR="00F30A91" w:rsidRPr="00B33F79" w:rsidRDefault="00F30A91">
            <w:pPr>
              <w:pStyle w:val="Normal6"/>
              <w:rPr>
                <w:color w:val="0000FA"/>
              </w:rPr>
            </w:pPr>
            <w:r w:rsidRPr="00B33F79">
              <w:rPr>
                <w:color w:val="0000FA"/>
              </w:rPr>
              <w:t>(1)</w:t>
            </w:r>
            <w:r w:rsidRPr="00B33F79">
              <w:rPr>
                <w:color w:val="0000FA"/>
              </w:rPr>
              <w:tab/>
              <w:t>Principle 10 of the European Pillar of Social Rights</w:t>
            </w:r>
            <w:r w:rsidRPr="00B33F79">
              <w:rPr>
                <w:color w:val="0000FA"/>
                <w:vertAlign w:val="superscript"/>
              </w:rPr>
              <w:t>43</w:t>
            </w:r>
            <w:r w:rsidRPr="00B33F79">
              <w:rPr>
                <w:color w:val="0000FA"/>
              </w:rPr>
              <w:t>, proclaimed at Gothenburg on 17 November 2017, provides that every worker has the right to healthy, safe and well-adapted work environment</w:t>
            </w:r>
            <w:r w:rsidRPr="00B33F79">
              <w:rPr>
                <w:b/>
                <w:i/>
                <w:color w:val="0000FA"/>
              </w:rPr>
              <w:t>. The right to</w:t>
            </w:r>
            <w:r w:rsidRPr="00B33F79">
              <w:rPr>
                <w:color w:val="0000FA"/>
              </w:rPr>
              <w:t xml:space="preserve"> a high level of protection of </w:t>
            </w:r>
            <w:r w:rsidRPr="00B33F79">
              <w:rPr>
                <w:b/>
                <w:i/>
                <w:color w:val="0000FA"/>
              </w:rPr>
              <w:t xml:space="preserve">the </w:t>
            </w:r>
            <w:r w:rsidRPr="00B33F79">
              <w:rPr>
                <w:color w:val="0000FA"/>
              </w:rPr>
              <w:t>health and safety at work</w:t>
            </w:r>
            <w:r w:rsidRPr="00B33F79">
              <w:rPr>
                <w:b/>
                <w:i/>
                <w:color w:val="0000FA"/>
              </w:rPr>
              <w:t>,</w:t>
            </w:r>
            <w:r w:rsidRPr="00B33F79">
              <w:rPr>
                <w:color w:val="0000FA"/>
              </w:rPr>
              <w:t xml:space="preserve"> </w:t>
            </w:r>
            <w:r w:rsidRPr="00B33F79">
              <w:rPr>
                <w:b/>
                <w:i/>
                <w:color w:val="0000FA"/>
              </w:rPr>
              <w:t>as well as to</w:t>
            </w:r>
            <w:r w:rsidRPr="00B33F79">
              <w:rPr>
                <w:color w:val="0000FA"/>
              </w:rPr>
              <w:t xml:space="preserve"> a working environment adapted to </w:t>
            </w:r>
            <w:r w:rsidRPr="00B33F79">
              <w:rPr>
                <w:b/>
                <w:i/>
                <w:color w:val="0000FA"/>
              </w:rPr>
              <w:t xml:space="preserve">the </w:t>
            </w:r>
            <w:r w:rsidRPr="00B33F79">
              <w:rPr>
                <w:color w:val="0000FA"/>
              </w:rPr>
              <w:t xml:space="preserve">professional needs </w:t>
            </w:r>
            <w:r w:rsidRPr="00B33F79">
              <w:rPr>
                <w:b/>
                <w:i/>
                <w:color w:val="0000FA"/>
              </w:rPr>
              <w:t xml:space="preserve">of workers and which enables </w:t>
            </w:r>
            <w:r w:rsidRPr="00B33F79">
              <w:rPr>
                <w:color w:val="0000FA"/>
              </w:rPr>
              <w:t xml:space="preserve">them to prolong their participation in the labour market </w:t>
            </w:r>
            <w:r w:rsidRPr="00B33F79">
              <w:rPr>
                <w:b/>
                <w:i/>
                <w:color w:val="0000FA"/>
              </w:rPr>
              <w:t>includes also protection from carcinogens and mutagens at the</w:t>
            </w:r>
            <w:r w:rsidRPr="00B33F79">
              <w:rPr>
                <w:color w:val="0000FA"/>
              </w:rPr>
              <w:t xml:space="preserve"> </w:t>
            </w:r>
            <w:r w:rsidRPr="00B33F79">
              <w:rPr>
                <w:b/>
                <w:i/>
                <w:color w:val="0000FA"/>
              </w:rPr>
              <w:t>workplace</w:t>
            </w:r>
            <w:r w:rsidRPr="00B33F79">
              <w:rPr>
                <w:color w:val="0000FA"/>
              </w:rPr>
              <w:t>.</w:t>
            </w:r>
          </w:p>
        </w:tc>
        <w:tc>
          <w:tcPr>
            <w:tcW w:w="4876" w:type="dxa"/>
            <w:hideMark/>
          </w:tcPr>
          <w:p w14:paraId="35A5A039" w14:textId="5BEA95F4" w:rsidR="00F30A91" w:rsidRPr="00B33F79" w:rsidRDefault="00F30A91">
            <w:pPr>
              <w:pStyle w:val="Normal6"/>
              <w:rPr>
                <w:color w:val="000005"/>
                <w:szCs w:val="24"/>
              </w:rPr>
            </w:pPr>
            <w:r w:rsidRPr="00B33F79">
              <w:rPr>
                <w:color w:val="000005"/>
              </w:rPr>
              <w:t>(1)</w:t>
            </w:r>
            <w:r w:rsidRPr="00B33F79">
              <w:rPr>
                <w:color w:val="000005"/>
              </w:rPr>
              <w:tab/>
              <w:t>Principle 10 of the European Pillar of Social Rights</w:t>
            </w:r>
            <w:r w:rsidRPr="00B33F79">
              <w:rPr>
                <w:color w:val="000005"/>
                <w:vertAlign w:val="superscript"/>
              </w:rPr>
              <w:t>43</w:t>
            </w:r>
            <w:r w:rsidRPr="00B33F79">
              <w:rPr>
                <w:color w:val="000005"/>
              </w:rPr>
              <w:t>, proclaimed at Gothenburg on 17 November 2017, provides that every worker has the right to healthy, safe and well-adapted work environment</w:t>
            </w:r>
            <w:r w:rsidRPr="00B33F79">
              <w:rPr>
                <w:b/>
                <w:i/>
                <w:color w:val="000005"/>
              </w:rPr>
              <w:t>,</w:t>
            </w:r>
            <w:r w:rsidRPr="00B33F79">
              <w:rPr>
                <w:color w:val="000005"/>
              </w:rPr>
              <w:t xml:space="preserve"> a high level of protection of health and safety at work </w:t>
            </w:r>
            <w:r w:rsidRPr="00B33F79">
              <w:rPr>
                <w:b/>
                <w:i/>
                <w:color w:val="000005"/>
              </w:rPr>
              <w:t>and</w:t>
            </w:r>
            <w:r w:rsidRPr="00B33F79">
              <w:rPr>
                <w:color w:val="000005"/>
              </w:rPr>
              <w:t xml:space="preserve"> a working environment adapted to professional needs</w:t>
            </w:r>
            <w:r w:rsidRPr="00B33F79">
              <w:rPr>
                <w:b/>
                <w:i/>
                <w:color w:val="000005"/>
              </w:rPr>
              <w:t>, irrespective</w:t>
            </w:r>
            <w:r w:rsidRPr="00B33F79">
              <w:rPr>
                <w:color w:val="000005"/>
              </w:rPr>
              <w:t xml:space="preserve"> </w:t>
            </w:r>
            <w:r w:rsidRPr="00B33F79">
              <w:rPr>
                <w:b/>
                <w:i/>
                <w:color w:val="000005"/>
              </w:rPr>
              <w:t>of</w:t>
            </w:r>
            <w:r w:rsidRPr="00B33F79">
              <w:rPr>
                <w:color w:val="000005"/>
              </w:rPr>
              <w:t xml:space="preserve"> </w:t>
            </w:r>
            <w:r w:rsidRPr="00B33F79">
              <w:rPr>
                <w:b/>
                <w:i/>
                <w:color w:val="000005"/>
              </w:rPr>
              <w:t xml:space="preserve">the arrangements for, and duration of, the period of employment, such as to enable </w:t>
            </w:r>
            <w:r w:rsidRPr="00B33F79">
              <w:rPr>
                <w:color w:val="000005"/>
              </w:rPr>
              <w:t>them to prolong their participation in the labour market.</w:t>
            </w:r>
          </w:p>
        </w:tc>
      </w:tr>
      <w:tr w:rsidR="00F30A91" w:rsidRPr="00B33F79" w14:paraId="68270A92" w14:textId="77777777" w:rsidTr="00F30A91">
        <w:trPr>
          <w:jc w:val="center"/>
        </w:trPr>
        <w:tc>
          <w:tcPr>
            <w:tcW w:w="4876" w:type="dxa"/>
            <w:hideMark/>
          </w:tcPr>
          <w:p w14:paraId="61D34418" w14:textId="77777777" w:rsidR="00F30A91" w:rsidRPr="00B33F79" w:rsidRDefault="00F30A91">
            <w:pPr>
              <w:pStyle w:val="Normal6"/>
              <w:rPr>
                <w:color w:val="0000FA"/>
              </w:rPr>
            </w:pPr>
            <w:r w:rsidRPr="00B33F79">
              <w:rPr>
                <w:color w:val="0000FA"/>
              </w:rPr>
              <w:t>__________________</w:t>
            </w:r>
          </w:p>
        </w:tc>
        <w:tc>
          <w:tcPr>
            <w:tcW w:w="4876" w:type="dxa"/>
            <w:hideMark/>
          </w:tcPr>
          <w:p w14:paraId="00E83ADE" w14:textId="77777777" w:rsidR="00F30A91" w:rsidRPr="00B33F79" w:rsidRDefault="00F30A91">
            <w:pPr>
              <w:pStyle w:val="Normal6"/>
              <w:rPr>
                <w:color w:val="000005"/>
                <w:szCs w:val="24"/>
              </w:rPr>
            </w:pPr>
            <w:r w:rsidRPr="00B33F79">
              <w:rPr>
                <w:color w:val="000005"/>
              </w:rPr>
              <w:t>__________________</w:t>
            </w:r>
          </w:p>
        </w:tc>
      </w:tr>
      <w:tr w:rsidR="00F30A91" w:rsidRPr="00B33F79" w14:paraId="4CBB1BA8" w14:textId="77777777" w:rsidTr="00F30A91">
        <w:trPr>
          <w:jc w:val="center"/>
        </w:trPr>
        <w:tc>
          <w:tcPr>
            <w:tcW w:w="4876" w:type="dxa"/>
            <w:hideMark/>
          </w:tcPr>
          <w:p w14:paraId="3CCD7E86" w14:textId="77777777" w:rsidR="00F30A91" w:rsidRPr="00B33F79" w:rsidRDefault="00F30A91">
            <w:pPr>
              <w:pStyle w:val="Normal6"/>
              <w:rPr>
                <w:color w:val="0000FA"/>
              </w:rPr>
            </w:pPr>
            <w:r w:rsidRPr="00B33F79">
              <w:rPr>
                <w:color w:val="0000FA"/>
                <w:vertAlign w:val="superscript"/>
              </w:rPr>
              <w:t>43</w:t>
            </w:r>
            <w:r w:rsidRPr="00B33F79">
              <w:rPr>
                <w:color w:val="0000FA"/>
              </w:rPr>
              <w:t xml:space="preserve"> European Pillar of Social Rights, November 2017, https://ec.europa.eu/commission/priorities/deeper-and-fairer-economic-and-monetary-union/european-pillar-social-rights_en</w:t>
            </w:r>
          </w:p>
        </w:tc>
        <w:tc>
          <w:tcPr>
            <w:tcW w:w="4876" w:type="dxa"/>
            <w:hideMark/>
          </w:tcPr>
          <w:p w14:paraId="327BA6CF" w14:textId="77777777" w:rsidR="00F30A91" w:rsidRPr="00B33F79" w:rsidRDefault="00F30A91">
            <w:pPr>
              <w:pStyle w:val="Normal6"/>
              <w:rPr>
                <w:color w:val="000005"/>
                <w:szCs w:val="24"/>
              </w:rPr>
            </w:pPr>
            <w:r w:rsidRPr="00B33F79">
              <w:rPr>
                <w:color w:val="000005"/>
                <w:vertAlign w:val="superscript"/>
              </w:rPr>
              <w:t>43</w:t>
            </w:r>
            <w:r w:rsidRPr="00B33F79">
              <w:rPr>
                <w:color w:val="000005"/>
              </w:rPr>
              <w:t xml:space="preserve"> European Pillar of Social Rights, November 2017, https://ec.europa.eu/commission/priorities/deeper-and-fairer-economic-and-monetary-union/european-pillar-social-rights_en</w:t>
            </w:r>
          </w:p>
        </w:tc>
      </w:tr>
    </w:tbl>
    <w:p w14:paraId="4120C84F" w14:textId="77777777" w:rsidR="00F30A91" w:rsidRPr="00B33F79" w:rsidRDefault="00F30A91"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21B15518" w14:textId="77777777" w:rsidR="00F30A91" w:rsidRPr="00B33F79" w:rsidRDefault="00F30A91" w:rsidP="00F30A91">
      <w:pPr>
        <w:rPr>
          <w:szCs w:val="24"/>
        </w:rPr>
      </w:pPr>
      <w:r w:rsidRPr="00B33F79">
        <w:rPr>
          <w:rStyle w:val="HideTWBExt"/>
          <w:noProof w:val="0"/>
        </w:rPr>
        <w:t>&lt;/Amend&gt;</w:t>
      </w:r>
    </w:p>
    <w:p w14:paraId="2B1A3DC1" w14:textId="49A649EB" w:rsidR="00F30A91" w:rsidRPr="00B33F79" w:rsidRDefault="00F30A91" w:rsidP="00F30A9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2</w:t>
      </w:r>
      <w:r w:rsidRPr="00B33F79">
        <w:rPr>
          <w:rStyle w:val="HideTWBExt"/>
          <w:b w:val="0"/>
          <w:noProof w:val="0"/>
        </w:rPr>
        <w:t>&lt;/NumAm&gt;</w:t>
      </w:r>
    </w:p>
    <w:p w14:paraId="28BFEC42"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65D75CF7" w14:textId="77777777" w:rsidR="00F30A91" w:rsidRPr="00B33F79" w:rsidRDefault="00F30A91" w:rsidP="00F30A91">
      <w:pPr>
        <w:pStyle w:val="NormalBold"/>
      </w:pPr>
      <w:r w:rsidRPr="00B33F79">
        <w:rPr>
          <w:rStyle w:val="HideTWBExt"/>
          <w:b w:val="0"/>
          <w:noProof w:val="0"/>
        </w:rPr>
        <w:t>&lt;Article&gt;</w:t>
      </w:r>
      <w:r w:rsidRPr="00B33F79">
        <w:rPr>
          <w:color w:val="0000EB"/>
        </w:rPr>
        <w:t>Recital 2</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00FC3F12" w14:textId="77777777" w:rsidTr="00F30A91">
        <w:trPr>
          <w:jc w:val="center"/>
        </w:trPr>
        <w:tc>
          <w:tcPr>
            <w:tcW w:w="9752" w:type="dxa"/>
            <w:gridSpan w:val="2"/>
          </w:tcPr>
          <w:p w14:paraId="12166A64" w14:textId="77777777" w:rsidR="00F30A91" w:rsidRPr="00B33F79" w:rsidRDefault="00F30A91">
            <w:pPr>
              <w:keepNext/>
            </w:pPr>
          </w:p>
        </w:tc>
      </w:tr>
      <w:tr w:rsidR="00F30A91" w:rsidRPr="00B33F79" w14:paraId="5E90A3FA" w14:textId="77777777" w:rsidTr="00F30A91">
        <w:trPr>
          <w:jc w:val="center"/>
        </w:trPr>
        <w:tc>
          <w:tcPr>
            <w:tcW w:w="4876" w:type="dxa"/>
            <w:hideMark/>
          </w:tcPr>
          <w:p w14:paraId="680C469D"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39FDF444" w14:textId="77777777" w:rsidR="00F30A91" w:rsidRPr="00B33F79" w:rsidRDefault="00F30A91">
            <w:pPr>
              <w:pStyle w:val="ColumnHeading"/>
              <w:keepNext/>
              <w:rPr>
                <w:color w:val="0000F5"/>
              </w:rPr>
            </w:pPr>
            <w:r w:rsidRPr="00B33F79">
              <w:rPr>
                <w:color w:val="0000F5"/>
              </w:rPr>
              <w:t>Amendment</w:t>
            </w:r>
          </w:p>
        </w:tc>
      </w:tr>
      <w:tr w:rsidR="00F30A91" w:rsidRPr="00B33F79" w14:paraId="46E60FBA" w14:textId="77777777" w:rsidTr="00F30A91">
        <w:trPr>
          <w:jc w:val="center"/>
        </w:trPr>
        <w:tc>
          <w:tcPr>
            <w:tcW w:w="4876" w:type="dxa"/>
            <w:hideMark/>
          </w:tcPr>
          <w:p w14:paraId="6DEF8E67" w14:textId="77777777" w:rsidR="00F30A91" w:rsidRPr="00B33F79" w:rsidRDefault="00F30A91">
            <w:pPr>
              <w:pStyle w:val="Normal6"/>
              <w:rPr>
                <w:color w:val="0000FA"/>
              </w:rPr>
            </w:pPr>
            <w:r w:rsidRPr="00B33F79">
              <w:rPr>
                <w:color w:val="0000FA"/>
              </w:rPr>
              <w:t>(2)</w:t>
            </w:r>
            <w:r w:rsidRPr="00B33F79">
              <w:rPr>
                <w:color w:val="0000FA"/>
              </w:rPr>
              <w:tab/>
              <w:t>Directive 2004/37/EC of the European Parliament and of the Council</w:t>
            </w:r>
            <w:r w:rsidRPr="00B33F79">
              <w:rPr>
                <w:color w:val="0000FA"/>
                <w:vertAlign w:val="superscript"/>
              </w:rPr>
              <w:t>44</w:t>
            </w:r>
            <w:r w:rsidRPr="00B33F79">
              <w:rPr>
                <w:color w:val="0000FA"/>
              </w:rPr>
              <w:t xml:space="preserve"> aims to protect workers against risks to their health and safety from exposure to carcinogens or mutagens at the workplace. </w:t>
            </w:r>
            <w:r w:rsidRPr="00B33F79">
              <w:rPr>
                <w:b/>
                <w:i/>
                <w:color w:val="0000FA"/>
              </w:rPr>
              <w:t>A consistent level of protection from</w:t>
            </w:r>
            <w:r w:rsidRPr="00B33F79">
              <w:rPr>
                <w:color w:val="0000FA"/>
              </w:rPr>
              <w:t xml:space="preserve"> </w:t>
            </w:r>
            <w:r w:rsidRPr="00B33F79">
              <w:rPr>
                <w:b/>
                <w:i/>
                <w:color w:val="0000FA"/>
              </w:rPr>
              <w:t xml:space="preserve">the risks related to carcinogens and mutagens is provided for in Directive 2004/37/EC by a framework of general principles to </w:t>
            </w:r>
            <w:r w:rsidRPr="00B33F79">
              <w:rPr>
                <w:b/>
                <w:i/>
                <w:color w:val="0000FA"/>
              </w:rPr>
              <w:lastRenderedPageBreak/>
              <w:t>enable Member States to ensure the consistent application of the minimum requirements.</w:t>
            </w:r>
            <w:r w:rsidRPr="00B33F79">
              <w:rPr>
                <w:color w:val="0000FA"/>
              </w:rPr>
              <w:t xml:space="preserve"> Binding occupational exposure limit values established on the basis of available information</w:t>
            </w:r>
            <w:r w:rsidRPr="00B33F79">
              <w:rPr>
                <w:b/>
                <w:i/>
                <w:color w:val="0000FA"/>
              </w:rPr>
              <w:t>, including scientific</w:t>
            </w:r>
            <w:r w:rsidRPr="00B33F79">
              <w:rPr>
                <w:color w:val="0000FA"/>
              </w:rPr>
              <w:t xml:space="preserve"> and technical data, economic feasibility, a thorough assessment of the socioeconomic impact and availability of exposure measurement protocols and techniques at the workplace, are important components of the general arrangements for the protection of workers established by Directive 2004/37/EC. The minimum requirements provided for in Directive 2004/37/EC aim to protect workers at Union level. More stringent binding occupational exposure limit values can be set by Member States.</w:t>
            </w:r>
          </w:p>
        </w:tc>
        <w:tc>
          <w:tcPr>
            <w:tcW w:w="4876" w:type="dxa"/>
            <w:hideMark/>
          </w:tcPr>
          <w:p w14:paraId="1A36E46E" w14:textId="77777777" w:rsidR="00F30A91" w:rsidRPr="00B33F79" w:rsidRDefault="00F30A91">
            <w:pPr>
              <w:pStyle w:val="Normal6"/>
              <w:rPr>
                <w:color w:val="000005"/>
                <w:szCs w:val="24"/>
              </w:rPr>
            </w:pPr>
            <w:r w:rsidRPr="00B33F79">
              <w:rPr>
                <w:color w:val="000005"/>
              </w:rPr>
              <w:lastRenderedPageBreak/>
              <w:t>(2)</w:t>
            </w:r>
            <w:r w:rsidRPr="00B33F79">
              <w:rPr>
                <w:color w:val="000005"/>
              </w:rPr>
              <w:tab/>
              <w:t>Directive 2004/37/EC of the European Parliament and of the Council</w:t>
            </w:r>
            <w:r w:rsidRPr="00B33F79">
              <w:rPr>
                <w:color w:val="000005"/>
                <w:vertAlign w:val="superscript"/>
              </w:rPr>
              <w:t>44</w:t>
            </w:r>
            <w:r w:rsidRPr="00B33F79">
              <w:rPr>
                <w:color w:val="000005"/>
              </w:rPr>
              <w:t xml:space="preserve"> aims to protect workers against risks to their health and safety from exposure to carcinogens or mutagens at the workplace. </w:t>
            </w:r>
            <w:r w:rsidRPr="00B33F79">
              <w:rPr>
                <w:b/>
                <w:i/>
                <w:color w:val="000005"/>
              </w:rPr>
              <w:t>Directive 2004/37/EC lays down</w:t>
            </w:r>
            <w:r w:rsidRPr="00B33F79">
              <w:rPr>
                <w:color w:val="000005"/>
              </w:rPr>
              <w:t xml:space="preserve"> </w:t>
            </w:r>
            <w:r w:rsidRPr="00B33F79">
              <w:rPr>
                <w:b/>
                <w:i/>
                <w:color w:val="000005"/>
              </w:rPr>
              <w:t>the</w:t>
            </w:r>
            <w:r w:rsidRPr="00B33F79">
              <w:rPr>
                <w:color w:val="000005"/>
              </w:rPr>
              <w:t xml:space="preserve"> </w:t>
            </w:r>
            <w:r w:rsidRPr="00B33F79">
              <w:rPr>
                <w:b/>
                <w:i/>
                <w:color w:val="000005"/>
              </w:rPr>
              <w:t>relevant minimum requirements on the basis of acquired scientific evidence, and is subject</w:t>
            </w:r>
            <w:r w:rsidRPr="00B33F79">
              <w:rPr>
                <w:color w:val="000005"/>
              </w:rPr>
              <w:t xml:space="preserve"> </w:t>
            </w:r>
            <w:r w:rsidRPr="00B33F79">
              <w:rPr>
                <w:b/>
                <w:i/>
                <w:color w:val="000005"/>
              </w:rPr>
              <w:t>to</w:t>
            </w:r>
            <w:r w:rsidRPr="00B33F79">
              <w:rPr>
                <w:color w:val="000005"/>
              </w:rPr>
              <w:t xml:space="preserve"> </w:t>
            </w:r>
            <w:r w:rsidRPr="00B33F79">
              <w:rPr>
                <w:b/>
                <w:i/>
                <w:color w:val="000005"/>
              </w:rPr>
              <w:t>periodic review in order</w:t>
            </w:r>
            <w:r w:rsidRPr="00B33F79">
              <w:rPr>
                <w:color w:val="000005"/>
              </w:rPr>
              <w:t xml:space="preserve"> </w:t>
            </w:r>
            <w:r w:rsidRPr="00B33F79">
              <w:rPr>
                <w:b/>
                <w:i/>
                <w:color w:val="000005"/>
              </w:rPr>
              <w:t>to</w:t>
            </w:r>
            <w:r w:rsidRPr="00B33F79">
              <w:rPr>
                <w:color w:val="000005"/>
              </w:rPr>
              <w:t xml:space="preserve"> </w:t>
            </w:r>
            <w:r w:rsidRPr="00B33F79">
              <w:rPr>
                <w:b/>
                <w:i/>
                <w:color w:val="000005"/>
              </w:rPr>
              <w:lastRenderedPageBreak/>
              <w:t>improve protection from risks arising from carcinogens and mutagens</w:t>
            </w:r>
            <w:r w:rsidRPr="00B33F79">
              <w:rPr>
                <w:color w:val="000005"/>
              </w:rPr>
              <w:t xml:space="preserve">. Binding occupational exposure limit values established on the basis of available </w:t>
            </w:r>
            <w:r w:rsidRPr="00B33F79">
              <w:rPr>
                <w:b/>
                <w:i/>
                <w:color w:val="000005"/>
              </w:rPr>
              <w:t xml:space="preserve">scientific </w:t>
            </w:r>
            <w:r w:rsidRPr="00B33F79">
              <w:rPr>
                <w:color w:val="000005"/>
              </w:rPr>
              <w:t>information and technical data, economic feasibility, a thorough assessment of the socioeconomic impact and availability of exposure measurement protocols and techniques at the workplace, are important components of the general arrangements for the protection of workers established by Directive 2004/37/EC. The minimum requirements provided for in Directive 2004/37/EC aim to protect workers at Union level. More stringent binding occupational exposure limit values can be set by Member States.</w:t>
            </w:r>
          </w:p>
        </w:tc>
      </w:tr>
      <w:tr w:rsidR="00F30A91" w:rsidRPr="00B33F79" w14:paraId="1D8E2E0C" w14:textId="77777777" w:rsidTr="00F30A91">
        <w:trPr>
          <w:jc w:val="center"/>
        </w:trPr>
        <w:tc>
          <w:tcPr>
            <w:tcW w:w="4876" w:type="dxa"/>
            <w:hideMark/>
          </w:tcPr>
          <w:p w14:paraId="02F61C27" w14:textId="77777777" w:rsidR="00F30A91" w:rsidRPr="00B33F79" w:rsidRDefault="00F30A91">
            <w:pPr>
              <w:pStyle w:val="Normal6"/>
              <w:rPr>
                <w:color w:val="0000FA"/>
              </w:rPr>
            </w:pPr>
            <w:r w:rsidRPr="00B33F79">
              <w:rPr>
                <w:color w:val="0000FA"/>
              </w:rPr>
              <w:lastRenderedPageBreak/>
              <w:t>__________________</w:t>
            </w:r>
          </w:p>
        </w:tc>
        <w:tc>
          <w:tcPr>
            <w:tcW w:w="4876" w:type="dxa"/>
            <w:hideMark/>
          </w:tcPr>
          <w:p w14:paraId="36A2C5E2" w14:textId="77777777" w:rsidR="00F30A91" w:rsidRPr="00B33F79" w:rsidRDefault="00F30A91">
            <w:pPr>
              <w:pStyle w:val="Normal6"/>
              <w:rPr>
                <w:color w:val="000005"/>
                <w:szCs w:val="24"/>
              </w:rPr>
            </w:pPr>
            <w:r w:rsidRPr="00B33F79">
              <w:rPr>
                <w:color w:val="000005"/>
              </w:rPr>
              <w:t>__________________</w:t>
            </w:r>
          </w:p>
        </w:tc>
      </w:tr>
      <w:tr w:rsidR="00F30A91" w:rsidRPr="00B33F79" w14:paraId="1C007406" w14:textId="77777777" w:rsidTr="00F30A91">
        <w:trPr>
          <w:jc w:val="center"/>
        </w:trPr>
        <w:tc>
          <w:tcPr>
            <w:tcW w:w="4876" w:type="dxa"/>
            <w:hideMark/>
          </w:tcPr>
          <w:p w14:paraId="72893CA7" w14:textId="77777777" w:rsidR="00F30A91" w:rsidRPr="00B33F79" w:rsidRDefault="00F30A91">
            <w:pPr>
              <w:pStyle w:val="Normal6"/>
              <w:rPr>
                <w:color w:val="0000FA"/>
              </w:rPr>
            </w:pPr>
            <w:r w:rsidRPr="00B33F79">
              <w:rPr>
                <w:color w:val="0000FA"/>
                <w:vertAlign w:val="superscript"/>
              </w:rPr>
              <w:t>44</w:t>
            </w:r>
            <w:r w:rsidRPr="00B33F79">
              <w:rPr>
                <w:color w:val="0000FA"/>
              </w:rPr>
              <w:t xml:space="preserve"> Directive 2004/37/EC of the European Parliament and of the Council of 29 April 2004 on the protection of workers from the risks related to exposure to carcinogens or mutagens at work (Sixth individual Directive within the meaning of Article 16(1) of Council Directive 89/391/EEC) (OJ L 158, 30.4.2004, p. 50).</w:t>
            </w:r>
          </w:p>
        </w:tc>
        <w:tc>
          <w:tcPr>
            <w:tcW w:w="4876" w:type="dxa"/>
            <w:hideMark/>
          </w:tcPr>
          <w:p w14:paraId="15E8B8A6" w14:textId="77777777" w:rsidR="00F30A91" w:rsidRPr="00B33F79" w:rsidRDefault="00F30A91">
            <w:pPr>
              <w:pStyle w:val="Normal6"/>
              <w:rPr>
                <w:color w:val="000005"/>
                <w:szCs w:val="24"/>
              </w:rPr>
            </w:pPr>
            <w:r w:rsidRPr="00B33F79">
              <w:rPr>
                <w:color w:val="000005"/>
                <w:vertAlign w:val="superscript"/>
              </w:rPr>
              <w:t>44</w:t>
            </w:r>
            <w:r w:rsidRPr="00B33F79">
              <w:rPr>
                <w:color w:val="000005"/>
              </w:rPr>
              <w:t xml:space="preserve"> Directive 2004/37/EC of the European Parliament and of the Council of 29 April 2004 on the protection of workers from the risks related to exposure to carcinogens or mutagens at work (Sixth individual Directive within the meaning of Article 16(1) of Council Directive 89/391/EEC) (OJ L 158, 30.4.2004, p. 50).</w:t>
            </w:r>
          </w:p>
        </w:tc>
      </w:tr>
    </w:tbl>
    <w:p w14:paraId="586FDB1A" w14:textId="77777777" w:rsidR="00F30A91" w:rsidRPr="00B33F79" w:rsidRDefault="00F30A91"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563554E1" w14:textId="77777777" w:rsidR="00F30A91" w:rsidRPr="00B33F79" w:rsidRDefault="00F30A91" w:rsidP="00F30A91">
      <w:pPr>
        <w:rPr>
          <w:szCs w:val="24"/>
        </w:rPr>
      </w:pPr>
      <w:r w:rsidRPr="00B33F79">
        <w:rPr>
          <w:rStyle w:val="HideTWBExt"/>
          <w:noProof w:val="0"/>
        </w:rPr>
        <w:t>&lt;/Amend&gt;</w:t>
      </w:r>
    </w:p>
    <w:p w14:paraId="57060CCF" w14:textId="0B6EA99F" w:rsidR="00F30A91" w:rsidRPr="00B33F79" w:rsidRDefault="00F30A91" w:rsidP="00F30A9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3</w:t>
      </w:r>
      <w:r w:rsidRPr="00B33F79">
        <w:rPr>
          <w:rStyle w:val="HideTWBExt"/>
          <w:b w:val="0"/>
          <w:noProof w:val="0"/>
        </w:rPr>
        <w:t>&lt;/NumAm&gt;</w:t>
      </w:r>
    </w:p>
    <w:p w14:paraId="1E264F92"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3EC75CDF" w14:textId="77777777" w:rsidR="00F30A91" w:rsidRPr="00B33F79" w:rsidRDefault="00F30A91" w:rsidP="00F30A91">
      <w:pPr>
        <w:pStyle w:val="NormalBold"/>
      </w:pPr>
      <w:r w:rsidRPr="00B33F79">
        <w:rPr>
          <w:rStyle w:val="HideTWBExt"/>
          <w:b w:val="0"/>
          <w:noProof w:val="0"/>
        </w:rPr>
        <w:t>&lt;Article&gt;</w:t>
      </w:r>
      <w:r w:rsidRPr="00B33F79">
        <w:rPr>
          <w:color w:val="0000EB"/>
        </w:rPr>
        <w:t>Recital 3</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73F80A5A" w14:textId="77777777" w:rsidTr="00F30A91">
        <w:trPr>
          <w:jc w:val="center"/>
        </w:trPr>
        <w:tc>
          <w:tcPr>
            <w:tcW w:w="9752" w:type="dxa"/>
            <w:gridSpan w:val="2"/>
          </w:tcPr>
          <w:p w14:paraId="01429FC5" w14:textId="77777777" w:rsidR="00F30A91" w:rsidRPr="00B33F79" w:rsidRDefault="00F30A91">
            <w:pPr>
              <w:keepNext/>
            </w:pPr>
          </w:p>
        </w:tc>
      </w:tr>
      <w:tr w:rsidR="00F30A91" w:rsidRPr="00B33F79" w14:paraId="0FAC2280" w14:textId="77777777" w:rsidTr="00F30A91">
        <w:trPr>
          <w:jc w:val="center"/>
        </w:trPr>
        <w:tc>
          <w:tcPr>
            <w:tcW w:w="4876" w:type="dxa"/>
            <w:hideMark/>
          </w:tcPr>
          <w:p w14:paraId="0DB20AF9"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025B9D3F" w14:textId="77777777" w:rsidR="00F30A91" w:rsidRPr="00B33F79" w:rsidRDefault="00F30A91">
            <w:pPr>
              <w:pStyle w:val="ColumnHeading"/>
              <w:keepNext/>
              <w:rPr>
                <w:color w:val="0000F5"/>
              </w:rPr>
            </w:pPr>
            <w:r w:rsidRPr="00B33F79">
              <w:rPr>
                <w:color w:val="0000F5"/>
              </w:rPr>
              <w:t>Amendment</w:t>
            </w:r>
          </w:p>
        </w:tc>
      </w:tr>
      <w:tr w:rsidR="00F30A91" w:rsidRPr="00B33F79" w14:paraId="0CDAD151" w14:textId="77777777" w:rsidTr="00F30A91">
        <w:trPr>
          <w:jc w:val="center"/>
        </w:trPr>
        <w:tc>
          <w:tcPr>
            <w:tcW w:w="4876" w:type="dxa"/>
            <w:hideMark/>
          </w:tcPr>
          <w:p w14:paraId="59B44D36" w14:textId="77777777" w:rsidR="00F30A91" w:rsidRPr="00B33F79" w:rsidRDefault="00F30A91">
            <w:pPr>
              <w:pStyle w:val="Normal6"/>
              <w:rPr>
                <w:color w:val="0000FA"/>
              </w:rPr>
            </w:pPr>
            <w:r w:rsidRPr="00B33F79">
              <w:rPr>
                <w:color w:val="0000FA"/>
              </w:rPr>
              <w:t>(3)</w:t>
            </w:r>
            <w:r w:rsidRPr="00B33F79">
              <w:rPr>
                <w:color w:val="0000FA"/>
              </w:rPr>
              <w:tab/>
              <w:t xml:space="preserve">Occupational exposure limit values are part of risk management under Directive 2004/37/EC. Compliance with those limit values is without prejudice to other obligations of employers pursuant to Directive 2004/37/EC, such as the reduction of the use of carcinogens and mutagens at the workplace, the prevention or reduction of workers’ exposure to </w:t>
            </w:r>
            <w:r w:rsidRPr="00B33F79">
              <w:rPr>
                <w:color w:val="0000FA"/>
              </w:rPr>
              <w:lastRenderedPageBreak/>
              <w:t>carcinogens or mutagens and the measures which should be implemented to that effect. Those measures should include, as far as it is technically possible, the replacement of the carcinogen or mutagen by a substance, mixture or process which is not dangerous or is less dangerous to workers’ health, the use of a closed system or other measures aiming to reduce the level of workers’ exposure. In that context, it is essential to take the precautionary principle into account where there are uncertainties.</w:t>
            </w:r>
          </w:p>
        </w:tc>
        <w:tc>
          <w:tcPr>
            <w:tcW w:w="4876" w:type="dxa"/>
            <w:hideMark/>
          </w:tcPr>
          <w:p w14:paraId="7502F0BF" w14:textId="25F7AD7C" w:rsidR="00F30A91" w:rsidRPr="00B33F79" w:rsidRDefault="00F30A91" w:rsidP="00E31E8E">
            <w:pPr>
              <w:pStyle w:val="Normal6"/>
              <w:rPr>
                <w:color w:val="000005"/>
                <w:szCs w:val="24"/>
              </w:rPr>
            </w:pPr>
            <w:r w:rsidRPr="00B33F79">
              <w:rPr>
                <w:color w:val="000005"/>
              </w:rPr>
              <w:lastRenderedPageBreak/>
              <w:t>(3)</w:t>
            </w:r>
            <w:r w:rsidRPr="00B33F79">
              <w:rPr>
                <w:color w:val="000005"/>
              </w:rPr>
              <w:tab/>
              <w:t xml:space="preserve">Occupational exposure limit values are part of risk management under Directive 2004/37/EC. Compliance with those limit values is without prejudice to other obligations of employers pursuant to Directive 2004/37/EC, such as the reduction of the use of carcinogens and mutagens at the workplace, the prevention or reduction of workers’ exposure to </w:t>
            </w:r>
            <w:r w:rsidRPr="00B33F79">
              <w:rPr>
                <w:color w:val="000005"/>
              </w:rPr>
              <w:lastRenderedPageBreak/>
              <w:t>carcinogens or mutagens and the measures which should be implemented to that effect. Those measures should include, as far as it is technically possible, the replacement of the carcinogen or mutagen by a substance, mixture or process which is not dangerous or is less dangerous to workers’ health, the use of a closed system or other measures</w:t>
            </w:r>
            <w:r w:rsidRPr="00B33F79">
              <w:rPr>
                <w:b/>
                <w:i/>
                <w:color w:val="000005"/>
              </w:rPr>
              <w:t>, such as organisational modelling of work or individual protection provisions,</w:t>
            </w:r>
            <w:r w:rsidRPr="00B33F79">
              <w:rPr>
                <w:color w:val="000005"/>
              </w:rPr>
              <w:t xml:space="preserve"> aiming to reduce the level of workers’ exposure. In that context, it is essential to take the precautionary principle into account where there are uncertainties.</w:t>
            </w:r>
          </w:p>
        </w:tc>
      </w:tr>
    </w:tbl>
    <w:p w14:paraId="419CC2B4" w14:textId="77777777" w:rsidR="00F30A91" w:rsidRPr="00B33F79" w:rsidRDefault="00F30A91" w:rsidP="003A5A4F">
      <w:pPr>
        <w:pStyle w:val="Olang"/>
        <w:rPr>
          <w:noProof w:val="0"/>
          <w:szCs w:val="24"/>
        </w:rPr>
      </w:pPr>
      <w:r w:rsidRPr="00B33F79">
        <w:rPr>
          <w:noProof w:val="0"/>
          <w:color w:val="0000F0"/>
          <w:szCs w:val="24"/>
        </w:rPr>
        <w:lastRenderedPageBreak/>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35E648A9" w14:textId="77777777" w:rsidR="00F30A91" w:rsidRPr="00B33F79" w:rsidRDefault="00F30A91" w:rsidP="00F30A91">
      <w:pPr>
        <w:rPr>
          <w:szCs w:val="24"/>
        </w:rPr>
      </w:pPr>
      <w:r w:rsidRPr="00B33F79">
        <w:rPr>
          <w:rStyle w:val="HideTWBExt"/>
          <w:noProof w:val="0"/>
        </w:rPr>
        <w:t>&lt;/Amend&gt;</w:t>
      </w:r>
    </w:p>
    <w:p w14:paraId="5E7E49FE" w14:textId="2F6DE5CC" w:rsidR="00E2011F" w:rsidRPr="00B33F79" w:rsidRDefault="00E2011F" w:rsidP="00E2011F">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4</w:t>
      </w:r>
      <w:r w:rsidRPr="00B33F79">
        <w:rPr>
          <w:rStyle w:val="HideTWBExt"/>
          <w:b w:val="0"/>
          <w:noProof w:val="0"/>
        </w:rPr>
        <w:t>&lt;/NumAm&gt;</w:t>
      </w:r>
    </w:p>
    <w:p w14:paraId="2DE983DE" w14:textId="77777777" w:rsidR="00E2011F" w:rsidRPr="00B33F79" w:rsidRDefault="00E2011F" w:rsidP="00E2011F">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7274B962" w14:textId="77777777" w:rsidR="00E2011F" w:rsidRPr="00B33F79" w:rsidRDefault="00E2011F" w:rsidP="00E2011F">
      <w:pPr>
        <w:pStyle w:val="NormalBold"/>
      </w:pPr>
      <w:r w:rsidRPr="00B33F79">
        <w:rPr>
          <w:rStyle w:val="HideTWBExt"/>
          <w:b w:val="0"/>
          <w:noProof w:val="0"/>
        </w:rPr>
        <w:t>&lt;Article&gt;</w:t>
      </w:r>
      <w:r w:rsidRPr="00B33F79">
        <w:rPr>
          <w:color w:val="0000EB"/>
        </w:rPr>
        <w:t>Recital 3 a (new)</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011F" w:rsidRPr="00B33F79" w14:paraId="1D04D77C" w14:textId="77777777" w:rsidTr="007A2F98">
        <w:trPr>
          <w:jc w:val="center"/>
        </w:trPr>
        <w:tc>
          <w:tcPr>
            <w:tcW w:w="9752" w:type="dxa"/>
            <w:gridSpan w:val="2"/>
          </w:tcPr>
          <w:p w14:paraId="02F8C75C" w14:textId="77777777" w:rsidR="00E2011F" w:rsidRPr="00B33F79" w:rsidRDefault="00E2011F" w:rsidP="007A2F98">
            <w:pPr>
              <w:keepNext/>
            </w:pPr>
          </w:p>
        </w:tc>
      </w:tr>
      <w:tr w:rsidR="00E2011F" w:rsidRPr="00B33F79" w14:paraId="5F767590" w14:textId="77777777" w:rsidTr="007A2F98">
        <w:trPr>
          <w:jc w:val="center"/>
        </w:trPr>
        <w:tc>
          <w:tcPr>
            <w:tcW w:w="4876" w:type="dxa"/>
            <w:hideMark/>
          </w:tcPr>
          <w:p w14:paraId="5DCB7954" w14:textId="77777777" w:rsidR="00E2011F" w:rsidRPr="00B33F79" w:rsidRDefault="00E2011F" w:rsidP="007A2F98">
            <w:pPr>
              <w:pStyle w:val="ColumnHeading"/>
              <w:keepNext/>
              <w:rPr>
                <w:color w:val="0000FA"/>
              </w:rPr>
            </w:pPr>
            <w:r w:rsidRPr="00B33F79">
              <w:rPr>
                <w:color w:val="0000FA"/>
              </w:rPr>
              <w:t>Text proposed by the Commission</w:t>
            </w:r>
          </w:p>
        </w:tc>
        <w:tc>
          <w:tcPr>
            <w:tcW w:w="4876" w:type="dxa"/>
            <w:hideMark/>
          </w:tcPr>
          <w:p w14:paraId="61FA6EB8" w14:textId="77777777" w:rsidR="00E2011F" w:rsidRPr="00B33F79" w:rsidRDefault="00E2011F" w:rsidP="007A2F98">
            <w:pPr>
              <w:pStyle w:val="ColumnHeading"/>
              <w:keepNext/>
              <w:rPr>
                <w:color w:val="0000F5"/>
              </w:rPr>
            </w:pPr>
            <w:r w:rsidRPr="00B33F79">
              <w:rPr>
                <w:color w:val="0000F5"/>
              </w:rPr>
              <w:t>Amendment</w:t>
            </w:r>
          </w:p>
        </w:tc>
      </w:tr>
      <w:tr w:rsidR="00E2011F" w:rsidRPr="00B33F79" w14:paraId="79F1D41D" w14:textId="77777777" w:rsidTr="00E2011F">
        <w:trPr>
          <w:jc w:val="center"/>
        </w:trPr>
        <w:tc>
          <w:tcPr>
            <w:tcW w:w="4876" w:type="dxa"/>
          </w:tcPr>
          <w:p w14:paraId="5E8904A8" w14:textId="77777777" w:rsidR="00E2011F" w:rsidRPr="00B33F79" w:rsidRDefault="00E2011F" w:rsidP="007A2F98">
            <w:pPr>
              <w:pStyle w:val="Normal6"/>
              <w:rPr>
                <w:color w:val="0000FA"/>
              </w:rPr>
            </w:pPr>
          </w:p>
        </w:tc>
        <w:tc>
          <w:tcPr>
            <w:tcW w:w="4876" w:type="dxa"/>
            <w:hideMark/>
          </w:tcPr>
          <w:p w14:paraId="498477B9" w14:textId="77777777" w:rsidR="00E2011F" w:rsidRPr="00B33F79" w:rsidRDefault="00E2011F" w:rsidP="007A2F98">
            <w:pPr>
              <w:pStyle w:val="Normal6"/>
              <w:rPr>
                <w:color w:val="000005"/>
                <w:szCs w:val="24"/>
              </w:rPr>
            </w:pPr>
            <w:r w:rsidRPr="00B33F79">
              <w:rPr>
                <w:b/>
                <w:i/>
                <w:color w:val="000005"/>
              </w:rPr>
              <w:t>(3a)</w:t>
            </w:r>
            <w:r w:rsidRPr="00B33F79">
              <w:rPr>
                <w:color w:val="000005"/>
              </w:rPr>
              <w:tab/>
            </w:r>
            <w:r w:rsidRPr="00B33F79">
              <w:rPr>
                <w:b/>
                <w:i/>
                <w:color w:val="000005"/>
              </w:rPr>
              <w:t>In pharmacology, hazardous drugs are drugs that are known to cause harm, because of their genotoxicity, carcinogenicity, teratogenicity, reprotoxicity and other developmental toxicity and organ toxicity at low doses. Those drugs include cytotoxic agents, biologic agents, antiviral agents and immunosuppressive agents.  Cytotoxic drugs inhibit or prevent the function of cells. Cytotoxic drugs are primarily used to treat cancer, frequently as part of a chemotherapy regime. Cytotoxic drugs can prevent the rapid growth and division of cancer cells. However, the cytotoxic drugs available for current use are generally nonselective and are therefore likely to damage normal (nontumour) cells too. Thus, many cytotoxic drugs are known to be genotoxic, carcinogenetic or mutagenic;</w:t>
            </w:r>
          </w:p>
        </w:tc>
      </w:tr>
    </w:tbl>
    <w:p w14:paraId="4D63498E" w14:textId="77777777" w:rsidR="00E2011F" w:rsidRPr="00B33F79" w:rsidRDefault="00E2011F"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{EN}</w:t>
      </w:r>
      <w:r w:rsidRPr="00B33F79">
        <w:rPr>
          <w:noProof w:val="0"/>
          <w:color w:val="0000F0"/>
          <w:szCs w:val="24"/>
        </w:rPr>
        <w:t>en</w:t>
      </w:r>
      <w:r w:rsidRPr="00B33F79">
        <w:rPr>
          <w:rStyle w:val="HideTWBExt"/>
          <w:noProof w:val="0"/>
        </w:rPr>
        <w:t>&lt;/Original&gt;</w:t>
      </w:r>
    </w:p>
    <w:p w14:paraId="7509B183" w14:textId="77777777" w:rsidR="00E2011F" w:rsidRPr="00B33F79" w:rsidRDefault="00E2011F" w:rsidP="00E2011F">
      <w:pPr>
        <w:rPr>
          <w:szCs w:val="24"/>
        </w:rPr>
      </w:pPr>
      <w:r w:rsidRPr="00B33F79">
        <w:rPr>
          <w:rStyle w:val="HideTWBExt"/>
          <w:noProof w:val="0"/>
        </w:rPr>
        <w:lastRenderedPageBreak/>
        <w:t>&lt;/Amend&gt;</w:t>
      </w:r>
    </w:p>
    <w:p w14:paraId="0FEBE222" w14:textId="26157CF5" w:rsidR="00E2011F" w:rsidRPr="00B33F79" w:rsidRDefault="00E2011F" w:rsidP="00E2011F">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5</w:t>
      </w:r>
      <w:r w:rsidRPr="00B33F79">
        <w:rPr>
          <w:rStyle w:val="HideTWBExt"/>
          <w:b w:val="0"/>
          <w:noProof w:val="0"/>
        </w:rPr>
        <w:t>&lt;/NumAm&gt;</w:t>
      </w:r>
    </w:p>
    <w:p w14:paraId="674EE96C" w14:textId="77777777" w:rsidR="00E2011F" w:rsidRPr="00B33F79" w:rsidRDefault="00E2011F" w:rsidP="00E2011F">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595DC17B" w14:textId="77777777" w:rsidR="00E2011F" w:rsidRPr="00B33F79" w:rsidRDefault="00E2011F" w:rsidP="00E2011F">
      <w:pPr>
        <w:pStyle w:val="NormalBold"/>
      </w:pPr>
      <w:r w:rsidRPr="00B33F79">
        <w:rPr>
          <w:rStyle w:val="HideTWBExt"/>
          <w:b w:val="0"/>
          <w:noProof w:val="0"/>
        </w:rPr>
        <w:t>&lt;Article&gt;</w:t>
      </w:r>
      <w:r w:rsidRPr="00B33F79">
        <w:rPr>
          <w:color w:val="0000EB"/>
        </w:rPr>
        <w:t>Recital 3 b (new)</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011F" w:rsidRPr="00B33F79" w14:paraId="7A506278" w14:textId="77777777" w:rsidTr="007A2F98">
        <w:trPr>
          <w:jc w:val="center"/>
        </w:trPr>
        <w:tc>
          <w:tcPr>
            <w:tcW w:w="9752" w:type="dxa"/>
            <w:gridSpan w:val="2"/>
          </w:tcPr>
          <w:p w14:paraId="7CD45F13" w14:textId="77777777" w:rsidR="00E2011F" w:rsidRPr="00B33F79" w:rsidRDefault="00E2011F" w:rsidP="007A2F98">
            <w:pPr>
              <w:keepNext/>
            </w:pPr>
          </w:p>
        </w:tc>
      </w:tr>
      <w:tr w:rsidR="00E2011F" w:rsidRPr="00B33F79" w14:paraId="484EA14F" w14:textId="77777777" w:rsidTr="007A2F98">
        <w:trPr>
          <w:jc w:val="center"/>
        </w:trPr>
        <w:tc>
          <w:tcPr>
            <w:tcW w:w="4876" w:type="dxa"/>
            <w:hideMark/>
          </w:tcPr>
          <w:p w14:paraId="78DE9E7C" w14:textId="77777777" w:rsidR="00E2011F" w:rsidRPr="00B33F79" w:rsidRDefault="00E2011F" w:rsidP="007A2F98">
            <w:pPr>
              <w:pStyle w:val="ColumnHeading"/>
              <w:keepNext/>
              <w:rPr>
                <w:color w:val="0000FA"/>
              </w:rPr>
            </w:pPr>
            <w:r w:rsidRPr="00B33F79">
              <w:rPr>
                <w:color w:val="0000FA"/>
              </w:rPr>
              <w:t>Text proposed by the Commission</w:t>
            </w:r>
          </w:p>
        </w:tc>
        <w:tc>
          <w:tcPr>
            <w:tcW w:w="4876" w:type="dxa"/>
            <w:hideMark/>
          </w:tcPr>
          <w:p w14:paraId="0F72F5DC" w14:textId="77777777" w:rsidR="00E2011F" w:rsidRPr="00B33F79" w:rsidRDefault="00E2011F" w:rsidP="007A2F98">
            <w:pPr>
              <w:pStyle w:val="ColumnHeading"/>
              <w:keepNext/>
              <w:rPr>
                <w:color w:val="0000F5"/>
              </w:rPr>
            </w:pPr>
            <w:r w:rsidRPr="00B33F79">
              <w:rPr>
                <w:color w:val="0000F5"/>
              </w:rPr>
              <w:t>Amendment</w:t>
            </w:r>
          </w:p>
        </w:tc>
      </w:tr>
      <w:tr w:rsidR="00E2011F" w:rsidRPr="00B33F79" w14:paraId="2E59EB96" w14:textId="77777777" w:rsidTr="007A2F98">
        <w:trPr>
          <w:jc w:val="center"/>
        </w:trPr>
        <w:tc>
          <w:tcPr>
            <w:tcW w:w="4876" w:type="dxa"/>
          </w:tcPr>
          <w:p w14:paraId="0B8F29DF" w14:textId="77777777" w:rsidR="00E2011F" w:rsidRPr="00B33F79" w:rsidRDefault="00E2011F" w:rsidP="007A2F98">
            <w:pPr>
              <w:pStyle w:val="Normal6"/>
              <w:rPr>
                <w:color w:val="0000FA"/>
              </w:rPr>
            </w:pPr>
          </w:p>
        </w:tc>
        <w:tc>
          <w:tcPr>
            <w:tcW w:w="4876" w:type="dxa"/>
            <w:hideMark/>
          </w:tcPr>
          <w:p w14:paraId="0E45FF25" w14:textId="77777777" w:rsidR="00E2011F" w:rsidRPr="00B33F79" w:rsidRDefault="00E2011F" w:rsidP="00E2011F">
            <w:pPr>
              <w:pStyle w:val="Normal6"/>
              <w:rPr>
                <w:color w:val="000005"/>
                <w:szCs w:val="24"/>
              </w:rPr>
            </w:pPr>
            <w:r w:rsidRPr="00B33F79">
              <w:rPr>
                <w:b/>
                <w:i/>
                <w:color w:val="000005"/>
              </w:rPr>
              <w:t>(3b)</w:t>
            </w:r>
            <w:r w:rsidRPr="00B33F79">
              <w:rPr>
                <w:color w:val="000005"/>
              </w:rPr>
              <w:tab/>
            </w:r>
            <w:r w:rsidRPr="00B33F79">
              <w:rPr>
                <w:b/>
                <w:i/>
                <w:color w:val="000005"/>
              </w:rPr>
              <w:t>The International Agency for Research on Cancer (IARC) has actually identified a number of cytotoxic drugs as having an association with several forms of cancer. In particular, on the basis of epidemiological findings in patients with cancer as well as data from animal studies, IARC has listed the cytotoxic drugs that it considers to be definitely carcinogenic in humans (IARC category 1), among which thiotepa or tamoxifen.  A large number of other cytotoxic drugs are considered probably carcinogenic (IARC category 2A) - for instance teniposide-, or possibly carcinogenic (IARC category 2B), for example streptozocin</w:t>
            </w:r>
            <w:r w:rsidRPr="00B33F79">
              <w:rPr>
                <w:b/>
                <w:i/>
                <w:color w:val="000005"/>
                <w:vertAlign w:val="superscript"/>
              </w:rPr>
              <w:t>1a</w:t>
            </w:r>
            <w:r w:rsidRPr="00B33F79">
              <w:rPr>
                <w:b/>
                <w:i/>
                <w:color w:val="000005"/>
              </w:rPr>
              <w:t>;</w:t>
            </w:r>
          </w:p>
        </w:tc>
      </w:tr>
      <w:tr w:rsidR="00E2011F" w:rsidRPr="00B33F79" w14:paraId="5893A758" w14:textId="77777777" w:rsidTr="007A2F98">
        <w:trPr>
          <w:jc w:val="center"/>
        </w:trPr>
        <w:tc>
          <w:tcPr>
            <w:tcW w:w="4876" w:type="dxa"/>
          </w:tcPr>
          <w:p w14:paraId="4AAF955C" w14:textId="77777777" w:rsidR="00E2011F" w:rsidRPr="00B33F79" w:rsidRDefault="00E2011F" w:rsidP="007A2F98">
            <w:pPr>
              <w:pStyle w:val="Normal6"/>
              <w:rPr>
                <w:color w:val="0000FA"/>
              </w:rPr>
            </w:pPr>
          </w:p>
        </w:tc>
        <w:tc>
          <w:tcPr>
            <w:tcW w:w="4876" w:type="dxa"/>
          </w:tcPr>
          <w:p w14:paraId="4D01C948" w14:textId="77777777" w:rsidR="00E2011F" w:rsidRPr="00B33F79" w:rsidRDefault="00E2011F" w:rsidP="00E2011F">
            <w:pPr>
              <w:pStyle w:val="Normal6"/>
              <w:rPr>
                <w:b/>
                <w:i/>
                <w:color w:val="000005"/>
              </w:rPr>
            </w:pPr>
            <w:r w:rsidRPr="00B33F79">
              <w:rPr>
                <w:b/>
                <w:i/>
                <w:color w:val="000005"/>
              </w:rPr>
              <w:t>–––––––––––––––––––––––––––––––––</w:t>
            </w:r>
          </w:p>
        </w:tc>
      </w:tr>
      <w:tr w:rsidR="00E2011F" w:rsidRPr="00B33F79" w14:paraId="62B4DC1E" w14:textId="77777777" w:rsidTr="007A2F98">
        <w:trPr>
          <w:jc w:val="center"/>
        </w:trPr>
        <w:tc>
          <w:tcPr>
            <w:tcW w:w="4876" w:type="dxa"/>
          </w:tcPr>
          <w:p w14:paraId="3387D328" w14:textId="77777777" w:rsidR="00E2011F" w:rsidRPr="00B33F79" w:rsidRDefault="00E2011F" w:rsidP="007A2F98">
            <w:pPr>
              <w:pStyle w:val="Normal6"/>
              <w:rPr>
                <w:color w:val="0000FA"/>
              </w:rPr>
            </w:pPr>
          </w:p>
        </w:tc>
        <w:tc>
          <w:tcPr>
            <w:tcW w:w="4876" w:type="dxa"/>
          </w:tcPr>
          <w:p w14:paraId="7CBC667E" w14:textId="77777777" w:rsidR="00E2011F" w:rsidRPr="00B33F79" w:rsidRDefault="00E2011F" w:rsidP="00E2011F">
            <w:pPr>
              <w:pStyle w:val="Normal6"/>
              <w:rPr>
                <w:b/>
                <w:i/>
                <w:color w:val="000005"/>
              </w:rPr>
            </w:pPr>
            <w:r w:rsidRPr="00B33F79">
              <w:rPr>
                <w:b/>
                <w:i/>
                <w:color w:val="000005"/>
                <w:vertAlign w:val="superscript"/>
              </w:rPr>
              <w:t>1a</w:t>
            </w:r>
            <w:r w:rsidRPr="00B33F79">
              <w:rPr>
                <w:b/>
                <w:i/>
                <w:color w:val="000005"/>
              </w:rPr>
              <w:t xml:space="preserve"> IARC monographs on the evaluation of carcinogenic risks to humans, volumes 1-121 http://monographs.iarc.fr/ENG/Classification/index.php</w:t>
            </w:r>
          </w:p>
        </w:tc>
      </w:tr>
    </w:tbl>
    <w:p w14:paraId="4F6D5DEA" w14:textId="77777777" w:rsidR="00E2011F" w:rsidRPr="00B33F79" w:rsidRDefault="00E2011F"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{EN}</w:t>
      </w:r>
      <w:r w:rsidRPr="00B33F79">
        <w:rPr>
          <w:noProof w:val="0"/>
          <w:color w:val="0000F0"/>
          <w:szCs w:val="24"/>
        </w:rPr>
        <w:t>en</w:t>
      </w:r>
      <w:r w:rsidRPr="00B33F79">
        <w:rPr>
          <w:rStyle w:val="HideTWBExt"/>
          <w:noProof w:val="0"/>
        </w:rPr>
        <w:t>&lt;/Original&gt;</w:t>
      </w:r>
    </w:p>
    <w:p w14:paraId="31B8ACE1" w14:textId="77777777" w:rsidR="00E2011F" w:rsidRPr="00B33F79" w:rsidRDefault="00E2011F" w:rsidP="00E2011F">
      <w:pPr>
        <w:rPr>
          <w:szCs w:val="24"/>
        </w:rPr>
      </w:pPr>
      <w:r w:rsidRPr="00B33F79">
        <w:rPr>
          <w:rStyle w:val="HideTWBExt"/>
          <w:noProof w:val="0"/>
        </w:rPr>
        <w:t>&lt;/Amend&gt;</w:t>
      </w:r>
    </w:p>
    <w:p w14:paraId="14CD0989" w14:textId="21677F2C" w:rsidR="00E2011F" w:rsidRPr="00B33F79" w:rsidRDefault="00E2011F" w:rsidP="00E2011F">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6</w:t>
      </w:r>
      <w:r w:rsidRPr="00B33F79">
        <w:rPr>
          <w:rStyle w:val="HideTWBExt"/>
          <w:b w:val="0"/>
          <w:noProof w:val="0"/>
        </w:rPr>
        <w:t>&lt;/NumAm&gt;</w:t>
      </w:r>
    </w:p>
    <w:p w14:paraId="18F37F6C" w14:textId="77777777" w:rsidR="00E2011F" w:rsidRPr="00B33F79" w:rsidRDefault="00E2011F" w:rsidP="00E2011F">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506C23FB" w14:textId="77777777" w:rsidR="00E2011F" w:rsidRPr="00B33F79" w:rsidRDefault="00E2011F" w:rsidP="00E2011F">
      <w:pPr>
        <w:pStyle w:val="NormalBold"/>
      </w:pPr>
      <w:r w:rsidRPr="00B33F79">
        <w:rPr>
          <w:rStyle w:val="HideTWBExt"/>
          <w:b w:val="0"/>
          <w:noProof w:val="0"/>
        </w:rPr>
        <w:t>&lt;Article&gt;</w:t>
      </w:r>
      <w:r w:rsidRPr="00B33F79">
        <w:rPr>
          <w:color w:val="0000EB"/>
        </w:rPr>
        <w:t>Recital 3 c (new)</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011F" w:rsidRPr="00B33F79" w14:paraId="12C5829A" w14:textId="77777777" w:rsidTr="007A2F98">
        <w:trPr>
          <w:jc w:val="center"/>
        </w:trPr>
        <w:tc>
          <w:tcPr>
            <w:tcW w:w="9752" w:type="dxa"/>
            <w:gridSpan w:val="2"/>
          </w:tcPr>
          <w:p w14:paraId="5FAD348A" w14:textId="77777777" w:rsidR="00E2011F" w:rsidRPr="00B33F79" w:rsidRDefault="00E2011F" w:rsidP="007A2F98">
            <w:pPr>
              <w:keepNext/>
            </w:pPr>
          </w:p>
        </w:tc>
      </w:tr>
      <w:tr w:rsidR="00E2011F" w:rsidRPr="00B33F79" w14:paraId="7EA47CB2" w14:textId="77777777" w:rsidTr="007A2F98">
        <w:trPr>
          <w:jc w:val="center"/>
        </w:trPr>
        <w:tc>
          <w:tcPr>
            <w:tcW w:w="4876" w:type="dxa"/>
            <w:hideMark/>
          </w:tcPr>
          <w:p w14:paraId="3E301A13" w14:textId="77777777" w:rsidR="00E2011F" w:rsidRPr="00B33F79" w:rsidRDefault="00E2011F" w:rsidP="007A2F98">
            <w:pPr>
              <w:pStyle w:val="ColumnHeading"/>
              <w:keepNext/>
              <w:rPr>
                <w:color w:val="0000FA"/>
              </w:rPr>
            </w:pPr>
            <w:r w:rsidRPr="00B33F79">
              <w:rPr>
                <w:color w:val="0000FA"/>
              </w:rPr>
              <w:t>Text proposed by the Commission</w:t>
            </w:r>
          </w:p>
        </w:tc>
        <w:tc>
          <w:tcPr>
            <w:tcW w:w="4876" w:type="dxa"/>
            <w:hideMark/>
          </w:tcPr>
          <w:p w14:paraId="5665135B" w14:textId="77777777" w:rsidR="00E2011F" w:rsidRPr="00B33F79" w:rsidRDefault="00E2011F" w:rsidP="007A2F98">
            <w:pPr>
              <w:pStyle w:val="ColumnHeading"/>
              <w:keepNext/>
              <w:rPr>
                <w:color w:val="0000F5"/>
              </w:rPr>
            </w:pPr>
            <w:r w:rsidRPr="00B33F79">
              <w:rPr>
                <w:color w:val="0000F5"/>
              </w:rPr>
              <w:t>Amendment</w:t>
            </w:r>
          </w:p>
        </w:tc>
      </w:tr>
      <w:tr w:rsidR="00E2011F" w:rsidRPr="00B33F79" w14:paraId="1FAF7215" w14:textId="77777777" w:rsidTr="007A2F98">
        <w:trPr>
          <w:jc w:val="center"/>
        </w:trPr>
        <w:tc>
          <w:tcPr>
            <w:tcW w:w="4876" w:type="dxa"/>
          </w:tcPr>
          <w:p w14:paraId="0750B56C" w14:textId="77777777" w:rsidR="00E2011F" w:rsidRPr="00B33F79" w:rsidRDefault="00E2011F" w:rsidP="007A2F98">
            <w:pPr>
              <w:pStyle w:val="Normal6"/>
              <w:rPr>
                <w:color w:val="0000FA"/>
              </w:rPr>
            </w:pPr>
          </w:p>
        </w:tc>
        <w:tc>
          <w:tcPr>
            <w:tcW w:w="4876" w:type="dxa"/>
            <w:hideMark/>
          </w:tcPr>
          <w:p w14:paraId="3E4CB458" w14:textId="0C12610C" w:rsidR="00E2011F" w:rsidRPr="00B33F79" w:rsidRDefault="00E2011F" w:rsidP="00E2011F">
            <w:pPr>
              <w:pStyle w:val="Normal6"/>
              <w:rPr>
                <w:color w:val="000005"/>
                <w:szCs w:val="24"/>
              </w:rPr>
            </w:pPr>
            <w:r w:rsidRPr="00B33F79">
              <w:rPr>
                <w:b/>
                <w:i/>
                <w:color w:val="000005"/>
              </w:rPr>
              <w:t>(3c)</w:t>
            </w:r>
            <w:r w:rsidRPr="00B33F79">
              <w:rPr>
                <w:color w:val="000005"/>
              </w:rPr>
              <w:tab/>
            </w:r>
            <w:r w:rsidRPr="00B33F79">
              <w:rPr>
                <w:b/>
                <w:i/>
                <w:color w:val="000005"/>
              </w:rPr>
              <w:t xml:space="preserve">As regards occupational risk, studies have shown that health workers who are occupationally exposed to cytotoxic agents have a higher risk of contracting leukemia. Other studies have found an increased risk of particular </w:t>
            </w:r>
            <w:r w:rsidRPr="00B33F79">
              <w:rPr>
                <w:b/>
                <w:i/>
                <w:color w:val="000005"/>
              </w:rPr>
              <w:lastRenderedPageBreak/>
              <w:t>kinds of cancer (e.g. breast cancer and cancer of the rectum) in healthcare workers handling such drugs</w:t>
            </w:r>
            <w:r w:rsidRPr="00B33F79">
              <w:rPr>
                <w:b/>
                <w:i/>
                <w:color w:val="000005"/>
                <w:vertAlign w:val="superscript"/>
              </w:rPr>
              <w:t>1a</w:t>
            </w:r>
            <w:r w:rsidRPr="00B33F79">
              <w:rPr>
                <w:b/>
                <w:i/>
                <w:color w:val="000005"/>
              </w:rPr>
              <w:t>. Exposure may occur through skin contact, skin absorption, inhalation of aerosols and drug particles, ingestion and needle stick injuries when preparing, administering, or transporting drugs, handling patient waste, transporting and disposing of waste, or cleaning spills. Threshold levels of exposure (below which there is no risk) cannot be predicted on the basis of current knowledge, and therefore contact with genotoxic carcinogens (which include almost all alkylating agents) by operators should be avoided at all levels. The same applies to non-cytotoxic hazardous drugs which have also carcinogenic or mutagenic effects.</w:t>
            </w:r>
          </w:p>
        </w:tc>
      </w:tr>
      <w:tr w:rsidR="00E2011F" w:rsidRPr="00B33F79" w14:paraId="73FEF433" w14:textId="77777777" w:rsidTr="007A2F98">
        <w:trPr>
          <w:jc w:val="center"/>
        </w:trPr>
        <w:tc>
          <w:tcPr>
            <w:tcW w:w="4876" w:type="dxa"/>
          </w:tcPr>
          <w:p w14:paraId="28B84880" w14:textId="77777777" w:rsidR="00E2011F" w:rsidRPr="00B33F79" w:rsidRDefault="00E2011F" w:rsidP="007A2F98">
            <w:pPr>
              <w:pStyle w:val="Normal6"/>
              <w:rPr>
                <w:color w:val="0000FA"/>
              </w:rPr>
            </w:pPr>
          </w:p>
        </w:tc>
        <w:tc>
          <w:tcPr>
            <w:tcW w:w="4876" w:type="dxa"/>
          </w:tcPr>
          <w:p w14:paraId="40C22B2B" w14:textId="77777777" w:rsidR="00E2011F" w:rsidRPr="00B33F79" w:rsidRDefault="00E2011F" w:rsidP="00E2011F">
            <w:pPr>
              <w:pStyle w:val="Normal6"/>
              <w:rPr>
                <w:b/>
                <w:i/>
                <w:color w:val="000005"/>
              </w:rPr>
            </w:pPr>
            <w:r w:rsidRPr="00B33F79">
              <w:rPr>
                <w:b/>
                <w:i/>
                <w:color w:val="000005"/>
              </w:rPr>
              <w:t>––––––––––––––––––––––––––––––––––</w:t>
            </w:r>
          </w:p>
        </w:tc>
      </w:tr>
      <w:tr w:rsidR="00E2011F" w:rsidRPr="00B33F79" w14:paraId="3556BA44" w14:textId="77777777" w:rsidTr="007A2F98">
        <w:trPr>
          <w:jc w:val="center"/>
        </w:trPr>
        <w:tc>
          <w:tcPr>
            <w:tcW w:w="4876" w:type="dxa"/>
          </w:tcPr>
          <w:p w14:paraId="16EB31BB" w14:textId="77777777" w:rsidR="00E2011F" w:rsidRPr="00B33F79" w:rsidRDefault="00E2011F" w:rsidP="007A2F98">
            <w:pPr>
              <w:pStyle w:val="Normal6"/>
              <w:rPr>
                <w:color w:val="0000FA"/>
              </w:rPr>
            </w:pPr>
          </w:p>
        </w:tc>
        <w:tc>
          <w:tcPr>
            <w:tcW w:w="4876" w:type="dxa"/>
          </w:tcPr>
          <w:p w14:paraId="57DF874F" w14:textId="77777777" w:rsidR="00E2011F" w:rsidRPr="00B33F79" w:rsidRDefault="00E2011F" w:rsidP="00E2011F">
            <w:pPr>
              <w:pStyle w:val="Normal6"/>
              <w:rPr>
                <w:b/>
                <w:i/>
                <w:color w:val="000005"/>
              </w:rPr>
            </w:pPr>
            <w:r w:rsidRPr="00B33F79">
              <w:rPr>
                <w:b/>
                <w:i/>
                <w:color w:val="000005"/>
                <w:vertAlign w:val="superscript"/>
              </w:rPr>
              <w:t xml:space="preserve">1a </w:t>
            </w:r>
            <w:r w:rsidRPr="00B33F79">
              <w:rPr>
                <w:b/>
                <w:i/>
                <w:color w:val="000005"/>
              </w:rPr>
              <w:t>See: Skov T, Lynge E, Maarup B, et al. Risks for physicians handling antineoplastic drugs. Lancet. 1990;336:1446; S. Martin, The adverse health effects of occupational exposure to hazardous drugs, Community Oncology (2005), Volume 2, Issue 5, Pages 397-400;  Ratner PA, Spinelli JJ, Beking K, et al. Cancer incidence and adverse pregnancy outcome in registered nurses potentially exposed to antineoplastic drugs. BMC Nurs. 2010 9, Connor, Thomas H. et al. Reproductive Health Risks Associated with Occupational Exposures to Antineoplastic Drugs in Health Care Settings: A Review of the Evidence. Journal of occupational and environmental medicine / American College of Occupational and Environmental Medicine 56.9 (2014): 901–910. PMC.</w:t>
            </w:r>
          </w:p>
        </w:tc>
      </w:tr>
    </w:tbl>
    <w:p w14:paraId="5B349100" w14:textId="77777777" w:rsidR="00E2011F" w:rsidRPr="00B33F79" w:rsidRDefault="00E2011F"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{EN}</w:t>
      </w:r>
      <w:r w:rsidRPr="00B33F79">
        <w:rPr>
          <w:noProof w:val="0"/>
          <w:color w:val="0000F0"/>
          <w:szCs w:val="24"/>
        </w:rPr>
        <w:t>en</w:t>
      </w:r>
      <w:r w:rsidRPr="00B33F79">
        <w:rPr>
          <w:rStyle w:val="HideTWBExt"/>
          <w:noProof w:val="0"/>
        </w:rPr>
        <w:t>&lt;/Original&gt;</w:t>
      </w:r>
    </w:p>
    <w:p w14:paraId="0AABA616" w14:textId="77777777" w:rsidR="00E2011F" w:rsidRPr="00B33F79" w:rsidRDefault="00E2011F" w:rsidP="00E2011F">
      <w:pPr>
        <w:rPr>
          <w:szCs w:val="24"/>
        </w:rPr>
      </w:pPr>
      <w:r w:rsidRPr="00B33F79">
        <w:rPr>
          <w:rStyle w:val="HideTWBExt"/>
          <w:noProof w:val="0"/>
        </w:rPr>
        <w:t>&lt;/Amend&gt;</w:t>
      </w:r>
    </w:p>
    <w:p w14:paraId="760F61D8" w14:textId="1A868F5B" w:rsidR="00E2011F" w:rsidRPr="00B33F79" w:rsidRDefault="00E2011F" w:rsidP="00E2011F">
      <w:pPr>
        <w:pStyle w:val="AMNumberTabs"/>
        <w:keepNext/>
      </w:pPr>
      <w:r w:rsidRPr="00B33F79">
        <w:rPr>
          <w:rStyle w:val="HideTWBExt"/>
          <w:b w:val="0"/>
          <w:noProof w:val="0"/>
        </w:rPr>
        <w:lastRenderedPageBreak/>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7</w:t>
      </w:r>
      <w:r w:rsidRPr="00B33F79">
        <w:rPr>
          <w:rStyle w:val="HideTWBExt"/>
          <w:b w:val="0"/>
          <w:noProof w:val="0"/>
        </w:rPr>
        <w:t>&lt;/NumAm&gt;</w:t>
      </w:r>
    </w:p>
    <w:p w14:paraId="4729A317" w14:textId="77777777" w:rsidR="00E2011F" w:rsidRPr="00B33F79" w:rsidRDefault="00E2011F" w:rsidP="00E2011F">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23627A81" w14:textId="77777777" w:rsidR="00E2011F" w:rsidRPr="00B33F79" w:rsidRDefault="00E2011F" w:rsidP="00E2011F">
      <w:pPr>
        <w:pStyle w:val="NormalBold"/>
      </w:pPr>
      <w:r w:rsidRPr="00B33F79">
        <w:rPr>
          <w:rStyle w:val="HideTWBExt"/>
          <w:b w:val="0"/>
          <w:noProof w:val="0"/>
        </w:rPr>
        <w:t>&lt;Article&gt;</w:t>
      </w:r>
      <w:r w:rsidRPr="00B33F79">
        <w:rPr>
          <w:color w:val="0000EB"/>
        </w:rPr>
        <w:t>Recital 3 d (new)</w:t>
      </w:r>
      <w:r w:rsidRPr="00B33F7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011F" w:rsidRPr="00B33F79" w14:paraId="3D6F7DD1" w14:textId="77777777" w:rsidTr="00E2011F">
        <w:trPr>
          <w:jc w:val="center"/>
        </w:trPr>
        <w:tc>
          <w:tcPr>
            <w:tcW w:w="9752" w:type="dxa"/>
            <w:gridSpan w:val="2"/>
          </w:tcPr>
          <w:p w14:paraId="140275D7" w14:textId="77777777" w:rsidR="00E2011F" w:rsidRPr="00B33F79" w:rsidRDefault="00E2011F" w:rsidP="007A2F98">
            <w:pPr>
              <w:keepNext/>
            </w:pPr>
          </w:p>
        </w:tc>
      </w:tr>
      <w:tr w:rsidR="00E2011F" w:rsidRPr="00B33F79" w14:paraId="078DD13A" w14:textId="77777777" w:rsidTr="00E2011F">
        <w:trPr>
          <w:jc w:val="center"/>
        </w:trPr>
        <w:tc>
          <w:tcPr>
            <w:tcW w:w="4876" w:type="dxa"/>
            <w:hideMark/>
          </w:tcPr>
          <w:p w14:paraId="793A840D" w14:textId="77777777" w:rsidR="00E2011F" w:rsidRPr="00B33F79" w:rsidRDefault="00E2011F" w:rsidP="007A2F98">
            <w:pPr>
              <w:pStyle w:val="ColumnHeading"/>
              <w:keepNext/>
              <w:rPr>
                <w:color w:val="0000FA"/>
              </w:rPr>
            </w:pPr>
            <w:r w:rsidRPr="00B33F79">
              <w:rPr>
                <w:color w:val="0000FA"/>
              </w:rPr>
              <w:t>Text proposed by the Commission</w:t>
            </w:r>
          </w:p>
        </w:tc>
        <w:tc>
          <w:tcPr>
            <w:tcW w:w="4876" w:type="dxa"/>
            <w:hideMark/>
          </w:tcPr>
          <w:p w14:paraId="54E8F1B7" w14:textId="77777777" w:rsidR="00E2011F" w:rsidRPr="00B33F79" w:rsidRDefault="00E2011F" w:rsidP="007A2F98">
            <w:pPr>
              <w:pStyle w:val="ColumnHeading"/>
              <w:keepNext/>
              <w:rPr>
                <w:color w:val="0000F5"/>
              </w:rPr>
            </w:pPr>
            <w:r w:rsidRPr="00B33F79">
              <w:rPr>
                <w:color w:val="0000F5"/>
              </w:rPr>
              <w:t>Amendment</w:t>
            </w:r>
          </w:p>
        </w:tc>
      </w:tr>
      <w:tr w:rsidR="00E2011F" w:rsidRPr="00B33F79" w14:paraId="7147A686" w14:textId="77777777" w:rsidTr="00E2011F">
        <w:trPr>
          <w:jc w:val="center"/>
        </w:trPr>
        <w:tc>
          <w:tcPr>
            <w:tcW w:w="4876" w:type="dxa"/>
          </w:tcPr>
          <w:p w14:paraId="66A04614" w14:textId="77777777" w:rsidR="00E2011F" w:rsidRPr="00B33F79" w:rsidRDefault="00E2011F" w:rsidP="007A2F98">
            <w:pPr>
              <w:pStyle w:val="Normal6"/>
              <w:rPr>
                <w:color w:val="0000FA"/>
              </w:rPr>
            </w:pPr>
          </w:p>
        </w:tc>
        <w:tc>
          <w:tcPr>
            <w:tcW w:w="4876" w:type="dxa"/>
            <w:hideMark/>
          </w:tcPr>
          <w:p w14:paraId="2DAD6D52" w14:textId="00AF76EB" w:rsidR="00E2011F" w:rsidRPr="00B33F79" w:rsidRDefault="00E2011F" w:rsidP="00E2011F">
            <w:pPr>
              <w:pStyle w:val="Normal6"/>
              <w:rPr>
                <w:color w:val="000005"/>
                <w:szCs w:val="24"/>
              </w:rPr>
            </w:pPr>
            <w:r w:rsidRPr="00B33F79">
              <w:rPr>
                <w:b/>
                <w:i/>
                <w:color w:val="000005"/>
              </w:rPr>
              <w:t>(3d)</w:t>
            </w:r>
            <w:r w:rsidRPr="00B33F79">
              <w:rPr>
                <w:color w:val="000005"/>
              </w:rPr>
              <w:tab/>
            </w:r>
            <w:r w:rsidRPr="00B33F79">
              <w:rPr>
                <w:b/>
                <w:i/>
                <w:color w:val="000005"/>
              </w:rPr>
              <w:t>It is therefore important to protect workers exposed to carcinogenic or mutagenic substances resulting from the preparation, administration or disposal of hazardous drugs (including cytotoxic drugs), and work involving exposure to carcinogenic or mutagenic substances in cleaning, transport, laundry and waste disposal of hazardous drugs of materials contaminated by hazardous drugs and in personal care for patients under treatment of hazardous drugs. As a first step, the Commission has issued guidance to reduce occupational health and safety risks in the healthcare sector, including on the risk related to the exposure to cytotoxic drugs, in a dedicated guide to prevention and good practices. As a second step, work involving exposure to hazardous drugs (including cytotoxic drugs) which are carcinogenic should be included in Annex I to Directive 2004/37/EC;</w:t>
            </w:r>
          </w:p>
        </w:tc>
      </w:tr>
    </w:tbl>
    <w:p w14:paraId="64CC444F" w14:textId="77777777" w:rsidR="00E2011F" w:rsidRPr="00B33F79" w:rsidRDefault="00E2011F"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{EN}</w:t>
      </w:r>
      <w:r w:rsidRPr="00B33F79">
        <w:rPr>
          <w:noProof w:val="0"/>
          <w:color w:val="0000F0"/>
          <w:szCs w:val="24"/>
        </w:rPr>
        <w:t>en</w:t>
      </w:r>
      <w:r w:rsidRPr="00B33F79">
        <w:rPr>
          <w:rStyle w:val="HideTWBExt"/>
          <w:noProof w:val="0"/>
        </w:rPr>
        <w:t>&lt;/Original&gt;</w:t>
      </w:r>
    </w:p>
    <w:p w14:paraId="0B657E9E" w14:textId="77777777" w:rsidR="00E2011F" w:rsidRPr="00B33F79" w:rsidRDefault="00E2011F" w:rsidP="00E2011F">
      <w:pPr>
        <w:rPr>
          <w:szCs w:val="24"/>
        </w:rPr>
      </w:pPr>
      <w:r w:rsidRPr="00B33F79">
        <w:rPr>
          <w:rStyle w:val="HideTWBExt"/>
          <w:noProof w:val="0"/>
        </w:rPr>
        <w:t>&lt;/Amend&gt;</w:t>
      </w:r>
    </w:p>
    <w:p w14:paraId="4FB726CC" w14:textId="37365DC4" w:rsidR="00E2011F" w:rsidRPr="00B33F79" w:rsidRDefault="00E2011F" w:rsidP="00E2011F">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8</w:t>
      </w:r>
      <w:r w:rsidRPr="00B33F79">
        <w:rPr>
          <w:rStyle w:val="HideTWBExt"/>
          <w:b w:val="0"/>
          <w:noProof w:val="0"/>
        </w:rPr>
        <w:t>&lt;/NumAm&gt;</w:t>
      </w:r>
    </w:p>
    <w:p w14:paraId="4058512D" w14:textId="77777777" w:rsidR="00E2011F" w:rsidRPr="00B33F79" w:rsidRDefault="00E2011F" w:rsidP="00E2011F">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172F08DC" w14:textId="77777777" w:rsidR="00E2011F" w:rsidRPr="00B33F79" w:rsidRDefault="00E2011F" w:rsidP="00E2011F">
      <w:pPr>
        <w:pStyle w:val="NormalBold"/>
      </w:pPr>
      <w:r w:rsidRPr="00B33F79">
        <w:rPr>
          <w:rStyle w:val="HideTWBExt"/>
          <w:b w:val="0"/>
          <w:noProof w:val="0"/>
        </w:rPr>
        <w:t>&lt;Article&gt;</w:t>
      </w:r>
      <w:r w:rsidRPr="00B33F79">
        <w:rPr>
          <w:color w:val="0000EB"/>
        </w:rPr>
        <w:t>Recital 3 e (new)</w:t>
      </w:r>
      <w:r w:rsidRPr="00B33F7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011F" w:rsidRPr="00B33F79" w14:paraId="2ADE5435" w14:textId="77777777" w:rsidTr="007A2F98">
        <w:trPr>
          <w:jc w:val="center"/>
        </w:trPr>
        <w:tc>
          <w:tcPr>
            <w:tcW w:w="9752" w:type="dxa"/>
            <w:gridSpan w:val="2"/>
          </w:tcPr>
          <w:p w14:paraId="0273ADC7" w14:textId="77777777" w:rsidR="00E2011F" w:rsidRPr="00B33F79" w:rsidRDefault="00E2011F" w:rsidP="007A2F98">
            <w:pPr>
              <w:keepNext/>
            </w:pPr>
          </w:p>
        </w:tc>
      </w:tr>
      <w:tr w:rsidR="00E2011F" w:rsidRPr="00B33F79" w14:paraId="71584927" w14:textId="77777777" w:rsidTr="007A2F98">
        <w:trPr>
          <w:jc w:val="center"/>
        </w:trPr>
        <w:tc>
          <w:tcPr>
            <w:tcW w:w="4876" w:type="dxa"/>
            <w:hideMark/>
          </w:tcPr>
          <w:p w14:paraId="2E512F7A" w14:textId="77777777" w:rsidR="00E2011F" w:rsidRPr="00B33F79" w:rsidRDefault="00E2011F" w:rsidP="007A2F98">
            <w:pPr>
              <w:pStyle w:val="ColumnHeading"/>
              <w:keepNext/>
              <w:rPr>
                <w:color w:val="0000FA"/>
              </w:rPr>
            </w:pPr>
            <w:r w:rsidRPr="00B33F79">
              <w:rPr>
                <w:color w:val="0000FA"/>
              </w:rPr>
              <w:t>Text proposed by the Commission</w:t>
            </w:r>
          </w:p>
        </w:tc>
        <w:tc>
          <w:tcPr>
            <w:tcW w:w="4876" w:type="dxa"/>
            <w:hideMark/>
          </w:tcPr>
          <w:p w14:paraId="7B972AF7" w14:textId="77777777" w:rsidR="00E2011F" w:rsidRPr="00B33F79" w:rsidRDefault="00E2011F" w:rsidP="007A2F98">
            <w:pPr>
              <w:pStyle w:val="ColumnHeading"/>
              <w:keepNext/>
              <w:rPr>
                <w:color w:val="0000F5"/>
              </w:rPr>
            </w:pPr>
            <w:r w:rsidRPr="00B33F79">
              <w:rPr>
                <w:color w:val="0000F5"/>
              </w:rPr>
              <w:t>Amendment</w:t>
            </w:r>
          </w:p>
        </w:tc>
      </w:tr>
      <w:tr w:rsidR="00E2011F" w:rsidRPr="00B33F79" w14:paraId="45E77DA4" w14:textId="77777777" w:rsidTr="007A2F98">
        <w:trPr>
          <w:jc w:val="center"/>
        </w:trPr>
        <w:tc>
          <w:tcPr>
            <w:tcW w:w="4876" w:type="dxa"/>
          </w:tcPr>
          <w:p w14:paraId="62FB4E15" w14:textId="77777777" w:rsidR="00E2011F" w:rsidRPr="00B33F79" w:rsidRDefault="00E2011F" w:rsidP="007A2F98">
            <w:pPr>
              <w:pStyle w:val="Normal6"/>
              <w:rPr>
                <w:color w:val="0000FA"/>
              </w:rPr>
            </w:pPr>
          </w:p>
        </w:tc>
        <w:tc>
          <w:tcPr>
            <w:tcW w:w="4876" w:type="dxa"/>
            <w:hideMark/>
          </w:tcPr>
          <w:p w14:paraId="5DEF71A4" w14:textId="46EF4E4D" w:rsidR="00E2011F" w:rsidRPr="00B33F79" w:rsidRDefault="00E2011F" w:rsidP="000377F2">
            <w:pPr>
              <w:pStyle w:val="Normal6"/>
              <w:rPr>
                <w:color w:val="000005"/>
                <w:szCs w:val="24"/>
              </w:rPr>
            </w:pPr>
            <w:r w:rsidRPr="00B33F79">
              <w:rPr>
                <w:b/>
                <w:i/>
                <w:color w:val="000005"/>
              </w:rPr>
              <w:t>(3e)</w:t>
            </w:r>
            <w:r w:rsidRPr="00B33F79">
              <w:rPr>
                <w:color w:val="000005"/>
              </w:rPr>
              <w:tab/>
            </w:r>
            <w:r w:rsidRPr="00B33F79">
              <w:rPr>
                <w:b/>
                <w:i/>
                <w:color w:val="000005"/>
              </w:rPr>
              <w:t>When including the</w:t>
            </w:r>
            <w:r w:rsidRPr="00B33F79">
              <w:rPr>
                <w:color w:val="000005"/>
              </w:rPr>
              <w:t xml:space="preserve"> </w:t>
            </w:r>
            <w:r w:rsidRPr="00B33F79">
              <w:rPr>
                <w:b/>
                <w:i/>
                <w:color w:val="000005"/>
              </w:rPr>
              <w:t xml:space="preserve">work involving exposure to hazardous drugs (including cytotoxic drugs) which are cacinogenic in Annex I to Directive 2004/37/EC , it is also important to acknowledge the specificity of those substances, which are indispensable for </w:t>
            </w:r>
            <w:r w:rsidRPr="00B33F79">
              <w:rPr>
                <w:b/>
                <w:i/>
                <w:color w:val="000005"/>
              </w:rPr>
              <w:lastRenderedPageBreak/>
              <w:t>treating serious and often life-threatening diseases, and which have been saving the lives of millions patients across the Union. While - in accordance with article 168(1) TFEU-, access to the best available treatments for those patients should not be questionned or jeopardized, occupational safety of workers handling those drugs must be ensured. In particular, it is important to acknowledge that, in the case of hazardous drugs, elimination of the hazard or substitution with a less hazardous chemical is generally not feasible. Conversely, protective measures such as engineering controls (use of biological safety cabinets, isolators, or closed system transfer devices), administrative controls (training and education programs; availability of material safety data sheets; established work practices, policies, and surveillance), use of personal protective equipment (protective gloves, gowns, respiratory protection, eye protection, etc.) are effective measures which allow the safe handling of hazardous drugs.</w:t>
            </w:r>
          </w:p>
        </w:tc>
      </w:tr>
    </w:tbl>
    <w:p w14:paraId="5CCBC6FB" w14:textId="77777777" w:rsidR="00E2011F" w:rsidRPr="00B33F79" w:rsidRDefault="00E2011F" w:rsidP="003A5A4F">
      <w:pPr>
        <w:pStyle w:val="Olang"/>
        <w:rPr>
          <w:noProof w:val="0"/>
          <w:szCs w:val="24"/>
        </w:rPr>
      </w:pPr>
      <w:r w:rsidRPr="00B33F79">
        <w:rPr>
          <w:noProof w:val="0"/>
          <w:color w:val="0000F0"/>
          <w:szCs w:val="24"/>
        </w:rPr>
        <w:lastRenderedPageBreak/>
        <w:t xml:space="preserve">Or. </w:t>
      </w:r>
      <w:r w:rsidRPr="00B33F79">
        <w:rPr>
          <w:rStyle w:val="HideTWBExt"/>
          <w:noProof w:val="0"/>
        </w:rPr>
        <w:t>&lt;Original&gt;</w:t>
      </w:r>
      <w:r w:rsidRPr="00B33F79">
        <w:rPr>
          <w:rStyle w:val="HideTWBInt"/>
          <w:noProof w:val="0"/>
        </w:rPr>
        <w:t>{EN}</w:t>
      </w:r>
      <w:r w:rsidRPr="00B33F79">
        <w:rPr>
          <w:noProof w:val="0"/>
          <w:color w:val="0000F0"/>
          <w:szCs w:val="24"/>
        </w:rPr>
        <w:t>en</w:t>
      </w:r>
      <w:r w:rsidRPr="00B33F79">
        <w:rPr>
          <w:rStyle w:val="HideTWBExt"/>
          <w:noProof w:val="0"/>
        </w:rPr>
        <w:t>&lt;/Original&gt;</w:t>
      </w:r>
    </w:p>
    <w:p w14:paraId="109D7330" w14:textId="77777777" w:rsidR="00E2011F" w:rsidRPr="00B33F79" w:rsidRDefault="00E2011F" w:rsidP="00E2011F">
      <w:pPr>
        <w:rPr>
          <w:szCs w:val="24"/>
        </w:rPr>
      </w:pPr>
      <w:r w:rsidRPr="00B33F79">
        <w:rPr>
          <w:rStyle w:val="HideTWBExt"/>
          <w:noProof w:val="0"/>
        </w:rPr>
        <w:t>&lt;/Amend&gt;</w:t>
      </w:r>
    </w:p>
    <w:p w14:paraId="0358B06A" w14:textId="3BB7FB86" w:rsidR="00F30A91" w:rsidRPr="00B33F79" w:rsidRDefault="00F30A91" w:rsidP="00F30A9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9</w:t>
      </w:r>
      <w:r w:rsidRPr="00B33F79">
        <w:rPr>
          <w:rStyle w:val="HideTWBExt"/>
          <w:b w:val="0"/>
          <w:noProof w:val="0"/>
        </w:rPr>
        <w:t>&lt;/NumAm&gt;</w:t>
      </w:r>
    </w:p>
    <w:p w14:paraId="7C7479EB"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1B761B0B" w14:textId="77777777" w:rsidR="00F30A91" w:rsidRPr="00B33F79" w:rsidRDefault="00F30A91" w:rsidP="00F30A91">
      <w:pPr>
        <w:pStyle w:val="NormalBold"/>
      </w:pPr>
      <w:r w:rsidRPr="00B33F79">
        <w:rPr>
          <w:rStyle w:val="HideTWBExt"/>
          <w:b w:val="0"/>
          <w:noProof w:val="0"/>
        </w:rPr>
        <w:t>&lt;Article&gt;</w:t>
      </w:r>
      <w:r w:rsidRPr="00B33F79">
        <w:rPr>
          <w:color w:val="0000EB"/>
        </w:rPr>
        <w:t>Recital 5</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78D928BF" w14:textId="77777777" w:rsidTr="00F30A91">
        <w:trPr>
          <w:jc w:val="center"/>
        </w:trPr>
        <w:tc>
          <w:tcPr>
            <w:tcW w:w="9752" w:type="dxa"/>
            <w:gridSpan w:val="2"/>
          </w:tcPr>
          <w:p w14:paraId="1CF8336A" w14:textId="77777777" w:rsidR="00F30A91" w:rsidRPr="00B33F79" w:rsidRDefault="00F30A91">
            <w:pPr>
              <w:keepNext/>
            </w:pPr>
          </w:p>
        </w:tc>
      </w:tr>
      <w:tr w:rsidR="00F30A91" w:rsidRPr="00B33F79" w14:paraId="0A93BC3B" w14:textId="77777777" w:rsidTr="00F30A91">
        <w:trPr>
          <w:jc w:val="center"/>
        </w:trPr>
        <w:tc>
          <w:tcPr>
            <w:tcW w:w="4876" w:type="dxa"/>
            <w:hideMark/>
          </w:tcPr>
          <w:p w14:paraId="3DFD0CEA"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2FE54BA5" w14:textId="77777777" w:rsidR="00F30A91" w:rsidRPr="00B33F79" w:rsidRDefault="00F30A91">
            <w:pPr>
              <w:pStyle w:val="ColumnHeading"/>
              <w:keepNext/>
              <w:rPr>
                <w:color w:val="0000F5"/>
              </w:rPr>
            </w:pPr>
            <w:r w:rsidRPr="00B33F79">
              <w:rPr>
                <w:color w:val="0000F5"/>
              </w:rPr>
              <w:t>Amendment</w:t>
            </w:r>
          </w:p>
        </w:tc>
      </w:tr>
      <w:tr w:rsidR="00F30A91" w:rsidRPr="00B33F79" w14:paraId="41DA4C79" w14:textId="77777777" w:rsidTr="00F30A91">
        <w:trPr>
          <w:jc w:val="center"/>
        </w:trPr>
        <w:tc>
          <w:tcPr>
            <w:tcW w:w="4876" w:type="dxa"/>
            <w:hideMark/>
          </w:tcPr>
          <w:p w14:paraId="60A8DB41" w14:textId="77777777" w:rsidR="00F30A91" w:rsidRPr="00B33F79" w:rsidRDefault="00F30A91">
            <w:pPr>
              <w:pStyle w:val="Normal6"/>
              <w:rPr>
                <w:color w:val="0000FA"/>
              </w:rPr>
            </w:pPr>
            <w:r w:rsidRPr="00B33F79">
              <w:rPr>
                <w:color w:val="0000FA"/>
              </w:rPr>
              <w:t>(5)</w:t>
            </w:r>
            <w:r w:rsidRPr="00B33F79">
              <w:rPr>
                <w:color w:val="0000FA"/>
              </w:rPr>
              <w:tab/>
              <w:t>Maximum levels for the exposure of workers to some carcinogens or mutagens are established by values which, pursuant to Directive 2004/37/EC, must not be exceeded.</w:t>
            </w:r>
          </w:p>
        </w:tc>
        <w:tc>
          <w:tcPr>
            <w:tcW w:w="4876" w:type="dxa"/>
            <w:hideMark/>
          </w:tcPr>
          <w:p w14:paraId="48F032D1" w14:textId="78C8EE98" w:rsidR="00F30A91" w:rsidRPr="00B33F79" w:rsidRDefault="00F30A91" w:rsidP="00E31E8E">
            <w:pPr>
              <w:pStyle w:val="Normal6"/>
              <w:rPr>
                <w:color w:val="000005"/>
                <w:szCs w:val="24"/>
              </w:rPr>
            </w:pPr>
            <w:r w:rsidRPr="00B33F79">
              <w:rPr>
                <w:color w:val="000005"/>
              </w:rPr>
              <w:t>(5)</w:t>
            </w:r>
            <w:r w:rsidRPr="00B33F79">
              <w:rPr>
                <w:color w:val="000005"/>
              </w:rPr>
              <w:tab/>
              <w:t xml:space="preserve">Maximum levels for the exposure of workers to some carcinogens or mutagens are established by values which, pursuant to Directive 2004/37/EC, must not be exceeded. </w:t>
            </w:r>
            <w:r w:rsidRPr="00B33F79">
              <w:rPr>
                <w:b/>
                <w:i/>
                <w:color w:val="000005"/>
              </w:rPr>
              <w:t xml:space="preserve">These limit values are expressed, wherever possible, in the form of recognised scientific measurements such as: TLV-TWA (time-weighted average), expressing the limit concentration (weighted average) to which all workers may be exposed, for </w:t>
            </w:r>
            <w:r w:rsidRPr="00B33F79">
              <w:rPr>
                <w:b/>
                <w:i/>
                <w:color w:val="000005"/>
              </w:rPr>
              <w:lastRenderedPageBreak/>
              <w:t>eight hours per day and a maximum of 40 hours a week for the entire duration of working life, without adverse health effects; TLV-STEL (short-term exposure limit), which is the maximum value allowed for short exposures (no more than 15 minutes), which must be occasional and not exceed four exposures within 24 hours, spaced at least one hour apart; or, if necessary, in terms of TLV-C (ceiling), which is the concentration that must not be exceeded at any time during exposure at work.</w:t>
            </w:r>
          </w:p>
        </w:tc>
      </w:tr>
    </w:tbl>
    <w:p w14:paraId="6EB4A1E9" w14:textId="77777777" w:rsidR="00F30A91" w:rsidRPr="00B33F79" w:rsidRDefault="00F30A91" w:rsidP="003A5A4F">
      <w:pPr>
        <w:pStyle w:val="Olang"/>
        <w:rPr>
          <w:noProof w:val="0"/>
          <w:szCs w:val="24"/>
        </w:rPr>
      </w:pPr>
      <w:r w:rsidRPr="00B33F79">
        <w:rPr>
          <w:noProof w:val="0"/>
          <w:color w:val="0000F0"/>
          <w:szCs w:val="24"/>
        </w:rPr>
        <w:lastRenderedPageBreak/>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22B44D53" w14:textId="77777777" w:rsidR="00F30A91" w:rsidRPr="00B33F79" w:rsidRDefault="00F30A91" w:rsidP="00F30A91">
      <w:pPr>
        <w:rPr>
          <w:szCs w:val="24"/>
        </w:rPr>
      </w:pPr>
      <w:r w:rsidRPr="00B33F79">
        <w:rPr>
          <w:rStyle w:val="HideTWBExt"/>
          <w:noProof w:val="0"/>
        </w:rPr>
        <w:t>&lt;/Amend&gt;</w:t>
      </w:r>
    </w:p>
    <w:p w14:paraId="7A072F5B" w14:textId="1C391CEC" w:rsidR="00F30A91" w:rsidRPr="00B33F79" w:rsidRDefault="00F30A91" w:rsidP="00F30A9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10</w:t>
      </w:r>
      <w:r w:rsidRPr="00B33F79">
        <w:rPr>
          <w:rStyle w:val="HideTWBExt"/>
          <w:b w:val="0"/>
          <w:noProof w:val="0"/>
        </w:rPr>
        <w:t>&lt;/NumAm&gt;</w:t>
      </w:r>
    </w:p>
    <w:p w14:paraId="00B0BDD5"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176F4CF4" w14:textId="77777777" w:rsidR="00F30A91" w:rsidRPr="00B33F79" w:rsidRDefault="00F30A91" w:rsidP="00F30A91">
      <w:pPr>
        <w:pStyle w:val="NormalBold"/>
      </w:pPr>
      <w:r w:rsidRPr="00B33F79">
        <w:rPr>
          <w:rStyle w:val="HideTWBExt"/>
          <w:b w:val="0"/>
          <w:noProof w:val="0"/>
        </w:rPr>
        <w:t>&lt;Article&gt;</w:t>
      </w:r>
      <w:r w:rsidRPr="00B33F79">
        <w:rPr>
          <w:color w:val="0000EB"/>
        </w:rPr>
        <w:t>Recital 6</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1259D2E5" w14:textId="77777777" w:rsidTr="00F30A91">
        <w:trPr>
          <w:jc w:val="center"/>
        </w:trPr>
        <w:tc>
          <w:tcPr>
            <w:tcW w:w="9752" w:type="dxa"/>
            <w:gridSpan w:val="2"/>
          </w:tcPr>
          <w:p w14:paraId="23E7E571" w14:textId="77777777" w:rsidR="00F30A91" w:rsidRPr="00B33F79" w:rsidRDefault="00F30A91">
            <w:pPr>
              <w:keepNext/>
            </w:pPr>
          </w:p>
        </w:tc>
      </w:tr>
      <w:tr w:rsidR="00F30A91" w:rsidRPr="00B33F79" w14:paraId="2F6C2B84" w14:textId="77777777" w:rsidTr="00F30A91">
        <w:trPr>
          <w:jc w:val="center"/>
        </w:trPr>
        <w:tc>
          <w:tcPr>
            <w:tcW w:w="4876" w:type="dxa"/>
            <w:hideMark/>
          </w:tcPr>
          <w:p w14:paraId="1AFC44D1"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5AE8C8CC" w14:textId="77777777" w:rsidR="00F30A91" w:rsidRPr="00B33F79" w:rsidRDefault="00F30A91">
            <w:pPr>
              <w:pStyle w:val="ColumnHeading"/>
              <w:keepNext/>
              <w:rPr>
                <w:color w:val="0000F5"/>
              </w:rPr>
            </w:pPr>
            <w:r w:rsidRPr="00B33F79">
              <w:rPr>
                <w:color w:val="0000F5"/>
              </w:rPr>
              <w:t>Amendment</w:t>
            </w:r>
          </w:p>
        </w:tc>
      </w:tr>
      <w:tr w:rsidR="00F30A91" w:rsidRPr="00B33F79" w14:paraId="1E45CA2C" w14:textId="77777777" w:rsidTr="00F30A91">
        <w:trPr>
          <w:jc w:val="center"/>
        </w:trPr>
        <w:tc>
          <w:tcPr>
            <w:tcW w:w="4876" w:type="dxa"/>
            <w:hideMark/>
          </w:tcPr>
          <w:p w14:paraId="63CE2A3D" w14:textId="77777777" w:rsidR="00F30A91" w:rsidRPr="00B33F79" w:rsidRDefault="00F30A91">
            <w:pPr>
              <w:pStyle w:val="Normal6"/>
              <w:rPr>
                <w:color w:val="0000FA"/>
              </w:rPr>
            </w:pPr>
            <w:r w:rsidRPr="00B33F79">
              <w:rPr>
                <w:color w:val="0000FA"/>
              </w:rPr>
              <w:t>(6)</w:t>
            </w:r>
            <w:r w:rsidRPr="00B33F79">
              <w:rPr>
                <w:color w:val="0000FA"/>
              </w:rPr>
              <w:tab/>
              <w:t xml:space="preserve">This Directive strengthens the protection of workers’ health and safety at their workplace. New limit values should be set out in Directive 2004/37/EC in the light of available information, including new scientific and technical data and evidence-based best practices, techniques and protocols for exposure level measurement at the workplace. That information should, if possible, include data on residual risks to the health of workers, recommendations of the Scientific Committee on Occupational Exposure Limits (SCOEL) and opinions of the Committee for Risk Assessment (RAC) of the European Chemicals Agency (ECHA), as well as opinions of the Advisory Committee on Safety and Health at Work (ACSH). Information related to residual risk, made publicly available at Union level, is valuable for any future work to limit risks from occupational exposure to carcinogens and mutagens. Transparency of such information should </w:t>
            </w:r>
            <w:r w:rsidRPr="00B33F79">
              <w:rPr>
                <w:b/>
                <w:i/>
                <w:color w:val="0000FA"/>
              </w:rPr>
              <w:t xml:space="preserve">be further </w:t>
            </w:r>
            <w:r w:rsidRPr="00B33F79">
              <w:rPr>
                <w:b/>
                <w:i/>
                <w:color w:val="0000FA"/>
              </w:rPr>
              <w:lastRenderedPageBreak/>
              <w:t>encouraged</w:t>
            </w:r>
            <w:r w:rsidRPr="00B33F79">
              <w:rPr>
                <w:color w:val="0000FA"/>
              </w:rPr>
              <w:t>.</w:t>
            </w:r>
          </w:p>
        </w:tc>
        <w:tc>
          <w:tcPr>
            <w:tcW w:w="4876" w:type="dxa"/>
            <w:hideMark/>
          </w:tcPr>
          <w:p w14:paraId="77374458" w14:textId="77777777" w:rsidR="00F30A91" w:rsidRPr="00B33F79" w:rsidRDefault="00F30A91">
            <w:pPr>
              <w:pStyle w:val="Normal6"/>
              <w:rPr>
                <w:color w:val="000005"/>
                <w:szCs w:val="24"/>
              </w:rPr>
            </w:pPr>
            <w:r w:rsidRPr="00B33F79">
              <w:rPr>
                <w:color w:val="000005"/>
              </w:rPr>
              <w:lastRenderedPageBreak/>
              <w:t>(6)</w:t>
            </w:r>
            <w:r w:rsidRPr="00B33F79">
              <w:rPr>
                <w:color w:val="000005"/>
              </w:rPr>
              <w:tab/>
              <w:t xml:space="preserve">This Directive strengthens the protection of workers’ health and safety at their workplace. New limit values should be set out in Directive 2004/37/EC in the light of available information, including new scientific and technical data and evidence-based best practices, techniques and protocols for exposure level measurement at the workplace. That information should, if possible, include data on residual risks to the health of workers, recommendations of the Scientific Committee on Occupational Exposure Limits (SCOEL) and opinions of the Committee for Risk Assessment (RAC) of the European Chemicals Agency (ECHA), as well as opinions of the Advisory Committee on Safety and Health at Work (ACSH). Information related to residual risk, made publicly available at Union level, is valuable for any future work to limit risks from occupational exposure to carcinogens and mutagens. Transparency of such information should </w:t>
            </w:r>
            <w:r w:rsidRPr="00B33F79">
              <w:rPr>
                <w:b/>
                <w:i/>
                <w:color w:val="000005"/>
              </w:rPr>
              <w:t xml:space="preserve">always be </w:t>
            </w:r>
            <w:r w:rsidRPr="00B33F79">
              <w:rPr>
                <w:b/>
                <w:i/>
                <w:color w:val="000005"/>
              </w:rPr>
              <w:lastRenderedPageBreak/>
              <w:t>ensured</w:t>
            </w:r>
            <w:r w:rsidRPr="00B33F79">
              <w:rPr>
                <w:color w:val="000005"/>
              </w:rPr>
              <w:t>.</w:t>
            </w:r>
          </w:p>
        </w:tc>
      </w:tr>
    </w:tbl>
    <w:p w14:paraId="7669CA87" w14:textId="77777777" w:rsidR="00F30A91" w:rsidRPr="00B33F79" w:rsidRDefault="00F30A91" w:rsidP="003A5A4F">
      <w:pPr>
        <w:pStyle w:val="Olang"/>
        <w:rPr>
          <w:noProof w:val="0"/>
          <w:szCs w:val="24"/>
        </w:rPr>
      </w:pPr>
      <w:r w:rsidRPr="00B33F79">
        <w:rPr>
          <w:noProof w:val="0"/>
          <w:color w:val="0000F0"/>
          <w:szCs w:val="24"/>
        </w:rPr>
        <w:lastRenderedPageBreak/>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538BA75C" w14:textId="77777777" w:rsidR="00F30A91" w:rsidRPr="00B33F79" w:rsidRDefault="00F30A91" w:rsidP="00F30A91">
      <w:pPr>
        <w:rPr>
          <w:szCs w:val="24"/>
        </w:rPr>
      </w:pPr>
      <w:r w:rsidRPr="00B33F79">
        <w:rPr>
          <w:rStyle w:val="HideTWBExt"/>
          <w:noProof w:val="0"/>
        </w:rPr>
        <w:t>&lt;/Amend&gt;</w:t>
      </w:r>
    </w:p>
    <w:p w14:paraId="2FA05A40" w14:textId="56174A06" w:rsidR="00F30A91" w:rsidRPr="00B33F79" w:rsidRDefault="00F30A91" w:rsidP="00F30A9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11</w:t>
      </w:r>
      <w:r w:rsidRPr="00B33F79">
        <w:rPr>
          <w:rStyle w:val="HideTWBExt"/>
          <w:b w:val="0"/>
          <w:noProof w:val="0"/>
        </w:rPr>
        <w:t>&lt;/NumAm&gt;</w:t>
      </w:r>
    </w:p>
    <w:p w14:paraId="35B31D52"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3378A4FD" w14:textId="77777777" w:rsidR="00F30A91" w:rsidRPr="00B33F79" w:rsidRDefault="00F30A91" w:rsidP="00F30A91">
      <w:pPr>
        <w:pStyle w:val="NormalBold"/>
      </w:pPr>
      <w:r w:rsidRPr="00B33F79">
        <w:rPr>
          <w:rStyle w:val="HideTWBExt"/>
          <w:b w:val="0"/>
          <w:noProof w:val="0"/>
        </w:rPr>
        <w:t>&lt;Article&gt;</w:t>
      </w:r>
      <w:r w:rsidRPr="00B33F79">
        <w:rPr>
          <w:color w:val="0000EB"/>
        </w:rPr>
        <w:t>Recital 13</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5817C36F" w14:textId="77777777" w:rsidTr="00F30A91">
        <w:trPr>
          <w:jc w:val="center"/>
        </w:trPr>
        <w:tc>
          <w:tcPr>
            <w:tcW w:w="9752" w:type="dxa"/>
            <w:gridSpan w:val="2"/>
          </w:tcPr>
          <w:p w14:paraId="365E3B5A" w14:textId="77777777" w:rsidR="00F30A91" w:rsidRPr="00B33F79" w:rsidRDefault="00F30A91">
            <w:pPr>
              <w:keepNext/>
            </w:pPr>
          </w:p>
        </w:tc>
      </w:tr>
      <w:tr w:rsidR="00F30A91" w:rsidRPr="00B33F79" w14:paraId="0089599A" w14:textId="77777777" w:rsidTr="00F30A91">
        <w:trPr>
          <w:jc w:val="center"/>
        </w:trPr>
        <w:tc>
          <w:tcPr>
            <w:tcW w:w="4876" w:type="dxa"/>
            <w:hideMark/>
          </w:tcPr>
          <w:p w14:paraId="22B16E11"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0BD83581" w14:textId="77777777" w:rsidR="00F30A91" w:rsidRPr="00B33F79" w:rsidRDefault="00F30A91">
            <w:pPr>
              <w:pStyle w:val="ColumnHeading"/>
              <w:keepNext/>
              <w:rPr>
                <w:color w:val="0000F5"/>
              </w:rPr>
            </w:pPr>
            <w:r w:rsidRPr="00B33F79">
              <w:rPr>
                <w:color w:val="0000F5"/>
              </w:rPr>
              <w:t>Amendment</w:t>
            </w:r>
          </w:p>
        </w:tc>
      </w:tr>
      <w:tr w:rsidR="00F30A91" w:rsidRPr="00B33F79" w14:paraId="6C8CA9CC" w14:textId="77777777" w:rsidTr="00F30A91">
        <w:trPr>
          <w:jc w:val="center"/>
        </w:trPr>
        <w:tc>
          <w:tcPr>
            <w:tcW w:w="4876" w:type="dxa"/>
            <w:hideMark/>
          </w:tcPr>
          <w:p w14:paraId="303F2437" w14:textId="77777777" w:rsidR="00F30A91" w:rsidRPr="00B33F79" w:rsidRDefault="00F30A91">
            <w:pPr>
              <w:pStyle w:val="Normal6"/>
              <w:rPr>
                <w:color w:val="0000FA"/>
              </w:rPr>
            </w:pPr>
            <w:r w:rsidRPr="00B33F79">
              <w:rPr>
                <w:color w:val="0000FA"/>
              </w:rPr>
              <w:t>(13)</w:t>
            </w:r>
            <w:r w:rsidRPr="00B33F79">
              <w:rPr>
                <w:color w:val="0000FA"/>
              </w:rPr>
              <w:tab/>
              <w:t>Beryllium and most inorganic beryllium compounds meet the criteria for classification as carcinogenic (category 1B) in accordance with Regulation (EC) No 1272/2008 and are therefore carcinogens within the meaning of Directive 2004/37/EC. In addition to carcinogenic properties beryllium is known to provoke chronic beryllium disease (CBD) and beryllium sensitisation (BeS). It is possible, on the basis of the available information, including scientific and technical data, to set a limit value for that group of carcinogens. It is therefore appropriate to establish a limit value for beryllium and inorganic beryllium compounds under the scope of Directive2004/37/EC and to assign a notation for skin and respiratory sensitisation.</w:t>
            </w:r>
          </w:p>
        </w:tc>
        <w:tc>
          <w:tcPr>
            <w:tcW w:w="4876" w:type="dxa"/>
            <w:hideMark/>
          </w:tcPr>
          <w:p w14:paraId="015D1F76" w14:textId="37166AE2" w:rsidR="00F30A91" w:rsidRPr="00B33F79" w:rsidRDefault="00F30A91">
            <w:pPr>
              <w:pStyle w:val="Normal6"/>
              <w:rPr>
                <w:color w:val="000005"/>
                <w:szCs w:val="24"/>
              </w:rPr>
            </w:pPr>
            <w:r w:rsidRPr="00B33F79">
              <w:rPr>
                <w:color w:val="000005"/>
              </w:rPr>
              <w:t>(13)</w:t>
            </w:r>
            <w:r w:rsidRPr="00B33F79">
              <w:rPr>
                <w:color w:val="000005"/>
              </w:rPr>
              <w:tab/>
              <w:t xml:space="preserve">Beryllium and most inorganic beryllium compounds meet the criteria for classification as carcinogenic (category 1B) in accordance with Regulation (EC) No 1272/2008 and are therefore carcinogens within the meaning of Directive 2004/37/EC. In addition to carcinogenic properties beryllium is known to provoke chronic beryllium disease (CBD) and beryllium sensitisation (BeS). </w:t>
            </w:r>
            <w:r w:rsidRPr="00B33F79">
              <w:rPr>
                <w:b/>
                <w:i/>
                <w:color w:val="000005"/>
              </w:rPr>
              <w:t>The International Agency for Research on Cancer has designated beryllium and its compounds as carcinogens (category 1A).</w:t>
            </w:r>
            <w:r w:rsidRPr="00B33F79">
              <w:rPr>
                <w:color w:val="000005"/>
              </w:rPr>
              <w:t xml:space="preserve"> It is possible, on the basis of the available information, including scientific and technical data, to set a limit value for that group of carcinogens. It is therefore appropriate to establish a limit value for beryllium and inorganic beryllium compounds under the scope of Directive2004/37/EC and to assign a notation for skin and respiratory sensitisation.</w:t>
            </w:r>
          </w:p>
        </w:tc>
      </w:tr>
    </w:tbl>
    <w:p w14:paraId="6B5AFAF2" w14:textId="77777777" w:rsidR="00F30A91" w:rsidRPr="00B33F79" w:rsidRDefault="00F30A91"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1C59FF0A" w14:textId="77777777" w:rsidR="00F30A91" w:rsidRPr="00B33F79" w:rsidRDefault="00F30A91" w:rsidP="00F30A91">
      <w:pPr>
        <w:rPr>
          <w:szCs w:val="24"/>
        </w:rPr>
      </w:pPr>
      <w:r w:rsidRPr="00B33F79">
        <w:rPr>
          <w:rStyle w:val="HideTWBExt"/>
          <w:noProof w:val="0"/>
        </w:rPr>
        <w:t>&lt;/Amend&gt;</w:t>
      </w:r>
    </w:p>
    <w:p w14:paraId="4399F67A" w14:textId="567F9C2C" w:rsidR="00F30A91" w:rsidRPr="00B33F79" w:rsidRDefault="00F30A91" w:rsidP="00F30A9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12</w:t>
      </w:r>
      <w:r w:rsidRPr="00B33F79">
        <w:rPr>
          <w:rStyle w:val="HideTWBExt"/>
          <w:b w:val="0"/>
          <w:noProof w:val="0"/>
        </w:rPr>
        <w:t>&lt;/NumAm&gt;</w:t>
      </w:r>
    </w:p>
    <w:p w14:paraId="049189FB"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5E6705A0" w14:textId="77777777" w:rsidR="00F30A91" w:rsidRPr="00B33F79" w:rsidRDefault="00F30A91" w:rsidP="00F30A91">
      <w:pPr>
        <w:pStyle w:val="NormalBold"/>
      </w:pPr>
      <w:r w:rsidRPr="00B33F79">
        <w:rPr>
          <w:rStyle w:val="HideTWBExt"/>
          <w:b w:val="0"/>
          <w:noProof w:val="0"/>
        </w:rPr>
        <w:t>&lt;Article&gt;</w:t>
      </w:r>
      <w:r w:rsidRPr="00B33F79">
        <w:rPr>
          <w:color w:val="0000EB"/>
        </w:rPr>
        <w:t>Recital 14</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56FCCEF6" w14:textId="77777777" w:rsidTr="00F30A91">
        <w:trPr>
          <w:jc w:val="center"/>
        </w:trPr>
        <w:tc>
          <w:tcPr>
            <w:tcW w:w="9752" w:type="dxa"/>
            <w:gridSpan w:val="2"/>
          </w:tcPr>
          <w:p w14:paraId="314FA1BE" w14:textId="77777777" w:rsidR="00F30A91" w:rsidRPr="00B33F79" w:rsidRDefault="00F30A91">
            <w:pPr>
              <w:keepNext/>
            </w:pPr>
          </w:p>
        </w:tc>
      </w:tr>
      <w:tr w:rsidR="00F30A91" w:rsidRPr="00B33F79" w14:paraId="1315307D" w14:textId="77777777" w:rsidTr="00F30A91">
        <w:trPr>
          <w:jc w:val="center"/>
        </w:trPr>
        <w:tc>
          <w:tcPr>
            <w:tcW w:w="4876" w:type="dxa"/>
            <w:hideMark/>
          </w:tcPr>
          <w:p w14:paraId="3B9CA482"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035FF3B6" w14:textId="77777777" w:rsidR="00F30A91" w:rsidRPr="00B33F79" w:rsidRDefault="00F30A91">
            <w:pPr>
              <w:pStyle w:val="ColumnHeading"/>
              <w:keepNext/>
              <w:rPr>
                <w:color w:val="0000F5"/>
              </w:rPr>
            </w:pPr>
            <w:r w:rsidRPr="00B33F79">
              <w:rPr>
                <w:color w:val="0000F5"/>
              </w:rPr>
              <w:t>Amendment</w:t>
            </w:r>
          </w:p>
        </w:tc>
      </w:tr>
      <w:tr w:rsidR="00F30A91" w:rsidRPr="00B33F79" w14:paraId="683EE2F9" w14:textId="77777777" w:rsidTr="00F30A91">
        <w:trPr>
          <w:jc w:val="center"/>
        </w:trPr>
        <w:tc>
          <w:tcPr>
            <w:tcW w:w="4876" w:type="dxa"/>
            <w:hideMark/>
          </w:tcPr>
          <w:p w14:paraId="2EF1D4B2" w14:textId="77777777" w:rsidR="00F30A91" w:rsidRPr="00B33F79" w:rsidRDefault="00F30A91">
            <w:pPr>
              <w:pStyle w:val="Normal6"/>
              <w:rPr>
                <w:color w:val="0000FA"/>
              </w:rPr>
            </w:pPr>
            <w:r w:rsidRPr="00B33F79">
              <w:rPr>
                <w:color w:val="0000FA"/>
              </w:rPr>
              <w:t>(14)</w:t>
            </w:r>
            <w:r w:rsidRPr="00B33F79">
              <w:rPr>
                <w:color w:val="0000FA"/>
              </w:rPr>
              <w:tab/>
              <w:t xml:space="preserve">With regard to beryllium, a limit </w:t>
            </w:r>
            <w:r w:rsidRPr="00B33F79">
              <w:rPr>
                <w:color w:val="0000FA"/>
              </w:rPr>
              <w:lastRenderedPageBreak/>
              <w:t>value of 0,0002 mg/m</w:t>
            </w:r>
            <w:r w:rsidRPr="00B33F79">
              <w:rPr>
                <w:color w:val="0000FA"/>
                <w:vertAlign w:val="superscript"/>
              </w:rPr>
              <w:t>3</w:t>
            </w:r>
            <w:r w:rsidRPr="00B33F79">
              <w:rPr>
                <w:color w:val="0000FA"/>
              </w:rPr>
              <w:t xml:space="preserve"> may be difficult to be complied with in some sectors in the short term. A transitional period of </w:t>
            </w:r>
            <w:r w:rsidRPr="00B33F79">
              <w:rPr>
                <w:b/>
                <w:i/>
                <w:color w:val="0000FA"/>
              </w:rPr>
              <w:t>five</w:t>
            </w:r>
            <w:r w:rsidRPr="00B33F79">
              <w:rPr>
                <w:color w:val="0000FA"/>
              </w:rPr>
              <w:t xml:space="preserve"> years should therefore be introduced during which the limit value of 0,0006 mg/m</w:t>
            </w:r>
            <w:r w:rsidRPr="00B33F79">
              <w:rPr>
                <w:color w:val="0000FA"/>
                <w:vertAlign w:val="superscript"/>
              </w:rPr>
              <w:t>3</w:t>
            </w:r>
            <w:r w:rsidRPr="00B33F79">
              <w:rPr>
                <w:color w:val="0000FA"/>
              </w:rPr>
              <w:t>should apply.</w:t>
            </w:r>
          </w:p>
        </w:tc>
        <w:tc>
          <w:tcPr>
            <w:tcW w:w="4876" w:type="dxa"/>
            <w:hideMark/>
          </w:tcPr>
          <w:p w14:paraId="0E798DBA" w14:textId="77777777" w:rsidR="00F30A91" w:rsidRPr="00B33F79" w:rsidRDefault="00F30A91">
            <w:pPr>
              <w:pStyle w:val="Normal6"/>
              <w:rPr>
                <w:color w:val="000005"/>
                <w:szCs w:val="24"/>
              </w:rPr>
            </w:pPr>
            <w:r w:rsidRPr="00B33F79">
              <w:rPr>
                <w:color w:val="000005"/>
              </w:rPr>
              <w:lastRenderedPageBreak/>
              <w:t>(14)</w:t>
            </w:r>
            <w:r w:rsidRPr="00B33F79">
              <w:rPr>
                <w:color w:val="000005"/>
              </w:rPr>
              <w:tab/>
              <w:t xml:space="preserve">With regard to beryllium, a limit </w:t>
            </w:r>
            <w:r w:rsidRPr="00B33F79">
              <w:rPr>
                <w:color w:val="000005"/>
              </w:rPr>
              <w:lastRenderedPageBreak/>
              <w:t>value of 0,0002 mg/m</w:t>
            </w:r>
            <w:r w:rsidRPr="00B33F79">
              <w:rPr>
                <w:color w:val="000005"/>
                <w:vertAlign w:val="superscript"/>
              </w:rPr>
              <w:t>3</w:t>
            </w:r>
            <w:r w:rsidRPr="00B33F79">
              <w:rPr>
                <w:color w:val="000005"/>
              </w:rPr>
              <w:t xml:space="preserve"> may be difficult to be complied with in some sectors in the short term. A transitional period of </w:t>
            </w:r>
            <w:r w:rsidRPr="00B33F79">
              <w:rPr>
                <w:b/>
                <w:i/>
                <w:color w:val="000005"/>
              </w:rPr>
              <w:t>seven</w:t>
            </w:r>
            <w:r w:rsidRPr="00B33F79">
              <w:rPr>
                <w:color w:val="000005"/>
              </w:rPr>
              <w:t xml:space="preserve"> years should therefore be introduced during which the limit value 0,0006 mg/m3 should apply. </w:t>
            </w:r>
            <w:r w:rsidRPr="00B33F79">
              <w:rPr>
                <w:b/>
                <w:i/>
                <w:color w:val="000005"/>
              </w:rPr>
              <w:t>It will be possible to reduce exposure by means of systems to monitor the area and in particular by means of rotation systems for planned work processes, where possible reducing the production of fumes and performing processes by means of machinery which enables people to work in a less contaminated environment. Member States should also make arrangements for periodic preventive checks to ascertain workers’ predisposition to chronic beryllium disease.</w:t>
            </w:r>
          </w:p>
        </w:tc>
      </w:tr>
    </w:tbl>
    <w:p w14:paraId="4F965275" w14:textId="77777777" w:rsidR="00F30A91" w:rsidRPr="00B33F79" w:rsidRDefault="00F30A91" w:rsidP="003A5A4F">
      <w:pPr>
        <w:pStyle w:val="Olang"/>
        <w:rPr>
          <w:noProof w:val="0"/>
          <w:szCs w:val="24"/>
        </w:rPr>
      </w:pPr>
      <w:r w:rsidRPr="00B33F79">
        <w:rPr>
          <w:noProof w:val="0"/>
          <w:color w:val="0000F0"/>
          <w:szCs w:val="24"/>
        </w:rPr>
        <w:lastRenderedPageBreak/>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54E630D6" w14:textId="77777777" w:rsidR="00F30A91" w:rsidRPr="00B33F79" w:rsidRDefault="00F30A91" w:rsidP="00F30A91">
      <w:pPr>
        <w:rPr>
          <w:szCs w:val="24"/>
        </w:rPr>
      </w:pPr>
      <w:r w:rsidRPr="00B33F79">
        <w:rPr>
          <w:rStyle w:val="HideTWBExt"/>
          <w:noProof w:val="0"/>
        </w:rPr>
        <w:t>&lt;/Amend&gt;</w:t>
      </w:r>
    </w:p>
    <w:p w14:paraId="1DEC75E2" w14:textId="78973593" w:rsidR="00F30A91" w:rsidRPr="00B33F79" w:rsidRDefault="00F30A91" w:rsidP="00F30A9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13</w:t>
      </w:r>
      <w:r w:rsidRPr="00B33F79">
        <w:rPr>
          <w:rStyle w:val="HideTWBExt"/>
          <w:b w:val="0"/>
          <w:noProof w:val="0"/>
        </w:rPr>
        <w:t>&lt;/NumAm&gt;</w:t>
      </w:r>
    </w:p>
    <w:p w14:paraId="13732769"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43BBA57C" w14:textId="77777777" w:rsidR="00F30A91" w:rsidRPr="00B33F79" w:rsidRDefault="00F30A91" w:rsidP="00F30A91">
      <w:pPr>
        <w:pStyle w:val="NormalBold"/>
      </w:pPr>
      <w:r w:rsidRPr="00B33F79">
        <w:rPr>
          <w:rStyle w:val="HideTWBExt"/>
          <w:b w:val="0"/>
          <w:noProof w:val="0"/>
        </w:rPr>
        <w:t>&lt;Article&gt;</w:t>
      </w:r>
      <w:r w:rsidRPr="00B33F79">
        <w:rPr>
          <w:color w:val="0000EB"/>
        </w:rPr>
        <w:t>Recital 16</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72CB50DB" w14:textId="77777777" w:rsidTr="00F30A91">
        <w:trPr>
          <w:jc w:val="center"/>
        </w:trPr>
        <w:tc>
          <w:tcPr>
            <w:tcW w:w="9752" w:type="dxa"/>
            <w:gridSpan w:val="2"/>
          </w:tcPr>
          <w:p w14:paraId="10C864AF" w14:textId="77777777" w:rsidR="00F30A91" w:rsidRPr="00B33F79" w:rsidRDefault="00F30A91">
            <w:pPr>
              <w:keepNext/>
            </w:pPr>
          </w:p>
        </w:tc>
      </w:tr>
      <w:tr w:rsidR="00F30A91" w:rsidRPr="00B33F79" w14:paraId="5097A395" w14:textId="77777777" w:rsidTr="00F30A91">
        <w:trPr>
          <w:jc w:val="center"/>
        </w:trPr>
        <w:tc>
          <w:tcPr>
            <w:tcW w:w="4876" w:type="dxa"/>
            <w:hideMark/>
          </w:tcPr>
          <w:p w14:paraId="7CE9E61A"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342D8016" w14:textId="77777777" w:rsidR="00F30A91" w:rsidRPr="00B33F79" w:rsidRDefault="00F30A91">
            <w:pPr>
              <w:pStyle w:val="ColumnHeading"/>
              <w:keepNext/>
              <w:rPr>
                <w:color w:val="0000F5"/>
              </w:rPr>
            </w:pPr>
            <w:r w:rsidRPr="00B33F79">
              <w:rPr>
                <w:color w:val="0000F5"/>
              </w:rPr>
              <w:t>Amendment</w:t>
            </w:r>
          </w:p>
        </w:tc>
      </w:tr>
      <w:tr w:rsidR="00F30A91" w:rsidRPr="00B33F79" w14:paraId="2A4F7AAE" w14:textId="77777777" w:rsidTr="00F30A91">
        <w:trPr>
          <w:jc w:val="center"/>
        </w:trPr>
        <w:tc>
          <w:tcPr>
            <w:tcW w:w="4876" w:type="dxa"/>
            <w:hideMark/>
          </w:tcPr>
          <w:p w14:paraId="646B71EE" w14:textId="77777777" w:rsidR="00F30A91" w:rsidRPr="00B33F79" w:rsidRDefault="00F30A91">
            <w:pPr>
              <w:pStyle w:val="Normal6"/>
              <w:rPr>
                <w:color w:val="0000FA"/>
              </w:rPr>
            </w:pPr>
            <w:r w:rsidRPr="00B33F79">
              <w:rPr>
                <w:color w:val="0000FA"/>
              </w:rPr>
              <w:t>(16)</w:t>
            </w:r>
            <w:r w:rsidRPr="00B33F79">
              <w:rPr>
                <w:color w:val="0000FA"/>
              </w:rPr>
              <w:tab/>
              <w:t>With regard to arsenic acid, a limit value of 0,01 mg/m</w:t>
            </w:r>
            <w:r w:rsidRPr="00B33F79">
              <w:rPr>
                <w:color w:val="0000FA"/>
                <w:vertAlign w:val="superscript"/>
              </w:rPr>
              <w:t>3</w:t>
            </w:r>
            <w:r w:rsidRPr="00B33F79">
              <w:rPr>
                <w:color w:val="0000FA"/>
              </w:rPr>
              <w:t xml:space="preserve"> may be difficult to be complied with in the copper smelting sector and therefore a transitional period of two years should be introduced.</w:t>
            </w:r>
          </w:p>
        </w:tc>
        <w:tc>
          <w:tcPr>
            <w:tcW w:w="4876" w:type="dxa"/>
            <w:hideMark/>
          </w:tcPr>
          <w:p w14:paraId="08FE9965" w14:textId="77777777" w:rsidR="00F30A91" w:rsidRPr="00B33F79" w:rsidRDefault="00F30A91">
            <w:pPr>
              <w:pStyle w:val="Normal6"/>
              <w:rPr>
                <w:color w:val="000005"/>
                <w:szCs w:val="24"/>
              </w:rPr>
            </w:pPr>
            <w:r w:rsidRPr="00B33F79">
              <w:rPr>
                <w:color w:val="000005"/>
              </w:rPr>
              <w:t>(16)</w:t>
            </w:r>
            <w:r w:rsidRPr="00B33F79">
              <w:rPr>
                <w:color w:val="000005"/>
              </w:rPr>
              <w:tab/>
              <w:t>With regard to arsenic acid, a limit value of 0,01 mg/m</w:t>
            </w:r>
            <w:r w:rsidRPr="00B33F79">
              <w:rPr>
                <w:color w:val="000005"/>
                <w:vertAlign w:val="superscript"/>
              </w:rPr>
              <w:t>3</w:t>
            </w:r>
            <w:r w:rsidRPr="00B33F79">
              <w:rPr>
                <w:color w:val="000005"/>
              </w:rPr>
              <w:t xml:space="preserve"> may be difficult to be complied with in the copper smelting sector and therefore a transitional period of two years should be introduced. </w:t>
            </w:r>
            <w:r w:rsidRPr="00B33F79">
              <w:rPr>
                <w:b/>
                <w:i/>
                <w:color w:val="000005"/>
              </w:rPr>
              <w:t>The reduction of exposure in accordance with the limits laid down in the Directive can be achieved by using, wherever possible, systems to monitor the area and by arranging greater rotation by time slot so as to reduce average exposure within the eight hours of the working day.</w:t>
            </w:r>
          </w:p>
        </w:tc>
      </w:tr>
    </w:tbl>
    <w:p w14:paraId="46222786" w14:textId="77777777" w:rsidR="00F30A91" w:rsidRPr="00B33F79" w:rsidRDefault="00F30A91"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27531001" w14:textId="77777777" w:rsidR="00F30A91" w:rsidRPr="00B33F79" w:rsidRDefault="00F30A91" w:rsidP="00F30A91">
      <w:pPr>
        <w:rPr>
          <w:szCs w:val="24"/>
        </w:rPr>
      </w:pPr>
      <w:r w:rsidRPr="00B33F79">
        <w:rPr>
          <w:rStyle w:val="HideTWBExt"/>
          <w:noProof w:val="0"/>
        </w:rPr>
        <w:t>&lt;/Amend&gt;</w:t>
      </w:r>
    </w:p>
    <w:p w14:paraId="3899C56A" w14:textId="5BEF3054" w:rsidR="00F30A91" w:rsidRPr="00B33F79" w:rsidRDefault="00F30A91" w:rsidP="00F30A91">
      <w:pPr>
        <w:pStyle w:val="AMNumberTabs"/>
        <w:keepNext/>
      </w:pPr>
      <w:r w:rsidRPr="00B33F79">
        <w:rPr>
          <w:rStyle w:val="HideTWBExt"/>
          <w:b w:val="0"/>
          <w:noProof w:val="0"/>
        </w:rPr>
        <w:lastRenderedPageBreak/>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14</w:t>
      </w:r>
      <w:r w:rsidRPr="00B33F79">
        <w:rPr>
          <w:rStyle w:val="HideTWBExt"/>
          <w:b w:val="0"/>
          <w:noProof w:val="0"/>
        </w:rPr>
        <w:t>&lt;/NumAm&gt;</w:t>
      </w:r>
    </w:p>
    <w:p w14:paraId="7E373F2F"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287FD973" w14:textId="77777777" w:rsidR="00F30A91" w:rsidRPr="00B33F79" w:rsidRDefault="00F30A91" w:rsidP="00F30A91">
      <w:pPr>
        <w:pStyle w:val="NormalBold"/>
      </w:pPr>
      <w:r w:rsidRPr="00B33F79">
        <w:rPr>
          <w:rStyle w:val="HideTWBExt"/>
          <w:b w:val="0"/>
          <w:noProof w:val="0"/>
        </w:rPr>
        <w:t>&lt;Article&gt;</w:t>
      </w:r>
      <w:r w:rsidRPr="00B33F79">
        <w:rPr>
          <w:color w:val="0000EB"/>
        </w:rPr>
        <w:t>Recital 17</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7EB5EFE2" w14:textId="77777777" w:rsidTr="00F30A91">
        <w:trPr>
          <w:jc w:val="center"/>
        </w:trPr>
        <w:tc>
          <w:tcPr>
            <w:tcW w:w="9752" w:type="dxa"/>
            <w:gridSpan w:val="2"/>
          </w:tcPr>
          <w:p w14:paraId="4BC5CF7E" w14:textId="77777777" w:rsidR="00F30A91" w:rsidRPr="00B33F79" w:rsidRDefault="00F30A91">
            <w:pPr>
              <w:keepNext/>
            </w:pPr>
          </w:p>
        </w:tc>
      </w:tr>
      <w:tr w:rsidR="00F30A91" w:rsidRPr="00B33F79" w14:paraId="31A0BFFC" w14:textId="77777777" w:rsidTr="00F30A91">
        <w:trPr>
          <w:jc w:val="center"/>
        </w:trPr>
        <w:tc>
          <w:tcPr>
            <w:tcW w:w="4876" w:type="dxa"/>
            <w:hideMark/>
          </w:tcPr>
          <w:p w14:paraId="24C0AC83"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0EA6D75D" w14:textId="77777777" w:rsidR="00F30A91" w:rsidRPr="00B33F79" w:rsidRDefault="00F30A91">
            <w:pPr>
              <w:pStyle w:val="ColumnHeading"/>
              <w:keepNext/>
              <w:rPr>
                <w:color w:val="0000F5"/>
              </w:rPr>
            </w:pPr>
            <w:r w:rsidRPr="00B33F79">
              <w:rPr>
                <w:color w:val="0000F5"/>
              </w:rPr>
              <w:t>Amendment</w:t>
            </w:r>
          </w:p>
        </w:tc>
      </w:tr>
      <w:tr w:rsidR="00F30A91" w:rsidRPr="00B33F79" w14:paraId="24097F93" w14:textId="77777777" w:rsidTr="00F30A91">
        <w:trPr>
          <w:jc w:val="center"/>
        </w:trPr>
        <w:tc>
          <w:tcPr>
            <w:tcW w:w="4876" w:type="dxa"/>
            <w:hideMark/>
          </w:tcPr>
          <w:p w14:paraId="7EF1FF09" w14:textId="77777777" w:rsidR="00F30A91" w:rsidRPr="00B33F79" w:rsidRDefault="00F30A91">
            <w:pPr>
              <w:pStyle w:val="Normal6"/>
              <w:rPr>
                <w:color w:val="0000FA"/>
              </w:rPr>
            </w:pPr>
            <w:r w:rsidRPr="00B33F79">
              <w:rPr>
                <w:color w:val="0000FA"/>
              </w:rPr>
              <w:t>(17)</w:t>
            </w:r>
            <w:r w:rsidRPr="00B33F79">
              <w:rPr>
                <w:color w:val="0000FA"/>
              </w:rPr>
              <w:tab/>
              <w:t>Formaldehyde meets the criteria for classification as carcinogenic (category 1B) in accordance with Regulation (EC) No 1272/2008 and is therefore a carcinogen within the meaning of Directive 2004/37/EC. It is a local acting genotoxic carcinogen. It is possible, on the basis of the available information, including scientific and technical data, to set a long and short term limit value for that carcinogen. Formaldehyde is also a contact allergen to the skin (skin sensitiser). It is therefore appropriate to establish a limit value for formaldehyde and to assign a notation for skin sensitisation. In addition, upon request of the Commission, ECHA is also gathering existing information to assess the potential exposure from formaldehyde and formaldehyde releasers at the workplace including industrial and professional uses</w:t>
            </w:r>
            <w:r w:rsidRPr="00B33F79">
              <w:rPr>
                <w:color w:val="0000FA"/>
                <w:vertAlign w:val="superscript"/>
              </w:rPr>
              <w:t>48</w:t>
            </w:r>
            <w:r w:rsidRPr="00B33F79">
              <w:rPr>
                <w:color w:val="0000FA"/>
              </w:rPr>
              <w:t>.</w:t>
            </w:r>
          </w:p>
        </w:tc>
        <w:tc>
          <w:tcPr>
            <w:tcW w:w="4876" w:type="dxa"/>
            <w:hideMark/>
          </w:tcPr>
          <w:p w14:paraId="24D1E9F7" w14:textId="77777777" w:rsidR="00F30A91" w:rsidRPr="00B33F79" w:rsidRDefault="00F30A91" w:rsidP="004B425D">
            <w:pPr>
              <w:pStyle w:val="Normal6"/>
              <w:rPr>
                <w:color w:val="000005"/>
                <w:szCs w:val="24"/>
              </w:rPr>
            </w:pPr>
            <w:r w:rsidRPr="00B33F79">
              <w:rPr>
                <w:color w:val="000005"/>
              </w:rPr>
              <w:t>(17)</w:t>
            </w:r>
            <w:r w:rsidRPr="00B33F79">
              <w:rPr>
                <w:color w:val="000005"/>
              </w:rPr>
              <w:tab/>
              <w:t>Formaldehyde meets the criteria for classification as carcinogenic (category 1B) in accordance with Regulation (EC) No 1272/2008 and is therefore a carcinogen within the meaning of Directive 2004/37/EC. It is a local acting genotoxic carcinogen.</w:t>
            </w:r>
            <w:r w:rsidRPr="00B33F79">
              <w:rPr>
                <w:b/>
                <w:i/>
                <w:color w:val="000005"/>
              </w:rPr>
              <w:t xml:space="preserve"> There is sufficient evidence that formaldehyde causes nasopharyngeal cancer in human beings, while evidence of nasal and sinus cancer remains limited and there is some evidence of leukaemia.</w:t>
            </w:r>
            <w:r w:rsidRPr="00B33F79">
              <w:rPr>
                <w:color w:val="000005"/>
              </w:rPr>
              <w:t xml:space="preserve"> It is possible, on the basis of the available information, including scientific and technical data, to set a long and short term limit value for that carcinogen. Formaldehyde is also a contact allergen to the skin (skin sensitiser). It is therefore appropriate to establish a limit value for formaldehyde and to assign a notation for skin sensitisation. In addition, upon request of the Commission, ECHA is also gathering existing information to assess the potential exposure from formaldehyde and formaldehyde releasers at the workplace including industrial and professional uses</w:t>
            </w:r>
            <w:r w:rsidRPr="00B33F79">
              <w:rPr>
                <w:color w:val="000005"/>
                <w:vertAlign w:val="superscript"/>
              </w:rPr>
              <w:t>48</w:t>
            </w:r>
            <w:r w:rsidRPr="00B33F79">
              <w:rPr>
                <w:color w:val="000005"/>
              </w:rPr>
              <w:t>.</w:t>
            </w:r>
          </w:p>
        </w:tc>
      </w:tr>
      <w:tr w:rsidR="00F30A91" w:rsidRPr="00B33F79" w14:paraId="6AC85057" w14:textId="77777777" w:rsidTr="00F30A91">
        <w:trPr>
          <w:jc w:val="center"/>
        </w:trPr>
        <w:tc>
          <w:tcPr>
            <w:tcW w:w="4876" w:type="dxa"/>
            <w:hideMark/>
          </w:tcPr>
          <w:p w14:paraId="1B6FF1E3" w14:textId="77777777" w:rsidR="00F30A91" w:rsidRPr="00B33F79" w:rsidRDefault="00F30A91">
            <w:pPr>
              <w:pStyle w:val="Normal6"/>
              <w:rPr>
                <w:color w:val="0000FA"/>
              </w:rPr>
            </w:pPr>
            <w:r w:rsidRPr="00B33F79">
              <w:rPr>
                <w:color w:val="0000FA"/>
              </w:rPr>
              <w:t>__________________</w:t>
            </w:r>
          </w:p>
        </w:tc>
        <w:tc>
          <w:tcPr>
            <w:tcW w:w="4876" w:type="dxa"/>
            <w:hideMark/>
          </w:tcPr>
          <w:p w14:paraId="309F4FE2" w14:textId="77777777" w:rsidR="00F30A91" w:rsidRPr="00B33F79" w:rsidRDefault="00F30A91">
            <w:pPr>
              <w:pStyle w:val="Normal6"/>
              <w:rPr>
                <w:color w:val="000005"/>
                <w:szCs w:val="24"/>
              </w:rPr>
            </w:pPr>
            <w:r w:rsidRPr="00B33F79">
              <w:rPr>
                <w:color w:val="000005"/>
              </w:rPr>
              <w:t>__________________</w:t>
            </w:r>
          </w:p>
        </w:tc>
      </w:tr>
      <w:tr w:rsidR="00F30A91" w:rsidRPr="00B33F79" w14:paraId="5D764232" w14:textId="77777777" w:rsidTr="00F30A91">
        <w:trPr>
          <w:jc w:val="center"/>
        </w:trPr>
        <w:tc>
          <w:tcPr>
            <w:tcW w:w="4876" w:type="dxa"/>
            <w:hideMark/>
          </w:tcPr>
          <w:p w14:paraId="21BEFF23" w14:textId="77777777" w:rsidR="00F30A91" w:rsidRPr="00B33F79" w:rsidRDefault="00F30A91">
            <w:pPr>
              <w:pStyle w:val="Normal6"/>
              <w:rPr>
                <w:color w:val="0000FA"/>
              </w:rPr>
            </w:pPr>
            <w:r w:rsidRPr="00B33F79">
              <w:rPr>
                <w:color w:val="0000FA"/>
                <w:vertAlign w:val="superscript"/>
              </w:rPr>
              <w:t>48</w:t>
            </w:r>
            <w:r w:rsidRPr="00B33F79">
              <w:rPr>
                <w:color w:val="0000FA"/>
              </w:rPr>
              <w:t xml:space="preserve"> https://echa.europa.eu/documents/10162/13641/formaldehyde_cion_reqst_axvdossier_en.pdf/11d4a99a-7210-839a-921d-1a9a4129e93e</w:t>
            </w:r>
          </w:p>
        </w:tc>
        <w:tc>
          <w:tcPr>
            <w:tcW w:w="4876" w:type="dxa"/>
            <w:hideMark/>
          </w:tcPr>
          <w:p w14:paraId="374E99FD" w14:textId="77777777" w:rsidR="00F30A91" w:rsidRPr="00B33F79" w:rsidRDefault="00F30A91">
            <w:pPr>
              <w:pStyle w:val="Normal6"/>
              <w:rPr>
                <w:color w:val="000005"/>
                <w:szCs w:val="24"/>
              </w:rPr>
            </w:pPr>
            <w:r w:rsidRPr="00B33F79">
              <w:rPr>
                <w:color w:val="000005"/>
                <w:vertAlign w:val="superscript"/>
              </w:rPr>
              <w:t>48</w:t>
            </w:r>
            <w:r w:rsidRPr="00B33F79">
              <w:rPr>
                <w:color w:val="000005"/>
              </w:rPr>
              <w:t xml:space="preserve"> https://echa.europa.eu/documents/10162/13641/formaldehyde_cion_reqst_axvdossier_en.pdf/11d4a99a-7210-839a-921d-1a9a4129e93e</w:t>
            </w:r>
          </w:p>
        </w:tc>
      </w:tr>
    </w:tbl>
    <w:p w14:paraId="1CD6565A" w14:textId="77777777" w:rsidR="00F30A91" w:rsidRPr="00B33F79" w:rsidRDefault="00F30A91"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65BB7A88" w14:textId="77777777" w:rsidR="00F30A91" w:rsidRPr="00B33F79" w:rsidRDefault="00F30A91" w:rsidP="00F30A91">
      <w:pPr>
        <w:rPr>
          <w:szCs w:val="24"/>
        </w:rPr>
      </w:pPr>
      <w:r w:rsidRPr="00B33F79">
        <w:rPr>
          <w:rStyle w:val="HideTWBExt"/>
          <w:noProof w:val="0"/>
        </w:rPr>
        <w:t>&lt;/Amend&gt;</w:t>
      </w:r>
    </w:p>
    <w:p w14:paraId="6458AA51" w14:textId="021DDDF6" w:rsidR="00F30A91" w:rsidRPr="00B33F79" w:rsidRDefault="00F30A91" w:rsidP="00F30A9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15</w:t>
      </w:r>
      <w:r w:rsidRPr="00B33F79">
        <w:rPr>
          <w:rStyle w:val="HideTWBExt"/>
          <w:b w:val="0"/>
          <w:noProof w:val="0"/>
        </w:rPr>
        <w:t>&lt;/NumAm&gt;</w:t>
      </w:r>
    </w:p>
    <w:p w14:paraId="388AC962"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3F5C73EB" w14:textId="77777777" w:rsidR="00F30A91" w:rsidRPr="00B33F79" w:rsidRDefault="00F30A91" w:rsidP="00F30A91">
      <w:pPr>
        <w:pStyle w:val="NormalBold"/>
      </w:pPr>
      <w:r w:rsidRPr="00B33F79">
        <w:rPr>
          <w:rStyle w:val="HideTWBExt"/>
          <w:b w:val="0"/>
          <w:noProof w:val="0"/>
        </w:rPr>
        <w:t>&lt;Article&gt;</w:t>
      </w:r>
      <w:r w:rsidRPr="00B33F79">
        <w:rPr>
          <w:color w:val="0000EB"/>
        </w:rPr>
        <w:t>Recital 18</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689A634D" w14:textId="77777777" w:rsidTr="00F30A91">
        <w:trPr>
          <w:jc w:val="center"/>
        </w:trPr>
        <w:tc>
          <w:tcPr>
            <w:tcW w:w="9752" w:type="dxa"/>
            <w:gridSpan w:val="2"/>
          </w:tcPr>
          <w:p w14:paraId="58D7C481" w14:textId="77777777" w:rsidR="00F30A91" w:rsidRPr="00B33F79" w:rsidRDefault="00F30A91">
            <w:pPr>
              <w:keepNext/>
            </w:pPr>
          </w:p>
        </w:tc>
      </w:tr>
      <w:tr w:rsidR="00F30A91" w:rsidRPr="00B33F79" w14:paraId="630C4ABC" w14:textId="77777777" w:rsidTr="00F30A91">
        <w:trPr>
          <w:jc w:val="center"/>
        </w:trPr>
        <w:tc>
          <w:tcPr>
            <w:tcW w:w="4876" w:type="dxa"/>
            <w:hideMark/>
          </w:tcPr>
          <w:p w14:paraId="05E06408"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0C6A3F55" w14:textId="77777777" w:rsidR="00F30A91" w:rsidRPr="00B33F79" w:rsidRDefault="00F30A91">
            <w:pPr>
              <w:pStyle w:val="ColumnHeading"/>
              <w:keepNext/>
              <w:rPr>
                <w:color w:val="0000F5"/>
              </w:rPr>
            </w:pPr>
            <w:r w:rsidRPr="00B33F79">
              <w:rPr>
                <w:color w:val="0000F5"/>
              </w:rPr>
              <w:t>Amendment</w:t>
            </w:r>
          </w:p>
        </w:tc>
      </w:tr>
      <w:tr w:rsidR="00F30A91" w:rsidRPr="00B33F79" w14:paraId="6342ED0F" w14:textId="77777777" w:rsidTr="00F30A91">
        <w:trPr>
          <w:jc w:val="center"/>
        </w:trPr>
        <w:tc>
          <w:tcPr>
            <w:tcW w:w="4876" w:type="dxa"/>
            <w:hideMark/>
          </w:tcPr>
          <w:p w14:paraId="699C0A9A" w14:textId="77777777" w:rsidR="00F30A91" w:rsidRPr="00B33F79" w:rsidRDefault="00F30A91">
            <w:pPr>
              <w:pStyle w:val="Normal6"/>
              <w:rPr>
                <w:color w:val="0000FA"/>
              </w:rPr>
            </w:pPr>
            <w:r w:rsidRPr="00B33F79">
              <w:rPr>
                <w:color w:val="0000FA"/>
              </w:rPr>
              <w:t>(18)</w:t>
            </w:r>
            <w:r w:rsidRPr="00B33F79">
              <w:rPr>
                <w:color w:val="0000FA"/>
              </w:rPr>
              <w:tab/>
              <w:t>4,4'-Methylene-bis(2-chloroaniline)(MOCA) meets the criteria for classification as carcinogenic (category 1B) in accordance with Regulation (EC) No 1272/2008 and is therefore a carcinogen within the meaning of Directive 2004/37/EC. The possibility of a significant uptake through the skin was identified for MOCA. It is therefore appropriate to establish a limit value for MOCA and to assign to it a skin notation. In addition, it was identified as a substance of very high concern (SVHC) pursuant to Article 57(a) of Regulation EC No 1907/2006 and included in Annex XIV to that Regulation, requiring authorisation before it can be placed on market or used. It is possible, on the basis of available information, including scientific and technical data, to set a limit value for MOCA.</w:t>
            </w:r>
          </w:p>
        </w:tc>
        <w:tc>
          <w:tcPr>
            <w:tcW w:w="4876" w:type="dxa"/>
            <w:hideMark/>
          </w:tcPr>
          <w:p w14:paraId="224F9CE6" w14:textId="77777777" w:rsidR="00F30A91" w:rsidRPr="00B33F79" w:rsidRDefault="00F30A91">
            <w:pPr>
              <w:pStyle w:val="Normal6"/>
              <w:rPr>
                <w:color w:val="000005"/>
                <w:szCs w:val="24"/>
              </w:rPr>
            </w:pPr>
            <w:r w:rsidRPr="00B33F79">
              <w:rPr>
                <w:color w:val="000005"/>
              </w:rPr>
              <w:t>(18)</w:t>
            </w:r>
            <w:r w:rsidRPr="00B33F79">
              <w:rPr>
                <w:color w:val="000005"/>
              </w:rPr>
              <w:tab/>
              <w:t>4,4'-Methylene-bis(2-chloroaniline)(MOCA) meets the criteria for classification as carcinogenic (category 1B) in accordance with Regulation (EC) No 1272/2008 and is therefore a carcinogen within the meaning of Directive 2004/37/EC.</w:t>
            </w:r>
            <w:r w:rsidRPr="00B33F79">
              <w:rPr>
                <w:b/>
                <w:i/>
                <w:color w:val="000005"/>
              </w:rPr>
              <w:t xml:space="preserve"> Its carcinogenicity, together with its manifest genotoxic characteristics, has made it possible to classify that substance as carcinogenic to humans.</w:t>
            </w:r>
            <w:r w:rsidRPr="00B33F79">
              <w:rPr>
                <w:color w:val="000005"/>
              </w:rPr>
              <w:t xml:space="preserve"> The possibility of a significant uptake through the skin was identified for MOCA. It is therefore appropriate to establish a limit value for MOCA and to assign to it a skin notation. In addition, it was identified as a substance of very high concern (SVHC) pursuant to Article 57(a) of Regulation EC No 1907/2006 and included in Annex XIV to that Regulation, requiring authorisation before it can be placed on market or used. It is possible, on the basis of available information, including scientific and technical data, to set a limit value for MOCA.</w:t>
            </w:r>
          </w:p>
        </w:tc>
      </w:tr>
    </w:tbl>
    <w:p w14:paraId="198D398F" w14:textId="77777777" w:rsidR="00F30A91" w:rsidRPr="00B33F79" w:rsidRDefault="00F30A91"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59E5E602" w14:textId="77777777" w:rsidR="00F30A91" w:rsidRPr="00B33F79" w:rsidRDefault="00F30A91" w:rsidP="00F30A91">
      <w:pPr>
        <w:rPr>
          <w:szCs w:val="24"/>
        </w:rPr>
      </w:pPr>
      <w:r w:rsidRPr="00B33F79">
        <w:rPr>
          <w:rStyle w:val="HideTWBExt"/>
          <w:noProof w:val="0"/>
        </w:rPr>
        <w:t>&lt;/Amend&gt;</w:t>
      </w:r>
    </w:p>
    <w:p w14:paraId="63B5CA5E" w14:textId="4ED8D8DE" w:rsidR="00F30A91" w:rsidRPr="00B33F79" w:rsidRDefault="00F30A91" w:rsidP="00F30A9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16</w:t>
      </w:r>
      <w:r w:rsidRPr="00B33F79">
        <w:rPr>
          <w:rStyle w:val="HideTWBExt"/>
          <w:b w:val="0"/>
          <w:noProof w:val="0"/>
        </w:rPr>
        <w:t>&lt;/NumAm&gt;</w:t>
      </w:r>
    </w:p>
    <w:p w14:paraId="50216AB7"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2D07BDE8" w14:textId="77777777" w:rsidR="00F30A91" w:rsidRPr="00B33F79" w:rsidRDefault="00F30A91" w:rsidP="00F30A91">
      <w:pPr>
        <w:pStyle w:val="NormalBold"/>
      </w:pPr>
      <w:r w:rsidRPr="00B33F79">
        <w:rPr>
          <w:rStyle w:val="HideTWBExt"/>
          <w:b w:val="0"/>
          <w:noProof w:val="0"/>
        </w:rPr>
        <w:t>&lt;Article&gt;</w:t>
      </w:r>
      <w:r w:rsidRPr="00B33F79">
        <w:rPr>
          <w:color w:val="0000EB"/>
        </w:rPr>
        <w:t>Recital 23</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1EC7E075" w14:textId="77777777" w:rsidTr="00F30A91">
        <w:trPr>
          <w:jc w:val="center"/>
        </w:trPr>
        <w:tc>
          <w:tcPr>
            <w:tcW w:w="9752" w:type="dxa"/>
            <w:gridSpan w:val="2"/>
          </w:tcPr>
          <w:p w14:paraId="1D0D3571" w14:textId="77777777" w:rsidR="00F30A91" w:rsidRPr="00B33F79" w:rsidRDefault="00F30A91">
            <w:pPr>
              <w:keepNext/>
            </w:pPr>
          </w:p>
        </w:tc>
      </w:tr>
      <w:tr w:rsidR="00F30A91" w:rsidRPr="00B33F79" w14:paraId="6EE24CEC" w14:textId="77777777" w:rsidTr="00F30A91">
        <w:trPr>
          <w:jc w:val="center"/>
        </w:trPr>
        <w:tc>
          <w:tcPr>
            <w:tcW w:w="4876" w:type="dxa"/>
            <w:hideMark/>
          </w:tcPr>
          <w:p w14:paraId="74FAA904"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4F32E75A" w14:textId="77777777" w:rsidR="00F30A91" w:rsidRPr="00B33F79" w:rsidRDefault="00F30A91">
            <w:pPr>
              <w:pStyle w:val="ColumnHeading"/>
              <w:keepNext/>
              <w:rPr>
                <w:color w:val="0000F5"/>
              </w:rPr>
            </w:pPr>
            <w:r w:rsidRPr="00B33F79">
              <w:rPr>
                <w:color w:val="0000F5"/>
              </w:rPr>
              <w:t>Amendment</w:t>
            </w:r>
          </w:p>
        </w:tc>
      </w:tr>
      <w:tr w:rsidR="00F30A91" w:rsidRPr="00B33F79" w14:paraId="290BE9EA" w14:textId="77777777" w:rsidTr="00F30A91">
        <w:trPr>
          <w:jc w:val="center"/>
        </w:trPr>
        <w:tc>
          <w:tcPr>
            <w:tcW w:w="4876" w:type="dxa"/>
            <w:hideMark/>
          </w:tcPr>
          <w:p w14:paraId="7AADE2C8" w14:textId="77777777" w:rsidR="00F30A91" w:rsidRPr="00B33F79" w:rsidRDefault="00F30A91">
            <w:pPr>
              <w:pStyle w:val="Normal6"/>
              <w:rPr>
                <w:color w:val="0000FA"/>
              </w:rPr>
            </w:pPr>
            <w:r w:rsidRPr="00B33F79">
              <w:rPr>
                <w:color w:val="0000FA"/>
              </w:rPr>
              <w:t>(23)</w:t>
            </w:r>
            <w:r w:rsidRPr="00B33F79">
              <w:rPr>
                <w:color w:val="0000FA"/>
              </w:rPr>
              <w:tab/>
              <w:t xml:space="preserve">In implementing this Directive Member States should avoid imposing administrative, financial and legal constraints in a way which would hold back the creation and development of small and medium-sized undertakings. Member States are therefore invited to assess the impact of their transposition act on SMEs in order to make sure that SMEs are not disproportionately affected, with specific </w:t>
            </w:r>
            <w:r w:rsidRPr="00B33F79">
              <w:rPr>
                <w:color w:val="0000FA"/>
              </w:rPr>
              <w:lastRenderedPageBreak/>
              <w:t xml:space="preserve">attention for micro-enterprises and for administrative burden, </w:t>
            </w:r>
            <w:r w:rsidRPr="00B33F79">
              <w:rPr>
                <w:b/>
                <w:i/>
                <w:color w:val="0000FA"/>
              </w:rPr>
              <w:t>and</w:t>
            </w:r>
            <w:r w:rsidRPr="00B33F79">
              <w:rPr>
                <w:color w:val="0000FA"/>
              </w:rPr>
              <w:t xml:space="preserve"> to publish the results of such assessments.</w:t>
            </w:r>
          </w:p>
        </w:tc>
        <w:tc>
          <w:tcPr>
            <w:tcW w:w="4876" w:type="dxa"/>
            <w:hideMark/>
          </w:tcPr>
          <w:p w14:paraId="7BE205F8" w14:textId="77777777" w:rsidR="00F30A91" w:rsidRPr="00B33F79" w:rsidRDefault="00F30A91">
            <w:pPr>
              <w:pStyle w:val="Normal6"/>
              <w:rPr>
                <w:color w:val="000005"/>
                <w:szCs w:val="24"/>
              </w:rPr>
            </w:pPr>
            <w:r w:rsidRPr="00B33F79">
              <w:rPr>
                <w:color w:val="000005"/>
              </w:rPr>
              <w:lastRenderedPageBreak/>
              <w:t>(23)</w:t>
            </w:r>
            <w:r w:rsidRPr="00B33F79">
              <w:rPr>
                <w:color w:val="000005"/>
              </w:rPr>
              <w:tab/>
              <w:t xml:space="preserve">In implementing this Directive Member States should avoid imposing administrative, financial and legal constraints in a way which would hold back the creation and development of small and medium-sized undertakings. Member States are therefore invited to assess the impact of their transposition act on SMEs in order to make sure that SMEs are not disproportionately affected, with specific </w:t>
            </w:r>
            <w:r w:rsidRPr="00B33F79">
              <w:rPr>
                <w:color w:val="000005"/>
              </w:rPr>
              <w:lastRenderedPageBreak/>
              <w:t xml:space="preserve">attention for micro-enterprises and for administrative burden, </w:t>
            </w:r>
            <w:r w:rsidRPr="00B33F79">
              <w:rPr>
                <w:b/>
                <w:i/>
                <w:color w:val="000005"/>
              </w:rPr>
              <w:t xml:space="preserve">where possible making use of tax concessions proportionate to the impact of the investment on the balance sheet, so as to recover the costs and provide an incentive for their conversion. Member States are called upon </w:t>
            </w:r>
            <w:r w:rsidRPr="00B33F79">
              <w:rPr>
                <w:color w:val="000005"/>
              </w:rPr>
              <w:t>to publish the results of such assessments.</w:t>
            </w:r>
          </w:p>
        </w:tc>
      </w:tr>
    </w:tbl>
    <w:p w14:paraId="4919825C" w14:textId="77777777" w:rsidR="00F30A91" w:rsidRPr="00B33F79" w:rsidRDefault="00F30A91" w:rsidP="003A5A4F">
      <w:pPr>
        <w:pStyle w:val="Olang"/>
        <w:rPr>
          <w:noProof w:val="0"/>
          <w:szCs w:val="24"/>
        </w:rPr>
      </w:pPr>
      <w:r w:rsidRPr="00B33F79">
        <w:rPr>
          <w:noProof w:val="0"/>
          <w:color w:val="0000F0"/>
          <w:szCs w:val="24"/>
        </w:rPr>
        <w:lastRenderedPageBreak/>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72AAE0C8" w14:textId="77777777" w:rsidR="00F30A91" w:rsidRPr="00B33F79" w:rsidRDefault="00F30A91" w:rsidP="00F30A91">
      <w:pPr>
        <w:rPr>
          <w:szCs w:val="24"/>
        </w:rPr>
      </w:pPr>
      <w:r w:rsidRPr="00B33F79">
        <w:rPr>
          <w:rStyle w:val="HideTWBExt"/>
          <w:noProof w:val="0"/>
        </w:rPr>
        <w:t>&lt;/Amend&gt;</w:t>
      </w:r>
    </w:p>
    <w:p w14:paraId="207E3EF0" w14:textId="7004A6D2" w:rsidR="00F30A91" w:rsidRPr="00B33F79" w:rsidRDefault="00F30A91" w:rsidP="00F30A9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17</w:t>
      </w:r>
      <w:r w:rsidRPr="00B33F79">
        <w:rPr>
          <w:rStyle w:val="HideTWBExt"/>
          <w:b w:val="0"/>
          <w:noProof w:val="0"/>
        </w:rPr>
        <w:t>&lt;/NumAm&gt;</w:t>
      </w:r>
    </w:p>
    <w:p w14:paraId="26412E6B"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2D9E7F50" w14:textId="77777777" w:rsidR="00F30A91" w:rsidRPr="00B33F79" w:rsidRDefault="00F30A91" w:rsidP="00F30A91">
      <w:pPr>
        <w:pStyle w:val="NormalBold"/>
      </w:pPr>
      <w:r w:rsidRPr="00B33F79">
        <w:rPr>
          <w:rStyle w:val="HideTWBExt"/>
          <w:b w:val="0"/>
          <w:noProof w:val="0"/>
        </w:rPr>
        <w:t>&lt;Article&gt;</w:t>
      </w:r>
      <w:r w:rsidRPr="00B33F79">
        <w:rPr>
          <w:color w:val="0000EB"/>
        </w:rPr>
        <w:t>Recital 24</w:t>
      </w:r>
      <w:r w:rsidRPr="00B33F7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34A498D7" w14:textId="77777777" w:rsidTr="00F30A91">
        <w:trPr>
          <w:jc w:val="center"/>
        </w:trPr>
        <w:tc>
          <w:tcPr>
            <w:tcW w:w="9752" w:type="dxa"/>
            <w:gridSpan w:val="2"/>
          </w:tcPr>
          <w:p w14:paraId="3486DBA2" w14:textId="77777777" w:rsidR="00F30A91" w:rsidRPr="00B33F79" w:rsidRDefault="00F30A91">
            <w:pPr>
              <w:keepNext/>
            </w:pPr>
          </w:p>
        </w:tc>
      </w:tr>
      <w:tr w:rsidR="00F30A91" w:rsidRPr="00B33F79" w14:paraId="339E6437" w14:textId="77777777" w:rsidTr="00F30A91">
        <w:trPr>
          <w:jc w:val="center"/>
        </w:trPr>
        <w:tc>
          <w:tcPr>
            <w:tcW w:w="4876" w:type="dxa"/>
            <w:hideMark/>
          </w:tcPr>
          <w:p w14:paraId="2988326B"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69030331" w14:textId="77777777" w:rsidR="00F30A91" w:rsidRPr="00B33F79" w:rsidRDefault="00F30A91">
            <w:pPr>
              <w:pStyle w:val="ColumnHeading"/>
              <w:keepNext/>
              <w:rPr>
                <w:color w:val="0000F5"/>
              </w:rPr>
            </w:pPr>
            <w:r w:rsidRPr="00B33F79">
              <w:rPr>
                <w:color w:val="0000F5"/>
              </w:rPr>
              <w:t>Amendment</w:t>
            </w:r>
          </w:p>
        </w:tc>
      </w:tr>
      <w:tr w:rsidR="00F30A91" w:rsidRPr="00B33F79" w14:paraId="4DE4116C" w14:textId="77777777" w:rsidTr="00F30A91">
        <w:trPr>
          <w:jc w:val="center"/>
        </w:trPr>
        <w:tc>
          <w:tcPr>
            <w:tcW w:w="4876" w:type="dxa"/>
            <w:hideMark/>
          </w:tcPr>
          <w:p w14:paraId="5E775DA8" w14:textId="77777777" w:rsidR="00F30A91" w:rsidRPr="00B33F79" w:rsidRDefault="00F30A91">
            <w:pPr>
              <w:pStyle w:val="Normal6"/>
              <w:rPr>
                <w:color w:val="0000FA"/>
              </w:rPr>
            </w:pPr>
            <w:r w:rsidRPr="00B33F79">
              <w:rPr>
                <w:color w:val="0000FA"/>
              </w:rPr>
              <w:t>(24)</w:t>
            </w:r>
            <w:r w:rsidRPr="00B33F79">
              <w:rPr>
                <w:color w:val="0000FA"/>
              </w:rPr>
              <w:tab/>
              <w:t xml:space="preserve">As this Directive concerns </w:t>
            </w:r>
            <w:r w:rsidRPr="00B33F79">
              <w:rPr>
                <w:b/>
                <w:i/>
                <w:color w:val="0000FA"/>
              </w:rPr>
              <w:t>the</w:t>
            </w:r>
            <w:r w:rsidRPr="00B33F79">
              <w:rPr>
                <w:color w:val="0000FA"/>
              </w:rPr>
              <w:t xml:space="preserve"> </w:t>
            </w:r>
            <w:r w:rsidRPr="00B33F79">
              <w:rPr>
                <w:b/>
                <w:i/>
                <w:color w:val="0000FA"/>
              </w:rPr>
              <w:t>protection</w:t>
            </w:r>
            <w:r w:rsidRPr="00B33F79">
              <w:rPr>
                <w:color w:val="0000FA"/>
              </w:rPr>
              <w:t xml:space="preserve"> </w:t>
            </w:r>
            <w:r w:rsidRPr="00B33F79">
              <w:rPr>
                <w:b/>
                <w:i/>
                <w:color w:val="0000FA"/>
              </w:rPr>
              <w:t xml:space="preserve">of </w:t>
            </w:r>
            <w:r w:rsidRPr="00B33F79">
              <w:rPr>
                <w:color w:val="0000FA"/>
              </w:rPr>
              <w:t>the health</w:t>
            </w:r>
            <w:r w:rsidRPr="00B33F79">
              <w:rPr>
                <w:b/>
                <w:i/>
                <w:color w:val="0000FA"/>
              </w:rPr>
              <w:t xml:space="preserve"> and safety </w:t>
            </w:r>
            <w:r w:rsidRPr="00B33F79">
              <w:rPr>
                <w:color w:val="0000FA"/>
              </w:rPr>
              <w:t>of workers at their workplace, it should be transposed within two years</w:t>
            </w:r>
            <w:r w:rsidRPr="00B33F79">
              <w:rPr>
                <w:b/>
                <w:i/>
                <w:color w:val="0000FA"/>
              </w:rPr>
              <w:t xml:space="preserve"> of the date of its entry into force.</w:t>
            </w:r>
          </w:p>
        </w:tc>
        <w:tc>
          <w:tcPr>
            <w:tcW w:w="4876" w:type="dxa"/>
            <w:hideMark/>
          </w:tcPr>
          <w:p w14:paraId="2450E168" w14:textId="77777777" w:rsidR="00F30A91" w:rsidRPr="00B33F79" w:rsidRDefault="00F30A91">
            <w:pPr>
              <w:pStyle w:val="Normal6"/>
              <w:rPr>
                <w:color w:val="000005"/>
                <w:szCs w:val="24"/>
              </w:rPr>
            </w:pPr>
            <w:r w:rsidRPr="00B33F79">
              <w:rPr>
                <w:color w:val="000005"/>
              </w:rPr>
              <w:t>(24)</w:t>
            </w:r>
            <w:r w:rsidRPr="00B33F79">
              <w:rPr>
                <w:color w:val="000005"/>
              </w:rPr>
              <w:tab/>
              <w:t>As this Directive concerns the health of workers at their workplace</w:t>
            </w:r>
            <w:r w:rsidRPr="00B33F79">
              <w:rPr>
                <w:b/>
                <w:i/>
                <w:color w:val="000005"/>
              </w:rPr>
              <w:t xml:space="preserve"> and confines itself to establishing maximum levels of</w:t>
            </w:r>
            <w:r w:rsidRPr="00B33F79">
              <w:rPr>
                <w:color w:val="000005"/>
              </w:rPr>
              <w:t xml:space="preserve"> </w:t>
            </w:r>
            <w:r w:rsidRPr="00B33F79">
              <w:rPr>
                <w:b/>
                <w:i/>
                <w:color w:val="000005"/>
              </w:rPr>
              <w:t>exposure to carcinogens and mutagens</w:t>
            </w:r>
            <w:r w:rsidRPr="00B33F79">
              <w:rPr>
                <w:color w:val="000005"/>
              </w:rPr>
              <w:t>, it should be transposed within two years</w:t>
            </w:r>
            <w:r w:rsidRPr="00B33F79">
              <w:rPr>
                <w:b/>
                <w:i/>
                <w:color w:val="000005"/>
              </w:rPr>
              <w:t xml:space="preserve">. </w:t>
            </w:r>
          </w:p>
        </w:tc>
      </w:tr>
    </w:tbl>
    <w:p w14:paraId="417D3061" w14:textId="77777777" w:rsidR="00F30A91" w:rsidRPr="00B33F79" w:rsidRDefault="00F30A91"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7AB5D266" w14:textId="77777777" w:rsidR="00F30A91" w:rsidRPr="00B33F79" w:rsidRDefault="00F30A91" w:rsidP="00F30A91">
      <w:pPr>
        <w:rPr>
          <w:szCs w:val="24"/>
        </w:rPr>
      </w:pPr>
      <w:r w:rsidRPr="00B33F79">
        <w:rPr>
          <w:rStyle w:val="HideTWBExt"/>
          <w:noProof w:val="0"/>
        </w:rPr>
        <w:t>&lt;/Amend&gt;</w:t>
      </w:r>
    </w:p>
    <w:p w14:paraId="2C55991A" w14:textId="7D80C5E3" w:rsidR="00F30A91" w:rsidRPr="00B33F79" w:rsidRDefault="00F30A91" w:rsidP="00F30A9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18</w:t>
      </w:r>
      <w:r w:rsidRPr="00B33F79">
        <w:rPr>
          <w:rStyle w:val="HideTWBExt"/>
          <w:b w:val="0"/>
          <w:noProof w:val="0"/>
        </w:rPr>
        <w:t>&lt;/NumAm&gt;</w:t>
      </w:r>
    </w:p>
    <w:p w14:paraId="6ADF52A2" w14:textId="77777777" w:rsidR="00F30A91" w:rsidRPr="00B33F79" w:rsidRDefault="00F30A91" w:rsidP="00F30A9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1472090A" w14:textId="677AF556" w:rsidR="00F30A91" w:rsidRPr="00B33F79" w:rsidRDefault="00F30A91" w:rsidP="00F30A91">
      <w:pPr>
        <w:pStyle w:val="NormalBold"/>
      </w:pPr>
      <w:r w:rsidRPr="00B33F79">
        <w:rPr>
          <w:rStyle w:val="HideTWBExt"/>
          <w:b w:val="0"/>
          <w:noProof w:val="0"/>
        </w:rPr>
        <w:t>&lt;Article&gt;</w:t>
      </w:r>
      <w:r w:rsidRPr="00B33F79">
        <w:rPr>
          <w:color w:val="0000EB"/>
        </w:rPr>
        <w:t>Article 2 – paragraph 2 a (new)</w:t>
      </w:r>
      <w:r w:rsidRPr="00B33F7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30A91" w:rsidRPr="00B33F79" w14:paraId="01FF0492" w14:textId="77777777" w:rsidTr="001619ED">
        <w:trPr>
          <w:jc w:val="center"/>
        </w:trPr>
        <w:tc>
          <w:tcPr>
            <w:tcW w:w="9752" w:type="dxa"/>
            <w:gridSpan w:val="2"/>
          </w:tcPr>
          <w:p w14:paraId="75D18598" w14:textId="77777777" w:rsidR="00F30A91" w:rsidRPr="00B33F79" w:rsidRDefault="00F30A91">
            <w:pPr>
              <w:keepNext/>
            </w:pPr>
          </w:p>
        </w:tc>
      </w:tr>
      <w:tr w:rsidR="00F30A91" w:rsidRPr="00B33F79" w14:paraId="4ECEFAC3" w14:textId="77777777" w:rsidTr="001619ED">
        <w:trPr>
          <w:jc w:val="center"/>
        </w:trPr>
        <w:tc>
          <w:tcPr>
            <w:tcW w:w="4876" w:type="dxa"/>
            <w:hideMark/>
          </w:tcPr>
          <w:p w14:paraId="2F5EFB54" w14:textId="77777777" w:rsidR="00F30A91" w:rsidRPr="00B33F79" w:rsidRDefault="00F30A91">
            <w:pPr>
              <w:pStyle w:val="ColumnHeading"/>
              <w:keepNext/>
              <w:rPr>
                <w:color w:val="0000FA"/>
              </w:rPr>
            </w:pPr>
            <w:r w:rsidRPr="00B33F79">
              <w:rPr>
                <w:color w:val="0000FA"/>
              </w:rPr>
              <w:t>Text proposed by the Commission</w:t>
            </w:r>
          </w:p>
        </w:tc>
        <w:tc>
          <w:tcPr>
            <w:tcW w:w="4876" w:type="dxa"/>
            <w:hideMark/>
          </w:tcPr>
          <w:p w14:paraId="69DC9863" w14:textId="77777777" w:rsidR="00F30A91" w:rsidRPr="00B33F79" w:rsidRDefault="00F30A91">
            <w:pPr>
              <w:pStyle w:val="ColumnHeading"/>
              <w:keepNext/>
              <w:rPr>
                <w:color w:val="0000F5"/>
              </w:rPr>
            </w:pPr>
            <w:r w:rsidRPr="00B33F79">
              <w:rPr>
                <w:color w:val="0000F5"/>
              </w:rPr>
              <w:t>Amendment</w:t>
            </w:r>
          </w:p>
        </w:tc>
      </w:tr>
      <w:tr w:rsidR="00F30A91" w:rsidRPr="00B33F79" w14:paraId="7E85F612" w14:textId="77777777" w:rsidTr="001619ED">
        <w:trPr>
          <w:jc w:val="center"/>
        </w:trPr>
        <w:tc>
          <w:tcPr>
            <w:tcW w:w="4876" w:type="dxa"/>
            <w:hideMark/>
          </w:tcPr>
          <w:p w14:paraId="7576DAC9" w14:textId="23CFC497" w:rsidR="00F30A91" w:rsidRPr="00B33F79" w:rsidRDefault="00F30A91">
            <w:pPr>
              <w:pStyle w:val="Normal6"/>
              <w:rPr>
                <w:color w:val="0000FA"/>
              </w:rPr>
            </w:pPr>
          </w:p>
        </w:tc>
        <w:tc>
          <w:tcPr>
            <w:tcW w:w="4876" w:type="dxa"/>
            <w:hideMark/>
          </w:tcPr>
          <w:p w14:paraId="6BB449F4" w14:textId="7C3D3B5C" w:rsidR="00F30A91" w:rsidRPr="00B33F79" w:rsidRDefault="001619ED" w:rsidP="00C902FF">
            <w:pPr>
              <w:pStyle w:val="Normal6"/>
              <w:rPr>
                <w:color w:val="000005"/>
                <w:szCs w:val="24"/>
              </w:rPr>
            </w:pPr>
            <w:r w:rsidRPr="00B33F79">
              <w:rPr>
                <w:b/>
                <w:i/>
                <w:color w:val="000005"/>
              </w:rPr>
              <w:t>2a.</w:t>
            </w:r>
            <w:r w:rsidRPr="00B33F79">
              <w:rPr>
                <w:b/>
                <w:i/>
                <w:color w:val="000005"/>
              </w:rPr>
              <w:tab/>
              <w:t>Under their domestic legislation, Member States shall grant employers who comply with this Directive incentives proportionate to the impact of the investment on their balance sheet.</w:t>
            </w:r>
          </w:p>
        </w:tc>
      </w:tr>
    </w:tbl>
    <w:p w14:paraId="17D31329" w14:textId="77777777" w:rsidR="00F30A91" w:rsidRPr="00B33F79" w:rsidRDefault="00F30A91"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1792D6FA" w14:textId="77777777" w:rsidR="00F844DE" w:rsidRPr="00B33F79" w:rsidRDefault="00F844DE" w:rsidP="00F844DE">
      <w:pPr>
        <w:rPr>
          <w:szCs w:val="24"/>
        </w:rPr>
      </w:pPr>
      <w:r w:rsidRPr="00B33F79">
        <w:rPr>
          <w:rStyle w:val="HideTWBExt"/>
          <w:noProof w:val="0"/>
        </w:rPr>
        <w:t>&lt;/Amend&gt;</w:t>
      </w:r>
    </w:p>
    <w:p w14:paraId="774DE871" w14:textId="541B41FD" w:rsidR="00E2011F" w:rsidRPr="00B33F79" w:rsidRDefault="00E2011F" w:rsidP="00E2011F">
      <w:pPr>
        <w:pStyle w:val="AMNumberTabs"/>
        <w:keepNext/>
      </w:pPr>
      <w:r w:rsidRPr="00B33F79">
        <w:rPr>
          <w:rStyle w:val="HideTWBExt"/>
          <w:b w:val="0"/>
          <w:noProof w:val="0"/>
        </w:rPr>
        <w:lastRenderedPageBreak/>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19</w:t>
      </w:r>
      <w:r w:rsidRPr="00B33F79">
        <w:rPr>
          <w:rStyle w:val="HideTWBExt"/>
          <w:b w:val="0"/>
          <w:noProof w:val="0"/>
        </w:rPr>
        <w:t>&lt;/NumAm&gt;</w:t>
      </w:r>
    </w:p>
    <w:p w14:paraId="02DB3D07" w14:textId="77777777" w:rsidR="00E2011F" w:rsidRPr="00B33F79" w:rsidRDefault="00E2011F" w:rsidP="00E2011F">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2FC0E054" w14:textId="77777777" w:rsidR="0094304D" w:rsidRPr="00B33F79" w:rsidRDefault="0094304D" w:rsidP="0094304D">
      <w:pPr>
        <w:pStyle w:val="NormalBold"/>
      </w:pPr>
      <w:r w:rsidRPr="00B33F79">
        <w:rPr>
          <w:rStyle w:val="HideTWBExt"/>
          <w:b w:val="0"/>
          <w:noProof w:val="0"/>
        </w:rPr>
        <w:t>&lt;Article&gt;</w:t>
      </w:r>
      <w:r w:rsidRPr="00B33F79">
        <w:rPr>
          <w:color w:val="0000EB"/>
        </w:rPr>
        <w:t>Article 1 – paragraph 1 – point -1 (new)</w:t>
      </w:r>
      <w:r w:rsidRPr="00B33F79">
        <w:rPr>
          <w:rStyle w:val="HideTWBExt"/>
          <w:b w:val="0"/>
          <w:noProof w:val="0"/>
        </w:rPr>
        <w:t>&lt;/Article&gt;</w:t>
      </w:r>
    </w:p>
    <w:p w14:paraId="156AC57F" w14:textId="77777777" w:rsidR="0094304D" w:rsidRPr="00B33F79" w:rsidRDefault="0094304D" w:rsidP="0094304D">
      <w:pPr>
        <w:keepNext/>
      </w:pPr>
      <w:r w:rsidRPr="00B33F79">
        <w:rPr>
          <w:rStyle w:val="HideTWBExt"/>
          <w:noProof w:val="0"/>
        </w:rPr>
        <w:t>&lt;DocAmend2&gt;</w:t>
      </w:r>
      <w:r w:rsidRPr="00B33F79">
        <w:rPr>
          <w:color w:val="0000F0"/>
        </w:rPr>
        <w:t>Directive 2004/37/EC</w:t>
      </w:r>
      <w:r w:rsidRPr="00B33F79">
        <w:rPr>
          <w:rStyle w:val="HideTWBExt"/>
          <w:noProof w:val="0"/>
        </w:rPr>
        <w:t>&lt;/DocAmend2&gt;</w:t>
      </w:r>
    </w:p>
    <w:p w14:paraId="3C274E7C" w14:textId="77777777" w:rsidR="0094304D" w:rsidRPr="00B33F79" w:rsidRDefault="0094304D" w:rsidP="0094304D">
      <w:r w:rsidRPr="00B33F79">
        <w:rPr>
          <w:rStyle w:val="HideTWBExt"/>
          <w:noProof w:val="0"/>
        </w:rPr>
        <w:t>&lt;Article2&gt;</w:t>
      </w:r>
      <w:r w:rsidRPr="00B33F79">
        <w:rPr>
          <w:color w:val="0000EB"/>
        </w:rPr>
        <w:t xml:space="preserve">Article 4 – paragraph 1 a (new) </w:t>
      </w:r>
      <w:r w:rsidRPr="00B33F7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011F" w:rsidRPr="00B33F79" w14:paraId="1342F46A" w14:textId="77777777" w:rsidTr="00E2011F">
        <w:trPr>
          <w:jc w:val="center"/>
        </w:trPr>
        <w:tc>
          <w:tcPr>
            <w:tcW w:w="9752" w:type="dxa"/>
            <w:gridSpan w:val="2"/>
          </w:tcPr>
          <w:p w14:paraId="4AFAD179" w14:textId="77777777" w:rsidR="00E2011F" w:rsidRPr="00B33F79" w:rsidRDefault="00E2011F" w:rsidP="007A2F98">
            <w:pPr>
              <w:keepNext/>
            </w:pPr>
          </w:p>
        </w:tc>
      </w:tr>
      <w:tr w:rsidR="00E2011F" w:rsidRPr="00B33F79" w14:paraId="6BB3B703" w14:textId="77777777" w:rsidTr="00E2011F">
        <w:trPr>
          <w:jc w:val="center"/>
        </w:trPr>
        <w:tc>
          <w:tcPr>
            <w:tcW w:w="4876" w:type="dxa"/>
            <w:hideMark/>
          </w:tcPr>
          <w:p w14:paraId="0AA737BD" w14:textId="77777777" w:rsidR="00E2011F" w:rsidRPr="00B33F79" w:rsidRDefault="00E2011F" w:rsidP="007A2F98">
            <w:pPr>
              <w:pStyle w:val="ColumnHeading"/>
              <w:keepNext/>
              <w:rPr>
                <w:color w:val="0000FA"/>
              </w:rPr>
            </w:pPr>
            <w:r w:rsidRPr="00B33F79">
              <w:rPr>
                <w:color w:val="0000FA"/>
              </w:rPr>
              <w:t>Text proposed by the Commission</w:t>
            </w:r>
          </w:p>
        </w:tc>
        <w:tc>
          <w:tcPr>
            <w:tcW w:w="4876" w:type="dxa"/>
            <w:hideMark/>
          </w:tcPr>
          <w:p w14:paraId="4C120E19" w14:textId="77777777" w:rsidR="00E2011F" w:rsidRPr="00B33F79" w:rsidRDefault="00E2011F" w:rsidP="007A2F98">
            <w:pPr>
              <w:pStyle w:val="ColumnHeading"/>
              <w:keepNext/>
              <w:rPr>
                <w:color w:val="0000F5"/>
              </w:rPr>
            </w:pPr>
            <w:r w:rsidRPr="00B33F79">
              <w:rPr>
                <w:color w:val="0000F5"/>
              </w:rPr>
              <w:t>Amendment</w:t>
            </w:r>
          </w:p>
        </w:tc>
      </w:tr>
      <w:tr w:rsidR="0094304D" w:rsidRPr="00B33F79" w14:paraId="72139BD9" w14:textId="77777777" w:rsidTr="00E2011F">
        <w:trPr>
          <w:jc w:val="center"/>
        </w:trPr>
        <w:tc>
          <w:tcPr>
            <w:tcW w:w="4876" w:type="dxa"/>
          </w:tcPr>
          <w:p w14:paraId="6880D770" w14:textId="77777777" w:rsidR="0094304D" w:rsidRPr="00B33F79" w:rsidRDefault="0094304D" w:rsidP="007A2F98">
            <w:pPr>
              <w:pStyle w:val="Normal6"/>
              <w:rPr>
                <w:color w:val="0000FA"/>
              </w:rPr>
            </w:pPr>
          </w:p>
        </w:tc>
        <w:tc>
          <w:tcPr>
            <w:tcW w:w="4876" w:type="dxa"/>
          </w:tcPr>
          <w:p w14:paraId="31D5CC83" w14:textId="0C9DB8E4" w:rsidR="0094304D" w:rsidRPr="00B33F79" w:rsidRDefault="0094304D" w:rsidP="0094304D">
            <w:pPr>
              <w:pStyle w:val="Normal6"/>
              <w:rPr>
                <w:b/>
                <w:i/>
                <w:color w:val="000005"/>
              </w:rPr>
            </w:pPr>
            <w:r w:rsidRPr="00B33F79">
              <w:rPr>
                <w:b/>
                <w:i/>
                <w:color w:val="000005"/>
              </w:rPr>
              <w:t>(-1)</w:t>
            </w:r>
            <w:r w:rsidRPr="00B33F79">
              <w:rPr>
                <w:b/>
                <w:i/>
                <w:color w:val="000005"/>
              </w:rPr>
              <w:tab/>
              <w:t>In Article 4 the following paragraph is inserted:</w:t>
            </w:r>
          </w:p>
        </w:tc>
      </w:tr>
      <w:tr w:rsidR="00E2011F" w:rsidRPr="00B33F79" w14:paraId="19207CA9" w14:textId="77777777" w:rsidTr="00E2011F">
        <w:trPr>
          <w:jc w:val="center"/>
        </w:trPr>
        <w:tc>
          <w:tcPr>
            <w:tcW w:w="4876" w:type="dxa"/>
          </w:tcPr>
          <w:p w14:paraId="754EC100" w14:textId="77777777" w:rsidR="00E2011F" w:rsidRPr="00B33F79" w:rsidRDefault="00E2011F" w:rsidP="007A2F98">
            <w:pPr>
              <w:pStyle w:val="Normal6"/>
              <w:rPr>
                <w:color w:val="0000FA"/>
              </w:rPr>
            </w:pPr>
          </w:p>
        </w:tc>
        <w:tc>
          <w:tcPr>
            <w:tcW w:w="4876" w:type="dxa"/>
            <w:hideMark/>
          </w:tcPr>
          <w:p w14:paraId="694F0FDD" w14:textId="6A7121EB" w:rsidR="00E2011F" w:rsidRPr="00B33F79" w:rsidRDefault="00201A65" w:rsidP="007A2F98">
            <w:pPr>
              <w:pStyle w:val="Normal6"/>
              <w:rPr>
                <w:b/>
                <w:i/>
                <w:color w:val="000005"/>
                <w:szCs w:val="24"/>
              </w:rPr>
            </w:pPr>
            <w:r w:rsidRPr="00B33F79">
              <w:rPr>
                <w:b/>
                <w:i/>
                <w:color w:val="000005"/>
              </w:rPr>
              <w:t>“1a.</w:t>
            </w:r>
            <w:r w:rsidRPr="00B33F79">
              <w:rPr>
                <w:b/>
                <w:i/>
                <w:color w:val="000005"/>
              </w:rPr>
              <w:tab/>
              <w:t>Paragraph 1 shall apply to hazardous drugs (including cytotoxic drugs) referred to in Annex I, only if the reduction of the use of a hazardous drug does not prejudice patients' health or does not decrease the efficiency of the treatment.”</w:t>
            </w:r>
          </w:p>
        </w:tc>
      </w:tr>
    </w:tbl>
    <w:p w14:paraId="0E5B1E0A" w14:textId="77777777" w:rsidR="00E2011F" w:rsidRPr="00B33F79" w:rsidRDefault="00E2011F"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{EN}</w:t>
      </w:r>
      <w:r w:rsidRPr="00B33F79">
        <w:rPr>
          <w:noProof w:val="0"/>
          <w:color w:val="0000F0"/>
          <w:szCs w:val="24"/>
        </w:rPr>
        <w:t>en</w:t>
      </w:r>
      <w:r w:rsidRPr="00B33F79">
        <w:rPr>
          <w:rStyle w:val="HideTWBExt"/>
          <w:noProof w:val="0"/>
        </w:rPr>
        <w:t>&lt;/Original&gt;</w:t>
      </w:r>
    </w:p>
    <w:p w14:paraId="589C136A" w14:textId="77777777" w:rsidR="00E2011F" w:rsidRPr="00B33F79" w:rsidRDefault="00E2011F" w:rsidP="00E2011F">
      <w:pPr>
        <w:rPr>
          <w:szCs w:val="24"/>
        </w:rPr>
      </w:pPr>
      <w:r w:rsidRPr="00B33F79">
        <w:rPr>
          <w:rStyle w:val="HideTWBExt"/>
          <w:noProof w:val="0"/>
        </w:rPr>
        <w:t>&lt;/Amend&gt;</w:t>
      </w:r>
    </w:p>
    <w:p w14:paraId="76A1A2AB" w14:textId="34BF73A2" w:rsidR="00E2011F" w:rsidRPr="00B33F79" w:rsidRDefault="00E2011F" w:rsidP="00E2011F">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20</w:t>
      </w:r>
      <w:r w:rsidRPr="00B33F79">
        <w:rPr>
          <w:rStyle w:val="HideTWBExt"/>
          <w:b w:val="0"/>
          <w:noProof w:val="0"/>
        </w:rPr>
        <w:t>&lt;/NumAm&gt;</w:t>
      </w:r>
    </w:p>
    <w:p w14:paraId="31EA802B" w14:textId="77777777" w:rsidR="00E2011F" w:rsidRPr="00B33F79" w:rsidRDefault="00E2011F" w:rsidP="00E2011F">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0C43C9D1" w14:textId="77777777" w:rsidR="0094304D" w:rsidRPr="00B33F79" w:rsidRDefault="0094304D" w:rsidP="0094304D">
      <w:pPr>
        <w:pStyle w:val="NormalBold"/>
      </w:pPr>
      <w:r w:rsidRPr="00B33F79">
        <w:rPr>
          <w:rStyle w:val="HideTWBExt"/>
          <w:b w:val="0"/>
          <w:noProof w:val="0"/>
        </w:rPr>
        <w:t>&lt;Article&gt;</w:t>
      </w:r>
      <w:r w:rsidRPr="00B33F79">
        <w:rPr>
          <w:color w:val="0000EB"/>
        </w:rPr>
        <w:t>Article 1 – paragraph 1 – point -1 a (new)</w:t>
      </w:r>
      <w:r w:rsidRPr="00B33F79">
        <w:rPr>
          <w:rStyle w:val="HideTWBExt"/>
          <w:b w:val="0"/>
          <w:noProof w:val="0"/>
        </w:rPr>
        <w:t>&lt;/Article&gt;</w:t>
      </w:r>
    </w:p>
    <w:p w14:paraId="1FA20263" w14:textId="77777777" w:rsidR="0094304D" w:rsidRPr="00B33F79" w:rsidRDefault="0094304D" w:rsidP="0094304D">
      <w:pPr>
        <w:keepNext/>
      </w:pPr>
      <w:r w:rsidRPr="00B33F79">
        <w:rPr>
          <w:rStyle w:val="HideTWBExt"/>
          <w:noProof w:val="0"/>
        </w:rPr>
        <w:t>&lt;DocAmend2&gt;</w:t>
      </w:r>
      <w:r w:rsidRPr="00B33F79">
        <w:rPr>
          <w:color w:val="0000F0"/>
        </w:rPr>
        <w:t>Directive 2004/37/EC</w:t>
      </w:r>
      <w:r w:rsidRPr="00B33F79">
        <w:rPr>
          <w:rStyle w:val="HideTWBExt"/>
          <w:noProof w:val="0"/>
        </w:rPr>
        <w:t>&lt;/DocAmend2&gt;</w:t>
      </w:r>
    </w:p>
    <w:p w14:paraId="254250EE" w14:textId="77777777" w:rsidR="0094304D" w:rsidRPr="00B33F79" w:rsidRDefault="0094304D" w:rsidP="0094304D">
      <w:r w:rsidRPr="00B33F79">
        <w:rPr>
          <w:rStyle w:val="HideTWBExt"/>
          <w:b/>
          <w:noProof w:val="0"/>
        </w:rPr>
        <w:t>&lt;Article2&gt;</w:t>
      </w:r>
      <w:r w:rsidRPr="00B33F79">
        <w:rPr>
          <w:color w:val="0000EB"/>
        </w:rPr>
        <w:t>Article 5 – paragraph 2</w:t>
      </w:r>
      <w:r w:rsidRPr="00B33F79">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011F" w:rsidRPr="00B33F79" w14:paraId="127761EB" w14:textId="77777777" w:rsidTr="007A2F98">
        <w:trPr>
          <w:jc w:val="center"/>
        </w:trPr>
        <w:tc>
          <w:tcPr>
            <w:tcW w:w="9752" w:type="dxa"/>
            <w:gridSpan w:val="2"/>
          </w:tcPr>
          <w:p w14:paraId="7C278071" w14:textId="77777777" w:rsidR="00E2011F" w:rsidRPr="00B33F79" w:rsidRDefault="00E2011F" w:rsidP="007A2F98">
            <w:pPr>
              <w:keepNext/>
            </w:pPr>
          </w:p>
        </w:tc>
      </w:tr>
      <w:tr w:rsidR="00E2011F" w:rsidRPr="00B33F79" w14:paraId="6336D5AB" w14:textId="77777777" w:rsidTr="007A2F98">
        <w:trPr>
          <w:jc w:val="center"/>
        </w:trPr>
        <w:tc>
          <w:tcPr>
            <w:tcW w:w="4876" w:type="dxa"/>
            <w:hideMark/>
          </w:tcPr>
          <w:p w14:paraId="08F43962" w14:textId="12057166" w:rsidR="00E2011F" w:rsidRPr="00B33F79" w:rsidRDefault="003F674B" w:rsidP="007A2F98">
            <w:pPr>
              <w:pStyle w:val="ColumnHeading"/>
              <w:keepNext/>
              <w:rPr>
                <w:color w:val="0000FA"/>
              </w:rPr>
            </w:pPr>
            <w:r w:rsidRPr="00B33F79">
              <w:rPr>
                <w:color w:val="0000FA"/>
              </w:rPr>
              <w:t>Present text</w:t>
            </w:r>
          </w:p>
        </w:tc>
        <w:tc>
          <w:tcPr>
            <w:tcW w:w="4876" w:type="dxa"/>
            <w:hideMark/>
          </w:tcPr>
          <w:p w14:paraId="1C4A233E" w14:textId="77777777" w:rsidR="00E2011F" w:rsidRPr="00B33F79" w:rsidRDefault="00E2011F" w:rsidP="007A2F98">
            <w:pPr>
              <w:pStyle w:val="ColumnHeading"/>
              <w:keepNext/>
              <w:rPr>
                <w:color w:val="0000F5"/>
              </w:rPr>
            </w:pPr>
            <w:r w:rsidRPr="00B33F79">
              <w:rPr>
                <w:color w:val="0000F5"/>
              </w:rPr>
              <w:t>Amendment</w:t>
            </w:r>
          </w:p>
        </w:tc>
      </w:tr>
      <w:tr w:rsidR="0094304D" w:rsidRPr="00B33F79" w14:paraId="509F5D01" w14:textId="77777777" w:rsidTr="007A2F98">
        <w:trPr>
          <w:jc w:val="center"/>
        </w:trPr>
        <w:tc>
          <w:tcPr>
            <w:tcW w:w="4876" w:type="dxa"/>
          </w:tcPr>
          <w:p w14:paraId="49AFDA49" w14:textId="77777777" w:rsidR="0094304D" w:rsidRPr="00B33F79" w:rsidRDefault="0094304D" w:rsidP="007A2F98">
            <w:pPr>
              <w:pStyle w:val="Normal6"/>
              <w:rPr>
                <w:color w:val="0000FA"/>
              </w:rPr>
            </w:pPr>
          </w:p>
        </w:tc>
        <w:tc>
          <w:tcPr>
            <w:tcW w:w="4876" w:type="dxa"/>
          </w:tcPr>
          <w:p w14:paraId="7A560233" w14:textId="75DC03C2" w:rsidR="0094304D" w:rsidRPr="00B33F79" w:rsidRDefault="00F03819" w:rsidP="007A2F98">
            <w:pPr>
              <w:pStyle w:val="Normal6"/>
              <w:rPr>
                <w:b/>
                <w:i/>
                <w:color w:val="000005"/>
              </w:rPr>
            </w:pPr>
            <w:r w:rsidRPr="00B33F79">
              <w:rPr>
                <w:b/>
                <w:i/>
                <w:color w:val="000005"/>
              </w:rPr>
              <w:t xml:space="preserve">(-1a) </w:t>
            </w:r>
            <w:r w:rsidRPr="00B33F79">
              <w:rPr>
                <w:b/>
                <w:i/>
                <w:color w:val="000005"/>
              </w:rPr>
              <w:tab/>
              <w:t>Article 5, paragraph 2, is replaced by the following:</w:t>
            </w:r>
          </w:p>
        </w:tc>
      </w:tr>
      <w:tr w:rsidR="00E2011F" w:rsidRPr="00B33F79" w14:paraId="7791F896" w14:textId="77777777" w:rsidTr="007A2F98">
        <w:trPr>
          <w:jc w:val="center"/>
        </w:trPr>
        <w:tc>
          <w:tcPr>
            <w:tcW w:w="4876" w:type="dxa"/>
          </w:tcPr>
          <w:p w14:paraId="0CBFE095" w14:textId="77777777" w:rsidR="00E2011F" w:rsidRPr="00B33F79" w:rsidRDefault="003F674B" w:rsidP="00A9272A">
            <w:pPr>
              <w:pStyle w:val="Normal6"/>
              <w:rPr>
                <w:color w:val="0000FA"/>
              </w:rPr>
            </w:pPr>
            <w:r w:rsidRPr="00B33F79">
              <w:rPr>
                <w:color w:val="0000FA"/>
              </w:rPr>
              <w:t>2.</w:t>
            </w:r>
            <w:r w:rsidRPr="00B33F79">
              <w:rPr>
                <w:b/>
                <w:i/>
                <w:color w:val="0000FA"/>
              </w:rPr>
              <w:tab/>
            </w:r>
            <w:r w:rsidRPr="00B33F79">
              <w:rPr>
                <w:color w:val="0000FA"/>
              </w:rPr>
              <w:t>Where it is not technically possible to replace the carcinogen or mutagen by a substance, mixture or process which, under its conditions of use, is not dangerous or is less dangerous to health or safety, the employer shall ensure that the carcinogen or mutagen is, in so far as is technically possible, manufactured and used in a closed system.</w:t>
            </w:r>
          </w:p>
        </w:tc>
        <w:tc>
          <w:tcPr>
            <w:tcW w:w="4876" w:type="dxa"/>
            <w:hideMark/>
          </w:tcPr>
          <w:p w14:paraId="38177937" w14:textId="1489220A" w:rsidR="00E2011F" w:rsidRPr="00B33F79" w:rsidRDefault="003F674B" w:rsidP="00201A65">
            <w:pPr>
              <w:pStyle w:val="Normal6"/>
              <w:rPr>
                <w:b/>
                <w:i/>
                <w:color w:val="000005"/>
                <w:szCs w:val="24"/>
              </w:rPr>
            </w:pPr>
            <w:r w:rsidRPr="00B33F79">
              <w:rPr>
                <w:color w:val="000005"/>
              </w:rPr>
              <w:t>“2.</w:t>
            </w:r>
            <w:r w:rsidRPr="00B33F79">
              <w:rPr>
                <w:b/>
                <w:i/>
                <w:color w:val="000005"/>
              </w:rPr>
              <w:tab/>
            </w:r>
            <w:r w:rsidRPr="00B33F79">
              <w:rPr>
                <w:color w:val="000005"/>
              </w:rPr>
              <w:t xml:space="preserve">Where it is not technically possible to replace the carcinogen or mutagen by a substance, mixture or process which, under its conditions of use, is not dangerous or is less dangerous to health or safety, </w:t>
            </w:r>
            <w:r w:rsidRPr="00B33F79">
              <w:rPr>
                <w:b/>
                <w:i/>
                <w:color w:val="000005"/>
              </w:rPr>
              <w:t xml:space="preserve">or where the replacement of a hazardous drug (including cytotoxic drugs) referred to in Annex I is not possible without prejudice to patients' health or without the decrease of the efficiency of the treatment, </w:t>
            </w:r>
            <w:r w:rsidRPr="00B33F79">
              <w:rPr>
                <w:color w:val="000005"/>
              </w:rPr>
              <w:t>the employer shall ensure that the carcinogen or mutagen is, in so far as is technically possible, manufactured and used in a closed system.”</w:t>
            </w:r>
          </w:p>
        </w:tc>
      </w:tr>
    </w:tbl>
    <w:p w14:paraId="35FA88E1" w14:textId="77777777" w:rsidR="00E2011F" w:rsidRPr="00B33F79" w:rsidRDefault="00E2011F" w:rsidP="003A5A4F">
      <w:pPr>
        <w:pStyle w:val="Olang"/>
        <w:rPr>
          <w:noProof w:val="0"/>
          <w:szCs w:val="24"/>
        </w:rPr>
      </w:pPr>
      <w:r w:rsidRPr="00B33F79">
        <w:rPr>
          <w:noProof w:val="0"/>
          <w:color w:val="0000F0"/>
          <w:szCs w:val="24"/>
        </w:rPr>
        <w:lastRenderedPageBreak/>
        <w:t xml:space="preserve">Or. </w:t>
      </w:r>
      <w:r w:rsidRPr="00B33F79">
        <w:rPr>
          <w:rStyle w:val="HideTWBExt"/>
          <w:noProof w:val="0"/>
        </w:rPr>
        <w:t>&lt;Original&gt;</w:t>
      </w:r>
      <w:r w:rsidRPr="00B33F79">
        <w:rPr>
          <w:rStyle w:val="HideTWBInt"/>
          <w:noProof w:val="0"/>
        </w:rPr>
        <w:t>{</w:t>
      </w:r>
      <w:r w:rsidR="0094304D" w:rsidRPr="00B33F79">
        <w:rPr>
          <w:rStyle w:val="HideTWBInt"/>
          <w:noProof w:val="0"/>
        </w:rPr>
        <w:t>EN</w:t>
      </w:r>
      <w:r w:rsidRPr="00B33F79">
        <w:rPr>
          <w:rStyle w:val="HideTWBInt"/>
          <w:noProof w:val="0"/>
        </w:rPr>
        <w:t>}</w:t>
      </w:r>
      <w:r w:rsidR="0094304D" w:rsidRPr="00B33F79">
        <w:rPr>
          <w:noProof w:val="0"/>
          <w:color w:val="0000F0"/>
          <w:szCs w:val="24"/>
        </w:rPr>
        <w:t>en</w:t>
      </w:r>
      <w:r w:rsidRPr="00B33F79">
        <w:rPr>
          <w:rStyle w:val="HideTWBExt"/>
          <w:noProof w:val="0"/>
        </w:rPr>
        <w:t>&lt;/Original&gt;</w:t>
      </w:r>
    </w:p>
    <w:p w14:paraId="6761F947" w14:textId="77777777" w:rsidR="00E2011F" w:rsidRPr="00B33F79" w:rsidRDefault="00E2011F" w:rsidP="00E2011F">
      <w:pPr>
        <w:rPr>
          <w:szCs w:val="24"/>
        </w:rPr>
      </w:pPr>
      <w:r w:rsidRPr="00B33F79">
        <w:rPr>
          <w:rStyle w:val="HideTWBExt"/>
          <w:noProof w:val="0"/>
        </w:rPr>
        <w:t>&lt;/Amend&gt;</w:t>
      </w:r>
    </w:p>
    <w:p w14:paraId="34A4F4F5" w14:textId="2FC3D6D5" w:rsidR="00F03819" w:rsidRPr="00B33F79" w:rsidRDefault="00F03819" w:rsidP="00F03819">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21</w:t>
      </w:r>
      <w:r w:rsidRPr="00B33F79">
        <w:rPr>
          <w:rStyle w:val="HideTWBExt"/>
          <w:b w:val="0"/>
          <w:noProof w:val="0"/>
        </w:rPr>
        <w:t>&lt;/NumAm&gt;</w:t>
      </w:r>
    </w:p>
    <w:p w14:paraId="37561E84" w14:textId="77777777" w:rsidR="00F03819" w:rsidRPr="00B33F79" w:rsidRDefault="00F03819" w:rsidP="00F03819">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7DDD7AAD" w14:textId="48126B84" w:rsidR="00F03819" w:rsidRPr="00B33F79" w:rsidRDefault="00F03819" w:rsidP="00F03819">
      <w:pPr>
        <w:pStyle w:val="NormalBold"/>
      </w:pPr>
      <w:r w:rsidRPr="00B33F79">
        <w:rPr>
          <w:rStyle w:val="HideTWBExt"/>
          <w:b w:val="0"/>
          <w:noProof w:val="0"/>
        </w:rPr>
        <w:t>&lt;Article&gt;</w:t>
      </w:r>
      <w:r w:rsidRPr="00B33F79">
        <w:rPr>
          <w:color w:val="0000EB"/>
        </w:rPr>
        <w:t>Article 1 – paragraph 1 – point -1 b (new)</w:t>
      </w:r>
      <w:r w:rsidRPr="00B33F79">
        <w:rPr>
          <w:rStyle w:val="HideTWBExt"/>
          <w:b w:val="0"/>
          <w:noProof w:val="0"/>
        </w:rPr>
        <w:t>&lt;/Article&gt;</w:t>
      </w:r>
    </w:p>
    <w:p w14:paraId="34B83F0D" w14:textId="77777777" w:rsidR="00F03819" w:rsidRPr="00B33F79" w:rsidRDefault="00F03819" w:rsidP="00F03819">
      <w:pPr>
        <w:keepNext/>
      </w:pPr>
      <w:r w:rsidRPr="00B33F79">
        <w:rPr>
          <w:rStyle w:val="HideTWBExt"/>
          <w:noProof w:val="0"/>
        </w:rPr>
        <w:t>&lt;DocAmend2&gt;</w:t>
      </w:r>
      <w:r w:rsidRPr="00B33F79">
        <w:rPr>
          <w:color w:val="0000F0"/>
        </w:rPr>
        <w:t>Directive 2004/37/EC</w:t>
      </w:r>
      <w:r w:rsidRPr="00B33F79">
        <w:rPr>
          <w:rStyle w:val="HideTWBExt"/>
          <w:noProof w:val="0"/>
        </w:rPr>
        <w:t>&lt;/DocAmend2&gt;</w:t>
      </w:r>
    </w:p>
    <w:p w14:paraId="1B57A779" w14:textId="05B37136" w:rsidR="00F03819" w:rsidRPr="00B33F79" w:rsidRDefault="00F03819" w:rsidP="00F03819">
      <w:r w:rsidRPr="00B33F79">
        <w:rPr>
          <w:rStyle w:val="HideTWBExt"/>
          <w:b/>
          <w:noProof w:val="0"/>
        </w:rPr>
        <w:t>&lt;Article2&gt;</w:t>
      </w:r>
      <w:r w:rsidRPr="00B33F79">
        <w:rPr>
          <w:color w:val="0000EB"/>
        </w:rPr>
        <w:t>Annex I – point 5 a (new)</w:t>
      </w:r>
      <w:r w:rsidRPr="00B33F79">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03819" w:rsidRPr="00B33F79" w14:paraId="510608BE" w14:textId="77777777" w:rsidTr="007A2F98">
        <w:trPr>
          <w:jc w:val="center"/>
        </w:trPr>
        <w:tc>
          <w:tcPr>
            <w:tcW w:w="9752" w:type="dxa"/>
            <w:gridSpan w:val="2"/>
          </w:tcPr>
          <w:p w14:paraId="0CC086F4" w14:textId="77777777" w:rsidR="00F03819" w:rsidRPr="00B33F79" w:rsidRDefault="00F03819" w:rsidP="007A2F98">
            <w:pPr>
              <w:keepNext/>
            </w:pPr>
          </w:p>
        </w:tc>
      </w:tr>
      <w:tr w:rsidR="00F03819" w:rsidRPr="00B33F79" w14:paraId="6B33037F" w14:textId="77777777" w:rsidTr="007A2F98">
        <w:trPr>
          <w:jc w:val="center"/>
        </w:trPr>
        <w:tc>
          <w:tcPr>
            <w:tcW w:w="4876" w:type="dxa"/>
            <w:hideMark/>
          </w:tcPr>
          <w:p w14:paraId="6F8A5383" w14:textId="77777777" w:rsidR="00F03819" w:rsidRPr="00B33F79" w:rsidRDefault="00F03819" w:rsidP="007A2F98">
            <w:pPr>
              <w:pStyle w:val="ColumnHeading"/>
              <w:keepNext/>
              <w:rPr>
                <w:color w:val="0000FA"/>
              </w:rPr>
            </w:pPr>
            <w:r w:rsidRPr="00B33F79">
              <w:rPr>
                <w:color w:val="0000FA"/>
              </w:rPr>
              <w:t>Text proposed by the Commission</w:t>
            </w:r>
          </w:p>
        </w:tc>
        <w:tc>
          <w:tcPr>
            <w:tcW w:w="4876" w:type="dxa"/>
            <w:hideMark/>
          </w:tcPr>
          <w:p w14:paraId="28B2B769" w14:textId="77777777" w:rsidR="00F03819" w:rsidRPr="00B33F79" w:rsidRDefault="00F03819" w:rsidP="007A2F98">
            <w:pPr>
              <w:pStyle w:val="ColumnHeading"/>
              <w:keepNext/>
              <w:rPr>
                <w:color w:val="0000F5"/>
              </w:rPr>
            </w:pPr>
            <w:r w:rsidRPr="00B33F79">
              <w:rPr>
                <w:color w:val="0000F5"/>
              </w:rPr>
              <w:t>Amendment</w:t>
            </w:r>
          </w:p>
        </w:tc>
      </w:tr>
      <w:tr w:rsidR="00F03819" w:rsidRPr="00B33F79" w14:paraId="5182CBC4" w14:textId="77777777" w:rsidTr="007A2F98">
        <w:trPr>
          <w:jc w:val="center"/>
        </w:trPr>
        <w:tc>
          <w:tcPr>
            <w:tcW w:w="4876" w:type="dxa"/>
          </w:tcPr>
          <w:p w14:paraId="1F19FC80" w14:textId="77777777" w:rsidR="00F03819" w:rsidRPr="00B33F79" w:rsidRDefault="00F03819" w:rsidP="007A2F98">
            <w:pPr>
              <w:pStyle w:val="Normal6"/>
              <w:rPr>
                <w:color w:val="0000FA"/>
              </w:rPr>
            </w:pPr>
          </w:p>
        </w:tc>
        <w:tc>
          <w:tcPr>
            <w:tcW w:w="4876" w:type="dxa"/>
          </w:tcPr>
          <w:p w14:paraId="42F87A90" w14:textId="2C9D2D64" w:rsidR="00F03819" w:rsidRPr="00B33F79" w:rsidRDefault="00F03819" w:rsidP="007A2F98">
            <w:pPr>
              <w:pStyle w:val="Normal6"/>
              <w:rPr>
                <w:b/>
                <w:i/>
                <w:color w:val="000005"/>
              </w:rPr>
            </w:pPr>
            <w:r w:rsidRPr="00B33F79">
              <w:rPr>
                <w:b/>
                <w:i/>
                <w:color w:val="000005"/>
              </w:rPr>
              <w:t>(-1b)</w:t>
            </w:r>
            <w:r w:rsidRPr="00B33F79">
              <w:rPr>
                <w:b/>
                <w:i/>
                <w:color w:val="000005"/>
              </w:rPr>
              <w:tab/>
              <w:t>In Annex I, the following point is inserted:</w:t>
            </w:r>
          </w:p>
        </w:tc>
      </w:tr>
      <w:tr w:rsidR="00F03819" w:rsidRPr="00B33F79" w14:paraId="473303CA" w14:textId="77777777" w:rsidTr="007A2F98">
        <w:trPr>
          <w:jc w:val="center"/>
        </w:trPr>
        <w:tc>
          <w:tcPr>
            <w:tcW w:w="4876" w:type="dxa"/>
          </w:tcPr>
          <w:p w14:paraId="21CFF5CC" w14:textId="77777777" w:rsidR="00F03819" w:rsidRPr="00B33F79" w:rsidRDefault="00F03819" w:rsidP="007A2F98">
            <w:pPr>
              <w:pStyle w:val="Normal6"/>
              <w:rPr>
                <w:color w:val="0000FA"/>
              </w:rPr>
            </w:pPr>
          </w:p>
        </w:tc>
        <w:tc>
          <w:tcPr>
            <w:tcW w:w="4876" w:type="dxa"/>
          </w:tcPr>
          <w:p w14:paraId="4215538C" w14:textId="77777777" w:rsidR="00F03819" w:rsidRPr="00B33F79" w:rsidRDefault="00F03819" w:rsidP="007A2F98">
            <w:pPr>
              <w:pStyle w:val="Normal6"/>
              <w:rPr>
                <w:b/>
                <w:i/>
                <w:color w:val="000005"/>
              </w:rPr>
            </w:pPr>
            <w:r w:rsidRPr="00B33F79">
              <w:rPr>
                <w:b/>
                <w:i/>
                <w:color w:val="000005"/>
              </w:rPr>
              <w:t>“5a.</w:t>
            </w:r>
            <w:r w:rsidRPr="00B33F79">
              <w:rPr>
                <w:b/>
                <w:i/>
                <w:color w:val="000005"/>
              </w:rPr>
              <w:tab/>
              <w:t>“Work involving exposure to carcinogenic or mutagenic substances resulting from the preparation, administration or disposal of hazardous drugs (including cytotoxic drugs) which are classified by IARC as carcinogenic (IARC group 1), probably carcinogenic (IARC group 2A) or possibly carcinogenic (IARC group 2B); ”</w:t>
            </w:r>
          </w:p>
        </w:tc>
      </w:tr>
    </w:tbl>
    <w:p w14:paraId="27F3ACB0" w14:textId="77777777" w:rsidR="00F03819" w:rsidRPr="00B33F79" w:rsidRDefault="00F03819"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{EN}</w:t>
      </w:r>
      <w:r w:rsidRPr="00B33F79">
        <w:rPr>
          <w:noProof w:val="0"/>
          <w:color w:val="0000F0"/>
          <w:szCs w:val="24"/>
        </w:rPr>
        <w:t>en</w:t>
      </w:r>
      <w:r w:rsidRPr="00B33F79">
        <w:rPr>
          <w:rStyle w:val="HideTWBExt"/>
          <w:noProof w:val="0"/>
        </w:rPr>
        <w:t>&lt;/Original&gt;</w:t>
      </w:r>
    </w:p>
    <w:p w14:paraId="4A34A79D" w14:textId="77777777" w:rsidR="00F03819" w:rsidRPr="00B33F79" w:rsidRDefault="00F03819" w:rsidP="00F03819">
      <w:pPr>
        <w:rPr>
          <w:szCs w:val="24"/>
        </w:rPr>
      </w:pPr>
      <w:r w:rsidRPr="00B33F79">
        <w:rPr>
          <w:rStyle w:val="HideTWBExt"/>
          <w:noProof w:val="0"/>
        </w:rPr>
        <w:t>&lt;/Amend&gt;</w:t>
      </w:r>
    </w:p>
    <w:p w14:paraId="610F1D68" w14:textId="07158013" w:rsidR="007A2F98" w:rsidRPr="00B33F79" w:rsidRDefault="007A2F98" w:rsidP="007A2F98">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22</w:t>
      </w:r>
      <w:r w:rsidRPr="00B33F79">
        <w:rPr>
          <w:rStyle w:val="HideTWBExt"/>
          <w:b w:val="0"/>
          <w:noProof w:val="0"/>
        </w:rPr>
        <w:t>&lt;/NumAm&gt;</w:t>
      </w:r>
    </w:p>
    <w:p w14:paraId="1BE803CA" w14:textId="77777777" w:rsidR="007A2F98" w:rsidRPr="00B33F79" w:rsidRDefault="007A2F98" w:rsidP="007A2F98">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2EE60A2A" w14:textId="77777777" w:rsidR="007A2F98" w:rsidRPr="00B33F79" w:rsidRDefault="007A2F98" w:rsidP="007A2F98">
      <w:pPr>
        <w:pStyle w:val="NormalBold"/>
      </w:pPr>
      <w:r w:rsidRPr="00B33F79">
        <w:rPr>
          <w:rStyle w:val="HideTWBExt"/>
          <w:b w:val="0"/>
          <w:noProof w:val="0"/>
        </w:rPr>
        <w:t>&lt;Article&gt;</w:t>
      </w:r>
      <w:r w:rsidRPr="00B33F79">
        <w:rPr>
          <w:color w:val="0000EB"/>
        </w:rPr>
        <w:t>Article 1 – paragraph 1 – point -1 c (new)</w:t>
      </w:r>
      <w:r w:rsidRPr="00B33F79">
        <w:rPr>
          <w:rStyle w:val="HideTWBExt"/>
          <w:b w:val="0"/>
          <w:noProof w:val="0"/>
        </w:rPr>
        <w:t>&lt;/Article&gt;</w:t>
      </w:r>
    </w:p>
    <w:p w14:paraId="4A20C66C" w14:textId="77777777" w:rsidR="007A2F98" w:rsidRPr="00B33F79" w:rsidRDefault="007A2F98" w:rsidP="007A2F98">
      <w:pPr>
        <w:keepNext/>
      </w:pPr>
      <w:r w:rsidRPr="00B33F79">
        <w:rPr>
          <w:rStyle w:val="HideTWBExt"/>
          <w:noProof w:val="0"/>
        </w:rPr>
        <w:t>&lt;DocAmend2&gt;</w:t>
      </w:r>
      <w:r w:rsidRPr="00B33F79">
        <w:rPr>
          <w:color w:val="0000F0"/>
        </w:rPr>
        <w:t>Directive 2004/37/EC</w:t>
      </w:r>
      <w:r w:rsidRPr="00B33F79">
        <w:rPr>
          <w:rStyle w:val="HideTWBExt"/>
          <w:noProof w:val="0"/>
        </w:rPr>
        <w:t>&lt;/DocAmend2&gt;</w:t>
      </w:r>
    </w:p>
    <w:p w14:paraId="6668FCEA" w14:textId="77777777" w:rsidR="007A2F98" w:rsidRPr="00B33F79" w:rsidRDefault="007A2F98" w:rsidP="007A2F98">
      <w:r w:rsidRPr="00B33F79">
        <w:rPr>
          <w:rStyle w:val="HideTWBExt"/>
          <w:b/>
          <w:noProof w:val="0"/>
        </w:rPr>
        <w:t>&lt;Article2&gt;</w:t>
      </w:r>
      <w:r w:rsidRPr="00B33F79">
        <w:rPr>
          <w:color w:val="0000EB"/>
        </w:rPr>
        <w:t xml:space="preserve">Annex I – point 5 b (new) </w:t>
      </w:r>
      <w:r w:rsidRPr="00B33F79">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2F98" w:rsidRPr="00B33F79" w14:paraId="0C48D544" w14:textId="77777777" w:rsidTr="007A2F98">
        <w:trPr>
          <w:jc w:val="center"/>
        </w:trPr>
        <w:tc>
          <w:tcPr>
            <w:tcW w:w="9752" w:type="dxa"/>
            <w:gridSpan w:val="2"/>
          </w:tcPr>
          <w:p w14:paraId="64BB9B7C" w14:textId="77777777" w:rsidR="007A2F98" w:rsidRPr="00B33F79" w:rsidRDefault="007A2F98" w:rsidP="007A2F98">
            <w:pPr>
              <w:keepNext/>
            </w:pPr>
          </w:p>
        </w:tc>
      </w:tr>
      <w:tr w:rsidR="007A2F98" w:rsidRPr="00B33F79" w14:paraId="130D084D" w14:textId="77777777" w:rsidTr="007A2F98">
        <w:trPr>
          <w:jc w:val="center"/>
        </w:trPr>
        <w:tc>
          <w:tcPr>
            <w:tcW w:w="4876" w:type="dxa"/>
            <w:hideMark/>
          </w:tcPr>
          <w:p w14:paraId="612A56C9" w14:textId="77777777" w:rsidR="007A2F98" w:rsidRPr="00B33F79" w:rsidRDefault="007A2F98" w:rsidP="007A2F98">
            <w:pPr>
              <w:pStyle w:val="ColumnHeading"/>
              <w:keepNext/>
              <w:rPr>
                <w:color w:val="0000FA"/>
              </w:rPr>
            </w:pPr>
            <w:r w:rsidRPr="00B33F79">
              <w:rPr>
                <w:color w:val="0000FA"/>
              </w:rPr>
              <w:t>Text proposed by the Commission</w:t>
            </w:r>
          </w:p>
        </w:tc>
        <w:tc>
          <w:tcPr>
            <w:tcW w:w="4876" w:type="dxa"/>
            <w:hideMark/>
          </w:tcPr>
          <w:p w14:paraId="305048FE" w14:textId="77777777" w:rsidR="007A2F98" w:rsidRPr="00B33F79" w:rsidRDefault="007A2F98" w:rsidP="007A2F98">
            <w:pPr>
              <w:pStyle w:val="ColumnHeading"/>
              <w:keepNext/>
              <w:rPr>
                <w:color w:val="0000F5"/>
              </w:rPr>
            </w:pPr>
            <w:r w:rsidRPr="00B33F79">
              <w:rPr>
                <w:color w:val="0000F5"/>
              </w:rPr>
              <w:t>Amendment</w:t>
            </w:r>
          </w:p>
        </w:tc>
      </w:tr>
      <w:tr w:rsidR="007A2F98" w:rsidRPr="00B33F79" w14:paraId="056F33C2" w14:textId="77777777" w:rsidTr="007A2F98">
        <w:trPr>
          <w:jc w:val="center"/>
        </w:trPr>
        <w:tc>
          <w:tcPr>
            <w:tcW w:w="4876" w:type="dxa"/>
          </w:tcPr>
          <w:p w14:paraId="76042525" w14:textId="77777777" w:rsidR="007A2F98" w:rsidRPr="00B33F79" w:rsidRDefault="007A2F98" w:rsidP="007A2F98">
            <w:pPr>
              <w:pStyle w:val="Normal6"/>
              <w:rPr>
                <w:color w:val="0000FA"/>
              </w:rPr>
            </w:pPr>
          </w:p>
        </w:tc>
        <w:tc>
          <w:tcPr>
            <w:tcW w:w="4876" w:type="dxa"/>
          </w:tcPr>
          <w:p w14:paraId="1811FEF8" w14:textId="3F9A6BF1" w:rsidR="007A2F98" w:rsidRPr="00B33F79" w:rsidRDefault="007A2F98" w:rsidP="007A2F98">
            <w:pPr>
              <w:pStyle w:val="Normal6"/>
              <w:rPr>
                <w:b/>
                <w:i/>
                <w:color w:val="000005"/>
              </w:rPr>
            </w:pPr>
            <w:r w:rsidRPr="00B33F79">
              <w:rPr>
                <w:b/>
                <w:i/>
                <w:color w:val="000005"/>
              </w:rPr>
              <w:t>(1c)</w:t>
            </w:r>
            <w:r w:rsidRPr="00B33F79">
              <w:rPr>
                <w:b/>
                <w:i/>
                <w:color w:val="000005"/>
              </w:rPr>
              <w:tab/>
              <w:t>In Annex I, the following point is inserted:</w:t>
            </w:r>
          </w:p>
        </w:tc>
      </w:tr>
      <w:tr w:rsidR="007A2F98" w:rsidRPr="00B33F79" w14:paraId="36DCA940" w14:textId="77777777" w:rsidTr="007A2F98">
        <w:trPr>
          <w:jc w:val="center"/>
        </w:trPr>
        <w:tc>
          <w:tcPr>
            <w:tcW w:w="4876" w:type="dxa"/>
          </w:tcPr>
          <w:p w14:paraId="16214DC8" w14:textId="77777777" w:rsidR="007A2F98" w:rsidRPr="00B33F79" w:rsidRDefault="007A2F98" w:rsidP="007A2F98">
            <w:pPr>
              <w:pStyle w:val="Normal6"/>
              <w:rPr>
                <w:color w:val="0000FA"/>
              </w:rPr>
            </w:pPr>
          </w:p>
        </w:tc>
        <w:tc>
          <w:tcPr>
            <w:tcW w:w="4876" w:type="dxa"/>
          </w:tcPr>
          <w:p w14:paraId="16B19CE5" w14:textId="222BE30E" w:rsidR="007A2F98" w:rsidRPr="00B33F79" w:rsidRDefault="007A2F98" w:rsidP="007A2F98">
            <w:pPr>
              <w:pStyle w:val="Normal6"/>
              <w:rPr>
                <w:b/>
                <w:i/>
                <w:color w:val="000005"/>
              </w:rPr>
            </w:pPr>
            <w:r w:rsidRPr="00B33F79">
              <w:rPr>
                <w:b/>
                <w:i/>
                <w:color w:val="000005"/>
              </w:rPr>
              <w:t>“5b.</w:t>
            </w:r>
            <w:r w:rsidRPr="00B33F79">
              <w:rPr>
                <w:b/>
                <w:i/>
                <w:color w:val="000005"/>
              </w:rPr>
              <w:tab/>
              <w:t xml:space="preserve">Work involving exposure to carcinogenic or mutagenic substances in cleaning, transport, laundry and waste disposal of hazardous drugs or materials contaminated by hazardous drugs and in personal care for patients under treatment of hazardous drugs (including cytotoxic drugs) which are classified by IARC as carcinogenic (IARC group 1), probably </w:t>
            </w:r>
            <w:r w:rsidRPr="00B33F79">
              <w:rPr>
                <w:b/>
                <w:i/>
                <w:color w:val="000005"/>
              </w:rPr>
              <w:lastRenderedPageBreak/>
              <w:t>carcinogenic (IARC group 2A) or possibly carcinogenic (IARC group 2B)”</w:t>
            </w:r>
          </w:p>
        </w:tc>
      </w:tr>
    </w:tbl>
    <w:p w14:paraId="4A55CE99" w14:textId="77777777" w:rsidR="007A2F98" w:rsidRPr="00B33F79" w:rsidRDefault="007A2F98" w:rsidP="003A5A4F">
      <w:pPr>
        <w:pStyle w:val="Olang"/>
        <w:rPr>
          <w:noProof w:val="0"/>
          <w:szCs w:val="24"/>
        </w:rPr>
      </w:pPr>
      <w:r w:rsidRPr="00B33F79">
        <w:rPr>
          <w:noProof w:val="0"/>
          <w:color w:val="0000F0"/>
          <w:szCs w:val="24"/>
        </w:rPr>
        <w:lastRenderedPageBreak/>
        <w:t xml:space="preserve">Or. </w:t>
      </w:r>
      <w:r w:rsidRPr="00B33F79">
        <w:rPr>
          <w:rStyle w:val="HideTWBExt"/>
          <w:noProof w:val="0"/>
        </w:rPr>
        <w:t>&lt;Original&gt;</w:t>
      </w:r>
      <w:r w:rsidRPr="00B33F79">
        <w:rPr>
          <w:rStyle w:val="HideTWBInt"/>
          <w:noProof w:val="0"/>
        </w:rPr>
        <w:t>{EN}</w:t>
      </w:r>
      <w:r w:rsidRPr="00B33F79">
        <w:rPr>
          <w:noProof w:val="0"/>
          <w:color w:val="0000F0"/>
          <w:szCs w:val="24"/>
        </w:rPr>
        <w:t>en</w:t>
      </w:r>
      <w:r w:rsidRPr="00B33F79">
        <w:rPr>
          <w:rStyle w:val="HideTWBExt"/>
          <w:noProof w:val="0"/>
        </w:rPr>
        <w:t>&lt;/Original&gt;</w:t>
      </w:r>
    </w:p>
    <w:p w14:paraId="58E38EF5" w14:textId="77777777" w:rsidR="007A2F98" w:rsidRPr="00B33F79" w:rsidRDefault="007A2F98" w:rsidP="007A2F98">
      <w:pPr>
        <w:rPr>
          <w:szCs w:val="24"/>
        </w:rPr>
      </w:pPr>
      <w:r w:rsidRPr="00B33F79">
        <w:rPr>
          <w:rStyle w:val="HideTWBExt"/>
          <w:noProof w:val="0"/>
        </w:rPr>
        <w:t>&lt;/Amend&gt;</w:t>
      </w:r>
    </w:p>
    <w:p w14:paraId="60F88BEE" w14:textId="1668DB30" w:rsidR="008049C1" w:rsidRPr="00B33F79" w:rsidRDefault="008049C1" w:rsidP="008049C1">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23</w:t>
      </w:r>
      <w:r w:rsidRPr="00B33F79">
        <w:rPr>
          <w:rStyle w:val="HideTWBExt"/>
          <w:b w:val="0"/>
          <w:noProof w:val="0"/>
        </w:rPr>
        <w:t>&lt;/NumAm&gt;</w:t>
      </w:r>
    </w:p>
    <w:p w14:paraId="3A1D046D" w14:textId="77777777" w:rsidR="008049C1" w:rsidRPr="00B33F79" w:rsidRDefault="008049C1" w:rsidP="008049C1">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063F90B5" w14:textId="002C3546" w:rsidR="008049C1" w:rsidRPr="00B33F79" w:rsidRDefault="008049C1" w:rsidP="008049C1">
      <w:pPr>
        <w:pStyle w:val="NormalBold"/>
      </w:pPr>
      <w:r w:rsidRPr="00B33F79">
        <w:rPr>
          <w:rStyle w:val="HideTWBExt"/>
          <w:b w:val="0"/>
          <w:noProof w:val="0"/>
        </w:rPr>
        <w:t>&lt;Article&gt;</w:t>
      </w:r>
      <w:r w:rsidRPr="00B33F79">
        <w:rPr>
          <w:color w:val="0000EB"/>
        </w:rPr>
        <w:t>Article 1 – paragraph 1 – point -1 d (new)</w:t>
      </w:r>
      <w:r w:rsidRPr="00B33F79">
        <w:rPr>
          <w:rStyle w:val="HideTWBExt"/>
          <w:b w:val="0"/>
          <w:noProof w:val="0"/>
        </w:rPr>
        <w:t>&lt;/Article&gt;</w:t>
      </w:r>
    </w:p>
    <w:p w14:paraId="4F9F31B1" w14:textId="77777777" w:rsidR="008049C1" w:rsidRPr="00B33F79" w:rsidRDefault="008049C1" w:rsidP="008049C1">
      <w:pPr>
        <w:keepNext/>
      </w:pPr>
      <w:r w:rsidRPr="00B33F79">
        <w:rPr>
          <w:rStyle w:val="HideTWBExt"/>
          <w:noProof w:val="0"/>
        </w:rPr>
        <w:t>&lt;DocAmend2&gt;</w:t>
      </w:r>
      <w:r w:rsidRPr="00B33F79">
        <w:rPr>
          <w:color w:val="0000F0"/>
        </w:rPr>
        <w:t>Directive 2004/37/EC</w:t>
      </w:r>
      <w:r w:rsidRPr="00B33F79">
        <w:rPr>
          <w:rStyle w:val="HideTWBExt"/>
          <w:noProof w:val="0"/>
        </w:rPr>
        <w:t>&lt;/DocAmend2&gt;</w:t>
      </w:r>
    </w:p>
    <w:p w14:paraId="29422726" w14:textId="7B416311" w:rsidR="008049C1" w:rsidRPr="00B33F79" w:rsidRDefault="008049C1" w:rsidP="008049C1">
      <w:r w:rsidRPr="00B33F79">
        <w:rPr>
          <w:rStyle w:val="HideTWBExt"/>
          <w:b/>
          <w:noProof w:val="0"/>
        </w:rPr>
        <w:t>&lt;Article2&gt;</w:t>
      </w:r>
      <w:r w:rsidRPr="00B33F79">
        <w:rPr>
          <w:color w:val="0000EB"/>
        </w:rPr>
        <w:t xml:space="preserve">Annex II – point 2 a (new) </w:t>
      </w:r>
      <w:r w:rsidRPr="00B33F79">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49C1" w:rsidRPr="00B33F79" w14:paraId="01F87AE4" w14:textId="77777777" w:rsidTr="005E4024">
        <w:trPr>
          <w:jc w:val="center"/>
        </w:trPr>
        <w:tc>
          <w:tcPr>
            <w:tcW w:w="9752" w:type="dxa"/>
            <w:gridSpan w:val="2"/>
          </w:tcPr>
          <w:p w14:paraId="69E49A18" w14:textId="77777777" w:rsidR="008049C1" w:rsidRPr="00B33F79" w:rsidRDefault="008049C1" w:rsidP="005E4024">
            <w:pPr>
              <w:keepNext/>
            </w:pPr>
          </w:p>
        </w:tc>
      </w:tr>
      <w:tr w:rsidR="008049C1" w:rsidRPr="00B33F79" w14:paraId="5B495DD2" w14:textId="77777777" w:rsidTr="005E4024">
        <w:trPr>
          <w:jc w:val="center"/>
        </w:trPr>
        <w:tc>
          <w:tcPr>
            <w:tcW w:w="4876" w:type="dxa"/>
            <w:hideMark/>
          </w:tcPr>
          <w:p w14:paraId="348F2D15" w14:textId="77777777" w:rsidR="008049C1" w:rsidRPr="00B33F79" w:rsidRDefault="008049C1" w:rsidP="005E4024">
            <w:pPr>
              <w:pStyle w:val="ColumnHeading"/>
              <w:keepNext/>
              <w:rPr>
                <w:color w:val="0000FA"/>
              </w:rPr>
            </w:pPr>
            <w:r w:rsidRPr="00B33F79">
              <w:rPr>
                <w:color w:val="0000FA"/>
              </w:rPr>
              <w:t>Text proposed by the Commission</w:t>
            </w:r>
          </w:p>
        </w:tc>
        <w:tc>
          <w:tcPr>
            <w:tcW w:w="4876" w:type="dxa"/>
            <w:hideMark/>
          </w:tcPr>
          <w:p w14:paraId="73C15791" w14:textId="77777777" w:rsidR="008049C1" w:rsidRPr="00B33F79" w:rsidRDefault="008049C1" w:rsidP="005E4024">
            <w:pPr>
              <w:pStyle w:val="ColumnHeading"/>
              <w:keepNext/>
              <w:rPr>
                <w:color w:val="0000F5"/>
              </w:rPr>
            </w:pPr>
            <w:r w:rsidRPr="00B33F79">
              <w:rPr>
                <w:color w:val="0000F5"/>
              </w:rPr>
              <w:t>Amendment</w:t>
            </w:r>
          </w:p>
        </w:tc>
      </w:tr>
      <w:tr w:rsidR="008049C1" w:rsidRPr="00B33F79" w14:paraId="4C8DE45F" w14:textId="77777777" w:rsidTr="005E4024">
        <w:trPr>
          <w:jc w:val="center"/>
        </w:trPr>
        <w:tc>
          <w:tcPr>
            <w:tcW w:w="4876" w:type="dxa"/>
          </w:tcPr>
          <w:p w14:paraId="41E1ED74" w14:textId="77777777" w:rsidR="008049C1" w:rsidRPr="00B33F79" w:rsidRDefault="008049C1" w:rsidP="005E4024">
            <w:pPr>
              <w:pStyle w:val="Normal6"/>
              <w:rPr>
                <w:color w:val="0000FA"/>
              </w:rPr>
            </w:pPr>
          </w:p>
        </w:tc>
        <w:tc>
          <w:tcPr>
            <w:tcW w:w="4876" w:type="dxa"/>
          </w:tcPr>
          <w:p w14:paraId="135F5D60" w14:textId="150F8487" w:rsidR="008049C1" w:rsidRPr="00B33F79" w:rsidRDefault="008049C1" w:rsidP="008049C1">
            <w:pPr>
              <w:pStyle w:val="Normal6"/>
              <w:rPr>
                <w:b/>
                <w:i/>
                <w:color w:val="000005"/>
              </w:rPr>
            </w:pPr>
            <w:r w:rsidRPr="00B33F79">
              <w:rPr>
                <w:b/>
                <w:i/>
                <w:color w:val="000005"/>
              </w:rPr>
              <w:t>(-1d)</w:t>
            </w:r>
            <w:r w:rsidRPr="00B33F79">
              <w:rPr>
                <w:b/>
                <w:i/>
                <w:color w:val="000005"/>
              </w:rPr>
              <w:tab/>
              <w:t>In Annex II, the following point is inserted:</w:t>
            </w:r>
          </w:p>
        </w:tc>
      </w:tr>
      <w:tr w:rsidR="008049C1" w:rsidRPr="00B33F79" w14:paraId="54A60E7F" w14:textId="77777777" w:rsidTr="005E4024">
        <w:trPr>
          <w:jc w:val="center"/>
        </w:trPr>
        <w:tc>
          <w:tcPr>
            <w:tcW w:w="4876" w:type="dxa"/>
          </w:tcPr>
          <w:p w14:paraId="2F466FB5" w14:textId="77777777" w:rsidR="008049C1" w:rsidRPr="00B33F79" w:rsidRDefault="008049C1" w:rsidP="005E4024">
            <w:pPr>
              <w:pStyle w:val="Normal6"/>
              <w:rPr>
                <w:color w:val="0000FA"/>
              </w:rPr>
            </w:pPr>
          </w:p>
        </w:tc>
        <w:tc>
          <w:tcPr>
            <w:tcW w:w="4876" w:type="dxa"/>
          </w:tcPr>
          <w:p w14:paraId="3C383DC2" w14:textId="714D3D2E" w:rsidR="008049C1" w:rsidRPr="00B33F79" w:rsidRDefault="008049C1" w:rsidP="008049C1">
            <w:pPr>
              <w:pStyle w:val="Normal6"/>
              <w:rPr>
                <w:b/>
                <w:i/>
                <w:color w:val="000005"/>
              </w:rPr>
            </w:pPr>
            <w:r w:rsidRPr="00B33F79">
              <w:rPr>
                <w:b/>
                <w:i/>
                <w:color w:val="000005"/>
              </w:rPr>
              <w:t>2a.</w:t>
            </w:r>
            <w:r w:rsidRPr="00B33F79">
              <w:rPr>
                <w:b/>
                <w:i/>
                <w:color w:val="000005"/>
              </w:rPr>
              <w:tab/>
              <w:t>In plants where there is any kind of occupational exposure to cadmium or its carcinogenic compound, it is mandatory that the doctor and/or the authority responsible for the health of workers implements systematic, regular and documented urinary bio-monitoring of cadmium with a BLV of 2µg Cd/g creatinine.</w:t>
            </w:r>
          </w:p>
        </w:tc>
      </w:tr>
    </w:tbl>
    <w:p w14:paraId="018701DF" w14:textId="77777777" w:rsidR="008049C1" w:rsidRPr="00B33F79" w:rsidRDefault="008049C1"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{EN}</w:t>
      </w:r>
      <w:r w:rsidRPr="00B33F79">
        <w:rPr>
          <w:noProof w:val="0"/>
          <w:color w:val="0000F0"/>
          <w:szCs w:val="24"/>
        </w:rPr>
        <w:t>en</w:t>
      </w:r>
      <w:r w:rsidRPr="00B33F79">
        <w:rPr>
          <w:rStyle w:val="HideTWBExt"/>
          <w:noProof w:val="0"/>
        </w:rPr>
        <w:t>&lt;/Original&gt;</w:t>
      </w:r>
    </w:p>
    <w:p w14:paraId="335F726C" w14:textId="77777777" w:rsidR="008049C1" w:rsidRPr="00B33F79" w:rsidRDefault="008049C1" w:rsidP="008049C1">
      <w:pPr>
        <w:rPr>
          <w:szCs w:val="24"/>
        </w:rPr>
      </w:pPr>
      <w:r w:rsidRPr="00B33F79">
        <w:rPr>
          <w:rStyle w:val="HideTWBExt"/>
          <w:noProof w:val="0"/>
        </w:rPr>
        <w:t>&lt;/Amend&gt;</w:t>
      </w:r>
    </w:p>
    <w:p w14:paraId="2CF042DE" w14:textId="5EDF1272" w:rsidR="00F844DE" w:rsidRPr="00B33F79" w:rsidRDefault="00F844DE" w:rsidP="00F844DE">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24</w:t>
      </w:r>
      <w:r w:rsidRPr="00B33F79">
        <w:rPr>
          <w:rStyle w:val="HideTWBExt"/>
          <w:b w:val="0"/>
          <w:noProof w:val="0"/>
        </w:rPr>
        <w:t>&lt;/NumAm&gt;</w:t>
      </w:r>
    </w:p>
    <w:p w14:paraId="18420DC7" w14:textId="77777777" w:rsidR="00F844DE" w:rsidRPr="00B33F79" w:rsidRDefault="00F844DE" w:rsidP="00F844DE">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39173794" w14:textId="77777777" w:rsidR="007A2F98" w:rsidRPr="00B33F79" w:rsidRDefault="007A2F98" w:rsidP="007A2F98">
      <w:pPr>
        <w:pStyle w:val="NormalBold"/>
      </w:pPr>
      <w:r w:rsidRPr="00B33F79">
        <w:rPr>
          <w:rStyle w:val="HideTWBExt"/>
          <w:b w:val="0"/>
          <w:noProof w:val="0"/>
        </w:rPr>
        <w:t>&lt;Article&gt;</w:t>
      </w:r>
      <w:r w:rsidRPr="00B33F79">
        <w:rPr>
          <w:color w:val="0000EB"/>
        </w:rPr>
        <w:t>Article 1 – paragraph 1 – point 1</w:t>
      </w:r>
      <w:r w:rsidRPr="00B33F79">
        <w:rPr>
          <w:rStyle w:val="HideTWBExt"/>
          <w:b w:val="0"/>
          <w:noProof w:val="0"/>
        </w:rPr>
        <w:t>&lt;/Article&gt;</w:t>
      </w:r>
    </w:p>
    <w:p w14:paraId="4ABBE9A7" w14:textId="77777777" w:rsidR="007A2F98" w:rsidRPr="00B33F79" w:rsidRDefault="007A2F98" w:rsidP="007A2F98">
      <w:pPr>
        <w:keepNext/>
      </w:pPr>
      <w:r w:rsidRPr="00B33F79">
        <w:rPr>
          <w:rStyle w:val="HideTWBExt"/>
          <w:noProof w:val="0"/>
        </w:rPr>
        <w:t>&lt;DocAmend2&gt;</w:t>
      </w:r>
      <w:r w:rsidRPr="00B33F79">
        <w:rPr>
          <w:color w:val="0000F0"/>
        </w:rPr>
        <w:t>Directive 2004/37/EC</w:t>
      </w:r>
      <w:r w:rsidRPr="00B33F79">
        <w:rPr>
          <w:rStyle w:val="HideTWBExt"/>
          <w:noProof w:val="0"/>
        </w:rPr>
        <w:t>&lt;/DocAmend2&gt;</w:t>
      </w:r>
    </w:p>
    <w:p w14:paraId="25FF910C" w14:textId="680EBFB2" w:rsidR="007A2F98" w:rsidRPr="00B33F79" w:rsidRDefault="00F844DE" w:rsidP="00B745CE">
      <w:r w:rsidRPr="00B33F79">
        <w:rPr>
          <w:rStyle w:val="HideTWBExt"/>
          <w:noProof w:val="0"/>
        </w:rPr>
        <w:t>&lt;Article2&gt;</w:t>
      </w:r>
      <w:r w:rsidRPr="00B33F79">
        <w:rPr>
          <w:color w:val="0000EB"/>
        </w:rPr>
        <w:t>Annex III – Part A – table – row 1</w:t>
      </w:r>
      <w:r w:rsidRPr="00B33F79">
        <w:rPr>
          <w:rStyle w:val="HideTWBExt"/>
          <w:noProof w:val="0"/>
        </w:rPr>
        <w:t>&lt;/Article2&gt;</w:t>
      </w:r>
    </w:p>
    <w:tbl>
      <w:tblPr>
        <w:tblW w:w="10090" w:type="dxa"/>
        <w:jc w:val="center"/>
        <w:tblLayout w:type="fixed"/>
        <w:tblCellMar>
          <w:left w:w="340" w:type="dxa"/>
          <w:right w:w="340" w:type="dxa"/>
        </w:tblCellMar>
        <w:tblLook w:val="04A0" w:firstRow="1" w:lastRow="0" w:firstColumn="1" w:lastColumn="0" w:noHBand="0" w:noVBand="1"/>
      </w:tblPr>
      <w:tblGrid>
        <w:gridCol w:w="340"/>
        <w:gridCol w:w="1758"/>
        <w:gridCol w:w="709"/>
        <w:gridCol w:w="708"/>
        <w:gridCol w:w="1276"/>
        <w:gridCol w:w="709"/>
        <w:gridCol w:w="709"/>
        <w:gridCol w:w="708"/>
        <w:gridCol w:w="709"/>
        <w:gridCol w:w="709"/>
        <w:gridCol w:w="1417"/>
        <w:gridCol w:w="338"/>
      </w:tblGrid>
      <w:tr w:rsidR="00B745CE" w:rsidRPr="00B33F79" w14:paraId="4D5F0D1B" w14:textId="77777777" w:rsidTr="00A63BC5">
        <w:trPr>
          <w:gridBefore w:val="1"/>
          <w:wBefore w:w="340" w:type="dxa"/>
          <w:jc w:val="center"/>
        </w:trPr>
        <w:tc>
          <w:tcPr>
            <w:tcW w:w="9750" w:type="dxa"/>
            <w:gridSpan w:val="11"/>
          </w:tcPr>
          <w:p w14:paraId="586C49FB" w14:textId="77777777" w:rsidR="00B745CE" w:rsidRPr="00B33F79" w:rsidRDefault="00B745CE">
            <w:pPr>
              <w:keepNext/>
              <w:rPr>
                <w:sz w:val="22"/>
              </w:rPr>
            </w:pPr>
          </w:p>
        </w:tc>
      </w:tr>
      <w:tr w:rsidR="00B745CE" w:rsidRPr="00B33F79" w14:paraId="12A92AA9" w14:textId="77777777" w:rsidTr="00A63BC5">
        <w:trPr>
          <w:gridBefore w:val="1"/>
          <w:wBefore w:w="340" w:type="dxa"/>
          <w:jc w:val="center"/>
        </w:trPr>
        <w:tc>
          <w:tcPr>
            <w:tcW w:w="9750" w:type="dxa"/>
            <w:gridSpan w:val="11"/>
            <w:hideMark/>
          </w:tcPr>
          <w:p w14:paraId="5286A65D" w14:textId="77777777" w:rsidR="00B745CE" w:rsidRPr="00B33F79" w:rsidRDefault="00B745CE">
            <w:pPr>
              <w:pStyle w:val="ColumnHeading"/>
              <w:keepNext/>
              <w:spacing w:line="252" w:lineRule="auto"/>
              <w:jc w:val="left"/>
            </w:pPr>
            <w:r w:rsidRPr="00B33F79">
              <w:t>Text proposed by the Commission</w:t>
            </w:r>
          </w:p>
        </w:tc>
      </w:tr>
      <w:tr w:rsidR="00B745CE" w:rsidRPr="00B33F79" w14:paraId="7D4649B9" w14:textId="77777777" w:rsidTr="00A63BC5">
        <w:trPr>
          <w:gridAfter w:val="1"/>
          <w:wAfter w:w="338" w:type="dxa"/>
          <w:jc w:val="center"/>
        </w:trPr>
        <w:tc>
          <w:tcPr>
            <w:tcW w:w="9752" w:type="dxa"/>
            <w:gridSpan w:val="11"/>
          </w:tcPr>
          <w:p w14:paraId="7ED645F2" w14:textId="77777777" w:rsidR="00B745CE" w:rsidRPr="00B33F79" w:rsidRDefault="00B745CE">
            <w:pPr>
              <w:pStyle w:val="Normal6"/>
            </w:pPr>
          </w:p>
        </w:tc>
      </w:tr>
      <w:tr w:rsidR="00B745CE" w:rsidRPr="00B33F79" w14:paraId="380157F2" w14:textId="77777777" w:rsidTr="00A63BC5">
        <w:trPr>
          <w:gridBefore w:val="1"/>
          <w:wBefore w:w="340" w:type="dxa"/>
          <w:jc w:val="center"/>
        </w:trPr>
        <w:tc>
          <w:tcPr>
            <w:tcW w:w="1758" w:type="dxa"/>
            <w:hideMark/>
          </w:tcPr>
          <w:p w14:paraId="0C87454E" w14:textId="77777777" w:rsidR="00B745CE" w:rsidRPr="00B33F79" w:rsidRDefault="00B745CE">
            <w:pPr>
              <w:pStyle w:val="Normal6"/>
            </w:pPr>
            <w:r w:rsidRPr="00B33F79">
              <w:t>Cadmium and its inorganic compounds</w:t>
            </w:r>
          </w:p>
        </w:tc>
        <w:tc>
          <w:tcPr>
            <w:tcW w:w="709" w:type="dxa"/>
            <w:hideMark/>
          </w:tcPr>
          <w:p w14:paraId="3C7A87FE" w14:textId="77777777" w:rsidR="00B745CE" w:rsidRPr="00B33F79" w:rsidRDefault="00B745CE" w:rsidP="00B745CE">
            <w:pPr>
              <w:pStyle w:val="Normal6"/>
            </w:pPr>
            <w:r w:rsidRPr="00B33F79">
              <w:t>-</w:t>
            </w:r>
          </w:p>
        </w:tc>
        <w:tc>
          <w:tcPr>
            <w:tcW w:w="708" w:type="dxa"/>
            <w:hideMark/>
          </w:tcPr>
          <w:p w14:paraId="43C00021" w14:textId="77777777" w:rsidR="00B745CE" w:rsidRPr="00B33F79" w:rsidRDefault="00B745CE">
            <w:pPr>
              <w:pStyle w:val="Normal6"/>
            </w:pPr>
            <w:r w:rsidRPr="00B33F79">
              <w:t>-</w:t>
            </w:r>
          </w:p>
        </w:tc>
        <w:tc>
          <w:tcPr>
            <w:tcW w:w="1276" w:type="dxa"/>
            <w:hideMark/>
          </w:tcPr>
          <w:p w14:paraId="37D1B832" w14:textId="77777777" w:rsidR="00B745CE" w:rsidRPr="00B33F79" w:rsidRDefault="00B745CE">
            <w:pPr>
              <w:pStyle w:val="Normal6"/>
            </w:pPr>
            <w:r w:rsidRPr="00B33F79">
              <w:t>0,001</w:t>
            </w:r>
          </w:p>
        </w:tc>
        <w:tc>
          <w:tcPr>
            <w:tcW w:w="709" w:type="dxa"/>
            <w:hideMark/>
          </w:tcPr>
          <w:p w14:paraId="03943793" w14:textId="77777777" w:rsidR="00B745CE" w:rsidRPr="00B33F79" w:rsidRDefault="00B745CE">
            <w:pPr>
              <w:pStyle w:val="Normal6"/>
              <w:rPr>
                <w:b/>
                <w:i/>
              </w:rPr>
            </w:pPr>
            <w:r w:rsidRPr="00B33F79">
              <w:t>-</w:t>
            </w:r>
          </w:p>
        </w:tc>
        <w:tc>
          <w:tcPr>
            <w:tcW w:w="709" w:type="dxa"/>
          </w:tcPr>
          <w:p w14:paraId="6824BAF9" w14:textId="77777777" w:rsidR="00B745CE" w:rsidRPr="00B33F79" w:rsidRDefault="00B745CE">
            <w:pPr>
              <w:pStyle w:val="Normal6"/>
            </w:pPr>
            <w:r w:rsidRPr="00B33F79">
              <w:t>-</w:t>
            </w:r>
          </w:p>
        </w:tc>
        <w:tc>
          <w:tcPr>
            <w:tcW w:w="708" w:type="dxa"/>
            <w:hideMark/>
          </w:tcPr>
          <w:p w14:paraId="6425C19D" w14:textId="77777777" w:rsidR="00B745CE" w:rsidRPr="00B33F79" w:rsidRDefault="00B745CE">
            <w:pPr>
              <w:pStyle w:val="Normal6"/>
              <w:rPr>
                <w:b/>
                <w:i/>
              </w:rPr>
            </w:pPr>
            <w:r w:rsidRPr="00B33F79">
              <w:t>-</w:t>
            </w:r>
          </w:p>
        </w:tc>
        <w:tc>
          <w:tcPr>
            <w:tcW w:w="709" w:type="dxa"/>
            <w:hideMark/>
          </w:tcPr>
          <w:p w14:paraId="1781981A" w14:textId="77777777" w:rsidR="00B745CE" w:rsidRPr="00B33F79" w:rsidRDefault="00B745CE">
            <w:pPr>
              <w:pStyle w:val="Normal6"/>
              <w:rPr>
                <w:b/>
                <w:i/>
              </w:rPr>
            </w:pPr>
            <w:r w:rsidRPr="00B33F79">
              <w:t>-</w:t>
            </w:r>
          </w:p>
        </w:tc>
        <w:tc>
          <w:tcPr>
            <w:tcW w:w="709" w:type="dxa"/>
          </w:tcPr>
          <w:p w14:paraId="61B4DEC8" w14:textId="77777777" w:rsidR="00B745CE" w:rsidRPr="00B33F79" w:rsidRDefault="00B745CE">
            <w:pPr>
              <w:pStyle w:val="Normal6"/>
            </w:pPr>
            <w:r w:rsidRPr="00B33F79">
              <w:t>-</w:t>
            </w:r>
          </w:p>
        </w:tc>
        <w:tc>
          <w:tcPr>
            <w:tcW w:w="1755" w:type="dxa"/>
            <w:gridSpan w:val="2"/>
          </w:tcPr>
          <w:p w14:paraId="72D3877A" w14:textId="77777777" w:rsidR="00B745CE" w:rsidRPr="00B33F79" w:rsidRDefault="00B745CE">
            <w:pPr>
              <w:pStyle w:val="Normal6"/>
              <w:rPr>
                <w:szCs w:val="24"/>
              </w:rPr>
            </w:pPr>
            <w:r w:rsidRPr="00B33F79">
              <w:t>Limit value 0,004 mg/m</w:t>
            </w:r>
            <w:r w:rsidRPr="00B33F79">
              <w:rPr>
                <w:szCs w:val="24"/>
                <w:vertAlign w:val="superscript"/>
              </w:rPr>
              <w:t>3</w:t>
            </w:r>
            <w:r w:rsidRPr="00B33F79">
              <w:t xml:space="preserve"> until xx yyyy 202z </w:t>
            </w:r>
            <w:r w:rsidRPr="00B33F79">
              <w:lastRenderedPageBreak/>
              <w:t>[7 years]</w:t>
            </w:r>
          </w:p>
        </w:tc>
      </w:tr>
      <w:tr w:rsidR="00B745CE" w:rsidRPr="00B33F79" w14:paraId="22C33661" w14:textId="77777777" w:rsidTr="00A63BC5">
        <w:trPr>
          <w:gridBefore w:val="1"/>
          <w:wBefore w:w="340" w:type="dxa"/>
          <w:jc w:val="center"/>
        </w:trPr>
        <w:tc>
          <w:tcPr>
            <w:tcW w:w="9750" w:type="dxa"/>
            <w:gridSpan w:val="11"/>
            <w:hideMark/>
          </w:tcPr>
          <w:p w14:paraId="2697A5DF" w14:textId="77777777" w:rsidR="00B745CE" w:rsidRPr="00B33F79" w:rsidRDefault="00B745CE">
            <w:pPr>
              <w:pStyle w:val="ColumnHeading"/>
              <w:keepNext/>
              <w:spacing w:line="252" w:lineRule="auto"/>
              <w:jc w:val="left"/>
            </w:pPr>
            <w:r w:rsidRPr="00B33F79">
              <w:lastRenderedPageBreak/>
              <w:t>Amendment</w:t>
            </w:r>
          </w:p>
        </w:tc>
      </w:tr>
      <w:tr w:rsidR="00A63BC5" w:rsidRPr="00B33F79" w14:paraId="26F62315" w14:textId="77777777" w:rsidTr="00A63BC5">
        <w:trPr>
          <w:gridBefore w:val="1"/>
          <w:wBefore w:w="340" w:type="dxa"/>
          <w:jc w:val="center"/>
        </w:trPr>
        <w:tc>
          <w:tcPr>
            <w:tcW w:w="1758" w:type="dxa"/>
            <w:hideMark/>
          </w:tcPr>
          <w:p w14:paraId="3609DCF6" w14:textId="72F3121D" w:rsidR="00B745CE" w:rsidRPr="00B33F79" w:rsidRDefault="00B745CE" w:rsidP="00B16537">
            <w:pPr>
              <w:pStyle w:val="Normal6"/>
            </w:pPr>
            <w:r w:rsidRPr="00B33F79">
              <w:t>Cadmium and its inorganic compounds</w:t>
            </w:r>
          </w:p>
        </w:tc>
        <w:tc>
          <w:tcPr>
            <w:tcW w:w="709" w:type="dxa"/>
            <w:hideMark/>
          </w:tcPr>
          <w:p w14:paraId="336EAC46" w14:textId="77777777" w:rsidR="00B745CE" w:rsidRPr="00B33F79" w:rsidRDefault="00B745CE" w:rsidP="007A2F98">
            <w:pPr>
              <w:pStyle w:val="Normal6"/>
            </w:pPr>
            <w:r w:rsidRPr="00B33F79">
              <w:t>-</w:t>
            </w:r>
          </w:p>
        </w:tc>
        <w:tc>
          <w:tcPr>
            <w:tcW w:w="708" w:type="dxa"/>
            <w:hideMark/>
          </w:tcPr>
          <w:p w14:paraId="37D3CA47" w14:textId="77777777" w:rsidR="00B745CE" w:rsidRPr="00B33F79" w:rsidRDefault="00B745CE" w:rsidP="007A2F98">
            <w:pPr>
              <w:pStyle w:val="Normal6"/>
            </w:pPr>
            <w:r w:rsidRPr="00B33F79">
              <w:t>-</w:t>
            </w:r>
          </w:p>
        </w:tc>
        <w:tc>
          <w:tcPr>
            <w:tcW w:w="1276" w:type="dxa"/>
            <w:hideMark/>
          </w:tcPr>
          <w:p w14:paraId="5303DF42" w14:textId="032DD61C" w:rsidR="00B745CE" w:rsidRPr="00B33F79" w:rsidRDefault="00B745CE" w:rsidP="001619ED">
            <w:pPr>
              <w:pStyle w:val="Normal6"/>
            </w:pPr>
            <w:r w:rsidRPr="00B33F79">
              <w:t>0,001</w:t>
            </w:r>
            <w:r w:rsidRPr="00B33F79">
              <w:rPr>
                <w:b/>
                <w:i/>
                <w:vertAlign w:val="superscript"/>
              </w:rPr>
              <w:t>*</w:t>
            </w:r>
          </w:p>
        </w:tc>
        <w:tc>
          <w:tcPr>
            <w:tcW w:w="709" w:type="dxa"/>
            <w:hideMark/>
          </w:tcPr>
          <w:p w14:paraId="5698BC2B" w14:textId="77777777" w:rsidR="00B745CE" w:rsidRPr="00B33F79" w:rsidRDefault="00B745CE" w:rsidP="007A2F98">
            <w:pPr>
              <w:pStyle w:val="Normal6"/>
              <w:rPr>
                <w:b/>
                <w:i/>
              </w:rPr>
            </w:pPr>
            <w:r w:rsidRPr="00B33F79">
              <w:t>-</w:t>
            </w:r>
          </w:p>
        </w:tc>
        <w:tc>
          <w:tcPr>
            <w:tcW w:w="709" w:type="dxa"/>
          </w:tcPr>
          <w:p w14:paraId="3C77AB9E" w14:textId="77777777" w:rsidR="00B745CE" w:rsidRPr="00B33F79" w:rsidRDefault="00B745CE" w:rsidP="007A2F98">
            <w:pPr>
              <w:pStyle w:val="Normal6"/>
            </w:pPr>
            <w:r w:rsidRPr="00B33F79">
              <w:t>-</w:t>
            </w:r>
          </w:p>
        </w:tc>
        <w:tc>
          <w:tcPr>
            <w:tcW w:w="708" w:type="dxa"/>
            <w:hideMark/>
          </w:tcPr>
          <w:p w14:paraId="55FF98C0" w14:textId="77777777" w:rsidR="00B745CE" w:rsidRPr="00B33F79" w:rsidRDefault="00B745CE" w:rsidP="007A2F98">
            <w:pPr>
              <w:pStyle w:val="Normal6"/>
              <w:rPr>
                <w:b/>
                <w:i/>
              </w:rPr>
            </w:pPr>
            <w:r w:rsidRPr="00B33F79">
              <w:t>-</w:t>
            </w:r>
          </w:p>
        </w:tc>
        <w:tc>
          <w:tcPr>
            <w:tcW w:w="709" w:type="dxa"/>
            <w:hideMark/>
          </w:tcPr>
          <w:p w14:paraId="4993DB1C" w14:textId="77777777" w:rsidR="00B745CE" w:rsidRPr="00B33F79" w:rsidRDefault="00B745CE" w:rsidP="007A2F98">
            <w:pPr>
              <w:pStyle w:val="Normal6"/>
              <w:rPr>
                <w:b/>
                <w:i/>
              </w:rPr>
            </w:pPr>
            <w:r w:rsidRPr="00B33F79">
              <w:t>-</w:t>
            </w:r>
          </w:p>
        </w:tc>
        <w:tc>
          <w:tcPr>
            <w:tcW w:w="709" w:type="dxa"/>
          </w:tcPr>
          <w:p w14:paraId="4849A773" w14:textId="77777777" w:rsidR="00B745CE" w:rsidRPr="00B33F79" w:rsidRDefault="00B745CE" w:rsidP="007A2F98">
            <w:pPr>
              <w:pStyle w:val="Normal6"/>
            </w:pPr>
            <w:r w:rsidRPr="00B33F79">
              <w:t>-</w:t>
            </w:r>
          </w:p>
        </w:tc>
        <w:tc>
          <w:tcPr>
            <w:tcW w:w="1755" w:type="dxa"/>
            <w:gridSpan w:val="2"/>
          </w:tcPr>
          <w:p w14:paraId="4CA9BE4B" w14:textId="77777777" w:rsidR="00B745CE" w:rsidRPr="00B33F79" w:rsidRDefault="00B745CE" w:rsidP="007A2F98">
            <w:pPr>
              <w:pStyle w:val="Normal6"/>
              <w:rPr>
                <w:szCs w:val="24"/>
              </w:rPr>
            </w:pPr>
            <w:r w:rsidRPr="00B33F79">
              <w:t>Limit value 0,004 mg/m</w:t>
            </w:r>
            <w:r w:rsidRPr="00B33F79">
              <w:rPr>
                <w:szCs w:val="24"/>
                <w:vertAlign w:val="superscript"/>
              </w:rPr>
              <w:t>3</w:t>
            </w:r>
            <w:r w:rsidRPr="00B33F79">
              <w:t xml:space="preserve"> until xx yyyy 202z [7 years]</w:t>
            </w:r>
          </w:p>
        </w:tc>
      </w:tr>
      <w:tr w:rsidR="00B745CE" w:rsidRPr="00B33F79" w14:paraId="37F5B867" w14:textId="77777777" w:rsidTr="00A63BC5">
        <w:trPr>
          <w:gridBefore w:val="1"/>
          <w:wBefore w:w="340" w:type="dxa"/>
          <w:jc w:val="center"/>
        </w:trPr>
        <w:tc>
          <w:tcPr>
            <w:tcW w:w="9750" w:type="dxa"/>
            <w:gridSpan w:val="11"/>
          </w:tcPr>
          <w:p w14:paraId="4BAC9C51" w14:textId="77777777" w:rsidR="00B745CE" w:rsidRPr="00B33F79" w:rsidRDefault="00342EF5" w:rsidP="007A2F98">
            <w:pPr>
              <w:pStyle w:val="Normal6"/>
              <w:rPr>
                <w:rStyle w:val="FootnoteReference"/>
              </w:rPr>
            </w:pPr>
            <w:r w:rsidRPr="00B33F79">
              <w:t>__________________</w:t>
            </w:r>
          </w:p>
        </w:tc>
      </w:tr>
      <w:tr w:rsidR="00B745CE" w:rsidRPr="00B33F79" w14:paraId="44F9352E" w14:textId="77777777" w:rsidTr="00A63BC5">
        <w:trPr>
          <w:gridBefore w:val="1"/>
          <w:wBefore w:w="340" w:type="dxa"/>
          <w:jc w:val="center"/>
        </w:trPr>
        <w:tc>
          <w:tcPr>
            <w:tcW w:w="9750" w:type="dxa"/>
            <w:gridSpan w:val="11"/>
          </w:tcPr>
          <w:p w14:paraId="68B00D40" w14:textId="7397F996" w:rsidR="00B745CE" w:rsidRPr="00B33F79" w:rsidRDefault="001619ED" w:rsidP="007A2F98">
            <w:pPr>
              <w:pStyle w:val="Normal6"/>
              <w:rPr>
                <w:b/>
                <w:i/>
                <w:sz w:val="20"/>
              </w:rPr>
            </w:pPr>
            <w:r w:rsidRPr="00B33F79">
              <w:rPr>
                <w:b/>
                <w:i/>
                <w:vertAlign w:val="superscript"/>
              </w:rPr>
              <w:t xml:space="preserve">* </w:t>
            </w:r>
            <w:r w:rsidRPr="00B33F79">
              <w:rPr>
                <w:b/>
                <w:i/>
              </w:rPr>
              <w:t xml:space="preserve">For facilities where the doctor and/or the authority responsible for the health surveillance of workers have implemented bio-monitoring in compliance with Annex II (3), the 8 hours-TWA Limit Value is 0.004 mg/m3 (respirable fraction). In this case no transitional period is needed.  </w:t>
            </w:r>
          </w:p>
        </w:tc>
      </w:tr>
    </w:tbl>
    <w:p w14:paraId="2779F2E4" w14:textId="77777777" w:rsidR="00B745CE" w:rsidRPr="00B33F79" w:rsidRDefault="00B745CE"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1622BC98" w14:textId="77777777" w:rsidR="00B16537" w:rsidRPr="00B33F79" w:rsidRDefault="00B16537" w:rsidP="00840C85">
      <w:pPr>
        <w:pStyle w:val="JustificationTitle"/>
        <w:spacing w:after="240"/>
      </w:pPr>
      <w:r w:rsidRPr="00B33F79">
        <w:rPr>
          <w:rStyle w:val="HideTWBExt"/>
          <w:i w:val="0"/>
          <w:noProof w:val="0"/>
        </w:rPr>
        <w:t>&lt;TitreJust&gt;</w:t>
      </w:r>
      <w:r w:rsidRPr="00B33F79">
        <w:rPr>
          <w:color w:val="0000F0"/>
        </w:rPr>
        <w:t>Justification</w:t>
      </w:r>
      <w:r w:rsidRPr="00B33F79">
        <w:rPr>
          <w:rStyle w:val="HideTWBExt"/>
          <w:i w:val="0"/>
          <w:noProof w:val="0"/>
        </w:rPr>
        <w:t>&lt;/TitreJust&gt;</w:t>
      </w:r>
    </w:p>
    <w:p w14:paraId="7B9FD25F" w14:textId="6A50C4DC" w:rsidR="00B16537" w:rsidRPr="00B33F79" w:rsidRDefault="00B16537" w:rsidP="00840C85">
      <w:pPr>
        <w:spacing w:after="240"/>
        <w:rPr>
          <w:rStyle w:val="HideTWBExt"/>
          <w:i/>
          <w:noProof w:val="0"/>
        </w:rPr>
      </w:pPr>
      <w:r w:rsidRPr="00B33F79">
        <w:rPr>
          <w:i/>
        </w:rPr>
        <w:t>See SCOEL opinion of 8 /02/2017 "An 8h-TWA (...) of 4 μg/m³ (respirable fraction), based on non-cancer respiratory effects, can (...) be considered as being protective for workers (...).and must be seen in close conjunction with a biological monitoring (BLV) of 2 µg Cd/g creatinine)   However, an isolated OEL (8-h TWA) of 4 μg/m3 (not linked with a BLV) would not appear being equally protective against the systemic nephrotoxixity of Cd. (...). In this case an OEL (8h-TWA, not connected with biological monitoring) for Cd and its inorganic compounds should be 1 μg/m3”. See:</w:t>
      </w:r>
      <w:r w:rsidRPr="00B33F79">
        <w:rPr>
          <w:i/>
          <w:color w:val="1F497D"/>
        </w:rPr>
        <w:t xml:space="preserve"> </w:t>
      </w:r>
      <w:r w:rsidRPr="00B33F79">
        <w:rPr>
          <w:rStyle w:val="Hyperlink"/>
          <w:i/>
        </w:rPr>
        <w:t>https://circabc.europa.eu/sd/a/13cad802-1f3c-40c0-bce4-6838cf5fc4ff/OPIN-336%20Cadmium%20and%20its%20inorganic%20compounds.pdf</w:t>
      </w:r>
      <w:r w:rsidRPr="00B33F79">
        <w:rPr>
          <w:i/>
        </w:rPr>
        <w:t>.</w:t>
      </w:r>
    </w:p>
    <w:p w14:paraId="0C67CBC1" w14:textId="0FFD1874" w:rsidR="00B745CE" w:rsidRPr="00B33F79" w:rsidRDefault="00B745CE" w:rsidP="00B745CE">
      <w:pPr>
        <w:rPr>
          <w:szCs w:val="24"/>
        </w:rPr>
      </w:pPr>
      <w:r w:rsidRPr="00B33F79">
        <w:rPr>
          <w:rStyle w:val="HideTWBExt"/>
          <w:noProof w:val="0"/>
        </w:rPr>
        <w:t>&lt;/Amend&gt;</w:t>
      </w:r>
    </w:p>
    <w:p w14:paraId="05006410" w14:textId="2ED38C70" w:rsidR="00F844DE" w:rsidRPr="00B33F79" w:rsidRDefault="00F844DE" w:rsidP="00F844DE">
      <w:pPr>
        <w:pStyle w:val="AMNumberTabs"/>
        <w:keepNext/>
      </w:pPr>
      <w:r w:rsidRPr="00B33F79">
        <w:rPr>
          <w:rStyle w:val="HideTWBExt"/>
          <w:b w:val="0"/>
          <w:noProof w:val="0"/>
        </w:rPr>
        <w:t>&lt;Amend&gt;</w:t>
      </w:r>
      <w:r w:rsidRPr="00B33F79">
        <w:rPr>
          <w:color w:val="0000F0"/>
        </w:rPr>
        <w:t>Amendment</w:t>
      </w:r>
      <w:r w:rsidRPr="00B33F79">
        <w:rPr>
          <w:color w:val="0000F0"/>
        </w:rPr>
        <w:tab/>
      </w:r>
      <w:r w:rsidRPr="00B33F79">
        <w:rPr>
          <w:color w:val="0000F0"/>
        </w:rPr>
        <w:tab/>
      </w:r>
      <w:r w:rsidRPr="00B33F79">
        <w:rPr>
          <w:rStyle w:val="HideTWBExt"/>
          <w:b w:val="0"/>
          <w:noProof w:val="0"/>
        </w:rPr>
        <w:t>&lt;NumAm&gt;</w:t>
      </w:r>
      <w:r w:rsidRPr="00B33F79">
        <w:rPr>
          <w:color w:val="0000F0"/>
        </w:rPr>
        <w:t>25</w:t>
      </w:r>
      <w:r w:rsidRPr="00B33F79">
        <w:rPr>
          <w:rStyle w:val="HideTWBExt"/>
          <w:b w:val="0"/>
          <w:noProof w:val="0"/>
        </w:rPr>
        <w:t>&lt;/NumAm&gt;</w:t>
      </w:r>
    </w:p>
    <w:p w14:paraId="7B0B6F15" w14:textId="77777777" w:rsidR="00F844DE" w:rsidRPr="00B33F79" w:rsidRDefault="00F844DE" w:rsidP="00F844DE">
      <w:pPr>
        <w:pStyle w:val="NormalBold12b"/>
        <w:keepNext/>
      </w:pPr>
      <w:r w:rsidRPr="00B33F79">
        <w:rPr>
          <w:rStyle w:val="HideTWBExt"/>
          <w:b w:val="0"/>
          <w:noProof w:val="0"/>
        </w:rPr>
        <w:t>&lt;DocAmend&gt;</w:t>
      </w:r>
      <w:r w:rsidRPr="00B33F79">
        <w:rPr>
          <w:color w:val="0000F0"/>
        </w:rPr>
        <w:t>Proposal for a directive</w:t>
      </w:r>
      <w:r w:rsidRPr="00B33F79">
        <w:rPr>
          <w:rStyle w:val="HideTWBExt"/>
          <w:b w:val="0"/>
          <w:noProof w:val="0"/>
        </w:rPr>
        <w:t>&lt;/DocAmend&gt;</w:t>
      </w:r>
    </w:p>
    <w:p w14:paraId="00B17E74" w14:textId="77777777" w:rsidR="007A2F98" w:rsidRPr="00B33F79" w:rsidRDefault="007A2F98" w:rsidP="007A2F98">
      <w:pPr>
        <w:pStyle w:val="NormalBold"/>
      </w:pPr>
      <w:r w:rsidRPr="00B33F79">
        <w:rPr>
          <w:rStyle w:val="HideTWBExt"/>
          <w:b w:val="0"/>
          <w:noProof w:val="0"/>
        </w:rPr>
        <w:t>&lt;Article&gt;</w:t>
      </w:r>
      <w:r w:rsidRPr="00B33F79">
        <w:rPr>
          <w:color w:val="0000EB"/>
        </w:rPr>
        <w:t>Article 1 – paragraph 1 – point 1</w:t>
      </w:r>
      <w:r w:rsidRPr="00B33F79">
        <w:rPr>
          <w:rStyle w:val="HideTWBExt"/>
          <w:b w:val="0"/>
          <w:noProof w:val="0"/>
        </w:rPr>
        <w:t>&lt;/Article&gt;</w:t>
      </w:r>
    </w:p>
    <w:p w14:paraId="344CEB81" w14:textId="77777777" w:rsidR="007A2F98" w:rsidRPr="00B33F79" w:rsidRDefault="007A2F98" w:rsidP="007A2F98">
      <w:pPr>
        <w:keepNext/>
      </w:pPr>
      <w:r w:rsidRPr="00B33F79">
        <w:rPr>
          <w:rStyle w:val="HideTWBExt"/>
          <w:noProof w:val="0"/>
        </w:rPr>
        <w:t>&lt;DocAmend2&gt;</w:t>
      </w:r>
      <w:r w:rsidRPr="00B33F79">
        <w:rPr>
          <w:color w:val="0000F0"/>
        </w:rPr>
        <w:t>Directive 2004/37/EC</w:t>
      </w:r>
      <w:r w:rsidRPr="00B33F79">
        <w:rPr>
          <w:rStyle w:val="HideTWBExt"/>
          <w:noProof w:val="0"/>
        </w:rPr>
        <w:t>&lt;/DocAmend2&gt;</w:t>
      </w:r>
    </w:p>
    <w:p w14:paraId="05F372A9" w14:textId="13AE31A8" w:rsidR="00B745CE" w:rsidRPr="00B33F79" w:rsidRDefault="00F844DE" w:rsidP="00B745CE">
      <w:r w:rsidRPr="00B33F79">
        <w:rPr>
          <w:rStyle w:val="HideTWBExt"/>
          <w:noProof w:val="0"/>
        </w:rPr>
        <w:t>&lt;Article2&gt;</w:t>
      </w:r>
      <w:r w:rsidRPr="00B33F79">
        <w:rPr>
          <w:color w:val="0000EB"/>
        </w:rPr>
        <w:t>Annex III – Part A – table – row 2</w:t>
      </w:r>
      <w:r w:rsidRPr="00B33F79">
        <w:rPr>
          <w:rStyle w:val="HideTWBExt"/>
          <w:noProof w:val="0"/>
        </w:rPr>
        <w:t>&lt;/Article2&gt;</w:t>
      </w:r>
    </w:p>
    <w:tbl>
      <w:tblPr>
        <w:tblW w:w="10090" w:type="dxa"/>
        <w:jc w:val="center"/>
        <w:tblLayout w:type="fixed"/>
        <w:tblCellMar>
          <w:left w:w="340" w:type="dxa"/>
          <w:right w:w="340" w:type="dxa"/>
        </w:tblCellMar>
        <w:tblLook w:val="04A0" w:firstRow="1" w:lastRow="0" w:firstColumn="1" w:lastColumn="0" w:noHBand="0" w:noVBand="1"/>
      </w:tblPr>
      <w:tblGrid>
        <w:gridCol w:w="340"/>
        <w:gridCol w:w="1474"/>
        <w:gridCol w:w="709"/>
        <w:gridCol w:w="709"/>
        <w:gridCol w:w="1134"/>
        <w:gridCol w:w="709"/>
        <w:gridCol w:w="708"/>
        <w:gridCol w:w="709"/>
        <w:gridCol w:w="709"/>
        <w:gridCol w:w="1417"/>
        <w:gridCol w:w="1134"/>
        <w:gridCol w:w="338"/>
      </w:tblGrid>
      <w:tr w:rsidR="00B745CE" w:rsidRPr="00B33F79" w14:paraId="0F669CD3" w14:textId="77777777" w:rsidTr="00A63BC5">
        <w:trPr>
          <w:gridBefore w:val="1"/>
          <w:wBefore w:w="340" w:type="dxa"/>
          <w:jc w:val="center"/>
        </w:trPr>
        <w:tc>
          <w:tcPr>
            <w:tcW w:w="9750" w:type="dxa"/>
            <w:gridSpan w:val="11"/>
          </w:tcPr>
          <w:p w14:paraId="67825E40" w14:textId="77777777" w:rsidR="00B745CE" w:rsidRPr="00B33F79" w:rsidRDefault="00B745CE" w:rsidP="007A2F98">
            <w:pPr>
              <w:keepNext/>
              <w:rPr>
                <w:sz w:val="22"/>
              </w:rPr>
            </w:pPr>
          </w:p>
        </w:tc>
      </w:tr>
      <w:tr w:rsidR="00B745CE" w:rsidRPr="00B33F79" w14:paraId="4C1F5DA2" w14:textId="77777777" w:rsidTr="00A63BC5">
        <w:trPr>
          <w:gridBefore w:val="1"/>
          <w:wBefore w:w="340" w:type="dxa"/>
          <w:jc w:val="center"/>
        </w:trPr>
        <w:tc>
          <w:tcPr>
            <w:tcW w:w="9750" w:type="dxa"/>
            <w:gridSpan w:val="11"/>
            <w:hideMark/>
          </w:tcPr>
          <w:p w14:paraId="6E9B0518" w14:textId="77777777" w:rsidR="00B745CE" w:rsidRPr="00B33F79" w:rsidRDefault="00B745CE" w:rsidP="007A2F98">
            <w:pPr>
              <w:pStyle w:val="ColumnHeading"/>
              <w:keepNext/>
              <w:spacing w:line="252" w:lineRule="auto"/>
              <w:jc w:val="left"/>
            </w:pPr>
            <w:r w:rsidRPr="00B33F79">
              <w:t>Text proposed by the Commission</w:t>
            </w:r>
          </w:p>
        </w:tc>
      </w:tr>
      <w:tr w:rsidR="00B745CE" w:rsidRPr="00B33F79" w14:paraId="49ACFCF9" w14:textId="77777777" w:rsidTr="00A63BC5">
        <w:trPr>
          <w:gridAfter w:val="1"/>
          <w:wAfter w:w="338" w:type="dxa"/>
          <w:jc w:val="center"/>
        </w:trPr>
        <w:tc>
          <w:tcPr>
            <w:tcW w:w="9752" w:type="dxa"/>
            <w:gridSpan w:val="11"/>
          </w:tcPr>
          <w:p w14:paraId="6A57E9B0" w14:textId="77777777" w:rsidR="00B745CE" w:rsidRPr="00B33F79" w:rsidRDefault="00B745CE" w:rsidP="007A2F98">
            <w:pPr>
              <w:pStyle w:val="Normal6"/>
            </w:pPr>
          </w:p>
        </w:tc>
      </w:tr>
      <w:tr w:rsidR="00B745CE" w:rsidRPr="00B33F79" w14:paraId="2721D8B1" w14:textId="77777777" w:rsidTr="00A63BC5">
        <w:trPr>
          <w:gridBefore w:val="1"/>
          <w:wBefore w:w="340" w:type="dxa"/>
          <w:jc w:val="center"/>
        </w:trPr>
        <w:tc>
          <w:tcPr>
            <w:tcW w:w="1474" w:type="dxa"/>
            <w:hideMark/>
          </w:tcPr>
          <w:p w14:paraId="0C71B5DA" w14:textId="77777777" w:rsidR="00B745CE" w:rsidRPr="00B33F79" w:rsidRDefault="00B745CE" w:rsidP="007A2F98">
            <w:pPr>
              <w:pStyle w:val="Normal6"/>
              <w:rPr>
                <w:szCs w:val="24"/>
              </w:rPr>
            </w:pPr>
            <w:r w:rsidRPr="00B33F79">
              <w:t>Beryllium and inorganic beryllium compou</w:t>
            </w:r>
            <w:r w:rsidRPr="00B33F79">
              <w:lastRenderedPageBreak/>
              <w:t>nds</w:t>
            </w:r>
          </w:p>
        </w:tc>
        <w:tc>
          <w:tcPr>
            <w:tcW w:w="709" w:type="dxa"/>
            <w:hideMark/>
          </w:tcPr>
          <w:p w14:paraId="015A1410" w14:textId="77777777" w:rsidR="00B745CE" w:rsidRPr="00B33F79" w:rsidRDefault="00B745CE" w:rsidP="007A2F98">
            <w:pPr>
              <w:pStyle w:val="Normal6"/>
            </w:pPr>
            <w:r w:rsidRPr="00B33F79">
              <w:lastRenderedPageBreak/>
              <w:t>-</w:t>
            </w:r>
          </w:p>
        </w:tc>
        <w:tc>
          <w:tcPr>
            <w:tcW w:w="709" w:type="dxa"/>
            <w:hideMark/>
          </w:tcPr>
          <w:p w14:paraId="77C04F33" w14:textId="77777777" w:rsidR="00B745CE" w:rsidRPr="00B33F79" w:rsidRDefault="00B745CE" w:rsidP="007A2F98">
            <w:pPr>
              <w:pStyle w:val="Normal6"/>
            </w:pPr>
            <w:r w:rsidRPr="00B33F79">
              <w:t>-</w:t>
            </w:r>
          </w:p>
        </w:tc>
        <w:tc>
          <w:tcPr>
            <w:tcW w:w="1134" w:type="dxa"/>
            <w:hideMark/>
          </w:tcPr>
          <w:p w14:paraId="27AB49DF" w14:textId="77777777" w:rsidR="00B745CE" w:rsidRPr="00B33F79" w:rsidRDefault="00B745CE" w:rsidP="007A2F98">
            <w:pPr>
              <w:pStyle w:val="Normal6"/>
              <w:rPr>
                <w:szCs w:val="24"/>
              </w:rPr>
            </w:pPr>
            <w:r w:rsidRPr="00B33F79">
              <w:t>0,0002</w:t>
            </w:r>
          </w:p>
        </w:tc>
        <w:tc>
          <w:tcPr>
            <w:tcW w:w="709" w:type="dxa"/>
            <w:hideMark/>
          </w:tcPr>
          <w:p w14:paraId="713DB611" w14:textId="77777777" w:rsidR="00B745CE" w:rsidRPr="00B33F79" w:rsidRDefault="00B745CE" w:rsidP="007A2F98">
            <w:pPr>
              <w:pStyle w:val="Normal6"/>
              <w:rPr>
                <w:b/>
                <w:i/>
              </w:rPr>
            </w:pPr>
            <w:r w:rsidRPr="00B33F79">
              <w:t>-</w:t>
            </w:r>
          </w:p>
        </w:tc>
        <w:tc>
          <w:tcPr>
            <w:tcW w:w="708" w:type="dxa"/>
          </w:tcPr>
          <w:p w14:paraId="677EA402" w14:textId="77777777" w:rsidR="00B745CE" w:rsidRPr="00B33F79" w:rsidRDefault="00B745CE" w:rsidP="007A2F98">
            <w:pPr>
              <w:pStyle w:val="Normal6"/>
            </w:pPr>
            <w:r w:rsidRPr="00B33F79">
              <w:t>-</w:t>
            </w:r>
          </w:p>
        </w:tc>
        <w:tc>
          <w:tcPr>
            <w:tcW w:w="709" w:type="dxa"/>
            <w:hideMark/>
          </w:tcPr>
          <w:p w14:paraId="0066C80F" w14:textId="77777777" w:rsidR="00B745CE" w:rsidRPr="00B33F79" w:rsidRDefault="00B745CE" w:rsidP="007A2F98">
            <w:pPr>
              <w:pStyle w:val="Normal6"/>
              <w:rPr>
                <w:b/>
                <w:i/>
              </w:rPr>
            </w:pPr>
            <w:r w:rsidRPr="00B33F79">
              <w:t>-</w:t>
            </w:r>
          </w:p>
        </w:tc>
        <w:tc>
          <w:tcPr>
            <w:tcW w:w="709" w:type="dxa"/>
            <w:hideMark/>
          </w:tcPr>
          <w:p w14:paraId="02158713" w14:textId="77777777" w:rsidR="00B745CE" w:rsidRPr="00B33F79" w:rsidRDefault="00B745CE" w:rsidP="007A2F98">
            <w:pPr>
              <w:pStyle w:val="Normal6"/>
              <w:rPr>
                <w:b/>
                <w:i/>
              </w:rPr>
            </w:pPr>
            <w:r w:rsidRPr="00B33F79">
              <w:t>-</w:t>
            </w:r>
          </w:p>
        </w:tc>
        <w:tc>
          <w:tcPr>
            <w:tcW w:w="1417" w:type="dxa"/>
          </w:tcPr>
          <w:p w14:paraId="0EEB8A0C" w14:textId="77777777" w:rsidR="00B745CE" w:rsidRPr="00B33F79" w:rsidRDefault="00B745CE" w:rsidP="007A2F98">
            <w:pPr>
              <w:pStyle w:val="Normal6"/>
            </w:pPr>
            <w:r w:rsidRPr="00B33F79">
              <w:t>dermal and respiratory sensitisation (</w:t>
            </w:r>
            <w:r w:rsidRPr="00B33F79">
              <w:rPr>
                <w:vertAlign w:val="superscript"/>
              </w:rPr>
              <w:t>8</w:t>
            </w:r>
            <w:r w:rsidRPr="00B33F79">
              <w:t xml:space="preserve">) </w:t>
            </w:r>
          </w:p>
        </w:tc>
        <w:tc>
          <w:tcPr>
            <w:tcW w:w="1472" w:type="dxa"/>
            <w:gridSpan w:val="2"/>
          </w:tcPr>
          <w:p w14:paraId="7D1B9B4D" w14:textId="77777777" w:rsidR="00B745CE" w:rsidRPr="00B33F79" w:rsidRDefault="00B745CE" w:rsidP="00B745CE">
            <w:pPr>
              <w:pStyle w:val="Normal6"/>
              <w:rPr>
                <w:szCs w:val="24"/>
              </w:rPr>
            </w:pPr>
            <w:r w:rsidRPr="00B33F79">
              <w:t>Limit value 0,0006 mg/m</w:t>
            </w:r>
            <w:r w:rsidRPr="00B33F79">
              <w:rPr>
                <w:szCs w:val="24"/>
                <w:vertAlign w:val="superscript"/>
              </w:rPr>
              <w:t>3</w:t>
            </w:r>
            <w:r w:rsidRPr="00B33F79">
              <w:t xml:space="preserve"> until xx yyyy 202z [</w:t>
            </w:r>
            <w:r w:rsidRPr="00B33F79">
              <w:rPr>
                <w:b/>
                <w:i/>
              </w:rPr>
              <w:t>5</w:t>
            </w:r>
            <w:r w:rsidRPr="00B33F79">
              <w:t xml:space="preserve"> </w:t>
            </w:r>
            <w:r w:rsidRPr="00B33F79">
              <w:lastRenderedPageBreak/>
              <w:t>years]</w:t>
            </w:r>
          </w:p>
        </w:tc>
      </w:tr>
      <w:tr w:rsidR="00B745CE" w:rsidRPr="00B33F79" w14:paraId="298BE9B9" w14:textId="77777777" w:rsidTr="00A63BC5">
        <w:trPr>
          <w:gridBefore w:val="1"/>
          <w:wBefore w:w="340" w:type="dxa"/>
          <w:jc w:val="center"/>
        </w:trPr>
        <w:tc>
          <w:tcPr>
            <w:tcW w:w="9750" w:type="dxa"/>
            <w:gridSpan w:val="11"/>
            <w:hideMark/>
          </w:tcPr>
          <w:p w14:paraId="5882B5F9" w14:textId="77777777" w:rsidR="00B745CE" w:rsidRPr="00B33F79" w:rsidRDefault="00B745CE" w:rsidP="007A2F98">
            <w:pPr>
              <w:pStyle w:val="ColumnHeading"/>
              <w:keepNext/>
              <w:spacing w:line="252" w:lineRule="auto"/>
              <w:jc w:val="left"/>
            </w:pPr>
            <w:r w:rsidRPr="00B33F79">
              <w:lastRenderedPageBreak/>
              <w:t>Amendment</w:t>
            </w:r>
          </w:p>
        </w:tc>
      </w:tr>
      <w:tr w:rsidR="00B745CE" w:rsidRPr="00B33F79" w14:paraId="31871094" w14:textId="77777777" w:rsidTr="00A63BC5">
        <w:trPr>
          <w:gridBefore w:val="1"/>
          <w:wBefore w:w="340" w:type="dxa"/>
          <w:jc w:val="center"/>
        </w:trPr>
        <w:tc>
          <w:tcPr>
            <w:tcW w:w="1474" w:type="dxa"/>
            <w:hideMark/>
          </w:tcPr>
          <w:p w14:paraId="779236FE" w14:textId="77777777" w:rsidR="00B745CE" w:rsidRPr="00B33F79" w:rsidRDefault="00B745CE" w:rsidP="007A2F98">
            <w:pPr>
              <w:pStyle w:val="Normal6"/>
              <w:rPr>
                <w:szCs w:val="24"/>
              </w:rPr>
            </w:pPr>
            <w:r w:rsidRPr="00B33F79">
              <w:t>Beryllium and inorganic beryllium compounds</w:t>
            </w:r>
          </w:p>
        </w:tc>
        <w:tc>
          <w:tcPr>
            <w:tcW w:w="709" w:type="dxa"/>
            <w:hideMark/>
          </w:tcPr>
          <w:p w14:paraId="3F54B7D8" w14:textId="77777777" w:rsidR="00B745CE" w:rsidRPr="00B33F79" w:rsidRDefault="00B745CE" w:rsidP="007A2F98">
            <w:pPr>
              <w:pStyle w:val="Normal6"/>
            </w:pPr>
            <w:r w:rsidRPr="00B33F79">
              <w:t>-</w:t>
            </w:r>
          </w:p>
        </w:tc>
        <w:tc>
          <w:tcPr>
            <w:tcW w:w="709" w:type="dxa"/>
            <w:hideMark/>
          </w:tcPr>
          <w:p w14:paraId="301D9FD4" w14:textId="77777777" w:rsidR="00B745CE" w:rsidRPr="00B33F79" w:rsidRDefault="00B745CE" w:rsidP="007A2F98">
            <w:pPr>
              <w:pStyle w:val="Normal6"/>
            </w:pPr>
            <w:r w:rsidRPr="00B33F79">
              <w:t>-</w:t>
            </w:r>
          </w:p>
        </w:tc>
        <w:tc>
          <w:tcPr>
            <w:tcW w:w="1134" w:type="dxa"/>
            <w:hideMark/>
          </w:tcPr>
          <w:p w14:paraId="7B8950FE" w14:textId="77777777" w:rsidR="00B745CE" w:rsidRPr="00B33F79" w:rsidRDefault="00B745CE" w:rsidP="007A2F98">
            <w:pPr>
              <w:pStyle w:val="Normal6"/>
              <w:rPr>
                <w:szCs w:val="24"/>
              </w:rPr>
            </w:pPr>
            <w:r w:rsidRPr="00B33F79">
              <w:t>0,0002</w:t>
            </w:r>
          </w:p>
        </w:tc>
        <w:tc>
          <w:tcPr>
            <w:tcW w:w="709" w:type="dxa"/>
            <w:hideMark/>
          </w:tcPr>
          <w:p w14:paraId="5DF51D54" w14:textId="77777777" w:rsidR="00B745CE" w:rsidRPr="00B33F79" w:rsidRDefault="00B745CE" w:rsidP="007A2F98">
            <w:pPr>
              <w:pStyle w:val="Normal6"/>
              <w:rPr>
                <w:b/>
                <w:i/>
              </w:rPr>
            </w:pPr>
            <w:r w:rsidRPr="00B33F79">
              <w:t>-</w:t>
            </w:r>
          </w:p>
        </w:tc>
        <w:tc>
          <w:tcPr>
            <w:tcW w:w="708" w:type="dxa"/>
          </w:tcPr>
          <w:p w14:paraId="1F72FF80" w14:textId="77777777" w:rsidR="00B745CE" w:rsidRPr="00B33F79" w:rsidRDefault="00B745CE" w:rsidP="007A2F98">
            <w:pPr>
              <w:pStyle w:val="Normal6"/>
            </w:pPr>
            <w:r w:rsidRPr="00B33F79">
              <w:t>-</w:t>
            </w:r>
          </w:p>
        </w:tc>
        <w:tc>
          <w:tcPr>
            <w:tcW w:w="709" w:type="dxa"/>
            <w:hideMark/>
          </w:tcPr>
          <w:p w14:paraId="19C09F21" w14:textId="77777777" w:rsidR="00B745CE" w:rsidRPr="00B33F79" w:rsidRDefault="00B745CE" w:rsidP="007A2F98">
            <w:pPr>
              <w:pStyle w:val="Normal6"/>
              <w:rPr>
                <w:b/>
                <w:i/>
              </w:rPr>
            </w:pPr>
            <w:r w:rsidRPr="00B33F79">
              <w:t>-</w:t>
            </w:r>
          </w:p>
        </w:tc>
        <w:tc>
          <w:tcPr>
            <w:tcW w:w="709" w:type="dxa"/>
            <w:hideMark/>
          </w:tcPr>
          <w:p w14:paraId="0DA56F5C" w14:textId="77777777" w:rsidR="00B745CE" w:rsidRPr="00B33F79" w:rsidRDefault="00B745CE" w:rsidP="007A2F98">
            <w:pPr>
              <w:pStyle w:val="Normal6"/>
              <w:rPr>
                <w:b/>
                <w:i/>
              </w:rPr>
            </w:pPr>
            <w:r w:rsidRPr="00B33F79">
              <w:t>-</w:t>
            </w:r>
          </w:p>
        </w:tc>
        <w:tc>
          <w:tcPr>
            <w:tcW w:w="1417" w:type="dxa"/>
          </w:tcPr>
          <w:p w14:paraId="1EADE302" w14:textId="77777777" w:rsidR="00B745CE" w:rsidRPr="00B33F79" w:rsidRDefault="00B745CE" w:rsidP="007A2F98">
            <w:pPr>
              <w:pStyle w:val="Normal6"/>
            </w:pPr>
            <w:r w:rsidRPr="00B33F79">
              <w:t>dermal and respiratory sensitisation (</w:t>
            </w:r>
            <w:r w:rsidRPr="00B33F79">
              <w:rPr>
                <w:vertAlign w:val="superscript"/>
              </w:rPr>
              <w:t>8</w:t>
            </w:r>
            <w:r w:rsidRPr="00B33F79">
              <w:t xml:space="preserve">) </w:t>
            </w:r>
          </w:p>
        </w:tc>
        <w:tc>
          <w:tcPr>
            <w:tcW w:w="1472" w:type="dxa"/>
            <w:gridSpan w:val="2"/>
          </w:tcPr>
          <w:p w14:paraId="0FEA7B40" w14:textId="77777777" w:rsidR="00B745CE" w:rsidRPr="00B33F79" w:rsidRDefault="00B745CE" w:rsidP="007A2F98">
            <w:pPr>
              <w:pStyle w:val="Normal6"/>
              <w:rPr>
                <w:szCs w:val="24"/>
              </w:rPr>
            </w:pPr>
            <w:r w:rsidRPr="00B33F79">
              <w:t>Limit value 0,0006 mg/m</w:t>
            </w:r>
            <w:r w:rsidRPr="00B33F79">
              <w:rPr>
                <w:szCs w:val="24"/>
                <w:vertAlign w:val="superscript"/>
              </w:rPr>
              <w:t>3</w:t>
            </w:r>
            <w:r w:rsidRPr="00B33F79">
              <w:t xml:space="preserve"> until xx yyyy 202z [</w:t>
            </w:r>
            <w:r w:rsidRPr="00B33F79">
              <w:rPr>
                <w:b/>
                <w:i/>
              </w:rPr>
              <w:t>7</w:t>
            </w:r>
            <w:r w:rsidRPr="00B33F79">
              <w:t xml:space="preserve"> years]</w:t>
            </w:r>
          </w:p>
        </w:tc>
      </w:tr>
      <w:tr w:rsidR="00B745CE" w:rsidRPr="00B33F79" w14:paraId="34D71A91" w14:textId="77777777" w:rsidTr="00A63BC5">
        <w:trPr>
          <w:gridBefore w:val="1"/>
          <w:wBefore w:w="340" w:type="dxa"/>
          <w:jc w:val="center"/>
        </w:trPr>
        <w:tc>
          <w:tcPr>
            <w:tcW w:w="9750" w:type="dxa"/>
            <w:gridSpan w:val="11"/>
          </w:tcPr>
          <w:p w14:paraId="2593DECD" w14:textId="77777777" w:rsidR="00B745CE" w:rsidRPr="00B33F79" w:rsidRDefault="00342EF5" w:rsidP="007A2F98">
            <w:pPr>
              <w:pStyle w:val="Normal6"/>
              <w:rPr>
                <w:sz w:val="20"/>
              </w:rPr>
            </w:pPr>
            <w:r w:rsidRPr="00B33F79">
              <w:t>__________________</w:t>
            </w:r>
          </w:p>
        </w:tc>
      </w:tr>
      <w:tr w:rsidR="00B745CE" w:rsidRPr="00B33F79" w14:paraId="47E09D18" w14:textId="77777777" w:rsidTr="00A63BC5">
        <w:trPr>
          <w:gridBefore w:val="1"/>
          <w:wBefore w:w="340" w:type="dxa"/>
          <w:jc w:val="center"/>
        </w:trPr>
        <w:tc>
          <w:tcPr>
            <w:tcW w:w="9750" w:type="dxa"/>
            <w:gridSpan w:val="11"/>
          </w:tcPr>
          <w:p w14:paraId="3B22FA14" w14:textId="77777777" w:rsidR="00B745CE" w:rsidRPr="00B33F79" w:rsidRDefault="00342EF5" w:rsidP="007A2F98">
            <w:pPr>
              <w:pStyle w:val="Normal6"/>
              <w:rPr>
                <w:sz w:val="20"/>
              </w:rPr>
            </w:pPr>
            <w:r w:rsidRPr="00B33F79">
              <w:t>(</w:t>
            </w:r>
            <w:r w:rsidRPr="00B33F79">
              <w:rPr>
                <w:vertAlign w:val="superscript"/>
              </w:rPr>
              <w:t>8</w:t>
            </w:r>
            <w:r w:rsidRPr="00B33F79">
              <w:t>) The substance can cause sensitisation of the skin and of the respiratory tract.</w:t>
            </w:r>
          </w:p>
        </w:tc>
      </w:tr>
    </w:tbl>
    <w:p w14:paraId="0EF774AB" w14:textId="77777777" w:rsidR="00B745CE" w:rsidRPr="00B33F79" w:rsidRDefault="00B745CE" w:rsidP="003A5A4F">
      <w:pPr>
        <w:pStyle w:val="Olang"/>
        <w:rPr>
          <w:noProof w:val="0"/>
          <w:szCs w:val="24"/>
        </w:rPr>
      </w:pPr>
      <w:r w:rsidRPr="00B33F79">
        <w:rPr>
          <w:noProof w:val="0"/>
          <w:color w:val="0000F0"/>
          <w:szCs w:val="24"/>
        </w:rPr>
        <w:t xml:space="preserve">Or. </w:t>
      </w:r>
      <w:r w:rsidRPr="00B33F79">
        <w:rPr>
          <w:rStyle w:val="HideTWBExt"/>
          <w:noProof w:val="0"/>
        </w:rPr>
        <w:t>&lt;Original&gt;</w:t>
      </w:r>
      <w:r w:rsidRPr="00B33F79">
        <w:rPr>
          <w:rStyle w:val="HideTWBInt"/>
          <w:noProof w:val="0"/>
        </w:rPr>
        <w:t>{IT}</w:t>
      </w:r>
      <w:r w:rsidRPr="00B33F79">
        <w:rPr>
          <w:noProof w:val="0"/>
          <w:color w:val="0000F0"/>
          <w:szCs w:val="24"/>
        </w:rPr>
        <w:t>it</w:t>
      </w:r>
      <w:r w:rsidRPr="00B33F79">
        <w:rPr>
          <w:rStyle w:val="HideTWBExt"/>
          <w:noProof w:val="0"/>
        </w:rPr>
        <w:t>&lt;/Original&gt;</w:t>
      </w:r>
    </w:p>
    <w:p w14:paraId="46437A85" w14:textId="77777777" w:rsidR="00F844DE" w:rsidRPr="00B33F79" w:rsidRDefault="00F844DE" w:rsidP="00F844DE">
      <w:pPr>
        <w:rPr>
          <w:szCs w:val="24"/>
        </w:rPr>
      </w:pPr>
      <w:r w:rsidRPr="00B33F79">
        <w:rPr>
          <w:rStyle w:val="HideTWBExt"/>
          <w:noProof w:val="0"/>
        </w:rPr>
        <w:t>&lt;/Amend&gt;&lt;/RepeatBlock-Amend&gt;</w:t>
      </w:r>
    </w:p>
    <w:p w14:paraId="25C01536" w14:textId="77777777" w:rsidR="00D1772A" w:rsidRPr="00B33F79" w:rsidRDefault="0042241A" w:rsidP="00D1772A">
      <w:pPr>
        <w:pStyle w:val="PageHeading"/>
        <w:widowControl/>
        <w:rPr>
          <w:szCs w:val="24"/>
        </w:rPr>
      </w:pPr>
      <w:r w:rsidRPr="00B33F79">
        <w:br w:type="page"/>
      </w:r>
      <w:bookmarkStart w:id="1" w:name="_Toc408997424"/>
      <w:bookmarkStart w:id="2" w:name="_Toc476820887"/>
      <w:bookmarkStart w:id="3" w:name="_Toc477161724"/>
      <w:bookmarkStart w:id="4" w:name="_Toc477768686"/>
      <w:bookmarkStart w:id="5" w:name="_Toc516571644"/>
      <w:bookmarkStart w:id="6" w:name="_Toc518379542"/>
      <w:r w:rsidRPr="00B33F79">
        <w:lastRenderedPageBreak/>
        <w:t>EXPLANATORY STATEMENT</w:t>
      </w:r>
      <w:bookmarkEnd w:id="1"/>
      <w:bookmarkEnd w:id="2"/>
      <w:bookmarkEnd w:id="3"/>
      <w:bookmarkEnd w:id="4"/>
      <w:bookmarkEnd w:id="5"/>
      <w:bookmarkEnd w:id="6"/>
    </w:p>
    <w:p w14:paraId="54FA8ABD" w14:textId="77777777" w:rsidR="00D1772A" w:rsidRPr="00B33F79" w:rsidRDefault="00D1772A" w:rsidP="00D1772A"/>
    <w:p w14:paraId="58F2C9AB" w14:textId="77777777" w:rsidR="00B16537" w:rsidRPr="00B33F79" w:rsidRDefault="00B16537" w:rsidP="00840C85">
      <w:pPr>
        <w:spacing w:after="120"/>
      </w:pPr>
      <w:r w:rsidRPr="00B33F79">
        <w:t>Cancer is the main work-related health problem in the EU-28, causing almost as much damage to workers’ life and health as the next two combined (musculoskeletal disorders and circulatory diseases). However, the adverse impact of high exposure to carcinogens and mutagens at the workplace is a good deal more far-reaching. In addition to cancers, it can also cause a wide range of other health problems, such as respiratory diseases and neurological disorders.</w:t>
      </w:r>
    </w:p>
    <w:p w14:paraId="752F913D" w14:textId="77777777" w:rsidR="00B16537" w:rsidRPr="00B33F79" w:rsidRDefault="00B16537" w:rsidP="00840C85">
      <w:pPr>
        <w:spacing w:after="120"/>
      </w:pPr>
      <w:r w:rsidRPr="00B33F79">
        <w:t>The European Commission has already taken steps to address these issues by adopting two legislative proposals to update Directive 2004/37/EC on the protection of workers from the risks related to exposure to carcinogens or mutagens at work in May 2016 and January 2017.</w:t>
      </w:r>
    </w:p>
    <w:p w14:paraId="3CE3D57C" w14:textId="77777777" w:rsidR="00B16537" w:rsidRPr="00B33F79" w:rsidRDefault="00B16537" w:rsidP="00840C85">
      <w:pPr>
        <w:spacing w:after="120"/>
      </w:pPr>
      <w:r w:rsidRPr="00B33F79">
        <w:t xml:space="preserve">This third legislative proposal examines five additional carcinogenic chemicals: cadmium, beryllium and their inorganic compounds, arsenic acid, formaldehyde and MOCA (4,4’ methylene-bis). </w:t>
      </w:r>
    </w:p>
    <w:p w14:paraId="0B81C77F" w14:textId="77777777" w:rsidR="00B16537" w:rsidRPr="00B33F79" w:rsidRDefault="00B16537" w:rsidP="00840C85">
      <w:pPr>
        <w:spacing w:after="120"/>
      </w:pPr>
      <w:r w:rsidRPr="00B33F79">
        <w:t xml:space="preserve">The rapporteur welcomes this third legislative proposal and the limit values that it contains, which, according to estimates, should improve the long-term working conditions of more than a million EU workers, preventing more than 22 000 cases of work-related ill-health (cancers and non-cancers). </w:t>
      </w:r>
    </w:p>
    <w:p w14:paraId="0CCF17A0" w14:textId="77777777" w:rsidR="00B16537" w:rsidRPr="00B33F79" w:rsidRDefault="00B16537" w:rsidP="00840C85">
      <w:pPr>
        <w:spacing w:after="120"/>
      </w:pPr>
      <w:r w:rsidRPr="00B33F79">
        <w:t>The rapporteur has adopted an approach intended to ensure maximum protection for workers without imposing excessive costs on small and medium-sized enterprises. Account can be taken of both these aspects by permitting a transition period for the completion of the necessary changes on the organisational side and more particularly the technical side. Given the weak economic recovery in sever</w:t>
      </w:r>
      <w:bookmarkStart w:id="7" w:name="_GoBack"/>
      <w:bookmarkEnd w:id="7"/>
      <w:r w:rsidRPr="00B33F79">
        <w:t xml:space="preserve">al European countries, which has persisted for some years, it is considered desirable to grant concessions to businesses which may be divided into two categories: </w:t>
      </w:r>
    </w:p>
    <w:p w14:paraId="7FCA0959" w14:textId="77777777" w:rsidR="00B16537" w:rsidRPr="00B33F79" w:rsidRDefault="00B16537" w:rsidP="00840C85">
      <w:pPr>
        <w:spacing w:after="120"/>
      </w:pPr>
      <w:r w:rsidRPr="00B33F79">
        <w:t>- active: by paying grants to businesses that comply, including by encouraging planning of EU-subsidised projects, without infringing any European requirements;</w:t>
      </w:r>
    </w:p>
    <w:p w14:paraId="04D58C54" w14:textId="77777777" w:rsidR="00B16537" w:rsidRPr="00B33F79" w:rsidRDefault="00B16537" w:rsidP="00840C85">
      <w:pPr>
        <w:spacing w:after="120"/>
      </w:pPr>
      <w:r w:rsidRPr="00B33F79">
        <w:t>- passive: by granting tax relief to businesses that comply.</w:t>
      </w:r>
    </w:p>
    <w:p w14:paraId="0F7522B3" w14:textId="77777777" w:rsidR="00B16537" w:rsidRPr="00B33F79" w:rsidRDefault="00B16537" w:rsidP="00840C85">
      <w:r w:rsidRPr="00B33F79">
        <w:t>Finally, the rapporteur wished to tackle in a direct and ambitious manner the problem of workers exposed to carcinogens and mutagens derived from the preparation, administration or disposal of hazardous drugs, including cytotoxic drugs. For that reason she has opted to include in Annex I to the Directive work involving exposure to carcinogenic or mutagenic substances arising from the preparation, administration or disposal of hazardous drugs (including cytotoxic drugs) classified by the IARC as carcinogenic (IARC group 1), probably carcinogenic (IARC group 2A) or possibly carcinogenic (IARC group 2B).</w:t>
      </w:r>
    </w:p>
    <w:p w14:paraId="2AA9517F" w14:textId="77777777" w:rsidR="0042241A" w:rsidRPr="00B33F79" w:rsidRDefault="0042241A" w:rsidP="002669B6"/>
    <w:sectPr w:rsidR="0042241A" w:rsidRPr="00B33F79" w:rsidSect="00B33F7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293C8" w14:textId="77777777" w:rsidR="00C902FF" w:rsidRPr="00B33F79" w:rsidRDefault="00C902FF">
      <w:r w:rsidRPr="00B33F79">
        <w:separator/>
      </w:r>
    </w:p>
  </w:endnote>
  <w:endnote w:type="continuationSeparator" w:id="0">
    <w:p w14:paraId="10A73AF4" w14:textId="77777777" w:rsidR="00C902FF" w:rsidRPr="00B33F79" w:rsidRDefault="00C902FF">
      <w:r w:rsidRPr="00B33F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6C4B" w14:textId="77777777" w:rsidR="00B33F79" w:rsidRPr="00B33F79" w:rsidRDefault="00B33F79" w:rsidP="00B33F79">
    <w:pPr>
      <w:pStyle w:val="Footer"/>
    </w:pPr>
    <w:r w:rsidRPr="00B33F79">
      <w:t>PE</w:t>
    </w:r>
    <w:r w:rsidRPr="00B33F79">
      <w:rPr>
        <w:rStyle w:val="HideTWBExt"/>
        <w:noProof w:val="0"/>
      </w:rPr>
      <w:t>&lt;NoPE&gt;</w:t>
    </w:r>
    <w:r w:rsidRPr="00B33F79">
      <w:t>623.825</w:t>
    </w:r>
    <w:r w:rsidRPr="00B33F79">
      <w:rPr>
        <w:rStyle w:val="HideTWBExt"/>
        <w:noProof w:val="0"/>
      </w:rPr>
      <w:t>&lt;/NoPE&gt;&lt;Version&gt;</w:t>
    </w:r>
    <w:r w:rsidRPr="00B33F79">
      <w:t>v02-00</w:t>
    </w:r>
    <w:r w:rsidRPr="00B33F79">
      <w:rPr>
        <w:rStyle w:val="HideTWBExt"/>
        <w:noProof w:val="0"/>
      </w:rPr>
      <w:t>&lt;/Version&gt;</w:t>
    </w:r>
    <w:r w:rsidRPr="00B33F79">
      <w:tab/>
    </w:r>
    <w:r w:rsidRPr="00B33F79">
      <w:fldChar w:fldCharType="begin"/>
    </w:r>
    <w:r w:rsidRPr="00B33F79">
      <w:instrText xml:space="preserve"> PAGE  \* MERGEFORMAT </w:instrText>
    </w:r>
    <w:r w:rsidRPr="00B33F79">
      <w:fldChar w:fldCharType="separate"/>
    </w:r>
    <w:r w:rsidR="000377F2">
      <w:rPr>
        <w:noProof/>
      </w:rPr>
      <w:t>24</w:t>
    </w:r>
    <w:r w:rsidRPr="00B33F79">
      <w:fldChar w:fldCharType="end"/>
    </w:r>
    <w:r w:rsidRPr="00B33F79">
      <w:t>/</w:t>
    </w:r>
    <w:fldSimple w:instr=" NUMPAGES  \* MERGEFORMAT ">
      <w:r w:rsidR="000377F2">
        <w:rPr>
          <w:noProof/>
        </w:rPr>
        <w:t>24</w:t>
      </w:r>
    </w:fldSimple>
    <w:r w:rsidRPr="00B33F79">
      <w:tab/>
    </w:r>
    <w:r w:rsidRPr="00B33F79">
      <w:rPr>
        <w:rStyle w:val="HideTWBExt"/>
        <w:noProof w:val="0"/>
      </w:rPr>
      <w:t>&lt;PathFdR&gt;</w:t>
    </w:r>
    <w:r w:rsidRPr="00B33F79">
      <w:t>PR\1157695EN.docx</w:t>
    </w:r>
    <w:r w:rsidRPr="00B33F79">
      <w:rPr>
        <w:rStyle w:val="HideTWBExt"/>
        <w:noProof w:val="0"/>
      </w:rPr>
      <w:t>&lt;/PathFdR&gt;</w:t>
    </w:r>
  </w:p>
  <w:p w14:paraId="032CC18B" w14:textId="19A0BCC3" w:rsidR="00C902FF" w:rsidRPr="00B33F79" w:rsidRDefault="00B33F79" w:rsidP="00B33F79">
    <w:pPr>
      <w:pStyle w:val="Footer2"/>
    </w:pPr>
    <w:r w:rsidRPr="00B33F79">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AF2F" w14:textId="77777777" w:rsidR="00B33F79" w:rsidRPr="00B33F79" w:rsidRDefault="00B33F79" w:rsidP="00B33F79">
    <w:pPr>
      <w:pStyle w:val="Footer"/>
    </w:pPr>
    <w:r w:rsidRPr="00B33F79">
      <w:rPr>
        <w:rStyle w:val="HideTWBExt"/>
        <w:noProof w:val="0"/>
      </w:rPr>
      <w:t>&lt;PathFdR&gt;</w:t>
    </w:r>
    <w:r w:rsidRPr="00B33F79">
      <w:t>PR\1157695EN.docx</w:t>
    </w:r>
    <w:r w:rsidRPr="00B33F79">
      <w:rPr>
        <w:rStyle w:val="HideTWBExt"/>
        <w:noProof w:val="0"/>
      </w:rPr>
      <w:t>&lt;/PathFdR&gt;</w:t>
    </w:r>
    <w:r w:rsidRPr="00B33F79">
      <w:tab/>
    </w:r>
    <w:r w:rsidRPr="00B33F79">
      <w:fldChar w:fldCharType="begin"/>
    </w:r>
    <w:r w:rsidRPr="00B33F79">
      <w:instrText xml:space="preserve"> PAGE  \* MERGEFORMAT </w:instrText>
    </w:r>
    <w:r w:rsidRPr="00B33F79">
      <w:fldChar w:fldCharType="separate"/>
    </w:r>
    <w:r w:rsidR="000377F2">
      <w:rPr>
        <w:noProof/>
      </w:rPr>
      <w:t>23</w:t>
    </w:r>
    <w:r w:rsidRPr="00B33F79">
      <w:fldChar w:fldCharType="end"/>
    </w:r>
    <w:r w:rsidRPr="00B33F79">
      <w:t>/</w:t>
    </w:r>
    <w:fldSimple w:instr=" NUMPAGES  \* MERGEFORMAT ">
      <w:r w:rsidR="000377F2">
        <w:rPr>
          <w:noProof/>
        </w:rPr>
        <w:t>24</w:t>
      </w:r>
    </w:fldSimple>
    <w:r w:rsidRPr="00B33F79">
      <w:tab/>
      <w:t>PE</w:t>
    </w:r>
    <w:r w:rsidRPr="00B33F79">
      <w:rPr>
        <w:rStyle w:val="HideTWBExt"/>
        <w:noProof w:val="0"/>
      </w:rPr>
      <w:t>&lt;NoPE&gt;</w:t>
    </w:r>
    <w:r w:rsidRPr="00B33F79">
      <w:t>623.825</w:t>
    </w:r>
    <w:r w:rsidRPr="00B33F79">
      <w:rPr>
        <w:rStyle w:val="HideTWBExt"/>
        <w:noProof w:val="0"/>
      </w:rPr>
      <w:t>&lt;/NoPE&gt;&lt;Version&gt;</w:t>
    </w:r>
    <w:r w:rsidRPr="00B33F79">
      <w:t>v02-00</w:t>
    </w:r>
    <w:r w:rsidRPr="00B33F79">
      <w:rPr>
        <w:rStyle w:val="HideTWBExt"/>
        <w:noProof w:val="0"/>
      </w:rPr>
      <w:t>&lt;/Version&gt;</w:t>
    </w:r>
  </w:p>
  <w:p w14:paraId="6F672B6D" w14:textId="129D0030" w:rsidR="00C902FF" w:rsidRPr="00B33F79" w:rsidRDefault="00B33F79" w:rsidP="00B33F79">
    <w:pPr>
      <w:pStyle w:val="Footer2"/>
    </w:pPr>
    <w:r w:rsidRPr="00B33F79">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83023" w14:textId="77777777" w:rsidR="00B33F79" w:rsidRPr="00B33F79" w:rsidRDefault="00B33F79" w:rsidP="00B33F79">
    <w:pPr>
      <w:pStyle w:val="Footer"/>
    </w:pPr>
    <w:r w:rsidRPr="00B33F79">
      <w:rPr>
        <w:rStyle w:val="HideTWBExt"/>
        <w:noProof w:val="0"/>
      </w:rPr>
      <w:t>&lt;PathFdR&gt;</w:t>
    </w:r>
    <w:r w:rsidRPr="00B33F79">
      <w:t>PR\1157695EN.docx</w:t>
    </w:r>
    <w:r w:rsidRPr="00B33F79">
      <w:rPr>
        <w:rStyle w:val="HideTWBExt"/>
        <w:noProof w:val="0"/>
      </w:rPr>
      <w:t>&lt;/PathFdR&gt;</w:t>
    </w:r>
    <w:r w:rsidRPr="00B33F79">
      <w:tab/>
    </w:r>
    <w:r w:rsidRPr="00B33F79">
      <w:tab/>
      <w:t>PE</w:t>
    </w:r>
    <w:r w:rsidRPr="00B33F79">
      <w:rPr>
        <w:rStyle w:val="HideTWBExt"/>
        <w:noProof w:val="0"/>
      </w:rPr>
      <w:t>&lt;NoPE&gt;</w:t>
    </w:r>
    <w:r w:rsidRPr="00B33F79">
      <w:t>623.825</w:t>
    </w:r>
    <w:r w:rsidRPr="00B33F79">
      <w:rPr>
        <w:rStyle w:val="HideTWBExt"/>
        <w:noProof w:val="0"/>
      </w:rPr>
      <w:t>&lt;/NoPE&gt;&lt;Version&gt;</w:t>
    </w:r>
    <w:r w:rsidRPr="00B33F79">
      <w:t>v02-00</w:t>
    </w:r>
    <w:r w:rsidRPr="00B33F79">
      <w:rPr>
        <w:rStyle w:val="HideTWBExt"/>
        <w:noProof w:val="0"/>
      </w:rPr>
      <w:t>&lt;/Version&gt;</w:t>
    </w:r>
  </w:p>
  <w:p w14:paraId="6C5A2D9A" w14:textId="70329CE8" w:rsidR="00C902FF" w:rsidRPr="00B33F79" w:rsidRDefault="00B33F79" w:rsidP="00B33F79">
    <w:pPr>
      <w:pStyle w:val="Footer2"/>
      <w:tabs>
        <w:tab w:val="center" w:pos="4535"/>
        <w:tab w:val="right" w:pos="9921"/>
      </w:tabs>
    </w:pPr>
    <w:r w:rsidRPr="00B33F79">
      <w:t>EN</w:t>
    </w:r>
    <w:r w:rsidRPr="00B33F79">
      <w:tab/>
    </w:r>
    <w:r w:rsidRPr="00B33F79">
      <w:rPr>
        <w:b w:val="0"/>
        <w:i/>
        <w:color w:val="C0C0C0"/>
        <w:sz w:val="22"/>
      </w:rPr>
      <w:t>United in diversity</w:t>
    </w:r>
    <w:r w:rsidRPr="00B33F79">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CFB9A" w14:textId="77777777" w:rsidR="00C902FF" w:rsidRPr="00B33F79" w:rsidRDefault="00C902FF">
      <w:r w:rsidRPr="00B33F79">
        <w:separator/>
      </w:r>
    </w:p>
  </w:footnote>
  <w:footnote w:type="continuationSeparator" w:id="0">
    <w:p w14:paraId="747C6F83" w14:textId="77777777" w:rsidR="00C902FF" w:rsidRPr="00B33F79" w:rsidRDefault="00C902FF">
      <w:r w:rsidRPr="00B33F7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7B5B" w14:textId="77777777" w:rsidR="000377F2" w:rsidRDefault="00037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6EE6" w14:textId="77777777" w:rsidR="000377F2" w:rsidRDefault="00037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1A78" w14:textId="77777777" w:rsidR="000377F2" w:rsidRDefault="00037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mirrorMargins/>
  <w:bordersDoNotSurroundHeader/>
  <w:bordersDoNotSurroundFooter/>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EMPL"/>
    <w:docVar w:name="CopyToNetwork" w:val="-1"/>
    <w:docVar w:name="CVar" w:val="1"/>
    <w:docVar w:name="DOCMNU" w:val=" 2"/>
    <w:docVar w:name="EPSTATMNU" w:val=" 5"/>
    <w:docVar w:name="iNoAmend" w:val="1"/>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43892 HideTWBExt;}{\*\cs16 \additive \v\cf15 \spriority0 \styrsid14843892 HideTWBInt;}{\s17\ql \li0\ri0\sa120\nowidctlpar\wrapdefault\aspalpha\aspnum\faauto\adjustright\rin0\lin0\itap0 _x000d__x000a_\rtlch\fcs1 \af0\afs20\alang1025 \ltrch\fcs0 \fs24\lang2057\langfe2057\cgrid\langnp2057\langfenp2057 \sbasedon0 \snext17 \slink18 \spriority0 \styrsid14843892 Normal6;}{\*\cs18 \additive \fs24 \slink17 \slocked \spriority0 \styrsid14843892 Normal6 Char;}{_x000d__x000a_\s19\ql \li0\ri0\nowidctlpar\wrapdefault\aspalpha\aspnum\faauto\adjustright\rin0\lin0\itap0 \rtlch\fcs1 \af0\afs20\alang1025 \ltrch\fcs0 \b\fs24\lang2057\langfe2057\cgrid\langnp2057\langfenp2057 \sbasedon0 \snext19 \slink20 \spriority0 \styrsid14843892 _x000d__x000a_NormalBold;}{\*\cs20 \additive \b\fs24 \slink19 \slocked \spriority0 \styrsid14843892 NormalBold Char;}{\s21\ql \li0\ri0\sb240\nowidctlpar\wrapdefault\aspalpha\aspnum\faauto\adjustright\rin0\lin0\itap0 \rtlch\fcs1 \af0\afs20\alang1025 \ltrch\fcs0 _x000d__x000a_\i\fs24\lang2057\langfe2057\cgrid\langnp2057\langfenp2057 \sbasedon0 \snext21 \spriority0 \styrsid14843892 Normal12Italic;}{\s22\qc \li0\ri0\sb240\nowidctlpar\wrapdefault\aspalpha\aspnum\faauto\adjustright\rin0\lin0\itap0 \rtlch\fcs1 \af0\afs20\alang1025 _x000d__x000a_\ltrch\fcs0 \i\fs24\lang2057\langfe2057\cgrid\langnp2057\langfenp2057 \sbasedon0 \snext22 \spriority0 \styrsid14843892 CrossRef;}{\s23\qc \li0\ri0\sb240\keepn\nowidctlpar\wrapdefault\aspalpha\aspnum\faauto\adjustright\rin0\lin0\itap0 \rtlch\fcs1 _x000d__x000a_\af0\afs20\alang1025 \ltrch\fcs0 \i\fs24\lang2057\langfe2057\cgrid\langnp2057\langfenp2057 \sbasedon0 \snext0 \spriority0 \styrsid14843892 JustificationTitle;}{_x000d__x000a_\s24\qr \li0\ri0\sb240\sa240\nowidctlpar\wrapdefault\aspalpha\aspnum\faauto\adjustright\rin0\lin0\itap0 \rtlch\fcs1 \af0\afs20\alang1025 \ltrch\fcs0 \fs24\lang1024\langfe1024\cgrid\noproof\langnp2057\langfenp2057 _x000d__x000a_\sbasedon0 \snext24 \spriority0 \styrsid14843892 Olang;}{\s25\qc \li0\ri0\sa240\nowidctlpar\wrapdefault\aspalpha\aspnum\faauto\adjustright\rin0\lin0\itap0 \rtlch\fcs1 \af0\afs20\alang1025 \ltrch\fcs0 _x000d__x000a_\i\fs24\lang2057\langfe2057\cgrid\langnp2057\langfenp2057 \sbasedon0 \snext25 \spriority0 \styrsid14843892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4843892 AMNumberTabs;}{\s27\ql \li0\ri0\sb240\nowidctlpar\wrapdefault\aspalpha\aspnum\faauto\adjustright\rin0\lin0\itap0 \rtlch\fcs1 _x000d__x000a_\af0\afs20\alang1025 \ltrch\fcs0 \b\fs24\lang2057\langfe2057\cgrid\langnp2057\langfenp2057 \sbasedon0 \snext27 \spriority0 \styrsid14843892 NormalBold12b;}}{\*\rsidtbl \rsid24658\rsid735077\rsid2892074\rsid4666813\rsid6641733\rsid9636012\rsid11215221_x000d__x000a_\rsid12154954\rsid13445032\rsid14424199\rsid14843892\rsid15204470\rsid15285974\rsid15950462\rsid16324206\rsid16662270}{\mmathPr\mmathFont34\mbrkBin0\mbrkBinSub0\msmallFrac0\mdispDef1\mlMargin0\mrMargin0\mdefJc1\mwrapIndent1440\mintLim0\mnaryLim1}{\info_x000d__x000a_{\author TROCH Nicolas}{\operator TROCH Nicolas}{\creatim\yr2018\mo6\dy12\hr10\min45}{\revtim\yr2018\mo6\dy12\hr10\min45}{\version1}{\edmins0}{\nofpages1}{\nofwords56}{\nofchars644}{\*\company European Parliament}{\nofcharsws647}{\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43892\utinl \fet0{\*\wgrffmtfilter 013f}\ilfomacatclnup0{\*\template C:\\Users\\ntroch\\AppData\\Local\\Temp\\Blank1.dot}{\*\ftnsep \ltrpar \pard\plain \ltrpar_x000d__x000a_\ql \li0\ri0\widctlpar\wrapdefault\aspalpha\aspnum\faauto\adjustright\rin0\lin0\itap0 \rtlch\fcs1 \af0\afs20\alang1025 \ltrch\fcs0 \fs24\lang2057\langfe2057\cgrid\langnp2057\langfenp2057 {\rtlch\fcs1 \af0 \ltrch\fcs0 \insrsid13445032 \chftnsep _x000d__x000a_\par }}{\*\ftnsepc \ltrpar \pard\plain \ltrpar\ql \li0\ri0\widctlpar\wrapdefault\aspalpha\aspnum\faauto\adjustright\rin0\lin0\itap0 \rtlch\fcs1 \af0\afs20\alang1025 \ltrch\fcs0 \fs24\lang2057\langfe2057\cgrid\langnp2057\langfenp2057 {\rtlch\fcs1 \af0 _x000d__x000a_\ltrch\fcs0 \insrsid13445032 \chftnsepc _x000d__x000a_\par }}{\*\aftnsep \ltrpar \pard\plain \ltrpar\ql \li0\ri0\widctlpar\wrapdefault\aspalpha\aspnum\faauto\adjustright\rin0\lin0\itap0 \rtlch\fcs1 \af0\afs20\alang1025 \ltrch\fcs0 \fs24\lang2057\langfe2057\cgrid\langnp2057\langfenp2057 {\rtlch\fcs1 \af0 _x000d__x000a_\ltrch\fcs0 \insrsid13445032 \chftnsep _x000d__x000a_\par }}{\*\aftnsepc \ltrpar \pard\plain \ltrpar\ql \li0\ri0\widctlpar\wrapdefault\aspalpha\aspnum\faauto\adjustright\rin0\lin0\itap0 \rtlch\fcs1 \af0\afs20\alang1025 \ltrch\fcs0 \fs24\lang2057\langfe2057\cgrid\langnp2057\langfenp2057 {\rtlch\fcs1 \af0 _x000d__x000a_\ltrch\fcs0 \insrsid1344503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4843892\charrsid16393878 {\*\bkmkstart restart}&lt;Amend&gt;}{_x000d__x000a_\rtlch\fcs1 \af0 \ltrch\fcs0 \insrsid14843892\charrsid16393878 Amendment\tab \tab }{\rtlch\fcs1 \af0 \ltrch\fcs0 \cs15\b0\v\f1\fs20\cf9\insrsid14843892\charrsid16393878 &lt;NumAm&gt;}{\rtlch\fcs1 \af0 \ltrch\fcs0 \insrsid14843892\charrsid16393878 #}{_x000d__x000a_\rtlch\fcs1 \af0 \ltrch\fcs0 \cs16\v\cf15\insrsid14843892\charrsid16393878 ENMIENDA@NRAM@}{\rtlch\fcs1 \af0 \ltrch\fcs0 \insrsid14843892\charrsid16393878 #}{\rtlch\fcs1 \af0 \ltrch\fcs0 \cs15\b0\v\f1\fs20\cf9\insrsid14843892\charrsid16393878 &lt;/NumAm&gt;}{_x000d__x000a_\rtlch\fcs1 \af0 \ltrch\fcs0 \insrsid14843892\charrsid16393878 _x000d__x000a_\par }\pard\plain \ltrpar\s27\ql \li0\ri0\sb240\keepn\nowidctlpar\wrapdefault\aspalpha\aspnum\faauto\adjustright\rin0\lin0\itap0\pararsid2173828 \rtlch\fcs1 \af0\afs20\alang1025 \ltrch\fcs0 \b\fs24\lang2057\langfe2057\cgrid\langnp2057\langfenp2057 {_x000d__x000a_\rtlch\fcs1 \af0 \ltrch\fcs0 \cs15\b0\v\f1\fs20\cf9\insrsid14843892\charrsid16393878 &lt;DocAmend&gt;}{\rtlch\fcs1 \af0 \ltrch\fcs0 \insrsid14843892\charrsid16393878 Proposal for a #}{\rtlch\fcs1 \af0 \ltrch\fcs0 \cs16\v\cf15\insrsid14843892\charrsid16393878 _x000d__x000a_MNU[DOC1][DOC2][DOC3]@DOCMSG@DOCMNU}{\rtlch\fcs1 \af0 \ltrch\fcs0 \insrsid14843892\charrsid16393878 ##}{\rtlch\fcs1 \af0 \ltrch\fcs0 \cs16\v\cf15\insrsid14843892\charrsid16393878 MNU[AMACTYES][NOTAPP]@CHOICE@AMACTMNU}{\rtlch\fcs1 \af0 \ltrch\fcs0 _x000d__x000a_\insrsid14843892\charrsid16393878 #}{\rtlch\fcs1 \af0 \ltrch\fcs0 \cs15\b0\v\f1\fs20\cf9\insrsid14843892\charrsid16393878 &lt;/DocAmend&gt;}{\rtlch\fcs1 \af0 \ltrch\fcs0 \insrsid14843892\charrsid16393878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14843892\charrsid16393878 &lt;Article&gt;}{\rtlch\fcs1 \af0 \ltrch\fcs0 \insrsid14843892\charrsid16393878 #}{\rtlch\fcs1 \af0 \ltrch\fcs0 \cs16\v\cf15\insrsid14843892\charrsid16393878 _x000d__x000a_MNU[AMACTPARTYES][AMACTPARTNO]@CHOICE@AMACTMNU}{\rtlch\fcs1 \af0 \ltrch\fcs0 \insrsid14843892\charrsid16393878 #}{\rtlch\fcs1 \af0 \ltrch\fcs0 \cs15\b0\v\f1\fs20\cf9\insrsid14843892\charrsid16393878 &lt;/Article&gt;}{\rtlch\fcs1 \af0 \ltrch\fcs0 _x000d__x000a_\insrsid14843892\charrsid16393878 _x000d__x000a_\par }\pard\plain \ltrpar\ql \li0\ri0\keepn\widctlpar\wrapdefault\aspalpha\aspnum\faauto\adjustright\rin0\lin0\itap0\pararsid1856914 \rtlch\fcs1 \af0\afs20\alang1025 \ltrch\fcs0 \fs24\lang2057\langfe2057\cgrid\langnp2057\langfenp2057 {\rtlch\fcs1 \af0 _x000d__x000a_\ltrch\fcs0 \cs15\v\f1\fs20\cf9\insrsid14843892\charrsid16393878 &lt;DocAmend2&gt;&lt;OptDel&gt;}{\rtlch\fcs1 \af0 \ltrch\fcs0 \insrsid14843892\charrsid16393878 #}{\rtlch\fcs1 \af0 \ltrch\fcs0 \cs16\v\cf15\insrsid14843892\charrsid16393878 _x000d__x000a_MNU[OPTNRACTYES][NOTAPP]@CHOICE@AMACTMNU}{\rtlch\fcs1 \af0 \ltrch\fcs0 \insrsid14843892\charrsid16393878 #}{\rtlch\fcs1 \af0 \ltrch\fcs0 \cs15\v\f1\fs20\cf9\insrsid14843892\charrsid16393878 &lt;/OptDel&gt;&lt;/DocAmend2&gt;}{\rtlch\fcs1 \af0 \ltrch\fcs0 _x000d__x000a_\insrsid14843892\charrsid16393878 _x000d__x000a_\par }\pard \ltrpar\ql \li0\ri0\widctlpar\wrapdefault\aspalpha\aspnum\faauto\adjustright\rin0\lin0\itap0\pararsid2517430 {\rtlch\fcs1 \af0 \ltrch\fcs0 \cs15\v\f1\fs20\cf9\insrsid14843892\charrsid16393878 &lt;Article2&gt;&lt;OptDel&gt;}{\rtlch\fcs1 \af0 \ltrch\fcs0 _x000d__x000a_\insrsid14843892\charrsid16393878 #}{\rtlch\fcs1 \af0 \ltrch\fcs0 \cs16\v\cf15\insrsid14843892\charrsid16393878 MNU[OPTACTPARTYES][NOTAPP]@CHOICE@AMACTMNU}{\rtlch\fcs1 \af0 \ltrch\fcs0 \insrsid14843892\charrsid16393878 #}{\rtlch\fcs1 \af0 \ltrch\fcs0 _x000d__x000a_\cs15\v\f1\fs20\cf9\insrsid14843892\charrsid16393878 &lt;/OptDel&gt;&lt;/Article2&gt;}{\rtlch\fcs1 \af0 \ltrch\fcs0 \insrsid14843892\charrsid16393878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4843892\charrsid16393878 _x000d__x000a_\cell }\pard \ltrpar\ql \li0\ri0\widctlpar\intbl\wrapdefault\aspalpha\aspnum\faauto\adjustright\rin0\lin0 {\rtlch\fcs1 \af0 \ltrch\fcs0 \insrsid14843892\charrsid16393878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15216 \rtlch\fcs1 \af0\afs20\alang1025 \ltrch\fcs0 \i\fs24\lang2057\langfe2057\cgrid\langnp2057\langfenp2057 {_x000d__x000a_\rtlch\fcs1 \af0 \ltrch\fcs0 \insrsid14843892\charrsid16393878 #}{\rtlch\fcs1 \af0 \ltrch\fcs0 \cs16\v\cf15\insrsid14843892\charrsid16393878 MNU[OPTLEFTAMACT][LEFTPROP]@CHOICE@AMACTMNU}{\rtlch\fcs1 \af0 \ltrch\fcs0 \insrsid14843892\charrsid16393878 #_x000d__x000a_\cell Amendment\cell }\pard\plain \ltrpar\ql \li0\ri0\widctlpar\intbl\wrapdefault\aspalpha\aspnum\faauto\adjustright\rin0\lin0 \rtlch\fcs1 \af0\afs20\alang1025 \ltrch\fcs0 \fs24\lang2057\langfe2057\cgrid\langnp2057\langfenp2057 {\rtlch\fcs1 \af0 _x000d__x000a_\ltrch\fcs0 \insrsid14843892\charrsid16393878 \trowd \ltrrow\ts11\trqc\trgaph340\trleft-340\trftsWidth3\trwWidth9752\trftsWidthB3\trftsWidthA3\trpaddl340\trpaddr340\trpaddfl3\trpaddfr3\tblrsid2517430\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4843892\charrsid16393878 ##\cell ##}{\rtlch\fcs1 \af0\afs24 \ltrch\fcs0 \insrsid14843892\charrsid16393878 \cell }\pard\plain \ltrpar\ql \li0\ri0\widctlpar\intbl\wrapdefault\aspalpha\aspnum\faauto\adjustright\rin0\lin0 \rtlch\fcs1 _x000d__x000a_\af0\afs20\alang1025 \ltrch\fcs0 \fs24\lang2057\langfe2057\cgrid\langnp2057\langfenp2057 {\rtlch\fcs1 \af0 \ltrch\fcs0 \insrsid14843892\charrsid16393878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517430 \rtlch\fcs1 \af0\afs20\alang1025 \ltrch\fcs0 \fs24\lang1024\langfe1024\cgrid\noproof\langnp2057\langfenp2057 {\rtlch\fcs1 \af0 _x000d__x000a_\ltrch\fcs0 \noproof0\insrsid14843892\charrsid16393878 Or. }{\rtlch\fcs1 \af0 \ltrch\fcs0 \cs15\v\f1\fs20\cf9\noproof0\insrsid14843892\charrsid16393878 &lt;Original&gt;}{\rtlch\fcs1 \af0 \ltrch\fcs0 \noproof0\insrsid14843892\charrsid16393878 #}{\rtlch\fcs1 _x000d__x000a_\af0 \ltrch\fcs0 \cs16\v\cf15\noproof0\insrsid14843892\charrsid16393878 MNU[ORLANGONE][ORLANGMORE]@CHOICE@ORLANGMNU}{\rtlch\fcs1 \af0 \ltrch\fcs0 \noproof0\insrsid14843892\charrsid16393878 #}{\rtlch\fcs1 \af0 \ltrch\fcs0 _x000d__x000a_\cs15\v\f1\fs20\cf9\noproof0\insrsid14843892\charrsid16393878 &lt;/Original&gt;}{\rtlch\fcs1 \af0 \ltrch\fcs0 \noproof0\insrsid14843892\charrsid16393878 _x000d__x000a_\par }\pard\plain \ltrpar\s22\qc \li0\ri0\sb240\nowidctlpar\wrapdefault\aspalpha\aspnum\faauto\adjustright\rin0\lin0\itap0\pararsid2517430 \rtlch\fcs1 \af0\afs20\alang1025 \ltrch\fcs0 \i\fs24\lang2057\langfe2057\cgrid\langnp2057\langfenp2057 {\rtlch\fcs1 \af0 _x000d__x000a_\ltrch\fcs0 \cs15\i0\v\f1\fs20\cf9\insrsid14843892\charrsid16393878 &lt;OptDel&gt;}{\rtlch\fcs1 \af0 \ltrch\fcs0 \insrsid14843892\charrsid16393878 #}{\rtlch\fcs1 \af0 \ltrch\fcs0 \cs16\v\cf15\insrsid14843892\charrsid16393878 MNU[CROSSREFNO][CROSSREFYES]@CHOICE@_x000d__x000a_}{\rtlch\fcs1 \af0 \ltrch\fcs0 \insrsid14843892\charrsid16393878 #}{\rtlch\fcs1 \af0 \ltrch\fcs0 \cs15\i0\v\f1\fs20\cf9\insrsid14843892\charrsid16393878 &lt;/OptDel&gt;}{\rtlch\fcs1 \af0 \ltrch\fcs0 \insrsid14843892\charrsid16393878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14843892\charrsid16393878 &lt;TitreJust&gt;}{\rtlch\fcs1 \af0 \ltrch\fcs0 \insrsid14843892\charrsid16393878 Justification}{\rtlch\fcs1 \af0 \ltrch\fcs0 _x000d__x000a_\cs15\i0\v\f1\fs20\cf9\insrsid14843892\charrsid16393878 &lt;/TitreJust&gt;}{\rtlch\fcs1 \af0 \ltrch\fcs0 \insrsid14843892\charrsid16393878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14843892\charrsid16393878 &lt;OptDelPrev&gt;}{\rtlch\fcs1 \af0 \ltrch\fcs0 \insrsid14843892\charrsid16393878 #}{\rtlch\fcs1 \af0 \ltrch\fcs0 \cs16\v\cf15\insrsid14843892\charrsid16393878 _x000d__x000a_MNU[TEXTJUSTYES][TEXTJUSTNO]@CHOICE@}{\rtlch\fcs1 \af0 \ltrch\fcs0 \insrsid14843892\charrsid16393878 #}{\rtlch\fcs1 \af0 \ltrch\fcs0 \cs15\i0\v\f1\fs20\cf9\insrsid14843892\charrsid16393878 &lt;/OptDelPrev&gt;}{\rtlch\fcs1 \af0 \ltrch\fcs0 _x000d__x000a_\insrsid14843892\charrsid16393878 _x000d__x000a_\par }\pard\plain \ltrpar\ql \li0\ri0\widctlpar\wrapdefault\aspalpha\aspnum\faauto\adjustright\rin0\lin0\itap0\pararsid16324206 \rtlch\fcs1 \af0\afs20\alang1025 \ltrch\fcs0 \fs24\lang2057\langfe2057\cgrid\langnp2057\langfenp2057 {\rtlch\fcs1 \af0 \ltrch\fcs0 _x000d__x000a_\cs15\v\f1\fs20\cf9\insrsid14843892\charrsid1639387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5_x000d__x000a_07b8290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57"/>
    <w:docVar w:name="TVTAMPART" w:val="paragraph 1"/>
    <w:docVar w:name="TXTAUTHOR" w:val="Laura Agea"/>
    <w:docVar w:name="TXTLANGUE" w:val="EN"/>
    <w:docVar w:name="TXTLANGUEMIN" w:val="en"/>
    <w:docVar w:name="TXTNRC" w:val="0130/2018"/>
    <w:docVar w:name="TXTNRCOD" w:val="2018/0081"/>
    <w:docVar w:name="TXTNRCOM" w:val="(2018)0171"/>
    <w:docVar w:name="TXTNRFIRSTAM" w:val="1"/>
    <w:docVar w:name="TXTNRLASTAM" w:val="25"/>
    <w:docVar w:name="TXTNRPE" w:val="623.825"/>
    <w:docVar w:name="TXTPEorAP" w:val="PE"/>
    <w:docVar w:name="TXTROUTE" w:val="PR\1157695EN.docx"/>
    <w:docVar w:name="TXTTITLE" w:val="Protection of workers from the risks related to exposure to carcinogens or mutagens at work"/>
    <w:docVar w:name="TXTVERSION" w:val="02-00"/>
  </w:docVars>
  <w:rsids>
    <w:rsidRoot w:val="00F26B5C"/>
    <w:rsid w:val="00011AAB"/>
    <w:rsid w:val="00012351"/>
    <w:rsid w:val="0003140D"/>
    <w:rsid w:val="000377F2"/>
    <w:rsid w:val="00084E89"/>
    <w:rsid w:val="000A2F1C"/>
    <w:rsid w:val="000F1096"/>
    <w:rsid w:val="00123DD5"/>
    <w:rsid w:val="00142215"/>
    <w:rsid w:val="00145F20"/>
    <w:rsid w:val="001619ED"/>
    <w:rsid w:val="001767E2"/>
    <w:rsid w:val="00187008"/>
    <w:rsid w:val="001C5592"/>
    <w:rsid w:val="001C5B44"/>
    <w:rsid w:val="001C6FFC"/>
    <w:rsid w:val="001D5C05"/>
    <w:rsid w:val="001F1CBB"/>
    <w:rsid w:val="00201A65"/>
    <w:rsid w:val="00212B84"/>
    <w:rsid w:val="002346B0"/>
    <w:rsid w:val="00236CF0"/>
    <w:rsid w:val="002575DA"/>
    <w:rsid w:val="002667C3"/>
    <w:rsid w:val="002669B6"/>
    <w:rsid w:val="00290BED"/>
    <w:rsid w:val="002F40BB"/>
    <w:rsid w:val="002F4B02"/>
    <w:rsid w:val="00303C10"/>
    <w:rsid w:val="00323EF8"/>
    <w:rsid w:val="00340E4C"/>
    <w:rsid w:val="00342EF5"/>
    <w:rsid w:val="00370AC3"/>
    <w:rsid w:val="003A024C"/>
    <w:rsid w:val="003A5A4F"/>
    <w:rsid w:val="003B69E2"/>
    <w:rsid w:val="003C2068"/>
    <w:rsid w:val="003C37CF"/>
    <w:rsid w:val="003F674B"/>
    <w:rsid w:val="004100B1"/>
    <w:rsid w:val="0042241A"/>
    <w:rsid w:val="00461601"/>
    <w:rsid w:val="004B2814"/>
    <w:rsid w:val="004B425D"/>
    <w:rsid w:val="004C0915"/>
    <w:rsid w:val="004D424E"/>
    <w:rsid w:val="004D7DB7"/>
    <w:rsid w:val="004E42C8"/>
    <w:rsid w:val="0051271F"/>
    <w:rsid w:val="00521F46"/>
    <w:rsid w:val="00551123"/>
    <w:rsid w:val="00570A6A"/>
    <w:rsid w:val="00586E50"/>
    <w:rsid w:val="005A103A"/>
    <w:rsid w:val="005D1A99"/>
    <w:rsid w:val="005D7609"/>
    <w:rsid w:val="005D7EE8"/>
    <w:rsid w:val="00621A79"/>
    <w:rsid w:val="006F7907"/>
    <w:rsid w:val="00717528"/>
    <w:rsid w:val="00743189"/>
    <w:rsid w:val="0076279E"/>
    <w:rsid w:val="00783172"/>
    <w:rsid w:val="007932B3"/>
    <w:rsid w:val="00793EA9"/>
    <w:rsid w:val="007A0753"/>
    <w:rsid w:val="007A2F98"/>
    <w:rsid w:val="007D6F68"/>
    <w:rsid w:val="007E5EF7"/>
    <w:rsid w:val="0080052C"/>
    <w:rsid w:val="008049C1"/>
    <w:rsid w:val="0081414B"/>
    <w:rsid w:val="00840C85"/>
    <w:rsid w:val="008561A1"/>
    <w:rsid w:val="008633CC"/>
    <w:rsid w:val="00865190"/>
    <w:rsid w:val="008719B9"/>
    <w:rsid w:val="00877655"/>
    <w:rsid w:val="00894ECE"/>
    <w:rsid w:val="00896BB4"/>
    <w:rsid w:val="008A3F72"/>
    <w:rsid w:val="008A7FB8"/>
    <w:rsid w:val="008B39EA"/>
    <w:rsid w:val="009022B8"/>
    <w:rsid w:val="00917CC4"/>
    <w:rsid w:val="0094304D"/>
    <w:rsid w:val="00950F20"/>
    <w:rsid w:val="009763DA"/>
    <w:rsid w:val="00984932"/>
    <w:rsid w:val="009B4B93"/>
    <w:rsid w:val="009F24BE"/>
    <w:rsid w:val="009F6C2F"/>
    <w:rsid w:val="00A22533"/>
    <w:rsid w:val="00A26F46"/>
    <w:rsid w:val="00A34FD3"/>
    <w:rsid w:val="00A36929"/>
    <w:rsid w:val="00A63BC5"/>
    <w:rsid w:val="00A9272A"/>
    <w:rsid w:val="00AA35B0"/>
    <w:rsid w:val="00AC363E"/>
    <w:rsid w:val="00AD18C8"/>
    <w:rsid w:val="00AD7FA6"/>
    <w:rsid w:val="00AE4643"/>
    <w:rsid w:val="00AF0416"/>
    <w:rsid w:val="00B02D08"/>
    <w:rsid w:val="00B10CB4"/>
    <w:rsid w:val="00B16537"/>
    <w:rsid w:val="00B23B72"/>
    <w:rsid w:val="00B33F79"/>
    <w:rsid w:val="00B42702"/>
    <w:rsid w:val="00B745CE"/>
    <w:rsid w:val="00B85407"/>
    <w:rsid w:val="00B95702"/>
    <w:rsid w:val="00B97227"/>
    <w:rsid w:val="00BC6489"/>
    <w:rsid w:val="00BC7A71"/>
    <w:rsid w:val="00BD03C2"/>
    <w:rsid w:val="00BD1793"/>
    <w:rsid w:val="00BD480C"/>
    <w:rsid w:val="00C22D9F"/>
    <w:rsid w:val="00C716A7"/>
    <w:rsid w:val="00C718CF"/>
    <w:rsid w:val="00C73602"/>
    <w:rsid w:val="00C84A6A"/>
    <w:rsid w:val="00C902FF"/>
    <w:rsid w:val="00CF60C8"/>
    <w:rsid w:val="00D1772A"/>
    <w:rsid w:val="00D32924"/>
    <w:rsid w:val="00D503A3"/>
    <w:rsid w:val="00D63D4A"/>
    <w:rsid w:val="00DA6ED0"/>
    <w:rsid w:val="00DB3B57"/>
    <w:rsid w:val="00DC5011"/>
    <w:rsid w:val="00DF227D"/>
    <w:rsid w:val="00E171B6"/>
    <w:rsid w:val="00E2011F"/>
    <w:rsid w:val="00E24E25"/>
    <w:rsid w:val="00E31E8E"/>
    <w:rsid w:val="00E451AE"/>
    <w:rsid w:val="00E53753"/>
    <w:rsid w:val="00E805C0"/>
    <w:rsid w:val="00EB1753"/>
    <w:rsid w:val="00EB6CFF"/>
    <w:rsid w:val="00EE3996"/>
    <w:rsid w:val="00F03819"/>
    <w:rsid w:val="00F26B5C"/>
    <w:rsid w:val="00F302D1"/>
    <w:rsid w:val="00F30A91"/>
    <w:rsid w:val="00F844DE"/>
    <w:rsid w:val="00F904AE"/>
    <w:rsid w:val="00F934F8"/>
    <w:rsid w:val="00FB350A"/>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7BA906"/>
  <w15:chartTrackingRefBased/>
  <w15:docId w15:val="{E4E5D2A3-03CE-4729-B39B-71C4E5EB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F9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D63D4A"/>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D63D4A"/>
    <w:pPr>
      <w:spacing w:before="240" w:after="240"/>
    </w:pPr>
    <w:rPr>
      <w:b/>
      <w:i/>
      <w:snapToGrid w:val="0"/>
      <w:lang w:eastAsia="en-US"/>
    </w:rPr>
  </w:style>
  <w:style w:type="paragraph" w:customStyle="1" w:styleId="Lgendestandard">
    <w:name w:val="Légende standard"/>
    <w:basedOn w:val="Lgendesigne"/>
    <w:rsid w:val="00D63D4A"/>
    <w:pPr>
      <w:ind w:left="0" w:firstLine="0"/>
    </w:pPr>
  </w:style>
  <w:style w:type="character" w:styleId="FootnoteReference">
    <w:name w:val="footnote reference"/>
    <w:uiPriority w:val="99"/>
    <w:unhideWhenUsed/>
    <w:rsid w:val="00B745CE"/>
    <w:rPr>
      <w:vertAlign w:val="superscript"/>
    </w:rPr>
  </w:style>
  <w:style w:type="paragraph" w:styleId="EndnoteText">
    <w:name w:val="endnote text"/>
    <w:basedOn w:val="Normal"/>
    <w:link w:val="EndnoteTextChar"/>
    <w:uiPriority w:val="99"/>
    <w:unhideWhenUsed/>
    <w:rsid w:val="00B745CE"/>
    <w:pPr>
      <w:widowControl/>
      <w:jc w:val="both"/>
    </w:pPr>
    <w:rPr>
      <w:rFonts w:eastAsia="Calibri"/>
      <w:sz w:val="20"/>
      <w:lang w:eastAsia="it-IT" w:bidi="it-IT"/>
    </w:rPr>
  </w:style>
  <w:style w:type="character" w:customStyle="1" w:styleId="EndnoteTextChar">
    <w:name w:val="Endnote Text Char"/>
    <w:basedOn w:val="DefaultParagraphFont"/>
    <w:link w:val="EndnoteText"/>
    <w:uiPriority w:val="99"/>
    <w:rsid w:val="00B745CE"/>
    <w:rPr>
      <w:rFonts w:eastAsia="Calibri"/>
      <w:lang w:val="en-GB" w:eastAsia="it-IT" w:bidi="it-IT"/>
    </w:rPr>
  </w:style>
  <w:style w:type="character" w:styleId="EndnoteReference">
    <w:name w:val="endnote reference"/>
    <w:uiPriority w:val="99"/>
    <w:unhideWhenUsed/>
    <w:rsid w:val="00B745CE"/>
    <w:rPr>
      <w:vertAlign w:val="superscript"/>
    </w:rPr>
  </w:style>
  <w:style w:type="paragraph" w:styleId="BalloonText">
    <w:name w:val="Balloon Text"/>
    <w:basedOn w:val="Normal"/>
    <w:link w:val="BalloonTextChar"/>
    <w:rsid w:val="003F674B"/>
    <w:rPr>
      <w:rFonts w:ascii="Segoe UI" w:hAnsi="Segoe UI" w:cs="Segoe UI"/>
      <w:sz w:val="18"/>
      <w:szCs w:val="18"/>
    </w:rPr>
  </w:style>
  <w:style w:type="character" w:customStyle="1" w:styleId="BalloonTextChar">
    <w:name w:val="Balloon Text Char"/>
    <w:basedOn w:val="DefaultParagraphFont"/>
    <w:link w:val="BalloonText"/>
    <w:rsid w:val="003F674B"/>
    <w:rPr>
      <w:rFonts w:ascii="Segoe UI" w:hAnsi="Segoe UI" w:cs="Segoe UI"/>
      <w:sz w:val="18"/>
      <w:szCs w:val="18"/>
    </w:rPr>
  </w:style>
  <w:style w:type="character" w:styleId="Hyperlink">
    <w:name w:val="Hyperlink"/>
    <w:basedOn w:val="DefaultParagraphFont"/>
    <w:uiPriority w:val="99"/>
    <w:rsid w:val="003F674B"/>
    <w:rPr>
      <w:color w:val="0563C1" w:themeColor="hyperlink"/>
      <w:u w:val="single"/>
    </w:rPr>
  </w:style>
  <w:style w:type="character" w:styleId="CommentReference">
    <w:name w:val="annotation reference"/>
    <w:basedOn w:val="DefaultParagraphFont"/>
    <w:rsid w:val="007E5EF7"/>
    <w:rPr>
      <w:sz w:val="16"/>
      <w:szCs w:val="16"/>
    </w:rPr>
  </w:style>
  <w:style w:type="paragraph" w:styleId="CommentText">
    <w:name w:val="annotation text"/>
    <w:basedOn w:val="Normal"/>
    <w:link w:val="CommentTextChar"/>
    <w:rsid w:val="007E5EF7"/>
    <w:rPr>
      <w:sz w:val="20"/>
    </w:rPr>
  </w:style>
  <w:style w:type="character" w:customStyle="1" w:styleId="CommentTextChar">
    <w:name w:val="Comment Text Char"/>
    <w:basedOn w:val="DefaultParagraphFont"/>
    <w:link w:val="CommentText"/>
    <w:rsid w:val="007E5EF7"/>
  </w:style>
  <w:style w:type="paragraph" w:styleId="CommentSubject">
    <w:name w:val="annotation subject"/>
    <w:basedOn w:val="CommentText"/>
    <w:next w:val="CommentText"/>
    <w:link w:val="CommentSubjectChar"/>
    <w:rsid w:val="007E5EF7"/>
    <w:rPr>
      <w:b/>
      <w:bCs/>
    </w:rPr>
  </w:style>
  <w:style w:type="character" w:customStyle="1" w:styleId="CommentSubjectChar">
    <w:name w:val="Comment Subject Char"/>
    <w:basedOn w:val="CommentTextChar"/>
    <w:link w:val="CommentSubject"/>
    <w:rsid w:val="007E5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8331">
      <w:bodyDiv w:val="1"/>
      <w:marLeft w:val="0"/>
      <w:marRight w:val="0"/>
      <w:marTop w:val="0"/>
      <w:marBottom w:val="0"/>
      <w:divBdr>
        <w:top w:val="none" w:sz="0" w:space="0" w:color="auto"/>
        <w:left w:val="none" w:sz="0" w:space="0" w:color="auto"/>
        <w:bottom w:val="none" w:sz="0" w:space="0" w:color="auto"/>
        <w:right w:val="none" w:sz="0" w:space="0" w:color="auto"/>
      </w:divBdr>
    </w:div>
    <w:div w:id="472066319">
      <w:bodyDiv w:val="1"/>
      <w:marLeft w:val="0"/>
      <w:marRight w:val="0"/>
      <w:marTop w:val="0"/>
      <w:marBottom w:val="0"/>
      <w:divBdr>
        <w:top w:val="none" w:sz="0" w:space="0" w:color="auto"/>
        <w:left w:val="none" w:sz="0" w:space="0" w:color="auto"/>
        <w:bottom w:val="none" w:sz="0" w:space="0" w:color="auto"/>
        <w:right w:val="none" w:sz="0" w:space="0" w:color="auto"/>
      </w:divBdr>
    </w:div>
    <w:div w:id="517817806">
      <w:bodyDiv w:val="1"/>
      <w:marLeft w:val="0"/>
      <w:marRight w:val="0"/>
      <w:marTop w:val="0"/>
      <w:marBottom w:val="0"/>
      <w:divBdr>
        <w:top w:val="none" w:sz="0" w:space="0" w:color="auto"/>
        <w:left w:val="none" w:sz="0" w:space="0" w:color="auto"/>
        <w:bottom w:val="none" w:sz="0" w:space="0" w:color="auto"/>
        <w:right w:val="none" w:sz="0" w:space="0" w:color="auto"/>
      </w:divBdr>
    </w:div>
    <w:div w:id="696394083">
      <w:bodyDiv w:val="1"/>
      <w:marLeft w:val="0"/>
      <w:marRight w:val="0"/>
      <w:marTop w:val="0"/>
      <w:marBottom w:val="0"/>
      <w:divBdr>
        <w:top w:val="none" w:sz="0" w:space="0" w:color="auto"/>
        <w:left w:val="none" w:sz="0" w:space="0" w:color="auto"/>
        <w:bottom w:val="none" w:sz="0" w:space="0" w:color="auto"/>
        <w:right w:val="none" w:sz="0" w:space="0" w:color="auto"/>
      </w:divBdr>
    </w:div>
    <w:div w:id="963199862">
      <w:bodyDiv w:val="1"/>
      <w:marLeft w:val="0"/>
      <w:marRight w:val="0"/>
      <w:marTop w:val="0"/>
      <w:marBottom w:val="0"/>
      <w:divBdr>
        <w:top w:val="none" w:sz="0" w:space="0" w:color="auto"/>
        <w:left w:val="none" w:sz="0" w:space="0" w:color="auto"/>
        <w:bottom w:val="none" w:sz="0" w:space="0" w:color="auto"/>
        <w:right w:val="none" w:sz="0" w:space="0" w:color="auto"/>
      </w:divBdr>
    </w:div>
    <w:div w:id="1029768070">
      <w:bodyDiv w:val="1"/>
      <w:marLeft w:val="0"/>
      <w:marRight w:val="0"/>
      <w:marTop w:val="0"/>
      <w:marBottom w:val="0"/>
      <w:divBdr>
        <w:top w:val="none" w:sz="0" w:space="0" w:color="auto"/>
        <w:left w:val="none" w:sz="0" w:space="0" w:color="auto"/>
        <w:bottom w:val="none" w:sz="0" w:space="0" w:color="auto"/>
        <w:right w:val="none" w:sz="0" w:space="0" w:color="auto"/>
      </w:divBdr>
    </w:div>
    <w:div w:id="1210607817">
      <w:bodyDiv w:val="1"/>
      <w:marLeft w:val="0"/>
      <w:marRight w:val="0"/>
      <w:marTop w:val="0"/>
      <w:marBottom w:val="0"/>
      <w:divBdr>
        <w:top w:val="none" w:sz="0" w:space="0" w:color="auto"/>
        <w:left w:val="none" w:sz="0" w:space="0" w:color="auto"/>
        <w:bottom w:val="none" w:sz="0" w:space="0" w:color="auto"/>
        <w:right w:val="none" w:sz="0" w:space="0" w:color="auto"/>
      </w:divBdr>
    </w:div>
    <w:div w:id="1596086532">
      <w:bodyDiv w:val="1"/>
      <w:marLeft w:val="0"/>
      <w:marRight w:val="0"/>
      <w:marTop w:val="0"/>
      <w:marBottom w:val="0"/>
      <w:divBdr>
        <w:top w:val="none" w:sz="0" w:space="0" w:color="auto"/>
        <w:left w:val="none" w:sz="0" w:space="0" w:color="auto"/>
        <w:bottom w:val="none" w:sz="0" w:space="0" w:color="auto"/>
        <w:right w:val="none" w:sz="0" w:space="0" w:color="auto"/>
      </w:divBdr>
    </w:div>
    <w:div w:id="20335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46E1-F1E3-4829-89C4-AD900509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5C72BE8A.dotm</Template>
  <TotalTime>0</TotalTime>
  <Pages>24</Pages>
  <Words>5941</Words>
  <Characters>33690</Characters>
  <Application>Microsoft Office Word</Application>
  <DocSecurity>0</DocSecurity>
  <Lines>1295</Lines>
  <Paragraphs>404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TROCH Nicolas</dc:creator>
  <cp:keywords/>
  <dc:description/>
  <cp:lastModifiedBy>SWITHINBANK Michael</cp:lastModifiedBy>
  <cp:revision>2</cp:revision>
  <cp:lastPrinted>2004-11-04T08:41:00Z</cp:lastPrinted>
  <dcterms:created xsi:type="dcterms:W3CDTF">2018-07-03T09:10:00Z</dcterms:created>
  <dcterms:modified xsi:type="dcterms:W3CDTF">2018-07-03T09:10:00Z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9.3.2 Build [20180601]</vt:lpwstr>
  </property>
  <property fmtid="{D5CDD505-2E9C-101B-9397-08002B2CF9AE}" pid="3" name="LastEdited with">
    <vt:lpwstr>9.4.0 Build [20180620]</vt:lpwstr>
  </property>
  <property fmtid="{D5CDD505-2E9C-101B-9397-08002B2CF9AE}" pid="4" name="&lt;FdR&gt;">
    <vt:lpwstr>1157695</vt:lpwstr>
  </property>
  <property fmtid="{D5CDD505-2E9C-101B-9397-08002B2CF9AE}" pid="5" name="&lt;Type&gt;">
    <vt:lpwstr>PR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PR\1157695EN.docx</vt:lpwstr>
  </property>
  <property fmtid="{D5CDD505-2E9C-101B-9397-08002B2CF9AE}" pid="10" name="PE number">
    <vt:lpwstr>623.825</vt:lpwstr>
  </property>
  <property fmtid="{D5CDD505-2E9C-101B-9397-08002B2CF9AE}" pid="11" name="SubscribeElise">
    <vt:lpwstr/>
  </property>
  <property fmtid="{D5CDD505-2E9C-101B-9397-08002B2CF9AE}" pid="12" name="SendToEpades">
    <vt:lpwstr>OK(AMNUM) - 2018/06/29 13:40</vt:lpwstr>
  </property>
  <property fmtid="{D5CDD505-2E9C-101B-9397-08002B2CF9AE}" pid="13" name="CheckDocument">
    <vt:lpwstr>OK - 2018/06/28 11:02</vt:lpwstr>
  </property>
  <property fmtid="{D5CDD505-2E9C-101B-9397-08002B2CF9AE}" pid="14" name="SDLStudio">
    <vt:lpwstr/>
  </property>
  <property fmtid="{D5CDD505-2E9C-101B-9397-08002B2CF9AE}" pid="15" name="&lt;Extension&gt;">
    <vt:lpwstr>EN</vt:lpwstr>
  </property>
</Properties>
</file>