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3A2E24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3A2E24" w:rsidRDefault="003A2E24" w:rsidP="003E2402">
            <w:pPr>
              <w:pStyle w:val="EPName"/>
            </w:pPr>
            <w:r>
              <w:t>Europos Parlamentas</w:t>
            </w:r>
          </w:p>
          <w:p w:rsidR="00E856D2" w:rsidRPr="002364D2" w:rsidRDefault="002364D2" w:rsidP="002364D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3A2E24" w:rsidRDefault="00B51DDB" w:rsidP="003E24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0.7pt">
                  <v:imagedata r:id="rId7" o:title="EP logo RGB_Mute"/>
                </v:shape>
              </w:pict>
            </w:r>
          </w:p>
        </w:tc>
      </w:tr>
    </w:tbl>
    <w:p w:rsidR="001746D0" w:rsidRPr="003A2E24" w:rsidRDefault="001746D0" w:rsidP="001746D0">
      <w:pPr>
        <w:pStyle w:val="LineTop"/>
      </w:pPr>
    </w:p>
    <w:p w:rsidR="001746D0" w:rsidRPr="003A2E24" w:rsidRDefault="001746D0" w:rsidP="001746D0">
      <w:pPr>
        <w:pStyle w:val="ZCommittee"/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{AFCO}</w:t>
      </w:r>
      <w:r>
        <w:t>Konstitucinių reikalų komitetas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1746D0" w:rsidRPr="003A2E24" w:rsidRDefault="001746D0" w:rsidP="001746D0">
      <w:pPr>
        <w:pStyle w:val="LineBottom"/>
      </w:pPr>
    </w:p>
    <w:p w:rsidR="002E2F2E" w:rsidRPr="003A2E24" w:rsidRDefault="002E2F2E">
      <w:pPr>
        <w:pStyle w:val="RefProc"/>
      </w:pPr>
      <w:r>
        <w:rPr>
          <w:rStyle w:val="HideTWBExt"/>
          <w:b w:val="0"/>
        </w:rPr>
        <w:t>&lt;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</w:t>
      </w:r>
      <w:r>
        <w:t>2018/2099(INI)</w:t>
      </w:r>
      <w:r>
        <w:rPr>
          <w:rStyle w:val="HideTWBExt"/>
          <w:b w:val="0"/>
        </w:rPr>
        <w:t>&lt;/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</w:t>
      </w:r>
    </w:p>
    <w:p w:rsidR="002E2F2E" w:rsidRPr="003A2E24" w:rsidRDefault="002E2F2E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{07/08/2018}</w:t>
      </w:r>
      <w:r>
        <w:t>7.8.2018</w:t>
      </w:r>
      <w:r>
        <w:rPr>
          <w:rStyle w:val="HideTWBExt"/>
        </w:rPr>
        <w:t>&lt;/Date&gt;</w:t>
      </w:r>
    </w:p>
    <w:p w:rsidR="002E2F2E" w:rsidRPr="003A2E24" w:rsidRDefault="002E2F2E">
      <w:pPr>
        <w:pStyle w:val="TypeDoc"/>
      </w:pPr>
      <w:r>
        <w:rPr>
          <w:rStyle w:val="HideTWBExt"/>
          <w:b w:val="0"/>
        </w:rPr>
        <w:t>&lt;TitreType&gt;</w:t>
      </w:r>
      <w:r>
        <w:t>NUOMONĖS PROJEKTAS</w:t>
      </w:r>
      <w:r>
        <w:rPr>
          <w:rStyle w:val="HideTWBExt"/>
          <w:b w:val="0"/>
        </w:rPr>
        <w:t>&lt;/TitreType&gt;</w:t>
      </w:r>
    </w:p>
    <w:p w:rsidR="002E2F2E" w:rsidRPr="003A2E24" w:rsidRDefault="002E2F2E">
      <w:pPr>
        <w:pStyle w:val="Cover24"/>
      </w:pPr>
      <w:r>
        <w:rPr>
          <w:rStyle w:val="HideTWBExt"/>
        </w:rPr>
        <w:t>&lt;CommissionResp&gt;</w:t>
      </w:r>
      <w:r>
        <w:t>Konstitucinių reikalų komiteto</w:t>
      </w:r>
      <w:r>
        <w:rPr>
          <w:rStyle w:val="HideTWBExt"/>
        </w:rPr>
        <w:t>&lt;/CommissionResp&gt;</w:t>
      </w:r>
    </w:p>
    <w:p w:rsidR="002E2F2E" w:rsidRPr="003A2E24" w:rsidRDefault="002E2F2E">
      <w:pPr>
        <w:pStyle w:val="Cover24"/>
      </w:pPr>
      <w:r>
        <w:rPr>
          <w:rStyle w:val="HideTWBExt"/>
        </w:rPr>
        <w:t>&lt;CommissionInt&gt;</w:t>
      </w:r>
      <w:r>
        <w:t>pateiktas Užsienio reikalų komitetui</w:t>
      </w:r>
      <w:r>
        <w:rPr>
          <w:rStyle w:val="HideTWBExt"/>
        </w:rPr>
        <w:t>&lt;/CommissionInt&gt;</w:t>
      </w:r>
    </w:p>
    <w:p w:rsidR="002E2F2E" w:rsidRPr="003A2E24" w:rsidRDefault="002E2F2E">
      <w:pPr>
        <w:pStyle w:val="CoverNormal"/>
      </w:pPr>
      <w:r>
        <w:rPr>
          <w:rStyle w:val="HideTWBExt"/>
        </w:rPr>
        <w:t>&lt;Titre&gt;</w:t>
      </w:r>
      <w:r>
        <w:t>Metinė bendros saugumo ir gynybos politikos įgyvendinimo ataskaita</w:t>
      </w:r>
      <w:r>
        <w:rPr>
          <w:rStyle w:val="HideTWBExt"/>
        </w:rPr>
        <w:t>&lt;/Titre&gt;</w:t>
      </w:r>
    </w:p>
    <w:p w:rsidR="002E2F2E" w:rsidRPr="003A2E24" w:rsidRDefault="002E2F2E">
      <w:pPr>
        <w:pStyle w:val="Cover24"/>
      </w:pPr>
      <w:r>
        <w:rPr>
          <w:rStyle w:val="HideTWBExt"/>
        </w:rPr>
        <w:t>&lt;DocRef&gt;</w:t>
      </w:r>
      <w:r>
        <w:t>(2018/2099(INI))</w:t>
      </w:r>
      <w:r>
        <w:rPr>
          <w:rStyle w:val="HideTWBExt"/>
        </w:rPr>
        <w:t>&lt;/DocRef&gt;</w:t>
      </w:r>
    </w:p>
    <w:p w:rsidR="002E2F2E" w:rsidRPr="003A2E24" w:rsidRDefault="002364D2">
      <w:pPr>
        <w:pStyle w:val="Cover24"/>
      </w:pPr>
      <w:r>
        <w:t xml:space="preserve">Nuomonės referentas: </w:t>
      </w:r>
      <w:r>
        <w:rPr>
          <w:rStyle w:val="HideTWBExt"/>
        </w:rPr>
        <w:t>&lt;Depute&gt;</w:t>
      </w:r>
      <w:r>
        <w:t>Paulo Rangel</w:t>
      </w:r>
      <w:r>
        <w:rPr>
          <w:rStyle w:val="HideTWBExt"/>
        </w:rPr>
        <w:t>&lt;/Depute&gt;</w:t>
      </w:r>
    </w:p>
    <w:p w:rsidR="00A72C35" w:rsidRPr="003A2E24" w:rsidRDefault="00A72C35" w:rsidP="00A72C35">
      <w:pPr>
        <w:pStyle w:val="CoverNormal"/>
      </w:pPr>
    </w:p>
    <w:p w:rsidR="000E7EBF" w:rsidRPr="003A2E24" w:rsidRDefault="002E2F2E" w:rsidP="00E856D2">
      <w:pPr>
        <w:widowControl/>
        <w:tabs>
          <w:tab w:val="center" w:pos="4677"/>
        </w:tabs>
      </w:pPr>
      <w:r>
        <w:br w:type="page"/>
      </w:r>
    </w:p>
    <w:p w:rsidR="002E2F2E" w:rsidRPr="003A2E24" w:rsidRDefault="003A2E24" w:rsidP="00E856D2">
      <w:pPr>
        <w:widowControl/>
        <w:tabs>
          <w:tab w:val="center" w:pos="4677"/>
        </w:tabs>
      </w:pPr>
      <w:r>
        <w:t>PA_NonLeg</w:t>
      </w:r>
    </w:p>
    <w:p w:rsidR="002E2F2E" w:rsidRPr="003A2E24" w:rsidRDefault="002E2F2E">
      <w:pPr>
        <w:pStyle w:val="PageHeadingNotTOC"/>
      </w:pPr>
      <w:r>
        <w:br w:type="page"/>
      </w:r>
      <w:r>
        <w:lastRenderedPageBreak/>
        <w:t>PASIŪLYMAI</w:t>
      </w:r>
    </w:p>
    <w:p w:rsidR="002E2F2E" w:rsidRPr="003A2E24" w:rsidRDefault="002364D2" w:rsidP="008313E7">
      <w:pPr>
        <w:pStyle w:val="Normal12"/>
      </w:pPr>
      <w:r>
        <w:t>Konstitucinių reikalų komitetas ragina atsakingą Užsienio reikalų komitetą į savo pasiūlymą dėl rezoliucijos įtraukti šiuos pasiūlymus:</w:t>
      </w:r>
    </w:p>
    <w:p w:rsidR="002364D2" w:rsidRPr="000F5CBB" w:rsidRDefault="002364D2" w:rsidP="002364D2">
      <w:pPr>
        <w:pStyle w:val="Normal12Hanging0"/>
      </w:pPr>
      <w:r>
        <w:t>1.</w:t>
      </w:r>
      <w:r>
        <w:tab/>
        <w:t>teigiamai vertina tai, kad buvo sukurta EII, PESCO ir sustiprintas EPF, nes tai svarbūs žingsniai stiprinant Sąjungos saugumą ir gynybą, glaudžiai bendradarbiaujant ir užtikrinant visišką veiklos papildomumą su NATO;</w:t>
      </w:r>
    </w:p>
    <w:p w:rsidR="002364D2" w:rsidRPr="000F5CBB" w:rsidRDefault="002364D2" w:rsidP="002364D2">
      <w:pPr>
        <w:pStyle w:val="Normal12Hanging0"/>
      </w:pPr>
      <w:r>
        <w:t>2.</w:t>
      </w:r>
      <w:r>
        <w:tab/>
        <w:t>pažymi, kad kelios valstybės narės neseniai kreipėsi į ES saugumo tarybą, ES kovinę grupę ir Europos žvalgybos padalinį, veikiantį kaip duomenų bazė; pritaria nuolatinės veiklos buveinės atidarymui ir Europos gynybos agentūros biudžeto padidinimui;</w:t>
      </w:r>
    </w:p>
    <w:p w:rsidR="002364D2" w:rsidRPr="000F5CBB" w:rsidRDefault="002364D2" w:rsidP="002364D2">
      <w:pPr>
        <w:pStyle w:val="Normal12Hanging0"/>
      </w:pPr>
      <w:r>
        <w:t>3.</w:t>
      </w:r>
      <w:r>
        <w:tab/>
        <w:t>rekomenduoja įsteigti nuolatinę gynybos ministrų tarybą, kuriai pirmininkautų vyriausiasis įgaliotinis ir pirmininko pavaduotojas; pabrėžia, kad reikia stiprinti Europos Parlamento vaidmenį šioje srityje, visų pirma pasitelkiant visavertį saugumo ir gynybos komitetą, kurį papildytų nacionalinių parlamentų atstovų ir Europos Parlamento narių bendri tarpparlamentiniai susitikimai;</w:t>
      </w:r>
    </w:p>
    <w:p w:rsidR="002364D2" w:rsidRPr="000F5CBB" w:rsidRDefault="002364D2" w:rsidP="002364D2">
      <w:pPr>
        <w:pStyle w:val="Normal12Hanging0"/>
      </w:pPr>
      <w:r>
        <w:t>4.</w:t>
      </w:r>
      <w:r>
        <w:tab/>
        <w:t>pabrėžia, kad bet kuris būsimas konventas arba tarpvyriausybinė konferencija turėtų apsvarstyti galimybę sukurti europinę jėgą, turinčią galimybę dalyvauti konfliktų sprendimo ir taikos palaikymo misijose;</w:t>
      </w:r>
    </w:p>
    <w:p w:rsidR="002364D2" w:rsidRPr="000F5CBB" w:rsidRDefault="002364D2" w:rsidP="002364D2">
      <w:pPr>
        <w:pStyle w:val="Normal12Hanging0"/>
      </w:pPr>
      <w:r>
        <w:t>5.</w:t>
      </w:r>
      <w:r>
        <w:tab/>
        <w:t>pabrėžia EBCG svarbą ir primena savo prašymą sukurti tikrą ES civilinės saugos instituciją, kartu atkreipdamas dėmesį į tai, kad ji padėtų dabartinei bendros gynybos rinkos plėtrai;</w:t>
      </w:r>
    </w:p>
    <w:p w:rsidR="002E2F2E" w:rsidRPr="002364D2" w:rsidRDefault="002364D2" w:rsidP="002364D2">
      <w:pPr>
        <w:pStyle w:val="Normal12Hanging0"/>
      </w:pPr>
      <w:r>
        <w:t>6.</w:t>
      </w:r>
      <w:r>
        <w:tab/>
        <w:t>atkreipia dėmesį į tai, kad Sąjungos ir jos artimiausių sąjungininkių, pavyzdžiui, Jungtinės Karalystės ir JAV, glaudus bendradarbiavimas išlieka itin svarbus.</w:t>
      </w:r>
      <w:bookmarkStart w:id="0" w:name="_GoBack"/>
      <w:bookmarkEnd w:id="0"/>
    </w:p>
    <w:sectPr w:rsidR="002E2F2E" w:rsidRPr="002364D2" w:rsidSect="00A1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24" w:rsidRPr="003A2E24" w:rsidRDefault="003A2E24">
      <w:r w:rsidRPr="003A2E24">
        <w:separator/>
      </w:r>
    </w:p>
  </w:endnote>
  <w:endnote w:type="continuationSeparator" w:id="0">
    <w:p w:rsidR="003A2E24" w:rsidRPr="003A2E24" w:rsidRDefault="003A2E24">
      <w:r w:rsidRPr="003A2E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3A2E24" w:rsidRDefault="00B51DDB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3A2E24">
      <w:t>PE</w:t>
    </w:r>
    <w:r w:rsidRPr="003A2E24">
      <w:rPr>
        <w:rStyle w:val="HideTWBExt"/>
        <w:noProof w:val="0"/>
      </w:rPr>
      <w:t>&lt;NoPE&gt;</w:t>
    </w:r>
    <w:r>
      <w:t>626.722</w:t>
    </w:r>
    <w:r w:rsidRPr="003A2E24">
      <w:rPr>
        <w:rStyle w:val="HideTWBExt"/>
        <w:noProof w:val="0"/>
      </w:rPr>
      <w:t>&lt;/NoPE&gt;&lt;Version&gt;</w:t>
    </w:r>
    <w:r w:rsidRPr="003A2E24">
      <w:t>v</w:t>
    </w:r>
    <w:r>
      <w:t>01-00</w:t>
    </w:r>
    <w:r w:rsidRPr="003A2E24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2E2F2E" w:rsidRPr="003A2E24">
      <w:tab/>
    </w:r>
    <w:r w:rsidR="002E2F2E" w:rsidRPr="003A2E24">
      <w:fldChar w:fldCharType="begin"/>
    </w:r>
    <w:r w:rsidR="002E2F2E" w:rsidRPr="003A2E24">
      <w:instrText xml:space="preserve"> PAGE </w:instrText>
    </w:r>
    <w:r w:rsidR="002E2F2E" w:rsidRPr="003A2E24">
      <w:fldChar w:fldCharType="separate"/>
    </w:r>
    <w:r>
      <w:rPr>
        <w:noProof/>
      </w:rPr>
      <w:t>2</w:t>
    </w:r>
    <w:r w:rsidR="002E2F2E" w:rsidRPr="003A2E24">
      <w:fldChar w:fldCharType="end"/>
    </w:r>
    <w:r w:rsidR="002E2F2E" w:rsidRPr="003A2E24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="002E2F2E" w:rsidRPr="003A2E24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Pr="003A2E24">
      <w:rPr>
        <w:rStyle w:val="HideTWBExt"/>
        <w:noProof w:val="0"/>
      </w:rPr>
      <w:t>&lt;PathFdR&gt;</w:t>
    </w:r>
    <w:r w:rsidRPr="002364D2">
      <w:t>PA\1160303LT.docx</w:t>
    </w:r>
    <w:r w:rsidRPr="003A2E24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2E2F2E" w:rsidRPr="003A2E24" w:rsidRDefault="00B51DDB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LT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3A2E24" w:rsidRDefault="00B51DDB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Pr="003A2E24">
      <w:rPr>
        <w:rStyle w:val="HideTWBExt"/>
        <w:noProof w:val="0"/>
      </w:rPr>
      <w:t>&lt;PathFdR&gt;</w:t>
    </w:r>
    <w:r w:rsidRPr="002364D2">
      <w:t>PA\1160303LT.docx</w:t>
    </w:r>
    <w:r w:rsidRPr="003A2E24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2E2F2E" w:rsidRPr="003A2E24">
      <w:tab/>
    </w:r>
    <w:r w:rsidR="002E2F2E" w:rsidRPr="003A2E24">
      <w:fldChar w:fldCharType="begin"/>
    </w:r>
    <w:r w:rsidR="002E2F2E" w:rsidRPr="003A2E24">
      <w:instrText xml:space="preserve"> PAGE </w:instrText>
    </w:r>
    <w:r w:rsidR="002E2F2E" w:rsidRPr="003A2E24">
      <w:fldChar w:fldCharType="separate"/>
    </w:r>
    <w:r>
      <w:rPr>
        <w:noProof/>
      </w:rPr>
      <w:t>3</w:t>
    </w:r>
    <w:r w:rsidR="002E2F2E" w:rsidRPr="003A2E24">
      <w:fldChar w:fldCharType="end"/>
    </w:r>
    <w:r w:rsidR="002E2F2E" w:rsidRPr="003A2E24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="002E2F2E" w:rsidRPr="003A2E24">
      <w:tab/>
    </w:r>
    <w:r>
      <w:fldChar w:fldCharType="begin"/>
    </w:r>
    <w:r>
      <w:instrText xml:space="preserve"> REF OutsideFooter </w:instrText>
    </w:r>
    <w:r>
      <w:fldChar w:fldCharType="separate"/>
    </w:r>
    <w:r w:rsidRPr="003A2E24">
      <w:t>PE</w:t>
    </w:r>
    <w:r w:rsidRPr="003A2E24">
      <w:rPr>
        <w:rStyle w:val="HideTWBExt"/>
        <w:noProof w:val="0"/>
      </w:rPr>
      <w:t>&lt;NoPE&gt;</w:t>
    </w:r>
    <w:r>
      <w:t>626.722</w:t>
    </w:r>
    <w:r w:rsidRPr="003A2E24">
      <w:rPr>
        <w:rStyle w:val="HideTWBExt"/>
        <w:noProof w:val="0"/>
      </w:rPr>
      <w:t>&lt;/NoPE&gt;&lt;Version&gt;</w:t>
    </w:r>
    <w:r w:rsidRPr="003A2E24">
      <w:t>v</w:t>
    </w:r>
    <w:r>
      <w:t>01-00</w:t>
    </w:r>
    <w:r w:rsidRPr="003A2E24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2E2F2E" w:rsidRPr="003A2E24" w:rsidRDefault="002E2F2E">
    <w:pPr>
      <w:pStyle w:val="Footer2"/>
    </w:pPr>
    <w:r w:rsidRPr="003A2E24">
      <w:tab/>
    </w:r>
    <w:r w:rsidR="00B51DDB">
      <w:fldChar w:fldCharType="begin"/>
    </w:r>
    <w:r w:rsidR="00B51DDB">
      <w:instrText xml:space="preserve"> DOCPROPERTY "&lt;Extension&gt;" </w:instrText>
    </w:r>
    <w:r w:rsidR="00B51DDB">
      <w:fldChar w:fldCharType="separate"/>
    </w:r>
    <w:r w:rsidR="00B51DDB">
      <w:t>LT</w:t>
    </w:r>
    <w:r w:rsidR="00B51DD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3A2E24" w:rsidRDefault="002E2F2E">
    <w:pPr>
      <w:pStyle w:val="Footer"/>
    </w:pPr>
    <w:bookmarkStart w:id="1" w:name="InsideFooter"/>
    <w:r w:rsidRPr="003A2E24">
      <w:rPr>
        <w:rStyle w:val="HideTWBExt"/>
        <w:noProof w:val="0"/>
      </w:rPr>
      <w:t>&lt;PathFdR&gt;</w:t>
    </w:r>
    <w:r w:rsidR="002364D2" w:rsidRPr="002364D2">
      <w:t>PA\1160303LT.docx</w:t>
    </w:r>
    <w:r w:rsidRPr="003A2E24">
      <w:rPr>
        <w:rStyle w:val="HideTWBExt"/>
        <w:noProof w:val="0"/>
      </w:rPr>
      <w:t>&lt;/PathFdR&gt;</w:t>
    </w:r>
    <w:bookmarkEnd w:id="1"/>
    <w:r w:rsidRPr="003A2E24">
      <w:tab/>
    </w:r>
    <w:r w:rsidRPr="003A2E24">
      <w:tab/>
    </w:r>
    <w:bookmarkStart w:id="2" w:name="OutsideFooter"/>
    <w:r w:rsidR="005D60C6" w:rsidRPr="003A2E24">
      <w:t>PE</w:t>
    </w:r>
    <w:r w:rsidRPr="003A2E24">
      <w:rPr>
        <w:rStyle w:val="HideTWBExt"/>
        <w:noProof w:val="0"/>
      </w:rPr>
      <w:t>&lt;NoPE&gt;</w:t>
    </w:r>
    <w:r w:rsidR="002364D2">
      <w:t>626.722</w:t>
    </w:r>
    <w:r w:rsidRPr="003A2E24">
      <w:rPr>
        <w:rStyle w:val="HideTWBExt"/>
        <w:noProof w:val="0"/>
      </w:rPr>
      <w:t>&lt;/NoPE&gt;&lt;Version&gt;</w:t>
    </w:r>
    <w:r w:rsidR="003A2E24" w:rsidRPr="003A2E24">
      <w:t>v</w:t>
    </w:r>
    <w:r w:rsidR="002364D2">
      <w:t>01-00</w:t>
    </w:r>
    <w:r w:rsidRPr="003A2E24">
      <w:rPr>
        <w:rStyle w:val="HideTWBExt"/>
        <w:noProof w:val="0"/>
      </w:rPr>
      <w:t>&lt;/Version&gt;</w:t>
    </w:r>
    <w:bookmarkEnd w:id="2"/>
  </w:p>
  <w:p w:rsidR="002E2F2E" w:rsidRPr="003A2E24" w:rsidRDefault="00B51DDB" w:rsidP="001746D0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LT</w:t>
    </w:r>
    <w:r>
      <w:fldChar w:fldCharType="end"/>
    </w:r>
    <w:r w:rsidR="001746D0" w:rsidRPr="003A2E24">
      <w:rPr>
        <w:color w:val="C0C0C0"/>
      </w:rPr>
      <w:tab/>
    </w:r>
    <w:r w:rsidR="002364D2">
      <w:rPr>
        <w:b w:val="0"/>
        <w:i/>
        <w:color w:val="C0C0C0"/>
        <w:sz w:val="22"/>
        <w:szCs w:val="22"/>
      </w:rPr>
      <w:t>Suvienijusi įvairovę</w:t>
    </w:r>
    <w:r w:rsidR="001746D0" w:rsidRPr="003A2E24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LT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24" w:rsidRPr="003A2E24" w:rsidRDefault="003A2E24">
      <w:r w:rsidRPr="003A2E24">
        <w:separator/>
      </w:r>
    </w:p>
  </w:footnote>
  <w:footnote w:type="continuationSeparator" w:id="0">
    <w:p w:rsidR="003A2E24" w:rsidRPr="003A2E24" w:rsidRDefault="003A2E24">
      <w:r w:rsidRPr="003A2E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DB" w:rsidRDefault="00B51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DB" w:rsidRDefault="00B51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DB" w:rsidRDefault="00B51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M2KEY" w:val="AFET"/>
    <w:docVar w:name="COMKEY" w:val="AFCO"/>
    <w:docVar w:name="LastEditedSection" w:val=" 1"/>
    <w:docVar w:name="PROCMNU" w:val=" 1"/>
    <w:docVar w:name="RepeatBlock-AmendL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4\fbidi \froman\fcharset238\fprq2 Times New Roman CE;}_x000d__x000a_{\f275\fbidi \froman\fcharset204\fprq2 Times New Roman Cyr;}{\f277\fbidi \froman\fcharset161\fprq2 Times New Roman Greek;}{\f278\fbidi \froman\fcharset162\fprq2 Times New Roman Tur;}{\f279\fbidi \froman\fcharset177\fprq2 Times New Roman (Hebrew);}_x000d__x000a_{\f280\fbidi \froman\fcharset178\fprq2 Times New Roman (Arabic);}{\f281\fbidi \froman\fcharset186\fprq2 Times New Roman Baltic;}{\f282\fbidi \froman\fcharset163\fprq2 Times New Roman (Vietnamese);}{\f614\fbidi \froman\fcharset238\fprq2 Cambria Math CE;}_x000d__x000a_{\f615\fbidi \froman\fcharset204\fprq2 Cambria Math Cyr;}{\f617\fbidi \froman\fcharset161\fprq2 Cambria Math Greek;}{\f618\fbidi \froman\fcharset162\fprq2 Cambria Math Tur;}{\f621\fbidi \froman\fcharset186\fprq2 Cambria Math Baltic;}_x000d__x000a_{\f622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8735356 HideTWBInt;}{\s16\ql \fi-567\li567\ri0\sa240\nowidctlpar\wrapdefault\aspalpha\aspnum\faauto\adjustright\rin0\lin567\itap0 \rtlch\fcs1 \af0\afs20\alang1025 \ltrch\fcs0 _x000d__x000a_\fs24\lang1063\langfe2057\cgrid\langnp1063\langfenp2057 \sbasedon0 \snext16 \spriority0 \styrsid8735356 Normal12Hanging;}}{\*\rsidtbl \rsid24658\rsid735077\rsid2892074\rsid4666813\rsid6641733\rsid8735356\rsid9636012\rsid11215221\rsid12154954\rsid14424199_x000d__x000a_\rsid14948876\rsid15204470\rsid15285974\rsid15950462\rsid16324206\rsid16662270}{\mmathPr\mmathFont34\mbrkBin0\mbrkBinSub0\msmallFrac0\mdispDef1\mlMargin0\mrMargin0\mdefJc1\mwrapIndent1440\mintLim0\mnaryLim1}{\info{\author BARSTYTE Lina}_x000d__x000a_{\operator BARSTYTE Lina}{\creatim\yr2018\mo4\dy23\hr15\min40}{\revtim\yr2018\mo4\dy23\hr15\min40}{\version1}{\edmins0}{\nofpages1}{\nofwords1}{\nofchars19}{\*\company European Parliament}{\nofcharsws19}{\vern93}}{\*\xmlnstbl {\xmlns1 http://schemas.micro_x000d__x000a_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735356\utinl \fet0{\*\wgrffmtfilter 013f}\ilfomacatclnup0{\*\template C:\\Users\\LBARST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9488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488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488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4887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567\li567\ri0\sa240\nowidctlpar\wrapdefault\aspalpha\aspnum\faauto\adjustright\rin0\lin567\itap0\pararsid8735356 \rtlch\fcs1 \af0\afs20\alang1025 \ltrch\fcs0 \fs24\lang1063\langfe2057\cgrid\langnp1063\langfenp2057 {\rtlch\fcs1 \af0 _x000d__x000a_\ltrch\fcs0 \insrsid8735356\charrsid90578 {\*\bkmkstart restart}#}{\rtlch\fcs1 \af0 \ltrch\fcs0 \cs15\v\cf15\insrsid8735356\charrsid90578 NRMSG}{\rtlch\fcs1 \af0 \ltrch\fcs0 \insrsid8735356\charrsid90578 #.\tab #}{\rtlch\fcs1 \af0 \ltrch\fcs0 _x000d__x000a_\cs15\v\cf15\insrsid8735356\charrsid90578 Tekstas}{\rtlch\fcs1 \af0 \ltrch\fcs0 \insrsid8735356\charrsid90578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d1_x000d__x000a_7ca808d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4\fbidi \froman\fcharset238\fprq2 Times New Roman CE;}_x000d__x000a_{\f275\fbidi \froman\fcharset204\fprq2 Times New Roman Cyr;}{\f277\fbidi \froman\fcharset161\fprq2 Times New Roman Greek;}{\f278\fbidi \froman\fcharset162\fprq2 Times New Roman Tur;}{\f279\fbidi \froman\fcharset177\fprq2 Times New Roman (Hebrew);}_x000d__x000a_{\f280\fbidi \froman\fcharset178\fprq2 Times New Roman (Arabic);}{\f281\fbidi \froman\fcharset186\fprq2 Times New Roman Baltic;}{\f282\fbidi \froman\fcharset163\fprq2 Times New Roman (Vietnamese);}{\f614\fbidi \froman\fcharset238\fprq2 Cambria Math CE;}_x000d__x000a_{\f615\fbidi \froman\fcharset204\fprq2 Cambria Math Cyr;}{\f617\fbidi \froman\fcharset161\fprq2 Cambria Math Greek;}{\f618\fbidi \froman\fcharset162\fprq2 Cambria Math Tur;}{\f621\fbidi \froman\fcharset186\fprq2 Cambria Math Baltic;}_x000d__x000a_{\f622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14380560 Normal12Hanging;}}{\*\rsidtbl \rsid24658\rsid735077\rsid2892074\rsid4666813\rsid6506022\rsid6641733\rsid9636012\rsid11215221\rsid12154954\rsid14380560\rsid14424199\rsid15204470\rsid15285974\rsid15950462_x000d__x000a_\rsid16324206\rsid16662270}{\mmathPr\mmathFont34\mbrkBin0\mbrkBinSub0\msmallFrac0\mdispDef1\mlMargin0\mrMargin0\mdefJc1\mwrapIndent1440\mintLim0\mnaryLim1}{\info{\author BARSTYTE Lina}{\operator BARSTYTE Lina}{\creatim\yr2018\mo4\dy23\hr15\min40}_x000d__x000a_{\revtim\yr2018\mo4\dy23\hr15\min40}{\version1}{\edmins0}{\nofpages1}{\nofwords2}{\nofchars33}{\*\company European Parliament}{\nofcharsws33}{\vern9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380560\utinl \fet0{\*\wgrffmtfilter 013f}\ilfomacatclnup0{\*\template C:\\Users\\LBARST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50602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060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060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0602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14380560 \rtlch\fcs1 \af0\afs20\alang1025 \ltrch\fcs0 \fs24\lang2057\langfe2057\cgrid\langnp2057\langfenp2057 {\rtlch\fcs1 \af0 _x000d__x000a_\ltrch\fcs0 \insrsid14380560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8_x000d__x000a_1fa408d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60"/>
    <w:docVar w:name="TXTLANGUE" w:val="LT"/>
    <w:docVar w:name="TXTLANGUEMIN" w:val="lt"/>
    <w:docVar w:name="TXTNRPE" w:val="626.722"/>
    <w:docVar w:name="TXTNRPROC" w:val="2018/2099"/>
    <w:docVar w:name="TXTPEorAP" w:val="PE"/>
    <w:docVar w:name="TXTROUTE" w:val="PA\1160303LT.docx"/>
    <w:docVar w:name="TXTTITLE" w:val="Annual report on the implementation of the Common Security and Defence Policy"/>
    <w:docVar w:name="TXTVERSION" w:val="01-00"/>
  </w:docVars>
  <w:rsids>
    <w:rsidRoot w:val="003A2E24"/>
    <w:rsid w:val="000E7EBF"/>
    <w:rsid w:val="00140BE6"/>
    <w:rsid w:val="0016635E"/>
    <w:rsid w:val="001746D0"/>
    <w:rsid w:val="001A5919"/>
    <w:rsid w:val="001C5B4C"/>
    <w:rsid w:val="001D2ED9"/>
    <w:rsid w:val="002364D2"/>
    <w:rsid w:val="002E2F2E"/>
    <w:rsid w:val="00325BCB"/>
    <w:rsid w:val="00390EB2"/>
    <w:rsid w:val="00396A0E"/>
    <w:rsid w:val="003A2E24"/>
    <w:rsid w:val="003E2402"/>
    <w:rsid w:val="004C28FB"/>
    <w:rsid w:val="005B2F11"/>
    <w:rsid w:val="005D60C6"/>
    <w:rsid w:val="00657AFB"/>
    <w:rsid w:val="008313E7"/>
    <w:rsid w:val="008A32C5"/>
    <w:rsid w:val="008F7002"/>
    <w:rsid w:val="00A16BEA"/>
    <w:rsid w:val="00A72C35"/>
    <w:rsid w:val="00B362F7"/>
    <w:rsid w:val="00B51DDB"/>
    <w:rsid w:val="00BD1EAA"/>
    <w:rsid w:val="00C43C03"/>
    <w:rsid w:val="00D73660"/>
    <w:rsid w:val="00E856D2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FF5112-6E3D-4B9D-BC84-E4E98C9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12Hanging0">
    <w:name w:val="Normal12Hanging0"/>
    <w:qFormat/>
    <w:rsid w:val="002364D2"/>
    <w:pPr>
      <w:widowControl w:val="0"/>
      <w:spacing w:after="240"/>
      <w:ind w:left="567" w:hanging="567"/>
    </w:pPr>
    <w:rPr>
      <w:sz w:val="24"/>
    </w:r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12Hanging">
    <w:name w:val="Normal12Hanging"/>
    <w:basedOn w:val="Normal12"/>
    <w:rsid w:val="008313E7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BARSTYTE Lina</dc:creator>
  <cp:keywords/>
  <dc:description/>
  <cp:lastModifiedBy>VAITIEKUTE Simona</cp:lastModifiedBy>
  <cp:revision>2</cp:revision>
  <cp:lastPrinted>2004-10-28T10:33:00Z</cp:lastPrinted>
  <dcterms:created xsi:type="dcterms:W3CDTF">2018-08-24T08:36:00Z</dcterms:created>
  <dcterms:modified xsi:type="dcterms:W3CDTF">2018-08-24T08:36:00Z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1160303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\\eiciLUXpr1\pdocep$\DocEP\DOCS\General\PA\PA_NonLeg.dot(05/07/2017 16:38:43)</vt:lpwstr>
  </property>
  <property fmtid="{D5CDD505-2E9C-101B-9397-08002B2CF9AE}" pid="7" name="&lt;ModelTra&gt;">
    <vt:lpwstr>\\eiciLUXpr1\pdocep$\DocEP\TRANSFIL\LT\PA_NonLeg.LT(15/02/2018 20:04:30)</vt:lpwstr>
  </property>
  <property fmtid="{D5CDD505-2E9C-101B-9397-08002B2CF9AE}" pid="8" name="&lt;Model&gt;">
    <vt:lpwstr>PA_NonLeg</vt:lpwstr>
  </property>
  <property fmtid="{D5CDD505-2E9C-101B-9397-08002B2CF9AE}" pid="9" name="FooterPath">
    <vt:lpwstr>PA\1160303LT.docx</vt:lpwstr>
  </property>
  <property fmtid="{D5CDD505-2E9C-101B-9397-08002B2CF9AE}" pid="10" name="PE number">
    <vt:lpwstr>626.722</vt:lpwstr>
  </property>
  <property fmtid="{D5CDD505-2E9C-101B-9397-08002B2CF9AE}" pid="11" name="Bookout">
    <vt:lpwstr>OK - 2018/08/24 10:36</vt:lpwstr>
  </property>
  <property fmtid="{D5CDD505-2E9C-101B-9397-08002B2CF9AE}" pid="12" name="SDLStudio">
    <vt:lpwstr/>
  </property>
  <property fmtid="{D5CDD505-2E9C-101B-9397-08002B2CF9AE}" pid="13" name="&lt;Extension&gt;">
    <vt:lpwstr>LT</vt:lpwstr>
  </property>
</Properties>
</file>