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purl.oclc.org/ooxml/officeDocument/relationships/officeDocument" Target="word/document.xml" /><Relationship Id="rId2" Type="http://purl.oclc.org/ooxml/officeDocument/relationships/extendedProperties" Target="docProps/app.xml" /><Relationship Id="rId3" Type="http://schemas.openxmlformats.org/package/2006/relationships/metadata/core-properties" Target="docProps/core.xml" /><Relationship Id="rId4" Type="http://purl.oclc.org/ooxml/officeDocument/relationships/custom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 w:conformance="strict">
  <!-- Generated by Aspose.Words for Java 18.4 -->
  <w:body>
    <w:tbl>
      <w:tblPr>
        <w:tblStyle w:val="TableNormal"/>
        <w:tblW w:w="0pt" w:type="auto"/>
        <w:tblInd w:w="-42.55pt" w:type="dxa"/>
        <w:tblLayout w:type="fixed"/>
        <w:tblCellMar>
          <w:start w:w="0pt" w:type="dxa"/>
          <w:end w:w="0pt" w:type="dxa"/>
        </w:tblCellMar>
        <w:tblLook/>
      </w:tblPr>
      <w:tblGrid>
        <w:gridCol w:w="851"/>
        <w:gridCol w:w="3969"/>
        <w:gridCol w:w="1701"/>
        <w:gridCol w:w="3969"/>
        <w:gridCol w:w="851"/>
      </w:tblGrid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cantSplit/>
          <w:trHeight w:val="240"/>
        </w:trPr>
        <w:tc>
          <w:tcPr>
            <w:tcW w:w="481.95pt" w:type="dxa"/>
            <w:gridSpan w:val="3"/>
            <w:tcBorders>
              <w:bottom w:val="single" w:sz="4" w:space="0" w:color="auto"/>
            </w:tcBorders>
          </w:tcPr>
          <w:p w:rsidR="00AB1A99" w:rsidRPr="00F57F24">
            <w:pPr>
              <w:pStyle w:val="EntEU"/>
            </w:pPr>
            <w:r w:rsidRPr="00F57F24" w:rsidR="0051485B">
              <w:t>0</w:t>
            </w:r>
            <w:r w:rsidRPr="00F57F24">
              <w:t>UNIONE EUROPEA</w:t>
            </w:r>
            <w:r w:rsidRPr="00F57F24">
              <w:drawing>
                <wp:anchor distT="0" distB="180340" distL="114300" distR="114300" simplePos="0" relativeHeight="251658240" behindDoc="0" locked="1" layoutInCell="0" allowOverlap="1">
                  <wp:simplePos x="0" y="0"/>
                  <wp:positionH relativeFrom="margin">
                    <wp:posOffset>2700655</wp:posOffset>
                  </wp:positionH>
                  <wp:positionV relativeFrom="paragraph">
                    <wp:posOffset>-304800</wp:posOffset>
                  </wp:positionV>
                  <wp:extent cx="720090" cy="470535"/>
                  <wp:effectExtent l="0" t="0" r="0" b="0"/>
                  <wp:wrapTopAndBottom/>
                  <wp:docPr id="1026" name="Image 1026" descr="CEE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53083110" name="Image 1026" descr="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purl.oclc.org/ooxml/officeDocument/relationships" r:embed="rId5">
                            <a:extLst>
                              <a:ext xmlns:a="http://purl.oclc.org/ooxml/drawingml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A99" w:rsidRPr="00F57F24">
            <w:pPr>
              <w:pStyle w:val="EntLogo"/>
            </w:pPr>
            <w:r w:rsidRPr="00F57F24">
              <w:t>IL PARLAMENTO EUROPEO</w:t>
              <w:tab/>
              <w:t>IL CONSIGLIO</w:t>
            </w: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trHeight w:val="1120"/>
        </w:trPr>
        <w:tc>
          <w:tcPr>
            <w:tcW w:w="241pt" w:type="dxa"/>
            <w:gridSpan w:val="2"/>
          </w:tcPr>
          <w:p w:rsidR="00AB1A99">
            <w:pPr>
              <w:pStyle w:val="EntInstit"/>
              <w:spacing w:before="240"/>
            </w:pPr>
            <w:bookmarkStart w:id="0" w:name="Entete"/>
            <w:bookmarkEnd w:id="0"/>
          </w:p>
        </w:tc>
        <w:tc>
          <w:tcPr>
            <w:tcW w:w="85.05pt" w:type="dxa"/>
          </w:tcPr>
          <w:p w:rsidR="00AB1A99">
            <w:pPr>
              <w:spacing w:before="240"/>
            </w:pPr>
          </w:p>
        </w:tc>
        <w:tc>
          <w:tcPr>
            <w:tcW w:w="241pt" w:type="dxa"/>
            <w:gridSpan w:val="2"/>
          </w:tcPr>
          <w:p w:rsidR="00AB1A99" w:rsidRPr="00F57F24">
            <w:pPr>
              <w:pStyle w:val="EntRefer"/>
              <w:spacing w:before="240"/>
            </w:pPr>
            <w:bookmarkStart w:id="1" w:name="Lieu"/>
            <w:bookmarkStart w:id="2" w:name="LWCons_Lieu"/>
            <w:bookmarkEnd w:id="1"/>
            <w:r w:rsidR="00F57F24">
              <w:t>Bruxelles,</w:t>
            </w:r>
            <w:bookmarkEnd w:id="2"/>
            <w:r w:rsidR="00F57F24">
              <w:t xml:space="preserve"> </w:t>
            </w:r>
            <w:bookmarkStart w:id="3" w:name="Date"/>
            <w:bookmarkStart w:id="4" w:name="DateEntree"/>
            <w:bookmarkStart w:id="5" w:name="LWCons_Date"/>
            <w:bookmarkEnd w:id="3"/>
            <w:bookmarkEnd w:id="4"/>
            <w:r w:rsidR="00F57F24">
              <w:t>31 ottobre 2011</w:t>
            </w:r>
            <w:bookmarkEnd w:id="5"/>
          </w:p>
          <w:p w:rsidR="00AB1A99">
            <w:pPr>
              <w:pStyle w:val="EntRefer"/>
            </w:pPr>
            <w:bookmarkStart w:id="6" w:name="LWCons_LangueOrig"/>
            <w:bookmarkStart w:id="7" w:name="LangueOrig"/>
            <w:bookmarkEnd w:id="6"/>
            <w:bookmarkEnd w:id="7"/>
            <w:r>
              <w:t>(OR. en)</w:t>
            </w: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trHeight w:val="1480"/>
        </w:trPr>
        <w:tc>
          <w:tcPr>
            <w:tcW w:w="198.45pt" w:type="dxa"/>
          </w:tcPr>
          <w:p w:rsidR="00F57F24">
            <w:pPr>
              <w:pStyle w:val="EntRefer"/>
            </w:pPr>
            <w:bookmarkStart w:id="8" w:name="DossierInterInst"/>
            <w:bookmarkEnd w:id="8"/>
            <w:r>
              <w:t>2010/0059 (COD)</w:t>
            </w:r>
          </w:p>
          <w:p w:rsidR="00AB1A99">
            <w:pPr>
              <w:pStyle w:val="EntRefer"/>
            </w:pPr>
            <w:r w:rsidR="00F57F24">
              <w:t>C7-0379/2011</w:t>
            </w:r>
          </w:p>
        </w:tc>
        <w:tc>
          <w:tcPr>
            <w:tcW w:w="85.05pt" w:type="dxa"/>
            <w:vAlign w:val="center"/>
          </w:tcPr>
          <w:p w:rsidR="00AB1A99"/>
        </w:tc>
        <w:tc>
          <w:tcPr>
            <w:tcW w:w="198.45pt" w:type="dxa"/>
          </w:tcPr>
          <w:p w:rsidR="00AB1A99">
            <w:pPr>
              <w:pStyle w:val="EntRefer"/>
            </w:pPr>
            <w:bookmarkStart w:id="9" w:name="Cote"/>
            <w:bookmarkEnd w:id="9"/>
            <w:r>
              <w:t>PE-CONS 59/11</w:t>
            </w:r>
          </w:p>
          <w:p w:rsidR="00AB1A99">
            <w:pPr>
              <w:pStyle w:val="EntRefer"/>
            </w:pPr>
            <w:bookmarkStart w:id="10" w:name="CoteRev"/>
            <w:bookmarkEnd w:id="10"/>
          </w:p>
          <w:p w:rsidR="00AB1A99" w:rsidRPr="00F57F24">
            <w:pPr>
              <w:pStyle w:val="EntRefer"/>
            </w:pPr>
          </w:p>
          <w:p w:rsidR="00AB1A99">
            <w:pPr>
              <w:pStyle w:val="EntRefer"/>
              <w:tabs>
                <w:tab w:val="start" w:pos="1417"/>
              </w:tabs>
            </w:pPr>
            <w:bookmarkStart w:id="11" w:name="CoteSec"/>
            <w:bookmarkEnd w:id="11"/>
            <w:r w:rsidR="00F57F24">
              <w:fldChar w:fldCharType="begin"/>
            </w:r>
            <w:r w:rsidR="00F57F24">
              <w:instrText xml:space="preserve"> DOCVARIABLE "LWCons_CoteSec" </w:instrText>
            </w:r>
            <w:r w:rsidR="00F57F24">
              <w:fldChar w:fldCharType="separate"/>
            </w:r>
            <w:r w:rsidR="00F57F24">
              <w:t xml:space="preserve"> </w:t>
            </w:r>
            <w:r w:rsidR="00F57F24">
              <w:fldChar w:fldCharType="end"/>
            </w:r>
          </w:p>
          <w:p w:rsidR="00AB1A99">
            <w:pPr>
              <w:pStyle w:val="EntRefer"/>
            </w:pP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trHeight w:val="1000"/>
        </w:trPr>
        <w:tc>
          <w:tcPr>
            <w:tcW w:w="198.45pt" w:type="dxa"/>
            <w:vAlign w:val="center"/>
          </w:tcPr>
          <w:p w:rsidR="00AB1A99" w:rsidRPr="00F57F24" w:rsidP="00F57F24">
            <w:pPr>
              <w:pStyle w:val="EntRefer"/>
              <w:jc w:val="center"/>
              <w:rPr>
                <w:sz w:val="36"/>
                <w:u w:val="double"/>
              </w:rPr>
            </w:pPr>
            <w:bookmarkStart w:id="12" w:name="SousEmbargo"/>
            <w:bookmarkEnd w:id="12"/>
          </w:p>
        </w:tc>
        <w:tc>
          <w:tcPr>
            <w:tcW w:w="85.05pt" w:type="dxa"/>
            <w:vAlign w:val="center"/>
          </w:tcPr>
          <w:p w:rsidR="00AB1A99"/>
        </w:tc>
        <w:tc>
          <w:tcPr>
            <w:tcW w:w="198.45pt" w:type="dxa"/>
          </w:tcPr>
          <w:p w:rsidR="002E3661" w:rsidRPr="00424332" w:rsidP="002E3661">
            <w:pPr>
              <w:pStyle w:val="EntRefer"/>
            </w:pPr>
            <w:r w:rsidRPr="00424332">
              <w:rPr>
                <w:noProof/>
              </w:rPr>
              <w:t>DEVGEN 267</w:t>
            </w:r>
          </w:p>
          <w:p w:rsidR="002E3661" w:rsidRPr="00424332" w:rsidP="002E3661">
            <w:pPr>
              <w:pStyle w:val="EntRefer"/>
            </w:pPr>
            <w:r w:rsidRPr="00424332">
              <w:rPr>
                <w:noProof/>
              </w:rPr>
              <w:t>ACP 191</w:t>
            </w:r>
          </w:p>
          <w:p w:rsidR="002E3661" w:rsidRPr="00424332" w:rsidP="002E3661">
            <w:pPr>
              <w:pStyle w:val="EntRefer"/>
            </w:pPr>
            <w:r w:rsidRPr="00424332">
              <w:rPr>
                <w:noProof/>
              </w:rPr>
              <w:t>AGRI 662</w:t>
            </w:r>
          </w:p>
          <w:p w:rsidR="002E3661" w:rsidRPr="00424332" w:rsidP="002E3661">
            <w:pPr>
              <w:pStyle w:val="EntRefer"/>
            </w:pPr>
            <w:r w:rsidRPr="00424332">
              <w:rPr>
                <w:noProof/>
              </w:rPr>
              <w:t>WTO 343</w:t>
            </w:r>
          </w:p>
          <w:p w:rsidR="00AB1A99" w:rsidP="002E3661">
            <w:pPr>
              <w:pStyle w:val="EntRefer"/>
            </w:pPr>
            <w:r w:rsidRPr="00424332" w:rsidR="002E3661">
              <w:rPr>
                <w:noProof/>
              </w:rPr>
              <w:t>CODEC 1613</w:t>
            </w:r>
          </w:p>
        </w:tc>
      </w:tr>
    </w:tbl>
    <w:p w:rsidR="00AB1A99">
      <w:pPr>
        <w:pStyle w:val="Genredudocument"/>
      </w:pPr>
      <w:bookmarkStart w:id="13" w:name="AC"/>
      <w:bookmarkStart w:id="14" w:name="Title"/>
      <w:bookmarkStart w:id="15" w:name="LWCons_Title"/>
      <w:bookmarkEnd w:id="14"/>
      <w:r>
        <w:t>ATTI LEGISLATIVI ED ALTRI STRUMENTI</w:t>
      </w:r>
      <w:bookmarkEnd w:id="15"/>
    </w:p>
    <w:tbl>
      <w:tblPr>
        <w:tblStyle w:val="TableNormal"/>
        <w:tblW w:w="482pt" w:type="dxa"/>
        <w:tblBorders>
          <w:top w:val="single" w:sz="4" w:space="0" w:color="auto"/>
          <w:start w:val="none" w:sz="0" w:space="0" w:color="auto"/>
          <w:bottom w:val="single" w:sz="4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start w:w="0pt" w:type="dxa"/>
          <w:end w:w="0pt" w:type="dxa"/>
        </w:tblCellMar>
        <w:tblLook/>
      </w:tblPr>
      <w:tblGrid>
        <w:gridCol w:w="2552"/>
        <w:gridCol w:w="7088"/>
      </w:tblGrid>
      <w:tr>
        <w:tblPrEx>
          <w:tblW w:w="482pt" w:type="dxa"/>
          <w:tblBorders>
            <w:top w:val="single" w:sz="4" w:space="0" w:color="auto"/>
            <w:start w:val="none" w:sz="0" w:space="0" w:color="auto"/>
            <w:bottom w:val="single" w:sz="4" w:space="0" w:color="auto"/>
            <w:end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start w:w="0pt" w:type="dxa"/>
            <w:end w:w="0pt" w:type="dxa"/>
          </w:tblCellMar>
          <w:tblLook/>
        </w:tblPrEx>
        <w:tc>
          <w:tcPr>
            <w:tcW w:w="127.6pt" w:type="dxa"/>
          </w:tcPr>
          <w:p w:rsidR="00AB1A99">
            <w:pPr>
              <w:pStyle w:val="EntEmet"/>
            </w:pPr>
            <w:bookmarkStart w:id="16" w:name="Ref"/>
            <w:bookmarkStart w:id="17" w:name="RefDu"/>
            <w:bookmarkEnd w:id="17"/>
            <w:r>
              <w:t>Oggetto:</w:t>
            </w:r>
          </w:p>
        </w:tc>
        <w:tc>
          <w:tcPr>
            <w:tcW w:w="354.4pt" w:type="dxa"/>
          </w:tcPr>
          <w:p w:rsidR="00AB1A99" w:rsidP="00E74F49">
            <w:pPr>
              <w:pStyle w:val="EntEmet"/>
            </w:pPr>
            <w:r w:rsidR="00AA6A97">
              <w:t>REGOLAMENTO DEL PARLAMENTO EUROPEO E DEL CONSIGLIO recante modifica del regolamento (CE) n. 1905/2006 che istituisce uno strumento per il finanziamento della cooperazione allo sviluppo</w:t>
            </w:r>
          </w:p>
        </w:tc>
      </w:tr>
      <w:tr>
        <w:tblPrEx>
          <w:tblW w:w="482pt" w:type="dxa"/>
          <w:tblLayout w:type="fixed"/>
          <w:tblCellMar>
            <w:start w:w="0pt" w:type="dxa"/>
            <w:end w:w="0pt" w:type="dxa"/>
          </w:tblCellMar>
          <w:tblLook/>
        </w:tblPrEx>
        <w:tc>
          <w:tcPr>
            <w:tcW w:w="127.6pt" w:type="dxa"/>
          </w:tcPr>
          <w:p w:rsidR="00AB1A99" w:rsidRPr="00C30438" w:rsidP="00AB1A99">
            <w:pPr>
              <w:pStyle w:val="EntEmet"/>
              <w:spacing w:before="0" w:line="20" w:lineRule="exact"/>
              <w:rPr>
                <w:sz w:val="2"/>
                <w:szCs w:val="2"/>
              </w:rPr>
            </w:pPr>
          </w:p>
        </w:tc>
        <w:tc>
          <w:tcPr>
            <w:tcW w:w="354.4pt" w:type="dxa"/>
          </w:tcPr>
          <w:p w:rsidR="00AB1A99" w:rsidRPr="00C30438" w:rsidP="00AB1A99">
            <w:pPr>
              <w:pStyle w:val="EntEmet"/>
              <w:spacing w:before="0" w:line="20" w:lineRule="exact"/>
              <w:rPr>
                <w:sz w:val="2"/>
                <w:szCs w:val="2"/>
              </w:rPr>
            </w:pPr>
          </w:p>
        </w:tc>
      </w:tr>
    </w:tbl>
    <w:p w:rsidR="00E74F49" w:rsidP="00E74F49">
      <w:pPr>
        <w:pStyle w:val="NormalCentered"/>
      </w:pPr>
      <w:bookmarkStart w:id="18" w:name="RefEnDateDu"/>
      <w:bookmarkStart w:id="19" w:name="RefA"/>
      <w:bookmarkEnd w:id="13"/>
      <w:bookmarkEnd w:id="16"/>
      <w:bookmarkEnd w:id="18"/>
      <w:bookmarkEnd w:id="19"/>
      <w:r w:rsidR="00820E0E">
        <w:br/>
      </w:r>
      <w:r w:rsidRPr="00572072">
        <w:t>Progetto comune</w:t>
      </w:r>
      <w:r>
        <w:br/>
      </w:r>
      <w:r w:rsidRPr="00572072">
        <w:t>approvat</w:t>
      </w:r>
      <w:r>
        <w:t>o dal comitato di conciliazione</w:t>
        <w:br/>
      </w:r>
      <w:r w:rsidRPr="00572072">
        <w:t xml:space="preserve">di cui all'articolo 294, paragrafo </w:t>
      </w:r>
      <w:r w:rsidRPr="00572072">
        <w:t>1</w:t>
      </w:r>
      <w:r>
        <w:t>0</w:t>
      </w:r>
      <w:r w:rsidRPr="00572072">
        <w:t xml:space="preserve">, del </w:t>
      </w:r>
      <w:r>
        <w:t>trattato sul funzionamento dell'Unione europea</w:t>
      </w:r>
    </w:p>
    <w:p w:rsidR="00AB1A99" w:rsidP="00AB1A99">
      <w:pPr>
        <w:sectPr w:rsidSect="00F57F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39"/>
          <w:pgMar w:top="1134" w:right="1134" w:bottom="1134" w:left="1134" w:header="567" w:footer="567" w:gutter="0"/>
          <w:pgNumType w:start="0"/>
          <w:cols w:space="708"/>
          <w:docGrid w:linePitch="360"/>
        </w:sectPr>
      </w:pPr>
    </w:p>
    <w:p w:rsidR="00AB1A99" w:rsidP="002E3661">
      <w:pPr>
        <w:pStyle w:val="Typedudocument"/>
      </w:pPr>
      <w:r>
        <w:t xml:space="preserve">REGOLAMENTO </w:t>
      </w:r>
      <w:r w:rsidR="002E3661">
        <w:t xml:space="preserve">(UE) N. .../2011 </w:t>
        <w:br/>
      </w:r>
      <w:r>
        <w:t>DEL PARLAMENTO EUROPEO E DEL CONSIGLIO</w:t>
      </w:r>
    </w:p>
    <w:p w:rsidR="002E3661" w:rsidRPr="002E3661" w:rsidP="002E3661">
      <w:pPr>
        <w:pStyle w:val="Datedadoption"/>
      </w:pPr>
      <w:r>
        <w:t>del</w:t>
      </w:r>
    </w:p>
    <w:p w:rsidR="00AB1A99" w:rsidP="00AB1A99">
      <w:pPr>
        <w:pStyle w:val="Titreobjet"/>
      </w:pPr>
      <w:r w:rsidRPr="002E3661" w:rsidR="002E3661">
        <w:t xml:space="preserve">recante modifica del regolamento (CE) n. 1905/2006 </w:t>
      </w:r>
      <w:r w:rsidR="002E3661">
        <w:br/>
      </w:r>
      <w:r w:rsidRPr="002E3661" w:rsidR="002E3661">
        <w:t>che istituisce uno strumento per il</w:t>
      </w:r>
      <w:r w:rsidRPr="003A61B8" w:rsidR="002E3661">
        <w:t xml:space="preserve"> finanziamento della cooperazione allo sviluppo</w:t>
      </w:r>
    </w:p>
    <w:p w:rsidR="002E3661" w:rsidRPr="003A61B8" w:rsidP="002E3661">
      <w:pPr>
        <w:pStyle w:val="Institutionquiagit"/>
        <w:spacing w:after="240" w:line="240" w:lineRule="auto"/>
        <w:outlineLvl w:val="0"/>
      </w:pPr>
      <w:r w:rsidRPr="003A61B8">
        <w:t>IL PARLAMENTO EUROPEO E IL CONSIGLIO DELL’UNIONE EUROPEA,</w:t>
      </w:r>
    </w:p>
    <w:p w:rsidR="002E3661" w:rsidRPr="003A61B8" w:rsidP="002E3661">
      <w:r w:rsidRPr="003A61B8">
        <w:t>visto il trattato sul funzionamento dell’Unione europea, in particolare l’articolo 209, paragrafo 1,</w:t>
      </w:r>
    </w:p>
    <w:p w:rsidR="002E3661" w:rsidRPr="00423225" w:rsidP="002E3661">
      <w:r w:rsidRPr="00423225">
        <w:t>vista la proposta della Commissione europea,</w:t>
      </w:r>
    </w:p>
    <w:p w:rsidR="002E3661" w:rsidRPr="003A61B8" w:rsidP="002E3661">
      <w:r w:rsidRPr="003A61B8">
        <w:t>previa trasmissione del progetto di atto legislativo ai parlamenti nazionali,</w:t>
      </w:r>
    </w:p>
    <w:p w:rsidR="002E3661" w:rsidRPr="003A61B8" w:rsidP="002E3661">
      <w:r w:rsidRPr="003A61B8">
        <w:t>deliberando secondo la procedura legislativa ordinaria</w:t>
      </w:r>
      <w:r w:rsidR="00E74F49">
        <w:t xml:space="preserve">, alla luce del progetto comune approvato dal comitato di conciliazione il </w:t>
      </w:r>
      <w:r w:rsidR="000C77FC">
        <w:t>31 ottobre 2011</w:t>
      </w:r>
      <w:r>
        <w:rPr>
          <w:rStyle w:val="FootnoteReference"/>
        </w:rPr>
        <w:footnoteReference w:id="2"/>
      </w:r>
      <w:r w:rsidRPr="003A61B8">
        <w:t>,</w:t>
      </w:r>
    </w:p>
    <w:p w:rsidR="002E3661" w:rsidRPr="003A61B8" w:rsidP="002E3661">
      <w:r>
        <w:br w:type="page"/>
      </w:r>
      <w:r w:rsidRPr="003A61B8">
        <w:t>considerando quanto segue:</w:t>
      </w:r>
    </w:p>
    <w:p w:rsidR="002E3661" w:rsidRPr="003A61B8" w:rsidP="002E3661">
      <w:pPr>
        <w:pStyle w:val="ManualConsidrant"/>
      </w:pPr>
      <w:r w:rsidRPr="003A61B8">
        <w:t>(1)</w:t>
        <w:tab/>
        <w:t>La politica di sviluppo dell'Unione persegue la riduzione e, a lungo termine, l'eliminazione della povertà.</w:t>
      </w:r>
    </w:p>
    <w:p w:rsidR="002E3661" w:rsidRPr="003A61B8" w:rsidP="002E3661">
      <w:pPr>
        <w:pStyle w:val="ManualConsidrant"/>
      </w:pPr>
      <w:r w:rsidRPr="003A61B8">
        <w:t>(2)</w:t>
        <w:tab/>
        <w:t>L’Unione, quale membro dell’Organizzazione mondiale del commercio (OMC), si è impegnata ad integrare gli scambi nelle strategie di sviluppo e a promuovere il commercio internazionale per favorire lo sviluppo e la riduzione della povertà, a lungo termine eliminandola, in tutto il mondo.</w:t>
      </w:r>
    </w:p>
    <w:p w:rsidR="002E3661" w:rsidRPr="003A61B8" w:rsidP="002E3661">
      <w:pPr>
        <w:pStyle w:val="ManualConsidrant"/>
      </w:pPr>
      <w:r w:rsidRPr="003A61B8">
        <w:t>(3)</w:t>
        <w:tab/>
        <w:t>L’Unione sostiene il gruppo degli Stati dell’Africa, dei Caraibi e del Pacifico (ACP) nel cammino verso la riduzione della povertà e lo sviluppo economico e sociale sostenibile e riconosce l’importanza dei suoi settori dei prodotti di base.</w:t>
      </w:r>
    </w:p>
    <w:p w:rsidR="002E3661" w:rsidRPr="003A61B8" w:rsidP="002E3661">
      <w:pPr>
        <w:pStyle w:val="ManualConsidrant"/>
      </w:pPr>
      <w:r w:rsidRPr="003A61B8">
        <w:t>(4)</w:t>
        <w:tab/>
        <w:t>L’Unione si è impegnata a sostenere l’integrazione uniforme e graduale dei paesi in via di sviluppo nell’economia mondiale ai fini dello sviluppo sostenibile. I principali paesi ACP esportatori di banane potrebbero trovarsi a dover affrontare difficoltà causate dall’evoluzione dei regimi commerciali, specialmente la liberalizzazione della tariffa della nazione più favorita (NPF) nel quadro dell’OMC e gli accordi bilaterali e regionali conclusi, o in via di conclusione, tra l'Unione e taluni paesi dell'America latina. È pertanto opportuno aggiungere un programma di misure di accompagnamento nel settore bananiero degli ACP ("programma</w:t>
      </w:r>
      <w:r w:rsidR="009C7010">
        <w:t xml:space="preserve"> BAM</w:t>
      </w:r>
      <w:r w:rsidRPr="003A61B8">
        <w:t>") al regolamento (CE) n. 1905/2006 del Parlamento europeo e del Consiglio</w:t>
      </w:r>
      <w:r>
        <w:rPr>
          <w:rStyle w:val="FootnoteReference"/>
        </w:rPr>
        <w:footnoteReference w:id="3"/>
      </w:r>
      <w:r w:rsidRPr="003A61B8">
        <w:t>.</w:t>
      </w:r>
    </w:p>
    <w:p w:rsidR="002E3661" w:rsidRPr="003A61B8" w:rsidP="002E3661">
      <w:pPr>
        <w:pStyle w:val="ManualConsidrant"/>
      </w:pPr>
      <w:r>
        <w:br w:type="page"/>
      </w:r>
      <w:r w:rsidRPr="003A61B8">
        <w:t>(5)</w:t>
        <w:tab/>
        <w:t xml:space="preserve">È opportuno che le misure di assistenza finanziaria da adottare nell’ambito del programma </w:t>
      </w:r>
      <w:r w:rsidR="009C7010">
        <w:t xml:space="preserve">BAM </w:t>
      </w:r>
      <w:r w:rsidRPr="003A61B8">
        <w:t>migliorino il livello e le condizioni di vita delle popolazioni che vivono nelle zone della coltura bananiera e ricavano un reddito dalle catene di valore del settore della banana, più specificamente i piccoli coltivatori e le piccole imprese, nonché che garantiscano il rispetto delle norme in materia di sanità, sicurezza del lavoro e protezione dell'ambiente, in particolare quelle che riguardano l'impiego dei pesticidi e l'esposizione agli stessi. Tali misure dovrebbero pertanto facilitare l’adeguamento e includere, se del caso, la riorganizzazione delle aree che dipendono dalle esportazioni di banane verso l'Unione europea mediante un sostegno settoriale al bilancio o interventi specifici per progetto. È opportuno che le misure prendano in considerazione lo sviluppo previsto del settore delle esportazioni di banane e prevedano politiche di resilienza sociale, una diversificazione economica o investimenti volti a migliorare la competitività, ove ciò risulti attuabile, tenendo conto dei risultati conseguiti e delle esperienze acquisite attraverso il sistema speciale di assistenza (SSA) in favore dei fornitori tradizionali ACP di banane, istituito a norma del regolamento (CE) n. 2686/94 del Consiglio</w:t>
      </w:r>
      <w:r>
        <w:rPr>
          <w:rStyle w:val="FootnoteReference"/>
        </w:rPr>
        <w:footnoteReference w:id="4"/>
      </w:r>
      <w:r w:rsidRPr="003A61B8">
        <w:t>, e la disciplina speciale per l’assistenza (RSA) ai fornitori ACP tradizionali di banane, istituita a norma del regolamento (CE) n. 856/1999 del Consiglio</w:t>
      </w:r>
      <w:r>
        <w:rPr>
          <w:rStyle w:val="FootnoteReference"/>
        </w:rPr>
        <w:footnoteReference w:id="5"/>
      </w:r>
      <w:r w:rsidRPr="003A61B8">
        <w:t>, e del regolamento (CE) n. 1609/1999 della Commissione</w:t>
      </w:r>
      <w:r>
        <w:rPr>
          <w:rStyle w:val="FootnoteReference"/>
        </w:rPr>
        <w:footnoteReference w:id="6"/>
      </w:r>
      <w:r w:rsidRPr="003A61B8">
        <w:t>. L'Unione riconosce l'importanza di promuovere una più equa distribuzione dei redditi delle banane.</w:t>
      </w:r>
    </w:p>
    <w:p w:rsidR="002E3661" w:rsidRPr="003A61B8" w:rsidP="002E3661">
      <w:pPr>
        <w:pStyle w:val="ManualConsidrant"/>
      </w:pPr>
      <w:r w:rsidRPr="003A61B8">
        <w:br w:type="page"/>
        <w:t>(6)</w:t>
        <w:tab/>
        <w:t xml:space="preserve">Il programma </w:t>
      </w:r>
      <w:r w:rsidR="009C7010">
        <w:t xml:space="preserve">BAM </w:t>
      </w:r>
      <w:r w:rsidRPr="003A61B8">
        <w:t>dovrebbe accompagnare il processo di adeguamento nei paesi ACP che hanno esportato volumi significativi di banane verso l'Unione negli ultimi anni e che potrebbero risentire della liberalizzazione nel quadro dell’accordo di Ginevra sul commercio delle banane</w:t>
      </w:r>
      <w:r>
        <w:rPr>
          <w:rStyle w:val="FootnoteReference"/>
        </w:rPr>
        <w:footnoteReference w:id="7"/>
      </w:r>
      <w:r w:rsidRPr="003A61B8">
        <w:t xml:space="preserve"> o a seguito degli accordi bilaterali o regionali conclusi, o in via di conclusione, tra l'Unione e taluni paesi dell'America latina. Il programma </w:t>
      </w:r>
      <w:r w:rsidR="009C7010">
        <w:t xml:space="preserve">BAM </w:t>
      </w:r>
      <w:r w:rsidRPr="003A61B8">
        <w:t>si fonda sulla RSA ai fornitori ACP tradizionali di banane. Esso è conforme agli obblighi internazionali dell’Unione nell’ambito dell’OMC, persegue un obiettivo di ristrutturazione e di miglioramento della competitività ed ha quindi carattere temporaneo, con una durata di tre anni (2011-2013).</w:t>
      </w:r>
    </w:p>
    <w:p w:rsidR="002E3661" w:rsidRPr="003A61B8" w:rsidP="002E3661">
      <w:pPr>
        <w:pStyle w:val="ManualConsidrant"/>
      </w:pPr>
      <w:r w:rsidRPr="003A61B8">
        <w:t>(7)</w:t>
        <w:tab/>
        <w:t>Secondo le conclusioni della comunicazione della Commissione, del 17 marzo 2010, intitolata "Relazione biennale sulla disciplina speciale di assistenza a favore dei fornitori ACP tradizionali di banane", i precedenti programmi di assistenza hanno fornito un sostanziale contributo al concreto miglioramento della capacità di diversificazione economica, benché non sia ancora possibile quantificare l'impatto esatto, e il carattere sostenibile delle esportazioni di banane dagli ACP permanga fragile.</w:t>
      </w:r>
    </w:p>
    <w:p w:rsidR="002E3661" w:rsidRPr="003A61B8" w:rsidP="002E3661">
      <w:pPr>
        <w:pStyle w:val="ManualConsidrant"/>
      </w:pPr>
      <w:r w:rsidRPr="003A61B8">
        <w:t>(8)</w:t>
        <w:tab/>
        <w:t>La Commissione ha proceduto a una valutazione del programma RSA, senza realizzare alcuna analisi d'impatto delle misure di accompagnamento nel settore della banana.</w:t>
      </w:r>
    </w:p>
    <w:p w:rsidR="002E3661" w:rsidRPr="003A61B8" w:rsidP="002E3661">
      <w:pPr>
        <w:pStyle w:val="ManualConsidrant"/>
      </w:pPr>
      <w:r w:rsidRPr="003A61B8">
        <w:t>(9)</w:t>
        <w:tab/>
        <w:t>La Commissione dovrebbe curare il coordinamento effettivo di tale programma con i programmi indicativi regionali e nazionali in atto nei paesi beneficiari, in particolare per quanto riguarda la realizzazione degli obiettivi in materia economica, agricola, sociale e ambientale.</w:t>
      </w:r>
    </w:p>
    <w:p w:rsidR="002E3661" w:rsidRPr="003A61B8" w:rsidP="002E3661">
      <w:pPr>
        <w:pStyle w:val="ManualConsidrant"/>
      </w:pPr>
      <w:r>
        <w:br w:type="page"/>
      </w:r>
      <w:r w:rsidRPr="003A61B8">
        <w:t>(10)</w:t>
        <w:tab/>
        <w:t>Circa il 2% del commercio mondiale di banane è certificato da organizzazioni di produttori partecipanti al commercio equo. I prezzi minimi del commercio equo sono fissati sulla base del calcolo dei "costi sostenibili di produzione", determinati a seguito di una consultazione delle parti interessate al fine di internalizzare i costi di allineamento a norme sociali e ambientali decenti e di generare un profitto ragionevole mediante il quale i produttori possano investire nella stabilità di lungo termine della loro attività.</w:t>
      </w:r>
    </w:p>
    <w:p w:rsidR="002E3661" w:rsidRPr="003A61B8" w:rsidP="002E3661">
      <w:pPr>
        <w:pStyle w:val="ManualConsidrant"/>
      </w:pPr>
      <w:r w:rsidRPr="003A61B8">
        <w:t>(11)</w:t>
        <w:tab/>
        <w:t>Per evitare lo sfruttamento dei lavoratori locali, gli attori nella filiera di produzione del settore bananiero dovrebbero accordarsi su una ripartizione equa dei redditi generati dal settore.</w:t>
      </w:r>
    </w:p>
    <w:p w:rsidR="002E3661" w:rsidRPr="003A61B8" w:rsidP="002E3661">
      <w:pPr>
        <w:pStyle w:val="ManualConsidrant"/>
      </w:pPr>
      <w:r w:rsidRPr="003A61B8">
        <w:t>(12)</w:t>
        <w:tab/>
        <w:t xml:space="preserve">È </w:t>
      </w:r>
      <w:r w:rsidRPr="003A61B8" w:rsidR="009C7010">
        <w:t xml:space="preserve">pertanto </w:t>
      </w:r>
      <w:r w:rsidRPr="003A61B8">
        <w:t>opportuno modificare di conseguenza il regolamento (CE) n. 1905/2006,</w:t>
      </w:r>
    </w:p>
    <w:p w:rsidR="002E3661" w:rsidRPr="003A61B8" w:rsidP="002E3661">
      <w:pPr>
        <w:pStyle w:val="Formuledadoption"/>
      </w:pPr>
      <w:r w:rsidRPr="002E3661">
        <w:t>HANNO</w:t>
      </w:r>
      <w:r w:rsidRPr="003A61B8">
        <w:t xml:space="preserve"> ADOTTATO IL PRESENTE REGOLAMENTO:</w:t>
      </w:r>
    </w:p>
    <w:p w:rsidR="002E3661" w:rsidRPr="002E3661" w:rsidP="002E3661">
      <w:pPr>
        <w:pStyle w:val="Titrearticle"/>
      </w:pPr>
      <w:r w:rsidRPr="003A61B8">
        <w:br w:type="page"/>
      </w:r>
      <w:r w:rsidRPr="002E3661">
        <w:t>Articolo 1</w:t>
      </w:r>
    </w:p>
    <w:p w:rsidR="002E3661" w:rsidRPr="00423225" w:rsidP="002E3661">
      <w:r w:rsidRPr="00423225">
        <w:t>Il regolamento (CE) n. 1905/2006 è così modificato:</w:t>
      </w:r>
    </w:p>
    <w:p w:rsidR="002E3661" w:rsidRPr="003A61B8" w:rsidP="007F4B2F">
      <w:pPr>
        <w:pStyle w:val="Point0"/>
      </w:pPr>
      <w:r w:rsidRPr="003A61B8">
        <w:t>1)</w:t>
        <w:tab/>
        <w:t>l’articolo 4 è sostituito dal seguente:</w:t>
      </w:r>
    </w:p>
    <w:p w:rsidR="002E3661" w:rsidRPr="003A61B8" w:rsidP="002E3661">
      <w:pPr>
        <w:pStyle w:val="Text1"/>
      </w:pPr>
      <w:r w:rsidRPr="003A61B8">
        <w:t>"</w:t>
      </w:r>
      <w:r w:rsidRPr="002E3661">
        <w:rPr>
          <w:i/>
        </w:rPr>
        <w:t>Articolo 4</w:t>
        <w:br/>
        <w:t>Attuazione dell'assistenza dell'Unione</w:t>
      </w:r>
    </w:p>
    <w:p w:rsidR="002E3661" w:rsidRPr="003A61B8" w:rsidP="002E3661">
      <w:pPr>
        <w:pStyle w:val="Text1"/>
      </w:pPr>
      <w:r w:rsidRPr="003A61B8">
        <w:t>Coerentemente con le finalità globali, il campo d’applicazione, gli obiettivi e i principi generali del presente regolamento, l’assistenza dell’Unione è attuata tramite i programmi geografici e tematici di cui agli articoli da 5 a 16 e i programmi di cui agli articoli 17 e 17 bis.";</w:t>
      </w:r>
    </w:p>
    <w:p w:rsidR="002E3661" w:rsidRPr="003A61B8" w:rsidP="007F4B2F">
      <w:pPr>
        <w:pStyle w:val="Point0"/>
      </w:pPr>
      <w:r>
        <w:br w:type="page"/>
      </w:r>
      <w:r w:rsidRPr="003A61B8">
        <w:t>2)</w:t>
        <w:tab/>
        <w:t>è inserito l'articolo seguente:</w:t>
      </w:r>
    </w:p>
    <w:p w:rsidR="002E3661" w:rsidRPr="003A61B8" w:rsidP="002E3661">
      <w:pPr>
        <w:pStyle w:val="Text1"/>
      </w:pPr>
      <w:r w:rsidRPr="003A61B8">
        <w:t>"</w:t>
      </w:r>
      <w:r w:rsidRPr="002E3661">
        <w:rPr>
          <w:i/>
        </w:rPr>
        <w:t xml:space="preserve">Articolo 17 bis </w:t>
        <w:br/>
        <w:t>Principali paesi ACP fornitori di banane</w:t>
      </w:r>
    </w:p>
    <w:p w:rsidR="002E3661" w:rsidRPr="003A61B8" w:rsidP="002E3661">
      <w:pPr>
        <w:pStyle w:val="Point1"/>
      </w:pPr>
      <w:r w:rsidRPr="003A61B8">
        <w:t>1.</w:t>
        <w:tab/>
      </w:r>
      <w:r w:rsidRPr="002E3661">
        <w:t>I</w:t>
      </w:r>
      <w:r w:rsidRPr="003A61B8">
        <w:t xml:space="preserve"> paesi ACP fornitori di banane elencati nell’allegato III bis beneficiano di </w:t>
      </w:r>
      <w:r w:rsidR="009C7010">
        <w:t xml:space="preserve">un programma di </w:t>
      </w:r>
      <w:r w:rsidRPr="003A61B8">
        <w:t>misure di accompagnamento nel settore bananiero</w:t>
      </w:r>
      <w:r w:rsidR="00897935">
        <w:t xml:space="preserve"> ("</w:t>
      </w:r>
      <w:r w:rsidR="009C7010">
        <w:t>programma BAM")</w:t>
      </w:r>
      <w:r w:rsidRPr="003A61B8">
        <w:t xml:space="preserve">. </w:t>
      </w:r>
    </w:p>
    <w:p w:rsidR="002E3661" w:rsidRPr="003A61B8" w:rsidP="002E3661">
      <w:pPr>
        <w:pStyle w:val="Point2"/>
      </w:pPr>
      <w:r w:rsidRPr="003A61B8">
        <w:t>a)</w:t>
        <w:tab/>
        <w:t>Obiettivi generali</w:t>
      </w:r>
    </w:p>
    <w:p w:rsidR="002E3661" w:rsidRPr="003A61B8" w:rsidP="002E3661">
      <w:pPr>
        <w:pStyle w:val="Point3"/>
      </w:pPr>
      <w:r w:rsidRPr="003A61B8">
        <w:t xml:space="preserve">L’assistenza dell’Unione a tali paesi intende: </w:t>
      </w:r>
    </w:p>
    <w:p w:rsidR="002E3661" w:rsidRPr="003A61B8" w:rsidP="002E3661">
      <w:pPr>
        <w:pStyle w:val="Point3"/>
      </w:pPr>
      <w:r w:rsidRPr="003A61B8">
        <w:t>i)</w:t>
        <w:tab/>
        <w:t xml:space="preserve">sostenere il processo di adeguamento alla liberalizzazione del mercato delle banane dell’Unione nel quadro dell’OMC; </w:t>
      </w:r>
    </w:p>
    <w:p w:rsidR="002E3661" w:rsidRPr="003A61B8" w:rsidP="002E3661">
      <w:pPr>
        <w:pStyle w:val="Point3"/>
      </w:pPr>
      <w:r w:rsidRPr="003A61B8">
        <w:t>ii)</w:t>
        <w:tab/>
        <w:t>lottare contro la povertà, migliorando il livello e le condizioni di vita degli agricoltori e delle persone interessate.</w:t>
      </w:r>
    </w:p>
    <w:p w:rsidR="002E3661" w:rsidRPr="003A61B8" w:rsidP="002E3661">
      <w:pPr>
        <w:pStyle w:val="Point2"/>
      </w:pPr>
      <w:r w:rsidRPr="003A61B8">
        <w:t>b)</w:t>
        <w:tab/>
        <w:t>Priorità generali</w:t>
      </w:r>
    </w:p>
    <w:p w:rsidR="002E3661" w:rsidRPr="003A61B8" w:rsidP="002E3661">
      <w:pPr>
        <w:pStyle w:val="Text3"/>
      </w:pPr>
      <w:r w:rsidRPr="003A61B8">
        <w:t>L’assistenza dell’Unione tiene conto delle politiche e delle strategie di adeguamento dei paesi in questione, nonché del loro ambiente regionale (in termini di prossimità alle regioni ultraperiferiche dell'Unione e ai paesi e territori d'oltremare) e riguarda uno o più dei seguenti ambiti di cooperazione:</w:t>
      </w:r>
    </w:p>
    <w:p w:rsidR="002E3661" w:rsidRPr="003A61B8" w:rsidP="002E3661">
      <w:pPr>
        <w:pStyle w:val="Point3"/>
      </w:pPr>
      <w:r>
        <w:br w:type="page"/>
        <w:t>i)</w:t>
        <w:tab/>
      </w:r>
      <w:r w:rsidRPr="003A61B8">
        <w:t>far fronte, in particolare nelle comunità locali e nei gruppi maggiormente vulnerabili all'interno di esse, alle ripercussioni più generali del processo di adeguamento collegate all’occupazione e ai servizi sociali, allo sfruttamento dei terreni e al recupero ambientale, ma non limitate a tali settori.</w:t>
      </w:r>
    </w:p>
    <w:p w:rsidR="002E3661" w:rsidRPr="003A61B8" w:rsidP="002E3661">
      <w:pPr>
        <w:pStyle w:val="Point3"/>
      </w:pPr>
      <w:r w:rsidRPr="003A61B8">
        <w:t>ii)</w:t>
        <w:tab/>
        <w:t>promuovere la diversificazione economica delle aree che dipendono dalle banane, qualora una tale strategia sia praticabile;</w:t>
      </w:r>
    </w:p>
    <w:p w:rsidR="002E3661" w:rsidRPr="003A61B8" w:rsidP="002E3661">
      <w:pPr>
        <w:pStyle w:val="Point3"/>
      </w:pPr>
      <w:r w:rsidRPr="003A61B8">
        <w:t>iii)</w:t>
        <w:tab/>
        <w:t>accrescere la competitività del settore delle esportazioni di banane, laddove ciò risulti sostenibile, tenendo conto della situazione delle diverse parti interessate della catena.</w:t>
      </w:r>
    </w:p>
    <w:p w:rsidR="002E3661" w:rsidRPr="003A61B8" w:rsidP="002E3661">
      <w:pPr>
        <w:pStyle w:val="Text3"/>
      </w:pPr>
      <w:r w:rsidRPr="003A61B8">
        <w:t>I programmi promuovono il rispetto delle norme in materia di lavoro e di sicurezza nonché delle norme ambientali, comprese quelle relative all’impiego di pesticidi e all’esposizione agli stessi.</w:t>
      </w:r>
    </w:p>
    <w:p w:rsidR="002E3661" w:rsidRPr="003A61B8" w:rsidP="002E3661">
      <w:pPr>
        <w:pStyle w:val="Point2"/>
      </w:pPr>
      <w:r w:rsidRPr="003A61B8">
        <w:t>c)</w:t>
        <w:tab/>
        <w:t>Risultati generali previsti</w:t>
      </w:r>
    </w:p>
    <w:p w:rsidR="002E3661" w:rsidRPr="003A61B8" w:rsidP="002E3661">
      <w:pPr>
        <w:pStyle w:val="Text3"/>
      </w:pPr>
      <w:r w:rsidRPr="003A61B8">
        <w:t xml:space="preserve">I risultati dell'assistenza </w:t>
      </w:r>
      <w:r w:rsidR="009C7010">
        <w:t>sono</w:t>
      </w:r>
      <w:r w:rsidRPr="003A61B8">
        <w:t xml:space="preserve"> conformi agli obiettivi enunciati </w:t>
      </w:r>
      <w:r w:rsidR="009C7010">
        <w:t>alla</w:t>
      </w:r>
      <w:r w:rsidRPr="003A61B8">
        <w:t xml:space="preserve"> lettera a)</w:t>
      </w:r>
      <w:r w:rsidR="009C7010">
        <w:t xml:space="preserve"> del presente paragrafo</w:t>
      </w:r>
      <w:r w:rsidRPr="003A61B8">
        <w:t>. In particolare, e in cooperazione con i paesi beneficiari, l'assistenza dell'Unione mira a conseguire risultati nei settori sociale, ambientale ed economico.</w:t>
      </w:r>
    </w:p>
    <w:p w:rsidR="002E3661" w:rsidRPr="003A61B8" w:rsidP="002E3661">
      <w:pPr>
        <w:pStyle w:val="Point1"/>
      </w:pPr>
      <w:r>
        <w:br w:type="page"/>
      </w:r>
      <w:r w:rsidRPr="003A61B8">
        <w:t>2.</w:t>
        <w:tab/>
        <w:t>Nei limiti dell’importo di cui all’allegato IV, la Commissione fissa l’importo massimo indicativo disponibile per ciascun paese ACP fornitore di banane di cui al paragrafo 1 del presente articolo, sulla base dei seguenti criteri:</w:t>
      </w:r>
    </w:p>
    <w:p w:rsidR="002E3661" w:rsidRPr="003A61B8" w:rsidP="002E3661">
      <w:pPr>
        <w:pStyle w:val="Point2"/>
      </w:pPr>
      <w:r w:rsidRPr="003A61B8">
        <w:t>a)</w:t>
        <w:tab/>
        <w:t xml:space="preserve">il volume del commercio di banane con l'Unione, laddove importazioni </w:t>
      </w:r>
      <w:r w:rsidR="00397967">
        <w:t>dell'Unione</w:t>
      </w:r>
      <w:r w:rsidRPr="003A61B8" w:rsidR="00397967">
        <w:t xml:space="preserve"> </w:t>
      </w:r>
      <w:r w:rsidRPr="003A61B8">
        <w:t xml:space="preserve">più elevate dal paese ACP interessato </w:t>
      </w:r>
      <w:r w:rsidR="00D21D8E">
        <w:t>incideranno</w:t>
      </w:r>
      <w:r w:rsidRPr="003A61B8" w:rsidR="00423225">
        <w:t xml:space="preserve"> </w:t>
      </w:r>
      <w:r w:rsidRPr="003A61B8">
        <w:t xml:space="preserve">positivamente sull'assegnazione. Tale criterio è basato sulle dimensioni del settore delle esportazioni di banane verso </w:t>
      </w:r>
      <w:r w:rsidRPr="003A61B8" w:rsidR="00397967">
        <w:t>l'U</w:t>
      </w:r>
      <w:r w:rsidR="00397967">
        <w:t>nione</w:t>
      </w:r>
      <w:r w:rsidRPr="003A61B8" w:rsidR="00397967">
        <w:t xml:space="preserve"> </w:t>
      </w:r>
      <w:r w:rsidRPr="003A61B8">
        <w:t>nei diversi paesi.</w:t>
      </w:r>
      <w:r>
        <w:t xml:space="preserve"> </w:t>
      </w:r>
      <w:r w:rsidR="00D21D8E">
        <w:t>Sarà</w:t>
      </w:r>
      <w:r w:rsidRPr="003A61B8" w:rsidR="00423225">
        <w:t xml:space="preserve"> </w:t>
      </w:r>
      <w:r w:rsidRPr="003A61B8">
        <w:t xml:space="preserve">presa in considerazione la media dei tre maggiori tonnellaggi annuali di banane che </w:t>
      </w:r>
      <w:r w:rsidRPr="003A61B8" w:rsidR="00397967">
        <w:t>l'U</w:t>
      </w:r>
      <w:r w:rsidR="00397967">
        <w:t>nione</w:t>
      </w:r>
      <w:r w:rsidRPr="003A61B8" w:rsidR="00397967">
        <w:t xml:space="preserve"> </w:t>
      </w:r>
      <w:r w:rsidRPr="003A61B8">
        <w:t xml:space="preserve">ha importato da ciascun paese beneficiario ammissibile negli ultimi cinque anni precedenti al 2010; </w:t>
      </w:r>
    </w:p>
    <w:p w:rsidR="002E3661" w:rsidRPr="003A61B8" w:rsidP="002E3661">
      <w:pPr>
        <w:pStyle w:val="Point2"/>
      </w:pPr>
      <w:r w:rsidRPr="003A61B8">
        <w:t>b)</w:t>
        <w:tab/>
        <w:t xml:space="preserve">l'importanza delle esportazioni di banane nell'Unione per l'economia, laddove livelli di importanza più elevati nel paese ACP interessato </w:t>
      </w:r>
      <w:r w:rsidR="00D21D8E">
        <w:t>incideranno</w:t>
      </w:r>
      <w:r w:rsidRPr="003A61B8" w:rsidR="00423225">
        <w:t xml:space="preserve"> </w:t>
      </w:r>
      <w:r w:rsidRPr="003A61B8">
        <w:t xml:space="preserve">positivamente sull'assegnazione. Tale criterio </w:t>
      </w:r>
      <w:r w:rsidR="00D21D8E">
        <w:t xml:space="preserve">sarà </w:t>
      </w:r>
      <w:r w:rsidRPr="003A61B8">
        <w:t xml:space="preserve">misurato prendendo il valore delle importazioni </w:t>
      </w:r>
      <w:r w:rsidR="00397967">
        <w:t>dell'Unione</w:t>
      </w:r>
      <w:r w:rsidRPr="003A61B8" w:rsidR="00397967">
        <w:t xml:space="preserve"> </w:t>
      </w:r>
      <w:r w:rsidRPr="003A61B8">
        <w:t>di banane da ciascun paese beneficiario ammissibile in percentuale del reddito nazionale lordo (RNL) del paese beneficiario negli ultimi tre anni precedenti al 2010 per i quali si dispone di dati;</w:t>
      </w:r>
    </w:p>
    <w:p w:rsidR="002E3661" w:rsidRPr="003A61B8" w:rsidP="002E3661">
      <w:pPr>
        <w:pStyle w:val="Point2"/>
      </w:pPr>
      <w:r>
        <w:br w:type="page"/>
      </w:r>
      <w:r w:rsidRPr="003A61B8">
        <w:t>c)</w:t>
        <w:tab/>
        <w:t xml:space="preserve">il livello di sviluppo, laddove livelli di sviluppo più bassi, quali figurano nell'indice di sviluppo umano (HDI) elaborato dalle Nazioni Unite, nel paese </w:t>
      </w:r>
      <w:r w:rsidRPr="003A61B8">
        <w:rPr>
          <w:caps/>
        </w:rPr>
        <w:t>A</w:t>
      </w:r>
      <w:r w:rsidRPr="003A61B8">
        <w:t xml:space="preserve">CP interessato </w:t>
      </w:r>
      <w:r w:rsidR="00D21D8E">
        <w:t>incideranno</w:t>
      </w:r>
      <w:r w:rsidRPr="003A61B8" w:rsidR="00423225">
        <w:t xml:space="preserve"> </w:t>
      </w:r>
      <w:r w:rsidRPr="003A61B8">
        <w:t xml:space="preserve">positivamente sull'assegnazione. Questo criterio </w:t>
      </w:r>
      <w:r w:rsidR="00D21D8E">
        <w:t>sarà</w:t>
      </w:r>
      <w:r w:rsidRPr="003A61B8" w:rsidR="00423225">
        <w:t xml:space="preserve"> </w:t>
      </w:r>
      <w:r w:rsidRPr="003A61B8">
        <w:t>misurato sulla base dell'HDI medio nel periodo 2005-2007, per il quale le Nazioni Unite hanno utilizzato la stessa metodologia.</w:t>
      </w:r>
    </w:p>
    <w:p w:rsidR="002E3661" w:rsidRPr="003A61B8" w:rsidP="002E3661">
      <w:pPr>
        <w:pStyle w:val="Text2"/>
      </w:pPr>
      <w:r w:rsidRPr="003A61B8">
        <w:t>La fissazione dei criteri di assegnazione si basa sui dati rappresentativi precedenti al 2011 e relativi a un periodo non superiore a cinque anni. Le assegnazioni indicative per paese terranno conto nello stesso modo dei tre criteri</w:t>
      </w:r>
      <w:r>
        <w:t xml:space="preserve"> </w:t>
      </w:r>
      <w:r w:rsidRPr="003A61B8">
        <w:t xml:space="preserve">per tutti i paesi beneficiari ammissibili. </w:t>
      </w:r>
    </w:p>
    <w:p w:rsidR="002E3661" w:rsidRPr="003A61B8" w:rsidP="002E3661">
      <w:pPr>
        <w:pStyle w:val="Text2"/>
      </w:pPr>
      <w:r w:rsidRPr="003A61B8">
        <w:t xml:space="preserve">Sulla base dell'applicazione dei criteri di cui sopra, la Commissione </w:t>
      </w:r>
      <w:r w:rsidR="00D21D8E">
        <w:t>i</w:t>
      </w:r>
      <w:r w:rsidR="000C77FC">
        <w:t>n</w:t>
      </w:r>
      <w:r w:rsidR="00D21D8E">
        <w:t>formerà</w:t>
      </w:r>
      <w:r w:rsidRPr="003A61B8" w:rsidR="00423225">
        <w:t xml:space="preserve"> </w:t>
      </w:r>
      <w:r w:rsidRPr="003A61B8">
        <w:t xml:space="preserve">il Parlamento europeo e il Consiglio circa la destinazione degli stanziamenti finanziari indicativi di cui all'allegato IV anteriormente all'adozione delle strategie pluriennali di sostegno citate nel </w:t>
      </w:r>
      <w:r w:rsidR="00397967">
        <w:t>paragrafo</w:t>
      </w:r>
      <w:r w:rsidRPr="003A61B8" w:rsidR="00397967">
        <w:t xml:space="preserve"> </w:t>
      </w:r>
      <w:r w:rsidRPr="003A61B8">
        <w:t>3</w:t>
      </w:r>
      <w:r w:rsidR="00397967">
        <w:t xml:space="preserve"> del presente articolo</w:t>
      </w:r>
      <w:r w:rsidRPr="003A61B8">
        <w:t xml:space="preserve">. Tali informazioni </w:t>
      </w:r>
      <w:r w:rsidRPr="003A61B8" w:rsidR="00D21D8E">
        <w:t>indic</w:t>
      </w:r>
      <w:r w:rsidR="00D21D8E">
        <w:t>heranno</w:t>
      </w:r>
      <w:r w:rsidRPr="003A61B8" w:rsidR="00D21D8E">
        <w:t xml:space="preserve"> </w:t>
      </w:r>
      <w:r w:rsidRPr="003A61B8">
        <w:t>l’importo massimo indicativo disponibile per ciascun paese ACP fornitore di banane ammissibile.</w:t>
      </w:r>
    </w:p>
    <w:p w:rsidR="002E3661" w:rsidRPr="003A61B8" w:rsidP="002E3661">
      <w:pPr>
        <w:pStyle w:val="Point1"/>
      </w:pPr>
      <w:r w:rsidRPr="003A61B8">
        <w:t>3.</w:t>
        <w:tab/>
        <w:t>La Commissione adotta strategie pluriennali di sostegno per analogia con l’articolo 19 e in conformità dell’articolo 21. Essa garantisce che tali strategie integrino i documenti di strategia geografici dei paesi in questione, nonché il carattere temporaneo delle misure di accompagnamento nel settore bananiero.</w:t>
      </w:r>
    </w:p>
    <w:p w:rsidR="002E3661" w:rsidRPr="003A61B8" w:rsidP="002E3661">
      <w:pPr>
        <w:pStyle w:val="Text2"/>
      </w:pPr>
      <w:r>
        <w:br w:type="page"/>
      </w:r>
      <w:r w:rsidRPr="003A61B8">
        <w:t>Le strategie di sostegno pluriennali per le misure di accompagnamento nel settore bananiero includono:</w:t>
      </w:r>
    </w:p>
    <w:p w:rsidR="002E3661" w:rsidRPr="003A61B8" w:rsidP="002E3661">
      <w:pPr>
        <w:pStyle w:val="Point2"/>
      </w:pPr>
      <w:r w:rsidRPr="003A61B8">
        <w:t>a)</w:t>
        <w:tab/>
        <w:t>un profilo ambientale aggiornato che tenga debitamente conto del settore bananiero del paese interessato, focalizzando l'attenzione tra l'altro sui pesticidi;</w:t>
      </w:r>
    </w:p>
    <w:p w:rsidR="002E3661" w:rsidRPr="003A61B8" w:rsidP="002E3661">
      <w:pPr>
        <w:pStyle w:val="Point2"/>
      </w:pPr>
      <w:r w:rsidRPr="003A61B8">
        <w:t>b)</w:t>
        <w:tab/>
        <w:t>informazioni sui risultati ottenuti durante i precedenti programmi di sostegno alla banana;</w:t>
      </w:r>
    </w:p>
    <w:p w:rsidR="002E3661" w:rsidRPr="003A61B8" w:rsidP="002E3661">
      <w:pPr>
        <w:pStyle w:val="Point2"/>
      </w:pPr>
      <w:r w:rsidRPr="003A61B8">
        <w:t>c)</w:t>
        <w:tab/>
        <w:t>indicatori che permettano di valutare i progressi realizzati in ordine alle condizioni di erogazione, quando la forma di finanziamento prescelta è il sostegno al bilancio;</w:t>
      </w:r>
    </w:p>
    <w:p w:rsidR="002E3661" w:rsidRPr="003A61B8" w:rsidP="002E3661">
      <w:pPr>
        <w:pStyle w:val="Point2"/>
      </w:pPr>
      <w:r w:rsidRPr="003A61B8">
        <w:t>d)</w:t>
        <w:tab/>
        <w:t>i risultati attesi grazie all'aiuto;</w:t>
      </w:r>
    </w:p>
    <w:p w:rsidR="002E3661" w:rsidRPr="003A61B8" w:rsidP="002E3661">
      <w:pPr>
        <w:pStyle w:val="Point2"/>
      </w:pPr>
      <w:r w:rsidRPr="003A61B8">
        <w:t>e)</w:t>
        <w:tab/>
        <w:t>un calendario delle attività di sostegno e delle previsioni di erogazione;</w:t>
      </w:r>
    </w:p>
    <w:p w:rsidR="002E3661" w:rsidRPr="003A61B8" w:rsidP="002E3661">
      <w:pPr>
        <w:pStyle w:val="Point2"/>
      </w:pPr>
      <w:r w:rsidRPr="003A61B8">
        <w:t>f)</w:t>
        <w:tab/>
        <w:t>la maniera in cui saranno realizzati e monitorati i progressi nel rispetto delle principali norme internazionalmente riconosciute dell'OIL e delle pertinenti convenzioni concernenti la sicurezza e la salute sul lavoro nonché delle principali norme ambientali convenute a livello internazionale.</w:t>
      </w:r>
    </w:p>
    <w:p w:rsidR="002E3661" w:rsidRPr="003A61B8" w:rsidP="002E3661">
      <w:pPr>
        <w:pStyle w:val="Text2"/>
      </w:pPr>
      <w:r>
        <w:br w:type="page"/>
      </w:r>
      <w:r w:rsidR="00897935">
        <w:t>Nell'ambito</w:t>
      </w:r>
      <w:r w:rsidRPr="003A61B8">
        <w:t xml:space="preserve"> del</w:t>
      </w:r>
      <w:r w:rsidR="00E84F41">
        <w:t xml:space="preserve"> </w:t>
      </w:r>
      <w:r w:rsidRPr="003A61B8">
        <w:t>quadro finanziario pluriennale</w:t>
      </w:r>
      <w:r w:rsidR="00E84F41">
        <w:t xml:space="preserve"> per il periodo 2007-2013</w:t>
      </w:r>
      <w:r w:rsidRPr="003A61B8">
        <w:t>,</w:t>
      </w:r>
      <w:r w:rsidR="00E84F41">
        <w:t xml:space="preserve"> istituito dall'accordo interistituzionale del 17 marzo 2006 tra il Parlamento Europeo, il Consiglio e la Commissione </w:t>
      </w:r>
      <w:r w:rsidRPr="00E84F41" w:rsidR="00E84F41">
        <w:t>sulla disciplina di bilancio e la sana gestione finanziaria</w:t>
      </w:r>
      <w:r>
        <w:rPr>
          <w:rStyle w:val="FootnoteReference"/>
        </w:rPr>
        <w:footnoteReference w:id="8"/>
      </w:r>
      <w:r w:rsidRPr="003A61B8">
        <w:t xml:space="preserve"> il programma </w:t>
      </w:r>
      <w:r w:rsidR="00E84F41">
        <w:t>BAM</w:t>
      </w:r>
      <w:r w:rsidRPr="003A61B8">
        <w:t xml:space="preserve"> e i progressi fatti dai paesi interessati formano oggetto di una valutazione che comprende raccomandazioni sulle eventuali azioni da intraprendere e il loro carattere.";</w:t>
      </w:r>
    </w:p>
    <w:p w:rsidR="002E3661" w:rsidRPr="003A61B8" w:rsidP="007F4B2F">
      <w:pPr>
        <w:pStyle w:val="Point0"/>
      </w:pPr>
      <w:r w:rsidRPr="003A61B8">
        <w:t>3)</w:t>
        <w:tab/>
        <w:t>l’articolo 21 è sostituito dal seguente:</w:t>
      </w:r>
    </w:p>
    <w:p w:rsidR="002E3661" w:rsidRPr="003A61B8" w:rsidP="002E3661">
      <w:pPr>
        <w:pStyle w:val="Text1"/>
      </w:pPr>
      <w:r w:rsidRPr="003A61B8">
        <w:t>"</w:t>
      </w:r>
      <w:r w:rsidRPr="002E3661">
        <w:rPr>
          <w:i/>
        </w:rPr>
        <w:t>Articolo 21</w:t>
        <w:br/>
        <w:t>Adozione di documenti di strategia e di programmi indicativi pluriennali</w:t>
      </w:r>
    </w:p>
    <w:p w:rsidR="002E3661" w:rsidP="002E3661">
      <w:pPr>
        <w:pStyle w:val="Text1"/>
      </w:pPr>
      <w:r w:rsidRPr="003A61B8">
        <w:t xml:space="preserve">I documenti di strategia e i programmi indicativi pluriennali di cui agli articoli 19 e 20, e le eventuali relative revisioni di cui all’articolo 19, paragrafo 2, e all’articolo 20, paragrafo 1, nonché le misure di accompagnamento di cui rispettivamente agli articoli 17 e 17 bis sono adottati dalla Commissione secondo la procedura di cui all’articolo 35, paragrafo 2"; </w:t>
      </w:r>
    </w:p>
    <w:p w:rsidR="002E3661" w:rsidRPr="003A61B8" w:rsidP="007F4B2F">
      <w:pPr>
        <w:pStyle w:val="Point0"/>
      </w:pPr>
      <w:r w:rsidR="00B47A9C">
        <w:t>4</w:t>
      </w:r>
      <w:r w:rsidRPr="003A61B8">
        <w:t>)</w:t>
        <w:tab/>
        <w:t>all’articolo 29, il paragrafo 1 è sostituito dal seguente:</w:t>
      </w:r>
    </w:p>
    <w:p w:rsidR="002E3661" w:rsidRPr="003A61B8" w:rsidP="002E3661">
      <w:pPr>
        <w:pStyle w:val="Point1"/>
      </w:pPr>
      <w:r w:rsidRPr="003A61B8">
        <w:t>"1.</w:t>
        <w:tab/>
        <w:t>Gli impegni di bilancio sono assunti in base a decisioni prese dalla Commissione ai sensi dell’articolo 17 bis, paragrafo 3, dell’articolo 22, paragrafo 1, dell’articolo 23, paragrafo 1 e dell’articolo 26, paragrafo 1.";</w:t>
      </w:r>
    </w:p>
    <w:p w:rsidR="002E3661" w:rsidRPr="003A61B8" w:rsidP="007F4B2F">
      <w:pPr>
        <w:pStyle w:val="Point0"/>
      </w:pPr>
      <w:r w:rsidR="00B47A9C">
        <w:br w:type="page"/>
        <w:t>5</w:t>
      </w:r>
      <w:r w:rsidRPr="003A61B8">
        <w:t>)</w:t>
        <w:tab/>
        <w:t>all’articolo 31, paragrafo 1, il terzo comma è sostituito dal seguente:</w:t>
      </w:r>
    </w:p>
    <w:p w:rsidR="002E3661" w:rsidRPr="003A61B8" w:rsidP="002E3661">
      <w:pPr>
        <w:pStyle w:val="Text1"/>
      </w:pPr>
      <w:r w:rsidRPr="003A61B8">
        <w:t>"La partecipazione all’aggiudicazione degli appalti o dei contratti di sovvenzione finanziati nell’ambito di un programma tematico di cui agli articoli da 11 a 16, nonché dei programmi di cui agli articoli 17 e 17 bis, è aperta a tutte le persone fisiche aventi la cittadinanza di un paese in via di sviluppo, quale definito dall’OCSE/DAC e nell’allegato II, nonché a tutte le persone giuridiche stabilite in un siffatto paese, oltre alle persone fisiche o giuridiche già ammissibili in virtù del rispettivo programma tematico o dei programmi di cui agli articoli 17 e 17 bis. La Commissione pubblica e aggiorna l’allegato II conformemente alle revisioni periodiche dell’elenco dei beneficiari degli aiuti dell’OCSE/DAC e ne informa il Consiglio.";</w:t>
      </w:r>
    </w:p>
    <w:p w:rsidR="002E3661" w:rsidRPr="003A61B8" w:rsidP="007F4B2F">
      <w:pPr>
        <w:pStyle w:val="Point0"/>
      </w:pPr>
      <w:r w:rsidR="00B47A9C">
        <w:t>6</w:t>
      </w:r>
      <w:r w:rsidRPr="003A61B8">
        <w:t>)</w:t>
        <w:tab/>
        <w:t xml:space="preserve">all’articolo 38, i paragrafi 1 e 2 sono sostituiti dai seguenti: </w:t>
      </w:r>
    </w:p>
    <w:p w:rsidR="002E3661" w:rsidRPr="003A61B8" w:rsidP="002E3661">
      <w:pPr>
        <w:pStyle w:val="Point1"/>
      </w:pPr>
      <w:r w:rsidRPr="003A61B8">
        <w:t>"1.</w:t>
        <w:tab/>
        <w:t xml:space="preserve">L’importo finanziario di riferimento per l’attuazione del presente regolamento per il periodo 2007-2013 ammonta a 17 087 milioni </w:t>
      </w:r>
      <w:r w:rsidR="00423225">
        <w:t xml:space="preserve">di </w:t>
      </w:r>
      <w:r w:rsidRPr="003A61B8">
        <w:t>EUR.</w:t>
      </w:r>
    </w:p>
    <w:p w:rsidR="002E3661" w:rsidRPr="003A61B8" w:rsidP="002E3661">
      <w:pPr>
        <w:pStyle w:val="Point1"/>
      </w:pPr>
      <w:r w:rsidRPr="003A61B8">
        <w:t>2.</w:t>
        <w:tab/>
        <w:t>Gli importi indicativi stanziati per ciascun programma di cui agli articoli da 5 a 10, da 11 a 16, 17 e 17 bis sono riportati nell’allegato IV. Tali importi sono fissati per il periodo 2007-2013.";</w:t>
      </w:r>
    </w:p>
    <w:p w:rsidR="002E3661" w:rsidRPr="003A61B8" w:rsidP="007F4B2F">
      <w:pPr>
        <w:pStyle w:val="Point0"/>
      </w:pPr>
      <w:r>
        <w:br w:type="page"/>
      </w:r>
      <w:r w:rsidR="00B47A9C">
        <w:t>7</w:t>
      </w:r>
      <w:r w:rsidRPr="003A61B8">
        <w:t>)</w:t>
        <w:tab/>
        <w:t>è inserito l’allegato III bis, che figura nell’allegato I del presente regolamento;</w:t>
      </w:r>
    </w:p>
    <w:p w:rsidR="002E3661" w:rsidRPr="003A61B8" w:rsidP="007F4B2F">
      <w:pPr>
        <w:pStyle w:val="Point0"/>
      </w:pPr>
      <w:r w:rsidR="00B47A9C">
        <w:t>8</w:t>
      </w:r>
      <w:r w:rsidRPr="003A61B8">
        <w:t>)</w:t>
        <w:tab/>
        <w:t>l’allegato IV è sostituito dal testo dell’allegato II del presente regolamento.</w:t>
      </w:r>
    </w:p>
    <w:p w:rsidR="002E3661" w:rsidRPr="002E3661" w:rsidP="002E3661">
      <w:pPr>
        <w:pStyle w:val="Titrearticle"/>
      </w:pPr>
      <w:r w:rsidRPr="002E3661">
        <w:t>Articolo 2</w:t>
      </w:r>
    </w:p>
    <w:p w:rsidR="002E3661" w:rsidRPr="00423225" w:rsidP="002E3661">
      <w:r w:rsidRPr="002E3661">
        <w:t>Il presente regolamento entra in vigore il giorno successivo alla pubblicazione nella Gazzetta</w:t>
      </w:r>
      <w:r w:rsidRPr="00423225">
        <w:rPr>
          <w:i/>
          <w:iCs/>
        </w:rPr>
        <w:t xml:space="preserve"> ufficiale dell</w:t>
      </w:r>
      <w:r w:rsidRPr="00423225">
        <w:t>’</w:t>
      </w:r>
      <w:r w:rsidRPr="00423225">
        <w:rPr>
          <w:i/>
          <w:iCs/>
        </w:rPr>
        <w:t>Unione europea</w:t>
      </w:r>
      <w:r w:rsidRPr="00423225">
        <w:t>.</w:t>
      </w:r>
    </w:p>
    <w:p w:rsidR="002E3661" w:rsidRPr="003A61B8" w:rsidP="002E3661">
      <w:pPr>
        <w:pStyle w:val="Applicationdirecte"/>
      </w:pPr>
      <w:r w:rsidRPr="003A61B8">
        <w:t>Il presente regolamento è obbligatorio in tutti i suoi elementi e direttamente applicabile in ciascuno degli Stati membri.</w:t>
      </w:r>
    </w:p>
    <w:p w:rsidR="002E3661" w:rsidRPr="003A61B8" w:rsidP="002E3661">
      <w:pPr>
        <w:pStyle w:val="Fait"/>
      </w:pPr>
      <w:r w:rsidRPr="002E3661">
        <w:t>Fatto</w:t>
      </w:r>
      <w:r w:rsidRPr="003A61B8">
        <w:t xml:space="preserve"> a</w:t>
      </w:r>
      <w:r w:rsidR="00897935">
        <w:t>, il</w:t>
      </w:r>
    </w:p>
    <w:p w:rsidR="002E3661" w:rsidRPr="003A61B8" w:rsidP="002E3661">
      <w:pPr>
        <w:pStyle w:val="Institutionquisigne"/>
      </w:pPr>
      <w:r w:rsidRPr="003A61B8">
        <w:t>Per il Parlamento europeo</w:t>
        <w:tab/>
        <w:t>Per il Consiglio</w:t>
      </w:r>
    </w:p>
    <w:p w:rsidR="002E3661" w:rsidRPr="003A61B8" w:rsidP="002E3661">
      <w:pPr>
        <w:pStyle w:val="Personnequisigne"/>
      </w:pPr>
      <w:r w:rsidRPr="003A61B8">
        <w:t xml:space="preserve">Il </w:t>
      </w:r>
      <w:r w:rsidRPr="002E3661">
        <w:t>presidente</w:t>
      </w:r>
      <w:r w:rsidRPr="003A61B8">
        <w:tab/>
        <w:t>Il presidente</w:t>
      </w:r>
    </w:p>
    <w:p w:rsidR="002E3661" w:rsidRPr="003A61B8" w:rsidP="002E3661">
      <w:pPr>
        <w:pStyle w:val="Lignefinal"/>
      </w:pPr>
    </w:p>
    <w:p w:rsidR="002E3661" w:rsidRPr="003A61B8" w:rsidP="002E3661">
      <w:pPr>
        <w:sectPr w:rsidSect="00F57F24">
          <w:footerReference w:type="default" r:id="rId12"/>
          <w:footerReference w:type="first" r:id="rId13"/>
          <w:footnotePr>
            <w:numRestart w:val="eachPage"/>
          </w:foot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:rsidR="002E3661" w:rsidRPr="002E3661" w:rsidP="002E3661">
      <w:pPr>
        <w:pStyle w:val="Annexetitreacte"/>
      </w:pPr>
      <w:r w:rsidRPr="002E3661">
        <w:t>ALLEGATO I</w:t>
      </w:r>
    </w:p>
    <w:p w:rsidR="002E3661" w:rsidRPr="003A61B8" w:rsidP="002E3661">
      <w:pPr>
        <w:pStyle w:val="NormalCentered"/>
      </w:pPr>
      <w:r w:rsidRPr="003A61B8">
        <w:t xml:space="preserve">"ALLEGATO III bis </w:t>
        <w:br/>
        <w:t>Principali paesi ACP fornitori di banane</w:t>
      </w:r>
    </w:p>
    <w:p w:rsidR="002E3661" w:rsidRPr="003A61B8" w:rsidP="002E3661">
      <w:pPr>
        <w:pStyle w:val="Point0"/>
      </w:pPr>
      <w:r w:rsidRPr="003A61B8">
        <w:t>1.</w:t>
        <w:tab/>
        <w:t>Belize</w:t>
      </w:r>
    </w:p>
    <w:p w:rsidR="002E3661" w:rsidRPr="003A61B8" w:rsidP="002E3661">
      <w:pPr>
        <w:pStyle w:val="Point0"/>
      </w:pPr>
      <w:r w:rsidRPr="003A61B8">
        <w:t>2.</w:t>
        <w:tab/>
        <w:t>Camerun</w:t>
      </w:r>
    </w:p>
    <w:p w:rsidR="002E3661" w:rsidRPr="003A61B8" w:rsidP="002E3661">
      <w:pPr>
        <w:pStyle w:val="Point0"/>
      </w:pPr>
      <w:r w:rsidRPr="003A61B8">
        <w:t>3.</w:t>
        <w:tab/>
        <w:t>Costa d'Avorio</w:t>
      </w:r>
    </w:p>
    <w:p w:rsidR="002E3661" w:rsidRPr="003A61B8" w:rsidP="002E3661">
      <w:pPr>
        <w:pStyle w:val="Point0"/>
      </w:pPr>
      <w:r w:rsidRPr="003A61B8">
        <w:t>4.</w:t>
        <w:tab/>
        <w:t>Dominica</w:t>
      </w:r>
    </w:p>
    <w:p w:rsidR="002E3661" w:rsidRPr="003A61B8" w:rsidP="002E3661">
      <w:pPr>
        <w:pStyle w:val="Point0"/>
      </w:pPr>
      <w:r w:rsidRPr="003A61B8">
        <w:t>5.</w:t>
        <w:tab/>
        <w:t>Repubblica dominicana</w:t>
      </w:r>
    </w:p>
    <w:p w:rsidR="002E3661" w:rsidRPr="003A61B8" w:rsidP="002E3661">
      <w:pPr>
        <w:pStyle w:val="Point0"/>
      </w:pPr>
      <w:r w:rsidRPr="003A61B8">
        <w:t>6.</w:t>
        <w:tab/>
        <w:t>Ghana</w:t>
      </w:r>
    </w:p>
    <w:p w:rsidR="002E3661" w:rsidRPr="003A61B8" w:rsidP="002E3661">
      <w:pPr>
        <w:pStyle w:val="Point0"/>
      </w:pPr>
      <w:r w:rsidRPr="003A61B8">
        <w:t>7.</w:t>
        <w:tab/>
        <w:t>Giamaica</w:t>
      </w:r>
    </w:p>
    <w:p w:rsidR="002E3661" w:rsidRPr="003A61B8" w:rsidP="002E3661">
      <w:pPr>
        <w:pStyle w:val="Point0"/>
      </w:pPr>
      <w:r w:rsidRPr="003A61B8">
        <w:t>8.</w:t>
        <w:tab/>
        <w:t>Santa Lucia</w:t>
      </w:r>
    </w:p>
    <w:p w:rsidR="002E3661" w:rsidRPr="00423225" w:rsidP="002E3661">
      <w:pPr>
        <w:pStyle w:val="Point0"/>
      </w:pPr>
      <w:r w:rsidRPr="00423225">
        <w:t>9.</w:t>
        <w:tab/>
        <w:t>Saint Vincent e Grenadine</w:t>
      </w:r>
    </w:p>
    <w:p w:rsidR="002E3661" w:rsidRPr="00423225" w:rsidP="00B47A9C">
      <w:pPr>
        <w:pStyle w:val="Point0"/>
      </w:pPr>
      <w:r w:rsidRPr="00423225">
        <w:t>10.</w:t>
        <w:tab/>
        <w:t>Suriname"</w:t>
      </w:r>
      <w:r w:rsidR="000C77FC">
        <w:t>.</w:t>
      </w:r>
    </w:p>
    <w:p w:rsidR="002E3661" w:rsidRPr="00423225" w:rsidP="002E3661">
      <w:pPr>
        <w:pStyle w:val="Lignefinal"/>
      </w:pPr>
    </w:p>
    <w:p w:rsidR="002E3661" w:rsidP="002E3661">
      <w:pPr>
        <w:sectPr w:rsidSect="00F57F24">
          <w:footerReference w:type="default" r:id="rId14"/>
          <w:footerReference w:type="first" r:id="rId15"/>
          <w:footnotePr>
            <w:numRestart w:val="eachPage"/>
          </w:footnotePr>
          <w:pgSz w:w="11907" w:h="1683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2E3661" w:rsidRPr="003A61B8" w:rsidP="002E3661">
      <w:pPr>
        <w:pStyle w:val="Annexetitre"/>
      </w:pPr>
      <w:r w:rsidRPr="003A61B8">
        <w:t>ALLEGATO II</w:t>
      </w:r>
    </w:p>
    <w:p w:rsidR="002E3661" w:rsidRPr="003A61B8" w:rsidP="002E3661">
      <w:pPr>
        <w:pStyle w:val="NormalCentered"/>
      </w:pPr>
      <w:r w:rsidRPr="003A61B8">
        <w:t>"ALLEGATO IV</w:t>
        <w:br/>
        <w:t>Dotazioni finanziarie indicative per il periodo 2007-2013 (milioni di EUR)</w:t>
      </w:r>
    </w:p>
    <w:tbl>
      <w:tblPr>
        <w:tblStyle w:val="TableNormal"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Column="1" w:firstRow="1" w:lastColumn="1" w:lastRow="1"/>
      </w:tblPr>
      <w:tblGrid>
        <w:gridCol w:w="6241"/>
        <w:gridCol w:w="1144"/>
      </w:tblGrid>
      <w:tr>
        <w:tblPrEx>
          <w:tblW w:w="0pt" w:type="auto"/>
          <w:jc w:val="center"/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17 087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 geografici: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10 057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 latina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 centrale</w:t>
            </w:r>
          </w:p>
        </w:tc>
        <w:tc>
          <w:tcPr>
            <w:tcW w:w="57.2pt" w:type="dxa"/>
          </w:tcPr>
          <w:p w:rsidR="002E3661" w:rsidRPr="00897935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 Oriente</w:t>
            </w:r>
          </w:p>
        </w:tc>
        <w:tc>
          <w:tcPr>
            <w:tcW w:w="57.2pt" w:type="dxa"/>
          </w:tcPr>
          <w:p w:rsidR="002E3661" w:rsidRPr="00423225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Sudafrica</w:t>
            </w:r>
          </w:p>
        </w:tc>
        <w:tc>
          <w:tcPr>
            <w:tcW w:w="57.2pt" w:type="dxa"/>
          </w:tcPr>
          <w:p w:rsidR="002E3661" w:rsidRPr="00423225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 tematici: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5 596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Investimento nelle persone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Ambiente e gestione sostenibile delle risorse naturali</w:t>
            </w:r>
          </w:p>
        </w:tc>
        <w:tc>
          <w:tcPr>
            <w:tcW w:w="57.2pt" w:type="dxa"/>
          </w:tcPr>
          <w:p w:rsidR="002E3661" w:rsidRPr="00897935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Attori non statali e autorità locali nello sviluppo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Sicurezza alimentare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Migrazione e asilo</w:t>
            </w:r>
          </w:p>
        </w:tc>
        <w:tc>
          <w:tcPr>
            <w:tcW w:w="57.2pt" w:type="dxa"/>
          </w:tcPr>
          <w:p w:rsidR="002E3661" w:rsidRPr="00423225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Paesi ACP aderenti al protocollo dello zucchero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2E3661" w:rsidRPr="003A61B8" w:rsidP="002E3661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Principali paesi ACP fornitori di banane</w:t>
            </w:r>
          </w:p>
        </w:tc>
        <w:tc>
          <w:tcPr>
            <w:tcW w:w="57.2pt" w:type="dxa"/>
          </w:tcPr>
          <w:p w:rsidR="002E3661" w:rsidRPr="003A61B8" w:rsidP="00423225">
            <w:pPr>
              <w:widowControl/>
              <w:tabs>
                <w:tab w:val="clear" w:pos="9923"/>
              </w:tabs>
              <w:spacing w:before="0" w:after="240" w:line="240" w:lineRule="auto"/>
              <w:ind w:start="0"/>
              <w:jc w:val="en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</w:tbl>
    <w:p w:rsidR="000B3B7C" w:rsidP="00B46AE9">
      <w:pPr>
        <w:tabs>
          <w:tab w:val="start" w:pos="8760"/>
        </w:tabs>
      </w:pPr>
      <w:r w:rsidR="00B46AE9">
        <w:tab/>
        <w:t>"</w:t>
      </w:r>
    </w:p>
    <w:p w:rsidR="00B46AE9" w:rsidRPr="000735F0" w:rsidP="00B46AE9">
      <w:pPr>
        <w:pStyle w:val="Lignefinal"/>
      </w:pPr>
    </w:p>
    <w:sectPr w:rsidSect="00F57F24">
      <w:footerReference w:type="default" r:id="rId16"/>
      <w:footerReference w:type="first" r:id="rId17"/>
      <w:footnotePr>
        <w:numRestart w:val="eachPage"/>
      </w:footnotePr>
      <w:pgSz w:w="11907" w:h="1683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20007A87" w:usb1="80000000" w:usb2="00000008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characterSet="iso-8859-1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9BB" w:rsidRPr="00F57F24" w:rsidP="00F57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P="00F57F24">
    <w:pPr>
      <w:pStyle w:val="Footer"/>
      <w:pBdr>
        <w:bottom w:val="single" w:sz="4" w:space="0" w:color="auto"/>
      </w:pBdr>
      <w:spacing w:after="60"/>
    </w:pPr>
  </w:p>
  <w:p w:rsidR="00F57F24" w:rsidP="00F57F24">
    <w:pPr>
      <w:pStyle w:val="Footer"/>
    </w:pPr>
    <w:r>
      <w:t>PE-CONS 59/11</w:t>
      <w:tab/>
      <w:tab/>
      <w:t>KPE/gma</w:t>
      <w:tab/>
    </w:r>
  </w:p>
  <w:p w:rsidR="000569BB" w:rsidRPr="00F57F24" w:rsidP="00F57F24">
    <w:pPr>
      <w:pStyle w:val="Footer"/>
      <w:tabs>
        <w:tab w:val="clear" w:pos="7370"/>
        <w:tab w:val="end" w:pos="8787"/>
      </w:tabs>
    </w:pPr>
    <w:r w:rsidRPr="00F57F24" w:rsidR="00F57F24">
      <w:tab/>
      <w:t>DQPG</w:t>
      <w:tab/>
    </w:r>
    <w:r w:rsidR="00F57F24">
      <w:rPr>
        <w:b/>
        <w:position w:val="-4"/>
        <w:sz w:val="36"/>
      </w:rPr>
      <w:tab/>
    </w:r>
    <w:r w:rsidRPr="00F57F24" w:rsidR="00F57F24">
      <w:rPr>
        <w:b/>
        <w:position w:val="-4"/>
        <w:sz w:val="36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9BB" w:rsidRPr="00F57F24" w:rsidP="00F57F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P="00F57F24">
    <w:pPr>
      <w:pStyle w:val="Footer"/>
      <w:pBdr>
        <w:bottom w:val="single" w:sz="4" w:space="0" w:color="auto"/>
      </w:pBdr>
      <w:spacing w:after="60"/>
    </w:pPr>
  </w:p>
  <w:p w:rsidR="00F57F24" w:rsidP="00F57F24">
    <w:pPr>
      <w:pStyle w:val="Footer"/>
    </w:pPr>
    <w:r>
      <w:t>PE-CONS 59/11</w:t>
      <w:tab/>
      <w:tab/>
      <w:t>KPE/gma</w:t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F57F24" w:rsidRPr="00F57F24" w:rsidP="00F57F24">
    <w:pPr>
      <w:pStyle w:val="Footer"/>
      <w:tabs>
        <w:tab w:val="clear" w:pos="7370"/>
        <w:tab w:val="end" w:pos="8787"/>
      </w:tabs>
    </w:pPr>
    <w:r w:rsidRPr="00F57F24">
      <w:tab/>
      <w:t>DQPG</w:t>
      <w:tab/>
    </w:r>
    <w:r>
      <w:rPr>
        <w:b/>
        <w:position w:val="-4"/>
        <w:sz w:val="36"/>
      </w:rPr>
      <w:tab/>
    </w:r>
    <w:r w:rsidRPr="00F57F24">
      <w:rPr>
        <w:b/>
        <w:position w:val="-4"/>
        <w:sz w:val="36"/>
      </w:rPr>
      <w:t>IT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RPr="00F57F24" w:rsidP="00F57F2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P="00F57F24">
    <w:pPr>
      <w:pStyle w:val="Footer"/>
      <w:pBdr>
        <w:bottom w:val="single" w:sz="4" w:space="0" w:color="auto"/>
      </w:pBdr>
      <w:spacing w:after="60"/>
    </w:pPr>
  </w:p>
  <w:p w:rsidR="00F57F24" w:rsidP="00F57F24">
    <w:pPr>
      <w:pStyle w:val="Footer"/>
    </w:pPr>
    <w:r>
      <w:t>PE-CONS 59/11</w:t>
      <w:tab/>
      <w:tab/>
      <w:t>KPE/gma</w:t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57F24" w:rsidRPr="00F57F24" w:rsidP="00F57F24">
    <w:pPr>
      <w:pStyle w:val="Footer"/>
      <w:tabs>
        <w:tab w:val="clear" w:pos="7370"/>
        <w:tab w:val="end" w:pos="8787"/>
      </w:tabs>
    </w:pPr>
    <w:r>
      <w:t>ALLEGATO I</w:t>
    </w:r>
    <w:r w:rsidRPr="00F57F24">
      <w:tab/>
      <w:t>DQPG</w:t>
      <w:tab/>
    </w:r>
    <w:r>
      <w:rPr>
        <w:b/>
        <w:position w:val="-4"/>
        <w:sz w:val="36"/>
      </w:rPr>
      <w:tab/>
    </w:r>
    <w:r w:rsidRPr="00F57F24">
      <w:rPr>
        <w:b/>
        <w:position w:val="-4"/>
        <w:sz w:val="36"/>
      </w:rPr>
      <w:t>IT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RPr="00F57F24" w:rsidP="00F57F2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P="00F57F24">
    <w:pPr>
      <w:pStyle w:val="Footer"/>
      <w:pBdr>
        <w:bottom w:val="single" w:sz="4" w:space="0" w:color="auto"/>
      </w:pBdr>
      <w:spacing w:after="60"/>
    </w:pPr>
  </w:p>
  <w:p w:rsidR="00F57F24" w:rsidP="00F57F24">
    <w:pPr>
      <w:pStyle w:val="Footer"/>
    </w:pPr>
    <w:r>
      <w:t>PE-CONS 59/11</w:t>
      <w:tab/>
      <w:tab/>
      <w:t>KPE/gma</w:t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57F24" w:rsidRPr="00F57F24" w:rsidP="00F57F24">
    <w:pPr>
      <w:pStyle w:val="Footer"/>
      <w:tabs>
        <w:tab w:val="clear" w:pos="7370"/>
        <w:tab w:val="end" w:pos="8787"/>
      </w:tabs>
    </w:pPr>
    <w:r>
      <w:t>ALLEGATO II</w:t>
    </w:r>
    <w:r w:rsidRPr="00F57F24">
      <w:tab/>
      <w:t>DQPG</w:t>
      <w:tab/>
    </w:r>
    <w:r>
      <w:rPr>
        <w:b/>
        <w:position w:val="-4"/>
        <w:sz w:val="36"/>
      </w:rPr>
      <w:tab/>
    </w:r>
    <w:r w:rsidRPr="00F57F24">
      <w:rPr>
        <w:b/>
        <w:position w:val="-4"/>
        <w:sz w:val="36"/>
      </w:rPr>
      <w:t>IT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7F24" w:rsidRPr="00F57F24" w:rsidP="00F5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335F">
      <w:r>
        <w:separator/>
      </w:r>
    </w:p>
  </w:footnote>
  <w:footnote w:type="continuationSeparator" w:id="1">
    <w:p w:rsidR="00C2335F">
      <w:r>
        <w:continuationSeparator/>
      </w:r>
    </w:p>
  </w:footnote>
  <w:footnote w:id="2">
    <w:p w:rsidR="000569BB" w:rsidRPr="003A61B8" w:rsidP="002E3661">
      <w:pPr>
        <w:pStyle w:val="FootnoteText"/>
      </w:pPr>
      <w:r w:rsidRPr="003A61B8">
        <w:rPr>
          <w:rStyle w:val="FootnoteReference"/>
        </w:rPr>
        <w:footnoteRef/>
      </w:r>
      <w:r w:rsidRPr="003A61B8">
        <w:tab/>
        <w:t>Posizione del Parlamento europeo del 21 ottobre 2010 (non ancora pubblicata nella Gazzetta ufficiale) e posizione del Consiglio in prima l</w:t>
      </w:r>
      <w:r>
        <w:t>ettura del 10 dicembre 2010 (GU </w:t>
      </w:r>
      <w:r w:rsidRPr="003A61B8">
        <w:t>C</w:t>
      </w:r>
      <w:r>
        <w:t> </w:t>
      </w:r>
      <w:r w:rsidRPr="003A61B8">
        <w:t>7 E del 12.1.2011, pag. 17). Posizione del Parlamento europeo del 3 febbraio 2011 (non ancora pubblicata nella Gazzetta ufficiale) e posizione del Consiglio in seconda lettura del 19 luglio 2011.</w:t>
      </w:r>
      <w:r>
        <w:t xml:space="preserve"> Risoluzione legislativa del Parlamento europeo del ... (non ancora pubblicata nella Gazzetta ufficiale) e decisione del Consiglio del ...</w:t>
      </w:r>
    </w:p>
  </w:footnote>
  <w:footnote w:id="3">
    <w:p w:rsidR="000569BB" w:rsidRPr="003A61B8" w:rsidP="002E3661">
      <w:pPr>
        <w:pStyle w:val="FootnoteText"/>
      </w:pPr>
      <w:r w:rsidRPr="00FD0EF2">
        <w:rPr>
          <w:rStyle w:val="FootnoteReference"/>
        </w:rPr>
        <w:footnoteRef/>
      </w:r>
      <w:r w:rsidRPr="003A61B8">
        <w:tab/>
        <w:t>GU L 378 del 27.12.2006, pag. 41.</w:t>
      </w:r>
    </w:p>
  </w:footnote>
  <w:footnote w:id="4">
    <w:p w:rsidR="000569BB" w:rsidRPr="003A61B8" w:rsidP="002E3661">
      <w:pPr>
        <w:pStyle w:val="FootnoteText"/>
      </w:pPr>
      <w:r w:rsidRPr="00FD0EF2">
        <w:rPr>
          <w:rStyle w:val="FootnoteReference"/>
        </w:rPr>
        <w:footnoteRef/>
      </w:r>
      <w:r w:rsidRPr="003A61B8">
        <w:tab/>
        <w:t>GU L 286 del 5.11.1994, pag. 1.</w:t>
      </w:r>
    </w:p>
  </w:footnote>
  <w:footnote w:id="5">
    <w:p w:rsidR="000569BB" w:rsidRPr="003A61B8" w:rsidP="002E3661">
      <w:pPr>
        <w:pStyle w:val="FootnoteText"/>
      </w:pPr>
      <w:r w:rsidRPr="00FD0EF2">
        <w:rPr>
          <w:rStyle w:val="FootnoteReference"/>
        </w:rPr>
        <w:footnoteRef/>
      </w:r>
      <w:r w:rsidRPr="003A61B8">
        <w:tab/>
        <w:t>GU L 108 del 27.4.1999, pag. 2.</w:t>
      </w:r>
    </w:p>
  </w:footnote>
  <w:footnote w:id="6">
    <w:p w:rsidR="000569BB" w:rsidRPr="003A61B8" w:rsidP="002E3661">
      <w:pPr>
        <w:pStyle w:val="FootnoteText"/>
      </w:pPr>
      <w:r w:rsidRPr="00FD0EF2">
        <w:rPr>
          <w:rStyle w:val="FootnoteReference"/>
        </w:rPr>
        <w:footnoteRef/>
      </w:r>
      <w:r w:rsidRPr="003A61B8">
        <w:tab/>
        <w:t>GU L 190 del 23.7.1999, pag. 14.</w:t>
      </w:r>
    </w:p>
  </w:footnote>
  <w:footnote w:id="7">
    <w:p w:rsidR="000569BB" w:rsidRPr="003A61B8" w:rsidP="002E3661">
      <w:pPr>
        <w:pStyle w:val="FootnoteText"/>
      </w:pPr>
      <w:r w:rsidRPr="00FD0EF2">
        <w:rPr>
          <w:rStyle w:val="FootnoteReference"/>
        </w:rPr>
        <w:footnoteRef/>
      </w:r>
      <w:r w:rsidRPr="003A61B8">
        <w:tab/>
        <w:t>GU L 141 del 9.6.2010, pag. 3.</w:t>
      </w:r>
    </w:p>
  </w:footnote>
  <w:footnote w:id="8">
    <w:p w:rsidR="000569BB" w:rsidRPr="00E84F4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ab/>
        <w:t>GU C 139 del 14.6.2006, pag.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9BB" w:rsidRPr="00F57F24" w:rsidP="00F57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9BB" w:rsidRPr="00F57F24" w:rsidP="00F57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9BB" w:rsidRPr="00F57F24" w:rsidP="00F5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D"/>
    <w:multiLevelType w:val="singleLevel"/>
    <w:tmpl w:val="6C381ED0"/>
    <w:lvl w:ilvl="0">
      <w:start w:val="1"/>
      <w:numFmt w:val="decimal"/>
      <w:pStyle w:val="ListNumber4"/>
      <w:lvlText w:val="%1."/>
      <w:lvlJc w:val="start"/>
      <w:pPr>
        <w:tabs>
          <w:tab w:val="num" w:pos="1209"/>
        </w:tabs>
        <w:ind w:start="1209" w:hanging="360"/>
      </w:pPr>
    </w:lvl>
  </w:abstractNum>
  <w:abstractNum w:abstractNumId="1">
    <w:nsid w:val="FFFFFF7E"/>
    <w:multiLevelType w:val="singleLevel"/>
    <w:tmpl w:val="15F22E72"/>
    <w:lvl w:ilvl="0">
      <w:start w:val="1"/>
      <w:numFmt w:val="decimal"/>
      <w:pStyle w:val="ListNumber3"/>
      <w:lvlText w:val="%1."/>
      <w:lvlJc w:val="start"/>
      <w:pPr>
        <w:tabs>
          <w:tab w:val="num" w:pos="926"/>
        </w:tabs>
        <w:ind w:start="926" w:hanging="360"/>
      </w:pPr>
    </w:lvl>
  </w:abstractNum>
  <w:abstractNum w:abstractNumId="2">
    <w:nsid w:val="FFFFFF7F"/>
    <w:multiLevelType w:val="singleLevel"/>
    <w:tmpl w:val="DFDCBC24"/>
    <w:lvl w:ilvl="0">
      <w:start w:val="1"/>
      <w:numFmt w:val="decimal"/>
      <w:pStyle w:val="ListNumber2"/>
      <w:lvlText w:val="%1."/>
      <w:lvlJc w:val="start"/>
      <w:pPr>
        <w:tabs>
          <w:tab w:val="num" w:pos="643"/>
        </w:tabs>
        <w:ind w:start="643" w:hanging="360"/>
      </w:pPr>
    </w:lvl>
  </w:abstractNum>
  <w:abstractNum w:abstractNumId="3">
    <w:nsid w:val="FFFFFF81"/>
    <w:multiLevelType w:val="singleLevel"/>
    <w:tmpl w:val="6324C230"/>
    <w:lvl w:ilvl="0">
      <w:start w:val="1"/>
      <w:numFmt w:val="bullet"/>
      <w:pStyle w:val="ListBullet4"/>
      <w:lvlText w:val=""/>
      <w:lvlJc w:val="start"/>
      <w:pPr>
        <w:tabs>
          <w:tab w:val="num" w:pos="1209"/>
        </w:tabs>
        <w:ind w:star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4647F4"/>
    <w:lvl w:ilvl="0">
      <w:start w:val="1"/>
      <w:numFmt w:val="bullet"/>
      <w:pStyle w:val="ListBullet3"/>
      <w:lvlText w:val=""/>
      <w:lvlJc w:val="start"/>
      <w:pPr>
        <w:tabs>
          <w:tab w:val="num" w:pos="926"/>
        </w:tabs>
        <w:ind w:star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8C460A"/>
    <w:lvl w:ilvl="0">
      <w:start w:val="1"/>
      <w:numFmt w:val="bullet"/>
      <w:pStyle w:val="ListBullet2"/>
      <w:lvlText w:val=""/>
      <w:lvlJc w:val="start"/>
      <w:pPr>
        <w:tabs>
          <w:tab w:val="num" w:pos="643"/>
        </w:tabs>
        <w:ind w:star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4A62DFC"/>
    <w:lvl w:ilvl="0">
      <w:start w:val="1"/>
      <w:numFmt w:val="decimal"/>
      <w:pStyle w:val="ListNumber"/>
      <w:lvlText w:val="%1."/>
      <w:lvlJc w:val="start"/>
      <w:pPr>
        <w:tabs>
          <w:tab w:val="num" w:pos="360"/>
        </w:tabs>
        <w:ind w:start="360" w:hanging="360"/>
      </w:pPr>
    </w:lvl>
  </w:abstractNum>
  <w:abstractNum w:abstractNumId="7">
    <w:nsid w:val="FFFFFF89"/>
    <w:multiLevelType w:val="singleLevel"/>
    <w:tmpl w:val="CACC75A4"/>
    <w:lvl w:ilvl="0">
      <w:start w:val="1"/>
      <w:numFmt w:val="bullet"/>
      <w:pStyle w:val="List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hint="default"/>
      </w:rPr>
    </w:lvl>
  </w:abstractNum>
  <w:abstractNum w:abstractNumId="8">
    <w:nsid w:val="023E24C9"/>
    <w:multiLevelType w:val="multilevel"/>
    <w:tmpl w:val="B2C01DC0"/>
    <w:name w:val="Default"/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720" w:hanging="360"/>
      </w:pPr>
    </w:lvl>
    <w:lvl w:ilvl="2">
      <w:start w:val="1"/>
      <w:numFmt w:val="lowerRoman"/>
      <w:lvlText w:val="%3)"/>
      <w:lvlJc w:val="start"/>
      <w:pPr>
        <w:tabs>
          <w:tab w:val="num" w:pos="1080"/>
        </w:tabs>
        <w:ind w:start="1080" w:hanging="360"/>
      </w:p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440" w:hanging="36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9">
    <w:nsid w:val="0C4C640D"/>
    <w:multiLevelType w:val="singleLevel"/>
    <w:tmpl w:val="2E44421C"/>
    <w:name w:val="Tiret 3"/>
    <w:lvl w:ilvl="0">
      <w:start w:val="1"/>
      <w:numFmt w:val="bullet"/>
      <w:pStyle w:val="Tiret3"/>
      <w:lvlText w:val="–"/>
      <w:lvlJc w:val="start"/>
      <w:pPr>
        <w:tabs>
          <w:tab w:val="num" w:pos="2551"/>
        </w:tabs>
        <w:ind w:start="2551" w:hanging="567"/>
      </w:pPr>
    </w:lvl>
  </w:abstractNum>
  <w:abstractNum w:abstractNumId="10">
    <w:nsid w:val="11A46C02"/>
    <w:multiLevelType w:val="singleLevel"/>
    <w:tmpl w:val="A4BA1AF0"/>
    <w:name w:val="Tiret 0"/>
    <w:lvl w:ilvl="0">
      <w:start w:val="1"/>
      <w:numFmt w:val="bullet"/>
      <w:pStyle w:val="Tiret0"/>
      <w:lvlText w:val="–"/>
      <w:lvlJc w:val="start"/>
      <w:pPr>
        <w:tabs>
          <w:tab w:val="num" w:pos="850"/>
        </w:tabs>
        <w:ind w:start="850" w:hanging="850"/>
      </w:pPr>
    </w:lvl>
  </w:abstractNum>
  <w:abstractNum w:abstractNumId="11">
    <w:nsid w:val="152301A2"/>
    <w:multiLevelType w:val="singleLevel"/>
    <w:tmpl w:val="485A34CA"/>
    <w:name w:val="Bullet 3"/>
    <w:lvl w:ilvl="0">
      <w:start w:val="1"/>
      <w:numFmt w:val="bullet"/>
      <w:pStyle w:val="Bullet3"/>
      <w:lvlText w:val=""/>
      <w:lvlJc w:val="start"/>
      <w:pPr>
        <w:tabs>
          <w:tab w:val="num" w:pos="2551"/>
        </w:tabs>
        <w:ind w:start="2551" w:hanging="567"/>
      </w:pPr>
      <w:rPr>
        <w:rFonts w:ascii="Symbol" w:hAnsi="Symbol" w:hint="default"/>
      </w:rPr>
    </w:lvl>
  </w:abstractNum>
  <w:abstractNum w:abstractNumId="12">
    <w:nsid w:val="282421BD"/>
    <w:multiLevelType w:val="singleLevel"/>
    <w:tmpl w:val="4BE052C4"/>
    <w:name w:val="Bullet 1"/>
    <w:lvl w:ilvl="0">
      <w:start w:val="1"/>
      <w:numFmt w:val="bullet"/>
      <w:pStyle w:val="Bullet1"/>
      <w:lvlText w:val=""/>
      <w:lvlJc w:val="start"/>
      <w:pPr>
        <w:tabs>
          <w:tab w:val="num" w:pos="1417"/>
        </w:tabs>
        <w:ind w:start="1417" w:hanging="567"/>
      </w:pPr>
      <w:rPr>
        <w:rFonts w:ascii="Symbol" w:hAnsi="Symbol" w:hint="default"/>
      </w:rPr>
    </w:lvl>
  </w:abstractNum>
  <w:abstractNum w:abstractNumId="13">
    <w:nsid w:val="38FF44EA"/>
    <w:multiLevelType w:val="singleLevel"/>
    <w:tmpl w:val="0ADE2990"/>
    <w:name w:val="Considérant"/>
    <w:lvl w:ilvl="0">
      <w:start w:val="1"/>
      <w:numFmt w:val="decimal"/>
      <w:pStyle w:val="Considrant"/>
      <w:lvlText w:val="(%1)"/>
      <w:lvlJc w:val="start"/>
      <w:pPr>
        <w:tabs>
          <w:tab w:val="num" w:pos="850"/>
        </w:tabs>
        <w:ind w:start="850" w:hanging="850"/>
      </w:pPr>
    </w:lvl>
  </w:abstractNum>
  <w:abstractNum w:abstractNumId="14">
    <w:nsid w:val="3EB85CAA"/>
    <w:multiLevelType w:val="multilevel"/>
    <w:tmpl w:val="95C2B9FC"/>
    <w:name w:val="NumPar"/>
    <w:lvl w:ilvl="0">
      <w:start w:val="1"/>
      <w:numFmt w:val="decimal"/>
      <w:pStyle w:val="NumPar1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pStyle w:val="NumPar2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NumPar3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pStyle w:val="NumPar4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15">
    <w:nsid w:val="43AF4C40"/>
    <w:multiLevelType w:val="singleLevel"/>
    <w:tmpl w:val="116A6378"/>
    <w:name w:val="Bullet 4"/>
    <w:lvl w:ilvl="0">
      <w:start w:val="1"/>
      <w:numFmt w:val="bullet"/>
      <w:pStyle w:val="Bullet4"/>
      <w:lvlText w:val=""/>
      <w:lvlJc w:val="start"/>
      <w:pPr>
        <w:tabs>
          <w:tab w:val="num" w:pos="3118"/>
        </w:tabs>
        <w:ind w:start="3118" w:hanging="567"/>
      </w:pPr>
      <w:rPr>
        <w:rFonts w:ascii="Symbol" w:hAnsi="Symbol" w:hint="default"/>
      </w:rPr>
    </w:lvl>
  </w:abstractNum>
  <w:abstractNum w:abstractNumId="16">
    <w:nsid w:val="467248C6"/>
    <w:multiLevelType w:val="singleLevel"/>
    <w:tmpl w:val="F342C620"/>
    <w:name w:val="Bullet 0"/>
    <w:lvl w:ilvl="0">
      <w:start w:val="1"/>
      <w:numFmt w:val="bullet"/>
      <w:pStyle w:val="Bullet0"/>
      <w:lvlText w:val=""/>
      <w:lvlJc w:val="start"/>
      <w:pPr>
        <w:tabs>
          <w:tab w:val="num" w:pos="850"/>
        </w:tabs>
        <w:ind w:start="850" w:hanging="850"/>
      </w:pPr>
      <w:rPr>
        <w:rFonts w:ascii="Symbol" w:hAnsi="Symbol" w:hint="default"/>
      </w:rPr>
    </w:lvl>
  </w:abstractNum>
  <w:abstractNum w:abstractNumId="17">
    <w:nsid w:val="48F93071"/>
    <w:multiLevelType w:val="singleLevel"/>
    <w:tmpl w:val="3C12E566"/>
    <w:name w:val="Bullet 2"/>
    <w:lvl w:ilvl="0">
      <w:start w:val="1"/>
      <w:numFmt w:val="bullet"/>
      <w:pStyle w:val="Bullet2"/>
      <w:lvlText w:val=""/>
      <w:lvlJc w:val="start"/>
      <w:pPr>
        <w:tabs>
          <w:tab w:val="num" w:pos="1984"/>
        </w:tabs>
        <w:ind w:start="1984" w:hanging="567"/>
      </w:pPr>
      <w:rPr>
        <w:rFonts w:ascii="Symbol" w:hAnsi="Symbol" w:hint="default"/>
      </w:rPr>
    </w:lvl>
  </w:abstractNum>
  <w:abstractNum w:abstractNumId="18">
    <w:nsid w:val="4AB01038"/>
    <w:multiLevelType w:val="singleLevel"/>
    <w:tmpl w:val="EA848EBE"/>
    <w:name w:val="Tiret 4"/>
    <w:lvl w:ilvl="0">
      <w:start w:val="1"/>
      <w:numFmt w:val="bullet"/>
      <w:pStyle w:val="Tiret4"/>
      <w:lvlText w:val="–"/>
      <w:lvlJc w:val="start"/>
      <w:pPr>
        <w:tabs>
          <w:tab w:val="num" w:pos="3118"/>
        </w:tabs>
        <w:ind w:start="3118" w:hanging="567"/>
      </w:pPr>
    </w:lvl>
  </w:abstractNum>
  <w:abstractNum w:abstractNumId="19">
    <w:nsid w:val="4D1D0F5F"/>
    <w:multiLevelType w:val="multilevel"/>
    <w:tmpl w:val="01403636"/>
    <w:name w:val="LegalNumbering"/>
    <w:lvl w:ilvl="0">
      <w:start w:val="1"/>
      <w:numFmt w:val="decimal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20">
    <w:nsid w:val="51B26182"/>
    <w:multiLevelType w:val="multilevel"/>
    <w:tmpl w:val="33607010"/>
    <w:name w:val="Heading"/>
    <w:lvl w:ilvl="0">
      <w:start w:val="1"/>
      <w:numFmt w:val="decimal"/>
      <w:pStyle w:val="Heading1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pStyle w:val="Heading2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Heading3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pStyle w:val="Heading4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21">
    <w:nsid w:val="569D1BAE"/>
    <w:multiLevelType w:val="singleLevel"/>
    <w:tmpl w:val="19FAEF12"/>
    <w:name w:val="Tiret 2"/>
    <w:lvl w:ilvl="0">
      <w:start w:val="1"/>
      <w:numFmt w:val="bullet"/>
      <w:pStyle w:val="Tiret2"/>
      <w:lvlText w:val="–"/>
      <w:lvlJc w:val="start"/>
      <w:pPr>
        <w:tabs>
          <w:tab w:val="num" w:pos="1984"/>
        </w:tabs>
        <w:ind w:start="1984" w:hanging="567"/>
      </w:pPr>
    </w:lvl>
  </w:abstractNum>
  <w:abstractNum w:abstractNumId="22">
    <w:nsid w:val="595F6D94"/>
    <w:multiLevelType w:val="singleLevel"/>
    <w:tmpl w:val="D940093C"/>
    <w:name w:val="Tiret 1"/>
    <w:lvl w:ilvl="0">
      <w:start w:val="1"/>
      <w:numFmt w:val="bullet"/>
      <w:pStyle w:val="Tiret1"/>
      <w:lvlText w:val="–"/>
      <w:lvlJc w:val="start"/>
      <w:pPr>
        <w:tabs>
          <w:tab w:val="num" w:pos="1417"/>
        </w:tabs>
        <w:ind w:start="1417" w:hanging="567"/>
      </w:pPr>
    </w:lvl>
  </w:abstractNum>
  <w:abstractNum w:abstractNumId="23">
    <w:nsid w:val="5CC1185A"/>
    <w:multiLevelType w:val="multilevel"/>
    <w:tmpl w:val="B6AC8BEE"/>
    <w:name w:val="Point"/>
    <w:lvl w:ilvl="0">
      <w:start w:val="1"/>
      <w:numFmt w:val="decimal"/>
      <w:pStyle w:val="Point0number"/>
      <w:lvlText w:val="(%1)"/>
      <w:lvlJc w:val="start"/>
      <w:pPr>
        <w:tabs>
          <w:tab w:val="num" w:pos="850"/>
        </w:tabs>
        <w:ind w:start="850" w:hanging="850"/>
      </w:pPr>
    </w:lvl>
    <w:lvl w:ilvl="1">
      <w:start w:val="1"/>
      <w:numFmt w:val="lowerLetter"/>
      <w:pStyle w:val="Point0letter"/>
      <w:lvlText w:val="(%2)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Point1number"/>
      <w:lvlText w:val="(%3)"/>
      <w:lvlJc w:val="start"/>
      <w:pPr>
        <w:tabs>
          <w:tab w:val="num" w:pos="1417"/>
        </w:tabs>
        <w:ind w:start="1417" w:hanging="567"/>
      </w:pPr>
    </w:lvl>
    <w:lvl w:ilvl="3">
      <w:start w:val="1"/>
      <w:numFmt w:val="lowerLetter"/>
      <w:pStyle w:val="Point1letter"/>
      <w:lvlText w:val="(%4)"/>
      <w:lvlJc w:val="start"/>
      <w:pPr>
        <w:tabs>
          <w:tab w:val="num" w:pos="1417"/>
        </w:tabs>
        <w:ind w:start="1417" w:hanging="567"/>
      </w:pPr>
    </w:lvl>
    <w:lvl w:ilvl="4">
      <w:start w:val="1"/>
      <w:numFmt w:val="decimal"/>
      <w:pStyle w:val="Point2number"/>
      <w:lvlText w:val="(%5)"/>
      <w:lvlJc w:val="start"/>
      <w:pPr>
        <w:tabs>
          <w:tab w:val="num" w:pos="1984"/>
        </w:tabs>
        <w:ind w:start="1984" w:hanging="567"/>
      </w:pPr>
    </w:lvl>
    <w:lvl w:ilvl="5">
      <w:start w:val="1"/>
      <w:numFmt w:val="lowerLetter"/>
      <w:pStyle w:val="Point2letter"/>
      <w:lvlText w:val="(%6)"/>
      <w:lvlJc w:val="start"/>
      <w:pPr>
        <w:tabs>
          <w:tab w:val="num" w:pos="1984"/>
        </w:tabs>
        <w:ind w:start="1984" w:hanging="567"/>
      </w:pPr>
    </w:lvl>
    <w:lvl w:ilvl="6">
      <w:start w:val="1"/>
      <w:numFmt w:val="decimal"/>
      <w:pStyle w:val="Point3number"/>
      <w:lvlText w:val="(%7)"/>
      <w:lvlJc w:val="start"/>
      <w:pPr>
        <w:tabs>
          <w:tab w:val="num" w:pos="2551"/>
        </w:tabs>
        <w:ind w:start="2551" w:hanging="567"/>
      </w:pPr>
    </w:lvl>
    <w:lvl w:ilvl="7">
      <w:start w:val="1"/>
      <w:numFmt w:val="lowerLetter"/>
      <w:pStyle w:val="Point3letter"/>
      <w:lvlText w:val="(%8)"/>
      <w:lvlJc w:val="start"/>
      <w:pPr>
        <w:tabs>
          <w:tab w:val="num" w:pos="2551"/>
        </w:tabs>
        <w:ind w:start="2551" w:hanging="567"/>
      </w:pPr>
    </w:lvl>
    <w:lvl w:ilvl="8">
      <w:start w:val="1"/>
      <w:numFmt w:val="lowerLetter"/>
      <w:pStyle w:val="Point4letter"/>
      <w:lvlText w:val="(%9)"/>
      <w:lvlJc w:val="start"/>
      <w:pPr>
        <w:tabs>
          <w:tab w:val="num" w:pos="3118"/>
        </w:tabs>
        <w:ind w:start="3118" w:hanging="567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14"/>
  </w:num>
  <w:num w:numId="7">
    <w:abstractNumId w:val="20"/>
  </w:num>
  <w:num w:numId="8">
    <w:abstractNumId w:val="23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%"/>
  <w:attachedTemplate r:id="rId1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doNotEmbedSmartTags/>
  <w:footnotePr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C"/>
    <w:rsid w:val="000569BB"/>
    <w:rsid w:val="000735F0"/>
    <w:rsid w:val="000B3B7C"/>
    <w:rsid w:val="000C77FC"/>
    <w:rsid w:val="000E6FBD"/>
    <w:rsid w:val="00144D70"/>
    <w:rsid w:val="00175C3A"/>
    <w:rsid w:val="001B4787"/>
    <w:rsid w:val="001F5206"/>
    <w:rsid w:val="002A261B"/>
    <w:rsid w:val="002E3661"/>
    <w:rsid w:val="00347F70"/>
    <w:rsid w:val="00397967"/>
    <w:rsid w:val="003A61B8"/>
    <w:rsid w:val="003A7196"/>
    <w:rsid w:val="00423225"/>
    <w:rsid w:val="00424332"/>
    <w:rsid w:val="0051485B"/>
    <w:rsid w:val="00546703"/>
    <w:rsid w:val="00572072"/>
    <w:rsid w:val="0063081F"/>
    <w:rsid w:val="00691DA3"/>
    <w:rsid w:val="006D6045"/>
    <w:rsid w:val="00720006"/>
    <w:rsid w:val="007F4B2F"/>
    <w:rsid w:val="00820E0E"/>
    <w:rsid w:val="008725F7"/>
    <w:rsid w:val="00897935"/>
    <w:rsid w:val="008B0AFB"/>
    <w:rsid w:val="009861E0"/>
    <w:rsid w:val="0099621F"/>
    <w:rsid w:val="009A2ED9"/>
    <w:rsid w:val="009C7010"/>
    <w:rsid w:val="009F7D88"/>
    <w:rsid w:val="00A379B9"/>
    <w:rsid w:val="00AA2DB0"/>
    <w:rsid w:val="00AA6A97"/>
    <w:rsid w:val="00AB1A99"/>
    <w:rsid w:val="00B34015"/>
    <w:rsid w:val="00B46AE9"/>
    <w:rsid w:val="00B47A9C"/>
    <w:rsid w:val="00C2335F"/>
    <w:rsid w:val="00C30438"/>
    <w:rsid w:val="00C354B9"/>
    <w:rsid w:val="00C36277"/>
    <w:rsid w:val="00C864D4"/>
    <w:rsid w:val="00CD7CE0"/>
    <w:rsid w:val="00D21D8E"/>
    <w:rsid w:val="00DB4D4D"/>
    <w:rsid w:val="00DF4D9E"/>
    <w:rsid w:val="00DF67D8"/>
    <w:rsid w:val="00E663EE"/>
    <w:rsid w:val="00E74F49"/>
    <w:rsid w:val="00E84F41"/>
    <w:rsid w:val="00F4449A"/>
    <w:rsid w:val="00F57F24"/>
    <w:rsid w:val="00F720B5"/>
    <w:rsid w:val="00F83BB5"/>
    <w:rsid w:val="00F9554B"/>
    <w:rsid w:val="00FD0EF2"/>
    <w:rsid w:val="00FE5D92"/>
  </w:rsids>
  <w:docVars>
    <w:docVar w:name="Copylist_Path" w:val="\\at100\user\wk\SEILEG\Lw5x\Copylist\Council\Template"/>
    <w:docVar w:name="Council" w:val="True"/>
    <w:docVar w:name="LWCons_Cote" w:val="59/11"/>
    <w:docVar w:name="LWCons_CotePrefix" w:val=" "/>
    <w:docVar w:name="LWCons_CoteSec" w:val=" "/>
    <w:docVar w:name="LWCons_Date" w:val="31 ottobre 2011"/>
    <w:docVar w:name="LWCons_DateEntree" w:val=" "/>
    <w:docVar w:name="LWCons_DG" w:val="DQPG"/>
    <w:docVar w:name="LWCons_DossierInterInst" w:val="2010/0059 (COD)&#13;&#10;C7-0379/2011"/>
    <w:docVar w:name="LWCons_Init" w:val="KPE/gma"/>
    <w:docVar w:name="LWCons_Langue" w:val="IT"/>
    <w:docVar w:name="LWCons_Lieu" w:val="Bruxelles,"/>
    <w:docVar w:name="LWCons_RefInstCEC" w:val=" "/>
    <w:docVar w:name="LWCons_Sigle" w:val="PE-CONS"/>
    <w:docVar w:name="LWCons_SousEmbargo" w:val=" "/>
    <w:docVar w:name="LWCons_Subject" w:val="REGOLAMENTO DEL PARLAMENTO EUROPEO E DEL CONSIGLIO recante modifica del regolamento (CE) n. 1905/2006 &#13;&#10;che istituisce uno strumento per il finanziamento della cooperazione allo sviluppo"/>
    <w:docVar w:name="LWCons_Suffix" w:val=" "/>
    <w:docVar w:name="LWCons_SuplCote" w:val=" "/>
    <w:docVar w:name="LWCons_TRA" w:val=" "/>
    <w:docVar w:name="LW_DocType" w:val="COMCONS"/>
    <w:docVar w:name="VSSDB_IniPath" w:val="\\at100\user\wovo\SEILEG\vss\srcsafe.ini"/>
    <w:docVar w:name="VSSDB_ProjectPath" w:val="$/LegisWrite/DOT/COMCONS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it-IT" w:eastAsia="en-US" w:bidi="ar-SA"/>
    </w:rPr>
  </w:style>
  <w:style w:type="paragraph" w:styleId="Heading1">
    <w:name w:val="heading 1"/>
    <w:basedOn w:val="Normal"/>
    <w:next w:val="Text1"/>
    <w:uiPriority w:val="9"/>
    <w:qFormat/>
    <w:rsid w:val="00F4449A"/>
    <w:pPr>
      <w:keepNext/>
      <w:numPr>
        <w:ilvl w:val="0"/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uiPriority w:val="9"/>
    <w:qFormat/>
    <w:rsid w:val="00F4449A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uiPriority w:val="9"/>
    <w:qFormat/>
    <w:rsid w:val="00F4449A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uiPriority w:val="9"/>
    <w:qFormat/>
    <w:rsid w:val="00F4449A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DefaultParagraphFont">
    <w:name w:val="Default Paragraph Font"/>
    <w:aliases w:val=" Char Char Char Char Char Char"/>
    <w:link w:val="CharCharCharCharChar"/>
    <w:semiHidden/>
    <w:rPr>
      <w:shd w:val="clear" w:color="auto" w:fill="auto"/>
    </w:rPr>
  </w:style>
  <w:style w:type="table" w:default="1" w:styleId="TableNormal">
    <w:name w:val="Normal Table"/>
    <w:semiHidden/>
    <w:tblPr>
      <w:tblInd w:w="0pt" w:type="dxa"/>
      <w:tblCellMar>
        <w:top w:w="0pt" w:type="dxa"/>
        <w:start w:w="5.4pt" w:type="dxa"/>
        <w:bottom w:w="0pt" w:type="dxa"/>
        <w:end w:w="5.4pt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449A"/>
    <w:pPr>
      <w:tabs>
        <w:tab w:val="end" w:pos="9638"/>
      </w:tabs>
    </w:pPr>
  </w:style>
  <w:style w:type="paragraph" w:styleId="Footer">
    <w:name w:val="footer"/>
    <w:basedOn w:val="Normal"/>
    <w:rsid w:val="00F4449A"/>
    <w:pPr>
      <w:tabs>
        <w:tab w:val="center" w:pos="4819"/>
        <w:tab w:val="center" w:pos="7370"/>
        <w:tab w:val="end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4449A"/>
    <w:pPr>
      <w:spacing w:before="0" w:after="0" w:line="240" w:lineRule="auto"/>
      <w:ind w:start="720" w:hanging="720"/>
    </w:pPr>
    <w:rPr>
      <w:szCs w:val="20"/>
    </w:rPr>
  </w:style>
  <w:style w:type="paragraph" w:styleId="TOC1">
    <w:name w:val="toc 1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2">
    <w:name w:val="toc 2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3">
    <w:name w:val="toc 3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4">
    <w:name w:val="toc 4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5">
    <w:name w:val="toc 5"/>
    <w:basedOn w:val="Normal"/>
    <w:next w:val="Normal"/>
    <w:uiPriority w:val="39"/>
    <w:rsid w:val="00F4449A"/>
    <w:pPr>
      <w:tabs>
        <w:tab w:val="end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rsid w:val="00F4449A"/>
    <w:pPr>
      <w:tabs>
        <w:tab w:val="end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rsid w:val="00F4449A"/>
    <w:pPr>
      <w:tabs>
        <w:tab w:val="end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rsid w:val="00F4449A"/>
    <w:pPr>
      <w:tabs>
        <w:tab w:val="end" w:leader="dot" w:pos="9071"/>
      </w:tabs>
    </w:pPr>
  </w:style>
  <w:style w:type="paragraph" w:styleId="TOC9">
    <w:name w:val="toc 9"/>
    <w:basedOn w:val="Normal"/>
    <w:next w:val="Normal"/>
    <w:uiPriority w:val="39"/>
    <w:rsid w:val="00F4449A"/>
    <w:pPr>
      <w:tabs>
        <w:tab w:val="end" w:leader="dot" w:pos="9071"/>
      </w:tabs>
    </w:pPr>
  </w:style>
  <w:style w:type="paragraph" w:customStyle="1" w:styleId="HeaderLandscape">
    <w:name w:val="HeaderLandscape"/>
    <w:basedOn w:val="Normal"/>
    <w:rsid w:val="00F4449A"/>
    <w:pPr>
      <w:tabs>
        <w:tab w:val="end" w:pos="14570"/>
      </w:tabs>
    </w:pPr>
  </w:style>
  <w:style w:type="paragraph" w:customStyle="1" w:styleId="FooterLandscape">
    <w:name w:val="FooterLandscape"/>
    <w:basedOn w:val="Normal"/>
    <w:rsid w:val="00F4449A"/>
    <w:pPr>
      <w:tabs>
        <w:tab w:val="center" w:pos="7285"/>
        <w:tab w:val="center" w:pos="10930"/>
        <w:tab w:val="end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rsid w:val="00FD0EF2"/>
    <w:rPr>
      <w:b/>
      <w:vertAlign w:val="superscript"/>
    </w:rPr>
  </w:style>
  <w:style w:type="paragraph" w:customStyle="1" w:styleId="Text1">
    <w:name w:val="Text 1"/>
    <w:basedOn w:val="Normal"/>
    <w:rsid w:val="00F4449A"/>
    <w:pPr>
      <w:ind w:start="850"/>
    </w:pPr>
  </w:style>
  <w:style w:type="paragraph" w:customStyle="1" w:styleId="Text2">
    <w:name w:val="Text 2"/>
    <w:basedOn w:val="Normal"/>
    <w:rsid w:val="00F4449A"/>
    <w:pPr>
      <w:ind w:start="1417"/>
    </w:pPr>
  </w:style>
  <w:style w:type="paragraph" w:customStyle="1" w:styleId="Text3">
    <w:name w:val="Text 3"/>
    <w:basedOn w:val="Normal"/>
    <w:rsid w:val="00F4449A"/>
    <w:pPr>
      <w:ind w:start="1984"/>
    </w:pPr>
  </w:style>
  <w:style w:type="paragraph" w:customStyle="1" w:styleId="Text4">
    <w:name w:val="Text 4"/>
    <w:basedOn w:val="Normal"/>
    <w:rsid w:val="00F4449A"/>
    <w:pPr>
      <w:ind w:start="2551"/>
    </w:pPr>
  </w:style>
  <w:style w:type="paragraph" w:customStyle="1" w:styleId="NormalCentered">
    <w:name w:val="Normal Centered"/>
    <w:basedOn w:val="Normal"/>
    <w:rsid w:val="00F4449A"/>
    <w:pPr>
      <w:jc w:val="center"/>
    </w:pPr>
  </w:style>
  <w:style w:type="paragraph" w:customStyle="1" w:styleId="NormalLeft">
    <w:name w:val="Normal Left"/>
    <w:basedOn w:val="Normal"/>
    <w:rsid w:val="00F4449A"/>
  </w:style>
  <w:style w:type="paragraph" w:customStyle="1" w:styleId="NormalRight">
    <w:name w:val="Normal Right"/>
    <w:basedOn w:val="Normal"/>
    <w:rsid w:val="00F4449A"/>
    <w:pPr>
      <w:jc w:val="end"/>
    </w:pPr>
  </w:style>
  <w:style w:type="paragraph" w:customStyle="1" w:styleId="QuotedText">
    <w:name w:val="Quoted Text"/>
    <w:basedOn w:val="Normal"/>
    <w:rsid w:val="00F4449A"/>
    <w:pPr>
      <w:ind w:start="1417"/>
    </w:pPr>
  </w:style>
  <w:style w:type="paragraph" w:customStyle="1" w:styleId="Point0">
    <w:name w:val="Point 0"/>
    <w:basedOn w:val="Normal"/>
    <w:rsid w:val="00F4449A"/>
    <w:pPr>
      <w:ind w:start="850" w:hanging="850"/>
    </w:pPr>
  </w:style>
  <w:style w:type="paragraph" w:customStyle="1" w:styleId="Point1">
    <w:name w:val="Point 1"/>
    <w:basedOn w:val="Normal"/>
    <w:rsid w:val="00F4449A"/>
    <w:pPr>
      <w:ind w:start="1417" w:hanging="567"/>
    </w:pPr>
  </w:style>
  <w:style w:type="paragraph" w:customStyle="1" w:styleId="Point2">
    <w:name w:val="Point 2"/>
    <w:basedOn w:val="Normal"/>
    <w:rsid w:val="00F4449A"/>
    <w:pPr>
      <w:ind w:start="1984" w:hanging="567"/>
    </w:pPr>
  </w:style>
  <w:style w:type="paragraph" w:customStyle="1" w:styleId="Point3">
    <w:name w:val="Point 3"/>
    <w:basedOn w:val="Normal"/>
    <w:rsid w:val="00F4449A"/>
    <w:pPr>
      <w:ind w:start="2551" w:hanging="567"/>
    </w:pPr>
  </w:style>
  <w:style w:type="paragraph" w:customStyle="1" w:styleId="Point4">
    <w:name w:val="Point 4"/>
    <w:basedOn w:val="Normal"/>
    <w:rsid w:val="00F4449A"/>
    <w:pPr>
      <w:ind w:start="3118" w:hanging="567"/>
    </w:pPr>
  </w:style>
  <w:style w:type="paragraph" w:customStyle="1" w:styleId="Tiret0">
    <w:name w:val="Tiret 0"/>
    <w:basedOn w:val="Point0"/>
    <w:rsid w:val="00F4449A"/>
    <w:pPr>
      <w:numPr>
        <w:ilvl w:val="0"/>
        <w:numId w:val="1"/>
      </w:numPr>
    </w:pPr>
  </w:style>
  <w:style w:type="paragraph" w:customStyle="1" w:styleId="Tiret1">
    <w:name w:val="Tiret 1"/>
    <w:basedOn w:val="Point1"/>
    <w:rsid w:val="00F4449A"/>
    <w:pPr>
      <w:numPr>
        <w:ilvl w:val="0"/>
        <w:numId w:val="2"/>
      </w:numPr>
    </w:pPr>
  </w:style>
  <w:style w:type="paragraph" w:customStyle="1" w:styleId="Tiret2">
    <w:name w:val="Tiret 2"/>
    <w:basedOn w:val="Point2"/>
    <w:rsid w:val="00F4449A"/>
    <w:pPr>
      <w:numPr>
        <w:ilvl w:val="0"/>
        <w:numId w:val="3"/>
      </w:numPr>
    </w:pPr>
  </w:style>
  <w:style w:type="paragraph" w:customStyle="1" w:styleId="Tiret3">
    <w:name w:val="Tiret 3"/>
    <w:basedOn w:val="Point3"/>
    <w:rsid w:val="00F4449A"/>
    <w:pPr>
      <w:numPr>
        <w:ilvl w:val="0"/>
        <w:numId w:val="4"/>
      </w:numPr>
    </w:pPr>
  </w:style>
  <w:style w:type="paragraph" w:customStyle="1" w:styleId="Tiret4">
    <w:name w:val="Tiret 4"/>
    <w:basedOn w:val="Point4"/>
    <w:rsid w:val="00F4449A"/>
    <w:pPr>
      <w:numPr>
        <w:ilvl w:val="0"/>
        <w:numId w:val="5"/>
      </w:numPr>
    </w:pPr>
  </w:style>
  <w:style w:type="paragraph" w:customStyle="1" w:styleId="PointDouble0">
    <w:name w:val="PointDouble 0"/>
    <w:basedOn w:val="Normal"/>
    <w:rsid w:val="00F4449A"/>
    <w:pPr>
      <w:tabs>
        <w:tab w:val="start" w:pos="850"/>
      </w:tabs>
      <w:ind w:start="1417" w:hanging="1417"/>
    </w:pPr>
  </w:style>
  <w:style w:type="paragraph" w:customStyle="1" w:styleId="PointDouble1">
    <w:name w:val="PointDouble 1"/>
    <w:basedOn w:val="Normal"/>
    <w:rsid w:val="00F4449A"/>
    <w:pPr>
      <w:tabs>
        <w:tab w:val="start" w:pos="1417"/>
      </w:tabs>
      <w:ind w:start="1984" w:hanging="1134"/>
    </w:pPr>
  </w:style>
  <w:style w:type="paragraph" w:customStyle="1" w:styleId="PointDouble2">
    <w:name w:val="PointDouble 2"/>
    <w:basedOn w:val="Normal"/>
    <w:rsid w:val="00F4449A"/>
    <w:pPr>
      <w:tabs>
        <w:tab w:val="start" w:pos="1984"/>
      </w:tabs>
      <w:ind w:start="2551" w:hanging="1134"/>
    </w:pPr>
  </w:style>
  <w:style w:type="paragraph" w:customStyle="1" w:styleId="PointDouble3">
    <w:name w:val="PointDouble 3"/>
    <w:basedOn w:val="Normal"/>
    <w:rsid w:val="00F4449A"/>
    <w:pPr>
      <w:tabs>
        <w:tab w:val="start" w:pos="2551"/>
      </w:tabs>
      <w:ind w:start="3118" w:hanging="1134"/>
    </w:pPr>
  </w:style>
  <w:style w:type="paragraph" w:customStyle="1" w:styleId="PointDouble4">
    <w:name w:val="PointDouble 4"/>
    <w:basedOn w:val="Normal"/>
    <w:rsid w:val="00F4449A"/>
    <w:pPr>
      <w:tabs>
        <w:tab w:val="start" w:pos="3118"/>
      </w:tabs>
      <w:ind w:start="3685" w:hanging="1134"/>
    </w:pPr>
  </w:style>
  <w:style w:type="paragraph" w:customStyle="1" w:styleId="PointTriple0">
    <w:name w:val="PointTriple 0"/>
    <w:basedOn w:val="Normal"/>
    <w:rsid w:val="00F4449A"/>
    <w:pPr>
      <w:tabs>
        <w:tab w:val="start" w:pos="850"/>
        <w:tab w:val="start" w:pos="1417"/>
      </w:tabs>
      <w:ind w:start="1984" w:hanging="1984"/>
    </w:pPr>
  </w:style>
  <w:style w:type="paragraph" w:customStyle="1" w:styleId="PointTriple1">
    <w:name w:val="PointTriple 1"/>
    <w:basedOn w:val="Normal"/>
    <w:rsid w:val="00F4449A"/>
    <w:pPr>
      <w:tabs>
        <w:tab w:val="start" w:pos="1417"/>
        <w:tab w:val="start" w:pos="1984"/>
      </w:tabs>
      <w:ind w:start="2551" w:hanging="1701"/>
    </w:pPr>
  </w:style>
  <w:style w:type="paragraph" w:customStyle="1" w:styleId="PointTriple2">
    <w:name w:val="PointTriple 2"/>
    <w:basedOn w:val="Normal"/>
    <w:rsid w:val="00F4449A"/>
    <w:pPr>
      <w:tabs>
        <w:tab w:val="start" w:pos="1984"/>
        <w:tab w:val="start" w:pos="2551"/>
      </w:tabs>
      <w:ind w:start="3118" w:hanging="1701"/>
    </w:pPr>
  </w:style>
  <w:style w:type="paragraph" w:customStyle="1" w:styleId="PointTriple3">
    <w:name w:val="PointTriple 3"/>
    <w:basedOn w:val="Normal"/>
    <w:rsid w:val="00F4449A"/>
    <w:pPr>
      <w:tabs>
        <w:tab w:val="start" w:pos="2551"/>
        <w:tab w:val="start" w:pos="3118"/>
      </w:tabs>
      <w:ind w:start="3685" w:hanging="1701"/>
    </w:pPr>
  </w:style>
  <w:style w:type="paragraph" w:customStyle="1" w:styleId="PointTriple4">
    <w:name w:val="PointTriple 4"/>
    <w:basedOn w:val="Normal"/>
    <w:rsid w:val="00F4449A"/>
    <w:pPr>
      <w:tabs>
        <w:tab w:val="start" w:pos="3118"/>
        <w:tab w:val="start" w:pos="3685"/>
      </w:tabs>
      <w:ind w:start="4252" w:hanging="1701"/>
    </w:pPr>
  </w:style>
  <w:style w:type="paragraph" w:customStyle="1" w:styleId="NumPar1">
    <w:name w:val="NumPar 1"/>
    <w:basedOn w:val="Normal"/>
    <w:next w:val="Text1"/>
    <w:rsid w:val="00F4449A"/>
    <w:pPr>
      <w:numPr>
        <w:ilvl w:val="0"/>
        <w:numId w:val="6"/>
      </w:numPr>
    </w:pPr>
  </w:style>
  <w:style w:type="paragraph" w:customStyle="1" w:styleId="NumPar2">
    <w:name w:val="NumPar 2"/>
    <w:basedOn w:val="Normal"/>
    <w:next w:val="Text1"/>
    <w:rsid w:val="00F4449A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rsid w:val="00F4449A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rsid w:val="00F4449A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rsid w:val="00F4449A"/>
    <w:pPr>
      <w:ind w:start="850" w:hanging="850"/>
    </w:pPr>
  </w:style>
  <w:style w:type="paragraph" w:customStyle="1" w:styleId="ManualNumPar2">
    <w:name w:val="Manual NumPar 2"/>
    <w:basedOn w:val="Normal"/>
    <w:next w:val="Text1"/>
    <w:rsid w:val="00F4449A"/>
    <w:pPr>
      <w:ind w:start="850" w:hanging="850"/>
    </w:pPr>
  </w:style>
  <w:style w:type="paragraph" w:customStyle="1" w:styleId="ManualNumPar3">
    <w:name w:val="Manual NumPar 3"/>
    <w:basedOn w:val="Normal"/>
    <w:next w:val="Text1"/>
    <w:rsid w:val="00F4449A"/>
    <w:pPr>
      <w:ind w:start="850" w:hanging="850"/>
    </w:pPr>
  </w:style>
  <w:style w:type="paragraph" w:customStyle="1" w:styleId="ManualNumPar4">
    <w:name w:val="Manual NumPar 4"/>
    <w:basedOn w:val="Normal"/>
    <w:next w:val="Text1"/>
    <w:rsid w:val="00F4449A"/>
    <w:pPr>
      <w:ind w:start="850" w:hanging="850"/>
    </w:pPr>
  </w:style>
  <w:style w:type="paragraph" w:customStyle="1" w:styleId="QuotedNumPar">
    <w:name w:val="Quoted NumPar"/>
    <w:basedOn w:val="Normal"/>
    <w:rsid w:val="00F4449A"/>
    <w:pPr>
      <w:ind w:start="1417" w:hanging="567"/>
    </w:pPr>
  </w:style>
  <w:style w:type="paragraph" w:customStyle="1" w:styleId="ManualHeading1">
    <w:name w:val="Manual Heading 1"/>
    <w:basedOn w:val="Normal"/>
    <w:next w:val="Text1"/>
    <w:rsid w:val="00F4449A"/>
    <w:pPr>
      <w:keepNext/>
      <w:tabs>
        <w:tab w:val="start" w:pos="850"/>
      </w:tabs>
      <w:spacing w:before="360"/>
      <w:ind w:star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F4449A"/>
    <w:pPr>
      <w:keepNext/>
      <w:tabs>
        <w:tab w:val="start" w:pos="850"/>
      </w:tabs>
      <w:ind w:star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F4449A"/>
    <w:pPr>
      <w:keepNext/>
      <w:tabs>
        <w:tab w:val="start" w:pos="850"/>
      </w:tabs>
      <w:ind w:star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F4449A"/>
    <w:pPr>
      <w:keepNext/>
      <w:tabs>
        <w:tab w:val="start" w:pos="850"/>
      </w:tabs>
      <w:ind w:start="850" w:hanging="850"/>
      <w:outlineLvl w:val="3"/>
    </w:pPr>
  </w:style>
  <w:style w:type="paragraph" w:customStyle="1" w:styleId="ChapterTitle">
    <w:name w:val="ChapterTitle"/>
    <w:basedOn w:val="Normal"/>
    <w:next w:val="Normal"/>
    <w:rsid w:val="00F4449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F4449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F4449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F4449A"/>
    <w:pPr>
      <w:jc w:val="center"/>
    </w:pPr>
    <w:rPr>
      <w:b/>
    </w:rPr>
  </w:style>
  <w:style w:type="character" w:customStyle="1" w:styleId="Marker">
    <w:name w:val="Marker"/>
    <w:basedOn w:val="DefaultParagraphFont"/>
    <w:rsid w:val="00F4449A"/>
    <w:rPr>
      <w:color w:val="0000FF"/>
    </w:rPr>
  </w:style>
  <w:style w:type="character" w:customStyle="1" w:styleId="Marker1">
    <w:name w:val="Marker1"/>
    <w:basedOn w:val="DefaultParagraphFont"/>
    <w:rsid w:val="00F4449A"/>
    <w:rPr>
      <w:color w:val="008000"/>
    </w:rPr>
  </w:style>
  <w:style w:type="character" w:customStyle="1" w:styleId="Marker2">
    <w:name w:val="Marker2"/>
    <w:basedOn w:val="DefaultParagraphFont"/>
    <w:rsid w:val="00F4449A"/>
    <w:rPr>
      <w:color w:val="FF0000"/>
    </w:rPr>
  </w:style>
  <w:style w:type="paragraph" w:customStyle="1" w:styleId="TOCHeading">
    <w:name w:val="TOC Heading"/>
    <w:basedOn w:val="Normal"/>
    <w:next w:val="Normal"/>
    <w:rsid w:val="00F4449A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rsid w:val="00F4449A"/>
    <w:pPr>
      <w:numPr>
        <w:ilvl w:val="0"/>
        <w:numId w:val="8"/>
      </w:numPr>
    </w:pPr>
  </w:style>
  <w:style w:type="paragraph" w:customStyle="1" w:styleId="Point1number">
    <w:name w:val="Point 1 (number)"/>
    <w:basedOn w:val="Normal"/>
    <w:rsid w:val="00F4449A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rsid w:val="00F4449A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rsid w:val="00F4449A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rsid w:val="00F4449A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rsid w:val="00F4449A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rsid w:val="00F4449A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rsid w:val="00F4449A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rsid w:val="00F4449A"/>
    <w:pPr>
      <w:numPr>
        <w:ilvl w:val="8"/>
        <w:numId w:val="8"/>
      </w:numPr>
    </w:pPr>
  </w:style>
  <w:style w:type="paragraph" w:customStyle="1" w:styleId="Bullet0">
    <w:name w:val="Bullet 0"/>
    <w:basedOn w:val="Normal"/>
    <w:rsid w:val="00F4449A"/>
    <w:pPr>
      <w:numPr>
        <w:ilvl w:val="0"/>
        <w:numId w:val="9"/>
      </w:numPr>
    </w:pPr>
  </w:style>
  <w:style w:type="paragraph" w:customStyle="1" w:styleId="Bullet1">
    <w:name w:val="Bullet 1"/>
    <w:basedOn w:val="Normal"/>
    <w:rsid w:val="00F4449A"/>
    <w:pPr>
      <w:numPr>
        <w:ilvl w:val="0"/>
        <w:numId w:val="10"/>
      </w:numPr>
    </w:pPr>
  </w:style>
  <w:style w:type="paragraph" w:customStyle="1" w:styleId="Bullet2">
    <w:name w:val="Bullet 2"/>
    <w:basedOn w:val="Normal"/>
    <w:rsid w:val="00F4449A"/>
    <w:pPr>
      <w:numPr>
        <w:ilvl w:val="0"/>
        <w:numId w:val="11"/>
      </w:numPr>
    </w:pPr>
  </w:style>
  <w:style w:type="paragraph" w:customStyle="1" w:styleId="Bullet3">
    <w:name w:val="Bullet 3"/>
    <w:basedOn w:val="Normal"/>
    <w:rsid w:val="00F4449A"/>
    <w:pPr>
      <w:numPr>
        <w:ilvl w:val="0"/>
        <w:numId w:val="12"/>
      </w:numPr>
    </w:pPr>
  </w:style>
  <w:style w:type="paragraph" w:customStyle="1" w:styleId="Bullet4">
    <w:name w:val="Bullet 4"/>
    <w:basedOn w:val="Normal"/>
    <w:rsid w:val="00F4449A"/>
    <w:pPr>
      <w:numPr>
        <w:ilvl w:val="0"/>
        <w:numId w:val="13"/>
      </w:numPr>
    </w:pPr>
  </w:style>
  <w:style w:type="paragraph" w:customStyle="1" w:styleId="Annexetitreacte">
    <w:name w:val="Annexe titre (acte)"/>
    <w:basedOn w:val="Normal"/>
    <w:next w:val="Normal"/>
    <w:rsid w:val="00F4449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rsid w:val="00F4449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F4449A"/>
    <w:pPr>
      <w:spacing w:before="480"/>
    </w:pPr>
  </w:style>
  <w:style w:type="paragraph" w:customStyle="1" w:styleId="Considrant">
    <w:name w:val="Considérant"/>
    <w:basedOn w:val="Normal"/>
    <w:rsid w:val="00F4449A"/>
    <w:pPr>
      <w:numPr>
        <w:ilvl w:val="0"/>
        <w:numId w:val="14"/>
      </w:numPr>
    </w:pPr>
  </w:style>
  <w:style w:type="paragraph" w:customStyle="1" w:styleId="Datedadoption">
    <w:name w:val="Date d'adoption"/>
    <w:basedOn w:val="Normal"/>
    <w:next w:val="Titreobjet"/>
    <w:rsid w:val="00F4449A"/>
    <w:pPr>
      <w:spacing w:before="360" w:after="0"/>
      <w:jc w:val="center"/>
    </w:pPr>
    <w:rPr>
      <w:b/>
    </w:rPr>
  </w:style>
  <w:style w:type="paragraph" w:customStyle="1" w:styleId="Fait">
    <w:name w:val="Fait à"/>
    <w:basedOn w:val="Normal"/>
    <w:next w:val="Institutionquisigne"/>
    <w:rsid w:val="00F4449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F4449A"/>
    <w:pPr>
      <w:keepNext/>
    </w:pPr>
  </w:style>
  <w:style w:type="paragraph" w:customStyle="1" w:styleId="Institutionquiagit">
    <w:name w:val="Institution qui agit"/>
    <w:basedOn w:val="Normal"/>
    <w:next w:val="Normal"/>
    <w:rsid w:val="00F4449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F4449A"/>
    <w:pPr>
      <w:keepNext/>
      <w:tabs>
        <w:tab w:val="star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F4449A"/>
    <w:pPr>
      <w:ind w:start="850" w:hanging="850"/>
    </w:pPr>
  </w:style>
  <w:style w:type="paragraph" w:customStyle="1" w:styleId="Personnequisigne">
    <w:name w:val="Personne qui signe"/>
    <w:basedOn w:val="Normal"/>
    <w:next w:val="Institutionquisigne"/>
    <w:rsid w:val="00F4449A"/>
    <w:pPr>
      <w:tabs>
        <w:tab w:val="star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"/>
    <w:rsid w:val="00F4449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F4449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F4449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F4449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rsid w:val="00F4449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"/>
    <w:next w:val="Normal"/>
    <w:rsid w:val="00F4449A"/>
    <w:pPr>
      <w:pBdr>
        <w:bottom w:val="single" w:sz="4" w:space="0" w:color="000000"/>
      </w:pBdr>
      <w:spacing w:before="720" w:after="360"/>
      <w:ind w:start="3400" w:end="3400"/>
      <w:jc w:val="center"/>
    </w:pPr>
    <w:rPr>
      <w:b/>
    </w:rPr>
  </w:style>
  <w:style w:type="paragraph" w:customStyle="1" w:styleId="LignefinalLandscape">
    <w:name w:val="Ligne final (Landscape)"/>
    <w:basedOn w:val="Normal"/>
    <w:next w:val="Normal"/>
    <w:rsid w:val="00F4449A"/>
    <w:pPr>
      <w:pBdr>
        <w:bottom w:val="single" w:sz="4" w:space="0" w:color="000000"/>
      </w:pBdr>
      <w:spacing w:before="720" w:after="360"/>
      <w:ind w:start="5868" w:end="5868"/>
      <w:jc w:val="center"/>
    </w:pPr>
    <w:rPr>
      <w:b/>
    </w:rPr>
  </w:style>
  <w:style w:type="paragraph" w:customStyle="1" w:styleId="Rfrenceinterinstitutionelle">
    <w:name w:val="Référence interinstitutionelle"/>
    <w:basedOn w:val="Normal"/>
    <w:next w:val="Statut"/>
    <w:rsid w:val="00F4449A"/>
    <w:pPr>
      <w:spacing w:before="0" w:after="0"/>
      <w:ind w:start="5103"/>
    </w:pPr>
  </w:style>
  <w:style w:type="paragraph" w:customStyle="1" w:styleId="EntLogo">
    <w:name w:val="EntLogo"/>
    <w:basedOn w:val="Normal"/>
    <w:rsid w:val="00F4449A"/>
    <w:pPr>
      <w:tabs>
        <w:tab w:val="end" w:pos="9639"/>
      </w:tabs>
      <w:spacing w:before="0" w:after="0"/>
    </w:pPr>
    <w:rPr>
      <w:b/>
    </w:rPr>
  </w:style>
  <w:style w:type="paragraph" w:customStyle="1" w:styleId="EntInstit">
    <w:name w:val="EntInstit"/>
    <w:basedOn w:val="Normal"/>
    <w:rsid w:val="00F4449A"/>
    <w:pPr>
      <w:spacing w:before="0" w:after="0" w:line="240" w:lineRule="auto"/>
      <w:jc w:val="end"/>
    </w:pPr>
    <w:rPr>
      <w:b/>
    </w:rPr>
  </w:style>
  <w:style w:type="paragraph" w:customStyle="1" w:styleId="EntRefer">
    <w:name w:val="EntRefer"/>
    <w:basedOn w:val="Normal"/>
    <w:rsid w:val="00F4449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"/>
    <w:rsid w:val="00F4449A"/>
    <w:pPr>
      <w:spacing w:before="40" w:after="0" w:line="240" w:lineRule="auto"/>
    </w:pPr>
  </w:style>
  <w:style w:type="paragraph" w:customStyle="1" w:styleId="EntText">
    <w:name w:val="EntText"/>
    <w:basedOn w:val="Normal"/>
    <w:rsid w:val="00F4449A"/>
  </w:style>
  <w:style w:type="paragraph" w:customStyle="1" w:styleId="EntEU">
    <w:name w:val="EntEU"/>
    <w:basedOn w:val="Normal"/>
    <w:rsid w:val="00F4449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"/>
    <w:rsid w:val="00F4449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"/>
    <w:rsid w:val="00F4449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"/>
    <w:rsid w:val="00F4449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F4449A"/>
    <w:pPr>
      <w:spacing w:before="240"/>
    </w:pPr>
  </w:style>
  <w:style w:type="paragraph" w:customStyle="1" w:styleId="Accordtitre">
    <w:name w:val="Accord titre"/>
    <w:basedOn w:val="Normal"/>
    <w:rsid w:val="00F4449A"/>
    <w:pPr>
      <w:spacing w:before="0" w:after="0"/>
      <w:jc w:val="center"/>
    </w:pPr>
  </w:style>
  <w:style w:type="paragraph" w:customStyle="1" w:styleId="FooterAccord">
    <w:name w:val="Footer Accord"/>
    <w:basedOn w:val="Normal"/>
    <w:rsid w:val="00F4449A"/>
    <w:pPr>
      <w:tabs>
        <w:tab w:val="center" w:pos="4819"/>
        <w:tab w:val="center" w:pos="7370"/>
        <w:tab w:val="end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"/>
    <w:rsid w:val="00F4449A"/>
    <w:pPr>
      <w:tabs>
        <w:tab w:val="center" w:pos="7285"/>
        <w:tab w:val="center" w:pos="10930"/>
        <w:tab w:val="end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"/>
    <w:next w:val="Normal"/>
    <w:rsid w:val="00F4449A"/>
    <w:pPr>
      <w:keepNext/>
      <w:spacing w:before="600"/>
      <w:jc w:val="center"/>
    </w:pPr>
    <w:rPr>
      <w:i/>
    </w:rPr>
  </w:style>
  <w:style w:type="paragraph" w:customStyle="1" w:styleId="IntrtEEE">
    <w:name w:val="Intérêt EEE"/>
    <w:basedOn w:val="Normal"/>
    <w:next w:val="Normal"/>
    <w:rsid w:val="00F4449A"/>
    <w:pPr>
      <w:spacing w:before="360" w:after="240"/>
      <w:jc w:val="center"/>
    </w:pPr>
  </w:style>
  <w:style w:type="paragraph" w:customStyle="1" w:styleId="Annexetitre">
    <w:name w:val="Annexe titre"/>
    <w:basedOn w:val="Normal"/>
    <w:next w:val="Normal"/>
    <w:rsid w:val="00F4449A"/>
    <w:pPr>
      <w:jc w:val="center"/>
    </w:pPr>
    <w:rPr>
      <w:b/>
      <w:u w:val="single"/>
    </w:rPr>
  </w:style>
  <w:style w:type="paragraph" w:styleId="DocumentMap">
    <w:name w:val="Document Map"/>
    <w:basedOn w:val="Normal"/>
    <w:semiHidden/>
    <w:rsid w:val="002E3661"/>
    <w:pPr>
      <w:shd w:val="clear" w:color="auto" w:fill="000080"/>
    </w:pPr>
    <w:rPr>
      <w:rFonts w:ascii="Tahoma" w:hAnsi="Tahoma" w:cs="Tahoma"/>
    </w:rPr>
  </w:style>
  <w:style w:type="paragraph" w:customStyle="1" w:styleId="CharCharCharCharChar">
    <w:name w:val=" Char Char Char Char Char"/>
    <w:basedOn w:val="Normal"/>
    <w:link w:val="DefaultParagraphFont"/>
    <w:rsid w:val="002E3661"/>
    <w:pPr>
      <w:spacing w:before="0" w:after="160" w:line="240" w:lineRule="exact"/>
    </w:pPr>
  </w:style>
  <w:style w:type="character" w:styleId="PageNumber">
    <w:name w:val="page number"/>
    <w:basedOn w:val="DefaultParagraphFont"/>
    <w:rsid w:val="002E3661"/>
  </w:style>
  <w:style w:type="paragraph" w:customStyle="1" w:styleId="Footer2">
    <w:name w:val="Footer2"/>
    <w:basedOn w:val="Normal"/>
    <w:rsid w:val="002E3661"/>
    <w:pPr>
      <w:widowControl w:val="0"/>
      <w:tabs>
        <w:tab w:val="end" w:pos="9923"/>
      </w:tabs>
      <w:spacing w:before="0" w:after="240" w:line="240" w:lineRule="auto"/>
      <w:ind w:start="-851"/>
    </w:pPr>
    <w:rPr>
      <w:rFonts w:ascii="Arial" w:hAnsi="Arial" w:cs="Arial"/>
      <w:b/>
      <w:bCs/>
      <w:sz w:val="48"/>
      <w:szCs w:val="48"/>
      <w:lang w:val="en-GB" w:eastAsia="fr-BE"/>
    </w:rPr>
  </w:style>
  <w:style w:type="paragraph" w:styleId="ListBullet">
    <w:name w:val="List Bullet"/>
    <w:basedOn w:val="Normal"/>
    <w:autoRedefine/>
    <w:rsid w:val="00FD0EF2"/>
    <w:pPr>
      <w:numPr>
        <w:ilvl w:val="0"/>
        <w:numId w:val="15"/>
      </w:numPr>
    </w:pPr>
  </w:style>
  <w:style w:type="paragraph" w:styleId="ListBullet2">
    <w:name w:val="List Bullet 2"/>
    <w:basedOn w:val="Normal"/>
    <w:autoRedefine/>
    <w:rsid w:val="00FD0EF2"/>
    <w:pPr>
      <w:numPr>
        <w:ilvl w:val="0"/>
        <w:numId w:val="16"/>
      </w:numPr>
    </w:pPr>
  </w:style>
  <w:style w:type="paragraph" w:styleId="ListBullet3">
    <w:name w:val="List Bullet 3"/>
    <w:basedOn w:val="Normal"/>
    <w:autoRedefine/>
    <w:rsid w:val="00FD0EF2"/>
    <w:pPr>
      <w:numPr>
        <w:ilvl w:val="0"/>
        <w:numId w:val="17"/>
      </w:numPr>
    </w:pPr>
  </w:style>
  <w:style w:type="paragraph" w:styleId="ListBullet4">
    <w:name w:val="List Bullet 4"/>
    <w:basedOn w:val="Normal"/>
    <w:autoRedefine/>
    <w:rsid w:val="00FD0EF2"/>
    <w:pPr>
      <w:numPr>
        <w:ilvl w:val="0"/>
        <w:numId w:val="18"/>
      </w:numPr>
    </w:pPr>
  </w:style>
  <w:style w:type="paragraph" w:styleId="ListNumber">
    <w:name w:val="List Number"/>
    <w:basedOn w:val="Normal"/>
    <w:rsid w:val="00FD0EF2"/>
    <w:pPr>
      <w:numPr>
        <w:ilvl w:val="0"/>
        <w:numId w:val="19"/>
      </w:numPr>
    </w:pPr>
  </w:style>
  <w:style w:type="paragraph" w:styleId="ListNumber2">
    <w:name w:val="List Number 2"/>
    <w:basedOn w:val="Normal"/>
    <w:rsid w:val="00FD0EF2"/>
    <w:pPr>
      <w:numPr>
        <w:ilvl w:val="0"/>
        <w:numId w:val="20"/>
      </w:numPr>
    </w:pPr>
  </w:style>
  <w:style w:type="paragraph" w:styleId="ListNumber3">
    <w:name w:val="List Number 3"/>
    <w:basedOn w:val="Normal"/>
    <w:rsid w:val="00FD0EF2"/>
    <w:pPr>
      <w:numPr>
        <w:ilvl w:val="0"/>
        <w:numId w:val="21"/>
      </w:numPr>
    </w:pPr>
  </w:style>
  <w:style w:type="paragraph" w:styleId="ListNumber4">
    <w:name w:val="List Number 4"/>
    <w:basedOn w:val="Normal"/>
    <w:rsid w:val="00FD0EF2"/>
    <w:pPr>
      <w:numPr>
        <w:ilvl w:val="0"/>
        <w:numId w:val="22"/>
      </w:numPr>
    </w:pPr>
  </w:style>
  <w:style w:type="character" w:styleId="CommentReference">
    <w:name w:val="annotation reference"/>
    <w:basedOn w:val="DefaultParagraphFont"/>
    <w:semiHidden/>
    <w:rsid w:val="00FD0EF2"/>
    <w:rPr>
      <w:sz w:val="16"/>
      <w:szCs w:val="16"/>
    </w:rPr>
  </w:style>
  <w:style w:type="paragraph" w:styleId="CommentText">
    <w:name w:val="annotation text"/>
    <w:basedOn w:val="Normal"/>
    <w:semiHidden/>
    <w:rsid w:val="00FD0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EF2"/>
    <w:rPr>
      <w:b/>
      <w:bCs/>
    </w:rPr>
  </w:style>
  <w:style w:type="character" w:styleId="Hyperlink">
    <w:name w:val="Hyperlink"/>
    <w:basedOn w:val="DefaultParagraphFont"/>
    <w:rsid w:val="00FD0EF2"/>
    <w:rPr>
      <w:color w:val="0000FF"/>
      <w:u w:val="single"/>
    </w:rPr>
  </w:style>
  <w:style w:type="paragraph" w:styleId="BalloonText">
    <w:name w:val="Balloon Text"/>
    <w:basedOn w:val="Normal"/>
    <w:semiHidden/>
    <w:rsid w:val="00423225"/>
    <w:rPr>
      <w:rFonts w:ascii="Tahoma" w:hAnsi="Tahoma" w:cs="Tahoma"/>
      <w:sz w:val="16"/>
      <w:szCs w:val="16"/>
    </w:rPr>
  </w:style>
  <w:style w:type="paragraph" w:customStyle="1" w:styleId="CharChar1CharCharChar">
    <w:name w:val=" Char Char1 Char Char Char"/>
    <w:basedOn w:val="Normal"/>
    <w:rsid w:val="00B47A9C"/>
    <w:pPr>
      <w:spacing w:before="0" w:after="160" w:line="240" w:lineRule="exac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purl.oclc.org/ooxml/officeDocument/relationships/footnotes" Target="footnotes.xml" /><Relationship Id="rId10" Type="http://purl.oclc.org/ooxml/officeDocument/relationships/header" Target="header3.xml" /><Relationship Id="rId11" Type="http://purl.oclc.org/ooxml/officeDocument/relationships/footer" Target="footer3.xml" /><Relationship Id="rId12" Type="http://purl.oclc.org/ooxml/officeDocument/relationships/footer" Target="footer4.xml" /><Relationship Id="rId13" Type="http://purl.oclc.org/ooxml/officeDocument/relationships/footer" Target="footer5.xml" /><Relationship Id="rId14" Type="http://purl.oclc.org/ooxml/officeDocument/relationships/footer" Target="footer6.xml" /><Relationship Id="rId15" Type="http://purl.oclc.org/ooxml/officeDocument/relationships/footer" Target="footer7.xml" /><Relationship Id="rId16" Type="http://purl.oclc.org/ooxml/officeDocument/relationships/footer" Target="footer8.xml" /><Relationship Id="rId17" Type="http://purl.oclc.org/ooxml/officeDocument/relationships/footer" Target="footer9.xml" /><Relationship Id="rId18" Type="http://purl.oclc.org/ooxml/officeDocument/relationships/numbering" Target="numbering.xml" /><Relationship Id="rId19" Type="http://purl.oclc.org/ooxml/officeDocument/relationships/styles" Target="styles.xml" /><Relationship Id="rId2" Type="http://purl.oclc.org/ooxml/officeDocument/relationships/settings" Target="settings.xml" /><Relationship Id="rId3" Type="http://purl.oclc.org/ooxml/officeDocument/relationships/webSettings" Target="webSettings.xml" /><Relationship Id="rId4" Type="http://purl.oclc.org/ooxml/officeDocument/relationships/fontTable" Target="fontTable.xml" /><Relationship Id="rId5" Type="http://purl.oclc.org/ooxml/officeDocument/relationships/image" Target="media/image1.jpeg" /><Relationship Id="rId6" Type="http://purl.oclc.org/ooxml/officeDocument/relationships/header" Target="header1.xml" /><Relationship Id="rId7" Type="http://purl.oclc.org/ooxml/officeDocument/relationships/header" Target="header2.xml" /><Relationship Id="rId8" Type="http://purl.oclc.org/ooxml/officeDocument/relationships/footer" Target="footer1.xml" /><Relationship Id="rId9" Type="http://purl.oclc.org/ooxml/officeDocument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purl.oclc.org/ooxml/officeDocument/relationships/attachedTemplate" Target="file:///C:\program%20files\microsoft%20office\templates\COMCONS.DOT" TargetMode="External" /></Relationships>
</file>

<file path=docProps/app.xml><?xml version="1.0" encoding="utf-8"?>
<Properties xmlns="http://purl.oclc.org/ooxml/officeDocument/extendedProperties" xmlns:vt="http://purl.oclc.org/ooxml/officeDocument/docPropsVTypes">
  <Template>COMCONS.DOT</Template>
  <TotalTime>0</TotalTime>
  <Pages>1</Pages>
  <Words>2396</Words>
  <Characters>14189</Characters>
  <Application>Microsoft Office Word</Application>
  <DocSecurity>0</DocSecurity>
  <Lines>322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UNIONE EUROPEA</vt:lpstr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</dc:title>
  <dc:creator>User</dc:creator>
  <cp:lastModifiedBy>User</cp:lastModifiedBy>
  <cp:revision>3</cp:revision>
  <cp:lastPrinted>2011-11-17T13:41:00Z</cp:lastPrinted>
  <dcterms:created xsi:type="dcterms:W3CDTF">2011-11-17T13:48:00Z</dcterms:created>
  <dcterms:modified xsi:type="dcterms:W3CDTF">2011-11-17T14:18:00Z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ategory">
    <vt:lpwstr>COM/SEC/CODEC</vt:lpwstr>
  </property>
  <property fmtid="{D5CDD505-2E9C-101B-9397-08002B2CF9AE}" pid="3" name="Classification">
    <vt:lpwstr> </vt:lpwstr>
  </property>
  <property fmtid="{D5CDD505-2E9C-101B-9397-08002B2CF9AE}" pid="4" name="Created using">
    <vt:lpwstr>LW 5.8, Build 20110906</vt:lpwstr>
  </property>
  <property fmtid="{D5CDD505-2E9C-101B-9397-08002B2CF9AE}" pid="5" name="Last edited using">
    <vt:lpwstr>LW 5.8, Build 20110906</vt:lpwstr>
  </property>
  <property fmtid="{D5CDD505-2E9C-101B-9397-08002B2CF9AE}" pid="6" name="Version">
    <vt:lpwstr>5.8.29.1</vt:lpwstr>
  </property>
</Properties>
</file>