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054D5" w:rsidRPr="000341EC" w:rsidTr="00C86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054D5" w:rsidRPr="000341EC" w:rsidRDefault="00B023A0" w:rsidP="00C868A4">
            <w:pPr>
              <w:pStyle w:val="EPName"/>
            </w:pPr>
            <w:r w:rsidRPr="000341EC">
              <w:t>Evropský parlament</w:t>
            </w:r>
          </w:p>
          <w:p w:rsidR="00E054D5" w:rsidRPr="000341EC" w:rsidRDefault="004751A0" w:rsidP="004751A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341EC">
              <w:t>2014-2019</w:t>
            </w:r>
          </w:p>
        </w:tc>
        <w:tc>
          <w:tcPr>
            <w:tcW w:w="2268" w:type="dxa"/>
            <w:shd w:val="clear" w:color="auto" w:fill="auto"/>
          </w:tcPr>
          <w:p w:rsidR="00E054D5" w:rsidRPr="000341EC" w:rsidRDefault="00C035CB" w:rsidP="00C868A4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89074B" w:rsidRPr="000341EC" w:rsidRDefault="0089074B" w:rsidP="0089074B">
      <w:pPr>
        <w:pStyle w:val="LineTop"/>
      </w:pPr>
    </w:p>
    <w:p w:rsidR="0089074B" w:rsidRPr="000341EC" w:rsidRDefault="004751A0" w:rsidP="0089074B">
      <w:pPr>
        <w:pStyle w:val="ZSessionDoc"/>
      </w:pPr>
      <w:r w:rsidRPr="000341EC">
        <w:t>Dokument ze zasedání</w:t>
      </w:r>
    </w:p>
    <w:p w:rsidR="002C0ACF" w:rsidRPr="000341EC" w:rsidRDefault="002C0ACF" w:rsidP="002C0ACF">
      <w:pPr>
        <w:pStyle w:val="LineBottom"/>
      </w:pPr>
    </w:p>
    <w:p w:rsidR="002C0ACF" w:rsidRPr="000341EC" w:rsidRDefault="002C0ACF" w:rsidP="002C0ACF">
      <w:pPr>
        <w:pStyle w:val="RefProc"/>
      </w:pPr>
      <w:r w:rsidRPr="000341EC">
        <w:rPr>
          <w:rStyle w:val="HideTWBExt"/>
          <w:b w:val="0"/>
          <w:noProof w:val="0"/>
        </w:rPr>
        <w:t>&lt;NoDocSe&gt;</w:t>
      </w:r>
      <w:r w:rsidRPr="000341EC">
        <w:t>B8-0396/2017</w:t>
      </w:r>
      <w:r w:rsidRPr="000341EC">
        <w:rPr>
          <w:rStyle w:val="HideTWBExt"/>
          <w:b w:val="0"/>
          <w:noProof w:val="0"/>
        </w:rPr>
        <w:t>&lt;/NoDocSe&gt;</w:t>
      </w:r>
    </w:p>
    <w:p w:rsidR="002C0ACF" w:rsidRPr="000341EC" w:rsidRDefault="002C0ACF" w:rsidP="002C0ACF">
      <w:pPr>
        <w:pStyle w:val="ZDate"/>
      </w:pPr>
      <w:r w:rsidRPr="000341EC">
        <w:rPr>
          <w:rStyle w:val="HideTWBExt"/>
          <w:noProof w:val="0"/>
        </w:rPr>
        <w:t>&lt;Date&gt;</w:t>
      </w:r>
      <w:r w:rsidRPr="000341EC">
        <w:rPr>
          <w:rStyle w:val="HideTWBInt"/>
        </w:rPr>
        <w:t>{07/06/2017}</w:t>
      </w:r>
      <w:r w:rsidRPr="000341EC">
        <w:t>7.6.2017</w:t>
      </w:r>
      <w:r w:rsidRPr="000341EC">
        <w:rPr>
          <w:rStyle w:val="HideTWBExt"/>
          <w:noProof w:val="0"/>
        </w:rPr>
        <w:t>&lt;/Date&gt;</w:t>
      </w:r>
    </w:p>
    <w:p w:rsidR="004D339E" w:rsidRPr="000341EC" w:rsidRDefault="004D339E">
      <w:pPr>
        <w:pStyle w:val="TypeDoc"/>
      </w:pPr>
      <w:r w:rsidRPr="000341EC">
        <w:rPr>
          <w:rStyle w:val="HideTWBExt"/>
          <w:b w:val="0"/>
          <w:noProof w:val="0"/>
        </w:rPr>
        <w:t>&lt;TitreType&gt;</w:t>
      </w:r>
      <w:r w:rsidRPr="000341EC">
        <w:t>NÁVRH USNESENÍ</w:t>
      </w:r>
      <w:r w:rsidRPr="000341EC">
        <w:rPr>
          <w:rStyle w:val="HideTWBExt"/>
          <w:b w:val="0"/>
          <w:noProof w:val="0"/>
        </w:rPr>
        <w:t>&lt;/TitreType&gt;</w:t>
      </w:r>
    </w:p>
    <w:p w:rsidR="004D339E" w:rsidRPr="000341EC" w:rsidRDefault="004D339E">
      <w:pPr>
        <w:pStyle w:val="Cover12"/>
      </w:pPr>
      <w:r w:rsidRPr="000341EC">
        <w:rPr>
          <w:rStyle w:val="HideTWBExt"/>
          <w:noProof w:val="0"/>
        </w:rPr>
        <w:t>&lt;TitreSuite&gt;</w:t>
      </w:r>
      <w:r w:rsidRPr="000341EC">
        <w:t>pře</w:t>
      </w:r>
      <w:bookmarkStart w:id="0" w:name="_GoBack"/>
      <w:bookmarkEnd w:id="0"/>
      <w:r w:rsidRPr="000341EC">
        <w:t>dložený na základě otázky k ústnímu zodpovězení B8-0217/2017</w:t>
      </w:r>
      <w:r w:rsidRPr="000341EC">
        <w:rPr>
          <w:rStyle w:val="HideTWBExt"/>
          <w:noProof w:val="0"/>
        </w:rPr>
        <w:t>&lt;/TitreSuite&gt;</w:t>
      </w:r>
    </w:p>
    <w:p w:rsidR="004D339E" w:rsidRPr="000341EC" w:rsidRDefault="004D339E">
      <w:pPr>
        <w:pStyle w:val="Cover12"/>
      </w:pPr>
      <w:r w:rsidRPr="000341EC">
        <w:rPr>
          <w:rStyle w:val="HideTWBExt"/>
          <w:noProof w:val="0"/>
        </w:rPr>
        <w:t>&lt;TitreRecueil&gt;</w:t>
      </w:r>
      <w:r w:rsidRPr="000341EC">
        <w:t>v souladu s čl. 128 odst. 5 jednacího řádu</w:t>
      </w:r>
      <w:r w:rsidRPr="000341EC">
        <w:rPr>
          <w:rStyle w:val="HideTWBExt"/>
          <w:noProof w:val="0"/>
        </w:rPr>
        <w:t>&lt;/TitreRecueil&gt;</w:t>
      </w:r>
    </w:p>
    <w:p w:rsidR="00450DDD" w:rsidRPr="000341EC" w:rsidRDefault="00450DDD" w:rsidP="00450DDD">
      <w:pPr>
        <w:pStyle w:val="CoverNormal"/>
      </w:pPr>
      <w:r w:rsidRPr="000341EC">
        <w:rPr>
          <w:rStyle w:val="HideTWBExt"/>
          <w:noProof w:val="0"/>
        </w:rPr>
        <w:t>&lt;Titre&gt;</w:t>
      </w:r>
      <w:r w:rsidRPr="000341EC">
        <w:t>o aktuálním stavu provádění bangladéšského paktu udržitelnosti</w:t>
      </w:r>
      <w:r w:rsidRPr="000341EC">
        <w:rPr>
          <w:rStyle w:val="HideTWBExt"/>
          <w:noProof w:val="0"/>
        </w:rPr>
        <w:t>&lt;/Titre&gt;</w:t>
      </w:r>
    </w:p>
    <w:p w:rsidR="00450DDD" w:rsidRPr="000341EC" w:rsidRDefault="00450DDD" w:rsidP="00450DDD">
      <w:pPr>
        <w:pStyle w:val="Cover24"/>
      </w:pPr>
      <w:r w:rsidRPr="000341EC">
        <w:rPr>
          <w:rStyle w:val="HideTWBExt"/>
          <w:noProof w:val="0"/>
        </w:rPr>
        <w:t>&lt;DocRef&gt;</w:t>
      </w:r>
      <w:r w:rsidRPr="000341EC">
        <w:t>(2017/2636(RSP))</w:t>
      </w:r>
      <w:r w:rsidRPr="000341EC">
        <w:rPr>
          <w:rStyle w:val="HideTWBExt"/>
          <w:noProof w:val="0"/>
        </w:rPr>
        <w:t>&lt;/DocRef&gt;</w:t>
      </w:r>
    </w:p>
    <w:p w:rsidR="00507541" w:rsidRPr="000341EC" w:rsidRDefault="00507541" w:rsidP="00507541">
      <w:pPr>
        <w:pStyle w:val="CoverBold"/>
      </w:pPr>
      <w:r w:rsidRPr="000341EC">
        <w:rPr>
          <w:rStyle w:val="HideTWBExt"/>
          <w:b w:val="0"/>
          <w:noProof w:val="0"/>
        </w:rPr>
        <w:t>&lt;RepeatBlock-By&gt;&lt;Depute&gt;</w:t>
      </w:r>
      <w:r w:rsidRPr="000341EC">
        <w:t xml:space="preserve"> Bernd Lange, Sajjad Karim</w:t>
      </w:r>
      <w:r w:rsidRPr="000341EC">
        <w:rPr>
          <w:rStyle w:val="HideTWBExt"/>
          <w:b w:val="0"/>
          <w:noProof w:val="0"/>
        </w:rPr>
        <w:t>&lt;/Depute&gt;</w:t>
      </w:r>
    </w:p>
    <w:p w:rsidR="00507541" w:rsidRPr="000341EC" w:rsidRDefault="00507541" w:rsidP="00507541">
      <w:pPr>
        <w:pStyle w:val="CoverNormal"/>
      </w:pPr>
      <w:r w:rsidRPr="000341EC">
        <w:rPr>
          <w:rStyle w:val="HideTWBExt"/>
          <w:noProof w:val="0"/>
        </w:rPr>
        <w:t>&lt;Commission&gt;</w:t>
      </w:r>
      <w:r w:rsidRPr="000341EC">
        <w:rPr>
          <w:rStyle w:val="HideTWBInt"/>
        </w:rPr>
        <w:t>{INTA}</w:t>
      </w:r>
      <w:r w:rsidRPr="000341EC">
        <w:t>za Výbor pro mezinárodní obchod</w:t>
      </w:r>
      <w:r w:rsidRPr="000341EC">
        <w:rPr>
          <w:rStyle w:val="HideTWBExt"/>
          <w:noProof w:val="0"/>
        </w:rPr>
        <w:t>&lt;/Commission&gt;</w:t>
      </w:r>
    </w:p>
    <w:p w:rsidR="00507541" w:rsidRPr="000341EC" w:rsidRDefault="00507541" w:rsidP="00507541">
      <w:pPr>
        <w:pStyle w:val="CoverNormal"/>
      </w:pPr>
      <w:r w:rsidRPr="000341EC">
        <w:rPr>
          <w:rStyle w:val="HideTWBExt"/>
          <w:noProof w:val="0"/>
        </w:rPr>
        <w:t>&lt;/RepeatBlock-By&gt;</w:t>
      </w:r>
    </w:p>
    <w:p w:rsidR="004D339E" w:rsidRPr="000341EC" w:rsidRDefault="004D339E">
      <w:pPr>
        <w:pStyle w:val="Normal12Bold"/>
      </w:pPr>
      <w:r w:rsidRPr="000341EC">
        <w:br w:type="page"/>
      </w:r>
      <w:r w:rsidRPr="000341EC">
        <w:lastRenderedPageBreak/>
        <w:t>B8-0396/2017</w:t>
      </w:r>
    </w:p>
    <w:p w:rsidR="00450DDD" w:rsidRPr="000341EC" w:rsidRDefault="00C85309" w:rsidP="00450DDD">
      <w:pPr>
        <w:pStyle w:val="NormalBold"/>
      </w:pPr>
      <w:r w:rsidRPr="000341EC">
        <w:t>Usnesení Evropského parlamentu o aktuálním stavu provádění bangladéšského paktu udržitelnosti</w:t>
      </w:r>
    </w:p>
    <w:p w:rsidR="00450DDD" w:rsidRPr="000341EC" w:rsidRDefault="00B023A0" w:rsidP="00450DDD">
      <w:pPr>
        <w:pStyle w:val="Normal24Bold"/>
      </w:pPr>
      <w:r w:rsidRPr="000341EC">
        <w:t>(2017/2636(RSP))</w:t>
      </w:r>
    </w:p>
    <w:p w:rsidR="004D339E" w:rsidRPr="000341EC" w:rsidRDefault="00B023A0">
      <w:pPr>
        <w:pStyle w:val="Normal12"/>
      </w:pPr>
      <w:r w:rsidRPr="000341EC">
        <w:rPr>
          <w:i/>
        </w:rPr>
        <w:t>Evropský parlament</w:t>
      </w:r>
      <w:r w:rsidRPr="000341EC">
        <w:t>,</w:t>
      </w:r>
    </w:p>
    <w:p w:rsidR="004751A0" w:rsidRPr="000341EC" w:rsidRDefault="004D339E" w:rsidP="004751A0">
      <w:pPr>
        <w:pStyle w:val="Normal12Hanging"/>
      </w:pPr>
      <w:r w:rsidRPr="000341EC">
        <w:t>–</w:t>
      </w:r>
      <w:r w:rsidRPr="000341EC">
        <w:tab/>
        <w:t>s ohledem na své usnesení ze dne 26. listopadu 2015 o svobodě projevu v Bangladéši</w:t>
      </w:r>
      <w:r w:rsidR="004751A0" w:rsidRPr="000341EC">
        <w:rPr>
          <w:rStyle w:val="FootnoteReference"/>
        </w:rPr>
        <w:footnoteReference w:id="1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své usnesení ze dne 29. dubna 2015 o druhém výročí zřícení budovy Rana Plaza a o vývoji ve věci bangladéšského paktu udržitelnosti</w:t>
      </w:r>
      <w:r w:rsidRPr="000341EC">
        <w:rPr>
          <w:rStyle w:val="FootnoteReference"/>
        </w:rPr>
        <w:footnoteReference w:id="2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 ohledem na své usnesení ze dne 18. září 2014 o porušování lidských práv v Bangladéši</w:t>
      </w:r>
      <w:r w:rsidRPr="000341EC">
        <w:rPr>
          <w:rStyle w:val="FootnoteReference"/>
        </w:rPr>
        <w:footnoteReference w:id="3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 xml:space="preserve"> s ohledem na své usnesení ze dne 27. dubna 2017 o stěžejní iniciativě EU pro oděvní průmysl</w:t>
      </w:r>
      <w:r w:rsidRPr="000341EC">
        <w:rPr>
          <w:rStyle w:val="FootnoteReference"/>
        </w:rPr>
        <w:footnoteReference w:id="4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svá předchozí usnesení o Bangladéši, zejména na usnesení ze dne 16. ledna 2014</w:t>
      </w:r>
      <w:r w:rsidRPr="000341EC">
        <w:rPr>
          <w:rStyle w:val="FootnoteReference"/>
        </w:rPr>
        <w:footnoteReference w:id="5"/>
      </w:r>
      <w:r w:rsidRPr="000341EC">
        <w:t>, 21. listopadu 2013</w:t>
      </w:r>
      <w:r w:rsidRPr="000341EC">
        <w:rPr>
          <w:rStyle w:val="FootnoteReference"/>
        </w:rPr>
        <w:footnoteReference w:id="6"/>
      </w:r>
      <w:r w:rsidRPr="000341EC">
        <w:t xml:space="preserve"> a 14. března 2013</w:t>
      </w:r>
      <w:r w:rsidRPr="000341EC">
        <w:rPr>
          <w:rStyle w:val="FootnoteReference"/>
        </w:rPr>
        <w:footnoteReference w:id="7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 ohledem na svá usnesení ze dne 25. listopadu 2010 o lidských právech a sociálních a environmentálních normách v mezinárodních obchodních dohodách</w:t>
      </w:r>
      <w:r w:rsidRPr="000341EC">
        <w:rPr>
          <w:rStyle w:val="FootnoteReference"/>
        </w:rPr>
        <w:footnoteReference w:id="8"/>
      </w:r>
      <w:r w:rsidRPr="000341EC">
        <w:t xml:space="preserve"> a o sociální odpovědnosti podniků v mezinárodních obchodních dohodách</w:t>
      </w:r>
      <w:r w:rsidRPr="000341EC">
        <w:rPr>
          <w:rStyle w:val="FootnoteReference"/>
        </w:rPr>
        <w:footnoteReference w:id="9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 ohledem na svá usnesení ze dne 6. února 2013 o „sociální odpovědnosti podniků: řádné, transparentní a odpovědné obchodní chování a udržitelný růst“</w:t>
      </w:r>
      <w:r w:rsidRPr="000341EC">
        <w:rPr>
          <w:rStyle w:val="FootnoteReference"/>
        </w:rPr>
        <w:footnoteReference w:id="10"/>
      </w:r>
      <w:r w:rsidRPr="000341EC">
        <w:t xml:space="preserve"> a o „sociální odpovědnosti podniků: podpora zájmů společnosti a cesta k udržitelné obnově podporující začlenění“</w:t>
      </w:r>
      <w:r w:rsidRPr="000341EC">
        <w:rPr>
          <w:rStyle w:val="FootnoteReference"/>
        </w:rPr>
        <w:footnoteReference w:id="11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 xml:space="preserve">s ohledem na pracovní dokument útvarů Komise ze dne 24. dubna 2017 nazvaný „Udržitelné hodnotové řetězce v oděvním odvětví díky opatřením EU pro rozvoj" (COM (2017)0147), 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 xml:space="preserve">s ohledem na sdělení Komise nazvané „Obnovená strategie EU pro sociální odpovědnost podniků na období 2011–2014 “ (COM (2011) 0681) a na výsledky veřejné konzultace o činnosti Komise týkající se směru její politiky sociální </w:t>
      </w:r>
      <w:r w:rsidRPr="000341EC">
        <w:lastRenderedPageBreak/>
        <w:t>odpovědnosti podniků (CSR) po roce 2014,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své usnesení ze dne 5. července 2016 o nové a inovativní budoucí strategii pro obchod a investice</w:t>
      </w:r>
      <w:r w:rsidRPr="000341EC">
        <w:rPr>
          <w:rStyle w:val="FootnoteReference"/>
          <w:bCs/>
        </w:rPr>
        <w:footnoteReference w:id="12"/>
      </w:r>
      <w:r w:rsidRPr="000341EC">
        <w:t>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 xml:space="preserve"> s ohledem na sdělení Komise ze dne 14. října 2015 nazvané „Obchod pro všechny – Cesta k zodpovědnější obchodní a investiční politice“ (COM(2015)0497), 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Dohodu o spolupráci mezi Evropským společenstvím a Bangladéšskou lidovou republikou o partnerství a rozvoji,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Pakt udržitelnosti pro trvalé zlepšování pracovních práv a bezpečnosti v továrnách na konfekční oděvy a pletené zboží v Bangladéši,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zprávy Komise o technickém stavu bangladéšského paktu udržitelnosti z července 2016 a ze dne 24. dubna 2015,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zprávu z pracovní cesty jeh</w:t>
      </w:r>
      <w:r w:rsidR="002D620F">
        <w:t>o Výboru pro mezinárodní obchod</w:t>
      </w:r>
      <w:r w:rsidRPr="000341EC">
        <w:t xml:space="preserve"> ze dne 23. ledna 20</w:t>
      </w:r>
      <w:r w:rsidR="002D620F">
        <w:t xml:space="preserve">17 po návratu z pracovní cesty </w:t>
      </w:r>
      <w:r w:rsidRPr="000341EC">
        <w:t>delegace ad hoc do Bangladéše (Dháky) konané ve dnech 15.–17. listopadu 2016,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Program lepší práce v Bangladéši Mezinárodní organizace práce (MOP), který byl zahájen v říjnu 2013,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zprávu z trojstranné mise MOP na vysoké úrovni a připomínky Výboru odborníků MOP na uplatňování úmluv a doporučení z roku 2017 týkající se úmluv č. 87 a 98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zvláštní odstavec zprávy Výboru pro uplatňování norem MOP pro Mezinárodní konferenci práce 2016 a s ohledem na stížnost podanou v roce 2017 Výboru MOP pro svobodu sdružování týkající se násilných zákroků vlády proti pracovníkům v oděvním průmyslu v Ashulii v prosinci 2016 a stížnost podanou zvláštním zmocněncům OSN týkající se násilných zákroků v Ashulii,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 xml:space="preserve">s ohledem na Deklaraci OSN z Johannesburgu o udržitelné spotřebě a produkci na podporu sociálního a ekonomického rozvoje, 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rámec politiky investic pro udržitelný rozvoj (2015) konference OSN o obchodu a rozvoji (UNCTAD),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 xml:space="preserve">s ohledem na obecné zásady OSN v oblasti podnikání a lidských práv, které pro vlády i společnosti stanovují rámec pro ochranu a dodržování lidských práv a které v červnu 2011 schválila Rada OSN pro lidská práva, 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iniciativu OSN nazvanou Global Compact týkající se lidských práv, pracovních podmínek, životního prostředí a boje proti korupci,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 ohledem na pokyny OECD pro nadnárodní společnosti,</w:t>
      </w:r>
    </w:p>
    <w:p w:rsidR="004751A0" w:rsidRPr="000341EC" w:rsidRDefault="004751A0" w:rsidP="004751A0">
      <w:pPr>
        <w:pStyle w:val="Normal12Hanging"/>
      </w:pPr>
      <w:r w:rsidRPr="000341EC">
        <w:lastRenderedPageBreak/>
        <w:t>–</w:t>
      </w:r>
      <w:r w:rsidRPr="000341EC">
        <w:tab/>
        <w:t>s ohledem na čtvrtletní souhrnnou zprávu dohody týkající se postupu sanace továren na konfekční oděvy, na něž se vztahuje dohoda ze dne 31. října 2016,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 ohledem na otázku předloženou Komisi ve věci „aktuálního stavu provádění bangladéšského paktu udržitelnosti“ (O-000037/2017 – B8-0217/2017),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návrh usnesení Výboru pro mezinárodní obchod,</w:t>
      </w:r>
    </w:p>
    <w:p w:rsidR="004751A0" w:rsidRPr="000341EC" w:rsidRDefault="004751A0" w:rsidP="004751A0">
      <w:pPr>
        <w:pStyle w:val="Normal12Hanging"/>
      </w:pPr>
      <w:r w:rsidRPr="000341EC">
        <w:t>–</w:t>
      </w:r>
      <w:r w:rsidRPr="000341EC">
        <w:tab/>
        <w:t>s ohledem na čl. 128 odst. 5 a čl. 123 odst. 2 jednacího řádu,</w:t>
      </w:r>
    </w:p>
    <w:p w:rsidR="004751A0" w:rsidRPr="000341EC" w:rsidRDefault="004751A0" w:rsidP="004751A0">
      <w:pPr>
        <w:pStyle w:val="Normal12Hanging"/>
      </w:pPr>
      <w:r w:rsidRPr="000341EC">
        <w:t>A.</w:t>
      </w:r>
      <w:r w:rsidRPr="000341EC">
        <w:tab/>
        <w:t>vzhledem k tomu, že se Bangladéš stal druhým největším výrobcem oděvů na světě a že textilní průmysl tvoří téměř 81 % celkového vývozu země; vzhledem k tomu, že 60 % výroby oděvů v Bangladéši směřuje do EU, která je jeho hlavním vývozním trhem;</w:t>
      </w:r>
    </w:p>
    <w:p w:rsidR="004751A0" w:rsidRPr="000341EC" w:rsidRDefault="004751A0" w:rsidP="004751A0">
      <w:pPr>
        <w:pStyle w:val="Normal12Hanging"/>
      </w:pPr>
      <w:r w:rsidRPr="000341EC">
        <w:t>B.</w:t>
      </w:r>
      <w:r w:rsidRPr="000341EC">
        <w:tab/>
        <w:t>vzhledem k tomu, že bangladéšský oděvní průmysl zaměstnává přibližně 4,2 milionu lidí v až 5000 továrnách a nepřímo poskytuje obživu nejméně 40 milionům lidí, tj. asi čtvrtině obyvatel Bangladéše; vzhledem k tomu, že oděvní průmysl značně přispěl ke snížení chudoby a zlepšení postavení žen; vzhledem k tomu, že ženy, převážně z venkovských oblastí, tvoří 80 % pracovní síly bangladéšského oděvního průmyslu; vzhledem k tomu, že je ale stále 80 % pracovníků zaměstnáno v neformálním sektoru; vzhledem k tomu, že spletitost dodavatelských řetězců v oděvním průmyslu a nízká úroveň jeho transparentnosti umožňují porušování lidských práv a přispívá k většímu zneužívání; vzhledem k tomu, že minimální mzda v odvětví výroby konfekčních oděvů zůstává pod hranicí chudoby stanovenou Světovou bankou;</w:t>
      </w:r>
    </w:p>
    <w:p w:rsidR="004751A0" w:rsidRPr="000341EC" w:rsidRDefault="004751A0" w:rsidP="004751A0">
      <w:pPr>
        <w:pStyle w:val="Normal12Hanging"/>
      </w:pPr>
      <w:r w:rsidRPr="000341EC">
        <w:t>C.</w:t>
      </w:r>
      <w:r w:rsidRPr="000341EC">
        <w:tab/>
        <w:t>vzhledem k tomu, že rovnost žen a mužů je hybnou silou rozvoje; vzhledem k tomu, že práva žen náleží do spektra lidských práv; vzhledem k tomu, že v článku 8 Smlouvy o fungování Evropské unie je jasně stanoveno, že „při všech svých činnostech usiluje Unie o odstranění nerovností a podporuje rovné zacházení pro muže a ženy“, a proto má EU povinnost začleňovat rovnost žen a mužů do všech svých politik a zajišťovat tak, aby měli muži a ženy stejný užitek ze společenských změn, hospodářského růstu a tvorby kvalitních pracovních míst, odstraňování diskriminace a prosazování respektu vůči právům žen ve světě;</w:t>
      </w:r>
    </w:p>
    <w:p w:rsidR="004751A0" w:rsidRPr="000341EC" w:rsidRDefault="004751A0" w:rsidP="004751A0">
      <w:pPr>
        <w:pStyle w:val="Normal12Hanging"/>
      </w:pPr>
      <w:r w:rsidRPr="000341EC">
        <w:t>D.</w:t>
      </w:r>
      <w:r w:rsidRPr="000341EC">
        <w:tab/>
        <w:t>vzhledem k tomu, že přibližně 10 % pracovní síly v odvětví oděvního průmyslu je zaměstnáno ve vývozních zpracovatelských zónách (EPZ); vzhledem k tomu, že zákoník práce pro vývozní zpracovatelské zóny neuděluje osobám, které v nich pracují, dostatečná základní práva v porovnání s pracovníky zaměstnanými jinde v Bangladéši; vzhledem k tomu, že se počítá se značným rozšířením vývozních zpracovatelských zón;</w:t>
      </w:r>
    </w:p>
    <w:p w:rsidR="004751A0" w:rsidRPr="000341EC" w:rsidRDefault="004751A0" w:rsidP="004751A0">
      <w:pPr>
        <w:pStyle w:val="Normal12Hanging"/>
      </w:pPr>
      <w:r w:rsidRPr="000341EC">
        <w:t>E.</w:t>
      </w:r>
      <w:r w:rsidRPr="000341EC">
        <w:tab/>
        <w:t>vzhledem k tomu, že k úspěšnému značně velkému objemu vývozu oděvních výrobků Ba</w:t>
      </w:r>
      <w:r w:rsidR="00B04AEA">
        <w:t xml:space="preserve">ngladéše a růstu zaměstnanosti </w:t>
      </w:r>
      <w:r w:rsidRPr="000341EC">
        <w:t>velkou měrou přispěly velkorysé jednostranné obchodní preference EU v souvislosti s iniciativou pro nejméně rozvinuté země (LDC) „Vše kromě zbraní“, které jsou zakotvené v nařízení EU o systému všeobecných celních preferencí (GSP) a umožňují bezcelní dovoz textilu z Bangladéše na základě flexibilních pravidel původu;</w:t>
      </w:r>
    </w:p>
    <w:p w:rsidR="004751A0" w:rsidRPr="000341EC" w:rsidRDefault="00B04AEA" w:rsidP="004751A0">
      <w:pPr>
        <w:pStyle w:val="Normal12Hanging"/>
      </w:pPr>
      <w:r>
        <w:t>F.</w:t>
      </w:r>
      <w:r>
        <w:tab/>
        <w:t xml:space="preserve">vzhledem k tomu, že tyto </w:t>
      </w:r>
      <w:r w:rsidR="004751A0" w:rsidRPr="000341EC">
        <w:t xml:space="preserve">obchodní preference jsou svázány se zásadou EU podporovat spravedlivý a volný obchod, a EU tak může zrušit zvýhodnění GSP v nejvážnějších případech porušování lidských práv na základě kapitoly V, čl. 19, bodu 1, písm. a) </w:t>
      </w:r>
      <w:r w:rsidR="004751A0" w:rsidRPr="000341EC">
        <w:lastRenderedPageBreak/>
        <w:t>nařízení o GSP, které stanoví, že preferenční zacházení může být dočasně zrušeno z řady důvodů, včetně závažného a systematického porušování zásad stanovených v úmluvách uvedených v části A přílohy VIII, mimo jiné osmi základních úmluv MOP:</w:t>
      </w:r>
    </w:p>
    <w:p w:rsidR="004751A0" w:rsidRPr="000341EC" w:rsidRDefault="004751A0" w:rsidP="004751A0">
      <w:pPr>
        <w:pStyle w:val="Normal12Hanging"/>
      </w:pPr>
      <w:r w:rsidRPr="000341EC">
        <w:t>G.</w:t>
      </w:r>
      <w:r w:rsidRPr="000341EC">
        <w:tab/>
        <w:t>vzhledem k tomu, že na základě těchto ustanovení Komise a ESVČ zahájily na začátku roku 2017 posílený dialog o pracovních a lidských právech ve snaze zajistit důslednější dodržování zásad těchto úmluv;</w:t>
      </w:r>
    </w:p>
    <w:p w:rsidR="004751A0" w:rsidRPr="000341EC" w:rsidRDefault="004751A0" w:rsidP="004751A0">
      <w:pPr>
        <w:pStyle w:val="Normal12Hanging"/>
      </w:pPr>
      <w:r w:rsidRPr="000341EC">
        <w:t>H.</w:t>
      </w:r>
      <w:r w:rsidRPr="000341EC">
        <w:tab/>
        <w:t>vzhledem k tomu, že MOP věnovala Bangladéši zvláštní odstavec zprávy Výboru pro uplatňování norem MOP pro Mezinárodní konferenci práce 2016, ve kterém se uvádí, že země závažným způsobem porušuje své povinnosti vyplývající z úmluvy 87 (svoboda sdružování); vzhledem k tomu, že v roce 2015 MOP uvedla, že 78 % přihlášek k odborové registraci bylo zamítnuto, a to částečně kvůli nepřátelství vedoucích pracovníků v továrnách a některých politiků vůči odborovým organizacím a částečně kvůli neschopnosti administrativních orgánů přihlášky registrovat.</w:t>
      </w:r>
    </w:p>
    <w:p w:rsidR="004751A0" w:rsidRPr="000341EC" w:rsidRDefault="004751A0" w:rsidP="004751A0">
      <w:pPr>
        <w:pStyle w:val="Normal12Hanging"/>
      </w:pPr>
      <w:r w:rsidRPr="000341EC">
        <w:t>I.</w:t>
      </w:r>
      <w:r w:rsidRPr="000341EC">
        <w:tab/>
        <w:t>vzhledem k tomu, že podle různých zpráv od roku 2006 při různých požárech v závodech v Bangladéši zemřely stovky pracovníků v oděvním průmyslu, za což bohužel mnozí majitelé továren a vedoucí pracovníci, kteří nesli odpovědnost, nebyli nikdy postaveni před soud; vzhledem k tomu, že se odhaduje, že každoročně v rámci všech odvětví umírá 11,7 tisíce pracovníků při smrtelných nehodách a dalších 24,5 tisíce pracovníků umírá na nemoci z povolání;</w:t>
      </w:r>
    </w:p>
    <w:p w:rsidR="004751A0" w:rsidRPr="000341EC" w:rsidRDefault="004751A0" w:rsidP="004751A0">
      <w:pPr>
        <w:pStyle w:val="Normal12Hanging"/>
      </w:pPr>
      <w:r w:rsidRPr="000341EC">
        <w:t>J.</w:t>
      </w:r>
      <w:r w:rsidRPr="000341EC">
        <w:tab/>
        <w:t>vzhledem k tomu, že minimální současná měsíční mzda 5 300 tak (BDT) čili 67 USD se nezvýšila od roku 2013 a rada pro minimální mzdu nebyla svolána;</w:t>
      </w:r>
    </w:p>
    <w:p w:rsidR="004751A0" w:rsidRPr="000341EC" w:rsidRDefault="004751A0" w:rsidP="004751A0">
      <w:pPr>
        <w:pStyle w:val="Normal12Hanging"/>
      </w:pPr>
      <w:r w:rsidRPr="000341EC">
        <w:t>K.</w:t>
      </w:r>
      <w:r w:rsidRPr="000341EC">
        <w:tab/>
        <w:t>vzhledem k tomu, že ode dne 21. prosince 2016, po stávkách a demonstracích bangladéšských pracovníků v oděvním průmyslu požadujících vyšší mzdy, bangladéšské orgány svévolně zatkly a zadržely nejméně 35 představitelů odborových organizací a bojovníků za práva pracovníků, zavřely kanceláře odborových a nevládních organizací a umístily je pod policejní dohled a suspendovaly či propustily 1 600 pracovníků za jejich účast na protestech proti nízkým mzdám v oděvním průmyslu;</w:t>
      </w:r>
    </w:p>
    <w:p w:rsidR="004751A0" w:rsidRPr="000341EC" w:rsidRDefault="004751A0" w:rsidP="004751A0">
      <w:pPr>
        <w:pStyle w:val="Normal12Hanging"/>
      </w:pPr>
      <w:r w:rsidRPr="000341EC">
        <w:t>L.</w:t>
      </w:r>
      <w:r w:rsidRPr="000341EC">
        <w:tab/>
        <w:t>vzhledem k tomu, že Bangladéš na indexu transparentnosti obsadil 145. příčku ze 177 zemí; vzhledem k tomu, že pro dodavatelský řetězec oděvního průmyslu je typická korupce, do níž jsou zapojeni političtí představitelé i místní správa;</w:t>
      </w:r>
    </w:p>
    <w:p w:rsidR="004751A0" w:rsidRPr="000341EC" w:rsidRDefault="004751A0" w:rsidP="004751A0">
      <w:pPr>
        <w:pStyle w:val="Normal12Hanging"/>
      </w:pPr>
      <w:r w:rsidRPr="000341EC">
        <w:t>M.</w:t>
      </w:r>
      <w:r w:rsidRPr="000341EC">
        <w:tab/>
        <w:t>vzhledem k tomu, že řada slibných iniciativ vedených soukromým odvětvím, jako je Bangladéšská dohoda o požární bezpečnosti a bezpečnosti budov (dále jen „dohoda“) během posledních 20 let vcelku kladně přispěla ke zlepšení standardů dodavatelského řetězce a bezpečnosti práce, neboť posílila práva pracovníků v dodavatelském řetězci v oděvním průmyslu;</w:t>
      </w:r>
    </w:p>
    <w:p w:rsidR="004751A0" w:rsidRPr="000341EC" w:rsidRDefault="004751A0" w:rsidP="004751A0">
      <w:pPr>
        <w:pStyle w:val="Normal12Hanging"/>
      </w:pPr>
      <w:r w:rsidRPr="000341EC">
        <w:t>N.</w:t>
      </w:r>
      <w:r w:rsidRPr="000341EC">
        <w:tab/>
        <w:t xml:space="preserve">vzhledem k tomu, že závěry následných přezkumů paktu, které byly provedeny v letech 2014, 2015 a 2016,  informují o viditelných pokrocích bangladéšských orgánů a uznávají přispění paktu k určitému zlepšení zdravotních a bezpečnostních podmínek v továrnách i pracovních podmínek v oděvním průmyslu; vzhledem k tomu, že dosažení pokroku v souvislosti s právy pracovníků je náročnější a během posledních let v této oblasti nebyl zaznamenán žádný podstatný vývoj; vzhledem k tomu, že podle MOP nedostatky při změně a provádění bangladéšského zákoníku práce z roku 2013 vyústily </w:t>
      </w:r>
      <w:r w:rsidRPr="000341EC">
        <w:lastRenderedPageBreak/>
        <w:t>ve vážné překážky bránící uplatňování práva na svobodu sdružování a registraci odborových organizací, zejména v oděvním průmyslu ve vývozních zpracovatelských zónách;  vzhledem k tomu, že pracujícím ve vývozních zpracovatelských zónách bylo upřeno právo vstoupit do odborů;</w:t>
      </w:r>
    </w:p>
    <w:p w:rsidR="004751A0" w:rsidRPr="000341EC" w:rsidRDefault="004751A0" w:rsidP="004751A0">
      <w:pPr>
        <w:pStyle w:val="Normal12Hanging"/>
      </w:pPr>
      <w:r w:rsidRPr="000341EC">
        <w:t>O.</w:t>
      </w:r>
      <w:r w:rsidRPr="000341EC">
        <w:tab/>
        <w:t>vzhledem k tomu, že bezprostředně po katastrofě se zvedla nebývalá vlna zájmu evropských spotřebitelů o bližší informace ohledně toho, jakého jsou výrobky původu a za jakých podmínek jsou vyráběny; vzhledem k tomu, že evropští občané podali řadu petic a zorganizovali kampaně, v nichž od oděvních značek požadovali větší míru odpovědnosti s cílem zajistit, aby jejich produkty byly vyráběny etickým způsobem;</w:t>
      </w:r>
    </w:p>
    <w:p w:rsidR="004751A0" w:rsidRPr="000341EC" w:rsidRDefault="004751A0" w:rsidP="004751A0">
      <w:pPr>
        <w:pStyle w:val="Normal12Hanging"/>
        <w:rPr>
          <w:i/>
        </w:rPr>
      </w:pPr>
      <w:r w:rsidRPr="000341EC">
        <w:rPr>
          <w:i/>
        </w:rPr>
        <w:t>Odpovědné chování podniků v Bangladéši - hlavní domácí priorita</w:t>
      </w:r>
    </w:p>
    <w:p w:rsidR="004751A0" w:rsidRPr="000341EC" w:rsidRDefault="004751A0" w:rsidP="004751A0">
      <w:pPr>
        <w:pStyle w:val="Normal12Hanging"/>
      </w:pPr>
      <w:r w:rsidRPr="000341EC">
        <w:t>1.</w:t>
      </w:r>
      <w:r w:rsidRPr="000341EC">
        <w:tab/>
        <w:t>zdůrazňuje, že navzdory obdivuhodnému růstu a rozvoji v posledních letech Bangladéš musí v dlouhodobém horizontu vynaložit značné úsilí za účelem dosažení udržitelného hospodářského růstu, který bude silněji podporovat začlenění; zdůrazňuje, že strukturální reformy vedoucí ke zvýšení produktivity, další diverzifikace vývozu, sociální spravedlnosti, práva pracujících, ochrana životního prostředí a boj proti korupci by byly v tomto ohledu zásadní;</w:t>
      </w:r>
    </w:p>
    <w:p w:rsidR="004751A0" w:rsidRPr="000341EC" w:rsidRDefault="004751A0" w:rsidP="004751A0">
      <w:pPr>
        <w:pStyle w:val="Normal12Hanging"/>
      </w:pPr>
      <w:r w:rsidRPr="000341EC">
        <w:t>2.</w:t>
      </w:r>
      <w:r w:rsidRPr="000341EC">
        <w:tab/>
        <w:t>vyzývá bangladéšskou vládu, aby se více zapojila do zlepšování bezpečnosti a pracovních podmínek a práv pracujících v oděvním průmyslu a učinila z toho nejvyšší prioritu, aby rovněž zvýšila vládní financování inspektorátu práce, aby nadále prováděla nábor a odborné proškolení inspektorů továren, aby zajistila podmínky, které sníží fluktuaci inspektorů továren, aby vytvořila roční pracovní plán pravidelných inspekcí rekonstruovaných továren a aby rozšířila inspekci budov a továren i do ostatních odvětví;</w:t>
      </w:r>
    </w:p>
    <w:p w:rsidR="004751A0" w:rsidRPr="000341EC" w:rsidRDefault="004751A0" w:rsidP="004751A0">
      <w:pPr>
        <w:pStyle w:val="Normal12Hanging"/>
      </w:pPr>
      <w:r w:rsidRPr="000341EC">
        <w:t>3.</w:t>
      </w:r>
      <w:r w:rsidRPr="000341EC">
        <w:tab/>
        <w:t>vyzývá bangladéšskou vládu, aby novelizovala bangladéšský zákoník práce z roku 2013 s cílem účinněji řešit otázky svobody sdružování a kolektivního vyjednávání, aby podporovala sociální dialog, aby zajistila rychlou a objektivní registraci odborových svazů, aby zajistila účinné vyšetřování a postihování údajné diskriminace odborových svazů a nekalých pracovních praktik, aby zaručila plný soulad pracovního legislativního rámce s mezinárodními standardy, zejména pak s úmluvami MOP 87 a 98 týkajícími se svobody sdružování a kolektivního vyjednávání, a účinné provádění tohoto rámce; dále naléhavě tuto vládu vyzývá, aby zajistila, že legislativa upravující vývozní zpracovatelské zóny bude v souladu s týmiž mezinárodními standardy zcela zaručovat právo na svobodu sdružování, a aby co nejdříve a aktivně vyšetřila všechny případy diskriminace odborových svazů;</w:t>
      </w:r>
    </w:p>
    <w:p w:rsidR="004751A0" w:rsidRPr="000341EC" w:rsidRDefault="004751A0" w:rsidP="004751A0">
      <w:pPr>
        <w:pStyle w:val="Normal12Hanging"/>
      </w:pPr>
      <w:r w:rsidRPr="000341EC">
        <w:t>4.</w:t>
      </w:r>
      <w:r w:rsidRPr="000341EC">
        <w:tab/>
        <w:t>naléhavě vyzývá bangladéšskou vládu, průmyslová sdružení a majitele továren, aby usilovali o sanaci všech továren oděvního průmyslu zaměřených na vývoz, aby byly prováděny opravy a další pravidelné inspekce pod transparentním dohledem příslušných orgánů veřejné správy s ohledem na účelnost finančních prostředků pocházejících od dárců a důležitost efektivní finanční podpory;</w:t>
      </w:r>
    </w:p>
    <w:p w:rsidR="004751A0" w:rsidRPr="000341EC" w:rsidRDefault="004751A0" w:rsidP="004751A0">
      <w:pPr>
        <w:pStyle w:val="Normal12Hanging"/>
      </w:pPr>
      <w:r w:rsidRPr="000341EC">
        <w:t>5.</w:t>
      </w:r>
      <w:r w:rsidRPr="000341EC">
        <w:tab/>
        <w:t>naléhavě žádá bangladéšskou vládu, aby okamžitě znovu svolala radu pro minimální mzdu a stanovila kratší lhůty pro přezkum mezd;</w:t>
      </w:r>
    </w:p>
    <w:p w:rsidR="004751A0" w:rsidRPr="000341EC" w:rsidRDefault="004751A0" w:rsidP="004751A0">
      <w:pPr>
        <w:pStyle w:val="Normal12Hanging"/>
        <w:rPr>
          <w:i/>
        </w:rPr>
      </w:pPr>
      <w:r w:rsidRPr="000341EC">
        <w:rPr>
          <w:i/>
        </w:rPr>
        <w:t>Iniciativy soukromého sektoru- efektivní a cenný přínos</w:t>
      </w:r>
    </w:p>
    <w:p w:rsidR="004751A0" w:rsidRPr="000341EC" w:rsidRDefault="004751A0" w:rsidP="004751A0">
      <w:pPr>
        <w:pStyle w:val="Normal12Hanging"/>
      </w:pPr>
      <w:r w:rsidRPr="000341EC">
        <w:lastRenderedPageBreak/>
        <w:t>6.</w:t>
      </w:r>
      <w:r w:rsidRPr="000341EC">
        <w:tab/>
        <w:t>vyzývá mezinárodní oděvní značky a maloobchodní řetězce a bangladéšský soukromý sektor, aby dlouhodobě usilovaly o dodržování pracovního práva a zaváděly opatření sociální odpovědnosti podniků a zdokonalily zodpovědné obchodní praktiky včetně důstojných pracovních podmínek pro bangladéšské pracovníky v oděvním průmyslu a aby podpořily transparentní informace o tom, které továrny dané zboží vyrábějí a koordinované mechanismy mezi příslušnými iniciativami; vybízí k pokračování úsilí nadnárodních maloobchodních řetězců a oděvních značek o přijetí jednotného kodexu pro audity továren v Bangladéši;</w:t>
      </w:r>
    </w:p>
    <w:p w:rsidR="004751A0" w:rsidRPr="000341EC" w:rsidRDefault="004751A0" w:rsidP="004751A0">
      <w:pPr>
        <w:pStyle w:val="Normal12Hanging"/>
      </w:pPr>
      <w:r w:rsidRPr="000341EC">
        <w:t>7.</w:t>
      </w:r>
      <w:r w:rsidRPr="000341EC">
        <w:tab/>
        <w:t>zdůrazňuje úspěchy spolupráce soukromého podnikatelského sektoru s bangladéšskou vládou a mezinárodními organizacemi působícími v Bangladéši založené na Dohodě o požární bezpečnosti a bezpečnosti budov; upozorňuje však na skutečnost, že navzdory výraznému pokroku v oblasti požární bezpečnosti a bezpečnosti budov panuje mezi partnery dohody znepokojení nad pomalým tempem realizace nápravy v otázkách zásadně důležitých pro bezpečnost; vyzývá smluvní strany dohody k prodloužení svých závazků rámci dohody na dalších pět let před tím, než stávající dohodě vyprší dne 12. května 2018 platnost; vybízí bangladéšskou vládu společně s bangladéšským podnikatelským odvětvím, aby uznaly užitečnost závazků maloobchodních řetězců v Bangladéši vyplývajících z dohody a aby podpořily prodloužení mandátů partnerů dohody v Bangladéši;</w:t>
      </w:r>
    </w:p>
    <w:p w:rsidR="004751A0" w:rsidRPr="000341EC" w:rsidRDefault="004751A0" w:rsidP="004751A0">
      <w:pPr>
        <w:pStyle w:val="Normal12Hanging"/>
      </w:pPr>
      <w:r w:rsidRPr="000341EC">
        <w:t>8.</w:t>
      </w:r>
      <w:r w:rsidRPr="000341EC">
        <w:tab/>
        <w:t>vyzývá bangladéšskou vládu a soukromý sektor, aby pokračovaly v iniciativách směřujících k finančnímu odškodnění a rehabilitaci obětí, aby vyvinuly efektivní strategie opětovného zaměstnání a podporu rozvoje dovedností souvisejících s podnikáním a obživou;</w:t>
      </w:r>
    </w:p>
    <w:p w:rsidR="004751A0" w:rsidRPr="000341EC" w:rsidRDefault="004751A0" w:rsidP="004751A0">
      <w:pPr>
        <w:pStyle w:val="Normal12Hanging"/>
        <w:rPr>
          <w:i/>
        </w:rPr>
      </w:pPr>
      <w:r w:rsidRPr="000341EC">
        <w:rPr>
          <w:i/>
        </w:rPr>
        <w:t>Sdílená odpovědnost EU a mezinárodního společenství</w:t>
      </w:r>
    </w:p>
    <w:p w:rsidR="004751A0" w:rsidRPr="000341EC" w:rsidRDefault="004751A0" w:rsidP="004751A0">
      <w:pPr>
        <w:pStyle w:val="Normal12Hanging"/>
      </w:pPr>
      <w:r w:rsidRPr="000341EC">
        <w:t>9.</w:t>
      </w:r>
      <w:r w:rsidRPr="000341EC">
        <w:tab/>
        <w:t>podporuje následné kroky bangladéšského paktu udržitelnosti a posílený dialog Komise a ESVČ o pracovních a lidských právech s Bangladéšem s cílem dosáhnout lepšího souladu se zásadami úmluv vyjmenovaných v nařízení o GSP;</w:t>
      </w:r>
    </w:p>
    <w:p w:rsidR="004751A0" w:rsidRPr="000341EC" w:rsidRDefault="004751A0" w:rsidP="004751A0">
      <w:pPr>
        <w:pStyle w:val="Normal12Hanging"/>
      </w:pPr>
      <w:r w:rsidRPr="000341EC">
        <w:t>10.</w:t>
      </w:r>
      <w:r w:rsidRPr="000341EC">
        <w:tab/>
        <w:t>je pro to, aby Komise posoudila možnost celounijních iniciativ pro oděvní průmysl, mezi jejichž klíčové zásady by patřila dobrovolnost a přísné kodexy chování; bere na vědomí pracovní dokument Komise ze dne 24. dubna 2017 nazvaný „Udržitelné hodnotové řetězce v oděvním odvětví zajištěné prostřed</w:t>
      </w:r>
      <w:r w:rsidR="00B04AEA">
        <w:t xml:space="preserve">nictvím rozvojové činnosti EU“ </w:t>
      </w:r>
      <w:r w:rsidRPr="000341EC">
        <w:t>a opakuje svůj požadavek neomezovat se na pracovní dokument, ale zařadit sem možné úvahy o závazných právn</w:t>
      </w:r>
      <w:r w:rsidR="003A43A8">
        <w:t>ích předpisech o náležité péči,</w:t>
      </w:r>
      <w:r w:rsidRPr="000341EC">
        <w:t xml:space="preserve"> dále zdůrazňuje, že koordinace, sdílení informací, výměna osvědčených postupů a závazek vlád nastavit řádné rámcové podmínky mohou přispět ke zvýšení účinnosti soukromých a veřejných iniciativ v oblasti hodnotových řetězců a dosáhnout kladných výsledků v oblasti udržitelného rozvoje; zdůrazňuje, že je důležité zlepšovat informovanost spotřebitelů s cílem zvýšit transparentnost a podpořit úsilí o dosažení lepších pracovních a environmentálních standardů, bezpečnosti výrobků a udržitelné spotřeby;</w:t>
      </w:r>
    </w:p>
    <w:p w:rsidR="004751A0" w:rsidRPr="000341EC" w:rsidRDefault="004751A0" w:rsidP="004751A0">
      <w:pPr>
        <w:pStyle w:val="Normal12Hanging"/>
      </w:pPr>
      <w:r w:rsidRPr="000341EC">
        <w:t>11.</w:t>
      </w:r>
      <w:r w:rsidRPr="000341EC">
        <w:tab/>
        <w:t>domnívá se, že bangladéšský pakt udržitelnosti, na němž se Evropská unie podílí jako jeden z hlavních aktérů, by mohl sloužit jako vzor pro navazování obdobných partnerských vztahů se třetími zeměmi; vybízí EU, aby pokračovala ve spolupráci na mezinárodní úrovni s organizacemi jako MOP, OECD a OSN v oblasti udržitelného rozvoje a sociální odpovědnost podniků a tuto spolupráci prohlubovala;</w:t>
      </w:r>
    </w:p>
    <w:p w:rsidR="004751A0" w:rsidRPr="000341EC" w:rsidRDefault="004751A0" w:rsidP="004751A0">
      <w:pPr>
        <w:pStyle w:val="Normal12Hanging"/>
      </w:pPr>
      <w:r w:rsidRPr="000341EC">
        <w:lastRenderedPageBreak/>
        <w:t>12.</w:t>
      </w:r>
      <w:r w:rsidRPr="000341EC">
        <w:tab/>
        <w:t>podporuje úsilí otevřené pracovní skupiny OSN, jehož cílem je navrhnout závaznou dohodu OSN o obchodu a lidských právech; vyzývá Komisi a členské státy, aby se do těchto jednání aktivně zapojily;</w:t>
      </w:r>
    </w:p>
    <w:p w:rsidR="004751A0" w:rsidRPr="000341EC" w:rsidRDefault="004751A0" w:rsidP="004751A0">
      <w:pPr>
        <w:pStyle w:val="Normal12Hanging"/>
      </w:pPr>
      <w:r w:rsidRPr="000341EC">
        <w:t>13.</w:t>
      </w:r>
      <w:r w:rsidRPr="000341EC">
        <w:tab/>
        <w:t>zdůrazňuje, že pokud se Bangladéši nepodaří zlepšit bezpečnostní situaci a systematicky reagovat na hrozby extremistů v této zemi, bude to mít přímý dopad na investice v Bangladéši, což se v konečném důsledku nepříznivě odrazí na dlouhodobém rozvoji a životech obyčejných lidí.</w:t>
      </w:r>
    </w:p>
    <w:p w:rsidR="004751A0" w:rsidRPr="000341EC" w:rsidRDefault="004751A0" w:rsidP="004751A0">
      <w:pPr>
        <w:pStyle w:val="Normal12Hanging"/>
        <w:rPr>
          <w:i/>
        </w:rPr>
      </w:pPr>
      <w:r w:rsidRPr="000341EC">
        <w:rPr>
          <w:i/>
        </w:rPr>
        <w:t>Závěry</w:t>
      </w:r>
    </w:p>
    <w:p w:rsidR="004751A0" w:rsidRPr="000341EC" w:rsidRDefault="004751A0" w:rsidP="004751A0">
      <w:pPr>
        <w:pStyle w:val="Normal12Hanging"/>
      </w:pPr>
      <w:r w:rsidRPr="000341EC">
        <w:t>14.</w:t>
      </w:r>
      <w:r w:rsidRPr="000341EC">
        <w:tab/>
        <w:t>zdůrazňuje, že vysoce kvalitní oděvní průmysl je stěžejní pro hospodářský a sociální vývoj v Bangladéši a že jeho expanze umožnila mnoha pracovníkům, zvláště ženám, vymanit se z neformální ekonomiky a začlenit se do formální ekonomiky; varuje před iniciativami, které by mohly vést k odklonu EU a jiných podniků od spolupráce s Bangladéšem, což by mělo negativní dopad nejen na pověst země, ale hlavně na perspektivy jejího budoucího vývoje;</w:t>
      </w:r>
    </w:p>
    <w:p w:rsidR="004751A0" w:rsidRPr="000341EC" w:rsidRDefault="004751A0" w:rsidP="004751A0">
      <w:pPr>
        <w:pStyle w:val="Normal12Hanging"/>
      </w:pPr>
      <w:r w:rsidRPr="000341EC">
        <w:t>15.</w:t>
      </w:r>
      <w:r w:rsidRPr="000341EC">
        <w:tab/>
        <w:t>zdůrazňuje, že přispívat k dosažení odpovědného chování podniků jako společnému cíli je sdílenou odpovědností bangladéšské vlády, místního soukromého sektoru, mezinárodního společenství i obchodních partnerů;</w:t>
      </w:r>
    </w:p>
    <w:p w:rsidR="004D339E" w:rsidRPr="000341EC" w:rsidRDefault="004751A0" w:rsidP="004751A0">
      <w:pPr>
        <w:pStyle w:val="Normal12Hanging"/>
      </w:pPr>
      <w:r w:rsidRPr="000341EC">
        <w:t>16.</w:t>
      </w:r>
      <w:r w:rsidRPr="000341EC">
        <w:tab/>
        <w:t>pověřuje svého předsedu, aby předal toto usnesení bangladéšské vládě, Radě, Evropské službě pro vnější činnost, místopředsedkyni Komise, vysoké představitelce Unie pro zahraniční věci a bezpečnostní politiku, zvláštnímu zástupci EU pro lidská práva, vládám a parlamentům členských států, Radě OSN pro lidská práva, vládě a parlamentu Bangladéše a generálnímu řediteli Mezinárodní organizace práce.</w:t>
      </w:r>
    </w:p>
    <w:sectPr w:rsidR="004D339E" w:rsidRPr="000341EC" w:rsidSect="0003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A0" w:rsidRPr="000341EC" w:rsidRDefault="00B023A0">
      <w:r w:rsidRPr="000341EC">
        <w:separator/>
      </w:r>
    </w:p>
  </w:endnote>
  <w:endnote w:type="continuationSeparator" w:id="0">
    <w:p w:rsidR="00B023A0" w:rsidRPr="000341EC" w:rsidRDefault="00B023A0">
      <w:r w:rsidRPr="000341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EC" w:rsidRPr="000341EC" w:rsidRDefault="000341EC" w:rsidP="000341EC">
    <w:pPr>
      <w:pStyle w:val="Footer"/>
    </w:pPr>
    <w:r w:rsidRPr="000341EC">
      <w:t>PE</w:t>
    </w:r>
    <w:r w:rsidRPr="000341EC">
      <w:rPr>
        <w:rStyle w:val="HideTWBExt"/>
        <w:noProof w:val="0"/>
      </w:rPr>
      <w:t>&lt;NoPE&gt;</w:t>
    </w:r>
    <w:r w:rsidRPr="000341EC">
      <w:t>605.505</w:t>
    </w:r>
    <w:r w:rsidRPr="000341EC">
      <w:rPr>
        <w:rStyle w:val="HideTWBExt"/>
        <w:noProof w:val="0"/>
      </w:rPr>
      <w:t>&lt;/NoPE&gt;&lt;Version&gt;</w:t>
    </w:r>
    <w:r w:rsidRPr="000341EC">
      <w:t>v01-00</w:t>
    </w:r>
    <w:r w:rsidRPr="000341EC">
      <w:rPr>
        <w:rStyle w:val="HideTWBExt"/>
        <w:noProof w:val="0"/>
      </w:rPr>
      <w:t>&lt;/Version&gt;</w:t>
    </w:r>
    <w:r w:rsidRPr="000341EC">
      <w:tab/>
    </w:r>
    <w:r w:rsidRPr="000341EC">
      <w:fldChar w:fldCharType="begin"/>
    </w:r>
    <w:r w:rsidRPr="000341EC">
      <w:instrText xml:space="preserve"> PAGE  \* MERGEFORMAT </w:instrText>
    </w:r>
    <w:r w:rsidRPr="000341EC">
      <w:fldChar w:fldCharType="separate"/>
    </w:r>
    <w:r w:rsidR="00C035CB">
      <w:rPr>
        <w:noProof/>
      </w:rPr>
      <w:t>6</w:t>
    </w:r>
    <w:r w:rsidRPr="000341EC">
      <w:fldChar w:fldCharType="end"/>
    </w:r>
    <w:r w:rsidRPr="000341EC">
      <w:t>/</w:t>
    </w:r>
    <w:r w:rsidR="00C035CB">
      <w:fldChar w:fldCharType="begin"/>
    </w:r>
    <w:r w:rsidR="00C035CB">
      <w:instrText xml:space="preserve"> NUMPAGES  \* MERGEFORMAT </w:instrText>
    </w:r>
    <w:r w:rsidR="00C035CB">
      <w:fldChar w:fldCharType="separate"/>
    </w:r>
    <w:r w:rsidR="00C035CB">
      <w:rPr>
        <w:noProof/>
      </w:rPr>
      <w:t>8</w:t>
    </w:r>
    <w:r w:rsidR="00C035CB">
      <w:rPr>
        <w:noProof/>
      </w:rPr>
      <w:fldChar w:fldCharType="end"/>
    </w:r>
    <w:r w:rsidRPr="000341EC">
      <w:tab/>
    </w:r>
    <w:r w:rsidRPr="000341EC">
      <w:rPr>
        <w:rStyle w:val="HideTWBExt"/>
        <w:noProof w:val="0"/>
      </w:rPr>
      <w:t>&lt;PathFdR&gt;</w:t>
    </w:r>
    <w:r w:rsidRPr="000341EC">
      <w:t>RE\1127544CS.docx</w:t>
    </w:r>
    <w:r w:rsidRPr="000341EC">
      <w:rPr>
        <w:rStyle w:val="HideTWBExt"/>
        <w:noProof w:val="0"/>
      </w:rPr>
      <w:t>&lt;/PathFdR&gt;</w:t>
    </w:r>
  </w:p>
  <w:p w:rsidR="00450DDD" w:rsidRPr="000341EC" w:rsidRDefault="000341EC" w:rsidP="000341EC">
    <w:pPr>
      <w:pStyle w:val="Footer2"/>
    </w:pPr>
    <w:r w:rsidRPr="000341EC"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EC" w:rsidRPr="000341EC" w:rsidRDefault="000341EC" w:rsidP="000341EC">
    <w:pPr>
      <w:pStyle w:val="Footer"/>
    </w:pPr>
    <w:r w:rsidRPr="000341EC">
      <w:rPr>
        <w:rStyle w:val="HideTWBExt"/>
        <w:noProof w:val="0"/>
      </w:rPr>
      <w:t>&lt;PathFdR&gt;</w:t>
    </w:r>
    <w:r w:rsidRPr="000341EC">
      <w:t>RE\1127544CS.docx</w:t>
    </w:r>
    <w:r w:rsidRPr="000341EC">
      <w:rPr>
        <w:rStyle w:val="HideTWBExt"/>
        <w:noProof w:val="0"/>
      </w:rPr>
      <w:t>&lt;/PathFdR&gt;</w:t>
    </w:r>
    <w:r w:rsidRPr="000341EC">
      <w:tab/>
    </w:r>
    <w:r w:rsidRPr="000341EC">
      <w:fldChar w:fldCharType="begin"/>
    </w:r>
    <w:r w:rsidRPr="000341EC">
      <w:instrText xml:space="preserve"> PAGE  \* MERGEFORMAT </w:instrText>
    </w:r>
    <w:r w:rsidRPr="000341EC">
      <w:fldChar w:fldCharType="separate"/>
    </w:r>
    <w:r w:rsidR="00C035CB">
      <w:rPr>
        <w:noProof/>
      </w:rPr>
      <w:t>5</w:t>
    </w:r>
    <w:r w:rsidRPr="000341EC">
      <w:fldChar w:fldCharType="end"/>
    </w:r>
    <w:r w:rsidRPr="000341EC">
      <w:t>/</w:t>
    </w:r>
    <w:r w:rsidR="00C035CB">
      <w:fldChar w:fldCharType="begin"/>
    </w:r>
    <w:r w:rsidR="00C035CB">
      <w:instrText xml:space="preserve"> NUMPAGES  \* MERGEFORMAT </w:instrText>
    </w:r>
    <w:r w:rsidR="00C035CB">
      <w:fldChar w:fldCharType="separate"/>
    </w:r>
    <w:r w:rsidR="00C035CB">
      <w:rPr>
        <w:noProof/>
      </w:rPr>
      <w:t>8</w:t>
    </w:r>
    <w:r w:rsidR="00C035CB">
      <w:rPr>
        <w:noProof/>
      </w:rPr>
      <w:fldChar w:fldCharType="end"/>
    </w:r>
    <w:r w:rsidRPr="000341EC">
      <w:tab/>
      <w:t>PE</w:t>
    </w:r>
    <w:r w:rsidRPr="000341EC">
      <w:rPr>
        <w:rStyle w:val="HideTWBExt"/>
        <w:noProof w:val="0"/>
      </w:rPr>
      <w:t>&lt;NoPE&gt;</w:t>
    </w:r>
    <w:r w:rsidRPr="000341EC">
      <w:t>605.505</w:t>
    </w:r>
    <w:r w:rsidRPr="000341EC">
      <w:rPr>
        <w:rStyle w:val="HideTWBExt"/>
        <w:noProof w:val="0"/>
      </w:rPr>
      <w:t>&lt;/NoPE&gt;&lt;Version&gt;</w:t>
    </w:r>
    <w:r w:rsidRPr="000341EC">
      <w:t>v01-00</w:t>
    </w:r>
    <w:r w:rsidRPr="000341EC">
      <w:rPr>
        <w:rStyle w:val="HideTWBExt"/>
        <w:noProof w:val="0"/>
      </w:rPr>
      <w:t>&lt;/Version&gt;</w:t>
    </w:r>
  </w:p>
  <w:p w:rsidR="00450DDD" w:rsidRPr="000341EC" w:rsidRDefault="000341EC" w:rsidP="000341EC">
    <w:pPr>
      <w:pStyle w:val="Footer2"/>
    </w:pPr>
    <w:r w:rsidRPr="000341EC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EC" w:rsidRPr="000341EC" w:rsidRDefault="000341EC" w:rsidP="000341EC">
    <w:pPr>
      <w:pStyle w:val="Footer"/>
    </w:pPr>
    <w:r w:rsidRPr="000341EC">
      <w:rPr>
        <w:rStyle w:val="HideTWBExt"/>
        <w:noProof w:val="0"/>
      </w:rPr>
      <w:t>&lt;PathFdR&gt;</w:t>
    </w:r>
    <w:r w:rsidRPr="000341EC">
      <w:t>RE\1127544CS.docx</w:t>
    </w:r>
    <w:r w:rsidRPr="000341EC">
      <w:rPr>
        <w:rStyle w:val="HideTWBExt"/>
        <w:noProof w:val="0"/>
      </w:rPr>
      <w:t>&lt;/PathFdR&gt;</w:t>
    </w:r>
    <w:r w:rsidRPr="000341EC">
      <w:tab/>
    </w:r>
    <w:r w:rsidRPr="000341EC">
      <w:tab/>
      <w:t>PE</w:t>
    </w:r>
    <w:r w:rsidRPr="000341EC">
      <w:rPr>
        <w:rStyle w:val="HideTWBExt"/>
        <w:noProof w:val="0"/>
      </w:rPr>
      <w:t>&lt;NoPE&gt;</w:t>
    </w:r>
    <w:r w:rsidRPr="000341EC">
      <w:t>605.505</w:t>
    </w:r>
    <w:r w:rsidRPr="000341EC">
      <w:rPr>
        <w:rStyle w:val="HideTWBExt"/>
        <w:noProof w:val="0"/>
      </w:rPr>
      <w:t>&lt;/NoPE&gt;&lt;Version&gt;</w:t>
    </w:r>
    <w:r w:rsidRPr="000341EC">
      <w:t>v01-00</w:t>
    </w:r>
    <w:r w:rsidRPr="000341EC">
      <w:rPr>
        <w:rStyle w:val="HideTWBExt"/>
        <w:noProof w:val="0"/>
      </w:rPr>
      <w:t>&lt;/Version&gt;</w:t>
    </w:r>
  </w:p>
  <w:p w:rsidR="00450DDD" w:rsidRPr="000341EC" w:rsidRDefault="000341EC" w:rsidP="000341EC">
    <w:pPr>
      <w:pStyle w:val="Footer2"/>
      <w:tabs>
        <w:tab w:val="center" w:pos="4535"/>
      </w:tabs>
    </w:pPr>
    <w:r w:rsidRPr="000341EC">
      <w:t>CS</w:t>
    </w:r>
    <w:r w:rsidRPr="000341EC">
      <w:tab/>
    </w:r>
    <w:r w:rsidRPr="000341EC">
      <w:rPr>
        <w:b w:val="0"/>
        <w:i/>
        <w:color w:val="C0C0C0"/>
        <w:sz w:val="22"/>
      </w:rPr>
      <w:t>Jednotná v rozmanitosti</w:t>
    </w:r>
    <w:r w:rsidRPr="000341EC"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A0" w:rsidRPr="000341EC" w:rsidRDefault="00B023A0">
      <w:r w:rsidRPr="000341EC">
        <w:separator/>
      </w:r>
    </w:p>
  </w:footnote>
  <w:footnote w:type="continuationSeparator" w:id="0">
    <w:p w:rsidR="00B023A0" w:rsidRPr="000341EC" w:rsidRDefault="00B023A0">
      <w:r w:rsidRPr="000341EC">
        <w:continuationSeparator/>
      </w:r>
    </w:p>
  </w:footnote>
  <w:footnote w:id="1">
    <w:p w:rsidR="004751A0" w:rsidRPr="000341EC" w:rsidRDefault="004751A0" w:rsidP="004751A0">
      <w:pPr>
        <w:pStyle w:val="FootnoteText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Přijaté texty, P8_TA(2015)0414.</w:t>
      </w:r>
    </w:p>
  </w:footnote>
  <w:footnote w:id="2">
    <w:p w:rsidR="004751A0" w:rsidRPr="000341EC" w:rsidRDefault="004751A0" w:rsidP="004751A0">
      <w:pPr>
        <w:pStyle w:val="FootnoteText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Přijaté texty, P8_TA(2015)0175.</w:t>
      </w:r>
    </w:p>
  </w:footnote>
  <w:footnote w:id="3">
    <w:p w:rsidR="004751A0" w:rsidRPr="000341EC" w:rsidRDefault="004751A0" w:rsidP="004751A0">
      <w:pPr>
        <w:pStyle w:val="FootnoteText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Přijaté texty, P8_TA(2014)0024.</w:t>
      </w:r>
    </w:p>
  </w:footnote>
  <w:footnote w:id="4">
    <w:p w:rsidR="004751A0" w:rsidRPr="000341EC" w:rsidRDefault="004751A0" w:rsidP="004751A0">
      <w:pPr>
        <w:pStyle w:val="FootnoteText"/>
      </w:pPr>
      <w:r w:rsidRPr="000341EC">
        <w:rPr>
          <w:rStyle w:val="FootnoteReference"/>
        </w:rPr>
        <w:footnoteRef/>
      </w:r>
      <w:r w:rsidRPr="000341EC">
        <w:t xml:space="preserve"> </w:t>
      </w:r>
      <w:r w:rsidRPr="000341EC">
        <w:rPr>
          <w:sz w:val="20"/>
        </w:rPr>
        <w:t>Přijaté texty, P8_TA(2017)0196.</w:t>
      </w:r>
    </w:p>
  </w:footnote>
  <w:footnote w:id="5">
    <w:p w:rsidR="004751A0" w:rsidRPr="000341EC" w:rsidRDefault="004751A0" w:rsidP="004751A0">
      <w:pPr>
        <w:pStyle w:val="FootnoteText"/>
        <w:ind w:left="0" w:firstLine="0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Úř. věst. C 482, 23.12.2016, s. 149.</w:t>
      </w:r>
    </w:p>
  </w:footnote>
  <w:footnote w:id="6">
    <w:p w:rsidR="004751A0" w:rsidRPr="000341EC" w:rsidRDefault="004751A0" w:rsidP="004751A0">
      <w:pPr>
        <w:pStyle w:val="FootnoteText"/>
        <w:ind w:left="357" w:hanging="357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Úř. věst. C 436, 24.11.2016, s. 39.</w:t>
      </w:r>
    </w:p>
  </w:footnote>
  <w:footnote w:id="7">
    <w:p w:rsidR="004751A0" w:rsidRPr="000341EC" w:rsidRDefault="004751A0" w:rsidP="004751A0">
      <w:pPr>
        <w:pStyle w:val="FootnoteText"/>
        <w:ind w:left="357" w:hanging="357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Úř. věst. C 482, 23.12.2016, s. 149.</w:t>
      </w:r>
    </w:p>
  </w:footnote>
  <w:footnote w:id="8">
    <w:p w:rsidR="004751A0" w:rsidRPr="000341EC" w:rsidRDefault="004751A0" w:rsidP="004751A0">
      <w:pPr>
        <w:pStyle w:val="FootnoteText"/>
        <w:ind w:left="357" w:hanging="357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Úř. věst. C 99 E, 3.4.2012, s. 31.</w:t>
      </w:r>
    </w:p>
  </w:footnote>
  <w:footnote w:id="9">
    <w:p w:rsidR="004751A0" w:rsidRPr="000341EC" w:rsidRDefault="004751A0" w:rsidP="004751A0">
      <w:pPr>
        <w:pStyle w:val="FootnoteText"/>
        <w:ind w:left="357" w:hanging="357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Úř. věst. C 99 E, 3.4.2012, s. 101.</w:t>
      </w:r>
    </w:p>
  </w:footnote>
  <w:footnote w:id="10">
    <w:p w:rsidR="004751A0" w:rsidRPr="000341EC" w:rsidRDefault="004751A0" w:rsidP="004751A0">
      <w:pPr>
        <w:pStyle w:val="FootnoteText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Úř. věst. C 24, 22.1.2016, s. 28.</w:t>
      </w:r>
    </w:p>
  </w:footnote>
  <w:footnote w:id="11">
    <w:p w:rsidR="004751A0" w:rsidRPr="000341EC" w:rsidRDefault="004751A0" w:rsidP="004751A0">
      <w:pPr>
        <w:pStyle w:val="FootnoteText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Úř. věst. C 24, 22.1.2016, s. 33.</w:t>
      </w:r>
    </w:p>
  </w:footnote>
  <w:footnote w:id="12">
    <w:p w:rsidR="004751A0" w:rsidRPr="000341EC" w:rsidRDefault="004751A0" w:rsidP="004751A0">
      <w:pPr>
        <w:pStyle w:val="FootnoteText"/>
        <w:rPr>
          <w:sz w:val="20"/>
        </w:rPr>
      </w:pPr>
      <w:r w:rsidRPr="000341EC">
        <w:rPr>
          <w:rStyle w:val="FootnoteReference"/>
          <w:sz w:val="20"/>
        </w:rPr>
        <w:footnoteRef/>
      </w:r>
      <w:r w:rsidRPr="000341EC">
        <w:rPr>
          <w:sz w:val="20"/>
        </w:rPr>
        <w:t xml:space="preserve"> Přijaté texty, P8_TA(2016)0299.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CB" w:rsidRDefault="00C03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CB" w:rsidRDefault="00C03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CB" w:rsidRDefault="00C03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DOCTYPEMNU" w:val=" 2"/>
    <w:docVar w:name="LastEditedSection" w:val=" 1"/>
    <w:docVar w:name="QOMNU" w:val=" 1"/>
    <w:docVar w:name="strDocTypeID" w:val="RE_QO"/>
    <w:docVar w:name="strSubDir" w:val="1127"/>
    <w:docVar w:name="TXTLANGUE" w:val="CS"/>
    <w:docVar w:name="TXTLANGUEMIN" w:val="cs"/>
    <w:docVar w:name="TXTNRB" w:val="0396/2017"/>
    <w:docVar w:name="TXTNRPE" w:val="605.505"/>
    <w:docVar w:name="TXTNRRSP" w:val="2017/2636"/>
    <w:docVar w:name="TXTPEorAP" w:val="PE"/>
    <w:docVar w:name="TXTQ1NRB" w:val="0217/2017"/>
    <w:docVar w:name="TXTROUTE" w:val="RE\1127544CS.docx"/>
    <w:docVar w:name="TXTTITLE" w:val="on the state of play of the implementation of the Sustainability Compact in Bangladesh "/>
    <w:docVar w:name="TXTVERSION" w:val="01-00"/>
  </w:docVars>
  <w:rsids>
    <w:rsidRoot w:val="00B023A0"/>
    <w:rsid w:val="000341EC"/>
    <w:rsid w:val="000F2499"/>
    <w:rsid w:val="001F70BB"/>
    <w:rsid w:val="002C0ACF"/>
    <w:rsid w:val="002D620F"/>
    <w:rsid w:val="003A43A8"/>
    <w:rsid w:val="00450DDD"/>
    <w:rsid w:val="004751A0"/>
    <w:rsid w:val="004D339E"/>
    <w:rsid w:val="00507541"/>
    <w:rsid w:val="005215CF"/>
    <w:rsid w:val="00554283"/>
    <w:rsid w:val="00593C6A"/>
    <w:rsid w:val="0061349A"/>
    <w:rsid w:val="00643C0C"/>
    <w:rsid w:val="007C013C"/>
    <w:rsid w:val="007E0BCD"/>
    <w:rsid w:val="00826218"/>
    <w:rsid w:val="00844D93"/>
    <w:rsid w:val="0089074B"/>
    <w:rsid w:val="008D5A9D"/>
    <w:rsid w:val="009105E3"/>
    <w:rsid w:val="00A40163"/>
    <w:rsid w:val="00A474FF"/>
    <w:rsid w:val="00B023A0"/>
    <w:rsid w:val="00B04AEA"/>
    <w:rsid w:val="00B06AAD"/>
    <w:rsid w:val="00BA7C7D"/>
    <w:rsid w:val="00BE5C95"/>
    <w:rsid w:val="00C035CB"/>
    <w:rsid w:val="00C11C70"/>
    <w:rsid w:val="00C20AD7"/>
    <w:rsid w:val="00C85309"/>
    <w:rsid w:val="00C868A4"/>
    <w:rsid w:val="00CB63DD"/>
    <w:rsid w:val="00D3279B"/>
    <w:rsid w:val="00D54D35"/>
    <w:rsid w:val="00D663E3"/>
    <w:rsid w:val="00D954CF"/>
    <w:rsid w:val="00DE744E"/>
    <w:rsid w:val="00DE756D"/>
    <w:rsid w:val="00E054D5"/>
    <w:rsid w:val="00E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BEB308-1A34-4357-94EA-30E826A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507541"/>
    <w:rPr>
      <w:b/>
      <w:sz w:val="24"/>
      <w:lang w:val="cs-CZ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Normal24Bold">
    <w:name w:val="Normal24Bold"/>
    <w:basedOn w:val="Normal"/>
    <w:rsid w:val="00450DDD"/>
    <w:pPr>
      <w:spacing w:after="480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E5C95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Bold">
    <w:name w:val="CoverBold"/>
    <w:basedOn w:val="CoverNormal"/>
    <w:rsid w:val="00507541"/>
    <w:rPr>
      <w:b/>
    </w:rPr>
  </w:style>
  <w:style w:type="paragraph" w:customStyle="1" w:styleId="EPName">
    <w:name w:val="EPName"/>
    <w:basedOn w:val="Normal"/>
    <w:rsid w:val="00E054D5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table" w:styleId="TableGrid">
    <w:name w:val="Table Grid"/>
    <w:basedOn w:val="TableNormal"/>
    <w:rsid w:val="008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89074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89074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C0AC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054D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054D5"/>
    <w:pPr>
      <w:jc w:val="right"/>
    </w:pPr>
  </w:style>
  <w:style w:type="paragraph" w:customStyle="1" w:styleId="RefProc">
    <w:name w:val="RefProc"/>
    <w:basedOn w:val="Normal"/>
    <w:rsid w:val="002C0AC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2C0ACF"/>
    <w:pPr>
      <w:spacing w:after="1200"/>
    </w:pPr>
  </w:style>
  <w:style w:type="paragraph" w:styleId="FootnoteText">
    <w:name w:val="footnote text"/>
    <w:basedOn w:val="Normal"/>
    <w:link w:val="FootnoteTextChar"/>
    <w:unhideWhenUsed/>
    <w:rsid w:val="004751A0"/>
    <w:pPr>
      <w:keepLines/>
      <w:widowControl/>
      <w:spacing w:line="260" w:lineRule="exact"/>
      <w:ind w:left="425" w:hanging="425"/>
    </w:pPr>
    <w:rPr>
      <w:sz w:val="22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4751A0"/>
    <w:rPr>
      <w:sz w:val="22"/>
      <w:lang w:val="cs-CZ" w:eastAsia="fr-FR"/>
    </w:rPr>
  </w:style>
  <w:style w:type="character" w:styleId="FootnoteReference">
    <w:name w:val="footnote reference"/>
    <w:unhideWhenUsed/>
    <w:rsid w:val="004751A0"/>
    <w:rPr>
      <w:b w:val="0"/>
      <w:bCs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D9932259.dotm</Template>
  <TotalTime>0</TotalTime>
  <Pages>8</Pages>
  <Words>2709</Words>
  <Characters>16142</Characters>
  <Application>Microsoft Office Word</Application>
  <DocSecurity>0</DocSecurity>
  <Lines>807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RE_QO</vt:lpstr>
    </vt:vector>
  </TitlesOfParts>
  <Company/>
  <LinksUpToDate>false</LinksUpToDate>
  <CharactersWithSpaces>18496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RE_QO</dc:title>
  <dc:subject/>
  <dc:creator>VYROUBALOVA Jana</dc:creator>
  <cp:keywords/>
  <dc:description/>
  <cp:lastModifiedBy>MRAZKOVA Marie</cp:lastModifiedBy>
  <cp:revision>2</cp:revision>
  <cp:lastPrinted>2003-08-20T07:58:00Z</cp:lastPrinted>
  <dcterms:created xsi:type="dcterms:W3CDTF">2017-06-09T12:26:00Z</dcterms:created>
  <dcterms:modified xsi:type="dcterms:W3CDTF">2017-06-09T12:26:00Z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1127544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\\eiciLUXpr1\pdocep$\DocEP\DOCS\General\RE\RE_QO.dot(17/02/2016 11:46:03)</vt:lpwstr>
  </property>
  <property fmtid="{D5CDD505-2E9C-101B-9397-08002B2CF9AE}" pid="7" name="&lt;ModelTra&gt;">
    <vt:lpwstr>\\eiciLUXpr1\pdocep$\DocEP\TRANSFIL\CS\RE_QO.CS(21/09/2015 07:35:53)</vt:lpwstr>
  </property>
  <property fmtid="{D5CDD505-2E9C-101B-9397-08002B2CF9AE}" pid="8" name="&lt;Model&gt;">
    <vt:lpwstr>RE_QO</vt:lpwstr>
  </property>
  <property fmtid="{D5CDD505-2E9C-101B-9397-08002B2CF9AE}" pid="9" name="FooterPath">
    <vt:lpwstr>RE\1127544CS.docx</vt:lpwstr>
  </property>
  <property fmtid="{D5CDD505-2E9C-101B-9397-08002B2CF9AE}" pid="10" name="PE Number">
    <vt:lpwstr>605.505</vt:lpwstr>
  </property>
  <property fmtid="{D5CDD505-2E9C-101B-9397-08002B2CF9AE}" pid="11" name="Bookout">
    <vt:lpwstr>OK - 2017/06/09 09:46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