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3A4E99" w14:paraId="117C186A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AB3774F" w14:textId="77777777" w:rsidR="00706BC0" w:rsidRPr="003A4E99" w:rsidRDefault="003222C7" w:rsidP="00F26DE8">
            <w:pPr>
              <w:pStyle w:val="EPName"/>
            </w:pPr>
            <w:r>
              <w:t>Parlament Europejski</w:t>
            </w:r>
          </w:p>
          <w:p w14:paraId="11F4EA0B" w14:textId="77777777" w:rsidR="00706BC0" w:rsidRPr="003A4E99" w:rsidRDefault="002D7F7D" w:rsidP="002D7F7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7BC36163" w14:textId="77777777" w:rsidR="00706BC0" w:rsidRPr="003A4E99" w:rsidRDefault="00EB6144" w:rsidP="00F26DE8">
            <w:pPr>
              <w:pStyle w:val="EPLogo"/>
            </w:pPr>
            <w:r w:rsidRPr="003A4E99">
              <w:rPr>
                <w:lang w:val="en-GB"/>
              </w:rPr>
              <w:drawing>
                <wp:inline distT="0" distB="0" distL="0" distR="0" wp14:anchorId="2D2D4733" wp14:editId="3D113A3C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16150" w14:textId="77777777" w:rsidR="00E53167" w:rsidRPr="003A4E99" w:rsidRDefault="00E53167" w:rsidP="00E53167">
      <w:pPr>
        <w:pStyle w:val="LineTop"/>
      </w:pPr>
    </w:p>
    <w:p w14:paraId="75BF2CDA" w14:textId="77777777" w:rsidR="00E53167" w:rsidRPr="003A4E99" w:rsidRDefault="002D7F7D" w:rsidP="00E53167">
      <w:pPr>
        <w:pStyle w:val="ZSessionDoc"/>
      </w:pPr>
      <w:r>
        <w:t>Dokument z posiedzenia</w:t>
      </w:r>
    </w:p>
    <w:p w14:paraId="42288B86" w14:textId="77777777" w:rsidR="00094DDA" w:rsidRPr="003A4E99" w:rsidRDefault="00094DDA" w:rsidP="00094DDA">
      <w:pPr>
        <w:pStyle w:val="LineBottom"/>
      </w:pPr>
    </w:p>
    <w:p w14:paraId="287D75EA" w14:textId="2D6E86FA" w:rsidR="00094DDA" w:rsidRPr="003A4E99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B8-0135/2018</w:t>
      </w:r>
      <w:r>
        <w:rPr>
          <w:rStyle w:val="HideTWBExt"/>
          <w:b w:val="0"/>
          <w:noProof w:val="0"/>
        </w:rPr>
        <w:t>&lt;/NoDocSe&gt;</w:t>
      </w:r>
    </w:p>
    <w:p w14:paraId="70214A80" w14:textId="77777777" w:rsidR="00094DDA" w:rsidRPr="003A4E99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{07/03/2018}</w:t>
      </w:r>
      <w:r>
        <w:t>7.3.2018</w:t>
      </w:r>
      <w:r>
        <w:rPr>
          <w:rStyle w:val="HideTWBExt"/>
          <w:noProof w:val="0"/>
        </w:rPr>
        <w:t>&lt;/Date&gt;</w:t>
      </w:r>
    </w:p>
    <w:p w14:paraId="48340F0E" w14:textId="77777777" w:rsidR="00814BC6" w:rsidRPr="003A4E99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PROJEKT REZOLUCJI</w:t>
      </w:r>
      <w:r>
        <w:rPr>
          <w:rStyle w:val="HideTWBExt"/>
          <w:b w:val="0"/>
          <w:noProof w:val="0"/>
        </w:rPr>
        <w:t>&lt;/TitreType&gt;</w:t>
      </w:r>
    </w:p>
    <w:p w14:paraId="10325DFC" w14:textId="77777777" w:rsidR="00814BC6" w:rsidRPr="003A4E99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złożony w następstwie debaty na temat ram przyszłych stosunków między UE a Zjednoczonym Królestwem</w:t>
      </w:r>
      <w:r>
        <w:rPr>
          <w:rStyle w:val="HideTWBExt"/>
          <w:noProof w:val="0"/>
        </w:rPr>
        <w:t>&lt;/TitreSuite&gt;</w:t>
      </w:r>
    </w:p>
    <w:p w14:paraId="774C547A" w14:textId="77777777" w:rsidR="00814BC6" w:rsidRPr="003A4E99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zgodnie z art. 123 ust. 2 Regulaminu</w:t>
      </w:r>
      <w:r>
        <w:rPr>
          <w:rStyle w:val="HideTWBExt"/>
          <w:noProof w:val="0"/>
        </w:rPr>
        <w:t>&lt;/TitreRecueil&gt;</w:t>
      </w:r>
    </w:p>
    <w:p w14:paraId="4651B48C" w14:textId="77777777" w:rsidR="00C23264" w:rsidRPr="003A4E99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 xml:space="preserve">w sprawie ram przyszłych stosunków między UE a Zjednoczonym Królestwem </w:t>
      </w:r>
      <w:r>
        <w:rPr>
          <w:rStyle w:val="HideTWBExt"/>
          <w:noProof w:val="0"/>
        </w:rPr>
        <w:t>&lt;/Titre&gt;</w:t>
      </w:r>
    </w:p>
    <w:p w14:paraId="47882BD0" w14:textId="77777777" w:rsidR="00C23264" w:rsidRPr="003A4E99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(2018/2573(RSP))</w:t>
      </w:r>
      <w:r>
        <w:rPr>
          <w:rStyle w:val="HideTWBExt"/>
          <w:noProof w:val="0"/>
        </w:rPr>
        <w:t>&lt;/DocRef&gt;</w:t>
      </w:r>
    </w:p>
    <w:p w14:paraId="4E0592F1" w14:textId="77777777" w:rsidR="002574AA" w:rsidRPr="003A4E99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Guy Verhofstadt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46E31339" w14:textId="77777777" w:rsidR="002574AA" w:rsidRPr="003A4E99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{ALDE}</w:t>
      </w:r>
      <w:r>
        <w:t>koordynator i przewodniczący grupy ALDE</w:t>
      </w:r>
      <w:r>
        <w:rPr>
          <w:rStyle w:val="HideTWBExt"/>
          <w:noProof w:val="0"/>
        </w:rPr>
        <w:t>&lt;/Commission&gt;</w:t>
      </w:r>
    </w:p>
    <w:p w14:paraId="10654C39" w14:textId="77777777" w:rsidR="002D7F7D" w:rsidRPr="003A4E99" w:rsidRDefault="002D7F7D" w:rsidP="002D7F7D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Manfred Weber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1929EA5F" w14:textId="77777777" w:rsidR="002D7F7D" w:rsidRPr="003A4E99" w:rsidRDefault="002D7F7D" w:rsidP="002D7F7D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{PPE}</w:t>
      </w:r>
      <w:r>
        <w:t>przewodniczący grupy PPE</w:t>
      </w:r>
      <w:r>
        <w:rPr>
          <w:rStyle w:val="HideTWBExt"/>
          <w:noProof w:val="0"/>
        </w:rPr>
        <w:t>&lt;/Commission&gt;</w:t>
      </w:r>
    </w:p>
    <w:p w14:paraId="7810F2CF" w14:textId="2D57049D" w:rsidR="002D7F7D" w:rsidRPr="003A4E99" w:rsidRDefault="002D7F7D" w:rsidP="002D7F7D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Roberto Gualtieri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3D3FE729" w14:textId="7E58C3A3" w:rsidR="002D7F7D" w:rsidRPr="003A4E99" w:rsidRDefault="002D7F7D" w:rsidP="002D7F7D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{S&amp;D}</w:t>
      </w:r>
      <w:r>
        <w:t>w imieniu grupy S&amp;D</w:t>
      </w:r>
      <w:r>
        <w:rPr>
          <w:rStyle w:val="HideTWBExt"/>
          <w:noProof w:val="0"/>
        </w:rPr>
        <w:t>&lt;/Commission&gt;</w:t>
      </w:r>
    </w:p>
    <w:p w14:paraId="5793E264" w14:textId="77777777" w:rsidR="002D7F7D" w:rsidRPr="003A4E99" w:rsidRDefault="002D7F7D" w:rsidP="002D7F7D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Gabriele Zimmer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5F60EFA4" w14:textId="77777777" w:rsidR="002D7F7D" w:rsidRPr="003A4E99" w:rsidRDefault="002D7F7D" w:rsidP="002D7F7D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{GUE/NGL}</w:t>
      </w:r>
      <w:r>
        <w:t>przewodnicząca grupy GUE/NGL</w:t>
      </w:r>
      <w:r>
        <w:rPr>
          <w:rStyle w:val="HideTWBExt"/>
          <w:noProof w:val="0"/>
        </w:rPr>
        <w:t>&lt;/Commission&gt;</w:t>
      </w:r>
    </w:p>
    <w:p w14:paraId="24D65433" w14:textId="77777777" w:rsidR="002D7F7D" w:rsidRPr="003A4E99" w:rsidRDefault="002D7F7D" w:rsidP="002D7F7D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Philippe Lamberts, Ska Keller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4D68F867" w14:textId="77777777" w:rsidR="002D7F7D" w:rsidRPr="003A4E99" w:rsidRDefault="002D7F7D" w:rsidP="002D7F7D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{Verts/ALE}</w:t>
      </w:r>
      <w:r>
        <w:t>współprzewodniczący grupy Verts/ALE</w:t>
      </w:r>
      <w:r>
        <w:rPr>
          <w:rStyle w:val="HideTWBExt"/>
          <w:noProof w:val="0"/>
        </w:rPr>
        <w:t>&lt;/Commission&gt;</w:t>
      </w:r>
    </w:p>
    <w:p w14:paraId="4F0E5305" w14:textId="77777777" w:rsidR="002D7F7D" w:rsidRPr="003A4E99" w:rsidRDefault="002D7F7D" w:rsidP="002D7F7D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Danuta Maria Hübner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7393CB38" w14:textId="77777777" w:rsidR="002D7F7D" w:rsidRPr="003A4E99" w:rsidRDefault="002D7F7D" w:rsidP="002D7F7D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{CONT}</w:t>
      </w:r>
      <w:r>
        <w:t>przewodnicząca Komisji Spraw Konstytucyjnych</w:t>
      </w:r>
      <w:r>
        <w:rPr>
          <w:rStyle w:val="HideTWBExt"/>
          <w:noProof w:val="0"/>
        </w:rPr>
        <w:t>&lt;/Commission&gt;</w:t>
      </w:r>
    </w:p>
    <w:p w14:paraId="07E80C79" w14:textId="77777777" w:rsidR="002574AA" w:rsidRPr="003A4E99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14:paraId="6C332B70" w14:textId="30A6C63A" w:rsidR="00814BC6" w:rsidRPr="003A4E99" w:rsidRDefault="00814BC6">
      <w:pPr>
        <w:pStyle w:val="Normal12Bold"/>
      </w:pPr>
      <w:r>
        <w:br w:type="page"/>
      </w:r>
      <w:r>
        <w:lastRenderedPageBreak/>
        <w:t>B8-0135/2018</w:t>
      </w:r>
    </w:p>
    <w:p w14:paraId="02164B59" w14:textId="3856C7CF" w:rsidR="00C23264" w:rsidRPr="003A4E99" w:rsidRDefault="003222C7" w:rsidP="00C23264">
      <w:pPr>
        <w:pStyle w:val="NormalBold"/>
      </w:pPr>
      <w:r>
        <w:t>Rezolucja Parlamentu Europejskiego w sprawie ram przyszłych stosunków między UE a</w:t>
      </w:r>
      <w:r w:rsidR="008368B5">
        <w:t> </w:t>
      </w:r>
      <w:r>
        <w:t xml:space="preserve">Zjednoczonym Królestwem </w:t>
      </w:r>
    </w:p>
    <w:p w14:paraId="2C5538ED" w14:textId="77777777" w:rsidR="00C23264" w:rsidRPr="003A4E99" w:rsidRDefault="003222C7" w:rsidP="00C23264">
      <w:pPr>
        <w:pStyle w:val="Normal24Bold"/>
      </w:pPr>
      <w:r>
        <w:t>(2018/2573(RSP))</w:t>
      </w:r>
    </w:p>
    <w:p w14:paraId="5C759A4A" w14:textId="77777777" w:rsidR="00814BC6" w:rsidRPr="003A4E99" w:rsidRDefault="003222C7">
      <w:pPr>
        <w:pStyle w:val="Normal12"/>
      </w:pPr>
      <w:r>
        <w:rPr>
          <w:i/>
        </w:rPr>
        <w:t>Parlament Europejski</w:t>
      </w:r>
      <w:r>
        <w:t>,</w:t>
      </w:r>
    </w:p>
    <w:p w14:paraId="26ACF096" w14:textId="77777777" w:rsidR="002D7F7D" w:rsidRPr="003A4E99" w:rsidRDefault="00814BC6" w:rsidP="002D7F7D">
      <w:pPr>
        <w:pStyle w:val="Normal12Hanging"/>
      </w:pPr>
      <w:r>
        <w:t>–</w:t>
      </w:r>
      <w:r>
        <w:tab/>
        <w:t>uwzględniając Traktat o Unii Europejskiej (TUE) oraz Traktat o funkcjonowaniu Unii Europejskiej (TFUE),</w:t>
      </w:r>
    </w:p>
    <w:p w14:paraId="53966CF4" w14:textId="1042A92A" w:rsidR="002D7F7D" w:rsidRPr="003A4E99" w:rsidRDefault="002D7F7D" w:rsidP="002D7F7D">
      <w:pPr>
        <w:pStyle w:val="Normal12Hanging"/>
      </w:pPr>
      <w:r>
        <w:t>–</w:t>
      </w:r>
      <w:r>
        <w:tab/>
        <w:t>uwzględniając Kartę praw podstawowych Unii Europejskiej z dnia 7 grudnia 2000 r. („Kartę”), ogłoszoną w dniu 12 grudnia 2007 r. w Strasburgu, która weszła w życie wraz z Traktatem z Lizbony w grudniu 2009 r.,</w:t>
      </w:r>
    </w:p>
    <w:p w14:paraId="4CDEAAE6" w14:textId="5AF8E073" w:rsidR="002D7F7D" w:rsidRPr="003A4E99" w:rsidRDefault="002D7F7D" w:rsidP="002D7F7D">
      <w:pPr>
        <w:pStyle w:val="Normal12Hanging"/>
      </w:pPr>
      <w:r>
        <w:t>–</w:t>
      </w:r>
      <w:r>
        <w:tab/>
        <w:t>uwzględniając swoją rezolucję z dnia 5 kwietnia 2017 r.</w:t>
      </w:r>
      <w:r w:rsidR="00EE332B" w:rsidRPr="003A4E99">
        <w:rPr>
          <w:rStyle w:val="FootnoteReference"/>
        </w:rPr>
        <w:footnoteReference w:id="1"/>
      </w:r>
      <w:r>
        <w:t xml:space="preserve"> w sprawie negocjacji ze Zjednoczonym Królestwem w związku ze złożoną przez nie notyfikacją o zamiarze wystąpienia z Unii Europejskiej oraz swoje rezolucje z dnia 3 października 2017 r.</w:t>
      </w:r>
      <w:r w:rsidR="008C72EB" w:rsidRPr="003A4E99">
        <w:rPr>
          <w:rStyle w:val="FootnoteReference"/>
        </w:rPr>
        <w:footnoteReference w:id="2"/>
      </w:r>
      <w:r>
        <w:t xml:space="preserve"> i</w:t>
      </w:r>
      <w:r w:rsidR="008368B5">
        <w:t> </w:t>
      </w:r>
      <w:r>
        <w:t>13</w:t>
      </w:r>
      <w:r w:rsidR="008368B5">
        <w:t> </w:t>
      </w:r>
      <w:r>
        <w:t>grudnia 2017 r.</w:t>
      </w:r>
      <w:r w:rsidR="008C72EB" w:rsidRPr="003A4E99">
        <w:rPr>
          <w:rStyle w:val="FootnoteReference"/>
        </w:rPr>
        <w:footnoteReference w:id="3"/>
      </w:r>
      <w:r>
        <w:t xml:space="preserve"> w sprawie stanu zaawansowania negocjacji ze Zjednoczonym Królestwem,</w:t>
      </w:r>
    </w:p>
    <w:p w14:paraId="154F26BA" w14:textId="575A3863" w:rsidR="002D7F7D" w:rsidRPr="003A4E99" w:rsidRDefault="002D7F7D" w:rsidP="002D7F7D">
      <w:pPr>
        <w:pStyle w:val="Normal12Hanging"/>
      </w:pPr>
      <w:r>
        <w:t>–</w:t>
      </w:r>
      <w:r>
        <w:tab/>
        <w:t>uwzględniając wytyczne Rady Europejskiej (art. 50) z dnia 29 kwietnia 2017 r., wydane w następstwie notyfikacji złożonej przez Zjednoczone Królestwo na mocy art. 50 TUE oraz załącznik do decyzji Rady z dnia 22 maja 2017 r., w którym ustanowiono wytyczne negocjacyjne dotyczące umowy ze Zjednoczonym Królestwem Wielkiej Brytanii i Irlandii Północnej określającej warunki jego wystąpienia z Unii Europejskiej,</w:t>
      </w:r>
    </w:p>
    <w:p w14:paraId="188D7A00" w14:textId="36F24054" w:rsidR="002D7F7D" w:rsidRPr="003A4E99" w:rsidRDefault="002D7F7D" w:rsidP="002D7F7D">
      <w:pPr>
        <w:pStyle w:val="Normal12Hanging"/>
      </w:pPr>
      <w:r>
        <w:t>–</w:t>
      </w:r>
      <w:r>
        <w:tab/>
        <w:t>uwzględniając wspólne sprawozdanie negocjatorów z ramienia Unii Europejskiej i</w:t>
      </w:r>
      <w:r w:rsidR="008368B5">
        <w:t> </w:t>
      </w:r>
      <w:r>
        <w:t>rządu Zjednoczonego Królestwa z dnia 8 grudnia 2017 r. w sprawie postępów poczynionych na pierwszym etapie negocjacji na mocy art. 50 TUE dotyczących dobrze zorganizowanego wystąpienia Zjednoczonego Królestwa z Unii Europejskiej, a także opracowany przez Komisję Europejską projekt umowy o wystąpieniu z dnia 28 lutego 2018 r.,</w:t>
      </w:r>
    </w:p>
    <w:p w14:paraId="068E0FF8" w14:textId="77777777" w:rsidR="002D7F7D" w:rsidRPr="003A4E99" w:rsidRDefault="002D7F7D" w:rsidP="002D7F7D">
      <w:pPr>
        <w:pStyle w:val="Normal12Hanging"/>
      </w:pPr>
      <w:r>
        <w:t>–</w:t>
      </w:r>
      <w:r>
        <w:tab/>
        <w:t>uwzględniając wytyczne Rady Europejskiej (art. 50) z dnia 15 grudnia 2017 r. oraz załącznik do decyzji Rady z dnia 29 stycznia 2018 r. uzupełniającej decyzję Rady z dnia 22 maja 2017 r. upoważniającą do rozpoczęcia negocjacji ze Zjednoczonym Królestwem Wielkiej Brytanii i Irlandii Północnej w sprawie umowy określającej warunki jego wystąpienia z Unii Europejskiej,</w:t>
      </w:r>
    </w:p>
    <w:p w14:paraId="130758E4" w14:textId="77777777" w:rsidR="00814BC6" w:rsidRPr="003A4E99" w:rsidRDefault="00814BC6">
      <w:pPr>
        <w:pStyle w:val="Normal12Hanging"/>
      </w:pPr>
      <w:r>
        <w:t>–</w:t>
      </w:r>
      <w:r>
        <w:tab/>
        <w:t>uwzględniając art. 123 ust. 2 Regulaminu,</w:t>
      </w:r>
    </w:p>
    <w:p w14:paraId="1BE9D45C" w14:textId="77777777" w:rsidR="002D7F7D" w:rsidRPr="003A4E99" w:rsidRDefault="00814BC6" w:rsidP="002D7F7D">
      <w:pPr>
        <w:pStyle w:val="Normal12Hanging"/>
      </w:pPr>
      <w:r>
        <w:t>A.</w:t>
      </w:r>
      <w:r>
        <w:tab/>
        <w:t>mając na uwadze, że celem negocjacji między Unią Europejską (UE) a Zjednoczonym Królestwem na podstawie art. 50 Traktatu o Unii Europejskiej (TUE) jest zapewnienie dobrze zorganizowanego wystąpienia Zjednoczonego Królestwa z UE;</w:t>
      </w:r>
    </w:p>
    <w:p w14:paraId="7484835E" w14:textId="4DE61C60" w:rsidR="002D7F7D" w:rsidRPr="003A4E99" w:rsidRDefault="002D7F7D" w:rsidP="002D7F7D">
      <w:pPr>
        <w:pStyle w:val="Normal12Hanging"/>
      </w:pPr>
      <w:r>
        <w:lastRenderedPageBreak/>
        <w:t>B.</w:t>
      </w:r>
      <w:r>
        <w:tab/>
        <w:t>mając na uwadze, że art. 50 stanowi, iż w warunkach wystąpienia Zjednoczonego Królestwa należy uwzględnić ramy jego przyszłych stosunków z Unią;</w:t>
      </w:r>
    </w:p>
    <w:p w14:paraId="1AB0A4F6" w14:textId="78975747" w:rsidR="002D7F7D" w:rsidRPr="003A4E99" w:rsidRDefault="002D7F7D" w:rsidP="002D7F7D">
      <w:pPr>
        <w:pStyle w:val="Normal12Hanging"/>
      </w:pPr>
      <w:r>
        <w:t>C.</w:t>
      </w:r>
      <w:r>
        <w:tab/>
        <w:t>mając na uwadze, że ponieważ w grudniu 2017 r. osiągnięto wystarczające postępy w</w:t>
      </w:r>
      <w:r w:rsidR="008368B5">
        <w:t> </w:t>
      </w:r>
      <w:r>
        <w:t>negocjacjach dotyczących kwestii wyjścia z UE, właściwe jest, aby w negocjacjach można było teraz zająć się ramami przyszłych stosunków między UE a Zjednoczonym Królestwem, pod warunkiem osiągnięcia współmiernego postępu w negocjacjach dotyczących opracowanego przez Komisję projektu umowy o wystąpieniu;</w:t>
      </w:r>
    </w:p>
    <w:p w14:paraId="05B535EE" w14:textId="473A2C8A" w:rsidR="002D7F7D" w:rsidRPr="003A4E99" w:rsidRDefault="002D7F7D" w:rsidP="002D7F7D">
      <w:pPr>
        <w:pStyle w:val="Normal12Hanging"/>
      </w:pPr>
      <w:r>
        <w:t>D.</w:t>
      </w:r>
      <w:r>
        <w:tab/>
        <w:t>mając na uwadze, że negocjacje te mogą rozpocząć się dopiero wtedy, gdy główny negocjator UE otrzyma mandat do ich rozpoczęcia ze strony instytucji UE;</w:t>
      </w:r>
    </w:p>
    <w:p w14:paraId="13E2A6A8" w14:textId="2292E4A4" w:rsidR="002D7F7D" w:rsidRPr="003A4E99" w:rsidRDefault="002D7F7D" w:rsidP="002D7F7D">
      <w:pPr>
        <w:pStyle w:val="Normal12Hanging"/>
      </w:pPr>
      <w:r>
        <w:t>E.</w:t>
      </w:r>
      <w:r>
        <w:tab/>
        <w:t>mając na uwadze, że każda umowa w sprawie ram przyszłych stosunków będzie traktowana jako integralna część ogólnej umowy w sprawie wystąpienia i będzie stanowić podstawę obrad Parlamentu Europejskiego w trakcie procedury zgody;</w:t>
      </w:r>
    </w:p>
    <w:p w14:paraId="79204189" w14:textId="77777777" w:rsidR="002D7F7D" w:rsidRPr="003A4E99" w:rsidRDefault="002D7F7D" w:rsidP="002D7F7D">
      <w:pPr>
        <w:pStyle w:val="Normal12Hanging"/>
      </w:pPr>
      <w:r>
        <w:t>F.</w:t>
      </w:r>
      <w:r>
        <w:tab/>
        <w:t>mając na uwadze, że w interesie wszystkich stron leży jak najdokładniejsze określenie ram przyszłych stosunków;</w:t>
      </w:r>
    </w:p>
    <w:p w14:paraId="657F220C" w14:textId="00D56779" w:rsidR="002D7F7D" w:rsidRPr="003A4E99" w:rsidRDefault="002D7F7D" w:rsidP="002D7F7D">
      <w:pPr>
        <w:pStyle w:val="Normal12Hanging"/>
      </w:pPr>
      <w:r>
        <w:t>G.</w:t>
      </w:r>
      <w:r>
        <w:tab/>
        <w:t>mając na uwadze, że po wystąpieniu Zjednoczone Królestwo stanie się państwem trzecim niezależnie od tego, jakie ramy zostaną uzgodnione w odniesieniu do jego przyszłych stosunków z UE;</w:t>
      </w:r>
    </w:p>
    <w:p w14:paraId="594A1B2C" w14:textId="46FB5A8A" w:rsidR="002D7F7D" w:rsidRPr="003A4E99" w:rsidRDefault="002D7F7D" w:rsidP="002D7F7D">
      <w:pPr>
        <w:pStyle w:val="Normal12Hanging"/>
      </w:pPr>
      <w:r>
        <w:t>H.</w:t>
      </w:r>
      <w:r>
        <w:tab/>
        <w:t>mając na uwadze, że oprócz elementów zawartych w notyfikacji Zjednoczonego Królestwa z dnia 29 marca 2017 r. o zamiarze wystąpienia z Unii Europejskiej, brytyjska premier wygłosiła szereg przemówień: w Lancaster House dnia 17 stycznia 2017 r., we Florencji dnia 22 września 2017 r., w Monachium dnia 17 lutego 2018 r., a</w:t>
      </w:r>
      <w:r w:rsidR="008368B5">
        <w:t> </w:t>
      </w:r>
      <w:r>
        <w:t>ostatnio w Mansion House dnia 2 marca 2018 r.; mając na uwadze, że nie przedstawiła ona jeszcze spójnej wizji przyszłych stosunków między UE a Zjednoczonym Królestwem;</w:t>
      </w:r>
    </w:p>
    <w:p w14:paraId="0B0147A5" w14:textId="64BFA569" w:rsidR="002D7F7D" w:rsidRPr="003A4E99" w:rsidRDefault="002D7F7D" w:rsidP="002D7F7D">
      <w:pPr>
        <w:pStyle w:val="Normal12Hanging"/>
      </w:pPr>
      <w:r>
        <w:t>I.</w:t>
      </w:r>
      <w:r>
        <w:tab/>
        <w:t>mając na uwadze, że Zjednoczone Królestwo i UE pozostaną bliskimi sąsiadami i nadal będą je łączyły liczne wspólne interesy; mając na uwadze, że te bliskie stosunki w</w:t>
      </w:r>
      <w:r w:rsidR="008368B5">
        <w:t> </w:t>
      </w:r>
      <w:r>
        <w:t>formie układu o stowarzyszeniu między UE a Zjednoczonym Królestwem można by uznać za odpowiednie ramy przyszłych stosunków, dzięki którym te wspólne interesy, włącznie z nowymi stosunkami handlowymi, mogą być chronione i promowane;</w:t>
      </w:r>
    </w:p>
    <w:p w14:paraId="4B26448E" w14:textId="77777777" w:rsidR="002D7F7D" w:rsidRPr="003A4E99" w:rsidRDefault="002D7F7D" w:rsidP="002D7F7D">
      <w:pPr>
        <w:pStyle w:val="Normal12Hanging"/>
      </w:pPr>
      <w:r>
        <w:t>J.</w:t>
      </w:r>
      <w:r>
        <w:tab/>
        <w:t>mając na uwadze, że zaletą układu o stowarzyszeniu dla przyszłych stosunków jest to, że oferuje on elastyczność, która umożliwia różne stopnie współpracy w wielu różnych obszarach polityki; mając na uwadze, że współpraca ta będzie wymagać od obu stron utrzymania wysokich standardów i zobowiązań międzynarodowych w wielu obszarach polityki;</w:t>
      </w:r>
    </w:p>
    <w:p w14:paraId="1620DD98" w14:textId="2338E4E8" w:rsidR="002D7F7D" w:rsidRPr="003A4E99" w:rsidRDefault="002D7F7D" w:rsidP="002D7F7D">
      <w:pPr>
        <w:pStyle w:val="Normal12Hanging"/>
      </w:pPr>
      <w:r>
        <w:t>K.</w:t>
      </w:r>
      <w:r>
        <w:tab/>
        <w:t>mając na uwadze, że zasadnicze znaczenie ma ochrona porozumień UE z państwami trzecimi i organizacjami międzynarodowymi, w tym Porozumienia o Europejskim Obszarze Gospodarczym (Porozumienie EOG);</w:t>
      </w:r>
    </w:p>
    <w:p w14:paraId="05E1DA2D" w14:textId="668BD13E" w:rsidR="002D7F7D" w:rsidRPr="003A4E99" w:rsidRDefault="002D7F7D" w:rsidP="002D7F7D">
      <w:pPr>
        <w:pStyle w:val="Normal12Hanging"/>
      </w:pPr>
      <w:r>
        <w:t>L.</w:t>
      </w:r>
      <w:r>
        <w:tab/>
        <w:t>mając na uwadze, że UE i Zjednoczone Królestwo, jako występujące państwo członkowskie, mają nadrzędny obowiązek zapewnienia kompleksowego i wzajemnego podejścia do ochrony praw obywateli UE mieszkających w Zjednoczonym Królestwie i</w:t>
      </w:r>
      <w:r w:rsidR="008368B5">
        <w:t> </w:t>
      </w:r>
      <w:r>
        <w:t>obywateli Zjednoczonego Królestwa mieszkających w UE-27;</w:t>
      </w:r>
    </w:p>
    <w:p w14:paraId="447BAE8A" w14:textId="464F6F94" w:rsidR="002D7F7D" w:rsidRPr="003A4E99" w:rsidRDefault="002D7F7D" w:rsidP="002D7F7D">
      <w:pPr>
        <w:pStyle w:val="Normal12Hanging"/>
      </w:pPr>
      <w:r>
        <w:t>M.</w:t>
      </w:r>
      <w:r>
        <w:tab/>
        <w:t>mając na uwadze, że w celu zachowania wszystkich części porozumienia wielkopiątkowego z 1998 r. oraz praw ludności Irlandii Północnej Zjednoczone Królestwo musi dotrzymać swoich zobowiązań w celu zapewnienia, że nie nastąpi „usztywnienie” granicy na wyspie Irlandii – albo za pomocą szczegółowych propozycji, które zostaną przedstawione w ramach negocjacji dotyczących przyszłych stosunków między UE a Zjednoczone Królestwo, w formie konkretnych rozwiązań dla Irlandii Północnej, albo poprzez dalsze dostosowywanie przepisów do dorobku prawnego UE;</w:t>
      </w:r>
    </w:p>
    <w:p w14:paraId="57E3B4D4" w14:textId="77777777" w:rsidR="002D7F7D" w:rsidRPr="003A4E99" w:rsidRDefault="002D7F7D" w:rsidP="002D7F7D">
      <w:pPr>
        <w:pStyle w:val="Normal12Hanging"/>
      </w:pPr>
      <w:r>
        <w:t>N.</w:t>
      </w:r>
      <w:r>
        <w:tab/>
        <w:t>mając na uwadze, że postanowienia przejściowe, w tym przedłużenie pełnego dorobku prawnego UE, będą konieczne, aby w momencie wystąpienia Zjednoczonego Królestwa z UE nie ziścił się scenariusz „upadku w przepaść”, a także aby negocjatorzy z ramienia UE i Zjednoczonego Królestwa mieli możliwość negocjowania umowy o przyszłych stosunkach;</w:t>
      </w:r>
    </w:p>
    <w:p w14:paraId="559D1AE8" w14:textId="67E54AB4" w:rsidR="002D7F7D" w:rsidRPr="003A4E99" w:rsidRDefault="002D7F7D" w:rsidP="002D7F7D">
      <w:pPr>
        <w:pStyle w:val="Normal12Hanging"/>
      </w:pPr>
      <w:r>
        <w:t>O.</w:t>
      </w:r>
      <w:r>
        <w:tab/>
        <w:t>mając na uwadze, że właściwe jest, aby instytucje UE i państwa członkowskie, wraz z</w:t>
      </w:r>
      <w:r w:rsidR="008368B5">
        <w:t> </w:t>
      </w:r>
      <w:r>
        <w:t>instytucjami publicznymi i prywatnymi, podejmowały prace w celu przygotowania się na wszelkie ewentualności, jakie mogą pojawić się w wyniku negocjacji;</w:t>
      </w:r>
    </w:p>
    <w:p w14:paraId="071E13B8" w14:textId="70784FE3" w:rsidR="002D7F7D" w:rsidRPr="003A4E99" w:rsidRDefault="002D7F7D" w:rsidP="002D7F7D">
      <w:pPr>
        <w:pStyle w:val="Normal12Hanging"/>
      </w:pPr>
      <w:r>
        <w:t>P.</w:t>
      </w:r>
      <w:r>
        <w:tab/>
        <w:t>mając na uwadze, że jedność instytucji UE i państw członkowskich ma zasadnicze znaczenie dla obrony interesów Unii i jej obywateli na kolejnych etapach negocjacji, zwłaszcza w odniesieniu do ram przyszłych stosunków, ale także dla zapewnienia pomyślnego i terminowego zakończenia tych negocjacji;</w:t>
      </w:r>
    </w:p>
    <w:p w14:paraId="27E740BA" w14:textId="28639BB9" w:rsidR="002D7F7D" w:rsidRPr="003A4E99" w:rsidRDefault="002D7F7D" w:rsidP="002D7F7D">
      <w:pPr>
        <w:pStyle w:val="Normal12Hanging"/>
      </w:pPr>
      <w:r>
        <w:t>1.</w:t>
      </w:r>
      <w:r>
        <w:tab/>
        <w:t>przypomina, że art. 50 ust. 2 TUE stanowi, iż umowa określająca warunki wystąpienia państwa członkowskiego uwzględnia ramy jego przyszłych stosunków z UE;</w:t>
      </w:r>
    </w:p>
    <w:p w14:paraId="6DAAF2F7" w14:textId="4DC252AA" w:rsidR="002D7F7D" w:rsidRPr="003A4E99" w:rsidRDefault="002D7F7D" w:rsidP="002D7F7D">
      <w:pPr>
        <w:pStyle w:val="Normal12Hanging"/>
      </w:pPr>
      <w:r>
        <w:t>2.</w:t>
      </w:r>
      <w:r>
        <w:tab/>
        <w:t>odnotowuje, że takie ramy przyszłych stosunków powinny przyjąć formę deklaracji politycznej związanej z umową o wystąpieniu; podkreśla, że treść deklaracji zostanie oceniona przez Parlament Europejski, gdy zostanie on poproszony o wyrażenie zgody na umowę o wystąpieniu;</w:t>
      </w:r>
    </w:p>
    <w:p w14:paraId="5237CDF0" w14:textId="32EA1C06" w:rsidR="002D7F7D" w:rsidRPr="003A4E99" w:rsidRDefault="002D7F7D" w:rsidP="002D7F7D">
      <w:pPr>
        <w:pStyle w:val="Normal12Hanging"/>
      </w:pPr>
      <w:r>
        <w:t>3.</w:t>
      </w:r>
      <w:r>
        <w:tab/>
        <w:t>ponownie stwierdza, że umowa międzynarodowa w sprawie nowych stosunków między UE a Zjednoczonym Królestwem może podlegać formalnym negocjacjom jedynie po wystąpieniu Zjednoczonego Królestwa z UE i uzyskaniu przez nie statusu państwa trzeciego; przypomina, że zawarcie tej umowy może nastąpić wyłącznie przy pełnym zaangażowaniu i za ostateczną zgodą Parlamentu Europejskiego;</w:t>
      </w:r>
    </w:p>
    <w:p w14:paraId="41E452B8" w14:textId="778D504B" w:rsidR="002D7F7D" w:rsidRPr="003A4E99" w:rsidRDefault="002D7F7D" w:rsidP="002D7F7D">
      <w:pPr>
        <w:pStyle w:val="Normal12Hanging"/>
      </w:pPr>
      <w:r>
        <w:t>4.</w:t>
      </w:r>
      <w:r>
        <w:tab/>
        <w:t>przypomina, że Parlament Europejski zaakceptuje ramy przyszłych stosunków między UE a Zjednoczonym Królestwem tylko wówczas, jeśli ramy te będą w pełni zgodne z</w:t>
      </w:r>
      <w:r w:rsidR="008368B5">
        <w:t> </w:t>
      </w:r>
      <w:r>
        <w:t>następującymi zasadami:</w:t>
      </w:r>
    </w:p>
    <w:p w14:paraId="6F463136" w14:textId="07B7C356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państwo trzecie nie może mieć takich samych praw i korzyści co państwo członkowskie Unii Europejskiej lub członek Europejskiego Stowarzyszenia Wolnego Handlu (EFTA) lub EOG,</w:t>
      </w:r>
    </w:p>
    <w:p w14:paraId="72DAD2AF" w14:textId="2FCD5CDC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ochrona integralności i prawidłowego funkcjonowania rynku wewnętrznego, unii celnej i czterech swobód, bez możliwości podejścia sektorowego,</w:t>
      </w:r>
    </w:p>
    <w:p w14:paraId="4FD17D55" w14:textId="61B509E0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lastRenderedPageBreak/>
        <w:t>–</w:t>
      </w:r>
      <w:r>
        <w:tab/>
        <w:t>zachowanie autonomii podejmowania decyzji przez Unię,</w:t>
      </w:r>
    </w:p>
    <w:p w14:paraId="32C2062A" w14:textId="77777777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ochrona porządku prawnego UE i roli Trybunału Sprawiedliwości Unii Europejskiej (TSUE) w tym zakresie,</w:t>
      </w:r>
    </w:p>
    <w:p w14:paraId="58733C64" w14:textId="108578F2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nieustanne przestrzeganie zasad demokratycznych, praw człowieka i podstawowych wolności, określonych w szczególności w Powszechnej deklaracji praw człowieka ONZ, europejskiej konwencji praw człowieka i podstawowych wolności oraz protokołach do niej, Europejskiej karcie społecznej, Rzymskim Statucie Międzynarodowego Trybunału Karnego i innych międzynarodowych traktatach Organizacji Narodów Zjednoczonych i Rady Europy dotyczących praw człowieka, jak również poszanowanie zasady praworządności,</w:t>
      </w:r>
    </w:p>
    <w:p w14:paraId="57E0BEF0" w14:textId="015B00A6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równe warunki działania, zwłaszcza odnośnie do stałego przestrzegania przez Zjednoczone Królestwo norm określonych w zobowiązaniach międzynarodowych oraz w prawodawstwie i polityce Unii w dziedzinie uczciwej i opartej na zasadach konkurencji, w tym pomocy państwa, praw socjalnych i pracowniczych, a</w:t>
      </w:r>
      <w:r w:rsidR="008368B5">
        <w:t> </w:t>
      </w:r>
      <w:r>
        <w:t>w</w:t>
      </w:r>
      <w:r w:rsidR="008368B5">
        <w:t> </w:t>
      </w:r>
      <w:r>
        <w:t>szczególności równoważnych poziomów ochrony socjalnej i zabezpieczeń przed dumpingiem socjalnym, środowiska naturalnego, zmian klimatu, ochrony konsumentów, zdrowia publicznego, środków sanitarnych i fitosanitarnych, zdrowia i dobrostanu zwierząt, opodatkowania, w tym walki z unikaniem opodatkowania i</w:t>
      </w:r>
      <w:r w:rsidR="008368B5">
        <w:t> </w:t>
      </w:r>
      <w:r>
        <w:t>uchylaniem się od opodatkowania, prania brudnych pieniędzy, a także ochrony danych i prywatności, wraz z jasnym mechanizmem egzekwowania przepisów w</w:t>
      </w:r>
      <w:r w:rsidR="008368B5">
        <w:t> </w:t>
      </w:r>
      <w:r>
        <w:t>celu zapewnienia zgodności,</w:t>
      </w:r>
    </w:p>
    <w:p w14:paraId="6409EBA1" w14:textId="626BCD95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ochrona umów zawieranych przez UE z państwami trzecimi i organizacjami międzynarodowymi, w tym Porozumienia EOG, oraz utrzymanie ogólnej równowagi tych stosunków,</w:t>
      </w:r>
    </w:p>
    <w:p w14:paraId="6BA175A6" w14:textId="5CBAAD09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ochrona stabilności finansowej UE i zgodność z jej systemem regulacyjnym i systemem nadzoru, a także standardami w tym zakresie, oraz ich stosowanie,</w:t>
      </w:r>
    </w:p>
    <w:p w14:paraId="2C2B4C4E" w14:textId="7F889A07" w:rsidR="002D7F7D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właściwa równowaga praw i obowiązków, włącznie ze współmiernymi wkładami finansowymi w stosownych przypadkach;</w:t>
      </w:r>
    </w:p>
    <w:p w14:paraId="141B0E80" w14:textId="499DA245" w:rsidR="002D7F7D" w:rsidRPr="003A4E99" w:rsidRDefault="002D7F7D" w:rsidP="002D7F7D">
      <w:pPr>
        <w:pStyle w:val="Normal12Hanging"/>
      </w:pPr>
      <w:r>
        <w:t>5.</w:t>
      </w:r>
      <w:r>
        <w:tab/>
        <w:t>ponownie podkreśla, że układ o stowarzyszeniu wynegocjowany i uzgodniony między UE a Zjednoczonym Królestwem w związku z jego wystąpieniem na mocy art. 8 TUE i</w:t>
      </w:r>
      <w:r w:rsidR="008368B5">
        <w:t> </w:t>
      </w:r>
      <w:r>
        <w:t>art. 217 TFUE mógłby stanowić odpowiednie ramy przyszłych stosunków i zapewnić spójne ramy zarządzania, które powinny obejmować solidny mechanizm rozstrzygania sporów, co pozwoli uniknąć mnożenia umów dwustronnych i niedociągnięć, które charakteryzują stosunki UE ze Szwajcarią;</w:t>
      </w:r>
    </w:p>
    <w:p w14:paraId="6D0806E2" w14:textId="77777777" w:rsidR="002D7F7D" w:rsidRPr="003A4E99" w:rsidRDefault="002D7F7D" w:rsidP="002D7F7D">
      <w:pPr>
        <w:pStyle w:val="Normal12Hanging"/>
      </w:pPr>
      <w:r>
        <w:t>6.</w:t>
      </w:r>
      <w:r>
        <w:tab/>
        <w:t>proponuje, by te przyszłe stosunki opierały się na następujących czterech filarach:</w:t>
      </w:r>
    </w:p>
    <w:p w14:paraId="67FD09C1" w14:textId="77777777" w:rsidR="00EB6144" w:rsidRPr="003A4E99" w:rsidRDefault="002D7F7D" w:rsidP="00EB6144">
      <w:pPr>
        <w:pStyle w:val="Normal12Hanging"/>
        <w:tabs>
          <w:tab w:val="left" w:pos="851"/>
        </w:tabs>
        <w:ind w:firstLine="0"/>
      </w:pPr>
      <w:r>
        <w:t>–</w:t>
      </w:r>
      <w:r>
        <w:tab/>
        <w:t>stosunki handlowe i gospodarcze,</w:t>
      </w:r>
    </w:p>
    <w:p w14:paraId="716C227A" w14:textId="77777777" w:rsidR="00EB6144" w:rsidRPr="003A4E99" w:rsidRDefault="002D7F7D" w:rsidP="008368B5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polityka zagraniczna, współpraca w zakresie bezpieczeństwa i współpraca na rzecz rozwoju,</w:t>
      </w:r>
    </w:p>
    <w:p w14:paraId="5C739BB4" w14:textId="77777777" w:rsidR="00EB6144" w:rsidRPr="003A4E99" w:rsidRDefault="002D7F7D" w:rsidP="00EB6144">
      <w:pPr>
        <w:pStyle w:val="Normal12Hanging"/>
        <w:tabs>
          <w:tab w:val="left" w:pos="851"/>
        </w:tabs>
        <w:ind w:firstLine="0"/>
      </w:pPr>
      <w:r>
        <w:t>–</w:t>
      </w:r>
      <w:r>
        <w:tab/>
        <w:t>bezpieczeństwo wewnętrzne,</w:t>
      </w:r>
    </w:p>
    <w:p w14:paraId="5A292C1E" w14:textId="77777777" w:rsidR="002D7F7D" w:rsidRPr="003A4E99" w:rsidRDefault="002D7F7D" w:rsidP="00EB6144">
      <w:pPr>
        <w:pStyle w:val="Normal12Hanging"/>
        <w:tabs>
          <w:tab w:val="left" w:pos="851"/>
        </w:tabs>
        <w:spacing w:after="360"/>
        <w:ind w:firstLine="0"/>
      </w:pPr>
      <w:r>
        <w:lastRenderedPageBreak/>
        <w:t>–</w:t>
      </w:r>
      <w:r>
        <w:tab/>
        <w:t>współpraca tematyczna;</w:t>
      </w:r>
    </w:p>
    <w:p w14:paraId="788E7208" w14:textId="77777777" w:rsidR="002D7F7D" w:rsidRPr="003A4E99" w:rsidRDefault="002D7F7D" w:rsidP="002D7F7D">
      <w:pPr>
        <w:pStyle w:val="Normal12Hanging"/>
        <w:rPr>
          <w:b/>
          <w:i/>
        </w:rPr>
      </w:pPr>
      <w:r>
        <w:rPr>
          <w:b/>
          <w:i/>
        </w:rPr>
        <w:t>Ramy przyszłych stosunków</w:t>
      </w:r>
    </w:p>
    <w:p w14:paraId="0BB995C5" w14:textId="1FC1CF7C" w:rsidR="002D7F7D" w:rsidRPr="003A4E99" w:rsidRDefault="002D7F7D" w:rsidP="002D7F7D">
      <w:pPr>
        <w:pStyle w:val="Normal12Hanging"/>
      </w:pPr>
      <w:r>
        <w:t>7.</w:t>
      </w:r>
      <w:r>
        <w:tab/>
        <w:t>zauważa, że biorąc pod uwagę wspólną podstawę wartości podzielanych przez UE i</w:t>
      </w:r>
      <w:r w:rsidR="008368B5">
        <w:t> </w:t>
      </w:r>
      <w:r>
        <w:t>Zjednoczone Królestwo, ich bliskie powiązania i obecne dostosowanie regulacyjne w</w:t>
      </w:r>
      <w:r w:rsidR="008368B5">
        <w:t> </w:t>
      </w:r>
      <w:r>
        <w:t>niemal wszystkich dziedzinach, bliskość geograficzną i wspólną historię, w tym członkostwo Zjednoczonego Królestwa w UE przez ponad 40 lat, a także rolę Zjednoczonego Królestwa jako stałego członka Rady Bezpieczeństwa ONZ i członka NATO, Zjednoczone Królestwo będzie nadal ważnym partnerem UE we wszystkich czterech wymienionych filarach, a ustanowienie partnerstwa zapewniającego stałą współpracę leży we wspólnym interesie obu stron;</w:t>
      </w:r>
    </w:p>
    <w:p w14:paraId="69B35997" w14:textId="118E2573" w:rsidR="002D7F7D" w:rsidRPr="003A4E99" w:rsidRDefault="002D7F7D" w:rsidP="002D7F7D">
      <w:pPr>
        <w:pStyle w:val="Normal12Hanging"/>
      </w:pPr>
      <w:r>
        <w:t>8.</w:t>
      </w:r>
      <w:r>
        <w:tab/>
        <w:t>zauważa jednak, że taka współpraca ze Zjednoczonym Królestwem jako państwem trzecim może odbywać się wyłącznie zgodnie z zasadami przedstawionymi w ust.</w:t>
      </w:r>
      <w:r w:rsidR="008368B5">
        <w:t> </w:t>
      </w:r>
      <w:r>
        <w:t>4 niniejszej rezolucji; przypomina, że UE posiada wiążące wspólne zasady, wspólne instytucje oraz wspólne mechanizmy nadzoru, egzekwowania i orzekania oraz nawet te państwa trzecie, które dysponują identycznym prawodawstwem lub pełnym dostosowaniem regulacyjnym, nie mogą korzystać z takich samych korzyści lub dostępu do rynku co państwa członkowskie UE, na przykład w odniesieniu do czterech swobód i wkładów finansowych z budżetu UE;</w:t>
      </w:r>
    </w:p>
    <w:p w14:paraId="2080EA72" w14:textId="3A11DE29" w:rsidR="002D7F7D" w:rsidRPr="003A4E99" w:rsidRDefault="002D7F7D" w:rsidP="002D7F7D">
      <w:pPr>
        <w:pStyle w:val="Normal12Hanging"/>
      </w:pPr>
      <w:r>
        <w:t>9.</w:t>
      </w:r>
      <w:r>
        <w:tab/>
        <w:t>uważa, że umowa w sprawie przyszłych stosunków powinna zawierać szczegółowe przepisy dotyczące przemieszczania się obywateli z UE do Zjednoczonego Królestwa i</w:t>
      </w:r>
      <w:r w:rsidR="008368B5">
        <w:t> </w:t>
      </w:r>
      <w:r>
        <w:t>ze Zjednoczonego Królestwa do UE po okresie przejściowym, które to przepisy powinny być co najmniej współmierne do stopnia współpracy w ramach czterech filarów wymienionych poniżej;</w:t>
      </w:r>
    </w:p>
    <w:p w14:paraId="0CAEE32C" w14:textId="7AF5BEF0" w:rsidR="002D7F7D" w:rsidRPr="003A4E99" w:rsidRDefault="002D7F7D" w:rsidP="002D7F7D">
      <w:pPr>
        <w:pStyle w:val="Normal12Hanging"/>
      </w:pPr>
      <w:r>
        <w:t>10.</w:t>
      </w:r>
      <w:r>
        <w:tab/>
        <w:t>przypomina, że Parlament Europejski będzie musiał zatwierdzić każdą przyszłą umowę między UE i Zjednoczonym Królestwem; podkreśla, że zgodnie z art. 207, 217 i</w:t>
      </w:r>
      <w:r w:rsidR="008368B5">
        <w:t> </w:t>
      </w:r>
      <w:r>
        <w:t>218</w:t>
      </w:r>
      <w:r w:rsidR="008368B5">
        <w:t> </w:t>
      </w:r>
      <w:r>
        <w:t>TFUE oraz z odnośnym orzecznictwem musi on być niezwłocznie i w pełni informowany na wszystkich etapach postępowania;</w:t>
      </w:r>
    </w:p>
    <w:p w14:paraId="2C4DB49A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(i)</w:t>
      </w:r>
      <w:r>
        <w:rPr>
          <w:i/>
        </w:rPr>
        <w:tab/>
        <w:t>Stosunki handlowe i gospodarcze</w:t>
      </w:r>
    </w:p>
    <w:p w14:paraId="3C163277" w14:textId="3C91E5AC" w:rsidR="002D7F7D" w:rsidRPr="003A4E99" w:rsidRDefault="002D7F7D" w:rsidP="002D7F7D">
      <w:pPr>
        <w:pStyle w:val="Normal12Hanging"/>
      </w:pPr>
      <w:r>
        <w:t>11.</w:t>
      </w:r>
      <w:r>
        <w:tab/>
        <w:t>ponownie podkreśla, że członkostwo Zjednoczonego Królestwa w rynku wewnętrznym i unii celnej byłoby najlepszym rozwiązaniem zarówno dla Zjednoczonego Królestwa, jak i UE-27 oraz jedynym, które może zagwarantować dalszy bezproblemowy handel i</w:t>
      </w:r>
      <w:r w:rsidR="008368B5">
        <w:t> </w:t>
      </w:r>
      <w:r>
        <w:t>w pełni zachować korzyści płynące z naszych stosunków gospodarczych; przypomina, że udział w rynku wewnętrznym wymaga pełnego przestrzegania czterech swobód i</w:t>
      </w:r>
      <w:r w:rsidR="008368B5">
        <w:t> </w:t>
      </w:r>
      <w:r>
        <w:t>uwzględnienia odpowiednich przepisów UE, równych warunków działania, w tym poprzez system konkurencji i  pomocy państwa, wiążącego orzecznictwo TSUE oraz wkładów do budżetu UE; zauważa, że unia celna usuwa bariery taryfowe i niektóre kontrole celne, ale wymaga zgodności z polityką handlową UE i wspólnej granicy zewnętrznej; odnotowuje, że rząd brytyjski nadal wyklucza zarówno rynek wewnętrzny, jak i unię celną;</w:t>
      </w:r>
    </w:p>
    <w:p w14:paraId="3A9AD3C0" w14:textId="307572EA" w:rsidR="002D7F7D" w:rsidRPr="003A4E99" w:rsidRDefault="002D7F7D" w:rsidP="002D7F7D">
      <w:pPr>
        <w:pStyle w:val="Normal12Hanging"/>
      </w:pPr>
      <w:r>
        <w:t>12.</w:t>
      </w:r>
      <w:r>
        <w:tab/>
        <w:t>zauważa, że pogłębiona i kompleksowa strefa wolnego handlu wymaga wiążącego mechanizmu na rzecz konwergencji z dorobkiem prawnym UE oraz wiążącej roli TSUE w interpretacji prawa Unii, a także nie pozwala na wybiórcze podejście do sektorów rynku wewnętrznego;</w:t>
      </w:r>
    </w:p>
    <w:p w14:paraId="60BA4264" w14:textId="553CBAC7" w:rsidR="002D7F7D" w:rsidRPr="003A4E99" w:rsidRDefault="002D7F7D" w:rsidP="002D7F7D">
      <w:pPr>
        <w:pStyle w:val="Normal12Hanging"/>
      </w:pPr>
      <w:r>
        <w:t>13.</w:t>
      </w:r>
      <w:r>
        <w:tab/>
        <w:t>uważa, że obecne stanowisko Zjednoczonego Królestwa jest zgodne jedynie z umową handlową na mocy art. 207 TFUE, która może stanowić filar handlowy i gospodarczy układu o stowarzyszeniu; jest gotowy do współpracy ze Zjednoczonym Królestwem w</w:t>
      </w:r>
      <w:r w:rsidR="008368B5">
        <w:t> </w:t>
      </w:r>
      <w:r>
        <w:t>oparciu o inne wyżej wymienione modele, pod warunkiem że Zjednoczone Królestwo ponownie rozważy swoje obecne bezwzględne warunki;</w:t>
      </w:r>
    </w:p>
    <w:p w14:paraId="6491E7C5" w14:textId="77777777" w:rsidR="002D7F7D" w:rsidRPr="003A4E99" w:rsidRDefault="002D7F7D" w:rsidP="002D7F7D">
      <w:pPr>
        <w:pStyle w:val="Normal12Hanging"/>
      </w:pPr>
      <w:r>
        <w:t>14.</w:t>
      </w:r>
      <w:r>
        <w:tab/>
        <w:t>przypomina, że wszystkie ostatnie umowy o wolnym handlu opierają się na trzech głównych elementach: dostępie do rynku, współpracy regulacyjnej i zasadach; podkreśla, że oprócz zasad przedstawionych w ust. 4:</w:t>
      </w:r>
    </w:p>
    <w:p w14:paraId="4C754A8E" w14:textId="590BB9A6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poziom dostępu do rynku UE musi odpowiadać stopniowi trwałej konwergencji z</w:t>
      </w:r>
      <w:r w:rsidR="008368B5">
        <w:t> </w:t>
      </w:r>
      <w:r>
        <w:t>normami i zasadami technicznymi UE oraz dostosowania do nich, bez możliwości stosowania podejścia sektorowego i przy zachowaniu integralności rynku wewnętrznego,</w:t>
      </w:r>
    </w:p>
    <w:p w14:paraId="4ABA0932" w14:textId="6E933D4D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należy zagwarantować autonomię UE w ustalaniu prawa i norm UE, jak również rolę TSUE jako jedynego interpretatora prawa UE,</w:t>
      </w:r>
    </w:p>
    <w:p w14:paraId="5DFF944F" w14:textId="242BDCC1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gwarantowane są równe warunki działania i chronione są normy UE, aby uniknąć równania w dół i zapobiegać arbitrażowi regulacyjnemu ze strony podmiotów rynkowych,</w:t>
      </w:r>
    </w:p>
    <w:p w14:paraId="30E9900A" w14:textId="77777777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reguły pochodzenia powinny być oparte na standardowych preferencyjnych zasadach UE oraz na interesach producentów unijnych,</w:t>
      </w:r>
    </w:p>
    <w:p w14:paraId="0B479458" w14:textId="7757297F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dostęp do rynku na zasadzie wzajemności musi być negocjowany przy pełnym poszanowaniu zasad Światowej Organizacji Handlu (WTO), w tym zasad dotyczących towarów, usług, zamówień publicznych i – w stosownych przypadkach – bezpośrednich inwestycji zagranicznych oraz wszystkich sposobów świadczenia usług, w tym zobowiązań dotyczących przepływu osób fizycznych przez granice (tryb 4), i odbywać się w pełnej zgodności z przepisami UE w zakresie zasad równego traktowania, w szczególności w przypadku pracowników,</w:t>
      </w:r>
    </w:p>
    <w:p w14:paraId="5412BD19" w14:textId="2D915355" w:rsidR="002D7F7D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jako że rozbieżności przepisów mogą stać się przeszkodą na drodze do poprawnych stosunków handlowych i nałożą znaczne obciążenia na importerów i eksporterów, zasady dotyczące współpracy i spójności regulacyjnej powinny stać się przedmiotem negocjacji, ze szczególnym naciskiem na MŚP, przy uwzględnieniu dobrowolnego charakteru współpracy regulacyjnej i prawa do wprowadzania regulacji w interesie publicznym, przypominając jednocześnie, że przepisy dotyczące współpracy regulacyjnej w umowie handlowej nie mogą w pełni powielać niezakłóconego handlu, jaki gwarantuje członkostwo w rynku wewnętrznym;</w:t>
      </w:r>
    </w:p>
    <w:p w14:paraId="6DED4CB5" w14:textId="2C7F3558" w:rsidR="002D7F7D" w:rsidRPr="003A4E99" w:rsidRDefault="002D7F7D" w:rsidP="002D7F7D">
      <w:pPr>
        <w:pStyle w:val="Normal12Hanging"/>
      </w:pPr>
      <w:r>
        <w:t>15.</w:t>
      </w:r>
      <w:r>
        <w:tab/>
        <w:t>podkreśla, że w umowie między UE a Zjednoczonym Królestwem należy zachować ramy obecnych stosunków handlowych między UE a krajami trzecimi oraz uniknąć oportunizmu przez zapewnienie spójność dzięki zachowaniu odpowiednich taryf i</w:t>
      </w:r>
      <w:r w:rsidR="008368B5">
        <w:t> </w:t>
      </w:r>
      <w:r>
        <w:t>systemu kwot oraz reguł pochodzenia produktów w stosunku do państw trzecich;</w:t>
      </w:r>
    </w:p>
    <w:p w14:paraId="43A4B9C9" w14:textId="3B36A42B" w:rsidR="002D7F7D" w:rsidRPr="003A4E99" w:rsidRDefault="002D7F7D" w:rsidP="002D7F7D">
      <w:pPr>
        <w:pStyle w:val="Normal12Hanging"/>
      </w:pPr>
      <w:r>
        <w:t>16.</w:t>
      </w:r>
      <w:r>
        <w:tab/>
        <w:t>podkreśla, że w ramach umowy o wolnym handlu dostęp do rynku w przypadku usług jest ograniczony i zawsze wiąże się z wykluczeniami, zastrzeżeniami i wyjątkami;</w:t>
      </w:r>
    </w:p>
    <w:p w14:paraId="21781B94" w14:textId="1D1E2240" w:rsidR="002D7F7D" w:rsidRPr="003A4E99" w:rsidRDefault="002D7F7D" w:rsidP="002D7F7D">
      <w:pPr>
        <w:pStyle w:val="Normal12Hanging"/>
      </w:pPr>
      <w:r>
        <w:t>17.</w:t>
      </w:r>
      <w:r>
        <w:tab/>
        <w:t>podkreśla, że wystąpienie z rynku wewnętrznego doprowadzi Zjednoczone Królestwo do utraty zarówno praw paszportowych dotyczących usług finansowych, jak i</w:t>
      </w:r>
      <w:r w:rsidR="008368B5">
        <w:t> </w:t>
      </w:r>
      <w:r>
        <w:t>możliwości otwierania oddziałów w UE podlegających nadzorowi Zjednoczonego Królestwa; przypomina, że ustawodawstwo UE przewiduje w niektórych obszarach możliwość uznania przepisów państwa trzeciego za równoważne w oparciu o</w:t>
      </w:r>
      <w:r w:rsidR="008368B5">
        <w:t> </w:t>
      </w:r>
      <w:r>
        <w:t>proporcjonalne i oparte na ocenie ryzyka podejście, oraz odnotowuje bieżące prace ustawodawcze i przyszłe wnioski Komisji w tej zakresie; podkreśla, że decyzje w</w:t>
      </w:r>
      <w:r w:rsidR="008368B5">
        <w:t> </w:t>
      </w:r>
      <w:r>
        <w:t>sprawie równoważności mają zawsze charakter jednostronny; podkreśla także, że w</w:t>
      </w:r>
      <w:r w:rsidR="008368B5">
        <w:t> </w:t>
      </w:r>
      <w:r>
        <w:t>celu zachowania stabilności finansowej i zapewnienia pełnej zgodności z unijnym systemem regulacyjnym i normami oraz ich stosowania, zwyczajowym elementem umów o wolnym handlu są środki ostrożnościowe i ograniczenia transgranicznego świadczenia usług finansowych;</w:t>
      </w:r>
    </w:p>
    <w:p w14:paraId="17C6C227" w14:textId="6469F0F7" w:rsidR="002D7F7D" w:rsidRPr="003A4E99" w:rsidRDefault="002D7F7D" w:rsidP="002D7F7D">
      <w:pPr>
        <w:pStyle w:val="Normal12Hanging"/>
      </w:pPr>
      <w:r>
        <w:t>18.</w:t>
      </w:r>
      <w:r>
        <w:tab/>
        <w:t>podkreśla, że umowa między UE a Zjednoczonym Królestwem powinna obejmować solidny mechanizm rozstrzygania sporów, a także określać struktury zarządzania; podkreśla w związku z tym kompetencję Trybunału Sprawiedliwości Unii Europejskiej w interpretacji kwestii związanych z prawem UE;</w:t>
      </w:r>
    </w:p>
    <w:p w14:paraId="3F130D49" w14:textId="206E137A" w:rsidR="002D7F7D" w:rsidRPr="003A4E99" w:rsidRDefault="002D7F7D" w:rsidP="002D7F7D">
      <w:pPr>
        <w:pStyle w:val="Normal12Hanging"/>
      </w:pPr>
      <w:r>
        <w:t>19.</w:t>
      </w:r>
      <w:r>
        <w:tab/>
        <w:t>przypomina, że obecne stanowisko Zjednoczonego Królestwa i nieprzekraczalne granice doprowadzą do kontroli celnych i weryfikacji, które będą miały wpływ na globalne łańcuchy dostaw i procesy produkcyjne, nawet jeśli można uniknąć barier taryfowych; podkreśla znaczenie wysokiego poziomu zbieżności między jednolitym unijnym obszarem VAT a Zjednoczonym Królestwem; uważa, że do ewentualnej późniejszej umowy między Zjednoczonym Królestwem a UE należy włączyć sprawy podatkowe, aby zapewnić najwyższy poziom współpracy między UE i Zjednoczonym Królestwem oraz jego terytoriami zależnymi w dziedzinie opodatkowania osób prawnych;</w:t>
      </w:r>
    </w:p>
    <w:p w14:paraId="58F18F6C" w14:textId="6633660D" w:rsidR="002D7F7D" w:rsidRPr="003A4E99" w:rsidRDefault="002D7F7D" w:rsidP="002D7F7D">
      <w:pPr>
        <w:pStyle w:val="Normal12Hanging"/>
      </w:pPr>
      <w:r>
        <w:t>20.</w:t>
      </w:r>
      <w:r>
        <w:tab/>
        <w:t>przypomina, że w odniesieniu do żywności i produktów rolnych dostęp do rynku UE jest uzależniony od ścisłego przestrzegania wszystkich przepisów i norm UE, zwłaszcza w zakresie bezpieczeństwa żywności, organizmów zmodyfikowanych genetycznie, pestycydów, oznaczeń geograficznych, dobrostanu zwierząt, etykietowania i</w:t>
      </w:r>
      <w:r w:rsidR="008368B5">
        <w:t> </w:t>
      </w:r>
      <w:r>
        <w:t>identyfikowalności, norm sanitarnych i fitosanitarnych oraz zdrowia ludzi, zwierząt i</w:t>
      </w:r>
      <w:r w:rsidR="008368B5">
        <w:t> </w:t>
      </w:r>
      <w:r>
        <w:t>roślin;</w:t>
      </w:r>
    </w:p>
    <w:p w14:paraId="4617FD46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(ii)</w:t>
      </w:r>
      <w:r>
        <w:rPr>
          <w:i/>
        </w:rPr>
        <w:tab/>
        <w:t>Polityka zagraniczna, współpraca w zakresie bezpieczeństwa oraz współpraca na rzecz rozwoju</w:t>
      </w:r>
    </w:p>
    <w:p w14:paraId="215C3482" w14:textId="6FE61047" w:rsidR="002D7F7D" w:rsidRPr="003A4E99" w:rsidRDefault="002D7F7D" w:rsidP="002D7F7D">
      <w:pPr>
        <w:pStyle w:val="Normal12Hanging"/>
      </w:pPr>
      <w:r>
        <w:t>21.</w:t>
      </w:r>
      <w:r>
        <w:tab/>
        <w:t>zauważa, że – jeżeli chodzi o wspólna politykę zagraniczną i bezpieczeństwa – Zjednoczone Królestwo jako państwo trzecie nie będzie mogło uczestniczyć w procesie podejmowania decyzji przez UE oraz że jedynie państwa członkowskie UE mogą przyjmować wspólne stanowiska i działania UE; wskazuje jednak, że nie wyklucza to mechanizmów konsultacji, które umożliwiałyby Zjednoczonemu Królestwu dostosowanie się do stanowisk UE w zakresie polityki zagranicznej, wspólnych działań, w szczególności dotyczących praw człowieka, lub współpracy wielostronnej, zwłaszcza w ramach ONZ, OBWE i Rady Europy; popiera koordynację w dziedzinie polityki i</w:t>
      </w:r>
      <w:r w:rsidR="008368B5">
        <w:t> </w:t>
      </w:r>
      <w:r>
        <w:t>wdrażania przepisów dotyczących sankcji, w tym embarga na broń i wspólnych stanowisk w sprawie wywozu broni;</w:t>
      </w:r>
    </w:p>
    <w:p w14:paraId="69571D0A" w14:textId="1976EA9D" w:rsidR="002D7F7D" w:rsidRPr="003A4E99" w:rsidRDefault="002D7F7D" w:rsidP="002D7F7D">
      <w:pPr>
        <w:pStyle w:val="Normal12Hanging"/>
      </w:pPr>
      <w:r>
        <w:t>22.</w:t>
      </w:r>
      <w:r>
        <w:tab/>
        <w:t>podkreśla, że takie partnerstwo mogłoby zostać ustanowione na mocy umowy w</w:t>
      </w:r>
      <w:r w:rsidR="008368B5">
        <w:t> </w:t>
      </w:r>
      <w:r>
        <w:t>sprawie ram udziału określającej rolę państw trzecich, co umożliwiłoby udział Zjednoczonego Królestwa w unijnych misjach cywilnych i wojskowych (bez wiodącej roli Zjednoczonego Królestwa), unijnych programach i projektach, w wymianie danych wywiadowczych, w szkoleniach i wymianie personelu wojskowego oraz we współpracy w zakresie polityki zbrojeniowej, w tym w projektach realizowanych w ramach stałej współpracy strukturalnej (PESCO); podkreśla, że taki udział powinien odbywać się bez uszczerbku dla odnośnych stanowisk UE, jej decyzji i prawodawstwa, w tym w sprawie zamówień publicznych i transferów w dziedzinie obronności, a także powinien być z</w:t>
      </w:r>
      <w:r w:rsidR="008368B5">
        <w:t> </w:t>
      </w:r>
      <w:r>
        <w:t>nimi zgodny; stwierdza, że taka współpraca jest uzależniona od pełnego przestrzegania międzynarodowego prawa dotyczącego praw człowieka i</w:t>
      </w:r>
      <w:r w:rsidR="008368B5">
        <w:t> </w:t>
      </w:r>
      <w:r>
        <w:t>międzynarodowego prawa humanitarnego oraz praw podstawowych UE;</w:t>
      </w:r>
    </w:p>
    <w:p w14:paraId="4E020337" w14:textId="496C96AB" w:rsidR="002D7F7D" w:rsidRPr="003A4E99" w:rsidRDefault="002D7F7D" w:rsidP="002D7F7D">
      <w:pPr>
        <w:pStyle w:val="Normal12Hanging"/>
      </w:pPr>
      <w:r>
        <w:t>23.</w:t>
      </w:r>
      <w:r>
        <w:tab/>
        <w:t>zauważa, że wszelka współpraca w wyżej wymienionych dziedzinach, która obejmuje wymianę informacji niejawnych UE, w tym danych wywiadowczych, jest uzależniona od zawarcia umowy o bezpieczeństwie informacji w celu ochrony informacji niejawnych UE;</w:t>
      </w:r>
    </w:p>
    <w:p w14:paraId="3E42351D" w14:textId="60E40A6A" w:rsidR="002D7F7D" w:rsidRPr="003A4E99" w:rsidRDefault="002D7F7D" w:rsidP="002D7F7D">
      <w:pPr>
        <w:pStyle w:val="Normal12Hanging"/>
      </w:pPr>
      <w:r>
        <w:t>24.</w:t>
      </w:r>
      <w:r>
        <w:tab/>
        <w:t>zauważa, że w oparciu o inne podobne uzgodnienia z państwami trzecimi Zjednoczone Królestwo może uczestniczyć w programach Unii na rzecz obrony i bezpieczeństwa zewnętrznego (takich jak Europejski Fundusz Obronny, program Galileo i programy na rzecz cyberbezpieczeństwa); nie neguje możliwości dalszego wnoszenia przez Zjednoczone Królestwo wkładu w unijne instrumenty finansowania działań zewnętrznych w ramach realizacji wspólnych celów, zwłaszcza we wspólnym sąsiedztwie;</w:t>
      </w:r>
    </w:p>
    <w:p w14:paraId="0CFC751A" w14:textId="77777777" w:rsidR="002D7F7D" w:rsidRPr="003A4E99" w:rsidRDefault="002D7F7D" w:rsidP="002D7F7D">
      <w:pPr>
        <w:pStyle w:val="Normal12Hanging"/>
      </w:pPr>
      <w:r>
        <w:t>25.</w:t>
      </w:r>
      <w:r>
        <w:tab/>
        <w:t>zauważa, że Zjednoczone Królestwo jest jednym z głównych graczy w dziedzinie współpracy na rzecz rozwoju i pomocy humanitarnej oraz że współpraca w tych obszarach między UE a Zjednoczonym Królestwem po brexicie byłaby korzystna dla obu stron;</w:t>
      </w:r>
    </w:p>
    <w:p w14:paraId="4C251892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(iii)</w:t>
      </w:r>
      <w:r>
        <w:rPr>
          <w:i/>
        </w:rPr>
        <w:tab/>
        <w:t>Bezpieczeństwo wewnętrzne</w:t>
      </w:r>
    </w:p>
    <w:p w14:paraId="462C86BC" w14:textId="397AC2F1" w:rsidR="002D7F7D" w:rsidRPr="003A4E99" w:rsidRDefault="002D7F7D" w:rsidP="002D7F7D">
      <w:pPr>
        <w:pStyle w:val="Normal12Hanging"/>
      </w:pPr>
      <w:r>
        <w:t>26.</w:t>
      </w:r>
      <w:r>
        <w:tab/>
        <w:t>podkreśla, że we wspólnym interesie UE i Zjednoczonego Królestwa leży ustanowienie partnerstwa, które zapewni stałą współpracę w zakresie bezpieczeństwa, by stawić czoła wspólnym zagrożeniom, szczególnie terroryzmowi i przestępczości zorganizowanej, oraz by uniknąć zakłócenia przepływów informacji w tej dziedzinie; zauważa, że państwa trzecie (znajdujące się poza obszarem Schengen) nie korzystają z</w:t>
      </w:r>
      <w:r w:rsidR="008368B5">
        <w:t> </w:t>
      </w:r>
      <w:r>
        <w:t>uprzywilejowanego dostępu do instrumentów UE, w tym baz danych, w tym zakresie, ani nie mogą uczestniczyć w określaniu priorytetów i opracowywaniu wieloletnich celów strategicznych lub planów działań operacyjnych w ramach cyklu polityki unijnej;</w:t>
      </w:r>
    </w:p>
    <w:p w14:paraId="3539B124" w14:textId="7B916739" w:rsidR="00E57164" w:rsidRPr="003A4E99" w:rsidRDefault="002D7F7D" w:rsidP="00E57164">
      <w:pPr>
        <w:pStyle w:val="Normal12Hanging"/>
      </w:pPr>
      <w:r>
        <w:t>27.</w:t>
      </w:r>
      <w:r>
        <w:tab/>
        <w:t>zauważa również, że oprócz konieczności ochrony toczących się postępowań i</w:t>
      </w:r>
      <w:r w:rsidR="008368B5">
        <w:t> </w:t>
      </w:r>
      <w:r>
        <w:t>dochodzeń z udziałem Zjednoczonego Królestwa za pośrednictwem uzgodnień przejściowych zaistnieje także potrzeba wprowadzenia osobnych uzgodnień ze Zjednoczonym Królestwem jako państwem trzecim w dziedzinie współpracy sądowej w</w:t>
      </w:r>
      <w:r w:rsidR="008368B5">
        <w:t> </w:t>
      </w:r>
      <w:r>
        <w:t>sprawach karnych, w tym w zakresie ekstradycji i wzajemnej pomocy prawnej, zastępujących obecne rozwiązania, takie jak europejski nakaz aresztowania;</w:t>
      </w:r>
    </w:p>
    <w:p w14:paraId="014D7990" w14:textId="5AFBC5AB" w:rsidR="002D7F7D" w:rsidRPr="003A4E99" w:rsidRDefault="002D7F7D" w:rsidP="002D7F7D">
      <w:pPr>
        <w:pStyle w:val="Normal12Hanging"/>
      </w:pPr>
      <w:r>
        <w:t>28.</w:t>
      </w:r>
      <w:r>
        <w:tab/>
        <w:t>jest zdania, że przyszła współpraca może być realizowana w oparciu o uzgodnienia z</w:t>
      </w:r>
      <w:r w:rsidR="008368B5">
        <w:t> </w:t>
      </w:r>
      <w:r>
        <w:t>państwami trzecimi spoza strefy Schengen umożliwiające wymianę danych istotnych z punktu widzenia bezpieczeństwa i współpracy operacyjnej z organami i mechanizmami UE (takimi jak Europol i Eurojust);</w:t>
      </w:r>
    </w:p>
    <w:p w14:paraId="143D47BB" w14:textId="7AA1D711" w:rsidR="002D7F7D" w:rsidRPr="003A4E99" w:rsidRDefault="002D7F7D" w:rsidP="002D7F7D">
      <w:pPr>
        <w:pStyle w:val="Normal12Hanging"/>
      </w:pPr>
      <w:r>
        <w:t>29.</w:t>
      </w:r>
      <w:r>
        <w:tab/>
        <w:t>podkreśla, że taka współpraca powinna gwarantować pewność prawa, musi się opierać na gwarancjach względem praw podstawowych określonych w europejskiej konwencji praw człowieka oraz musi gwarantować poziom ochrony zasadniczo równoważny poziomowi gwarantowanemu Kartą praw podstawowych Unii Europejskiej; podkreśla ponadto, że w ramach tej współpracy należy w pełni respektować unijne normy ochrony danych oraz że musi ona funkcjonować w oparciu o skuteczne egzekwowanie i</w:t>
      </w:r>
      <w:r w:rsidR="008368B5">
        <w:t> </w:t>
      </w:r>
      <w:r>
        <w:t>rozstrzyganie sporów; uważa, że konieczne jest znalezienie rozwiązania w celu uregulowania wymiany danych między UE i Zjednoczonym Królestwem dotyczących egzekwowania prawa, działań wywiadowczych i operacji antyterrorystycznych; podkreśla, że preferowanym i najbezpieczniejszym rozwiązaniem byłaby decyzja stwierdzająca odpowiedni poziom ochrony wydana przez Komisję; przypomina, że w</w:t>
      </w:r>
      <w:r w:rsidR="008368B5">
        <w:t> </w:t>
      </w:r>
      <w:r>
        <w:t>każdym przypadku Zjednoczone Królestwo musi zapewnić równie wysoki stopień ochrony danych jak ten wymagany unijnymi zasadami ochrony danych;</w:t>
      </w:r>
    </w:p>
    <w:p w14:paraId="0DF5902D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(iv)</w:t>
      </w:r>
      <w:r>
        <w:rPr>
          <w:i/>
        </w:rPr>
        <w:tab/>
        <w:t>Współpraca tematyczna</w:t>
      </w:r>
    </w:p>
    <w:p w14:paraId="20A8D904" w14:textId="25EA8DC3" w:rsidR="002D7F7D" w:rsidRPr="003A4E99" w:rsidRDefault="002D7F7D" w:rsidP="002D7F7D">
      <w:pPr>
        <w:pStyle w:val="Normal12Hanging"/>
      </w:pPr>
      <w:r>
        <w:t>30.</w:t>
      </w:r>
      <w:r>
        <w:tab/>
        <w:t>podkreśla, że zasady określone w ust. 4 powinny również w pełni i bezwarunkowo stosować się do przyszłej współpracy ze Zjednoczonym Królestwem w wielu obszarach będących przedmiotem wspólnego zainteresowania; podkreśla, że takie umowy będą musiały zapewnić równowagę między prawami i obowiązkami odpowiednio do podobnych umów z innymi państwami trzecimi, lecz z uwzględnieniem bliskości geograficznej i ścisłych powiązań między UE a Zjednoczonym Królestwem;</w:t>
      </w:r>
    </w:p>
    <w:p w14:paraId="089A354D" w14:textId="133F5A9A" w:rsidR="002D7F7D" w:rsidRPr="003A4E99" w:rsidRDefault="002D7F7D" w:rsidP="002D7F7D">
      <w:pPr>
        <w:pStyle w:val="Normal12Hanging"/>
      </w:pPr>
      <w:r>
        <w:t>31.</w:t>
      </w:r>
      <w:r>
        <w:tab/>
        <w:t>uważa, że w świetle powyższych zasad i warunków, a także w interesie pasażerów, przewoźników lotniczych, producentów i związków zawodowych musi zostać zapewniona sieć połączeń w drodze umowy o transporcie lotniczym i umowy w sprawie bezpieczeństwa lotniczego; podkreśla jednak, że poziom dostępu do rynku jest uzależniony od stopnia zbliżenia przepisów i dostosowania do dorobku prawnego UE, a</w:t>
      </w:r>
      <w:r w:rsidR="008368B5">
        <w:t> </w:t>
      </w:r>
      <w:r>
        <w:t>także od ustanowienia solidnego mechanizmu arbitrażu i rozstrzygania sporów; ponadto nie wyklucza możliwości przyszłej współpracy ze Zjednoczonym Królestwem we wspieraniu projektów będących przedmiotem wspólnego zainteresowania w</w:t>
      </w:r>
      <w:r w:rsidR="008368B5">
        <w:t> </w:t>
      </w:r>
      <w:r>
        <w:t>sektorze transportu;</w:t>
      </w:r>
    </w:p>
    <w:p w14:paraId="1EFB87B4" w14:textId="5D631E83" w:rsidR="002D7F7D" w:rsidRPr="003A4E99" w:rsidRDefault="002D7F7D" w:rsidP="002D7F7D">
      <w:pPr>
        <w:pStyle w:val="Normal12Hanging"/>
      </w:pPr>
      <w:r>
        <w:t>32.</w:t>
      </w:r>
      <w:r>
        <w:tab/>
        <w:t>mógłby rozważyć, w odniesieniu do rybołówstwa, wynegocjowanie nowatorskiej formy dwustronnej umowy o partnerstwie będącej rodzajem umowy z państwem trzecim w</w:t>
      </w:r>
      <w:r w:rsidR="008368B5">
        <w:t> </w:t>
      </w:r>
      <w:r>
        <w:t>celu utrzymania wysokiego poziomu współpracy, spójności i konwergencji, co zapewni stabilność i ciągłość wzajemnego dostępu do wód i zasobów zgodnie z</w:t>
      </w:r>
      <w:r w:rsidR="008368B5">
        <w:t> </w:t>
      </w:r>
      <w:r>
        <w:t>zasadami wspólnej polityki rybołówstwa oraz przepisami dotyczącymi zarządzania i</w:t>
      </w:r>
      <w:r w:rsidR="008368B5">
        <w:t> </w:t>
      </w:r>
      <w:r>
        <w:t>zrównoważonego zarządzania wspólnymi stadami w celu odtworzenia i utrzymania populacji tych stad powyżej poziomów umożliwiających uzyskanie maksymalnego podtrzymywalnego połowu; podkreśla, że wspólne zarządzanie wspólnie eksploatowanymi stadami wymaga dalszego wkładu Zjednoczonego Królestwa w</w:t>
      </w:r>
      <w:r w:rsidR="008368B5">
        <w:t> </w:t>
      </w:r>
      <w:r>
        <w:t>naukową ocenę tych stad; podkreśla jednak, że wzajemny dostęp do rynku produktów rybołówstwa musi zostać wynegocjowany w ramach przyszłej umowy oraz że poziom dostępu do wewnętrznego rynku UE musi być uzależniony od poziomu dostępu statków UE do łowisk Zjednoczonego Królestwa i znajdujących się tam zasobów, jak również od współpracy w zarządzaniu wspólnymi stadami;</w:t>
      </w:r>
    </w:p>
    <w:p w14:paraId="3291D37B" w14:textId="15AAD450" w:rsidR="002D7F7D" w:rsidRPr="003A4E99" w:rsidRDefault="002D7F7D" w:rsidP="002D7F7D">
      <w:pPr>
        <w:pStyle w:val="Normal12Hanging"/>
      </w:pPr>
      <w:r>
        <w:t>33.</w:t>
      </w:r>
      <w:r>
        <w:tab/>
        <w:t>podkreśla wartość współpracy w dziedzinie kultury i edukacji, w tym uczenia się oraz mobilności młodych ludzi, jak również znaczenie sektora kultury i sektora kreatywnego w dążeniu UE do zacieśnienia więzi z krajami sąsiadującymi i z zadowoleniem przyjąłby dalszą współpracę między UE a Zjednoczonym Królestwem w tych dziedzinach, w tym poprzez odpowiednie programy takie jak Erasmus czy Kreatywna Europa;</w:t>
      </w:r>
    </w:p>
    <w:p w14:paraId="1F6AD1AA" w14:textId="19F67DE6" w:rsidR="002D7F7D" w:rsidRPr="003A4E99" w:rsidRDefault="002D7F7D" w:rsidP="002D7F7D">
      <w:pPr>
        <w:pStyle w:val="Normal12Hanging"/>
      </w:pPr>
      <w:r>
        <w:t>34.</w:t>
      </w:r>
      <w:r>
        <w:tab/>
        <w:t>mógłby rozważyć, w odniesieniu do współpracy w zakresie badań i innowacji, uczestnictwo Zjednoczonego Królestwa jako państwa trzeciego w unijnym programie ramowym w zakresie badań naukowych i innowacji oraz w unijnych programach kosmicznych, lecz wykluczając jakiekolwiek transfery netto z budżetu UE na rzecz Zjednoczonego Królestwa oraz jakąkolwiek funkcję decyzyjną ze strony Zjednoczonego Królestwa;</w:t>
      </w:r>
    </w:p>
    <w:p w14:paraId="5FFA3CE3" w14:textId="32D2C509" w:rsidR="002D7F7D" w:rsidRPr="003A4E99" w:rsidRDefault="002D7F7D" w:rsidP="002D7F7D">
      <w:pPr>
        <w:pStyle w:val="Normal12Hanging"/>
      </w:pPr>
      <w:r>
        <w:t>35.</w:t>
      </w:r>
      <w:r>
        <w:tab/>
        <w:t>uważa, że najlepszym rozwiązaniem dla środowiska, dla działań przeciw zmianie klimatu oraz dla zdrowia publicznego i bezpieczeństwa żywności byłoby, gdyby ustawodawstwo Zjednoczonego Królestwa pozostało w pełni spójne z obowiązującymi i</w:t>
      </w:r>
      <w:r w:rsidR="008368B5">
        <w:t> </w:t>
      </w:r>
      <w:r>
        <w:t>przyszłymi przepisami UE, włącznie z dotrzymaniem zobowiązań i celów na rok 2030 już uzgodnionych w ramach unijnego pakietu w sprawie polityki czystego powietrza i</w:t>
      </w:r>
      <w:r w:rsidR="008368B5">
        <w:t> </w:t>
      </w:r>
      <w:r>
        <w:t>unijnego pakietu „Czysta energia dla wszystkich Europejczyków”; gdyby jednak tak się nie stało, wzywa do wypracowania uzgodnień między UE a Zjednoczonym Królestwem w celu zapewnienia ścisłej współpracy i wysokich standardów w tych kwestiach oraz w celu rozwiązywania transgranicznych kwestii środowiskowych; podkreśla, że wszelka współpraca z agencjami UE w tych obszarach musi opierać się na umowach dwustronnych;</w:t>
      </w:r>
    </w:p>
    <w:p w14:paraId="1DFEB5A8" w14:textId="07F5C0A4" w:rsidR="002D7F7D" w:rsidRPr="003A4E99" w:rsidRDefault="002D7F7D" w:rsidP="002D7F7D">
      <w:pPr>
        <w:pStyle w:val="Normal12Hanging"/>
      </w:pPr>
      <w:r>
        <w:t>36.</w:t>
      </w:r>
      <w:r>
        <w:tab/>
        <w:t>mógłby rozważyć wypracowanie podobnych uzgodnień o charakterze uzgodnień z państwem trzecim w obszarach energii, łączności elektronicznej, cyberbezpieczeństwa i</w:t>
      </w:r>
      <w:r w:rsidR="008368B5">
        <w:t> </w:t>
      </w:r>
      <w:r>
        <w:t>technologii informacyjno-komunikacyjnych; jest zdania, że w odniesieniu do energii wszelkie tego rodzaju uzgodnienia powinny gwarantować integralność wewnętrznego rynku energii, przyczyniać się do bezpieczeństwa energetycznego, zrównoważonego rozwoju i konkurencyjności w tej dziedzinie oraz uwzględniać wzajemne połączenia między UE a Zjednoczonym Królestwem; oczekuje, że Zjednoczone Królestwo będzie przestrzegać najwyższych norm bezpieczeństwa jądrowego, jądrowego bezpieczeństwa fizycznego i ochrony radiologicznej, w tym norm dotyczących przemieszczania odpadów i likwidacji;</w:t>
      </w:r>
    </w:p>
    <w:p w14:paraId="4F8BC074" w14:textId="24E3ED1B" w:rsidR="002D7F7D" w:rsidRPr="003A4E99" w:rsidRDefault="002D7F7D" w:rsidP="002D7F7D">
      <w:pPr>
        <w:pStyle w:val="Normal12Hanging"/>
      </w:pPr>
      <w:r>
        <w:t>37.</w:t>
      </w:r>
      <w:r>
        <w:tab/>
        <w:t>uważa, że unijny program PEACE, który ma na celu wzmocnienie stabilnego i żyjącego w pokoju społeczeństwa poprzez wspieranie pojednania w Irlandii Północnej i w strefie granicznej Irlandii, powinien zostać utrzymany z dalszym udziałem Zjednoczonego Królestwa;</w:t>
      </w:r>
    </w:p>
    <w:p w14:paraId="3F62F47D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(v)</w:t>
      </w:r>
      <w:r>
        <w:rPr>
          <w:i/>
        </w:rPr>
        <w:tab/>
        <w:t>Zarządzanie przyszłą umową</w:t>
      </w:r>
    </w:p>
    <w:p w14:paraId="524A2ACA" w14:textId="51D88433" w:rsidR="002D7F7D" w:rsidRPr="003A4E99" w:rsidRDefault="002D7F7D" w:rsidP="002D7F7D">
      <w:pPr>
        <w:pStyle w:val="Normal12Hanging"/>
      </w:pPr>
      <w:r>
        <w:t>38.</w:t>
      </w:r>
      <w:r>
        <w:tab/>
        <w:t>zaznacza, że każda przyszła umowa między UE a Zjednoczonym Królestwem jako państwem trzecim powinna przewidywać ustanowienie spójnego i solidnego systemu zarządzania stanowiącego nadrzędne ramy dla wszystkich czterech filarów, obejmujące wspólny stały nadzór nad umową / zarządzanie umową oraz mechanizmy rozstrzygania sporów i mechanizmy egzekwowania w odniesieniu do wykładni i stosowania postanowień tej umowy;</w:t>
      </w:r>
    </w:p>
    <w:p w14:paraId="025856E3" w14:textId="13EDFABF" w:rsidR="002D7F7D" w:rsidRPr="003A4E99" w:rsidRDefault="002D7F7D" w:rsidP="002D7F7D">
      <w:pPr>
        <w:pStyle w:val="Normal12Hanging"/>
      </w:pPr>
      <w:r>
        <w:t>39.</w:t>
      </w:r>
      <w:r>
        <w:tab/>
        <w:t>podkreśla, że jest absolutnie konieczne, by ten system zarządzania umową w pełni gwarantował autonomię procesu podejmowania decyzji w UE oraz jej porządek prawny, w tym rolę Trybunału Sprawiedliwości Unii Europejskiej jako jedynego podmiotu dokonującego oficjalnej wykładni prawa UE;</w:t>
      </w:r>
    </w:p>
    <w:p w14:paraId="1209EB3B" w14:textId="43332725" w:rsidR="002D7F7D" w:rsidRPr="003A4E99" w:rsidRDefault="002D7F7D" w:rsidP="002D7F7D">
      <w:pPr>
        <w:pStyle w:val="Normal12Hanging"/>
      </w:pPr>
      <w:r>
        <w:t>40.</w:t>
      </w:r>
      <w:r>
        <w:tab/>
        <w:t>podkreśla, że model uzgodnień dotyczących zarządzania umową powinien być współmierny do charakteru, zakresu i zażyłości przyszłych stosunków oraz uwzględniać poziom wzajemnych powiązań, współpracy i bliskości obu partnerów;</w:t>
      </w:r>
    </w:p>
    <w:p w14:paraId="2191E2B9" w14:textId="7B182950" w:rsidR="002D7F7D" w:rsidRPr="003A4E99" w:rsidRDefault="002D7F7D" w:rsidP="002D7F7D">
      <w:pPr>
        <w:pStyle w:val="Normal12Hanging"/>
      </w:pPr>
      <w:r>
        <w:t>41.</w:t>
      </w:r>
      <w:r>
        <w:tab/>
        <w:t>przystaje na pomysł utworzenia wspólnego komitetu nadzorującego realizację umowy, rozpatrującego rozbieżności w interpretacji i wdrażającego w dobrej wierze uzgodnione środki naprawcze oraz gwarantującego pełnię autonomii regulacyjnej UE, w tym uprawnienia legislacyjne Parlamentu Europejskiego i Rady; podkreśla, że przedstawiciele UE w tym komitecie powinni podlegać odpowiednim mechanizmom rozliczalności z udziałem Parlamentu Europejskiego;</w:t>
      </w:r>
    </w:p>
    <w:p w14:paraId="74B384BB" w14:textId="32609E20" w:rsidR="002D7F7D" w:rsidRPr="003A4E99" w:rsidRDefault="002D7F7D" w:rsidP="002D7F7D">
      <w:pPr>
        <w:pStyle w:val="Normal12Hanging"/>
      </w:pPr>
      <w:r>
        <w:t>42.</w:t>
      </w:r>
      <w:r>
        <w:tab/>
        <w:t xml:space="preserve">uważa, że w odniesieniu do przepisów, których podstawą są unijne koncepcje prawne, </w:t>
      </w:r>
      <w:r w:rsidR="00251250">
        <w:t>uzgodnienia dotyczące zarz</w:t>
      </w:r>
      <w:bookmarkStart w:id="0" w:name="_GoBack"/>
      <w:bookmarkEnd w:id="0"/>
      <w:r w:rsidR="00251250">
        <w:t>ądzania</w:t>
      </w:r>
      <w:r>
        <w:t xml:space="preserve"> umow</w:t>
      </w:r>
      <w:r w:rsidR="00251250">
        <w:t>ą</w:t>
      </w:r>
      <w:r>
        <w:t xml:space="preserve"> powinny przewidywać możliwość odwołania się do Trybunału Sprawiedliwości Unii Europejskiej; ponownie podkreśla, że w odniesieniu do stosowania i wykładni postanowień umowy innych niż postanowienia dotyczące prawa Unii mechanizm pozasądowego rozstrzygania sporów można przewidzieć wyłącznie wówczas, jeżeli będzie on dawał gwarancje niezależności i bezstronności równoważne z gwarancjami istniejącymi w przypadku Trybunału Sprawiedliwości Unii Europejskiej;</w:t>
      </w:r>
    </w:p>
    <w:p w14:paraId="25F7FC9C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(vi)</w:t>
      </w:r>
      <w:r>
        <w:rPr>
          <w:i/>
        </w:rPr>
        <w:tab/>
        <w:t>Równe warunki działania</w:t>
      </w:r>
    </w:p>
    <w:p w14:paraId="35A2BE1F" w14:textId="7086A25B" w:rsidR="002D7F7D" w:rsidRPr="003A4E99" w:rsidRDefault="002D7F7D" w:rsidP="002D7F7D">
      <w:pPr>
        <w:pStyle w:val="Normal12Hanging"/>
      </w:pPr>
      <w:r>
        <w:t>43.</w:t>
      </w:r>
      <w:r>
        <w:tab/>
        <w:t>przypomina, że Zjednoczone Królestwo wraz ze swoimi terytoriami zależnymi w</w:t>
      </w:r>
      <w:r w:rsidR="008368B5">
        <w:t> </w:t>
      </w:r>
      <w:r>
        <w:t>dalszym ciągu powinno przestrzegać norm wynikających z jego zobowiązań międzynarodowych oraz ustawodawstwa i polityki Unii, a także je stosować, zwłaszcza w dziedzinach, o których mowa w ust. 4 powyżej, czyniąc to w sposób odzwierciedlający zakres i stopień intensywności przyszłych stosunków; zwraca uwagę na korzyści wynikające z dostosowania regulacyjnego w oparciu o ustawodawstwo Unii;</w:t>
      </w:r>
    </w:p>
    <w:p w14:paraId="3F646FBF" w14:textId="798A96C3" w:rsidR="002D7F7D" w:rsidRPr="003A4E99" w:rsidRDefault="002D7F7D" w:rsidP="002D7F7D">
      <w:pPr>
        <w:pStyle w:val="Normal12Hanging"/>
      </w:pPr>
      <w:r>
        <w:t>44.</w:t>
      </w:r>
      <w:r>
        <w:tab/>
        <w:t>zauważa, że zakres i szczegółowość umowy w odniesieniu do równych warunków działania będą mieć decydujące znaczenie dla określenia ogólnej rozległości przyszłych stosunków między UE a Zjednoczonym Królestwem; przypomina, że niezmienne przestrzeganie przez Zjednoczone Królestwo zasad europejskiego modelu społecznego będzie w tym odgrywać kluczową rolę;</w:t>
      </w:r>
    </w:p>
    <w:p w14:paraId="0B1FCCFB" w14:textId="2A9BA239" w:rsidR="002D7F7D" w:rsidRPr="003A4E99" w:rsidRDefault="002D7F7D" w:rsidP="002D7F7D">
      <w:pPr>
        <w:pStyle w:val="Normal12Hanging"/>
      </w:pPr>
      <w:r>
        <w:t>45.</w:t>
      </w:r>
      <w:r>
        <w:tab/>
        <w:t>wyraża zdecydowane przekonanie, że Zjednoczone Królestwo powinno przestrzegać ewoluujących standardów w zakresie opodatkowania i przepisów dotyczących przeciwdziałania praniu pieniędzy w ramach wspólnotowego dorobku prawnego, w tym również w odniesieniu do przejrzystości podatkowej, wymiany informacji w sprawach podatkowych i środków przeciwdziałających unikaniu opodatkowania, a także powinno zająć się sytuacją swoich terytoriów zależnych i kwestią nieprzestrzegania przez nie kryteriów dotyczących dobrego zarządzania i wymogów w zakresie przejrzystości; domaga się rygorystycznego uzależnienia dostępu do unii celnej od stosowania przez Zjednoczone Królestwo wyżej wymienionych standardów;</w:t>
      </w:r>
    </w:p>
    <w:p w14:paraId="5E075D73" w14:textId="45C542B1" w:rsidR="002D7F7D" w:rsidRPr="003A4E99" w:rsidRDefault="002D7F7D" w:rsidP="002D7F7D">
      <w:pPr>
        <w:pStyle w:val="Normal12Hanging"/>
      </w:pPr>
      <w:r>
        <w:t>46.</w:t>
      </w:r>
      <w:r>
        <w:tab/>
        <w:t>ponownie wskazuje na potrzebę ustanowienia zabezpieczeń gwarantujących utrzymanie zarówno wysokich standardów, jak i równych warunków działania w dziedzinie ochrony środowiska, działań związanych ze zmianą klimatu, bezpieczeństwa żywności i</w:t>
      </w:r>
      <w:r w:rsidR="008368B5">
        <w:t> </w:t>
      </w:r>
      <w:r>
        <w:t>zdrowia publicznego; podkreśla, że obywatelom i organizacjom pozarządowym należy zagwarantować dostęp do wymiaru sprawiedliwości i odpowiedniego mechanizmu rozpatrywania skarg w odniesieniu do egzekwowania norm pracowniczych i</w:t>
      </w:r>
      <w:r w:rsidR="008368B5">
        <w:t> </w:t>
      </w:r>
      <w:r>
        <w:t>środowiskowych;</w:t>
      </w:r>
    </w:p>
    <w:p w14:paraId="5B98DB51" w14:textId="7A968D97" w:rsidR="002D7F7D" w:rsidRPr="003A4E99" w:rsidRDefault="002D7F7D" w:rsidP="002D7F7D">
      <w:pPr>
        <w:pStyle w:val="Normal12Hanging"/>
      </w:pPr>
      <w:r>
        <w:t>47.</w:t>
      </w:r>
      <w:r>
        <w:tab/>
        <w:t>zauważa, że podobnie jak w przypadku pozostałej części umowy postanowienia dotyczące równych warunków działania będą wymagać solidnych struktur administracyjnych obejmujących odpowiednie mechanizmy gwarantujące właściwe zarządzanie, nadzór, rozstrzyganie sporów i egzekwowanie przepisów, a także sankcje i</w:t>
      </w:r>
      <w:r w:rsidR="008368B5">
        <w:t> </w:t>
      </w:r>
      <w:r>
        <w:t>w razie potrzeby środki przejściowe oraz dotyczący obydwu stron wymóg powołania lub w stosownych przypadkach utrzymania niezależnych instytucji zdolnych do skutecznego nadzorowania i wykonania procesu wdrażania;</w:t>
      </w:r>
    </w:p>
    <w:p w14:paraId="1222AAC4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(vii)</w:t>
      </w:r>
      <w:r>
        <w:rPr>
          <w:i/>
        </w:rPr>
        <w:tab/>
        <w:t>Możliwość uczestnictwa w programach UE</w:t>
      </w:r>
    </w:p>
    <w:p w14:paraId="56FDC9BD" w14:textId="19F20473" w:rsidR="002D7F7D" w:rsidRPr="003A4E99" w:rsidRDefault="002D7F7D" w:rsidP="002D7F7D">
      <w:pPr>
        <w:pStyle w:val="Normal12Hanging"/>
      </w:pPr>
      <w:r>
        <w:t>48.</w:t>
      </w:r>
      <w:r>
        <w:tab/>
        <w:t>podkreśla, że warunki uczestnictwa Zjednoczonego Królestwa w działaniach i</w:t>
      </w:r>
      <w:r w:rsidR="008368B5">
        <w:t> </w:t>
      </w:r>
      <w:r>
        <w:t>programach UE będą równoważne z zasadami mającymi zastosowanie do krajów trzecich spoza Europejskiego Obszaru Gospodarczego; podkreśla, że uczestnictwo Zjednoczonego Królestwa musi być wynikiem wspólnych uzgodnień w łonie UE przy poszanowaniu wszelkich stosownych zasad, mechanizmów i warunków uczestnictwa, w</w:t>
      </w:r>
      <w:r w:rsidR="008368B5">
        <w:t> </w:t>
      </w:r>
      <w:r>
        <w:t>tym również w odniesieniu do finansowania, realizacji, kontroli i udzielania absolutorium, a także bez możliwości dokonywania transferów netto z budżetu UE na korzyść Zjednoczonego Królestwa;</w:t>
      </w:r>
    </w:p>
    <w:p w14:paraId="61313BC3" w14:textId="075A661F" w:rsidR="002D7F7D" w:rsidRPr="003A4E99" w:rsidRDefault="002D7F7D" w:rsidP="00EB6144">
      <w:pPr>
        <w:pStyle w:val="Normal12Hanging"/>
        <w:spacing w:after="360"/>
      </w:pPr>
      <w:r>
        <w:t>49.</w:t>
      </w:r>
      <w:r>
        <w:tab/>
        <w:t>przypomina ogólną zasadę, zgodnie z którą Zjednoczone Królestwo jako kraj trzeci nie może współtworzyć agencji UE ani mieć do nich dostępu; zwraca jednak uwagę, że nie wyklucza to współpracy w szczególnych przypadkach na ściśle ustalonych zasadach wymagających przestrzegania wszelkich odnośnych przepisów i wnoszenia wkładów finansowych; zwraca uwagę, że w kolejnych wieloletnich ramach finansowych koniecznie należy uwzględnić konsekwencje wynikające z przyszłych stosunków między UE a Zjednoczonym Królestwem;</w:t>
      </w:r>
    </w:p>
    <w:p w14:paraId="38CE9B74" w14:textId="77777777" w:rsidR="002D7F7D" w:rsidRPr="003A4E99" w:rsidRDefault="002D7F7D" w:rsidP="002D7F7D">
      <w:pPr>
        <w:pStyle w:val="Normal12Hanging"/>
        <w:rPr>
          <w:b/>
          <w:i/>
        </w:rPr>
      </w:pPr>
      <w:r>
        <w:rPr>
          <w:b/>
          <w:i/>
        </w:rPr>
        <w:t>Umowa o wystąpieniu</w:t>
      </w:r>
    </w:p>
    <w:p w14:paraId="692E9564" w14:textId="705DAFC8" w:rsidR="002D7F7D" w:rsidRPr="003A4E99" w:rsidRDefault="002D7F7D" w:rsidP="002D7F7D">
      <w:pPr>
        <w:pStyle w:val="Normal12Hanging"/>
      </w:pPr>
      <w:r>
        <w:t>50.</w:t>
      </w:r>
      <w:r>
        <w:tab/>
        <w:t>z zadowoleniem przyjmuje projekt umowy o wystąpieniu, przedstawiony przez Komisję w dniu 28 lutego 2018 r., który w dużej mierze odzwierciedla poglądy Parlamentu; zwraca uwagę, że projekt sporządzono na podstawie wspólnego sprawozdania z dnia 8</w:t>
      </w:r>
      <w:r w:rsidR="008368B5">
        <w:t> </w:t>
      </w:r>
      <w:r>
        <w:t>grudnia 2017 r., uzgodnionego przez obydwie strony, oraz stanowiska UE odnośnie do innych kwestii związanych z wystąpieniem;</w:t>
      </w:r>
    </w:p>
    <w:p w14:paraId="3B261EE1" w14:textId="4B50773A" w:rsidR="002D7F7D" w:rsidRPr="003A4E99" w:rsidRDefault="002D7F7D" w:rsidP="002D7F7D">
      <w:pPr>
        <w:pStyle w:val="Normal12Hanging"/>
      </w:pPr>
      <w:r>
        <w:t>51.</w:t>
      </w:r>
      <w:r>
        <w:tab/>
        <w:t>wyraża zadowolenie z postanowień instytucjonalnych i mechanizmów rozstrzygania sporów, określonych w projekcie umowy o wystąpieniu, w tym zawieszenia korzyści w</w:t>
      </w:r>
      <w:r w:rsidR="008368B5">
        <w:t> </w:t>
      </w:r>
      <w:r>
        <w:t>okresie przejściowym, zgodnie z art. 165 projektu umowy o wystąpieniu, gdyby nie przestrzegano zobowiązań i postanowień wynikających z umowy o wystąpieniu;</w:t>
      </w:r>
    </w:p>
    <w:p w14:paraId="407B79C0" w14:textId="00D5CD7F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(i)</w:t>
      </w:r>
      <w:r>
        <w:rPr>
          <w:i/>
        </w:rPr>
        <w:tab/>
        <w:t>Prawa obywateli</w:t>
      </w:r>
    </w:p>
    <w:p w14:paraId="5BFA96B0" w14:textId="4E4A9CF0" w:rsidR="002D7F7D" w:rsidRPr="003A4E99" w:rsidRDefault="002D7F7D" w:rsidP="002D7F7D">
      <w:pPr>
        <w:pStyle w:val="Normal12Hanging"/>
      </w:pPr>
      <w:r>
        <w:t>52.</w:t>
      </w:r>
      <w:r>
        <w:tab/>
        <w:t>z zadowoleniem przyjmuje ogólne podejście przyjęte odnośnie do praw obywateli w</w:t>
      </w:r>
      <w:r w:rsidR="008368B5">
        <w:t> </w:t>
      </w:r>
      <w:r>
        <w:t>części drugiej projektu umowy o wystąpieniu, przedstawionego przez Komisję, ale ponownie podkreśla, że rozwiązanie wszystkich nierozstrzygniętych kwestii dotyczących praw obywateli oraz zadbanie o to, aby prawa obywateli UE legalnie zamieszkujących w Zjednoczonym Królestwie i obywateli Zjednoczonego Królestwa legalnie zamieszkujących w UE-27 nie ucierpiały z powodu brexitu, będzie jedną z</w:t>
      </w:r>
      <w:r w:rsidR="008368B5">
        <w:t> </w:t>
      </w:r>
      <w:r>
        <w:t>kluczowych kwestii, jeżeli chodzi o uzyskanie zgody Parlamentu; popiera uwzględnienie odniesienia do przyszłych małżonków; przyjmuje do wiadomości postanowienia dotyczące procedur administracyjnych obowiązujących podczas starania się o uzyskanie statusu stałego rezydenta i wskazuje na potrzebę umożliwienia rodzinom wszczęcia odpowiedniego postępowania za pomocą pojedynczego formularza o charakterze deklaracyjnym, przenoszącego ciężar dowodu na władze Zjednoczonego Królestwa; podkreśla, że Parlament Europejski będzie sprawdzał, czy procedury te są skutecznie wdrażane, proste, jasne i bezpłatne; domaga się zagwarantowania w</w:t>
      </w:r>
      <w:r w:rsidR="008368B5">
        <w:t> </w:t>
      </w:r>
      <w:r>
        <w:t>przyszłości prawa obywateli Zjednoczonego Królestwa, którzy obecnie zamieszkują w jednym z 27 państw członkowskich UE, do swobodnego przemieszczania się po całej UE, a także prawa do głosowania w wyborach samorządowych w przypadku wszystkich obywateli objętych umową o wystąpieniu; apeluje również o</w:t>
      </w:r>
      <w:r w:rsidR="008368B5">
        <w:t> </w:t>
      </w:r>
      <w:r>
        <w:t>zagwarantowanie obywatelom UE objętym umową o wystąpieniu dożywotniego prawa do powrotu do Zjednoczonego Królestwa, ochrony przed wydaleniem dla osób niepełnosprawnych i ich opiekunów oraz ochrony praw proceduralnych związanych z</w:t>
      </w:r>
      <w:r w:rsidR="008368B5">
        <w:t> </w:t>
      </w:r>
      <w:r>
        <w:t>wydaleniem, o których mowa w dyrektywie 2004/38/WE, jak i praw obywateli krajów trzecich, ustanowionych na mocy prawa UE;</w:t>
      </w:r>
    </w:p>
    <w:p w14:paraId="3773B2E8" w14:textId="52151527" w:rsidR="002D7F7D" w:rsidRPr="003A4E99" w:rsidRDefault="002D7F7D" w:rsidP="002D7F7D">
      <w:pPr>
        <w:pStyle w:val="Normal12Hanging"/>
      </w:pPr>
      <w:r>
        <w:t>53.</w:t>
      </w:r>
      <w:r>
        <w:tab/>
        <w:t>zwraca uwagę, że podczas okresu przejściowego obywatele UE przybywający do Zjednoczonego Królestwa muszą korzystać z takich samych praw jak obywatele, którzy przybyli tam przed rozpoczęciem obowiązywania okresu przejściowego; w tym kontekście odrzuca propozycję zawartą w ostatnim dokumencie programowym opublikowanym przez rząd Zjednoczonego Królestwa, zgodnie z którą dokonywano by rozróżnienia na obywateli UE, którzy będą przybywać przed rozpoczęciem okresu przejściowego, oraz na obywateli przybywających po jego rozpoczęciu;</w:t>
      </w:r>
    </w:p>
    <w:p w14:paraId="6CA3475E" w14:textId="2BF22E54" w:rsidR="002D7F7D" w:rsidRPr="003A4E99" w:rsidRDefault="002D7F7D" w:rsidP="002D7F7D">
      <w:pPr>
        <w:pStyle w:val="Normal12Hanging"/>
      </w:pPr>
      <w:r>
        <w:t>54.</w:t>
      </w:r>
      <w:r>
        <w:tab/>
        <w:t>ponownie podkreśla, że wielu obywateli Zjednoczonego Królestwa wyraziło zdecydowany sprzeciw wobec utraty praw, z których obecnie korzystają na mocy art.</w:t>
      </w:r>
      <w:r w:rsidR="008368B5">
        <w:t> </w:t>
      </w:r>
      <w:r>
        <w:t>20 TFUE; proponuje, aby UE-27 zbadała, w jaki sposób można załagodzić tę sytuację w ramach prawa pierwotnego UE przy pełnym poszanowaniu zasady wzajemności, równości, symetrii i niedyskryminacji; zwraca uwagę na niedawne odesłanie do Trybunału Sprawiedliwości Unii Europejskiej sprawy wniesionej do sądu w Holandii i dotyczącej zachowania przez obywateli Zjednoczonego Królestwa praw wynikających z obywatelstwa UE po brexicie;</w:t>
      </w:r>
    </w:p>
    <w:p w14:paraId="4EF5E03A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(ii)</w:t>
      </w:r>
      <w:r>
        <w:rPr>
          <w:i/>
        </w:rPr>
        <w:tab/>
        <w:t>Irlandia i Irlandia Północna</w:t>
      </w:r>
    </w:p>
    <w:p w14:paraId="49A7ED4F" w14:textId="7EE178A1" w:rsidR="002D7F7D" w:rsidRPr="003A4E99" w:rsidRDefault="002D7F7D" w:rsidP="002D7F7D">
      <w:pPr>
        <w:pStyle w:val="Normal12Hanging"/>
      </w:pPr>
      <w:r>
        <w:t>55.</w:t>
      </w:r>
      <w:r>
        <w:tab/>
        <w:t>z zadowoleniem przyjmuje protokół w sprawie Irlandii i Irlandii Północnej, zawarty w</w:t>
      </w:r>
      <w:r w:rsidR="008368B5">
        <w:t> </w:t>
      </w:r>
      <w:r>
        <w:t>przedstawionym przez Komisję projekcie umowy o wystąpieniu i wdrażający mechanizm ochronny określony we wspólnym sprawozdaniu z dnia 8 grudnia 2017 r.; podkreśla, że protokół zawiera konkretne rozwiązanie umożliwiające utrzymanie współpracy na osi północ–południe i uniknięcie twardej granicy między Irlandią Północną a Irlandią, co jest konieczne, gdyby nie znaleziono alternatywy w ramach ogólnych stosunków między UE a Zjednoczonym Królestwem bądź w oparciu o rozwiązania szczegółowe, które ma zaproponować Zjednoczone Królestwo, zgodnie z</w:t>
      </w:r>
      <w:r w:rsidR="008368B5">
        <w:t> </w:t>
      </w:r>
      <w:r>
        <w:t>ust. 49 wspólnego sprawozdania;</w:t>
      </w:r>
    </w:p>
    <w:p w14:paraId="4A47BA2D" w14:textId="1420715D" w:rsidR="002D7F7D" w:rsidRPr="003A4E99" w:rsidRDefault="002D7F7D" w:rsidP="002D7F7D">
      <w:pPr>
        <w:pStyle w:val="Normal12Hanging"/>
      </w:pPr>
      <w:r>
        <w:t>56.</w:t>
      </w:r>
      <w:r>
        <w:tab/>
        <w:t>przypomina, jak ważne jest zobowiązanie Zjednoczonego Królestwa do zadbania o to, aby nie doszło do ograniczenia praw, w tym praw społecznych i demokratycznych, gwarancji ani równości szans, określonych w porozumieniu wielkopiątkowym, stosownie do zobowiązań zawartych we wspólnym sprawozdaniu; domaga się transpozycji wszystkich elementów wspólnej strefy podróżowania oraz utrzymania praw obywateli UE do swobodnego przemieszczania się, ustanowionych w prawie UE i</w:t>
      </w:r>
      <w:r w:rsidR="008368B5">
        <w:t> </w:t>
      </w:r>
      <w:r>
        <w:t>na mocy porozumienia wielkopiątkowego;</w:t>
      </w:r>
    </w:p>
    <w:p w14:paraId="3CBE3F51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(iii)</w:t>
      </w:r>
      <w:r>
        <w:rPr>
          <w:i/>
        </w:rPr>
        <w:tab/>
        <w:t>Okres przejściowy</w:t>
      </w:r>
    </w:p>
    <w:p w14:paraId="698FE0A3" w14:textId="382870A7" w:rsidR="002D7F7D" w:rsidRPr="003A4E99" w:rsidRDefault="002D7F7D" w:rsidP="002D7F7D">
      <w:pPr>
        <w:pStyle w:val="Normal12Hanging"/>
      </w:pPr>
      <w:r>
        <w:t>57.</w:t>
      </w:r>
      <w:r>
        <w:tab/>
        <w:t>ponownie wskazuje na zasady przedstawione w swojej rezolucji z dnia 13 grudnia 2017</w:t>
      </w:r>
      <w:r w:rsidR="008368B5">
        <w:t> </w:t>
      </w:r>
      <w:r>
        <w:t>r., zgodnie z którymi po dacie wystąpienia Zjednoczone Królestwo nie będzie już częścią instytucji i organów UE ani nie będzie brać udziału w podejmowaniu decyzji, a</w:t>
      </w:r>
      <w:r w:rsidR="008368B5">
        <w:t> </w:t>
      </w:r>
      <w:r>
        <w:t>okres przejściowy polega jedynie na przedłużeniu obowiązywania wspólnotowego dorobku prawnego i stosowania wobec Zjednoczonego Królestwa istniejących instrumentów i struktur o charakterze regulacyjnym, budżetowym, nadzorczym, sądowym i umożliwiającym egzekucję; w pełni popiera mandat negocjacyjny ustanowiony w wytycznych negocjacyjnych Rady Europejskiej, wytycznych negocjacyjnych Rady i najnowszym stanowisku negocjacyjnym Komisji w tej sprawie;</w:t>
      </w:r>
    </w:p>
    <w:p w14:paraId="4FA9C1BA" w14:textId="4B9C50B7" w:rsidR="002D7F7D" w:rsidRPr="003A4E99" w:rsidRDefault="002D7F7D" w:rsidP="002D7F7D">
      <w:pPr>
        <w:pStyle w:val="Normal12Hanging"/>
      </w:pPr>
      <w:r>
        <w:t>58.</w:t>
      </w:r>
      <w:r>
        <w:tab/>
        <w:t>z zadowoleniem przyjmuje część czwartą projektu umowy o wystąpieniu, która to część dotyczy uregulowań przejściowych, oraz wyraża dla niej poparcie; ponownie podkreśla, że wszystkie prawa obywateli wynikające z prawodawstwa Unii powinny obowiązywać w okresie przejściowym; podkreśla, że ma to również zastosowanie do obywateli UE przybywających do Zjednoczonego Królestwa w okresie przejściowym, którzy powinni korzystać z dokładnie takich samych praw, zwłaszcza jeżeli chodzi o świadczenia na dziecko, łączenie rodzin i możliwość dochodzenia odszkodowania na drodze sądowej przed Trybunałem Sprawiedliwości Unii Europejskiej;</w:t>
      </w:r>
    </w:p>
    <w:p w14:paraId="3E79E7B8" w14:textId="170BDA00" w:rsidR="002D7F7D" w:rsidRPr="003A4E99" w:rsidRDefault="002D7F7D" w:rsidP="002D7F7D">
      <w:pPr>
        <w:pStyle w:val="Normal12Hanging"/>
      </w:pPr>
      <w:r>
        <w:t>59.</w:t>
      </w:r>
      <w:r>
        <w:tab/>
        <w:t>przypomina, że wszystkie uregulowania przejściowe muszą być w pełni zgodne z</w:t>
      </w:r>
      <w:r w:rsidR="008368B5">
        <w:t> </w:t>
      </w:r>
      <w:r>
        <w:t>zobowiązaniami wynikającymi z członkostwa w WTO, aby nie zakłócały stosunków handlowych z krajami trzecimi;</w:t>
      </w:r>
    </w:p>
    <w:p w14:paraId="65BB4DF1" w14:textId="6A985A8D" w:rsidR="002D7F7D" w:rsidRPr="003A4E99" w:rsidRDefault="002D7F7D" w:rsidP="002D7F7D">
      <w:pPr>
        <w:pStyle w:val="Normal12Hanging"/>
      </w:pPr>
      <w:r>
        <w:t>60.</w:t>
      </w:r>
      <w:r>
        <w:tab/>
        <w:t>domaga się, aby wszelkie przyszłe umowy handlowe, które Zjednoczone Królestwo wynegocjuje z państwami trzecimi po wystąpieniu z UE, mogły wejść w życie dopiero po zakończeniu okresu obowiązywania postanowień przejściowych;</w:t>
      </w:r>
    </w:p>
    <w:p w14:paraId="5DA9F70F" w14:textId="50773785" w:rsidR="002D7F7D" w:rsidRPr="003A4E99" w:rsidRDefault="002D7F7D" w:rsidP="002D7F7D">
      <w:pPr>
        <w:pStyle w:val="Normal12Hanging"/>
      </w:pPr>
      <w:r>
        <w:t>61.</w:t>
      </w:r>
      <w:r>
        <w:tab/>
        <w:t>przypomina, że od dnia wystąpienia z UE Zjednoczone Królestwo nie będzie już mogło czerpać korzyści z umów międzynarodowych zawieranych przez UE, państwa członkowskie działające w jej imieniu lub UE i państwa członkowskie działające wspólnie; zwraca uwagę, że w okresie przejściowym na Zjednoczonym Królestwie nadal będą spoczywać zobowiązania wynikające z tych umów; podkreśla, że zasadniczo Zjednoczone Królestwo samo powinno dążyć do porozumienia z krajami trzecimi, których dana umowa dotyczy, jeżeli pragnie utrzymać skutki istniejących umów w</w:t>
      </w:r>
      <w:r w:rsidR="008368B5">
        <w:t> </w:t>
      </w:r>
      <w:r>
        <w:t>odniesieniu do siebie, a także że Zjednoczone Królestwo nie będzie mogło uczestniczyć w strukturach zarządzania ani w procedurach podejmowania decyzji, przewidzianych na mocy tych umów;</w:t>
      </w:r>
    </w:p>
    <w:p w14:paraId="5C77D27D" w14:textId="77777777" w:rsidR="002D7F7D" w:rsidRPr="003A4E99" w:rsidRDefault="002D7F7D" w:rsidP="002D7F7D">
      <w:pPr>
        <w:pStyle w:val="Normal12Hanging"/>
      </w:pPr>
      <w:r>
        <w:t>62.</w:t>
      </w:r>
      <w:r>
        <w:tab/>
        <w:t>zwraca uwagę, że uregulowania przejściowe można będzie wdrożyć dopiero po wejściu w życie umowy o wystąpieniu, gdyż stanowią one jej część;</w:t>
      </w:r>
    </w:p>
    <w:p w14:paraId="7BD2EFA8" w14:textId="77777777" w:rsidR="002D7F7D" w:rsidRPr="003A4E99" w:rsidRDefault="002D7F7D" w:rsidP="002D7F7D">
      <w:pPr>
        <w:pStyle w:val="Normal12Hanging"/>
        <w:rPr>
          <w:i/>
        </w:rPr>
      </w:pPr>
      <w:r>
        <w:rPr>
          <w:i/>
        </w:rPr>
        <w:t>(iv)</w:t>
      </w:r>
      <w:r>
        <w:rPr>
          <w:i/>
        </w:rPr>
        <w:tab/>
        <w:t>Inne kwestie dotyczące wystąpienia Zjednoczonego Królestwa z UE</w:t>
      </w:r>
    </w:p>
    <w:p w14:paraId="6640EF99" w14:textId="3DC46D6E" w:rsidR="002D7F7D" w:rsidRPr="003A4E99" w:rsidRDefault="002D7F7D" w:rsidP="00EB6144">
      <w:pPr>
        <w:pStyle w:val="Normal12Hanging"/>
        <w:spacing w:after="360"/>
      </w:pPr>
      <w:r>
        <w:t>63.</w:t>
      </w:r>
      <w:r>
        <w:tab/>
        <w:t>apeluje o bezzwłoczne porozumienie w kwestii wszystkich postanowień dotyczących wystąpienia, zawartych w części trzeciej projektu umowy o wystąpieniu, oraz wzywa Zjednoczone Królestwo do zajęcia jasnego stanowiska – o ile jeszcze tego nie uczyniło – w sprawie wszystkich nierozstrzygniętych kwestii związanych z jego uporządkowanym wystąpieniem z UE;</w:t>
      </w:r>
    </w:p>
    <w:p w14:paraId="6434AC41" w14:textId="77777777" w:rsidR="002D7F7D" w:rsidRPr="003A4E99" w:rsidRDefault="002D7F7D" w:rsidP="002D7F7D">
      <w:pPr>
        <w:pStyle w:val="Normal12Hanging"/>
        <w:rPr>
          <w:b/>
          <w:i/>
        </w:rPr>
      </w:pPr>
      <w:r>
        <w:rPr>
          <w:b/>
          <w:i/>
        </w:rPr>
        <w:t>Gotowość</w:t>
      </w:r>
    </w:p>
    <w:p w14:paraId="53C11420" w14:textId="315D70A8" w:rsidR="002D7F7D" w:rsidRPr="003A4E99" w:rsidRDefault="002D7F7D" w:rsidP="002D7F7D">
      <w:pPr>
        <w:pStyle w:val="Normal12Hanging"/>
      </w:pPr>
      <w:r>
        <w:t>64.</w:t>
      </w:r>
      <w:r>
        <w:tab/>
        <w:t>podkreśla znaczenie działań podejmowanych przez Komisję i państwa członkowskie na różnych szczebla w odniesieniu do kwestii uwrażliwiania i gotowości; zaznacza, że z</w:t>
      </w:r>
      <w:r w:rsidR="008368B5">
        <w:t> </w:t>
      </w:r>
      <w:r>
        <w:t>uwagi na niepewność wywołaną brexitem nie tylko instytucje UE, ale również władze krajowe, podmioty gospodarcze i w szczególności obywatele muszą zostać ostrzeżeni i</w:t>
      </w:r>
      <w:r w:rsidR="008368B5">
        <w:t> </w:t>
      </w:r>
      <w:r>
        <w:t>otrzymywać rzetelne informacje, aby mogli się odpowiednio przygotować na wszystkie możliwe scenariusze, w tym również na możliwość niezawarcia umowy; apeluje w szczególności o podjęcie działań skierowanych do jak największej liczby zainteresowanych sektorów i osób, w tym również w następujących dziedzinach:</w:t>
      </w:r>
    </w:p>
    <w:p w14:paraId="312DF9A6" w14:textId="3B47D67F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nieprzerwany i bezpieczny dostęp do lekarstw stosowanych u zwierząt i ludzi oraz urządzeń medycznych dla pacjentów, w tym pewna i stała dostawa izotopów promieniotwórczych;</w:t>
      </w:r>
    </w:p>
    <w:p w14:paraId="4BCF2FF8" w14:textId="4DFC9124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usługi finansowe dla podmiotów gospodarczych;</w:t>
      </w:r>
    </w:p>
    <w:p w14:paraId="66700EB0" w14:textId="1D5E17B1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przygotowanie małych i średnich przedsiębiorstw oraz niewielkich podmiotów prowadzących handel ze Zjednoczonym Królestwem, takich jak producenci rolno-spożywczy oraz producenci produktów rybołówstwa, którzy po raz pierwszy w</w:t>
      </w:r>
      <w:r w:rsidR="008368B5">
        <w:t> </w:t>
      </w:r>
      <w:r>
        <w:t>ramach swojej działalności mogą zacząć mieć do czynienia z procedurami wywozowymi i pewnymi rodzajami wymogów, w tym wymogów sanitarnych i</w:t>
      </w:r>
      <w:r w:rsidR="008368B5">
        <w:t> </w:t>
      </w:r>
      <w:r>
        <w:t>fitosanitarnych;</w:t>
      </w:r>
    </w:p>
    <w:p w14:paraId="73F06EB8" w14:textId="12DE3BD0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ograniczenia i wymogi wynikające z nowych ram prawnych, dotyczące transportu pasażerów i towarów, oraz skutki, jakie mogą one mieć na elementy łańcucha dostaw, przetwórstwa i dystrybucji żywności, funkcjonujące w oparciu o zasadę „dokładnie na czas”;</w:t>
      </w:r>
    </w:p>
    <w:p w14:paraId="69D4818D" w14:textId="1B4E4275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możliwości w zakresie poprawnego etykietowania, identyfikowalności i</w:t>
      </w:r>
      <w:r w:rsidR="008368B5">
        <w:t> </w:t>
      </w:r>
      <w:r>
        <w:t>rzeczywistego pochodzenia produktów rolnych i produktów rybołówstwa, aby zagwarantować przestrzeganie norm w zakresie bezpieczeństwa żywności, dobrostanu zwierząt i udostępniania konsumentom dokładnych informacji o</w:t>
      </w:r>
      <w:r w:rsidR="008368B5">
        <w:t> </w:t>
      </w:r>
      <w:r>
        <w:t>produktach spożywczych;</w:t>
      </w:r>
    </w:p>
    <w:p w14:paraId="187AF00B" w14:textId="4D694BA3" w:rsidR="00EB6144" w:rsidRPr="003A4E99" w:rsidRDefault="002D7F7D" w:rsidP="00EB6144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ramy prawne w zakresie ochrony danych;</w:t>
      </w:r>
    </w:p>
    <w:p w14:paraId="3DF434CC" w14:textId="6B1821F1" w:rsidR="002D7F7D" w:rsidRPr="003A4E99" w:rsidRDefault="002D7F7D" w:rsidP="00FD649E">
      <w:pPr>
        <w:pStyle w:val="Normal12Hanging"/>
        <w:tabs>
          <w:tab w:val="left" w:pos="851"/>
        </w:tabs>
        <w:ind w:left="851" w:hanging="284"/>
      </w:pPr>
      <w:r>
        <w:t>–</w:t>
      </w:r>
      <w:r>
        <w:tab/>
        <w:t>wskazanie przez Komisję przepisów prawnych UE wymagających modyfikacji w</w:t>
      </w:r>
      <w:r w:rsidR="008368B5">
        <w:t> </w:t>
      </w:r>
      <w:r>
        <w:t>wyniku brexitu;</w:t>
      </w:r>
    </w:p>
    <w:p w14:paraId="5C9A59D6" w14:textId="77777777" w:rsidR="00FD649E" w:rsidRPr="003A4E99" w:rsidRDefault="00FD649E" w:rsidP="00886102">
      <w:pPr>
        <w:pStyle w:val="Normal12Hanging"/>
        <w:jc w:val="center"/>
      </w:pPr>
      <w:r>
        <w:t>°</w:t>
      </w:r>
    </w:p>
    <w:p w14:paraId="28755DE1" w14:textId="77777777" w:rsidR="00FD649E" w:rsidRPr="003A4E99" w:rsidRDefault="00FD649E" w:rsidP="00402871">
      <w:pPr>
        <w:pStyle w:val="Normal12Hanging"/>
        <w:jc w:val="center"/>
      </w:pPr>
      <w:r>
        <w:t>°</w:t>
      </w:r>
      <w:r>
        <w:tab/>
        <w:t>°</w:t>
      </w:r>
    </w:p>
    <w:p w14:paraId="399F533C" w14:textId="77777777" w:rsidR="00BF0179" w:rsidRPr="003A4E99" w:rsidRDefault="002D7F7D" w:rsidP="00EB6144">
      <w:pPr>
        <w:pStyle w:val="Normal12Hanging"/>
      </w:pPr>
      <w:r>
        <w:t>65.</w:t>
      </w:r>
      <w:r>
        <w:tab/>
        <w:t>zobowiązuje swojego przewodniczącego do przekazania niniejszej rezolucji Radzie Europejskiej, Radzie Unii Europejskiej, Komisji Europejskiej, parlamentom państw członkowskich oraz rządowi Zjednoczonego Królestwa.</w:t>
      </w:r>
    </w:p>
    <w:p w14:paraId="3048FE1D" w14:textId="518C631A" w:rsidR="00BF0179" w:rsidRPr="003A4E99" w:rsidRDefault="00BF0179" w:rsidP="00BF0179">
      <w:pPr>
        <w:pStyle w:val="Normal12Hanging"/>
        <w:ind w:left="0" w:firstLine="0"/>
        <w:rPr>
          <w:b/>
          <w:sz w:val="28"/>
          <w:szCs w:val="28"/>
        </w:rPr>
      </w:pPr>
      <w:r>
        <w:br w:type="column"/>
      </w:r>
      <w:r>
        <w:rPr>
          <w:b/>
        </w:rPr>
        <w:t>Oświadczenie Konfederacyjnej Grupy Zjednoczonej Lewicy Europejskiej / Nordyckiej Zielonej Lewicy (GUE/NGL) w sprawie rezolucji dotyczącej ram przyszłych stosunków między UE a Zjednoczonym Królestwem</w:t>
      </w:r>
    </w:p>
    <w:p w14:paraId="7B4965CA" w14:textId="77777777" w:rsidR="00BF0179" w:rsidRPr="003A4E99" w:rsidRDefault="00BF0179" w:rsidP="00BF0179">
      <w:pPr>
        <w:pStyle w:val="Normal12Hanging"/>
      </w:pPr>
    </w:p>
    <w:p w14:paraId="49D2EC9F" w14:textId="1C130A2A" w:rsidR="00BF0179" w:rsidRPr="003A4E99" w:rsidRDefault="00BF0179" w:rsidP="00BF0179">
      <w:pPr>
        <w:pStyle w:val="Normal12Hanging"/>
        <w:ind w:left="0" w:firstLine="0"/>
      </w:pPr>
      <w:r>
        <w:t>Jesteśmy zaniepokojeni, że projekt umowy o wystąpieniu, nadającej prawny charakter wspólnemu sprawozdaniu z dnia 8 grudnia 2017 r., został przyjęty przez rząd brytyjski z taką niechęcią. Zgodnie z rezolucją Parlamentu Europejskiego z dnia 13 grudnia i wytycznymi Rady z dnia 15 grudnia wyrażamy ubolewanie, że rząd brytyjski nie działa w dobrej wierze i</w:t>
      </w:r>
      <w:r w:rsidR="008368B5">
        <w:t> </w:t>
      </w:r>
      <w:r>
        <w:t>wobec tego uważamy, iż UE powinna skupić swoją uwagę na zadbaniu o to, aby w pełni i</w:t>
      </w:r>
      <w:r w:rsidR="008368B5">
        <w:t> </w:t>
      </w:r>
      <w:r>
        <w:t xml:space="preserve">wiernie przestrzegano zobowiązań podjętych w pierwszej fazie oraz aby jak najszybciej nadano im wiążący charakter prawny. </w:t>
      </w:r>
    </w:p>
    <w:p w14:paraId="3BCC5B84" w14:textId="5511DBB2" w:rsidR="00BF0179" w:rsidRPr="003A4E99" w:rsidRDefault="00BF0179" w:rsidP="00BF0179">
      <w:pPr>
        <w:pStyle w:val="Normal12Hanging"/>
        <w:ind w:left="0" w:firstLine="0"/>
      </w:pPr>
      <w:r>
        <w:t>Choć projekt rezolucji zawiera elementy o wydźwięku nader pozytywnym, zwłaszcza w</w:t>
      </w:r>
      <w:r w:rsidR="008368B5">
        <w:t> </w:t>
      </w:r>
      <w:r>
        <w:t>dziedzinach, w których grupy polityczne wykazały się konstruktywnym zaangażowaniem na szczeblu komisji, pewne jego części nadal są problematyczne. Wyrażamy w szczególności zdecydowany sprzeciw wobec postanowień zawartych w projekcie rezolucji, które dotyczą obrony i bezpieczeństwa.</w:t>
      </w:r>
    </w:p>
    <w:p w14:paraId="29DFA2EF" w14:textId="461C75A4" w:rsidR="00BF0179" w:rsidRPr="003A4E99" w:rsidRDefault="00BF0179" w:rsidP="00BF0179">
      <w:pPr>
        <w:pStyle w:val="Normal12Hanging"/>
        <w:ind w:left="0" w:firstLine="0"/>
      </w:pPr>
      <w:r>
        <w:t>Mimo zastrzeżeń z naszej strony, dotyczących niektórych ustępów poświęconych przyszłym stosunkom, uważamy, że ogromne znaczenie ma kontynuowanie przez grupy polityczne ścisłej współpracy, w szczególności zadbanie o to, aby umowa o wystąpieniu broniła praw milionów obywateli dotkniętych wystąpieniem Zjednoczonego Królestwa z UE, a także przestrzeganie wszystkich części porozumienia wielkopiątkowego.</w:t>
      </w:r>
    </w:p>
    <w:p w14:paraId="037A6559" w14:textId="77777777" w:rsidR="00814BC6" w:rsidRPr="003A4E99" w:rsidRDefault="00814BC6" w:rsidP="00EB6144">
      <w:pPr>
        <w:pStyle w:val="Normal12Hanging"/>
      </w:pPr>
    </w:p>
    <w:sectPr w:rsidR="00814BC6" w:rsidRPr="003A4E99" w:rsidSect="003A4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8C8E" w14:textId="77777777" w:rsidR="003222C7" w:rsidRPr="003A4E99" w:rsidRDefault="003222C7">
      <w:r w:rsidRPr="003A4E99">
        <w:separator/>
      </w:r>
    </w:p>
  </w:endnote>
  <w:endnote w:type="continuationSeparator" w:id="0">
    <w:p w14:paraId="58DB2A31" w14:textId="77777777" w:rsidR="003222C7" w:rsidRPr="003A4E99" w:rsidRDefault="003222C7">
      <w:r w:rsidRPr="003A4E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BEE3" w14:textId="77777777" w:rsidR="006C4775" w:rsidRPr="008368B5" w:rsidRDefault="006C4775" w:rsidP="006C4775">
    <w:pPr>
      <w:pStyle w:val="Footer"/>
      <w:rPr>
        <w:lang w:val="fr-FR"/>
      </w:rPr>
    </w:pPr>
    <w:r w:rsidRPr="008368B5">
      <w:rPr>
        <w:lang w:val="fr-FR"/>
      </w:rPr>
      <w:t>PE</w:t>
    </w:r>
    <w:r w:rsidRPr="008368B5">
      <w:rPr>
        <w:rStyle w:val="HideTWBExt"/>
        <w:noProof w:val="0"/>
        <w:lang w:val="fr-FR"/>
      </w:rPr>
      <w:t>&lt;NoPE&gt;</w:t>
    </w:r>
    <w:r w:rsidRPr="008368B5">
      <w:rPr>
        <w:lang w:val="fr-FR"/>
      </w:rPr>
      <w:t>616.080</w:t>
    </w:r>
    <w:r w:rsidRPr="008368B5">
      <w:rPr>
        <w:rStyle w:val="HideTWBExt"/>
        <w:noProof w:val="0"/>
        <w:lang w:val="fr-FR"/>
      </w:rPr>
      <w:t>&lt;/NoPE&gt;&lt;Version&gt;</w:t>
    </w:r>
    <w:r w:rsidRPr="008368B5">
      <w:rPr>
        <w:lang w:val="fr-FR"/>
      </w:rPr>
      <w:t>v01-00</w:t>
    </w:r>
    <w:r w:rsidRPr="008368B5">
      <w:rPr>
        <w:rStyle w:val="HideTWBExt"/>
        <w:noProof w:val="0"/>
        <w:lang w:val="fr-FR"/>
      </w:rPr>
      <w:t>&lt;/Version&gt;</w:t>
    </w:r>
    <w:r w:rsidRPr="008368B5">
      <w:rPr>
        <w:lang w:val="fr-FR"/>
      </w:rPr>
      <w:tab/>
    </w:r>
    <w:r w:rsidRPr="003A4E99">
      <w:fldChar w:fldCharType="begin"/>
    </w:r>
    <w:r w:rsidRPr="008368B5">
      <w:rPr>
        <w:lang w:val="fr-FR"/>
      </w:rPr>
      <w:instrText xml:space="preserve"> PAGE  \* MERGEFORMAT </w:instrText>
    </w:r>
    <w:r w:rsidRPr="003A4E99">
      <w:fldChar w:fldCharType="separate"/>
    </w:r>
    <w:r w:rsidR="00251250">
      <w:rPr>
        <w:noProof/>
        <w:lang w:val="fr-FR"/>
      </w:rPr>
      <w:t>12</w:t>
    </w:r>
    <w:r w:rsidRPr="003A4E99">
      <w:fldChar w:fldCharType="end"/>
    </w:r>
    <w:r w:rsidRPr="008368B5">
      <w:rPr>
        <w:lang w:val="fr-FR"/>
      </w:rPr>
      <w:t>/</w:t>
    </w:r>
    <w:r w:rsidR="000E7B0D">
      <w:fldChar w:fldCharType="begin"/>
    </w:r>
    <w:r w:rsidR="000E7B0D" w:rsidRPr="008368B5">
      <w:rPr>
        <w:lang w:val="fr-FR"/>
      </w:rPr>
      <w:instrText xml:space="preserve"> NUMPAGES  \* MERGEFORMAT </w:instrText>
    </w:r>
    <w:r w:rsidR="000E7B0D">
      <w:fldChar w:fldCharType="separate"/>
    </w:r>
    <w:r w:rsidR="00251250">
      <w:rPr>
        <w:noProof/>
        <w:lang w:val="fr-FR"/>
      </w:rPr>
      <w:t>18</w:t>
    </w:r>
    <w:r w:rsidR="000E7B0D">
      <w:rPr>
        <w:noProof/>
      </w:rPr>
      <w:fldChar w:fldCharType="end"/>
    </w:r>
    <w:r w:rsidRPr="008368B5">
      <w:rPr>
        <w:lang w:val="fr-FR"/>
      </w:rPr>
      <w:tab/>
    </w:r>
    <w:r w:rsidRPr="008368B5">
      <w:rPr>
        <w:rStyle w:val="HideTWBExt"/>
        <w:noProof w:val="0"/>
        <w:lang w:val="fr-FR"/>
      </w:rPr>
      <w:t>&lt;PathFdR&gt;</w:t>
    </w:r>
    <w:r w:rsidRPr="008368B5">
      <w:rPr>
        <w:lang w:val="fr-FR"/>
      </w:rPr>
      <w:t>RE\1147902PL.docx</w:t>
    </w:r>
    <w:r w:rsidRPr="008368B5">
      <w:rPr>
        <w:rStyle w:val="HideTWBExt"/>
        <w:noProof w:val="0"/>
        <w:lang w:val="fr-FR"/>
      </w:rPr>
      <w:t>&lt;/PathFdR&gt;</w:t>
    </w:r>
  </w:p>
  <w:p w14:paraId="1AEFF9A0" w14:textId="4FE94A85" w:rsidR="00A90219" w:rsidRPr="003A4E99" w:rsidRDefault="006C4775" w:rsidP="006C4775">
    <w:pPr>
      <w:pStyle w:val="Footer2"/>
    </w:pPr>
    <w:r w:rsidRPr="003A4E99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06C7" w14:textId="77777777" w:rsidR="006C4775" w:rsidRPr="008368B5" w:rsidRDefault="006C4775" w:rsidP="006C4775">
    <w:pPr>
      <w:pStyle w:val="Footer"/>
      <w:rPr>
        <w:lang w:val="fr-FR"/>
      </w:rPr>
    </w:pPr>
    <w:r w:rsidRPr="008368B5">
      <w:rPr>
        <w:rStyle w:val="HideTWBExt"/>
        <w:noProof w:val="0"/>
        <w:lang w:val="fr-FR"/>
      </w:rPr>
      <w:t>&lt;PathFdR&gt;</w:t>
    </w:r>
    <w:r w:rsidRPr="008368B5">
      <w:rPr>
        <w:lang w:val="fr-FR"/>
      </w:rPr>
      <w:t>RE\1147902PL.docx</w:t>
    </w:r>
    <w:r w:rsidRPr="008368B5">
      <w:rPr>
        <w:rStyle w:val="HideTWBExt"/>
        <w:noProof w:val="0"/>
        <w:lang w:val="fr-FR"/>
      </w:rPr>
      <w:t>&lt;/PathFdR&gt;</w:t>
    </w:r>
    <w:r w:rsidRPr="008368B5">
      <w:rPr>
        <w:lang w:val="fr-FR"/>
      </w:rPr>
      <w:tab/>
    </w:r>
    <w:r w:rsidRPr="003A4E99">
      <w:fldChar w:fldCharType="begin"/>
    </w:r>
    <w:r w:rsidRPr="008368B5">
      <w:rPr>
        <w:lang w:val="fr-FR"/>
      </w:rPr>
      <w:instrText xml:space="preserve"> PAGE  \* MERGEFORMAT </w:instrText>
    </w:r>
    <w:r w:rsidRPr="003A4E99">
      <w:fldChar w:fldCharType="separate"/>
    </w:r>
    <w:r w:rsidR="00251250">
      <w:rPr>
        <w:noProof/>
        <w:lang w:val="fr-FR"/>
      </w:rPr>
      <w:t>11</w:t>
    </w:r>
    <w:r w:rsidRPr="003A4E99">
      <w:fldChar w:fldCharType="end"/>
    </w:r>
    <w:r w:rsidRPr="008368B5">
      <w:rPr>
        <w:lang w:val="fr-FR"/>
      </w:rPr>
      <w:t>/</w:t>
    </w:r>
    <w:r w:rsidR="000E7B0D">
      <w:fldChar w:fldCharType="begin"/>
    </w:r>
    <w:r w:rsidR="000E7B0D" w:rsidRPr="008368B5">
      <w:rPr>
        <w:lang w:val="fr-FR"/>
      </w:rPr>
      <w:instrText xml:space="preserve"> NUMPAGES  \* MERGEFORMAT </w:instrText>
    </w:r>
    <w:r w:rsidR="000E7B0D">
      <w:fldChar w:fldCharType="separate"/>
    </w:r>
    <w:r w:rsidR="00251250">
      <w:rPr>
        <w:noProof/>
        <w:lang w:val="fr-FR"/>
      </w:rPr>
      <w:t>18</w:t>
    </w:r>
    <w:r w:rsidR="000E7B0D">
      <w:rPr>
        <w:noProof/>
      </w:rPr>
      <w:fldChar w:fldCharType="end"/>
    </w:r>
    <w:r w:rsidRPr="008368B5">
      <w:rPr>
        <w:lang w:val="fr-FR"/>
      </w:rPr>
      <w:tab/>
      <w:t>PE</w:t>
    </w:r>
    <w:r w:rsidRPr="008368B5">
      <w:rPr>
        <w:rStyle w:val="HideTWBExt"/>
        <w:noProof w:val="0"/>
        <w:lang w:val="fr-FR"/>
      </w:rPr>
      <w:t>&lt;NoPE&gt;</w:t>
    </w:r>
    <w:r w:rsidRPr="008368B5">
      <w:rPr>
        <w:lang w:val="fr-FR"/>
      </w:rPr>
      <w:t>616.080</w:t>
    </w:r>
    <w:r w:rsidRPr="008368B5">
      <w:rPr>
        <w:rStyle w:val="HideTWBExt"/>
        <w:noProof w:val="0"/>
        <w:lang w:val="fr-FR"/>
      </w:rPr>
      <w:t>&lt;/NoPE&gt;&lt;Version&gt;</w:t>
    </w:r>
    <w:r w:rsidRPr="008368B5">
      <w:rPr>
        <w:lang w:val="fr-FR"/>
      </w:rPr>
      <w:t>v01-00</w:t>
    </w:r>
    <w:r w:rsidRPr="008368B5">
      <w:rPr>
        <w:rStyle w:val="HideTWBExt"/>
        <w:noProof w:val="0"/>
        <w:lang w:val="fr-FR"/>
      </w:rPr>
      <w:t>&lt;/Version&gt;</w:t>
    </w:r>
  </w:p>
  <w:p w14:paraId="22C705A6" w14:textId="5CEEEDA1" w:rsidR="00A90219" w:rsidRPr="003A4E99" w:rsidRDefault="006C4775" w:rsidP="006C4775">
    <w:pPr>
      <w:pStyle w:val="Footer2"/>
    </w:pPr>
    <w:r w:rsidRPr="008368B5">
      <w:rPr>
        <w:lang w:val="fr-FR"/>
      </w:rPr>
      <w:tab/>
    </w:r>
    <w:r w:rsidRPr="003A4E99"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6579" w14:textId="77777777" w:rsidR="006C4775" w:rsidRPr="008368B5" w:rsidRDefault="006C4775" w:rsidP="006C4775">
    <w:pPr>
      <w:pStyle w:val="Footer"/>
      <w:rPr>
        <w:lang w:val="fr-FR"/>
      </w:rPr>
    </w:pPr>
    <w:r w:rsidRPr="008368B5">
      <w:rPr>
        <w:rStyle w:val="HideTWBExt"/>
        <w:noProof w:val="0"/>
        <w:lang w:val="fr-FR"/>
      </w:rPr>
      <w:t>&lt;PathFdR&gt;</w:t>
    </w:r>
    <w:r w:rsidRPr="008368B5">
      <w:rPr>
        <w:lang w:val="fr-FR"/>
      </w:rPr>
      <w:t>RE\1147902PL.docx</w:t>
    </w:r>
    <w:r w:rsidRPr="008368B5">
      <w:rPr>
        <w:rStyle w:val="HideTWBExt"/>
        <w:noProof w:val="0"/>
        <w:lang w:val="fr-FR"/>
      </w:rPr>
      <w:t>&lt;/PathFdR&gt;</w:t>
    </w:r>
    <w:r w:rsidRPr="008368B5">
      <w:rPr>
        <w:lang w:val="fr-FR"/>
      </w:rPr>
      <w:tab/>
    </w:r>
    <w:r w:rsidRPr="008368B5">
      <w:rPr>
        <w:lang w:val="fr-FR"/>
      </w:rPr>
      <w:tab/>
      <w:t>PE</w:t>
    </w:r>
    <w:r w:rsidRPr="008368B5">
      <w:rPr>
        <w:rStyle w:val="HideTWBExt"/>
        <w:noProof w:val="0"/>
        <w:lang w:val="fr-FR"/>
      </w:rPr>
      <w:t>&lt;NoPE&gt;</w:t>
    </w:r>
    <w:r w:rsidRPr="008368B5">
      <w:rPr>
        <w:lang w:val="fr-FR"/>
      </w:rPr>
      <w:t>616.080</w:t>
    </w:r>
    <w:r w:rsidRPr="008368B5">
      <w:rPr>
        <w:rStyle w:val="HideTWBExt"/>
        <w:noProof w:val="0"/>
        <w:lang w:val="fr-FR"/>
      </w:rPr>
      <w:t>&lt;/NoPE&gt;&lt;Version&gt;</w:t>
    </w:r>
    <w:r w:rsidRPr="008368B5">
      <w:rPr>
        <w:lang w:val="fr-FR"/>
      </w:rPr>
      <w:t>v01-00</w:t>
    </w:r>
    <w:r w:rsidRPr="008368B5">
      <w:rPr>
        <w:rStyle w:val="HideTWBExt"/>
        <w:noProof w:val="0"/>
        <w:lang w:val="fr-FR"/>
      </w:rPr>
      <w:t>&lt;/Version&gt;</w:t>
    </w:r>
  </w:p>
  <w:p w14:paraId="26240BC4" w14:textId="77F53DFA" w:rsidR="00A90219" w:rsidRPr="003A4E99" w:rsidRDefault="006C4775" w:rsidP="006C4775">
    <w:pPr>
      <w:pStyle w:val="Footer2"/>
      <w:tabs>
        <w:tab w:val="center" w:pos="4535"/>
      </w:tabs>
    </w:pPr>
    <w:r w:rsidRPr="003A4E99">
      <w:t>PL</w:t>
    </w:r>
    <w:r w:rsidRPr="003A4E99">
      <w:tab/>
    </w:r>
    <w:r w:rsidRPr="003A4E99">
      <w:rPr>
        <w:b w:val="0"/>
        <w:i/>
        <w:color w:val="C0C0C0"/>
        <w:sz w:val="22"/>
      </w:rPr>
      <w:t>Zjednoczona w różnorodności</w:t>
    </w:r>
    <w:r w:rsidRPr="003A4E99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B41E" w14:textId="77777777" w:rsidR="003222C7" w:rsidRPr="007D5C04" w:rsidRDefault="003222C7">
      <w:r w:rsidRPr="007D5C04">
        <w:separator/>
      </w:r>
    </w:p>
  </w:footnote>
  <w:footnote w:type="continuationSeparator" w:id="0">
    <w:p w14:paraId="530AE089" w14:textId="77777777" w:rsidR="003222C7" w:rsidRPr="003A4E99" w:rsidRDefault="003222C7">
      <w:r w:rsidRPr="003A4E99">
        <w:continuationSeparator/>
      </w:r>
    </w:p>
  </w:footnote>
  <w:footnote w:id="1">
    <w:p w14:paraId="527A050E" w14:textId="77777777" w:rsidR="00EE332B" w:rsidRPr="003A4E99" w:rsidRDefault="00EE332B">
      <w:pPr>
        <w:pStyle w:val="FootnoteText"/>
      </w:pPr>
      <w:r w:rsidRPr="007D5C04">
        <w:rPr>
          <w:rStyle w:val="FootnoteReference"/>
        </w:rPr>
        <w:footnoteRef/>
      </w:r>
      <w:r>
        <w:t xml:space="preserve"> Teksty przyjęte, </w:t>
      </w:r>
      <w:r>
        <w:rPr>
          <w:rFonts w:ascii="inherit" w:hAnsi="inherit"/>
          <w:color w:val="000000"/>
        </w:rPr>
        <w:t>P8_TA(2017)0102.</w:t>
      </w:r>
    </w:p>
  </w:footnote>
  <w:footnote w:id="2">
    <w:p w14:paraId="70091E25" w14:textId="7D690318" w:rsidR="008C72EB" w:rsidRPr="003A4E99" w:rsidRDefault="008C72EB">
      <w:pPr>
        <w:pStyle w:val="FootnoteText"/>
      </w:pPr>
      <w:r w:rsidRPr="003A4E99">
        <w:rPr>
          <w:rStyle w:val="FootnoteReference"/>
        </w:rPr>
        <w:footnoteRef/>
      </w:r>
      <w:r>
        <w:t xml:space="preserve"> Teksty przyjęte, P8_TA(2017)0361.</w:t>
      </w:r>
    </w:p>
  </w:footnote>
  <w:footnote w:id="3">
    <w:p w14:paraId="1080F196" w14:textId="77777777" w:rsidR="008C72EB" w:rsidRPr="003A4E99" w:rsidRDefault="008C72EB" w:rsidP="008C72EB">
      <w:pPr>
        <w:pStyle w:val="FootnoteText"/>
      </w:pPr>
      <w:r w:rsidRPr="003A4E99">
        <w:rPr>
          <w:rStyle w:val="FootnoteReference"/>
        </w:rPr>
        <w:footnoteRef/>
      </w:r>
      <w:r>
        <w:t xml:space="preserve"> Teksty przyjęte, P8_TA(2017)0490.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AD16" w14:textId="77777777" w:rsidR="00251250" w:rsidRDefault="00251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7F7C" w14:textId="77777777" w:rsidR="00251250" w:rsidRDefault="00251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C585" w14:textId="77777777" w:rsidR="00251250" w:rsidRDefault="00251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2"/>
    <w:docVar w:name="strDocTypeID" w:val="RE_Statements"/>
    <w:docVar w:name="strSubDir" w:val="1147"/>
    <w:docVar w:name="TXTLANGUE" w:val="PL"/>
    <w:docVar w:name="TXTLANGUEMIN" w:val="pl"/>
    <w:docVar w:name="TXTNRB" w:val="0000/2018"/>
    <w:docVar w:name="TXTNRPE" w:val="616.080"/>
    <w:docVar w:name="TXTNRRSP" w:val="2017/0000"/>
    <w:docVar w:name="TXTPEorAP" w:val="PE"/>
    <w:docVar w:name="TXTROUTE" w:val="RE\1147902PL.docx"/>
    <w:docVar w:name="TXTTITLE" w:val="the framework of the future EU-UK relationship "/>
    <w:docVar w:name="TXTVERSION" w:val="01-00"/>
  </w:docVars>
  <w:rsids>
    <w:rsidRoot w:val="003222C7"/>
    <w:rsid w:val="00005F7F"/>
    <w:rsid w:val="00037F46"/>
    <w:rsid w:val="00094DDA"/>
    <w:rsid w:val="000E65BD"/>
    <w:rsid w:val="000E7B0D"/>
    <w:rsid w:val="00127D8F"/>
    <w:rsid w:val="00133062"/>
    <w:rsid w:val="00150C10"/>
    <w:rsid w:val="00172CB9"/>
    <w:rsid w:val="001B49A3"/>
    <w:rsid w:val="001C62C5"/>
    <w:rsid w:val="001F2ED3"/>
    <w:rsid w:val="002300D2"/>
    <w:rsid w:val="002418E8"/>
    <w:rsid w:val="00251250"/>
    <w:rsid w:val="002574AA"/>
    <w:rsid w:val="0026498F"/>
    <w:rsid w:val="002830C7"/>
    <w:rsid w:val="00284D9B"/>
    <w:rsid w:val="002B3AAC"/>
    <w:rsid w:val="002C073D"/>
    <w:rsid w:val="002C7767"/>
    <w:rsid w:val="002D7F7D"/>
    <w:rsid w:val="00303413"/>
    <w:rsid w:val="003222C7"/>
    <w:rsid w:val="00342A4D"/>
    <w:rsid w:val="00351B3D"/>
    <w:rsid w:val="003772FA"/>
    <w:rsid w:val="003A4E99"/>
    <w:rsid w:val="00402871"/>
    <w:rsid w:val="004B1FC9"/>
    <w:rsid w:val="00502293"/>
    <w:rsid w:val="00543A0F"/>
    <w:rsid w:val="00566697"/>
    <w:rsid w:val="0058312A"/>
    <w:rsid w:val="005C3A49"/>
    <w:rsid w:val="005D4FC3"/>
    <w:rsid w:val="00636382"/>
    <w:rsid w:val="00694B89"/>
    <w:rsid w:val="006C4775"/>
    <w:rsid w:val="006C6A1A"/>
    <w:rsid w:val="00706BC0"/>
    <w:rsid w:val="00723A0B"/>
    <w:rsid w:val="007330C1"/>
    <w:rsid w:val="00780A7D"/>
    <w:rsid w:val="007D2D6A"/>
    <w:rsid w:val="007D417D"/>
    <w:rsid w:val="007D5C04"/>
    <w:rsid w:val="00814BC6"/>
    <w:rsid w:val="008368B5"/>
    <w:rsid w:val="00862B69"/>
    <w:rsid w:val="0086617F"/>
    <w:rsid w:val="00880443"/>
    <w:rsid w:val="00886102"/>
    <w:rsid w:val="008A4052"/>
    <w:rsid w:val="008C72EB"/>
    <w:rsid w:val="008D0EEF"/>
    <w:rsid w:val="008F1AD3"/>
    <w:rsid w:val="008F3368"/>
    <w:rsid w:val="00907285"/>
    <w:rsid w:val="00973CA1"/>
    <w:rsid w:val="0098590E"/>
    <w:rsid w:val="009D4E80"/>
    <w:rsid w:val="009F5966"/>
    <w:rsid w:val="00A02A45"/>
    <w:rsid w:val="00A400C2"/>
    <w:rsid w:val="00A84E5B"/>
    <w:rsid w:val="00A90219"/>
    <w:rsid w:val="00AA78C6"/>
    <w:rsid w:val="00AB3D9A"/>
    <w:rsid w:val="00AD54FF"/>
    <w:rsid w:val="00B2744A"/>
    <w:rsid w:val="00B34A46"/>
    <w:rsid w:val="00B764EE"/>
    <w:rsid w:val="00BF0179"/>
    <w:rsid w:val="00C118C1"/>
    <w:rsid w:val="00C119AC"/>
    <w:rsid w:val="00C23264"/>
    <w:rsid w:val="00C87CF0"/>
    <w:rsid w:val="00CC09D8"/>
    <w:rsid w:val="00CE60A1"/>
    <w:rsid w:val="00CF70FD"/>
    <w:rsid w:val="00D12F64"/>
    <w:rsid w:val="00D54667"/>
    <w:rsid w:val="00D90D37"/>
    <w:rsid w:val="00D91891"/>
    <w:rsid w:val="00DF10E8"/>
    <w:rsid w:val="00DF7ADA"/>
    <w:rsid w:val="00E0459D"/>
    <w:rsid w:val="00E476DD"/>
    <w:rsid w:val="00E53167"/>
    <w:rsid w:val="00E57164"/>
    <w:rsid w:val="00E64D96"/>
    <w:rsid w:val="00EB3C24"/>
    <w:rsid w:val="00EB6144"/>
    <w:rsid w:val="00EE332B"/>
    <w:rsid w:val="00F1512A"/>
    <w:rsid w:val="00F26DE8"/>
    <w:rsid w:val="00F34BD6"/>
    <w:rsid w:val="00F4455A"/>
    <w:rsid w:val="00F959BA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95F45"/>
  <w15:chartTrackingRefBased/>
  <w15:docId w15:val="{69C16248-F046-4313-A55A-20F777F0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EE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E332B"/>
  </w:style>
  <w:style w:type="character" w:styleId="FootnoteReference">
    <w:name w:val="footnote reference"/>
    <w:basedOn w:val="DefaultParagraphFont"/>
    <w:rsid w:val="00EE332B"/>
    <w:rPr>
      <w:vertAlign w:val="superscript"/>
    </w:rPr>
  </w:style>
  <w:style w:type="paragraph" w:styleId="BalloonText">
    <w:name w:val="Balloon Text"/>
    <w:basedOn w:val="Normal"/>
    <w:link w:val="BalloonTextChar"/>
    <w:rsid w:val="009F5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96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E5716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57164"/>
  </w:style>
  <w:style w:type="character" w:styleId="EndnoteReference">
    <w:name w:val="endnote reference"/>
    <w:basedOn w:val="DefaultParagraphFont"/>
    <w:rsid w:val="00E57164"/>
    <w:rPr>
      <w:vertAlign w:val="superscript"/>
    </w:rPr>
  </w:style>
  <w:style w:type="character" w:styleId="CommentReference">
    <w:name w:val="annotation reference"/>
    <w:basedOn w:val="DefaultParagraphFont"/>
    <w:rsid w:val="00A84E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E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E5B"/>
  </w:style>
  <w:style w:type="paragraph" w:styleId="CommentSubject">
    <w:name w:val="annotation subject"/>
    <w:basedOn w:val="CommentText"/>
    <w:next w:val="CommentText"/>
    <w:link w:val="CommentSubjectChar"/>
    <w:rsid w:val="00A8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43B3-8E56-4222-863E-6F1E1F5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6C49ABC8.dotm</Template>
  <TotalTime>0</TotalTime>
  <Pages>18</Pages>
  <Words>6106</Words>
  <Characters>40947</Characters>
  <Application>Microsoft Office Word</Application>
  <DocSecurity>0</DocSecurity>
  <Lines>694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46868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CHASE Kathleen</dc:creator>
  <cp:keywords/>
  <dc:description/>
  <cp:lastModifiedBy>KUBIAK Wioletta</cp:lastModifiedBy>
  <cp:revision>2</cp:revision>
  <cp:lastPrinted>2004-11-19T15:55:00Z</cp:lastPrinted>
  <dcterms:created xsi:type="dcterms:W3CDTF">2018-03-12T13:55:00Z</dcterms:created>
  <dcterms:modified xsi:type="dcterms:W3CDTF">2018-03-12T13:55:00Z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1147902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10:48:29)</vt:lpwstr>
  </property>
  <property fmtid="{D5CDD505-2E9C-101B-9397-08002B2CF9AE}" pid="7" name="&lt;ModelTra&gt;">
    <vt:lpwstr>\\eiciLUXpr1\pdocep$\DocEP\TRANSFIL\EN\RE_Statements.EN(13/10/2017 10:43:44)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RE\1147902PL.docx</vt:lpwstr>
  </property>
  <property fmtid="{D5CDD505-2E9C-101B-9397-08002B2CF9AE}" pid="10" name="PE number">
    <vt:lpwstr>616.080</vt:lpwstr>
  </property>
  <property fmtid="{D5CDD505-2E9C-101B-9397-08002B2CF9AE}" pid="11" name="Bookout">
    <vt:lpwstr>OK - 2018/03/12 14:55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