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2960A9" w:rsidRPr="0063458F" w:rsidTr="00BA074C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2960A9" w:rsidRPr="0063458F" w:rsidRDefault="0063458F" w:rsidP="00BA074C">
            <w:pPr>
              <w:pStyle w:val="EPName"/>
            </w:pPr>
            <w:r>
              <w:t>Parlamento Europeu</w:t>
            </w:r>
          </w:p>
          <w:p w:rsidR="002960A9" w:rsidRPr="00ED1958" w:rsidRDefault="00ED1958" w:rsidP="00ED195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2960A9" w:rsidRPr="0063458F" w:rsidRDefault="00F52F6A" w:rsidP="00BA074C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1F70F5" w:rsidRPr="0063458F" w:rsidRDefault="001F70F5" w:rsidP="001F70F5">
      <w:pPr>
        <w:pStyle w:val="LineTop"/>
        <w:rPr>
          <w:lang w:val="en-GB"/>
        </w:rPr>
      </w:pPr>
    </w:p>
    <w:p w:rsidR="001F70F5" w:rsidRPr="0063458F" w:rsidRDefault="0063458F" w:rsidP="001F70F5">
      <w:pPr>
        <w:pStyle w:val="ZSessionDoc"/>
      </w:pPr>
      <w:r>
        <w:t>Documento de sessão</w:t>
      </w:r>
    </w:p>
    <w:p w:rsidR="00C31A73" w:rsidRPr="0063458F" w:rsidRDefault="00C31A73" w:rsidP="00C31A73">
      <w:pPr>
        <w:pStyle w:val="LineBottom"/>
      </w:pPr>
    </w:p>
    <w:p w:rsidR="00C31A73" w:rsidRPr="0063458F" w:rsidRDefault="00C31A73" w:rsidP="00C31A73">
      <w:pPr>
        <w:pStyle w:val="RefProc"/>
      </w:pPr>
      <w:r>
        <w:rPr>
          <w:rStyle w:val="HideTWBExt"/>
          <w:b w:val="0"/>
        </w:rPr>
        <w:t>&lt;NoDocSe&gt;</w:t>
      </w:r>
      <w:r>
        <w:t>B8</w:t>
      </w:r>
      <w:r>
        <w:noBreakHyphen/>
        <w:t>0591/2018</w:t>
      </w:r>
      <w:r>
        <w:rPr>
          <w:rStyle w:val="HideTWBExt"/>
          <w:b w:val="0"/>
        </w:rPr>
        <w:t>&lt;/NoDocSe&gt;</w:t>
      </w:r>
    </w:p>
    <w:p w:rsidR="00C31A73" w:rsidRPr="0063458F" w:rsidRDefault="00C31A73" w:rsidP="00C31A73">
      <w:pPr>
        <w:pStyle w:val="ZDate"/>
      </w:pPr>
      <w:r>
        <w:rPr>
          <w:rStyle w:val="HideTWBExt"/>
        </w:rPr>
        <w:t>&lt;Date&gt;</w:t>
      </w:r>
      <w:r>
        <w:rPr>
          <w:rStyle w:val="HideTWBInt"/>
        </w:rPr>
        <w:t>{18/12/2018}</w:t>
      </w:r>
      <w:r>
        <w:t>18.12.2018</w:t>
      </w:r>
      <w:r>
        <w:rPr>
          <w:rStyle w:val="HideTWBExt"/>
        </w:rPr>
        <w:t>&lt;/Date&gt;</w:t>
      </w:r>
    </w:p>
    <w:p w:rsidR="000412B1" w:rsidRPr="0063458F" w:rsidRDefault="000412B1">
      <w:pPr>
        <w:pStyle w:val="TypeDoc"/>
      </w:pPr>
      <w:r>
        <w:rPr>
          <w:rStyle w:val="HideTWBExt"/>
          <w:b w:val="0"/>
        </w:rPr>
        <w:t>&lt;TitreType&gt;</w:t>
      </w:r>
      <w:r>
        <w:t>PROPOSTA DE ATO DA UNIÃO</w:t>
      </w:r>
      <w:r>
        <w:rPr>
          <w:rStyle w:val="HideTWBExt"/>
          <w:b w:val="0"/>
        </w:rPr>
        <w:t>&lt;/TitreType&gt;</w:t>
      </w:r>
    </w:p>
    <w:p w:rsidR="000412B1" w:rsidRPr="0063458F" w:rsidRDefault="000412B1">
      <w:pPr>
        <w:pStyle w:val="Cover12"/>
      </w:pPr>
      <w:r>
        <w:rPr>
          <w:rStyle w:val="HideTWBExt"/>
        </w:rPr>
        <w:t>&lt;TitreRecueil&gt;</w:t>
      </w:r>
      <w:r>
        <w:t>apresentada nos termos do artigo 46.º, n.º 2, do Regimento</w:t>
      </w:r>
      <w:r>
        <w:rPr>
          <w:rStyle w:val="HideTWBExt"/>
        </w:rPr>
        <w:t>&lt;/TitreRecueil&gt;</w:t>
      </w:r>
    </w:p>
    <w:p w:rsidR="000A6B85" w:rsidRPr="0063458F" w:rsidRDefault="000A6B85" w:rsidP="00A07592">
      <w:pPr>
        <w:pStyle w:val="Cover24"/>
      </w:pPr>
      <w:r>
        <w:rPr>
          <w:rStyle w:val="HideTWBExt"/>
        </w:rPr>
        <w:t>&lt;Titre&gt;</w:t>
      </w:r>
      <w:r>
        <w:t>sobre a promoção da recolha de plasma na União Europeia</w:t>
      </w:r>
      <w:r>
        <w:rPr>
          <w:rStyle w:val="HideTWBExt"/>
        </w:rPr>
        <w:t>&lt;/Titre&gt;</w:t>
      </w:r>
    </w:p>
    <w:p w:rsidR="000412B1" w:rsidRPr="00ED1958" w:rsidRDefault="000412B1" w:rsidP="00491B75">
      <w:pPr>
        <w:pStyle w:val="CoverBold"/>
      </w:pPr>
      <w:r>
        <w:rPr>
          <w:rStyle w:val="HideTWBExt"/>
          <w:b w:val="0"/>
        </w:rPr>
        <w:t>&lt;Depute&gt;</w:t>
      </w:r>
      <w:r>
        <w:t>Nicola Caputo (S&amp;D), Annie Schreijer</w:t>
      </w:r>
      <w:r>
        <w:noBreakHyphen/>
        <w:t>Pierik (PPE), Frédérique Ries (ALDE), Biljana Borzan (S&amp;D), Miroslav Mikolášik (PPE), José Inácio Faria (PPE), Margrete Auken (Verts/ALE), Rory Palmer (S&amp;D), Kateřina Konečná (GUE/NGL), Guillaume Balas (S&amp;D)</w:t>
      </w:r>
      <w:r>
        <w:rPr>
          <w:rStyle w:val="HideTWBExt"/>
          <w:b w:val="0"/>
          <w:color w:val="auto"/>
        </w:rPr>
        <w:t>&lt;/Depute&gt;</w:t>
      </w:r>
    </w:p>
    <w:p w:rsidR="000412B1" w:rsidRPr="0063458F" w:rsidRDefault="000412B1">
      <w:pPr>
        <w:pStyle w:val="Normal12Bold"/>
      </w:pPr>
      <w:r>
        <w:br w:type="page"/>
      </w:r>
      <w:r>
        <w:lastRenderedPageBreak/>
        <w:t>B8</w:t>
      </w:r>
      <w:r>
        <w:noBreakHyphen/>
        <w:t>0591/2018</w:t>
      </w:r>
    </w:p>
    <w:p w:rsidR="000A6B85" w:rsidRPr="0063458F" w:rsidRDefault="0063458F" w:rsidP="00975A15">
      <w:pPr>
        <w:pStyle w:val="Normal24Bold"/>
      </w:pPr>
      <w:r>
        <w:t>Proposta de ato da União sobre a promoção da recolha de plasma na União Europeia</w:t>
      </w:r>
    </w:p>
    <w:p w:rsidR="000412B1" w:rsidRPr="0063458F" w:rsidRDefault="0063458F">
      <w:pPr>
        <w:pStyle w:val="Normal12"/>
      </w:pPr>
      <w:r>
        <w:rPr>
          <w:i/>
        </w:rPr>
        <w:t>O Parlamento Europeu,</w:t>
      </w:r>
    </w:p>
    <w:p w:rsidR="00ED1958" w:rsidRPr="00ED1958" w:rsidRDefault="00CE1367" w:rsidP="00ED1958">
      <w:pPr>
        <w:pStyle w:val="Normal12Hanging"/>
      </w:pPr>
      <w:r>
        <w:t>–</w:t>
      </w:r>
      <w:r>
        <w:tab/>
        <w:t>Tendo em conta a Resolução 28.72 da Assembleia Mundial da Saúde relativa à segurança do sangue, de 29 de maio de 1975,</w:t>
      </w:r>
    </w:p>
    <w:p w:rsidR="00ED1958" w:rsidRPr="00ED1958" w:rsidRDefault="00ED1958" w:rsidP="00ED1958">
      <w:pPr>
        <w:pStyle w:val="Normal12Hanging"/>
      </w:pPr>
      <w:r>
        <w:t>–</w:t>
      </w:r>
      <w:r>
        <w:tab/>
        <w:t>Tendo em conta a Resolução CM/Res(2008)5 do Conselho da Europa sobre a responsabilidade dos dadores e as restrições à doação de sangue e de componentes sanguíneos,</w:t>
      </w:r>
    </w:p>
    <w:p w:rsidR="00ED1958" w:rsidRPr="00ED1958" w:rsidRDefault="00ED1958" w:rsidP="00ED1958">
      <w:pPr>
        <w:pStyle w:val="Normal12Hanging"/>
      </w:pPr>
      <w:r>
        <w:t>–</w:t>
      </w:r>
      <w:r>
        <w:tab/>
        <w:t>Tendo em conta o artigo 168.º, n.º 4, alínea a), do Tratado sobre o Funcionamento da União Europeia (TFUE),</w:t>
      </w:r>
    </w:p>
    <w:p w:rsidR="00ED1958" w:rsidRPr="00ED1958" w:rsidRDefault="00ED1958" w:rsidP="00ED1958">
      <w:pPr>
        <w:pStyle w:val="Normal12Hanging"/>
      </w:pPr>
      <w:r>
        <w:t>–</w:t>
      </w:r>
      <w:r>
        <w:tab/>
        <w:t>Tendo em conta a Diretiva 2002/98/CE do Parlamento Europeu e do Conselho, de 27 de janeiro de 2003, que estabelece normas de qualidade e segurança em relação à colheita, análise, processamento, armazenamento e distribuição de sangue humano e de componentes sanguíneos e que altera a Diretiva 2001/83/CE</w:t>
      </w:r>
      <w:r w:rsidR="00043AA3">
        <w:rPr>
          <w:rStyle w:val="FootnoteReference"/>
        </w:rPr>
        <w:footnoteReference w:id="1"/>
      </w:r>
      <w:r>
        <w:t xml:space="preserve"> (a seguir referida como “Diretiva relativa ao sangue”),</w:t>
      </w:r>
    </w:p>
    <w:p w:rsidR="00ED1958" w:rsidRPr="00ED1958" w:rsidRDefault="00ED1958" w:rsidP="00ED1958">
      <w:pPr>
        <w:pStyle w:val="Normal12Hanging"/>
      </w:pPr>
      <w:r>
        <w:t>–</w:t>
      </w:r>
      <w:r>
        <w:tab/>
        <w:t>Tendo em conta a Comunicação da Comissão ao Parlamento Europeu, ao Conselho, ao Comité Económico e Social Europeu e ao Comité das Regiões, de 19 de janeiro de 2010, sobre a aplicação da Diretiva 2002/98/CE que estabelece normas de qualidade e segurança em relação à colheita, análise, processamento, armazenamento e distribuição de sangue humano e de componentes sanguíneos e que altera a Diretiva 2001/83/CE (COM(2010)0003),</w:t>
      </w:r>
    </w:p>
    <w:p w:rsidR="00DF4AEF" w:rsidRDefault="00ED1958" w:rsidP="00ED1958">
      <w:pPr>
        <w:pStyle w:val="Normal12Hanging"/>
      </w:pPr>
      <w:r>
        <w:t>–</w:t>
      </w:r>
      <w:r>
        <w:tab/>
        <w:t>Tendo em conta o Relatório da Comissão ao Parlamento Europeu, ao Conselho, ao Comité Económico e Social Europeu e ao Comité das Regiões, de 21 de abril de 2016, sobre a aplicação das diretivas 2002/98/CE, 2004/33/CE, 2005/61/CE e 2005/62/CE, que estabelecem normas de qualidade e de segurança para o sangue humano e os componentes sanguíneos (COM(2016)0224),</w:t>
      </w:r>
    </w:p>
    <w:p w:rsidR="00ED1958" w:rsidRPr="00ED1958" w:rsidRDefault="00DF4AEF" w:rsidP="00ED1958">
      <w:pPr>
        <w:pStyle w:val="Normal12Hanging"/>
      </w:pPr>
      <w:r>
        <w:t>–</w:t>
      </w:r>
      <w:r>
        <w:tab/>
        <w:t>Tendo em conta o documento de trabalho dos serviços da Comissão, de 21 de abril de 2016, relativo à aplicação do princípio da dádiva voluntária e não remunerada de sangue e de componentes sanguíneos, conforme previsto na Diretiva 2002/98/CE que estabelece normas de qualidade e segurança em relação ao sangue humano e componentes sanguíneos e que altera a Diretiva 2001/83/CE (SWD(2016)0130),</w:t>
      </w:r>
    </w:p>
    <w:p w:rsidR="00ED1958" w:rsidRPr="00ED1958" w:rsidRDefault="00ED1958" w:rsidP="00ED1958">
      <w:pPr>
        <w:pStyle w:val="Normal12Hanging"/>
      </w:pPr>
      <w:r>
        <w:t>–</w:t>
      </w:r>
      <w:r>
        <w:tab/>
        <w:t>Tendo em conta o roteiro de avaliação e balanço de qualidade, de 17 de janeiro de 2017, intitulado «Avaliação da legislação da União em matéria de sangue, tecidos e células»,</w:t>
      </w:r>
    </w:p>
    <w:p w:rsidR="00ED1958" w:rsidRPr="00ED1958" w:rsidRDefault="00ED1958" w:rsidP="00ED1958">
      <w:pPr>
        <w:pStyle w:val="Normal12Hanging"/>
      </w:pPr>
      <w:r>
        <w:t>–</w:t>
      </w:r>
      <w:r>
        <w:tab/>
        <w:t xml:space="preserve">Tendo em conta o resumo das respostas à consulta pública aberta da Comissão sobre a avaliação da legislação em matéria de sangue, tecidos e células, publicado em 19 de </w:t>
      </w:r>
      <w:r>
        <w:lastRenderedPageBreak/>
        <w:t>abril de 2018</w:t>
      </w:r>
      <w:r w:rsidR="00E95C63">
        <w:rPr>
          <w:rStyle w:val="FootnoteReference"/>
        </w:rPr>
        <w:footnoteReference w:id="2"/>
      </w:r>
      <w:r>
        <w:t>,</w:t>
      </w:r>
    </w:p>
    <w:p w:rsidR="00ED1958" w:rsidRPr="00ED1958" w:rsidRDefault="00ED1958" w:rsidP="00ED1958">
      <w:pPr>
        <w:pStyle w:val="Normal12Hanging"/>
      </w:pPr>
      <w:r>
        <w:t>–</w:t>
      </w:r>
      <w:r>
        <w:tab/>
        <w:t>Tendo em conta o artigo 228.º do TFUE,</w:t>
      </w:r>
    </w:p>
    <w:p w:rsidR="00ED1958" w:rsidRPr="00ED1958" w:rsidRDefault="000412B1" w:rsidP="00ED1958">
      <w:pPr>
        <w:pStyle w:val="Normal12Hanging"/>
      </w:pPr>
      <w:r>
        <w:t>–</w:t>
      </w:r>
      <w:r>
        <w:tab/>
        <w:t>Tendo em conta o artigo 5.º da Decisão do Parlamento Europeu, de 28 de setembro de 2005, que aprova o Estatuto dos Deputados ao Parlamento Europeu</w:t>
      </w:r>
      <w:r w:rsidR="00ED1958" w:rsidRPr="00ED1958">
        <w:rPr>
          <w:rStyle w:val="FootnoteReference"/>
          <w:color w:val="000000"/>
        </w:rPr>
        <w:footnoteReference w:id="3"/>
      </w:r>
      <w:r>
        <w:t>,</w:t>
      </w:r>
    </w:p>
    <w:p w:rsidR="00ED1958" w:rsidRPr="00ED1958" w:rsidRDefault="000412B1" w:rsidP="00ED1958">
      <w:pPr>
        <w:pStyle w:val="Normal12Hanging"/>
      </w:pPr>
      <w:r>
        <w:t>–</w:t>
      </w:r>
      <w:r>
        <w:tab/>
        <w:t>Tendo em conta o artigo 46.º, n.º 2, do seu Regimento,</w:t>
      </w:r>
    </w:p>
    <w:p w:rsidR="00ED1958" w:rsidRPr="00ED1958" w:rsidRDefault="00ED1958" w:rsidP="00ED1958">
      <w:pPr>
        <w:pStyle w:val="Normal12Hanging"/>
      </w:pPr>
      <w:r>
        <w:t>A.</w:t>
      </w:r>
      <w:r>
        <w:tab/>
        <w:t>Considerando que o principal objetivo da diretiva relativa ao sangue consiste em assegurar um elevado nível de proteção da saúde humana, estabelecendo normas mínimas comuns de segurança e qualidade do sangue e dos componentes sanguíneos;</w:t>
      </w:r>
    </w:p>
    <w:p w:rsidR="00ED1958" w:rsidRPr="00ED1958" w:rsidRDefault="00ED1958" w:rsidP="00ED1958">
      <w:pPr>
        <w:pStyle w:val="Normal12Hanging"/>
      </w:pPr>
      <w:r>
        <w:t>B.</w:t>
      </w:r>
      <w:r>
        <w:tab/>
        <w:t>Considerando que a segurança dos doentes e dos dadores se reveste da máxima importância;</w:t>
      </w:r>
    </w:p>
    <w:p w:rsidR="00ED1958" w:rsidRPr="00ED1958" w:rsidRDefault="00ED1958" w:rsidP="00ED1958">
      <w:pPr>
        <w:pStyle w:val="Normal12Hanging"/>
      </w:pPr>
      <w:r>
        <w:t>C.</w:t>
      </w:r>
      <w:r>
        <w:tab/>
        <w:t>Considerando que, nos próximos anos, podem surgir novas doenças infeciosas;</w:t>
      </w:r>
    </w:p>
    <w:p w:rsidR="00ED1958" w:rsidRPr="00ED1958" w:rsidRDefault="00ED1958" w:rsidP="00ED1958">
      <w:pPr>
        <w:pStyle w:val="Normal12Hanging"/>
      </w:pPr>
      <w:r>
        <w:t>D.</w:t>
      </w:r>
      <w:r>
        <w:tab/>
        <w:t>Considerando que surgiram novos desafios, como a recolha de plasma em quantidade suficiente para responder ao aumento da procura de medicamentos derivados de plasma;</w:t>
      </w:r>
    </w:p>
    <w:p w:rsidR="00ED1958" w:rsidRPr="00ED1958" w:rsidRDefault="00ED1958" w:rsidP="00ED1958">
      <w:pPr>
        <w:pStyle w:val="Normal12Hanging"/>
      </w:pPr>
      <w:r>
        <w:t>E.</w:t>
      </w:r>
      <w:r>
        <w:tab/>
        <w:t>Considerando que a disponibilidade de plasma utilizado para o fabrico de medicamentos depende, em grande medida, do facto de os cidadãos da UE estarem dispostos a doar plasma numa base voluntária e não remunerada;</w:t>
      </w:r>
    </w:p>
    <w:p w:rsidR="00ED1958" w:rsidRPr="00ED1958" w:rsidRDefault="000412B1" w:rsidP="00ED1958">
      <w:pPr>
        <w:pStyle w:val="Normal12Hanging"/>
      </w:pPr>
      <w:r>
        <w:t>1.</w:t>
      </w:r>
      <w:r>
        <w:tab/>
        <w:t>Manifesta a sua preocupação pelo facto de, embora a situação não seja uniforme no conjunto da UE, o atual quadro jurídico da União não assegurar uma doação suficiente de plasma para acompanhar a crescente necessidade clínica de tratamentos derivados do plasma para os doentes, o que os coloca em risco;</w:t>
      </w:r>
    </w:p>
    <w:p w:rsidR="00ED1958" w:rsidRPr="00ED1958" w:rsidRDefault="00ED1958" w:rsidP="00ED1958">
      <w:pPr>
        <w:pStyle w:val="Normal12Hanging"/>
      </w:pPr>
      <w:r>
        <w:t>2.</w:t>
      </w:r>
      <w:r>
        <w:tab/>
        <w:t>Observa que há cada vez mais doentes em que são diagnosticadas doenças raras relacionadas com o plasma, o que conduz a uma crescente necessidade clínica de medicamentos derivados de plasma;</w:t>
      </w:r>
    </w:p>
    <w:p w:rsidR="00ED1958" w:rsidRPr="00ED1958" w:rsidRDefault="00ED1958" w:rsidP="00ED1958">
      <w:pPr>
        <w:pStyle w:val="Normal12Hanging"/>
      </w:pPr>
      <w:r>
        <w:t>3.</w:t>
      </w:r>
      <w:r>
        <w:tab/>
        <w:t>Observa que é possível o surgimento de novas doenças infeciosas;</w:t>
      </w:r>
    </w:p>
    <w:p w:rsidR="00ED1958" w:rsidRPr="00ED1958" w:rsidRDefault="00ED1958" w:rsidP="00ED1958">
      <w:pPr>
        <w:pStyle w:val="Normal12Hanging"/>
      </w:pPr>
      <w:r>
        <w:t>4.</w:t>
      </w:r>
      <w:r>
        <w:tab/>
        <w:t>Reconhece a importância de doações não remuneradas e voluntárias de sangue e de plasma em muitos países;</w:t>
      </w:r>
    </w:p>
    <w:p w:rsidR="00ED1958" w:rsidRPr="00ED1958" w:rsidRDefault="00ED1958" w:rsidP="00ED1958">
      <w:pPr>
        <w:pStyle w:val="Normal12Hanging"/>
      </w:pPr>
      <w:r>
        <w:t>5.</w:t>
      </w:r>
      <w:r>
        <w:tab/>
        <w:t>Reconhece que o fabrico de medicamentos derivados de plasma para distúrbios de saúde potencialmente mortais depende totalmente de uma oferta suficiente de doações de plasma por parte dos cidadãos;</w:t>
      </w:r>
      <w:bookmarkStart w:id="0" w:name="_GoBack"/>
      <w:bookmarkEnd w:id="0"/>
    </w:p>
    <w:p w:rsidR="00ED1958" w:rsidRPr="00ED1958" w:rsidRDefault="00ED1958" w:rsidP="00ED1958">
      <w:pPr>
        <w:pStyle w:val="Normal12Hanging"/>
      </w:pPr>
      <w:r>
        <w:t>6.</w:t>
      </w:r>
      <w:r>
        <w:tab/>
        <w:t>Considera que o quadro jurídico da UE deve incluir disposições que incentivem todos os Estados-Membros a criarem programas nacionais para a recolha de plasma, sem afetar a colheita de sangue total, e a promoverem doações voluntárias e não remuneradas;</w:t>
      </w:r>
    </w:p>
    <w:p w:rsidR="00ED1958" w:rsidRPr="00ED1958" w:rsidRDefault="00ED1958" w:rsidP="00ED1958">
      <w:pPr>
        <w:pStyle w:val="Normal12Hanging"/>
      </w:pPr>
      <w:r>
        <w:lastRenderedPageBreak/>
        <w:t>7.</w:t>
      </w:r>
      <w:r>
        <w:tab/>
        <w:t>Insta a Comissão a apresentar, até ..., com base no artigo 168.º, n.º 4, alínea a), do TFUE, uma proposta de ato de revisão da Diretiva relativa ao sangue, a fim de garantir que o quadro jurídico continue a ser adequado para os desenvolvimentos científicos, técnicos e sociais e adaptado aos mesmos.</w:t>
      </w:r>
    </w:p>
    <w:p w:rsidR="00513A88" w:rsidRPr="0063458F" w:rsidRDefault="00513A88" w:rsidP="00ED1958">
      <w:pPr>
        <w:pStyle w:val="Normal12Hanging"/>
      </w:pPr>
      <w:r>
        <w:br w:type="page"/>
      </w:r>
      <w:r>
        <w:lastRenderedPageBreak/>
        <w:t>EXPOSIÇÃO DE MOTIVOS</w:t>
      </w:r>
    </w:p>
    <w:p w:rsidR="00ED1958" w:rsidRDefault="00ED1958" w:rsidP="00ED1958">
      <w:pPr>
        <w:pStyle w:val="Normal12"/>
      </w:pPr>
      <w:r>
        <w:t>Atualmente, na UE, cada vez mais doentes são diagnosticados com doenças relacionadas com o plasma, o que faz com que a disponibilidade de medicamentos derivados do plasma represente uma preocupação crescente. Os fabricantes de medicamentos derivados do plasma enfrentam, por conseguinte, o desafio de trabalhar com este escasso material de base que é o plasma humano.</w:t>
      </w:r>
    </w:p>
    <w:p w:rsidR="00ED1958" w:rsidRDefault="00ED1958" w:rsidP="00ED1958">
      <w:pPr>
        <w:pStyle w:val="Normal12"/>
      </w:pPr>
      <w:r>
        <w:t>A UE encontra-se atualmente numa situação em que cerca de 40 % do plasma utilizado para o fabrico de tratamentos para doentes europeus é importado do mercado dos EUA, que é regulado pela FDA. Isto significa que a UE depende de fatores que escapam ao seu controlo.</w:t>
      </w:r>
    </w:p>
    <w:p w:rsidR="00ED1958" w:rsidRDefault="00ED1958" w:rsidP="00ED1958">
      <w:pPr>
        <w:pStyle w:val="Normal12"/>
      </w:pPr>
      <w:r>
        <w:t>A Comissão poderia encontrar soluções para garantir a disponibilidade adequada de plasma para o fabrico de tratamentos para doentes em que tenham sido diagnosticadas doenças potencialmente fatais, como a hemofilia, deficiências do sistema imunitário, a síndrome de Guillain-Barré, a polineuropatia desmielinizante inflamatória crónica, o angioedema hereditário e a deficiência de alfa-1 antitripsina, sem prejudicar a colheita de sangue.</w:t>
      </w:r>
    </w:p>
    <w:p w:rsidR="00513A88" w:rsidRPr="0063458F" w:rsidRDefault="00ED1958" w:rsidP="00ED1958">
      <w:pPr>
        <w:pStyle w:val="Normal12"/>
      </w:pPr>
      <w:r>
        <w:t>Um quadro jurídico da UE revisto poderia criar as condições para um acesso adequado por parte dos doentes a tratamento, nomeadamente incentivando a criação de programas de doação de plasma e, em particular, doações voluntárias e não remuneradas em todos os Estados-Membros.</w:t>
      </w:r>
    </w:p>
    <w:p w:rsidR="00513A88" w:rsidRPr="0063458F" w:rsidRDefault="00513A88">
      <w:pPr>
        <w:pStyle w:val="Normal12Hanging"/>
      </w:pPr>
    </w:p>
    <w:sectPr w:rsidR="00513A88" w:rsidRPr="0063458F" w:rsidSect="00F52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8F" w:rsidRPr="0063458F" w:rsidRDefault="0063458F">
      <w:r w:rsidRPr="0063458F">
        <w:separator/>
      </w:r>
    </w:p>
  </w:endnote>
  <w:endnote w:type="continuationSeparator" w:id="0">
    <w:p w:rsidR="0063458F" w:rsidRPr="0063458F" w:rsidRDefault="0063458F">
      <w:r w:rsidRPr="006345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6A" w:rsidRDefault="00F52F6A" w:rsidP="00F52F6A">
    <w:pPr>
      <w:pStyle w:val="Footer"/>
      <w:rPr>
        <w:lang w:val="fr-FR"/>
      </w:rPr>
    </w:pPr>
    <w:r>
      <w:rPr>
        <w:lang w:val="fr-FR"/>
      </w:rPr>
      <w:t>PE</w:t>
    </w:r>
    <w:r w:rsidRPr="00F52F6A">
      <w:rPr>
        <w:rStyle w:val="HideTWBExt"/>
      </w:rPr>
      <w:t>&lt;NoPE&gt;</w:t>
    </w:r>
    <w:r>
      <w:rPr>
        <w:lang w:val="fr-FR"/>
      </w:rPr>
      <w:t>631.614</w:t>
    </w:r>
    <w:r w:rsidRPr="00F52F6A">
      <w:rPr>
        <w:rStyle w:val="HideTWBExt"/>
      </w:rPr>
      <w:t>&lt;/NoPE&gt;&lt;Version&gt;</w:t>
    </w:r>
    <w:r>
      <w:rPr>
        <w:lang w:val="fr-FR"/>
      </w:rPr>
      <w:t>v01-00</w:t>
    </w:r>
    <w:r w:rsidRPr="00F52F6A">
      <w:rPr>
        <w:rStyle w:val="HideTWBExt"/>
      </w:rPr>
      <w:t>&lt;/Version&gt;</w:t>
    </w:r>
    <w:r>
      <w:rPr>
        <w:lang w:val="fr-FR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PAGE  \* MERGEFORMAT </w:instrText>
    </w:r>
    <w:r>
      <w:rPr>
        <w:lang w:val="fr-FR"/>
      </w:rPr>
      <w:fldChar w:fldCharType="separate"/>
    </w:r>
    <w:r>
      <w:rPr>
        <w:noProof/>
        <w:lang w:val="fr-FR"/>
      </w:rPr>
      <w:t>4</w:t>
    </w:r>
    <w:r>
      <w:rPr>
        <w:lang w:val="fr-FR"/>
      </w:rPr>
      <w:fldChar w:fldCharType="end"/>
    </w:r>
    <w:r>
      <w:rPr>
        <w:lang w:val="fr-FR"/>
      </w:rPr>
      <w:t>/</w:t>
    </w:r>
    <w:r>
      <w:rPr>
        <w:lang w:val="fr-FR"/>
      </w:rPr>
      <w:fldChar w:fldCharType="begin"/>
    </w:r>
    <w:r>
      <w:rPr>
        <w:lang w:val="fr-FR"/>
      </w:rPr>
      <w:instrText xml:space="preserve"> NUMPAGES  \* MERGEFORMAT </w:instrText>
    </w:r>
    <w:r>
      <w:rPr>
        <w:lang w:val="fr-FR"/>
      </w:rPr>
      <w:fldChar w:fldCharType="separate"/>
    </w:r>
    <w:r>
      <w:rPr>
        <w:noProof/>
        <w:lang w:val="fr-FR"/>
      </w:rPr>
      <w:t>5</w:t>
    </w:r>
    <w:r>
      <w:rPr>
        <w:lang w:val="fr-FR"/>
      </w:rPr>
      <w:fldChar w:fldCharType="end"/>
    </w:r>
    <w:r>
      <w:rPr>
        <w:lang w:val="fr-FR"/>
      </w:rPr>
      <w:tab/>
    </w:r>
    <w:r w:rsidRPr="00F52F6A">
      <w:rPr>
        <w:rStyle w:val="HideTWBExt"/>
      </w:rPr>
      <w:t>&lt;PathFdR&gt;</w:t>
    </w:r>
    <w:r>
      <w:rPr>
        <w:lang w:val="fr-FR"/>
      </w:rPr>
      <w:t>RE\1172650PT.docx</w:t>
    </w:r>
    <w:r w:rsidRPr="00F52F6A">
      <w:rPr>
        <w:rStyle w:val="HideTWBExt"/>
      </w:rPr>
      <w:t>&lt;/PathFdR&gt;</w:t>
    </w:r>
  </w:p>
  <w:p w:rsidR="004D6D42" w:rsidRPr="00043AA3" w:rsidRDefault="00F52F6A" w:rsidP="00F52F6A">
    <w:pPr>
      <w:pStyle w:val="Footer2"/>
      <w:rPr>
        <w:lang w:val="fr-FR"/>
      </w:rPr>
    </w:pPr>
    <w:r>
      <w:rPr>
        <w:lang w:val="fr-FR"/>
      </w:rPr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6A" w:rsidRDefault="00F52F6A" w:rsidP="00F52F6A">
    <w:pPr>
      <w:pStyle w:val="Footer"/>
    </w:pPr>
    <w:r w:rsidRPr="00F52F6A">
      <w:rPr>
        <w:rStyle w:val="HideTWBExt"/>
      </w:rPr>
      <w:t>&lt;PathFdR&gt;</w:t>
    </w:r>
    <w:r>
      <w:t>RE\1172650PT.docx</w:t>
    </w:r>
    <w:r w:rsidRPr="00F52F6A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\* MERGEFORMAT ">
      <w:r>
        <w:rPr>
          <w:noProof/>
        </w:rPr>
        <w:t>5</w:t>
      </w:r>
    </w:fldSimple>
    <w:r>
      <w:tab/>
      <w:t>PE</w:t>
    </w:r>
    <w:r w:rsidRPr="00F52F6A">
      <w:rPr>
        <w:rStyle w:val="HideTWBExt"/>
      </w:rPr>
      <w:t>&lt;NoPE&gt;</w:t>
    </w:r>
    <w:r>
      <w:t>631.614</w:t>
    </w:r>
    <w:r w:rsidRPr="00F52F6A">
      <w:rPr>
        <w:rStyle w:val="HideTWBExt"/>
      </w:rPr>
      <w:t>&lt;/NoPE&gt;&lt;Version&gt;</w:t>
    </w:r>
    <w:r>
      <w:t>v01-00</w:t>
    </w:r>
    <w:r w:rsidRPr="00F52F6A">
      <w:rPr>
        <w:rStyle w:val="HideTWBExt"/>
      </w:rPr>
      <w:t>&lt;/Version&gt;</w:t>
    </w:r>
  </w:p>
  <w:p w:rsidR="004D6D42" w:rsidRPr="0063458F" w:rsidRDefault="00F52F6A" w:rsidP="00F52F6A">
    <w:pPr>
      <w:pStyle w:val="Footer2"/>
    </w:pPr>
    <w:r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6A" w:rsidRDefault="00F52F6A" w:rsidP="00F52F6A">
    <w:pPr>
      <w:pStyle w:val="Footer"/>
    </w:pPr>
    <w:r w:rsidRPr="00F52F6A">
      <w:rPr>
        <w:rStyle w:val="HideTWBExt"/>
      </w:rPr>
      <w:t>&lt;PathFdR&gt;</w:t>
    </w:r>
    <w:r>
      <w:t>RE\1172650PT.docx</w:t>
    </w:r>
    <w:r w:rsidRPr="00F52F6A">
      <w:rPr>
        <w:rStyle w:val="HideTWBExt"/>
      </w:rPr>
      <w:t>&lt;/PathFdR&gt;</w:t>
    </w:r>
    <w:r>
      <w:tab/>
    </w:r>
    <w:r>
      <w:tab/>
      <w:t>PE</w:t>
    </w:r>
    <w:r w:rsidRPr="00F52F6A">
      <w:rPr>
        <w:rStyle w:val="HideTWBExt"/>
      </w:rPr>
      <w:t>&lt;NoPE&gt;</w:t>
    </w:r>
    <w:r>
      <w:t>631.614</w:t>
    </w:r>
    <w:r w:rsidRPr="00F52F6A">
      <w:rPr>
        <w:rStyle w:val="HideTWBExt"/>
      </w:rPr>
      <w:t>&lt;/NoPE&gt;&lt;Version&gt;</w:t>
    </w:r>
    <w:r>
      <w:t>v01-00</w:t>
    </w:r>
    <w:r w:rsidRPr="00F52F6A">
      <w:rPr>
        <w:rStyle w:val="HideTWBExt"/>
      </w:rPr>
      <w:t>&lt;/Version&gt;</w:t>
    </w:r>
  </w:p>
  <w:p w:rsidR="004D6D42" w:rsidRPr="0063458F" w:rsidRDefault="00F52F6A" w:rsidP="00F52F6A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F52F6A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8F" w:rsidRPr="0063458F" w:rsidRDefault="0063458F">
      <w:r w:rsidRPr="0063458F">
        <w:separator/>
      </w:r>
    </w:p>
  </w:footnote>
  <w:footnote w:type="continuationSeparator" w:id="0">
    <w:p w:rsidR="0063458F" w:rsidRPr="0063458F" w:rsidRDefault="0063458F">
      <w:r w:rsidRPr="0063458F">
        <w:continuationSeparator/>
      </w:r>
    </w:p>
  </w:footnote>
  <w:footnote w:id="1">
    <w:p w:rsidR="00043AA3" w:rsidRPr="00F53748" w:rsidRDefault="00043AA3">
      <w:pPr>
        <w:pStyle w:val="FootnoteText"/>
      </w:pPr>
      <w:r>
        <w:rPr>
          <w:rStyle w:val="FootnoteReference"/>
        </w:rPr>
        <w:footnoteRef/>
      </w:r>
      <w:r>
        <w:t xml:space="preserve"> JO L 33 de 8.2.2003, p. 30.</w:t>
      </w:r>
    </w:p>
  </w:footnote>
  <w:footnote w:id="2">
    <w:p w:rsidR="00E95C63" w:rsidRPr="00EE0901" w:rsidRDefault="00E95C63" w:rsidP="00E95C63">
      <w:pPr>
        <w:pStyle w:val="FootnoteText"/>
      </w:pPr>
      <w:r>
        <w:rPr>
          <w:rStyle w:val="FootnoteReference"/>
        </w:rPr>
        <w:footnoteRef/>
      </w:r>
      <w:r>
        <w:t xml:space="preserve"> Ref. Ares(2018)2096445 - 19/04/2018.</w:t>
      </w:r>
    </w:p>
  </w:footnote>
  <w:footnote w:id="3">
    <w:p w:rsidR="00ED1958" w:rsidRDefault="00ED1958" w:rsidP="00ED1958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JO L 262 de 7.10.2005, p.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58" w:rsidRDefault="00ED1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58" w:rsidRDefault="00ED1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58" w:rsidRDefault="00ED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ATEMENTMNU" w:val=" 1"/>
    <w:docVar w:name="strDocTypeID" w:val="RE_ProposalAct"/>
    <w:docVar w:name="strSubDir" w:val="1172"/>
    <w:docVar w:name="TXTLANGUE" w:val="EN"/>
    <w:docVar w:name="TXTLANGUEMIN" w:val="en"/>
    <w:docVar w:name="TXTNRB" w:val="0591/2018"/>
    <w:docVar w:name="TXTNRPE" w:val="631.614"/>
    <w:docVar w:name="TXTPEorAP" w:val="PE"/>
    <w:docVar w:name="TXTROUTE" w:val="RE\1172650EN.docx"/>
    <w:docVar w:name="TXTTITLE" w:val="enhancing plasma collection in the European Union"/>
    <w:docVar w:name="TXTVERSION" w:val="01-00"/>
  </w:docVars>
  <w:rsids>
    <w:rsidRoot w:val="0063458F"/>
    <w:rsid w:val="000412B1"/>
    <w:rsid w:val="00043AA3"/>
    <w:rsid w:val="000533A9"/>
    <w:rsid w:val="00093F43"/>
    <w:rsid w:val="000A6B85"/>
    <w:rsid w:val="00106985"/>
    <w:rsid w:val="00112E4D"/>
    <w:rsid w:val="00163C02"/>
    <w:rsid w:val="001F70F5"/>
    <w:rsid w:val="002960A9"/>
    <w:rsid w:val="00326D1A"/>
    <w:rsid w:val="00330510"/>
    <w:rsid w:val="00421A7F"/>
    <w:rsid w:val="00491B75"/>
    <w:rsid w:val="004D6D42"/>
    <w:rsid w:val="00513A88"/>
    <w:rsid w:val="00582039"/>
    <w:rsid w:val="0063458F"/>
    <w:rsid w:val="00662B2D"/>
    <w:rsid w:val="006A57AE"/>
    <w:rsid w:val="006B5599"/>
    <w:rsid w:val="0071726A"/>
    <w:rsid w:val="008D73CE"/>
    <w:rsid w:val="00941EBE"/>
    <w:rsid w:val="00975A15"/>
    <w:rsid w:val="009976EC"/>
    <w:rsid w:val="009D18B7"/>
    <w:rsid w:val="00A07592"/>
    <w:rsid w:val="00A13E9E"/>
    <w:rsid w:val="00A376A3"/>
    <w:rsid w:val="00A40090"/>
    <w:rsid w:val="00A63EB8"/>
    <w:rsid w:val="00BA074C"/>
    <w:rsid w:val="00BD20F7"/>
    <w:rsid w:val="00C31A73"/>
    <w:rsid w:val="00C570C6"/>
    <w:rsid w:val="00CE1367"/>
    <w:rsid w:val="00D72758"/>
    <w:rsid w:val="00DB69F8"/>
    <w:rsid w:val="00DF4AEF"/>
    <w:rsid w:val="00E05BF0"/>
    <w:rsid w:val="00E95C63"/>
    <w:rsid w:val="00EC0CCA"/>
    <w:rsid w:val="00EC5E37"/>
    <w:rsid w:val="00ED1958"/>
    <w:rsid w:val="00F52F6A"/>
    <w:rsid w:val="00F53748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0FA1CA-E37B-4073-B1E0-A5F2E3C5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B69F8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C31A73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2960A9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2960A9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2960A9"/>
    <w:pPr>
      <w:jc w:val="right"/>
    </w:pPr>
  </w:style>
  <w:style w:type="paragraph" w:customStyle="1" w:styleId="RefProc">
    <w:name w:val="RefProc"/>
    <w:basedOn w:val="Normal"/>
    <w:rsid w:val="00C31A73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C31A73"/>
    <w:pPr>
      <w:spacing w:after="1200"/>
    </w:pPr>
  </w:style>
  <w:style w:type="paragraph" w:styleId="FootnoteText">
    <w:name w:val="footnote text"/>
    <w:basedOn w:val="Normal"/>
    <w:link w:val="FootnoteTextChar"/>
    <w:rsid w:val="00ED195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1958"/>
  </w:style>
  <w:style w:type="character" w:styleId="FootnoteReference">
    <w:name w:val="footnote reference"/>
    <w:basedOn w:val="DefaultParagraphFont"/>
    <w:rsid w:val="00ED1958"/>
    <w:rPr>
      <w:vertAlign w:val="superscript"/>
    </w:rPr>
  </w:style>
  <w:style w:type="paragraph" w:styleId="BalloonText">
    <w:name w:val="Balloon Text"/>
    <w:basedOn w:val="Normal"/>
    <w:link w:val="BalloonTextChar"/>
    <w:rsid w:val="00043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3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4DB0-8B4C-475C-96EB-47CA2746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5803</Characters>
  <Application>Microsoft Office Word</Application>
  <DocSecurity>0</DocSecurity>
  <Lines>111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RE_ProposalAct</vt:lpstr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RE_ProposalAct</dc:title>
  <dc:subject/>
  <dc:creator>DE WILDE Alice</dc:creator>
  <cp:keywords/>
  <dc:description/>
  <cp:lastModifiedBy>PEREIRA Dulce</cp:lastModifiedBy>
  <cp:revision>2</cp:revision>
  <cp:lastPrinted>2004-11-19T16:03:00Z</cp:lastPrinted>
  <dcterms:created xsi:type="dcterms:W3CDTF">2019-01-09T09:05:00Z</dcterms:created>
  <dcterms:modified xsi:type="dcterms:W3CDTF">2019-01-09T09:05:00Z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1172650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\\eiciLUXpr1\pdocep$\DocEP\DOCS\General\RE\RE_ProposalAct.dot(13/10/2017 10:48:28)</vt:lpwstr>
  </property>
  <property fmtid="{D5CDD505-2E9C-101B-9397-08002B2CF9AE}" pid="7" name="&lt;ModelTra&gt;">
    <vt:lpwstr>\\eiciLUXpr1\pdocep$\DocEP\TRANSFIL\EN\RE_ProposalAct.EN(13/10/2017 10:43:54)</vt:lpwstr>
  </property>
  <property fmtid="{D5CDD505-2E9C-101B-9397-08002B2CF9AE}" pid="8" name="&lt;Model&gt;">
    <vt:lpwstr>RE_ProposalAct</vt:lpwstr>
  </property>
  <property fmtid="{D5CDD505-2E9C-101B-9397-08002B2CF9AE}" pid="9" name="FooterPath">
    <vt:lpwstr>RE\1172650EN.docx</vt:lpwstr>
  </property>
  <property fmtid="{D5CDD505-2E9C-101B-9397-08002B2CF9AE}" pid="10" name="PE number">
    <vt:lpwstr>631.614</vt:lpwstr>
  </property>
  <property fmtid="{D5CDD505-2E9C-101B-9397-08002B2CF9AE}" pid="11" name="Bookout">
    <vt:lpwstr>OK - 2019/01/09 10:05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PT</vt:lpwstr>
  </property>
</Properties>
</file>