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5C17A4" w:rsidRPr="00DD76C8" w:rsidTr="00CB3B7C">
        <w:trPr>
          <w:trHeight w:hRule="exact" w:val="1418"/>
        </w:trPr>
        <w:tc>
          <w:tcPr>
            <w:tcW w:w="6804" w:type="dxa"/>
            <w:shd w:val="clear" w:color="auto" w:fill="auto"/>
            <w:vAlign w:val="center"/>
          </w:tcPr>
          <w:p w:rsidR="005C17A4" w:rsidRPr="00DD76C8" w:rsidRDefault="002203D0" w:rsidP="00CB3B7C">
            <w:pPr>
              <w:pStyle w:val="EPName"/>
            </w:pPr>
            <w:r w:rsidRPr="00DD76C8">
              <w:t>Europski parlament</w:t>
            </w:r>
          </w:p>
          <w:p w:rsidR="005C17A4" w:rsidRPr="00DD76C8" w:rsidRDefault="00EA23E7" w:rsidP="00EA23E7">
            <w:pPr>
              <w:pStyle w:val="EPTerm"/>
              <w:rPr>
                <w:rStyle w:val="HideTWBExt"/>
                <w:noProof w:val="0"/>
                <w:vanish w:val="0"/>
                <w:color w:val="auto"/>
              </w:rPr>
            </w:pPr>
            <w:r w:rsidRPr="00DD76C8">
              <w:t>2014-2019</w:t>
            </w:r>
          </w:p>
        </w:tc>
        <w:tc>
          <w:tcPr>
            <w:tcW w:w="2268" w:type="dxa"/>
            <w:shd w:val="clear" w:color="auto" w:fill="auto"/>
          </w:tcPr>
          <w:p w:rsidR="005C17A4" w:rsidRPr="00DD76C8" w:rsidRDefault="00E55206" w:rsidP="00CB3B7C">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1.5pt;height:51pt">
                  <v:imagedata r:id="rId8" o:title="EP logo RGB_Mute"/>
                </v:shape>
              </w:pict>
            </w:r>
          </w:p>
        </w:tc>
      </w:tr>
    </w:tbl>
    <w:p w:rsidR="001040AF" w:rsidRPr="00DD76C8" w:rsidRDefault="001040AF" w:rsidP="001040AF">
      <w:pPr>
        <w:pStyle w:val="LineTop"/>
      </w:pPr>
    </w:p>
    <w:p w:rsidR="001040AF" w:rsidRPr="00DD76C8" w:rsidRDefault="000A7BE4" w:rsidP="001040AF">
      <w:pPr>
        <w:pStyle w:val="ZCommittee"/>
      </w:pPr>
      <w:r w:rsidRPr="00DD76C8">
        <w:t>Dokument s plenarne sjednice</w:t>
      </w:r>
    </w:p>
    <w:p w:rsidR="001040AF" w:rsidRPr="00DD76C8" w:rsidRDefault="001040AF" w:rsidP="001040AF">
      <w:pPr>
        <w:pStyle w:val="LineBottom"/>
      </w:pPr>
    </w:p>
    <w:p w:rsidR="00E03803" w:rsidRPr="00DD76C8" w:rsidRDefault="000A7BE4">
      <w:pPr>
        <w:pStyle w:val="RefProc"/>
      </w:pPr>
      <w:r w:rsidRPr="00DD76C8">
        <w:rPr>
          <w:rStyle w:val="HideTWBExt"/>
          <w:noProof w:val="0"/>
        </w:rPr>
        <w:t>&lt;NoDocSe&gt;</w:t>
      </w:r>
      <w:r w:rsidRPr="00DD76C8">
        <w:t>A8-0156/2017</w:t>
      </w:r>
      <w:r w:rsidRPr="00DD76C8">
        <w:rPr>
          <w:rStyle w:val="HideTWBExt"/>
          <w:noProof w:val="0"/>
        </w:rPr>
        <w:t>&lt;/NoDocSe&gt;</w:t>
      </w:r>
    </w:p>
    <w:p w:rsidR="00E03803" w:rsidRPr="00DD76C8" w:rsidRDefault="00E03803">
      <w:pPr>
        <w:pStyle w:val="ZDate"/>
      </w:pPr>
      <w:r w:rsidRPr="00DD76C8">
        <w:rPr>
          <w:rStyle w:val="HideTWBExt"/>
          <w:noProof w:val="0"/>
        </w:rPr>
        <w:t>&lt;Date&gt;</w:t>
      </w:r>
      <w:r w:rsidRPr="00DD76C8">
        <w:rPr>
          <w:rStyle w:val="HideTWBInt"/>
        </w:rPr>
        <w:t>{04/04/2017}</w:t>
      </w:r>
      <w:r w:rsidRPr="00DD76C8">
        <w:t>4.4.2017</w:t>
      </w:r>
      <w:r w:rsidRPr="00DD76C8">
        <w:rPr>
          <w:rStyle w:val="HideTWBExt"/>
          <w:noProof w:val="0"/>
        </w:rPr>
        <w:t>&lt;/Date&gt;</w:t>
      </w:r>
      <w:bookmarkStart w:id="0" w:name="_GoBack"/>
      <w:bookmarkEnd w:id="0"/>
    </w:p>
    <w:p w:rsidR="00E03803" w:rsidRPr="00DD76C8" w:rsidRDefault="00E03803">
      <w:pPr>
        <w:pStyle w:val="TypeDoc"/>
      </w:pPr>
      <w:r w:rsidRPr="00DD76C8">
        <w:rPr>
          <w:rStyle w:val="HideTWBExt"/>
          <w:b w:val="0"/>
          <w:noProof w:val="0"/>
        </w:rPr>
        <w:t>&lt;TitreType&gt;</w:t>
      </w:r>
      <w:r w:rsidRPr="00DD76C8">
        <w:t>IZVJEŠĆE</w:t>
      </w:r>
      <w:r w:rsidRPr="00DD76C8">
        <w:rPr>
          <w:rStyle w:val="HideTWBExt"/>
          <w:b w:val="0"/>
          <w:noProof w:val="0"/>
        </w:rPr>
        <w:t>&lt;/TitreType&gt;</w:t>
      </w:r>
    </w:p>
    <w:p w:rsidR="00E03803" w:rsidRPr="00DD76C8" w:rsidRDefault="00E03803">
      <w:pPr>
        <w:pStyle w:val="CoverNormal"/>
      </w:pPr>
      <w:r w:rsidRPr="00DD76C8">
        <w:rPr>
          <w:rStyle w:val="HideTWBExt"/>
          <w:noProof w:val="0"/>
        </w:rPr>
        <w:t>&lt;Titre&gt;</w:t>
      </w:r>
      <w:r w:rsidRPr="00DD76C8">
        <w:t>o procjeni prihoda i rashoda Europskog parlamenta za financijsku godinu 2018.</w:t>
      </w:r>
      <w:r w:rsidRPr="00DD76C8">
        <w:rPr>
          <w:rStyle w:val="HideTWBExt"/>
          <w:noProof w:val="0"/>
        </w:rPr>
        <w:t>&lt;/Titre&gt;</w:t>
      </w:r>
    </w:p>
    <w:p w:rsidR="00E03803" w:rsidRPr="00DD76C8" w:rsidRDefault="00E03803">
      <w:pPr>
        <w:pStyle w:val="Cover24"/>
      </w:pPr>
      <w:r w:rsidRPr="00DD76C8">
        <w:rPr>
          <w:rStyle w:val="HideTWBExt"/>
          <w:noProof w:val="0"/>
        </w:rPr>
        <w:t>&lt;DocRef&gt;</w:t>
      </w:r>
      <w:r w:rsidRPr="00DD76C8">
        <w:t>(2017/2022(BUD))</w:t>
      </w:r>
      <w:r w:rsidRPr="00DD76C8">
        <w:rPr>
          <w:rStyle w:val="HideTWBExt"/>
          <w:noProof w:val="0"/>
        </w:rPr>
        <w:t>&lt;/DocRef&gt;</w:t>
      </w:r>
    </w:p>
    <w:p w:rsidR="00E03803" w:rsidRPr="00DD76C8" w:rsidRDefault="00E03803">
      <w:pPr>
        <w:pStyle w:val="Cover24"/>
      </w:pPr>
      <w:r w:rsidRPr="00DD76C8">
        <w:rPr>
          <w:rStyle w:val="HideTWBExt"/>
          <w:noProof w:val="0"/>
        </w:rPr>
        <w:t>&lt;Commission&gt;</w:t>
      </w:r>
      <w:r w:rsidRPr="00DD76C8">
        <w:rPr>
          <w:rStyle w:val="HideTWBInt"/>
        </w:rPr>
        <w:t>{BUDG}</w:t>
      </w:r>
      <w:r w:rsidRPr="00DD76C8">
        <w:t>Odbor za proračune</w:t>
      </w:r>
      <w:r w:rsidRPr="00DD76C8">
        <w:rPr>
          <w:rStyle w:val="HideTWBExt"/>
          <w:noProof w:val="0"/>
        </w:rPr>
        <w:t>&lt;/Commission&gt;</w:t>
      </w:r>
    </w:p>
    <w:p w:rsidR="00E03803" w:rsidRPr="00DD76C8" w:rsidRDefault="00EA23E7">
      <w:pPr>
        <w:pStyle w:val="Cover24"/>
      </w:pPr>
      <w:r w:rsidRPr="00DD76C8">
        <w:t xml:space="preserve">Izvjestitelj: </w:t>
      </w:r>
      <w:r w:rsidRPr="00DD76C8">
        <w:rPr>
          <w:rStyle w:val="HideTWBExt"/>
          <w:noProof w:val="0"/>
        </w:rPr>
        <w:t>&lt;Depute&gt;</w:t>
      </w:r>
      <w:r w:rsidRPr="00DD76C8">
        <w:t>Richard Ashworth</w:t>
      </w:r>
      <w:r w:rsidRPr="00DD76C8">
        <w:rPr>
          <w:rStyle w:val="HideTWBExt"/>
          <w:noProof w:val="0"/>
        </w:rPr>
        <w:t>&lt;/Depute&gt;</w:t>
      </w:r>
    </w:p>
    <w:p w:rsidR="00E03803" w:rsidRPr="00DD76C8" w:rsidRDefault="00E03803">
      <w:pPr>
        <w:widowControl/>
        <w:tabs>
          <w:tab w:val="center" w:pos="4677"/>
        </w:tabs>
        <w:jc w:val="both"/>
      </w:pPr>
      <w:r w:rsidRPr="00DD76C8">
        <w:br w:type="page"/>
      </w:r>
    </w:p>
    <w:p w:rsidR="00E03803" w:rsidRPr="00DD76C8" w:rsidRDefault="002203D0">
      <w:pPr>
        <w:widowControl/>
        <w:tabs>
          <w:tab w:val="center" w:pos="4677"/>
        </w:tabs>
        <w:jc w:val="both"/>
      </w:pPr>
      <w:r w:rsidRPr="00DD76C8">
        <w:t>PR_BUD_EstimEP</w:t>
      </w:r>
    </w:p>
    <w:p w:rsidR="00E03803" w:rsidRPr="00DD76C8" w:rsidRDefault="002203D0">
      <w:pPr>
        <w:pStyle w:val="TOCHeading"/>
      </w:pPr>
      <w:r w:rsidRPr="00DD76C8">
        <w:t>SADRŽAJ</w:t>
      </w:r>
    </w:p>
    <w:p w:rsidR="00E03803" w:rsidRPr="00DD76C8" w:rsidRDefault="002203D0">
      <w:pPr>
        <w:pStyle w:val="TOCPage"/>
      </w:pPr>
      <w:r w:rsidRPr="00DD76C8">
        <w:t>Stranica</w:t>
      </w:r>
    </w:p>
    <w:p w:rsidR="00AE1D4A" w:rsidRDefault="00F778FA">
      <w:pPr>
        <w:pStyle w:val="TOC1"/>
        <w:tabs>
          <w:tab w:val="right" w:leader="dot" w:pos="9060"/>
        </w:tabs>
        <w:rPr>
          <w:rFonts w:asciiTheme="minorHAnsi" w:eastAsiaTheme="minorEastAsia" w:hAnsiTheme="minorHAnsi" w:cstheme="minorBidi"/>
          <w:noProof/>
          <w:sz w:val="22"/>
          <w:szCs w:val="22"/>
          <w:lang w:val="en-GB" w:eastAsia="en-GB" w:bidi="ar-SA"/>
        </w:rPr>
      </w:pPr>
      <w:r w:rsidRPr="00DD76C8">
        <w:rPr>
          <w:b/>
        </w:rPr>
        <w:fldChar w:fldCharType="begin"/>
      </w:r>
      <w:r w:rsidRPr="00DD76C8">
        <w:rPr>
          <w:b/>
        </w:rPr>
        <w:instrText xml:space="preserve"> TOC \t "PageHeading</w:instrText>
      </w:r>
      <w:r w:rsidR="00E55206">
        <w:rPr>
          <w:b/>
        </w:rPr>
        <w:instrText>;</w:instrText>
      </w:r>
      <w:r w:rsidRPr="00DD76C8">
        <w:rPr>
          <w:b/>
        </w:rPr>
        <w:instrText xml:space="preserve">1" </w:instrText>
      </w:r>
      <w:r w:rsidRPr="00DD76C8">
        <w:rPr>
          <w:b/>
        </w:rPr>
        <w:fldChar w:fldCharType="separate"/>
      </w:r>
      <w:r w:rsidR="00AE1D4A">
        <w:rPr>
          <w:noProof/>
        </w:rPr>
        <w:t>PRIJEDLOG REZOLUCIJE EUROPSKOG PARLAMENTA</w:t>
      </w:r>
      <w:r w:rsidR="00AE1D4A">
        <w:rPr>
          <w:noProof/>
        </w:rPr>
        <w:tab/>
      </w:r>
      <w:r w:rsidR="00AE1D4A">
        <w:rPr>
          <w:noProof/>
        </w:rPr>
        <w:fldChar w:fldCharType="begin"/>
      </w:r>
      <w:r w:rsidR="00AE1D4A">
        <w:rPr>
          <w:noProof/>
        </w:rPr>
        <w:instrText xml:space="preserve"> PAGEREF _Toc479088912 \h </w:instrText>
      </w:r>
      <w:r w:rsidR="00AE1D4A">
        <w:rPr>
          <w:noProof/>
        </w:rPr>
      </w:r>
      <w:r w:rsidR="00AE1D4A">
        <w:rPr>
          <w:noProof/>
        </w:rPr>
        <w:fldChar w:fldCharType="separate"/>
      </w:r>
      <w:r w:rsidR="00AE1D4A">
        <w:rPr>
          <w:noProof/>
        </w:rPr>
        <w:t>3</w:t>
      </w:r>
      <w:r w:rsidR="00AE1D4A">
        <w:rPr>
          <w:noProof/>
        </w:rPr>
        <w:fldChar w:fldCharType="end"/>
      </w:r>
    </w:p>
    <w:p w:rsidR="00AE1D4A" w:rsidRDefault="00AE1D4A">
      <w:pPr>
        <w:pStyle w:val="TOC1"/>
        <w:tabs>
          <w:tab w:val="right" w:leader="dot" w:pos="9060"/>
        </w:tabs>
        <w:rPr>
          <w:rFonts w:asciiTheme="minorHAnsi" w:eastAsiaTheme="minorEastAsia" w:hAnsiTheme="minorHAnsi" w:cstheme="minorBidi"/>
          <w:noProof/>
          <w:sz w:val="22"/>
          <w:szCs w:val="22"/>
          <w:lang w:val="en-GB" w:eastAsia="en-GB" w:bidi="ar-SA"/>
        </w:rPr>
      </w:pPr>
      <w:r>
        <w:rPr>
          <w:noProof/>
        </w:rPr>
        <w:t>INFORMACIJE O USVAJANJU U NADLEŽNOM ODBORU</w:t>
      </w:r>
      <w:r>
        <w:rPr>
          <w:noProof/>
        </w:rPr>
        <w:tab/>
      </w:r>
      <w:r>
        <w:rPr>
          <w:noProof/>
        </w:rPr>
        <w:fldChar w:fldCharType="begin"/>
      </w:r>
      <w:r>
        <w:rPr>
          <w:noProof/>
        </w:rPr>
        <w:instrText xml:space="preserve"> PAGEREF _Toc479088913 \h </w:instrText>
      </w:r>
      <w:r>
        <w:rPr>
          <w:noProof/>
        </w:rPr>
      </w:r>
      <w:r>
        <w:rPr>
          <w:noProof/>
        </w:rPr>
        <w:fldChar w:fldCharType="separate"/>
      </w:r>
      <w:r>
        <w:rPr>
          <w:noProof/>
        </w:rPr>
        <w:t>71</w:t>
      </w:r>
      <w:r>
        <w:rPr>
          <w:noProof/>
        </w:rPr>
        <w:fldChar w:fldCharType="end"/>
      </w:r>
    </w:p>
    <w:p w:rsidR="00AE1D4A" w:rsidRDefault="00AE1D4A">
      <w:pPr>
        <w:pStyle w:val="TOC1"/>
        <w:tabs>
          <w:tab w:val="right" w:leader="dot" w:pos="9060"/>
        </w:tabs>
        <w:rPr>
          <w:rFonts w:asciiTheme="minorHAnsi" w:eastAsiaTheme="minorEastAsia" w:hAnsiTheme="minorHAnsi" w:cstheme="minorBidi"/>
          <w:noProof/>
          <w:sz w:val="22"/>
          <w:szCs w:val="22"/>
          <w:lang w:val="en-GB" w:eastAsia="en-GB" w:bidi="ar-SA"/>
        </w:rPr>
      </w:pPr>
      <w:r>
        <w:rPr>
          <w:noProof/>
        </w:rPr>
        <w:t>KONAČNO GLASOVANJE POIMENIČNIM GLASOVANJEM U NADLEŽNOM ODBORU</w:t>
      </w:r>
      <w:r>
        <w:rPr>
          <w:noProof/>
        </w:rPr>
        <w:tab/>
      </w:r>
      <w:r>
        <w:rPr>
          <w:noProof/>
        </w:rPr>
        <w:fldChar w:fldCharType="begin"/>
      </w:r>
      <w:r>
        <w:rPr>
          <w:noProof/>
        </w:rPr>
        <w:instrText xml:space="preserve"> PAGEREF _Toc479088914 \h </w:instrText>
      </w:r>
      <w:r>
        <w:rPr>
          <w:noProof/>
        </w:rPr>
      </w:r>
      <w:r>
        <w:rPr>
          <w:noProof/>
        </w:rPr>
        <w:fldChar w:fldCharType="separate"/>
      </w:r>
      <w:r>
        <w:rPr>
          <w:noProof/>
        </w:rPr>
        <w:t>72</w:t>
      </w:r>
      <w:r>
        <w:rPr>
          <w:noProof/>
        </w:rPr>
        <w:fldChar w:fldCharType="end"/>
      </w:r>
    </w:p>
    <w:p w:rsidR="00867023" w:rsidRPr="00DD76C8" w:rsidRDefault="00F778FA">
      <w:pPr>
        <w:pStyle w:val="TOC1"/>
        <w:tabs>
          <w:tab w:val="right" w:leader="dot" w:pos="9060"/>
        </w:tabs>
        <w:rPr>
          <w:rFonts w:asciiTheme="minorHAnsi" w:eastAsiaTheme="minorEastAsia" w:hAnsiTheme="minorHAnsi" w:cstheme="minorBidi"/>
          <w:sz w:val="22"/>
          <w:szCs w:val="22"/>
        </w:rPr>
      </w:pPr>
      <w:r w:rsidRPr="00DD76C8">
        <w:rPr>
          <w:b/>
        </w:rPr>
        <w:fldChar w:fldCharType="end"/>
      </w:r>
    </w:p>
    <w:p w:rsidR="00E03803" w:rsidRPr="00DD76C8" w:rsidRDefault="00E03803">
      <w:pPr>
        <w:pStyle w:val="PageHeading"/>
      </w:pPr>
      <w:r w:rsidRPr="00DD76C8">
        <w:br w:type="page"/>
      </w:r>
      <w:bookmarkStart w:id="1" w:name="_Toc476581132"/>
      <w:bookmarkStart w:id="2" w:name="_Toc479064336"/>
      <w:bookmarkStart w:id="3" w:name="_Toc479088912"/>
      <w:r w:rsidRPr="00DD76C8">
        <w:t>PRIJEDLOG REZOLUCIJE EUROPSKOG PARLAMENTA</w:t>
      </w:r>
      <w:bookmarkEnd w:id="1"/>
      <w:bookmarkEnd w:id="2"/>
      <w:bookmarkEnd w:id="3"/>
    </w:p>
    <w:p w:rsidR="00E03803" w:rsidRPr="00DD76C8" w:rsidRDefault="002203D0">
      <w:pPr>
        <w:pStyle w:val="NormalBold"/>
      </w:pPr>
      <w:r w:rsidRPr="00DD76C8">
        <w:t>o procjeni prihoda i rashoda Europskog parlamenta za financijsku godinu 2018.</w:t>
      </w:r>
    </w:p>
    <w:p w:rsidR="00E03803" w:rsidRPr="00DD76C8" w:rsidRDefault="002203D0">
      <w:pPr>
        <w:pStyle w:val="Normal12Bold"/>
      </w:pPr>
      <w:r w:rsidRPr="00DD76C8">
        <w:t>(2017/2022(BUD))</w:t>
      </w:r>
    </w:p>
    <w:p w:rsidR="00E03803" w:rsidRPr="00DD76C8" w:rsidRDefault="002203D0">
      <w:pPr>
        <w:pStyle w:val="Normal12"/>
      </w:pPr>
      <w:r w:rsidRPr="00DD76C8">
        <w:rPr>
          <w:i/>
        </w:rPr>
        <w:t>Europski parlament</w:t>
      </w:r>
      <w:r w:rsidRPr="00DD76C8">
        <w:t>,</w:t>
      </w:r>
    </w:p>
    <w:p w:rsidR="00E03803" w:rsidRPr="00DD76C8" w:rsidRDefault="00E03803">
      <w:pPr>
        <w:pStyle w:val="Normal12Hanging"/>
      </w:pPr>
      <w:r w:rsidRPr="00DD76C8">
        <w:t>–</w:t>
      </w:r>
      <w:r w:rsidRPr="00DD76C8">
        <w:tab/>
        <w:t>uzimajući u obzir članak 314. Ugovora o funkcioniranju Europske unije,</w:t>
      </w:r>
    </w:p>
    <w:p w:rsidR="00E03803" w:rsidRPr="00DD76C8" w:rsidRDefault="00E03803">
      <w:pPr>
        <w:pStyle w:val="Normal12Hanging"/>
      </w:pPr>
      <w:r w:rsidRPr="00DD76C8">
        <w:t>–</w:t>
      </w:r>
      <w:r w:rsidRPr="00DD76C8">
        <w:tab/>
        <w:t>uzimajući u obzir Uredbu (EU, Euratom) br. 966/2012 Europskog parlamenta i Vijeća od 25. listopada 2012. o financijskim pravilima koja se primjenjuju na opći proračun Unije i o stavljanju izvan snage Uredbe Vijeća (EZ, Euratom) br. 1605/2002</w:t>
      </w:r>
      <w:r w:rsidRPr="00DD76C8">
        <w:rPr>
          <w:rStyle w:val="FootnoteReference"/>
        </w:rPr>
        <w:footnoteReference w:id="1"/>
      </w:r>
      <w:r w:rsidRPr="00DD76C8">
        <w:t>, a posebno njezin članak 36.,</w:t>
      </w:r>
    </w:p>
    <w:p w:rsidR="000A606F" w:rsidRPr="00DD76C8" w:rsidRDefault="000A606F" w:rsidP="000A606F">
      <w:pPr>
        <w:pStyle w:val="Normal12Hanging"/>
      </w:pPr>
      <w:r w:rsidRPr="00DD76C8">
        <w:t>–</w:t>
      </w:r>
      <w:r w:rsidRPr="00DD76C8">
        <w:tab/>
        <w:t>uzimajući u obzir Uredbu Vijeća (EU, Euratom) br. 1311/2013 od 2. prosinca 2013. kojom se uspostavlja višegodišnji financijski okvir za razdoblje 2014. – 2020.</w:t>
      </w:r>
      <w:r w:rsidRPr="00DD76C8">
        <w:rPr>
          <w:rStyle w:val="FootnoteReference"/>
        </w:rPr>
        <w:footnoteReference w:id="2"/>
      </w:r>
      <w:r w:rsidRPr="00DD76C8">
        <w:t>,</w:t>
      </w:r>
    </w:p>
    <w:p w:rsidR="00E03803" w:rsidRPr="00DD76C8" w:rsidRDefault="00E03803">
      <w:pPr>
        <w:pStyle w:val="Normal12Hanging"/>
      </w:pPr>
      <w:r w:rsidRPr="00DD76C8">
        <w:t>–</w:t>
      </w:r>
      <w:r w:rsidRPr="00DD76C8">
        <w:tab/>
        <w:t>uzimajući u obzir Međuinstitucionalni sporazum od 2. prosinca 2013. između Europskog parlamenta, Vijeća i Komisije o proračunskoj disciplini, o suradnji u vezi s proračunskim pitanjima i o dobrom financijskom upravljanju</w:t>
      </w:r>
      <w:r w:rsidRPr="00DD76C8">
        <w:rPr>
          <w:rStyle w:val="FootnoteReference"/>
        </w:rPr>
        <w:footnoteReference w:id="3"/>
      </w:r>
      <w:r w:rsidRPr="00DD76C8">
        <w:t>,</w:t>
      </w:r>
    </w:p>
    <w:p w:rsidR="00EA23E7" w:rsidRPr="00DD76C8" w:rsidRDefault="00EA23E7" w:rsidP="00EA23E7">
      <w:pPr>
        <w:spacing w:after="240"/>
        <w:ind w:left="567" w:hanging="567"/>
      </w:pPr>
      <w:r w:rsidRPr="00DD76C8">
        <w:t>–</w:t>
      </w:r>
      <w:r w:rsidRPr="00DD76C8">
        <w:tab/>
        <w:t xml:space="preserve">uzimajući u obzir Uredbu (EU, Euratom) br. 1023/2013 Europskog parlamenta i Vijeća od 22. listopada 2013. </w:t>
      </w:r>
      <w:r w:rsidRPr="00DD76C8">
        <w:rPr>
          <w:color w:val="000000"/>
        </w:rPr>
        <w:t>o izmjeni Pravilnika o osoblju za dužnosnike Europske unije i Uvjeta zaposlenja ostalih dužnosnika Europske unije</w:t>
      </w:r>
      <w:r w:rsidRPr="00DD76C8">
        <w:rPr>
          <w:rStyle w:val="FootnoteReference"/>
          <w:color w:val="000000"/>
        </w:rPr>
        <w:footnoteReference w:id="4"/>
      </w:r>
      <w:r w:rsidRPr="00DD76C8">
        <w:t>,</w:t>
      </w:r>
    </w:p>
    <w:p w:rsidR="00902A6E" w:rsidRPr="00DD76C8" w:rsidRDefault="00902A6E" w:rsidP="00902A6E">
      <w:pPr>
        <w:pStyle w:val="Normal12Hanging"/>
        <w:rPr>
          <w:szCs w:val="24"/>
        </w:rPr>
      </w:pPr>
      <w:r w:rsidRPr="00DD76C8">
        <w:t>-</w:t>
      </w:r>
      <w:r w:rsidRPr="00DD76C8">
        <w:tab/>
        <w:t>uzimajući u obzir svoju Rezoluciju od 14. travnja 2016. o procjeni prihoda i rashoda Parlamenta za financijsku godinu 2017.</w:t>
      </w:r>
      <w:r w:rsidRPr="00DD76C8">
        <w:rPr>
          <w:vertAlign w:val="superscript"/>
        </w:rPr>
        <w:footnoteReference w:id="5"/>
      </w:r>
      <w:r w:rsidRPr="00DD76C8">
        <w:t xml:space="preserve">, </w:t>
      </w:r>
    </w:p>
    <w:p w:rsidR="00E03803" w:rsidRPr="00DD76C8" w:rsidRDefault="00E03803">
      <w:pPr>
        <w:pStyle w:val="Normal12Hanging"/>
      </w:pPr>
      <w:r w:rsidRPr="00DD76C8">
        <w:t>–</w:t>
      </w:r>
      <w:r w:rsidRPr="00DD76C8">
        <w:tab/>
        <w:t>uzimajući u obzir svoju Rezoluciju od 26. listopada 2016. o stajalištu Vijeća o nacrtu općeg proračuna Europske unije za financijsku godinu 2017.</w:t>
      </w:r>
      <w:r w:rsidRPr="00DD76C8">
        <w:rPr>
          <w:rStyle w:val="FootnoteReference"/>
        </w:rPr>
        <w:footnoteReference w:id="6"/>
      </w:r>
      <w:r w:rsidRPr="00DD76C8">
        <w:t>,</w:t>
      </w:r>
    </w:p>
    <w:p w:rsidR="00EA23E7" w:rsidRPr="00DD76C8" w:rsidRDefault="00EA23E7" w:rsidP="00EA23E7">
      <w:pPr>
        <w:spacing w:after="240"/>
        <w:ind w:left="567" w:hanging="567"/>
      </w:pPr>
      <w:r w:rsidRPr="00DD76C8">
        <w:t>–</w:t>
      </w:r>
      <w:r w:rsidRPr="00DD76C8">
        <w:tab/>
        <w:t>uzimajući u obzir svoju Rezoluciju od 23. studenoga 2016. o zajedničkom nacrtu općeg proračuna Europske unije za financijsku godinu 2017. koji je prihvatio Odbor za mirenje u okviru proračunskog postupka</w:t>
      </w:r>
      <w:r w:rsidRPr="00DD76C8">
        <w:rPr>
          <w:rStyle w:val="FootnoteReference"/>
        </w:rPr>
        <w:footnoteReference w:id="7"/>
      </w:r>
      <w:r w:rsidRPr="00DD76C8">
        <w:t>,</w:t>
      </w:r>
    </w:p>
    <w:p w:rsidR="00E03803" w:rsidRPr="00DD76C8" w:rsidRDefault="00E03803">
      <w:pPr>
        <w:pStyle w:val="Normal12Hanging"/>
      </w:pPr>
      <w:r w:rsidRPr="00DD76C8">
        <w:t>–</w:t>
      </w:r>
      <w:r w:rsidRPr="00DD76C8">
        <w:tab/>
        <w:t>uzimajući u obzir izvješće glavnog tajnika Predsjedništvu o sastavljanju prednacrta projekcije proračuna Parlamenta za financijsku godinu 2018.,</w:t>
      </w:r>
    </w:p>
    <w:p w:rsidR="006A7760" w:rsidRPr="00DD76C8" w:rsidRDefault="00E03803" w:rsidP="006A7760">
      <w:pPr>
        <w:pStyle w:val="Normal12Hanging"/>
      </w:pPr>
      <w:r w:rsidRPr="00DD76C8">
        <w:t>–</w:t>
      </w:r>
      <w:r w:rsidRPr="00DD76C8">
        <w:tab/>
        <w:t>uzimajući u obzir prednacrt projekcije proračuna koji je Predsjedništvo sastavilo dana ... travnja 2017. u skladu s člankom 25. stavkom 7. i člankom 96. stavkom 1. Poslovnika Parlamenta,</w:t>
      </w:r>
    </w:p>
    <w:p w:rsidR="006A7760" w:rsidRPr="00DD76C8" w:rsidRDefault="006A7760" w:rsidP="006A7760">
      <w:pPr>
        <w:pStyle w:val="Normal12Hanging"/>
      </w:pPr>
      <w:r w:rsidRPr="00DD76C8">
        <w:t>–</w:t>
      </w:r>
      <w:r w:rsidRPr="00DD76C8">
        <w:tab/>
        <w:t>uzimajući u obzir nacrt projekcije proračuna koji je Odbor za proračune sastavio u skladu s člankom 96. stavkom 2. Poslovnika Parlamenta,</w:t>
      </w:r>
    </w:p>
    <w:p w:rsidR="00E03803" w:rsidRPr="00DD76C8" w:rsidRDefault="00E03803">
      <w:pPr>
        <w:pStyle w:val="Normal12Hanging"/>
      </w:pPr>
      <w:r w:rsidRPr="00DD76C8">
        <w:t>–</w:t>
      </w:r>
      <w:r w:rsidRPr="00DD76C8">
        <w:tab/>
        <w:t>uzimajući u obzir članak 96. i 97. Poslovnika,</w:t>
      </w:r>
    </w:p>
    <w:p w:rsidR="00E03803" w:rsidRPr="00DD76C8" w:rsidRDefault="00E03803">
      <w:pPr>
        <w:pStyle w:val="Normal12Hanging"/>
      </w:pPr>
      <w:r w:rsidRPr="00DD76C8">
        <w:t>–</w:t>
      </w:r>
      <w:r w:rsidRPr="00DD76C8">
        <w:tab/>
        <w:t>uzimajući u obzir izvješće Odbora za proračune (A8-0156/2017),</w:t>
      </w:r>
    </w:p>
    <w:p w:rsidR="00EA23E7" w:rsidRPr="00DD76C8" w:rsidRDefault="00E03803" w:rsidP="00EA23E7">
      <w:pPr>
        <w:pStyle w:val="Normal12Hanging"/>
      </w:pPr>
      <w:r w:rsidRPr="00DD76C8">
        <w:t>A.</w:t>
      </w:r>
      <w:r w:rsidRPr="00DD76C8">
        <w:tab/>
        <w:t>budući da je ovaj postupak treći cjeloviti proračunski postupak koji se provodi u novom zakonodavnom sazivu i da je riječ o petom postupku u sklopu višegodišnjeg financijskog okvira za razdoblje 2014. – 2020.;</w:t>
      </w:r>
    </w:p>
    <w:p w:rsidR="00EA23E7" w:rsidRPr="00DD76C8" w:rsidRDefault="00EA23E7" w:rsidP="00EA23E7">
      <w:pPr>
        <w:pStyle w:val="Normal12Hanging"/>
      </w:pPr>
      <w:r w:rsidRPr="00DD76C8">
        <w:t>B.</w:t>
      </w:r>
      <w:r w:rsidRPr="00DD76C8">
        <w:tab/>
        <w:t xml:space="preserve">budući da se proračun za 2018., u skladu s prijedlogom iz izvješća glavnog tajnika, priprema u svjetlu povećanja gornje granice naslova V. u usporedbi s 2017., čime će se otvoriti više prostora za rast i ulaganja te će se također nastaviti s politikom štednje i povećanja učinkovitosti; </w:t>
      </w:r>
    </w:p>
    <w:p w:rsidR="00EA23E7" w:rsidRPr="00DD76C8" w:rsidRDefault="00EA23E7" w:rsidP="00EA23E7">
      <w:pPr>
        <w:pStyle w:val="Normal12Hanging"/>
      </w:pPr>
      <w:r w:rsidRPr="00DD76C8">
        <w:t>C.</w:t>
      </w:r>
      <w:r w:rsidRPr="00DD76C8">
        <w:tab/>
        <w:t>budući da je glavni tajnik predložio sedam prioritetnih ciljeva za proračun za 2018., točnije: pokretanje komunikacijske kampanje radi pripreme za izbore 2019., konsolidacija sigurnosnih mjera, nastavak višegodišnjih projekata povezanih sa zgradama, ulaganje u digitalizaciju i automatizaciju postupaka, nastavak mjera za potpuno uvođenje irskog jezika u uporabu, analiza mogućeg učinka Brexita i poticanje ekološki svjesne prometne politike;</w:t>
      </w:r>
    </w:p>
    <w:p w:rsidR="00EA23E7" w:rsidRPr="00DD76C8" w:rsidRDefault="00EA23E7" w:rsidP="00EA23E7">
      <w:pPr>
        <w:pStyle w:val="Normal12Hanging"/>
      </w:pPr>
      <w:r w:rsidRPr="00DD76C8">
        <w:t>D.</w:t>
      </w:r>
      <w:r w:rsidRPr="00DD76C8">
        <w:tab/>
        <w:t>budući da razina prednacrta projekcije za proračun za 2018. koju je predložio glavni tajnik iznosi 1 971 883 373 EUR, što predstavlja ukupno povećanje od 3,26 % u odnosu na proračun za 2017. te povećanje od 19,06% naslova V. VFO-a za razdoblje 2014. – 2020.;</w:t>
      </w:r>
    </w:p>
    <w:p w:rsidR="00902A6E" w:rsidRPr="00DD76C8" w:rsidRDefault="00902A6E" w:rsidP="00902A6E">
      <w:pPr>
        <w:pStyle w:val="Normal12Hanging"/>
        <w:rPr>
          <w:szCs w:val="24"/>
        </w:rPr>
      </w:pPr>
      <w:r w:rsidRPr="00DD76C8">
        <w:t>E.</w:t>
      </w:r>
      <w:r w:rsidRPr="00DD76C8">
        <w:tab/>
        <w:t>budući da je glavni tajnik predložio dodatna izvanredna ulaganja u iznosu od 47,6 milijuna EUR za jačanje sigurnosnih projekata, plaćanja najma u okviru projekta zgrade ADENAUER i pokretanje komunikacijske kampanje uoči izbora 2019.;</w:t>
      </w:r>
    </w:p>
    <w:p w:rsidR="00902A6E" w:rsidRPr="00DD76C8" w:rsidRDefault="00902A6E" w:rsidP="00902A6E">
      <w:pPr>
        <w:pStyle w:val="Normal12Hanging"/>
        <w:rPr>
          <w:szCs w:val="24"/>
        </w:rPr>
      </w:pPr>
      <w:r w:rsidRPr="00DD76C8">
        <w:t>F.</w:t>
      </w:r>
      <w:r w:rsidRPr="00DD76C8">
        <w:tab/>
        <w:t>budući da gotovo 68 % proračuna čine rashodi vezani uz indekse, koji se većinom odnose na plaće i naknade zastupnika i osoblja, kao i na zgrade, te se prilagođavaju u skladu s Pravilnikom o osoblju, s indeksacijom specifičnom za pojedini sektor ili sa stopom inflacije;</w:t>
      </w:r>
    </w:p>
    <w:p w:rsidR="00902A6E" w:rsidRPr="00DD76C8" w:rsidRDefault="00902A6E" w:rsidP="00902A6E">
      <w:pPr>
        <w:pStyle w:val="Normal12Hanging"/>
        <w:rPr>
          <w:szCs w:val="24"/>
        </w:rPr>
      </w:pPr>
      <w:r w:rsidRPr="00DD76C8">
        <w:t>G.</w:t>
      </w:r>
      <w:r w:rsidRPr="00DD76C8">
        <w:tab/>
        <w:t>budući da se u izvješću Europskog parlamenta naslovljenom „Žene u Europskom parlamentu”, objavljenom 8. ožujka 2017. povodom Međunarodnog dana žena, navodi da na rukovodećim položajima u Europskom parlamentu postoji rodna neravnoteža, s obzirom na to da 83,3 % dužnosti zamjenika glavnog tajnika i glavnih direktora u Parlamentu obnašaju muškarci, a 16,7 % žene, da 70,2 % dužnosti direktora u Parlamentu obnašaju muškarci, a 34,1 % žene, te da 65,9 % dužnosti načelnika odjela u Parlamentu obnašaju muškarci, a 29,8 % žene;</w:t>
      </w:r>
    </w:p>
    <w:p w:rsidR="00902A6E" w:rsidRPr="00DD76C8" w:rsidRDefault="00902A6E" w:rsidP="00902A6E">
      <w:pPr>
        <w:pStyle w:val="Normal12Hanging"/>
        <w:rPr>
          <w:szCs w:val="24"/>
        </w:rPr>
      </w:pPr>
      <w:r w:rsidRPr="00DD76C8">
        <w:t>H.</w:t>
      </w:r>
      <w:r w:rsidRPr="00DD76C8">
        <w:tab/>
        <w:t>budući da se Poveljom Europske unije o temeljnim pravima Unija obvezuje da će poštovati jezičnu raznolikost te se zabranjuje diskriminacija na temelju jezika, što znači da se svaki građanin Unije ima pravo koristiti jednim od 24 službena jezika Unije u komunikaciji s njezinim institucijama, koje su obvezne odgovoriti na istom jeziku;</w:t>
      </w:r>
    </w:p>
    <w:p w:rsidR="00902A6E" w:rsidRPr="00DD76C8" w:rsidRDefault="00902A6E" w:rsidP="00902A6E">
      <w:pPr>
        <w:pStyle w:val="Normal12Hanging"/>
      </w:pPr>
      <w:r w:rsidRPr="00DD76C8">
        <w:t>I.</w:t>
      </w:r>
      <w:r w:rsidRPr="00DD76C8">
        <w:tab/>
        <w:t>budući da je u svojoj Rezoluciji od 29. travnja 2015. o procjeni prihoda i rashoda Parlamenta za financijsku godinu 2016.</w:t>
      </w:r>
      <w:r w:rsidRPr="00DD76C8">
        <w:rPr>
          <w:rStyle w:val="FootnoteReference"/>
        </w:rPr>
        <w:footnoteReference w:id="8"/>
      </w:r>
      <w:r w:rsidRPr="00DD76C8">
        <w:t xml:space="preserve"> Parlament već naglasio da bi proračun za 2016. trebao biti uspostavljen na realističnoj osnovi te bi trebao biti u skladu s načelima proračunske discipline i dobrog financijskog upravljanja;</w:t>
      </w:r>
    </w:p>
    <w:p w:rsidR="00902A6E" w:rsidRPr="00DD76C8" w:rsidRDefault="00902A6E" w:rsidP="00902A6E">
      <w:pPr>
        <w:pStyle w:val="Normal12Hanging"/>
      </w:pPr>
      <w:r w:rsidRPr="00DD76C8">
        <w:t>J.</w:t>
      </w:r>
      <w:r w:rsidRPr="00DD76C8">
        <w:tab/>
        <w:t>budući da vjerodostojnost Parlamenta kao jedne grane proračunskog tijela u velikoj mjeri ovisi o njegovoj mogućnosti da kontrolira vlastite troškove;</w:t>
      </w:r>
    </w:p>
    <w:p w:rsidR="00902A6E" w:rsidRPr="00DD76C8" w:rsidRDefault="00902A6E" w:rsidP="00902A6E">
      <w:pPr>
        <w:pStyle w:val="Normal12Hanging"/>
        <w:rPr>
          <w:szCs w:val="24"/>
        </w:rPr>
      </w:pPr>
      <w:r w:rsidRPr="00DD76C8">
        <w:t>K.</w:t>
      </w:r>
      <w:r w:rsidRPr="00DD76C8">
        <w:tab/>
        <w:t>budući da vjerodostojnost Parlamenta u velikoj mjeri ovisi o njegovoj mogućnosti da razvija demokraciju na europskoj razini;</w:t>
      </w:r>
    </w:p>
    <w:p w:rsidR="00902A6E" w:rsidRPr="00DD76C8" w:rsidRDefault="00902A6E" w:rsidP="00902A6E">
      <w:pPr>
        <w:pStyle w:val="Normal12Hanging"/>
        <w:rPr>
          <w:b/>
          <w:i/>
          <w:szCs w:val="24"/>
        </w:rPr>
      </w:pPr>
      <w:r w:rsidRPr="00DD76C8">
        <w:rPr>
          <w:b/>
          <w:i/>
        </w:rPr>
        <w:t xml:space="preserve">Opći okvir </w:t>
      </w:r>
    </w:p>
    <w:p w:rsidR="00902A6E" w:rsidRPr="00DD76C8" w:rsidRDefault="00902A6E" w:rsidP="00902A6E">
      <w:pPr>
        <w:pStyle w:val="Normal12Hanging"/>
      </w:pPr>
      <w:r w:rsidRPr="00DD76C8">
        <w:t>1.</w:t>
      </w:r>
      <w:r w:rsidRPr="00DD76C8">
        <w:tab/>
        <w:t xml:space="preserve">naglašava da bi udio proračuna Parlamenta za 2018. trebalo zadržati ispod 20% naslova V.; napominje da razina prednacrta projekcije za proračun za 2018. iznosi 18,88%, što je manje od udjela postignutog 2017. (19,26%) te je to najniži udio u naslovu V. u posljednjih devet godina; </w:t>
      </w:r>
    </w:p>
    <w:p w:rsidR="00902A6E" w:rsidRPr="00DD76C8" w:rsidRDefault="00902A6E" w:rsidP="00902A6E">
      <w:pPr>
        <w:pStyle w:val="Normal12Hanging"/>
        <w:rPr>
          <w:szCs w:val="24"/>
        </w:rPr>
      </w:pPr>
      <w:r w:rsidRPr="00DD76C8">
        <w:t>2.</w:t>
      </w:r>
      <w:r w:rsidRPr="00DD76C8">
        <w:tab/>
        <w:t>u skladu sa stavkom 15. svoje Rezolucije od 14. travnja 2016. o procjeni prihoda i rashoda Europskog parlamenta za financijsku godinu 2017. i sa stavkom 98. svojeg izvješća od 26. listopada 2016. o stajalištu Vijeća o nacrtu općeg proračuna Europske unije za financijsku godinu 2017., u kojem se zahtijeva da se tijekom proračunskog postupka za financijsku godinu 2018. prvi puta koristi metodom izrade proračuna Parlamenta na temelju trenutačnih potreba, a ne na temelju sustava koeficijenata, poziva na to da se ti zahtjevi ispune;</w:t>
      </w:r>
    </w:p>
    <w:p w:rsidR="00902A6E" w:rsidRPr="00DD76C8" w:rsidRDefault="00902A6E" w:rsidP="00902A6E">
      <w:pPr>
        <w:pStyle w:val="Normal12Hanging"/>
        <w:rPr>
          <w:szCs w:val="24"/>
        </w:rPr>
      </w:pPr>
      <w:r w:rsidRPr="00DD76C8">
        <w:t>3.</w:t>
      </w:r>
      <w:r w:rsidRPr="00DD76C8">
        <w:tab/>
        <w:t>prima na znanje da izvanredna ulaganja i rashodi za 2018. iznose 47,6 milijuna EUR, isti iznos kao i za 2017.; stajališta je da bi se komunikacijska kampanja 2019. trebala smatrati izvanrednim rashodom;</w:t>
      </w:r>
    </w:p>
    <w:p w:rsidR="00902A6E" w:rsidRPr="00DD76C8" w:rsidRDefault="00902A6E" w:rsidP="00902A6E">
      <w:pPr>
        <w:pStyle w:val="Normal12Hanging"/>
      </w:pPr>
      <w:r w:rsidRPr="00DD76C8">
        <w:t>4.</w:t>
      </w:r>
      <w:r w:rsidRPr="00DD76C8">
        <w:tab/>
        <w:t>primjećuje da je zahtjev za 75 % odobrenih sredstava predviđenih za komunikacijsku kampanju u okviru priprema za izbore 2019. uvršten u prednacrt projekcije za proračun za 2018. s obzirom na to da će većina ugovora biti potpisana 2018.;</w:t>
      </w:r>
    </w:p>
    <w:p w:rsidR="00902A6E" w:rsidRPr="00DD76C8" w:rsidRDefault="00902A6E" w:rsidP="00902A6E">
      <w:pPr>
        <w:pStyle w:val="Normal12Hanging"/>
      </w:pPr>
      <w:r w:rsidRPr="00DD76C8">
        <w:t>5.</w:t>
      </w:r>
      <w:r w:rsidRPr="00DD76C8">
        <w:tab/>
        <w:t>naglašava da je najveći dio proračuna Parlamenta utvrđen zakonskim ili ugovornim obvezama i podliježe godišnjoj indekasaciji;</w:t>
      </w:r>
    </w:p>
    <w:p w:rsidR="00902A6E" w:rsidRPr="00DD76C8" w:rsidRDefault="00902A6E" w:rsidP="00902A6E">
      <w:pPr>
        <w:pStyle w:val="Normal12Hanging"/>
      </w:pPr>
      <w:r w:rsidRPr="00DD76C8">
        <w:t>6.</w:t>
      </w:r>
      <w:r w:rsidRPr="00DD76C8">
        <w:tab/>
        <w:t>podržava sporazum s Predsjedništvom od 28. ožujka 2017. o razini procjena za 2018.; smanjuje razinu rashoda za 18,4 milijuna EUR u odnosu na prvotno stajalište Predsjedništva; utvrđuje ukupnu razinu svojih procjena za 2018. na 1 953 483 373 EUR, što odgovara ukupnom povećanju od 2,3 % u usporedbi s proračunom za 2017.;</w:t>
      </w:r>
    </w:p>
    <w:p w:rsidR="00902A6E" w:rsidRPr="00DD76C8" w:rsidRDefault="00902A6E" w:rsidP="00902A6E">
      <w:pPr>
        <w:pStyle w:val="Normal12Hanging"/>
      </w:pPr>
      <w:r w:rsidRPr="00DD76C8">
        <w:t>7.</w:t>
      </w:r>
      <w:r w:rsidRPr="00DD76C8">
        <w:tab/>
        <w:t xml:space="preserve">ističe da su ključne funkcije Parlamenta zakonodavna, zastupanje građana i nadgledanje rada ostalih institucija;  </w:t>
      </w:r>
    </w:p>
    <w:p w:rsidR="00902A6E" w:rsidRPr="00DD76C8" w:rsidRDefault="00902A6E" w:rsidP="00902A6E">
      <w:pPr>
        <w:pStyle w:val="Normal12Hanging"/>
        <w:rPr>
          <w:szCs w:val="24"/>
        </w:rPr>
      </w:pPr>
      <w:r w:rsidRPr="00DD76C8">
        <w:t>8.</w:t>
      </w:r>
      <w:r w:rsidRPr="00DD76C8">
        <w:tab/>
        <w:t>ističe ulogu Parlamenta u izgradnji političke svijesti u Europi i promicanju vrijednosti Unije;</w:t>
      </w:r>
    </w:p>
    <w:p w:rsidR="00902A6E" w:rsidRPr="00DD76C8" w:rsidRDefault="00902A6E" w:rsidP="00902A6E">
      <w:pPr>
        <w:pStyle w:val="Normal12Hanging"/>
        <w:rPr>
          <w:szCs w:val="24"/>
        </w:rPr>
      </w:pPr>
      <w:r w:rsidRPr="00DD76C8">
        <w:t>9.</w:t>
      </w:r>
      <w:r w:rsidRPr="00DD76C8">
        <w:tab/>
        <w:t>ističe da je, u skladu s prijedlogom glavnog tajnika, potrebno štedjeti, a sva nastojanja za učinkovitijim i transparentnijim raspolaganjem javnim novcem snažno se potiču;</w:t>
      </w:r>
    </w:p>
    <w:p w:rsidR="00902A6E" w:rsidRPr="00DD76C8" w:rsidRDefault="00902A6E" w:rsidP="00902A6E">
      <w:pPr>
        <w:pStyle w:val="Normal12Hanging"/>
      </w:pPr>
      <w:r w:rsidRPr="00DD76C8">
        <w:rPr>
          <w:b/>
          <w:i/>
        </w:rPr>
        <w:t>Transparentnost i dostupnost</w:t>
      </w:r>
    </w:p>
    <w:p w:rsidR="00902A6E" w:rsidRPr="00DD76C8" w:rsidRDefault="00902A6E" w:rsidP="00902A6E">
      <w:pPr>
        <w:pStyle w:val="Normal12Hanging"/>
      </w:pPr>
      <w:r w:rsidRPr="00DD76C8">
        <w:t>10.</w:t>
      </w:r>
      <w:r w:rsidRPr="00DD76C8">
        <w:tab/>
        <w:t>pozdravlja odgovor na zahtjev Odbora na proračune u njegovoj Rezoluciji od 14. travnja 2016. o procjeni prihoda i rashoda Parlamenta za financijsku godinu 2017.</w:t>
      </w:r>
      <w:r w:rsidRPr="00DD76C8">
        <w:rPr>
          <w:rStyle w:val="FootnoteReference"/>
        </w:rPr>
        <w:footnoteReference w:id="9"/>
      </w:r>
      <w:r w:rsidRPr="00DD76C8">
        <w:t xml:space="preserve"> te ponovljen u njegovoj Rezoluciji o stajalištu Vijeća o nacrtu općeg proračuna Unije za financijsku godinu 2017.</w:t>
      </w:r>
      <w:r w:rsidRPr="00DD76C8">
        <w:rPr>
          <w:rStyle w:val="FootnoteReference"/>
        </w:rPr>
        <w:footnoteReference w:id="10"/>
      </w:r>
      <w:r w:rsidRPr="00DD76C8">
        <w:t xml:space="preserve"> o srednjoročnom i dugoročnom proračunskom planiranju, među ostalim jasnom razlikovanju ulaganja i operativnih rashoda u vezi s funkcioniranjem Parlamenta kao i njegovim zakonskim obvezama (pa i u vezi s najamninom i kupnjom); </w:t>
      </w:r>
    </w:p>
    <w:p w:rsidR="00902A6E" w:rsidRPr="00DD76C8" w:rsidRDefault="00902A6E" w:rsidP="00902A6E">
      <w:pPr>
        <w:pStyle w:val="Normal12Hanging"/>
      </w:pPr>
      <w:r w:rsidRPr="00DD76C8">
        <w:t>11.</w:t>
      </w:r>
      <w:r w:rsidRPr="00DD76C8">
        <w:tab/>
        <w:t>pozdravlja osnivanje radne skupine za postupke utvrđivanja procjena prihoda i rashoda Parlamenta; prima na znanje da je Parlament pozvao na to da se razmisli o dodatnoj reviziji pravila o unutarnjim proračunskim postupcima</w:t>
      </w:r>
      <w:r w:rsidRPr="00DD76C8">
        <w:rPr>
          <w:rStyle w:val="FootnoteReference"/>
        </w:rPr>
        <w:footnoteReference w:id="11"/>
      </w:r>
      <w:r w:rsidRPr="00DD76C8">
        <w:t>; ističe potrebu da se članovima Predsjedništva i Odbora za proračune pravovremeno, razumljivo te uz odgovarajuću razinu detalja predstave relevantne informacije u vezi s postupkom procjene kako bi se Predsjedništvu i Odboru za proračune omogućilo da temelje svoje odluke na širokoj slici stanja i potreba proračuna Parlamenta;</w:t>
      </w:r>
    </w:p>
    <w:p w:rsidR="00902A6E" w:rsidRPr="00DD76C8" w:rsidRDefault="00902A6E" w:rsidP="00902A6E">
      <w:pPr>
        <w:pStyle w:val="Normal12Hanging"/>
      </w:pPr>
      <w:r w:rsidRPr="00DD76C8">
        <w:t>12.</w:t>
      </w:r>
      <w:r w:rsidRPr="00DD76C8">
        <w:tab/>
        <w:t>ponavlja svoj poziv glavnom tajniku da podnese prijedlog za to da se na internetskim stranicama Parlamenta proračun predstavi javnosti na odgovarajuće detaljan i razumljiv način prilagođen korisnicima kako bi se svim građanima omogućilo da bolje razumiju aktivnosti, prioritete te odgovarajuće obrasce trošenja Parlamenta;</w:t>
      </w:r>
    </w:p>
    <w:p w:rsidR="00902A6E" w:rsidRPr="00DD76C8" w:rsidRDefault="00902A6E" w:rsidP="00902A6E">
      <w:pPr>
        <w:pStyle w:val="Normal12Hanging"/>
        <w:rPr>
          <w:szCs w:val="24"/>
        </w:rPr>
      </w:pPr>
      <w:r w:rsidRPr="00DD76C8">
        <w:t>13.</w:t>
      </w:r>
      <w:r w:rsidRPr="00DD76C8">
        <w:tab/>
        <w:t>smatra da su skupine posjetitelja jedan od ključnih instrumenata u podizanju razine osviještenosti građana o aktivnostima Parlamenta; pozdravlja revidirana pravila za skupine posjetitelja te smatra da je rizik od zlouporabe sredstava smanjen zbog provedbe novih i strožih pravila; u svjetlu toga poziva Predsjedništvo da zajedno sa svojom radnom skupinom za informacijsku i komunikacijsku politiku revidira odobrena sredstva za skupine posjetitelja zastupnika, vodeći računa o stopama inflacije posljednjih godina zbog kojih se povećao trošak tih posjeta; smatra da se, iako se tim iznosima ne namjeravaju pokriti svi troškovi skupina posjetitelja, nego ih treba smatrati subvencijom, ne može ignorirati činjenica da će se udio pokrivenih troškova smanjiti ako se naknada ne prilagodi inflaciji; poziva Predsjedništvo da uzme u obzir da ta razlika nerazmjerno utječe na skupine posjetitelja iz socio-ekonomski siromašnijih sredina, čija su vlastita financijska sredstva vrlo ograničena;</w:t>
      </w:r>
    </w:p>
    <w:p w:rsidR="00902A6E" w:rsidRPr="00DD76C8" w:rsidRDefault="00902A6E" w:rsidP="00902A6E">
      <w:pPr>
        <w:pStyle w:val="Normal12Hanging"/>
        <w:rPr>
          <w:b/>
          <w:bCs/>
          <w:i/>
          <w:iCs/>
          <w:szCs w:val="23"/>
        </w:rPr>
      </w:pPr>
      <w:r w:rsidRPr="00DD76C8">
        <w:rPr>
          <w:b/>
          <w:i/>
        </w:rPr>
        <w:t>Sigurnost i kibersigurnost</w:t>
      </w:r>
    </w:p>
    <w:p w:rsidR="00902A6E" w:rsidRPr="00DD76C8" w:rsidRDefault="00902A6E" w:rsidP="00902A6E">
      <w:pPr>
        <w:pStyle w:val="Normal12Hanging"/>
        <w:rPr>
          <w:szCs w:val="24"/>
        </w:rPr>
      </w:pPr>
      <w:r w:rsidRPr="00DD76C8">
        <w:t>14.</w:t>
      </w:r>
      <w:r w:rsidRPr="00DD76C8">
        <w:tab/>
        <w:t>prima na znanje tekuće mjere za jačanje sigurnosti Parlamenta u vezi sa sigurnošću zgrada, opreme i osoblja, kibersigurnosti i sigurnosti komunikacija; traži od glavnog tajnika i Predsjedništva da provedu koncept opće sigurnosti kako bi se nastavilo sa strukturnim, operativnim i kulturnim poboljšanjima u vezi sa sigurnošću Parlamenta; ponovno naglašava potrebu da se kvaliteta IT usluga koje se pružaju Parlamentu poboljša ulaganjem u osposobljavanje osoblja, ali i boljim odabirom izvođača na temelju solidnije evaluacije njihovih usluga i IT kapaciteta;</w:t>
      </w:r>
    </w:p>
    <w:p w:rsidR="00902A6E" w:rsidRPr="00DD76C8" w:rsidRDefault="00902A6E" w:rsidP="00902A6E">
      <w:pPr>
        <w:pStyle w:val="Normal12Hanging"/>
      </w:pPr>
      <w:r w:rsidRPr="00DD76C8">
        <w:t>15.</w:t>
      </w:r>
      <w:r w:rsidRPr="00DD76C8">
        <w:tab/>
        <w:t>vjeruje da su nedavni događaji dokaz da je vjerojatnost kibernetičkih napada izuzetno porasla, s tim da je tehnologija povezana s tim napadima često naprednija od mjera kibernetičke sigurnosti protiv takvih napada; smatra da su informatički alati postali važna sredstva za rad zastupnika i osoblja, ali su svejedno podložni takvim napadima; pozdravlja stoga uključivanje kibernetičke sigurnosti u opći okvir strateškog upravljanja Parlamenta i smatra da će institucija zahvaljujući tome moći bolje zaštiti svoju imovinu i informacije;</w:t>
      </w:r>
    </w:p>
    <w:p w:rsidR="00902A6E" w:rsidRPr="00DD76C8" w:rsidRDefault="00902A6E" w:rsidP="00902A6E">
      <w:pPr>
        <w:pStyle w:val="Normal12Hanging"/>
        <w:rPr>
          <w:szCs w:val="24"/>
        </w:rPr>
      </w:pPr>
      <w:r w:rsidRPr="00DD76C8">
        <w:t>16.</w:t>
      </w:r>
      <w:r w:rsidRPr="00DD76C8">
        <w:tab/>
        <w:t>žali zbog toga što Parlament, usprkos instalaciji sustava SECure EMail, nije u stanju od ostalih institucija primati povjerljive bilješke i bilješke bez oznake tajnosti; žali zbog toga što Parlament nije u mogućnosti samostalno razviti vlastiti sustav za povjerljive informacije (CIS) te da su o tom pitanju u tijeku pregovori s drugim institucijama; očekuje da će ti pregovori pomoći utvrditi najprimjerenije sredstvo za omogućavanje Parlamentu da prima povjerljive bilješke i bilješke bez oznake tajnosti; poziva glavnoga tajnika da Odboru za proračune dostavi više informacija o najnovijim događajima u trenutačnim pregovorima i to prije čitanja proračuna u Parlamentu ujesen 2017. godine;</w:t>
      </w:r>
    </w:p>
    <w:p w:rsidR="00902A6E" w:rsidRPr="00DD76C8" w:rsidRDefault="00902A6E" w:rsidP="00902A6E">
      <w:pPr>
        <w:pStyle w:val="Normal12Hanging"/>
        <w:rPr>
          <w:szCs w:val="24"/>
        </w:rPr>
      </w:pPr>
      <w:r w:rsidRPr="00DD76C8">
        <w:t>17.</w:t>
      </w:r>
      <w:r w:rsidRPr="00DD76C8">
        <w:tab/>
        <w:t>pozdravlja napore u pogledu daljnje digitalizacije i automatizacije postupaka; u tom pogledu pozdravlja uvođenje većeg broja mogućnosti za uporabu zaštićenog digitalnog potpisa u administrativnim postupcima kako bi se smanjila upotreba papira i uštedjelo vrijeme;</w:t>
      </w:r>
    </w:p>
    <w:p w:rsidR="00902A6E" w:rsidRPr="00DD76C8" w:rsidRDefault="00902A6E" w:rsidP="00902A6E">
      <w:pPr>
        <w:pStyle w:val="Normal12Hanging"/>
        <w:rPr>
          <w:bCs/>
          <w:iCs/>
          <w:szCs w:val="23"/>
        </w:rPr>
      </w:pPr>
      <w:r w:rsidRPr="00DD76C8">
        <w:t>18.</w:t>
      </w:r>
      <w:r w:rsidRPr="00DD76C8">
        <w:tab/>
        <w:t>pozdravlja potpisivanje memoranduma o razumijevanju između belgijske vlade i Europskog parlamenta, Vijeća, Komisije, Europske službe za vanjsko djelovanje i ostalih institucija sa sjedištem u Bruxellesu o sigurnosnim provjerama za svo osoblje vanjskih pružatelja usluga kojemu je potreban pristup institucijama EU-a; poziva glavnog tajnika da razmotri je li preporučljivo proširiti područje primjene tog memoranduma o razumijevanju na dužnosnike, parlamentarne asistente i stažiste kako bi se omogućila nužna sigurnosna provjera prije njihova zaposlenja;</w:t>
      </w:r>
    </w:p>
    <w:p w:rsidR="00902A6E" w:rsidRPr="00DD76C8" w:rsidRDefault="00902A6E" w:rsidP="00902A6E">
      <w:pPr>
        <w:pStyle w:val="Normal12Hanging"/>
        <w:rPr>
          <w:szCs w:val="23"/>
        </w:rPr>
      </w:pPr>
      <w:r w:rsidRPr="00DD76C8">
        <w:rPr>
          <w:b/>
          <w:i/>
        </w:rPr>
        <w:t>Politika upravljanja nekretninama</w:t>
      </w:r>
    </w:p>
    <w:p w:rsidR="00902A6E" w:rsidRPr="00DD76C8" w:rsidRDefault="00902A6E" w:rsidP="00902A6E">
      <w:pPr>
        <w:pStyle w:val="Normal12Hanging"/>
        <w:rPr>
          <w:szCs w:val="24"/>
        </w:rPr>
      </w:pPr>
      <w:r w:rsidRPr="00DD76C8">
        <w:t>19.</w:t>
      </w:r>
      <w:r w:rsidRPr="00DD76C8">
        <w:tab/>
        <w:t>podsjeća da je posljednju srednjoročnu strategiju za upravljanje nekretninama donijelo Predsjedništvo 2010.; postavlja pitanje zašto Predsjedništvo tijekom ovog zakonodavnog saziva nije donijelo dugoročnu strategiju za nekretnine Parlamenta usprkos ranijim rezolucijama Parlamenta na tu temu; poziva glavnoga tajnika i potpredsjednike da Odboru za proračune što prije predstave novu srednjoročnu strategiju za nekretnine, a svakako prije čitanja proračuna u Parlamentu ujesen 2017. godine;</w:t>
      </w:r>
    </w:p>
    <w:p w:rsidR="00902A6E" w:rsidRPr="00DD76C8" w:rsidRDefault="00902A6E" w:rsidP="00902A6E">
      <w:pPr>
        <w:pStyle w:val="Normal12Hanging"/>
        <w:rPr>
          <w:szCs w:val="24"/>
        </w:rPr>
      </w:pPr>
      <w:r w:rsidRPr="00DD76C8">
        <w:t>20.</w:t>
      </w:r>
      <w:r w:rsidRPr="00DD76C8">
        <w:tab/>
        <w:t>ponavlja svoj poziv na veću transparentnost u procesu odlučivanja u području politike upravljanja nekretninama, koja se temelji na ranom obavješćivanju, uzimajući u obzir članak 203. Financijske uredbe; u tom smislu traži više informacija o proširenju dječjeg vrtića WAYENBERG;</w:t>
      </w:r>
    </w:p>
    <w:p w:rsidR="00902A6E" w:rsidRPr="00DD76C8" w:rsidRDefault="00902A6E" w:rsidP="00902A6E">
      <w:pPr>
        <w:pStyle w:val="Normal12Hanging"/>
        <w:rPr>
          <w:szCs w:val="24"/>
        </w:rPr>
      </w:pPr>
      <w:r w:rsidRPr="00DD76C8">
        <w:t>21.</w:t>
      </w:r>
      <w:r w:rsidRPr="00DD76C8">
        <w:tab/>
        <w:t>traži više informacija o projektu obnove zgrade Paul Henri Spaak (PHS), posebno mišljenja vanjskih izvođača o mogućim opcijama za tu zgradu koja postoji tek 25 godina; poziva glavnog tajnika da što prije predstavi rezultate te studije Odboru za proračune; ističe da postojeća zgrada ne ispunjava statičke zahtjeve javnih zgrada za parlamentarne funkcije, čija sigurnost mora biti veća i koje moraju moći izdržati vanjske šokove bez urušavanja; kritizira činjenicu da zgrada PHS ne ispunjava ni minimalne standarde modernih statičkih zahtjeva i napominje da je već trebalo poduzeti nekoliko mjera kako bi se zajamčila njezina stabilnost; stoga apelira na Predsjedništvo i administraciju Parlamenta da rade na budućim rješenjima za novu zgradu PHS kojima će se osigurati životi i zdravi radni uvjeti osoba koje se u njoj nalaze; prima na znanje razinu odobrenih sredstava koju je za 2018. predložio glavni tajnik u vezi sa studijama, pripremnim projektima i radovima kao i pružanjem pomoći timu koja upravlja projektom; izražava zabrinutost zbog moguće zabune oko iznosa potrošenih na studije i obnovu; poziva Predsjedništvo i glavnog tajnika da što prije, i to najkasnije do srpnja 2017., izvijeste Odbor za proračune o svim naknadnim koracima, uz jasan pregled troškova; podsjeća na to da je u svakom slučaju potrebno implementirati vrhunsku i energetski učinkovitu arhitekturu; poziva na to da se ocijeni kako će obnova utjecati na službu za posjete i seminare, na dostupnost vijećnice i na ostale prostorije i urede;</w:t>
      </w:r>
    </w:p>
    <w:p w:rsidR="00902A6E" w:rsidRPr="00DD76C8" w:rsidRDefault="00902A6E" w:rsidP="00902A6E">
      <w:pPr>
        <w:pStyle w:val="Normal12Hanging"/>
        <w:rPr>
          <w:szCs w:val="24"/>
        </w:rPr>
      </w:pPr>
      <w:r w:rsidRPr="00DD76C8">
        <w:t>22.</w:t>
      </w:r>
      <w:r w:rsidRPr="00DD76C8">
        <w:tab/>
        <w:t>smatra da će 2018. godina biti ključna za zgradu Konrad Adenauer (KAD) jer će se privesti kraju radovi na istočnom krilu i započeti radovi na zapadnom krilu; sa zabrinutošću prima na znanje da je proračun određen za upravljanje ovim velikim projektom morao biti revidiran kako bi se ojačali timovi koji prate napredak radova; prima na znanje trajnu praksu da se krajem godine pribjegava preraspodjeli neiskorištenih sredstava na tekuće građevinske projekte; smatra da, iako je to možda pragmatično rješenje za smanjenje kamata, ono svejedno nije u skladu s transparentnošću građevinskih projekata u okviru proračuna Parlamenta te da bi se njime u određenim područjima čak mogla potaknuti dodjela prekomjernih proračunskih sredstava;</w:t>
      </w:r>
    </w:p>
    <w:p w:rsidR="00902A6E" w:rsidRPr="00DD76C8" w:rsidRDefault="00902A6E" w:rsidP="00902A6E">
      <w:pPr>
        <w:pStyle w:val="Normal12Hanging"/>
        <w:rPr>
          <w:szCs w:val="24"/>
        </w:rPr>
      </w:pPr>
      <w:r w:rsidRPr="00DD76C8">
        <w:t>23.</w:t>
      </w:r>
      <w:r w:rsidRPr="00DD76C8">
        <w:tab/>
        <w:t>poziva odgovorne potpredsjednike i glavnog tajnika da Odboru za proračune predstave izvješće o napretku izgradnje zgrade Konrad Adenauer i procjene o dovršetku radova na toj zgradi;</w:t>
      </w:r>
    </w:p>
    <w:p w:rsidR="00902A6E" w:rsidRPr="00DD76C8" w:rsidRDefault="00902A6E" w:rsidP="00902A6E">
      <w:pPr>
        <w:pStyle w:val="Normal12Hanging"/>
        <w:rPr>
          <w:b/>
          <w:i/>
          <w:szCs w:val="24"/>
        </w:rPr>
      </w:pPr>
      <w:r w:rsidRPr="00DD76C8">
        <w:rPr>
          <w:b/>
          <w:i/>
        </w:rPr>
        <w:t>EMAS</w:t>
      </w:r>
    </w:p>
    <w:p w:rsidR="00902A6E" w:rsidRPr="00DD76C8" w:rsidRDefault="00902A6E" w:rsidP="00902A6E">
      <w:pPr>
        <w:pStyle w:val="Normal12Hanging"/>
        <w:rPr>
          <w:szCs w:val="24"/>
        </w:rPr>
      </w:pPr>
      <w:r w:rsidRPr="00DD76C8">
        <w:t>24.</w:t>
      </w:r>
      <w:r w:rsidRPr="00DD76C8">
        <w:tab/>
        <w:t>podsjeća na to da se Parlament obvezao na smanjenje svojih emisija CO2 od 30 % po ekvivalentu punog radnog vremena do 2020. u odnosu na 2006.;</w:t>
      </w:r>
    </w:p>
    <w:p w:rsidR="00902A6E" w:rsidRPr="00DD76C8" w:rsidRDefault="00902A6E" w:rsidP="00902A6E">
      <w:pPr>
        <w:pStyle w:val="Normal12Hanging"/>
        <w:rPr>
          <w:szCs w:val="24"/>
        </w:rPr>
      </w:pPr>
      <w:r w:rsidRPr="00DD76C8">
        <w:t>25.</w:t>
      </w:r>
      <w:r w:rsidRPr="00DD76C8">
        <w:tab/>
        <w:t xml:space="preserve">smatra da je od iznimne važnosti da Parlament stoga sebi postavlja nove, zahtjevnije i kvantitativne ciljeve koje bi nadležne službe trebale redovito mjeriti; </w:t>
      </w:r>
    </w:p>
    <w:p w:rsidR="00902A6E" w:rsidRPr="00DD76C8" w:rsidRDefault="00902A6E" w:rsidP="00902A6E">
      <w:pPr>
        <w:pStyle w:val="Normal12Hanging"/>
        <w:rPr>
          <w:szCs w:val="24"/>
        </w:rPr>
      </w:pPr>
      <w:r w:rsidRPr="00DD76C8">
        <w:t>26.</w:t>
      </w:r>
      <w:r w:rsidRPr="00DD76C8">
        <w:tab/>
        <w:t>podsjeća na obvezu Parlamenta u kontekstu Direktive 2012/27/EU o energetskoj učinkovitosti „pri čemu se ne dovode u pitanje primjenjiva proračunska pravila i pravila javne nabave, da se obvezuje da će primjenjivati iste zahtjeve za zgrade kojima se koristi i kojima je vlasnik, kao i one koji se primjenjuju na zgrade središnje vlasti države članice u skladu s člancima 5. i 6.” te iste Direktive, s obzirom na veliku vidljivost zgrada te vodeću ulogu koju bi trebao imati u pogledu njihove energetske učinkovitosti; ističe hitnost poštovanja te izjave, između ostalog i zbog vlastite vjerodostojnosti u preispitivanju direktiva o energetskim svojstvima zgrada i energetskoj učinkovitosti koje je trenutačno u tijeku;</w:t>
      </w:r>
    </w:p>
    <w:p w:rsidR="00902A6E" w:rsidRPr="00DD76C8" w:rsidRDefault="00902A6E" w:rsidP="00902A6E">
      <w:pPr>
        <w:pStyle w:val="Normal12Hanging"/>
        <w:rPr>
          <w:szCs w:val="24"/>
        </w:rPr>
      </w:pPr>
      <w:r w:rsidRPr="00DD76C8">
        <w:t>27.</w:t>
      </w:r>
      <w:r w:rsidRPr="00DD76C8">
        <w:tab/>
        <w:t>pozdravlja osnivanje radne skupine za mobilnost koja bi trebala raditi uključivo i imati jasno određen mandat; ističe da se Parlament mora prilagoditi svim zakonima koji se primjenjuju regionalno na mjestima rada, pa i u tom području; zagovara promicanje upotrebe uspostavljene izravne željezničke veze između sjedišta Parlamenta u Bruxellesu i briselske zračne luke; poziva odgovorne službe da ponovno ocijene sastav i veličinu vlastitog voznog parka uzimajući to u obzir; poziva Predsjedništvo da bez odgode uspostavi program poticaja za promicanje korištenja bicikala za putovanje na posao i s posla; napominje da je takav sustav već uspostavljen u drugim institucijama, posebno u Europskom gospodarskom i socijalnom odboru;</w:t>
      </w:r>
    </w:p>
    <w:p w:rsidR="00902A6E" w:rsidRPr="00DD76C8" w:rsidRDefault="00902A6E" w:rsidP="00902A6E">
      <w:pPr>
        <w:pStyle w:val="Normal12Hanging"/>
      </w:pPr>
      <w:r w:rsidRPr="00DD76C8">
        <w:t>28.</w:t>
      </w:r>
      <w:r w:rsidRPr="00DD76C8">
        <w:tab/>
        <w:t>pozdravlja komunikacijsku kampanju kao koristan način da se građanima objasni svrha Unije i Parlamenta; naglašava da bi se tom kampanjom, među ostalim, trebala nastojati objasniti uloga Europske unije, ovlasti Parlamenta, njegove zadaće, uključujući izbor predsjednika Komisije, i njegov učinak na živote građana;</w:t>
      </w:r>
    </w:p>
    <w:p w:rsidR="00902A6E" w:rsidRPr="00DD76C8" w:rsidRDefault="00902A6E" w:rsidP="00902A6E">
      <w:pPr>
        <w:pStyle w:val="Normal12Hanging"/>
        <w:rPr>
          <w:szCs w:val="23"/>
        </w:rPr>
      </w:pPr>
      <w:r w:rsidRPr="00DD76C8">
        <w:t>29.</w:t>
      </w:r>
      <w:r w:rsidRPr="00DD76C8">
        <w:tab/>
        <w:t>prima na znanje da će pripremni rad za komunikacijsku kampanju uoči predstojećih europskih izbora 2019. započeti ove godine; pozdravlja kraće predizborno razdoblje od dvije godine namijenjeno komunikacijskoj kampanji u odnosu na trogodišnje predizborno razdoblje za europske izbore 2014.;</w:t>
      </w:r>
    </w:p>
    <w:p w:rsidR="00902A6E" w:rsidRPr="00DD76C8" w:rsidRDefault="00902A6E" w:rsidP="00902A6E">
      <w:pPr>
        <w:pStyle w:val="Normal12Hanging"/>
        <w:rPr>
          <w:szCs w:val="24"/>
        </w:rPr>
      </w:pPr>
      <w:r w:rsidRPr="00DD76C8">
        <w:t>30.</w:t>
      </w:r>
      <w:r w:rsidRPr="00DD76C8">
        <w:tab/>
        <w:t>prima na znanje ukupan procijenjen iznos za komunikacijsku kampanju za izbore 2019., uz veće financijske obveze potrebne za 2018. u iznosu od 25 milijuna EUR rashoda predviđenih za 2018. i 8,33 milijuna EUR za 2019. ističe važnost tih komunikacijskih kampanja, posebno uzme li se u obzir trenutačno stanje u Uniji;</w:t>
      </w:r>
    </w:p>
    <w:p w:rsidR="00902A6E" w:rsidRPr="00DD76C8" w:rsidRDefault="00902A6E" w:rsidP="00902A6E">
      <w:pPr>
        <w:pStyle w:val="Normal12Hanging"/>
        <w:rPr>
          <w:szCs w:val="24"/>
        </w:rPr>
      </w:pPr>
      <w:r w:rsidRPr="00DD76C8">
        <w:t>31.</w:t>
      </w:r>
      <w:r w:rsidRPr="00DD76C8">
        <w:tab/>
        <w:t>vjeruje da bi Glavna uprava za komunikaciju (DG COMM) trebala provesti preporuke iz evaluacije izborne kampanje europskih izbora 2014.</w:t>
      </w:r>
      <w:r w:rsidRPr="00DD76C8">
        <w:rPr>
          <w:vertAlign w:val="superscript"/>
        </w:rPr>
        <w:footnoteReference w:id="12"/>
      </w:r>
      <w:r w:rsidRPr="00DD76C8">
        <w:t xml:space="preserve"> i dati prednost prikupljanju podataka za projekte kampanje na temelju prethodno utvrđenih ključnih indikatora kako bi se izmjerio njihov učinak, pozorno razmatrajući glavne uzroke iznimno slabog izlaska na izbore 2014. godine;</w:t>
      </w:r>
    </w:p>
    <w:p w:rsidR="00902A6E" w:rsidRPr="00DD76C8" w:rsidRDefault="00902A6E" w:rsidP="00902A6E">
      <w:pPr>
        <w:pStyle w:val="Normal12Hanging"/>
        <w:rPr>
          <w:b/>
          <w:bCs/>
          <w:i/>
          <w:iCs/>
        </w:rPr>
      </w:pPr>
      <w:r w:rsidRPr="00DD76C8">
        <w:rPr>
          <w:b/>
          <w:i/>
        </w:rPr>
        <w:t>Pitanja koja se odnose na zastupnike</w:t>
      </w:r>
    </w:p>
    <w:p w:rsidR="00902A6E" w:rsidRPr="00DD76C8" w:rsidRDefault="00902A6E" w:rsidP="00902A6E">
      <w:pPr>
        <w:pStyle w:val="Normal12Hanging"/>
        <w:rPr>
          <w:szCs w:val="24"/>
        </w:rPr>
      </w:pPr>
      <w:r w:rsidRPr="00DD76C8">
        <w:t>32.</w:t>
      </w:r>
      <w:r w:rsidRPr="00DD76C8">
        <w:tab/>
        <w:t>pozdravlja rad tajništva Parlamenta, tajništava klubova zastupnika i ureda zastupnika u cilju podupiranju zastupnika u izvršavanju njihovih mandata; potiče trajni razvoj tih službi kojima se pospješuje sposobnost zastupnika da nadziru rad Komisije i Vijeća kao i da predstavljaju građane;</w:t>
      </w:r>
    </w:p>
    <w:p w:rsidR="00902A6E" w:rsidRPr="00DD76C8" w:rsidRDefault="00902A6E" w:rsidP="00902A6E">
      <w:pPr>
        <w:pStyle w:val="Normal12Hanging"/>
        <w:rPr>
          <w:szCs w:val="23"/>
        </w:rPr>
      </w:pPr>
      <w:r w:rsidRPr="00DD76C8">
        <w:t>33.</w:t>
      </w:r>
      <w:r w:rsidRPr="00DD76C8">
        <w:tab/>
        <w:t>pozdravlja savjete i istraživanja koje zastupnici i odbori provode u okviru Službe Europskog parlamenta za istraživanja i resornih odjela; podsjeća na to da je 2013. prilikom uspostave EPRS-a predviđena srednjoročna evaluacija učinkovitosti suradnje između EPRS-a i resornih odjela; ponovno traži od glavnog tajnika da započne provedbu te evaluacije te da njezine rezultate predstavi Odboru za proračune prije čitanja proračuna u Parlamentu u jesen 2017.; odobrava četiri konkretna projekta koji se srednjoročno provode u knjižnici Europskog parlamenta, to jest digitalnu knjižnicu, bolje načine pretraživanja, komparativne pravne izvore i otvorenu knjižnicu; smatra da će se tim projektima povećati potpora zastupnicima i osoblju te će se istodobno olakšati pristup vanjskoj znanstvenoj zajednici i građanima; ističe važnost tih projekata i potrebu da se oni integriraju u zakonodavni rad zastupnika i osoblja;</w:t>
      </w:r>
    </w:p>
    <w:p w:rsidR="00902A6E" w:rsidRPr="00DD76C8" w:rsidRDefault="00902A6E" w:rsidP="00902A6E">
      <w:pPr>
        <w:pStyle w:val="Normal12Hanging"/>
        <w:rPr>
          <w:szCs w:val="24"/>
        </w:rPr>
      </w:pPr>
      <w:r w:rsidRPr="00DD76C8">
        <w:t>34.</w:t>
      </w:r>
      <w:r w:rsidRPr="00DD76C8">
        <w:tab/>
        <w:t>napominje da su nedavnom izmjenom Poslovnika</w:t>
      </w:r>
      <w:r w:rsidRPr="00DD76C8">
        <w:rPr>
          <w:vertAlign w:val="superscript"/>
        </w:rPr>
        <w:footnoteReference w:id="13"/>
      </w:r>
      <w:r w:rsidRPr="00DD76C8">
        <w:t xml:space="preserve"> zastupnici ograničeni na maksimalno tri usmena obrazloženja glasovanja po sjednici, ali je zabrinut zbog dodatnih troškova usmenog prevođenja te pismenog prevođenja prijepisa obrazloženja do kojih zbog toga dolazi; poziva glavnog tajnika da dostavi iscrpan pregled troškova povezanih s usmenim obrazloženjem glasovanja; navodi da postoje alternative kao što su pismeno obrazloženje glasovanja kao i niz punktova za komunikaciju s javnošću u prostorima Parlamenta gdje zastupnici mogu iznijeti obrazloženja glasovanja; poziva, da se, kao privremena mjera, usmena obrazloženja glasovanja održe na kraju svakog radnog dana sjednice, nakon jednominutnih govora i ostalih točaka dnevnoga reda;</w:t>
      </w:r>
    </w:p>
    <w:p w:rsidR="00902A6E" w:rsidRPr="00DD76C8" w:rsidRDefault="00902A6E" w:rsidP="00902A6E">
      <w:pPr>
        <w:pStyle w:val="Normal12Hanging"/>
        <w:rPr>
          <w:szCs w:val="24"/>
        </w:rPr>
      </w:pPr>
      <w:r w:rsidRPr="00DD76C8">
        <w:t>35.</w:t>
      </w:r>
      <w:r w:rsidRPr="00DD76C8">
        <w:tab/>
        <w:t xml:space="preserve">podsjeća zastupnike da su obvezni obavijestiti upravu o bilo kakvoj promjeni u izjavama o financijskim interesima; </w:t>
      </w:r>
    </w:p>
    <w:p w:rsidR="00902A6E" w:rsidRPr="00DD76C8" w:rsidRDefault="00902A6E" w:rsidP="00902A6E">
      <w:pPr>
        <w:pStyle w:val="Normal12Hanging"/>
        <w:rPr>
          <w:szCs w:val="24"/>
        </w:rPr>
      </w:pPr>
      <w:r w:rsidRPr="00DD76C8">
        <w:t>36.</w:t>
      </w:r>
      <w:r w:rsidRPr="00DD76C8">
        <w:tab/>
        <w:t>ne slaže se s time da je potrebno promijeniti namještaj u uredima zastupnika i njihovih asistenata u Bruxellesu; smatra da je većina tog namještaja u ispravnom stanju i da stoga nema razloga za njegovu zamjenu; smatra da bi namještaj trebalo mijenjati samo kad za to postoji opravdan razlog;</w:t>
      </w:r>
    </w:p>
    <w:p w:rsidR="00902A6E" w:rsidRPr="00DD76C8" w:rsidRDefault="00902A6E" w:rsidP="00902A6E">
      <w:pPr>
        <w:pStyle w:val="Normal12Hanging"/>
        <w:rPr>
          <w:szCs w:val="23"/>
        </w:rPr>
      </w:pPr>
      <w:r w:rsidRPr="00DD76C8">
        <w:t>37.</w:t>
      </w:r>
      <w:r w:rsidRPr="00DD76C8">
        <w:tab/>
        <w:t>poziva glavnog tajnika da, u okviru priprema za deveti zakonodavni saziv, Predsjedništvu dostavi iscrpniji popis troškova koji se podmiruju naknadom za opće troškove te podsjeća na načelo neovisnosti mandata; ističe da zastupnici koji to žele mogu objaviti evidenciju svoje potrošnje naknade za opće troškove na svojim osobnim internetskim stranicama; ponovno apelira na veću transparentnost u pogledu naknade za opće troškove oslanjajući se na najbolje prakse nacionalnih izaslanstava u Parlamentu i državama članicama; smatra da bi zastupnici također trebali moći na internetskim stranicama Parlamenta objaviti poveznice na stranice na kojima objavljuju podatke o potrošnji; ponavlja da veća transparentnost naknade za opće troškove ne bi trebala iziskivati dodatno osoblje u administraciji Parlamenta;</w:t>
      </w:r>
    </w:p>
    <w:p w:rsidR="00902A6E" w:rsidRPr="00DD76C8" w:rsidRDefault="00902A6E" w:rsidP="00902A6E">
      <w:pPr>
        <w:pStyle w:val="Normal12Hanging"/>
        <w:rPr>
          <w:szCs w:val="24"/>
        </w:rPr>
      </w:pPr>
      <w:r w:rsidRPr="00DD76C8">
        <w:t>38.</w:t>
      </w:r>
      <w:r w:rsidRPr="00DD76C8">
        <w:tab/>
        <w:t>naglašava da je trenutačna proračunska linija za parlamentarnu pomoć primjerena te da se ne bi trebala povećati iznad indeksacije plaća;</w:t>
      </w:r>
    </w:p>
    <w:p w:rsidR="00902A6E" w:rsidRPr="00DD76C8" w:rsidRDefault="00902A6E" w:rsidP="00902A6E">
      <w:pPr>
        <w:pStyle w:val="Normal12Hanging"/>
        <w:rPr>
          <w:szCs w:val="24"/>
        </w:rPr>
      </w:pPr>
      <w:r w:rsidRPr="00DD76C8">
        <w:t>39.</w:t>
      </w:r>
      <w:r w:rsidRPr="00DD76C8">
        <w:tab/>
        <w:t>podsjeća na zahtjev, koji je usvojen na plenarnoj sjednici u spomenutoj Rezoluciji od 14. travnja 2016. o procjeni prihoda i rashoda Parlamenta za 2017., da se preispitaju pravila o povratu troškova za službena putovanja koja se odnose na putovanja između tri radna mjesta Parlamenta i kojima se izlažu akreditirani parlamentarni asistenti kako bi se uskladila s pravilima koja se primjenjuju na ostatak osoblja te žali zbog toga što dosad u tom smislu nisu poduzete nikakve mjere; poziva Predsjedništvo da bez odgode razmotri to pitanje; pritom ističe da aktualne gornje granice za povrat troškova za službena putovanja akreditiranih parlamentarnih asistenata (120/140/160 EUR) nisu usklađivane od 2011. i da je ta neusklađenost između akreditiranih parlamentarnih asistenata i ostaloga osoblja dodatno povećana do najmanje 40 % nakon uvođenja novih gornjih granica koje je Vijeće odobrilo 9. rujna 2016. i koje su se od 10. rujna 2016. dosad primjenjivale samo na dužnosnike; stoga poziva Predsjedništvo da poduzme potrebne mjere za ispravljanje te nejednakosti;</w:t>
      </w:r>
    </w:p>
    <w:p w:rsidR="00902A6E" w:rsidRPr="00DD76C8" w:rsidRDefault="00902A6E" w:rsidP="00902A6E">
      <w:pPr>
        <w:pStyle w:val="Normal12Hanging"/>
        <w:rPr>
          <w:szCs w:val="24"/>
        </w:rPr>
      </w:pPr>
      <w:r w:rsidRPr="00DD76C8">
        <w:t>40.</w:t>
      </w:r>
      <w:r w:rsidRPr="00DD76C8">
        <w:tab/>
        <w:t>naglašava da je za rješavanje razlika u troškovima službenih putovanja nema za posljedicu povećanje proračunske linije za parlamentarnu pomoć;</w:t>
      </w:r>
    </w:p>
    <w:p w:rsidR="00902A6E" w:rsidRPr="00DD76C8" w:rsidRDefault="00902A6E" w:rsidP="00902A6E">
      <w:pPr>
        <w:pStyle w:val="Normal12Hanging"/>
        <w:rPr>
          <w:szCs w:val="24"/>
        </w:rPr>
      </w:pPr>
      <w:r w:rsidRPr="00DD76C8">
        <w:t>41.</w:t>
      </w:r>
      <w:r w:rsidRPr="00DD76C8">
        <w:tab/>
        <w:t xml:space="preserve">traži da se povrat putnih troškova zastupnika rabi na transparentan i odgovarajući način te preporučuje poticanje uporabe ekonomskog razreda i u zračnom i željezničkom prijevozu; </w:t>
      </w:r>
    </w:p>
    <w:p w:rsidR="00902A6E" w:rsidRPr="00DD76C8" w:rsidRDefault="00902A6E" w:rsidP="00902A6E">
      <w:pPr>
        <w:pStyle w:val="Normal12Hanging"/>
        <w:rPr>
          <w:szCs w:val="24"/>
        </w:rPr>
      </w:pPr>
      <w:r w:rsidRPr="00DD76C8">
        <w:t>42.</w:t>
      </w:r>
      <w:r w:rsidRPr="00DD76C8">
        <w:tab/>
        <w:t>poziva Konferenciju predsjednika i Predsjedništvo da razmotre mogućnost da akreditirani parlamentarni asistenti uz određene uvjete prate zastupnike na službenim putovanjima izaslanstava Parlamenta i drugim misijama, što je nekoliko zastupnika već tražilo; smatra da bi zastupnici trebali odlučiti o tome hoće li ih asistenti pratiti na službenim putovanjima izaslanstava, koristeći se svojom naknadom za parlamentarnu pomoć;</w:t>
      </w:r>
    </w:p>
    <w:p w:rsidR="00902A6E" w:rsidRPr="00DD76C8" w:rsidRDefault="00902A6E" w:rsidP="00902A6E">
      <w:pPr>
        <w:pStyle w:val="Normal12Hanging"/>
        <w:rPr>
          <w:b/>
          <w:i/>
          <w:szCs w:val="24"/>
        </w:rPr>
      </w:pPr>
      <w:r w:rsidRPr="00DD76C8">
        <w:rPr>
          <w:b/>
          <w:i/>
        </w:rPr>
        <w:t>Pitanja koja se odnose na osoblje</w:t>
      </w:r>
    </w:p>
    <w:p w:rsidR="00902A6E" w:rsidRPr="00DD76C8" w:rsidRDefault="00902A6E" w:rsidP="00902A6E">
      <w:pPr>
        <w:pStyle w:val="Normal12Hanging"/>
        <w:rPr>
          <w:szCs w:val="24"/>
        </w:rPr>
      </w:pPr>
      <w:r w:rsidRPr="00DD76C8">
        <w:t>43.</w:t>
      </w:r>
      <w:r w:rsidRPr="00DD76C8">
        <w:tab/>
        <w:t>u skladu s točkom 27. međuinstitucionalnog sporazuma od 2. prosinca 2013. o postupnom smanjenju broja osoblja za 5 % koje se odnosi na sve institucije, tijela i agencije između 2013. i 2017. ističe da je zbog specifičnih potreba Parlamenta 2014. i 2016. sklopljen sporazum s Vijećem o nacrtu općeg proračuna Europske unije za financijsku godinu 2016.</w:t>
      </w:r>
      <w:r w:rsidRPr="00DD76C8">
        <w:rPr>
          <w:vertAlign w:val="superscript"/>
        </w:rPr>
        <w:footnoteReference w:id="14"/>
      </w:r>
      <w:r w:rsidRPr="00DD76C8">
        <w:t xml:space="preserve"> u kojem je navedeno da se godišnje mjere smanjenja broja osoblja u Parlamentu nastavljaju do 2019.;</w:t>
      </w:r>
    </w:p>
    <w:p w:rsidR="00902A6E" w:rsidRPr="00DD76C8" w:rsidRDefault="00902A6E" w:rsidP="00902A6E">
      <w:pPr>
        <w:pStyle w:val="Normal12Hanging"/>
        <w:rPr>
          <w:szCs w:val="24"/>
        </w:rPr>
      </w:pPr>
      <w:r w:rsidRPr="00DD76C8">
        <w:t>44.</w:t>
      </w:r>
      <w:r w:rsidRPr="00DD76C8">
        <w:tab/>
        <w:t>napominje da je, iako su klubovi zastupnika bili izuzeti iz godišnjih mjera smanjenja broja osoblja od 2014.,</w:t>
      </w:r>
      <w:r w:rsidRPr="00DD76C8">
        <w:rPr>
          <w:vertAlign w:val="superscript"/>
        </w:rPr>
        <w:footnoteReference w:id="15"/>
      </w:r>
      <w:r w:rsidRPr="00DD76C8">
        <w:t xml:space="preserve"> sporazumom o mirenju iz 2017. došlo do smanjenja broja radnih mjesta u okviru plana radnih mjesta u tajništvu Parlamenta jer se Vijeće nije pridržavalo usmenog dogovora;</w:t>
      </w:r>
    </w:p>
    <w:p w:rsidR="00902A6E" w:rsidRPr="00DD76C8" w:rsidRDefault="00902A6E" w:rsidP="00902A6E">
      <w:pPr>
        <w:pStyle w:val="Normal12Hanging"/>
        <w:rPr>
          <w:szCs w:val="24"/>
        </w:rPr>
      </w:pPr>
      <w:r w:rsidRPr="00DD76C8">
        <w:t>45.</w:t>
      </w:r>
      <w:r w:rsidRPr="00DD76C8">
        <w:tab/>
        <w:t>podsjeća na to da se ukupan broj osoblja u klubovima zastupnika izuzima iz cilja da se broj osoblja smanji za 5 %. u skladu s odlukama donesenim u pogledu financijskih godina 2014., 2015. i 2017.;</w:t>
      </w:r>
    </w:p>
    <w:p w:rsidR="00902A6E" w:rsidRPr="00DD76C8" w:rsidRDefault="00902A6E" w:rsidP="00902A6E">
      <w:pPr>
        <w:pStyle w:val="Normal12Hanging"/>
        <w:rPr>
          <w:szCs w:val="24"/>
        </w:rPr>
      </w:pPr>
      <w:r w:rsidRPr="00DD76C8">
        <w:t>46.</w:t>
      </w:r>
      <w:r w:rsidRPr="00DD76C8">
        <w:tab/>
        <w:t>pozdravlja, u svjetlu mjera smanjenja broja radnih mjesta osoblja, prijedlog da se 50 stalnih radnih mjesta razine AST pretvori u 50 radnih mjesta razine AD, što ima zanemarujući učinak na proračun; uz to prima na znanje prijedlog da se tri privremena radna mjesta razine AST u Uredu prisjednika pretvore u tri radna mjesta razine AD;</w:t>
      </w:r>
    </w:p>
    <w:p w:rsidR="00902A6E" w:rsidRPr="00DD76C8" w:rsidRDefault="00902A6E" w:rsidP="00902A6E">
      <w:pPr>
        <w:pStyle w:val="Normal12Hanging"/>
        <w:rPr>
          <w:szCs w:val="24"/>
        </w:rPr>
      </w:pPr>
      <w:r w:rsidRPr="00DD76C8">
        <w:t>47.</w:t>
      </w:r>
      <w:r w:rsidRPr="00DD76C8">
        <w:tab/>
        <w:t>poziva predsjedništvo da se pobrine da se socijalna i mirovinska prava akreditiranih parlamentarnih asistenata poštuju i da se na raspolaganje stave financijska sredstva, posebno za one akreditirane parlamentarne asistente koji su bez prekida zaposleni kod zastupnika u Europskom parlamentu u posljednja dva parlamentarna saziva; u tom pogledu poziva administraciju da donese prijedlog kojim se uzima u obzir odluka o ranim izborima 2014., kao i vrijeme utrošeno na zapošljavanje pri obračunu 10 godina službe kako je utvrđeno u Poslovniku;</w:t>
      </w:r>
    </w:p>
    <w:p w:rsidR="00902A6E" w:rsidRPr="00DD76C8" w:rsidRDefault="00902A6E" w:rsidP="00902A6E">
      <w:pPr>
        <w:pStyle w:val="Normal12Hanging"/>
        <w:rPr>
          <w:szCs w:val="24"/>
        </w:rPr>
      </w:pPr>
      <w:r w:rsidRPr="00DD76C8">
        <w:t>48.</w:t>
      </w:r>
      <w:r w:rsidRPr="00DD76C8">
        <w:tab/>
        <w:t>smatra da je u razdoblju u kojem će financijski i ljudski resursi dostupni institucijama Unije vjerojatno biti sve ograničeniji važno da same institucije budu u mogućnosti zaposliti i zadržati najsposobnije osoblje kako bi odgovorile na predstojeće složene izazove na način koji je u skladu s proračunskim načelima koja se temelje na uspješnosti;</w:t>
      </w:r>
    </w:p>
    <w:p w:rsidR="00902A6E" w:rsidRPr="00DD76C8" w:rsidRDefault="00902A6E" w:rsidP="00902A6E">
      <w:pPr>
        <w:pStyle w:val="Normal12Hanging"/>
        <w:rPr>
          <w:szCs w:val="24"/>
        </w:rPr>
      </w:pPr>
      <w:r w:rsidRPr="00DD76C8">
        <w:t>49.</w:t>
      </w:r>
      <w:r w:rsidRPr="00DD76C8">
        <w:tab/>
        <w:t>smatra da su usluge usmenog i pismenog prevođenja nužne za funkcioniranje Parlamenta te potvrđuje kvalitetu dodane vrijednosti usluga koje pružaju usmeni prevoditelji; ponavlja stajalište Parlamenta izneseno u spomenutoj rezoluciji od 14. travnja 2016. da bi glavni tajnik trebao donijeti daljnje prijedloge štednje kao što su češće korištenje usmenih i pismenih prijevoda na zahtjev, posebno za međuklubove Europskog parlamenta, ispitivanje povećane učinkovitosti uporabom najnovijih jezičnih tehnologija kao alata za pomoć usmenim prevoditeljima te procjena učinka revidiranog okvira za usmene prevoditelje u pogledu poboljšane učinkovitosti resursa i produktivnosti;</w:t>
      </w:r>
    </w:p>
    <w:p w:rsidR="00902A6E" w:rsidRPr="00DD76C8" w:rsidRDefault="00902A6E" w:rsidP="00902A6E">
      <w:pPr>
        <w:pStyle w:val="Normal12Hanging"/>
        <w:rPr>
          <w:szCs w:val="24"/>
        </w:rPr>
      </w:pPr>
      <w:r w:rsidRPr="00DD76C8">
        <w:t>50.</w:t>
      </w:r>
      <w:r w:rsidRPr="00DD76C8">
        <w:tab/>
        <w:t xml:space="preserve">pozdravlja nastavak provedbe mjera koje poduzima Parlament u vezi s uvođenjem irskog kao punopravnog službenog jezika do 1. siječnja 2021.; s tim u vezi napominje da 2018. neće biti potrebno otvarati nova radna mjesta; ipak traži od glavnog tajnika da nastavi savjetovanje s irskim zastupnicima radi moguće resursne učinkovitosti, a da se pritom ne ugroze zajamčena prava zastupnika;  </w:t>
      </w:r>
    </w:p>
    <w:p w:rsidR="00902A6E" w:rsidRPr="00DD76C8" w:rsidRDefault="00902A6E" w:rsidP="00902A6E">
      <w:pPr>
        <w:pStyle w:val="Normal12Hanging"/>
        <w:rPr>
          <w:szCs w:val="24"/>
        </w:rPr>
      </w:pPr>
      <w:r w:rsidRPr="00DD76C8">
        <w:t>51.</w:t>
      </w:r>
      <w:r w:rsidRPr="00DD76C8">
        <w:tab/>
        <w:t>apelira na glavnog tajnika da nastavi raditi na postojećim sporazumima o suradnji između Parlamenta, Odbora regija i Europskog gospodarskog i socijalnog odbora, s ciljem utvrđivanja drugih područja u kojima bi se mogle dijeliti administrativne funkcije; nadalje, poziva glavnog tajnika da provede studiju o mogućim sinergijama u administrativnim funkcijama i uslugama između Parlamenta, Komisije i Vijeća;</w:t>
      </w:r>
    </w:p>
    <w:p w:rsidR="00902A6E" w:rsidRPr="00DD76C8" w:rsidRDefault="00902A6E" w:rsidP="00902A6E">
      <w:pPr>
        <w:pStyle w:val="Normal12Hanging"/>
        <w:rPr>
          <w:b/>
          <w:i/>
        </w:rPr>
      </w:pPr>
      <w:r w:rsidRPr="00DD76C8">
        <w:rPr>
          <w:b/>
          <w:i/>
        </w:rPr>
        <w:t>Europske političke stranke i političke zaklade</w:t>
      </w:r>
    </w:p>
    <w:p w:rsidR="00902A6E" w:rsidRPr="00DD76C8" w:rsidRDefault="00902A6E" w:rsidP="00902A6E">
      <w:pPr>
        <w:pStyle w:val="Normal12Hanging"/>
        <w:rPr>
          <w:bCs/>
          <w:iCs/>
          <w:szCs w:val="24"/>
        </w:rPr>
      </w:pPr>
      <w:r w:rsidRPr="00DD76C8">
        <w:t>52.</w:t>
      </w:r>
      <w:r w:rsidRPr="00DD76C8">
        <w:tab/>
        <w:t xml:space="preserve">podsjeća da europske političke stranke i zaklade imaju ključnu ulogu u povećanju europske političke svijesti i razumijevanja građana o vezi između političkih procesa na nacionalnoj i europskoj razini; </w:t>
      </w:r>
    </w:p>
    <w:p w:rsidR="00902A6E" w:rsidRPr="00DD76C8" w:rsidRDefault="00902A6E" w:rsidP="00902A6E">
      <w:pPr>
        <w:pStyle w:val="Normal12Hanging"/>
      </w:pPr>
      <w:r w:rsidRPr="00DD76C8">
        <w:t>53.</w:t>
      </w:r>
      <w:r w:rsidRPr="00DD76C8">
        <w:tab/>
        <w:t>smatra da su nedavne kontroverze u vezi s financiranjem nekih europskih političkih stranaka i nekih političkih zaklada razotkrile slabosti postojećih sustava upravljanja i kontrole;</w:t>
      </w:r>
    </w:p>
    <w:p w:rsidR="00902A6E" w:rsidRPr="00DD76C8" w:rsidRDefault="00902A6E" w:rsidP="00902A6E">
      <w:pPr>
        <w:pStyle w:val="Normal12Hanging"/>
      </w:pPr>
      <w:r w:rsidRPr="00DD76C8">
        <w:t>54.</w:t>
      </w:r>
      <w:r w:rsidRPr="00DD76C8">
        <w:tab/>
        <w:t>smatra da će se stupanjem na snagu Uredbi (EU) br. 1141/2014</w:t>
      </w:r>
      <w:r w:rsidRPr="00DD76C8">
        <w:rPr>
          <w:rStyle w:val="FootnoteReference"/>
        </w:rPr>
        <w:footnoteReference w:id="16"/>
      </w:r>
      <w:r w:rsidRPr="00DD76C8">
        <w:t xml:space="preserve"> i (EU) br. 1142/2014</w:t>
      </w:r>
      <w:r w:rsidRPr="00DD76C8">
        <w:rPr>
          <w:rStyle w:val="FootnoteReference"/>
        </w:rPr>
        <w:footnoteReference w:id="17"/>
      </w:r>
      <w:r w:rsidRPr="00DD76C8">
        <w:t xml:space="preserve"> pružiti dodatni mehanizmi nadzora, poput zahtjeva za registraciju pri Tijelu za europske političke stranke i političke zaklade; smatra, međutim, da još ima prostora za poboljšanje tih mjera; prima na znanje da će stranke i zaklade zatražiti financiranje u okviru novih pravila u proračunskoj godini 2018.;</w:t>
      </w:r>
    </w:p>
    <w:p w:rsidR="00902A6E" w:rsidRPr="00DD76C8" w:rsidRDefault="00902A6E" w:rsidP="00902A6E">
      <w:pPr>
        <w:pStyle w:val="Normal12Hanging"/>
        <w:rPr>
          <w:szCs w:val="24"/>
        </w:rPr>
      </w:pPr>
      <w:r w:rsidRPr="00DD76C8">
        <w:t>55.</w:t>
      </w:r>
      <w:r w:rsidRPr="00DD76C8">
        <w:tab/>
        <w:t>naglašava da je utvrđen niz problema u okviru sadašnjeg sustava sufinanciranja, u kojem doprinosi i bespovratna sredstva iz proračuna Parlamenta za stranke i zaklade ne smiju premašiti 85 % dostupnih rashoda, dok preostalih 15 % treba podmiriti vlastitim sredstvima; primjećuje, na primjer, da se manjak iz članarina i donacija često nadoknađuje donacijama u naravi;</w:t>
      </w:r>
    </w:p>
    <w:p w:rsidR="00902A6E" w:rsidRPr="00DD76C8" w:rsidRDefault="00902A6E" w:rsidP="00902A6E">
      <w:pPr>
        <w:pStyle w:val="Normal12Hanging"/>
        <w:rPr>
          <w:b/>
          <w:i/>
        </w:rPr>
      </w:pPr>
      <w:r w:rsidRPr="00DD76C8">
        <w:rPr>
          <w:b/>
          <w:i/>
        </w:rPr>
        <w:t xml:space="preserve">Ostala pitanja </w:t>
      </w:r>
    </w:p>
    <w:p w:rsidR="00902A6E" w:rsidRPr="00DD76C8" w:rsidRDefault="00902A6E" w:rsidP="00902A6E">
      <w:pPr>
        <w:pStyle w:val="Normal12Hanging"/>
      </w:pPr>
      <w:r w:rsidRPr="00DD76C8">
        <w:t>56.</w:t>
      </w:r>
      <w:r w:rsidRPr="00DD76C8">
        <w:tab/>
        <w:t>prima na znanje trajni dijalog između Europskog parlamenta i nacionalnih parlamenata; poziva na njegovo jačanje u cilju razvoja boljeg razumijevanja doprinosa Europskog parlamenta i Unije u državama članicama;</w:t>
      </w:r>
    </w:p>
    <w:p w:rsidR="00902A6E" w:rsidRPr="00DD76C8" w:rsidRDefault="00902A6E" w:rsidP="00902A6E">
      <w:pPr>
        <w:pStyle w:val="Normal12Hanging"/>
        <w:rPr>
          <w:szCs w:val="24"/>
        </w:rPr>
      </w:pPr>
      <w:r w:rsidRPr="00DD76C8">
        <w:t>57.</w:t>
      </w:r>
      <w:r w:rsidRPr="00DD76C8">
        <w:tab/>
        <w:t>prima na znanje zahtjev za vanjske studije i mišljenja kako bi se podržao rad odbora i drugih političkih tijela u kojima se analiziraju moguće posljedice Brexita, uključujući proračunske posljedice za Parlament; dovodi u pitanje nužnost provođenja vanjskih studija i ispitivanja mišljenja kada u Parlamentu postoje razne istraživačke službe; naglašava da do kraja pregovora za izlazak iz Unije Ujedinjena Kraljevina ostaje punopravna članica Unije i da su sva prava i obveza koje proizlaze iz članstva i dalje na snazi; stoga naglašava da odluka Ujedinjene Kraljevine o izlasku iz Unije vjerojatno neće imati utjecaj na proračun Parlamenta za 2018.;</w:t>
      </w:r>
    </w:p>
    <w:p w:rsidR="00902A6E" w:rsidRPr="00DD76C8" w:rsidRDefault="00902A6E" w:rsidP="00902A6E">
      <w:pPr>
        <w:pStyle w:val="Normal12Hanging"/>
      </w:pPr>
      <w:r w:rsidRPr="00DD76C8">
        <w:t>58.</w:t>
      </w:r>
      <w:r w:rsidRPr="00DD76C8">
        <w:tab/>
        <w:t>podsjeća na Rezoluciju Parlamenta od 20. studenog 2013. o utvrđivanju sjedišta institucija Europske unije</w:t>
      </w:r>
      <w:r w:rsidRPr="00DD76C8">
        <w:rPr>
          <w:rStyle w:val="FootnoteReference"/>
        </w:rPr>
        <w:footnoteReference w:id="18"/>
      </w:r>
      <w:r w:rsidRPr="00DD76C8">
        <w:t xml:space="preserve"> u kojoj je procijenjeno da troškovi geografske raspršenosti Parlamenta iznose između 156 milijuna EUR i 204 milijuna EUR, što je jednako 10 % proračuna Parlamenta; naglašava da je procijenjeni utjecaj na okoliš te geografske raspršenosti između 11 000 i 19 000 tona emisija CO2; ističe da javnost disperziju percipira negativno i stoga ponavlja svoj poziv da se izradi plan za jedno mjesto rada Parlamenta;</w:t>
      </w:r>
    </w:p>
    <w:p w:rsidR="00902A6E" w:rsidRPr="00DD76C8" w:rsidRDefault="00902A6E" w:rsidP="00902A6E">
      <w:pPr>
        <w:pStyle w:val="Normal12Hanging"/>
        <w:rPr>
          <w:szCs w:val="24"/>
        </w:rPr>
      </w:pPr>
      <w:r w:rsidRPr="00DD76C8">
        <w:t>59.</w:t>
      </w:r>
      <w:r w:rsidRPr="00DD76C8">
        <w:tab/>
        <w:t>podsjeća na Rezoluciju Parlamenta od 14. travnja 2016.</w:t>
      </w:r>
      <w:r w:rsidRPr="00DD76C8">
        <w:rPr>
          <w:vertAlign w:val="superscript"/>
        </w:rPr>
        <w:footnoteReference w:id="19"/>
      </w:r>
      <w:r w:rsidRPr="00DD76C8">
        <w:t xml:space="preserve"> o procjeni prihoda i rashoda Europskog parlamenta za financijsku godinu 2017.; traži provedbu suradnje s televizijskim postajama, društvenim medijima i drugim partnerima radi stvaranja europskog medijskog središta za osposobljavanje mladih novinara;</w:t>
      </w:r>
    </w:p>
    <w:p w:rsidR="00902A6E" w:rsidRPr="00DD76C8" w:rsidRDefault="00902A6E" w:rsidP="00902A6E">
      <w:pPr>
        <w:pStyle w:val="Normal12Hanging"/>
        <w:rPr>
          <w:szCs w:val="24"/>
        </w:rPr>
      </w:pPr>
      <w:r w:rsidRPr="00DD76C8">
        <w:t>60.</w:t>
      </w:r>
      <w:r w:rsidRPr="00DD76C8">
        <w:tab/>
        <w:t>poziva glavnog tajnika i Predsjedništvo da u cijeloj upravi Parlamenta uvedu izradu proračuna na temelju uspješnosti, uz racionalno upravljanje, kako bi se povećala učinkovitost i kvaliteta unutarnjeg rada institucije;</w:t>
      </w:r>
    </w:p>
    <w:p w:rsidR="00902A6E" w:rsidRPr="00DD76C8" w:rsidRDefault="00902A6E" w:rsidP="00902A6E">
      <w:pPr>
        <w:pStyle w:val="Normal12Hanging"/>
        <w:jc w:val="center"/>
      </w:pPr>
      <w:r w:rsidRPr="00DD76C8">
        <w:t>o</w:t>
      </w:r>
    </w:p>
    <w:p w:rsidR="00902A6E" w:rsidRPr="00DD76C8" w:rsidRDefault="00902A6E" w:rsidP="00902A6E">
      <w:pPr>
        <w:pStyle w:val="Normal12Hanging"/>
        <w:jc w:val="center"/>
      </w:pPr>
      <w:r w:rsidRPr="00DD76C8">
        <w:t>o</w:t>
      </w:r>
      <w:r w:rsidRPr="00DD76C8">
        <w:tab/>
        <w:t>o</w:t>
      </w:r>
    </w:p>
    <w:p w:rsidR="00902A6E" w:rsidRPr="00DD76C8" w:rsidRDefault="00902A6E" w:rsidP="00902A6E">
      <w:pPr>
        <w:pStyle w:val="Normal12Hanging"/>
      </w:pPr>
      <w:r w:rsidRPr="00DD76C8">
        <w:t>61.</w:t>
      </w:r>
      <w:r w:rsidRPr="00DD76C8">
        <w:tab/>
        <w:t>prihvaća projekciju proračuna za financijsku godinu 2018.;</w:t>
      </w:r>
    </w:p>
    <w:p w:rsidR="00902A6E" w:rsidRPr="00DD76C8" w:rsidRDefault="00902A6E" w:rsidP="00902A6E">
      <w:pPr>
        <w:pStyle w:val="Normal12Hanging"/>
      </w:pPr>
      <w:r w:rsidRPr="00DD76C8">
        <w:t>62.</w:t>
      </w:r>
      <w:r w:rsidRPr="00DD76C8">
        <w:tab/>
        <w:t>nalaže svojem predsjedniku da ovu Rezoluciju i projekciju proračuna proslijedi Vijeću i Komisiji.</w:t>
      </w:r>
    </w:p>
    <w:p w:rsidR="00082E33" w:rsidRPr="00DD76C8" w:rsidRDefault="00902A6E" w:rsidP="00902A6E">
      <w:r w:rsidRPr="00DD76C8">
        <w:br w:type="page"/>
      </w:r>
    </w:p>
    <w:p w:rsidR="00082E33" w:rsidRPr="00DD76C8" w:rsidRDefault="00082E33" w:rsidP="00902A6E">
      <w:pPr>
        <w:jc w:val="center"/>
        <w:rPr>
          <w:rFonts w:ascii="Arial" w:hAnsi="Arial"/>
          <w:b/>
        </w:rPr>
      </w:pPr>
      <w:r w:rsidRPr="00DD76C8">
        <w:rPr>
          <w:rFonts w:ascii="Arial" w:hAnsi="Arial"/>
          <w:b/>
        </w:rPr>
        <w:t>PRILOG: NACRT PROJEKCIJE PRORAČUNA</w:t>
      </w:r>
    </w:p>
    <w:p w:rsidR="00902A6E" w:rsidRPr="00DD76C8" w:rsidRDefault="00902A6E" w:rsidP="00902A6E">
      <w:pPr>
        <w:jc w:val="center"/>
        <w:rPr>
          <w:rFonts w:ascii="Arial" w:hAnsi="Arial"/>
          <w:b/>
        </w:rPr>
      </w:pPr>
    </w:p>
    <w:p w:rsidR="00902A6E" w:rsidRPr="00DD76C8" w:rsidRDefault="00902A6E" w:rsidP="00902A6E">
      <w:pPr>
        <w:jc w:val="center"/>
        <w:rPr>
          <w:rFonts w:ascii="Arial" w:hAnsi="Arial"/>
          <w:b/>
        </w:rPr>
      </w:pPr>
    </w:p>
    <w:p w:rsidR="00902A6E" w:rsidRPr="00DD76C8" w:rsidRDefault="00902A6E" w:rsidP="00902A6E">
      <w:pPr>
        <w:jc w:val="center"/>
        <w:rPr>
          <w:rFonts w:ascii="Arial" w:hAnsi="Arial" w:cs="Arial"/>
          <w:b/>
        </w:rPr>
      </w:pPr>
    </w:p>
    <w:p w:rsidR="002D1DA9" w:rsidRPr="00DD76C8" w:rsidRDefault="002D1DA9" w:rsidP="002D1DA9">
      <w:pPr>
        <w:widowControl/>
        <w:ind w:left="-360"/>
        <w:jc w:val="both"/>
        <w:rPr>
          <w:rFonts w:ascii="Arial" w:hAnsi="Arial" w:cs="Arial"/>
          <w:bCs/>
          <w:kern w:val="32"/>
          <w:szCs w:val="24"/>
        </w:rPr>
      </w:pPr>
    </w:p>
    <w:p w:rsidR="002D1DA9" w:rsidRPr="00DD76C8" w:rsidRDefault="002D1DA9" w:rsidP="002D1DA9">
      <w:pPr>
        <w:widowControl/>
        <w:jc w:val="both"/>
        <w:rPr>
          <w:rFonts w:ascii="Arial" w:hAnsi="Arial" w:cs="Arial"/>
          <w:bCs/>
          <w:kern w:val="32"/>
          <w:szCs w:val="24"/>
        </w:rPr>
      </w:pPr>
    </w:p>
    <w:p w:rsidR="002D1DA9" w:rsidRPr="00DD76C8" w:rsidRDefault="002D1DA9" w:rsidP="002D1DA9">
      <w:pPr>
        <w:widowControl/>
        <w:jc w:val="both"/>
        <w:rPr>
          <w:rFonts w:ascii="Arial" w:hAnsi="Arial" w:cs="Arial"/>
          <w:bCs/>
          <w:kern w:val="32"/>
          <w:szCs w:val="24"/>
        </w:rPr>
      </w:pPr>
    </w:p>
    <w:tbl>
      <w:tblPr>
        <w:tblW w:w="4680" w:type="dxa"/>
        <w:tblInd w:w="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tblGrid>
      <w:tr w:rsidR="002D1DA9" w:rsidRPr="00DD76C8" w:rsidTr="002D1DA9">
        <w:tc>
          <w:tcPr>
            <w:tcW w:w="4680" w:type="dxa"/>
            <w:tcBorders>
              <w:top w:val="single" w:sz="4" w:space="0" w:color="auto"/>
              <w:left w:val="single" w:sz="4" w:space="0" w:color="auto"/>
              <w:bottom w:val="single" w:sz="4" w:space="0" w:color="auto"/>
              <w:right w:val="single" w:sz="4" w:space="0" w:color="auto"/>
            </w:tcBorders>
            <w:shd w:val="clear" w:color="auto" w:fill="CCECFF"/>
            <w:vAlign w:val="center"/>
          </w:tcPr>
          <w:p w:rsidR="002D1DA9" w:rsidRPr="00DD76C8" w:rsidRDefault="002D1DA9" w:rsidP="002D1DA9">
            <w:pPr>
              <w:widowControl/>
              <w:jc w:val="center"/>
              <w:rPr>
                <w:rFonts w:ascii="Arial Narrow" w:hAnsi="Arial Narrow" w:cs="Arial"/>
                <w:bCs/>
                <w:kern w:val="32"/>
                <w:szCs w:val="24"/>
              </w:rPr>
            </w:pPr>
          </w:p>
          <w:p w:rsidR="00E54DD6" w:rsidRPr="00DD76C8" w:rsidRDefault="00E54DD6" w:rsidP="00E54DD6">
            <w:pPr>
              <w:jc w:val="center"/>
              <w:rPr>
                <w:b/>
              </w:rPr>
            </w:pPr>
            <w:r w:rsidRPr="00DD76C8">
              <w:rPr>
                <w:b/>
              </w:rPr>
              <w:t>NACRT PROJEKCIJE PRORAČUNA EUROPSKOG PARLAMENTA ZA FINANCIJSKU GODINU 2018.</w:t>
            </w:r>
          </w:p>
          <w:p w:rsidR="00E54DD6" w:rsidRPr="00DD76C8" w:rsidRDefault="00E54DD6" w:rsidP="00E54DD6">
            <w:pPr>
              <w:jc w:val="center"/>
            </w:pPr>
          </w:p>
          <w:p w:rsidR="00E54DD6" w:rsidRPr="00DD76C8" w:rsidRDefault="00E54DD6" w:rsidP="00E54DD6">
            <w:pPr>
              <w:pStyle w:val="NormalWeb"/>
              <w:spacing w:before="0" w:beforeAutospacing="0" w:after="0" w:afterAutospacing="0"/>
              <w:jc w:val="center"/>
              <w:rPr>
                <w:rFonts w:ascii="inherit" w:hAnsi="inherit" w:cs="Arial"/>
              </w:rPr>
            </w:pPr>
            <w:r w:rsidRPr="00DD76C8">
              <w:rPr>
                <w:rFonts w:ascii="inherit" w:hAnsi="inherit"/>
              </w:rPr>
              <w:t>KAKO GA JE UTVRDIO ODBOR ZA PRORAČUNE NA SASTANKU ODRŽANOM</w:t>
            </w:r>
          </w:p>
          <w:p w:rsidR="00E54DD6" w:rsidRPr="00DD76C8" w:rsidRDefault="00E54DD6" w:rsidP="00E54DD6">
            <w:pPr>
              <w:jc w:val="center"/>
            </w:pPr>
          </w:p>
          <w:p w:rsidR="00E54DD6" w:rsidRPr="00DD76C8" w:rsidRDefault="00E54DD6" w:rsidP="00E54DD6">
            <w:pPr>
              <w:jc w:val="center"/>
              <w:rPr>
                <w:b/>
              </w:rPr>
            </w:pPr>
            <w:r w:rsidRPr="00DD76C8">
              <w:rPr>
                <w:b/>
              </w:rPr>
              <w:t>3. travnja 2017.</w:t>
            </w:r>
          </w:p>
          <w:p w:rsidR="002D1DA9" w:rsidRPr="00DD76C8" w:rsidRDefault="002D1DA9" w:rsidP="002D1DA9">
            <w:pPr>
              <w:widowControl/>
              <w:jc w:val="center"/>
              <w:rPr>
                <w:rFonts w:ascii="Arial Narrow" w:hAnsi="Arial Narrow" w:cs="Arial"/>
                <w:bCs/>
                <w:kern w:val="32"/>
                <w:szCs w:val="24"/>
              </w:rPr>
            </w:pPr>
          </w:p>
        </w:tc>
      </w:tr>
    </w:tbl>
    <w:p w:rsidR="002D1DA9" w:rsidRPr="00DD76C8" w:rsidRDefault="002D1DA9" w:rsidP="002D1DA9">
      <w:pPr>
        <w:widowControl/>
        <w:jc w:val="both"/>
        <w:rPr>
          <w:rFonts w:cs="Arial"/>
          <w:bCs/>
          <w:kern w:val="32"/>
          <w:szCs w:val="24"/>
        </w:rPr>
      </w:pPr>
    </w:p>
    <w:p w:rsidR="002D1DA9" w:rsidRPr="00DD76C8" w:rsidRDefault="002D1DA9" w:rsidP="002D1DA9">
      <w:pPr>
        <w:widowControl/>
        <w:jc w:val="both"/>
        <w:rPr>
          <w:rFonts w:cs="Arial"/>
          <w:bCs/>
          <w:kern w:val="32"/>
          <w:szCs w:val="24"/>
        </w:rPr>
      </w:pPr>
    </w:p>
    <w:p w:rsidR="002D1DA9" w:rsidRPr="00DD76C8" w:rsidRDefault="002D1DA9" w:rsidP="002D1DA9">
      <w:pPr>
        <w:widowControl/>
        <w:jc w:val="both"/>
        <w:rPr>
          <w:rFonts w:cs="Arial"/>
          <w:bCs/>
          <w:kern w:val="32"/>
          <w:szCs w:val="24"/>
        </w:rPr>
      </w:pPr>
    </w:p>
    <w:p w:rsidR="002D1DA9" w:rsidRPr="00DD76C8" w:rsidRDefault="002D1DA9" w:rsidP="002D1DA9">
      <w:pPr>
        <w:widowControl/>
        <w:jc w:val="both"/>
        <w:rPr>
          <w:rFonts w:cs="Arial"/>
          <w:bCs/>
          <w:kern w:val="32"/>
          <w:szCs w:val="24"/>
        </w:rPr>
      </w:pPr>
    </w:p>
    <w:p w:rsidR="002D1DA9" w:rsidRPr="00DD76C8" w:rsidRDefault="002D1DA9" w:rsidP="002D1DA9">
      <w:pPr>
        <w:widowControl/>
        <w:jc w:val="both"/>
        <w:rPr>
          <w:rFonts w:cs="Arial"/>
          <w:bCs/>
          <w:kern w:val="32"/>
          <w:szCs w:val="24"/>
        </w:rPr>
      </w:pPr>
    </w:p>
    <w:p w:rsidR="002D1DA9" w:rsidRPr="00DD76C8" w:rsidRDefault="002D1DA9" w:rsidP="002D1DA9">
      <w:pPr>
        <w:widowControl/>
        <w:jc w:val="both"/>
        <w:rPr>
          <w:rFonts w:cs="Arial"/>
          <w:bCs/>
          <w:kern w:val="32"/>
          <w:szCs w:val="24"/>
        </w:rPr>
      </w:pPr>
    </w:p>
    <w:p w:rsidR="002D1DA9" w:rsidRPr="00DD76C8" w:rsidRDefault="002D1DA9" w:rsidP="002D1DA9">
      <w:pPr>
        <w:widowControl/>
        <w:jc w:val="both"/>
        <w:rPr>
          <w:rFonts w:cs="Arial"/>
          <w:bCs/>
          <w:kern w:val="32"/>
          <w:szCs w:val="24"/>
        </w:rPr>
      </w:pPr>
    </w:p>
    <w:p w:rsidR="002D1DA9" w:rsidRPr="00DD76C8" w:rsidRDefault="002D1DA9" w:rsidP="002D1DA9">
      <w:pPr>
        <w:widowControl/>
        <w:jc w:val="both"/>
        <w:rPr>
          <w:rFonts w:cs="Arial"/>
          <w:bCs/>
          <w:kern w:val="32"/>
          <w:szCs w:val="24"/>
        </w:rPr>
      </w:pPr>
    </w:p>
    <w:p w:rsidR="002D1DA9" w:rsidRPr="00DD76C8" w:rsidRDefault="002D1DA9" w:rsidP="002D1DA9">
      <w:pPr>
        <w:widowControl/>
        <w:jc w:val="both"/>
        <w:rPr>
          <w:rFonts w:cs="Arial"/>
          <w:bCs/>
          <w:kern w:val="32"/>
          <w:szCs w:val="24"/>
        </w:rPr>
      </w:pPr>
    </w:p>
    <w:p w:rsidR="002D1DA9" w:rsidRPr="00DD76C8" w:rsidRDefault="002D1DA9" w:rsidP="002D1DA9">
      <w:pPr>
        <w:widowControl/>
        <w:jc w:val="both"/>
        <w:rPr>
          <w:rFonts w:cs="Arial"/>
          <w:bCs/>
          <w:kern w:val="32"/>
          <w:szCs w:val="24"/>
        </w:rPr>
      </w:pPr>
    </w:p>
    <w:p w:rsidR="002D1DA9" w:rsidRPr="00DD76C8" w:rsidRDefault="002D1DA9" w:rsidP="002D1DA9">
      <w:pPr>
        <w:widowControl/>
        <w:jc w:val="both"/>
        <w:rPr>
          <w:rFonts w:cs="Arial"/>
          <w:bCs/>
          <w:kern w:val="32"/>
          <w:szCs w:val="24"/>
        </w:rPr>
      </w:pPr>
    </w:p>
    <w:p w:rsidR="002D1DA9" w:rsidRPr="00DD76C8" w:rsidRDefault="002D1DA9" w:rsidP="002D1DA9">
      <w:pPr>
        <w:widowControl/>
        <w:pBdr>
          <w:top w:val="single" w:sz="12" w:space="1" w:color="auto"/>
          <w:bottom w:val="single" w:sz="12" w:space="1" w:color="auto"/>
        </w:pBdr>
        <w:jc w:val="center"/>
        <w:rPr>
          <w:rFonts w:ascii="Arial Black" w:hAnsi="Arial Black" w:cs="Arial"/>
          <w:bCs/>
          <w:color w:val="0000FF"/>
          <w:kern w:val="32"/>
          <w:sz w:val="32"/>
          <w:szCs w:val="32"/>
        </w:rPr>
      </w:pPr>
    </w:p>
    <w:p w:rsidR="002D1DA9" w:rsidRPr="00DD76C8" w:rsidRDefault="002D1DA9" w:rsidP="002D1DA9">
      <w:pPr>
        <w:widowControl/>
        <w:pBdr>
          <w:top w:val="single" w:sz="12" w:space="1" w:color="auto"/>
          <w:bottom w:val="single" w:sz="12" w:space="1" w:color="auto"/>
        </w:pBdr>
        <w:jc w:val="center"/>
        <w:rPr>
          <w:rFonts w:ascii="Arial Black" w:hAnsi="Arial Black" w:cs="Arial"/>
          <w:bCs/>
          <w:color w:val="0000FF"/>
          <w:kern w:val="32"/>
          <w:sz w:val="32"/>
          <w:szCs w:val="32"/>
        </w:rPr>
      </w:pPr>
    </w:p>
    <w:p w:rsidR="00E54DD6" w:rsidRPr="00DD76C8" w:rsidRDefault="00E54DD6" w:rsidP="00E54DD6">
      <w:pPr>
        <w:pBdr>
          <w:top w:val="single" w:sz="12" w:space="1" w:color="auto"/>
          <w:bottom w:val="single" w:sz="12" w:space="1" w:color="auto"/>
        </w:pBdr>
        <w:jc w:val="center"/>
        <w:rPr>
          <w:b/>
          <w:color w:val="0000FF"/>
          <w:sz w:val="32"/>
          <w:szCs w:val="32"/>
        </w:rPr>
      </w:pPr>
      <w:r w:rsidRPr="00DD76C8">
        <w:rPr>
          <w:b/>
          <w:color w:val="0000FF"/>
          <w:sz w:val="32"/>
        </w:rPr>
        <w:t>NACRT PROJEKCIJE PRORAČUNA</w:t>
      </w:r>
    </w:p>
    <w:p w:rsidR="00E54DD6" w:rsidRPr="00DD76C8" w:rsidRDefault="00E54DD6" w:rsidP="00E54DD6">
      <w:pPr>
        <w:pBdr>
          <w:top w:val="single" w:sz="12" w:space="1" w:color="auto"/>
          <w:bottom w:val="single" w:sz="12" w:space="1" w:color="auto"/>
        </w:pBdr>
        <w:jc w:val="center"/>
        <w:rPr>
          <w:b/>
          <w:color w:val="0000FF"/>
          <w:sz w:val="32"/>
          <w:szCs w:val="32"/>
        </w:rPr>
      </w:pPr>
      <w:r w:rsidRPr="00DD76C8">
        <w:rPr>
          <w:b/>
          <w:color w:val="0000FF"/>
          <w:sz w:val="32"/>
        </w:rPr>
        <w:t>2018.</w:t>
      </w:r>
    </w:p>
    <w:p w:rsidR="002D1DA9" w:rsidRPr="00DD76C8" w:rsidRDefault="002D1DA9" w:rsidP="002D1DA9">
      <w:pPr>
        <w:widowControl/>
        <w:pBdr>
          <w:top w:val="single" w:sz="12" w:space="1" w:color="auto"/>
          <w:bottom w:val="single" w:sz="12" w:space="1" w:color="auto"/>
        </w:pBdr>
        <w:jc w:val="center"/>
        <w:rPr>
          <w:bCs/>
          <w:color w:val="0000FF"/>
          <w:kern w:val="32"/>
          <w:sz w:val="32"/>
          <w:szCs w:val="32"/>
        </w:rPr>
      </w:pPr>
    </w:p>
    <w:p w:rsidR="002D1DA9" w:rsidRPr="00DD76C8" w:rsidRDefault="002D1DA9" w:rsidP="002D1DA9">
      <w:pPr>
        <w:widowControl/>
        <w:pBdr>
          <w:top w:val="single" w:sz="12" w:space="1" w:color="auto"/>
          <w:bottom w:val="single" w:sz="12" w:space="1" w:color="auto"/>
        </w:pBdr>
        <w:jc w:val="center"/>
        <w:rPr>
          <w:rFonts w:cs="Arial"/>
          <w:bCs/>
          <w:color w:val="0000FF"/>
          <w:kern w:val="32"/>
          <w:sz w:val="32"/>
          <w:szCs w:val="32"/>
        </w:rPr>
      </w:pPr>
    </w:p>
    <w:p w:rsidR="002D1DA9" w:rsidRPr="00DD76C8" w:rsidRDefault="002D1DA9" w:rsidP="002D1DA9">
      <w:pPr>
        <w:widowControl/>
        <w:jc w:val="both"/>
        <w:rPr>
          <w:rFonts w:cs="Arial"/>
          <w:bCs/>
          <w:kern w:val="32"/>
          <w:szCs w:val="24"/>
        </w:rPr>
      </w:pPr>
    </w:p>
    <w:p w:rsidR="002D1DA9" w:rsidRPr="00DD76C8" w:rsidRDefault="002D1DA9" w:rsidP="002D1DA9">
      <w:pPr>
        <w:widowControl/>
        <w:jc w:val="both"/>
        <w:rPr>
          <w:rFonts w:cs="Arial"/>
          <w:bCs/>
          <w:kern w:val="32"/>
          <w:szCs w:val="24"/>
        </w:rPr>
      </w:pPr>
    </w:p>
    <w:p w:rsidR="002D1DA9" w:rsidRPr="00DD76C8" w:rsidRDefault="002D1DA9" w:rsidP="002D1DA9">
      <w:pPr>
        <w:widowControl/>
        <w:jc w:val="both"/>
        <w:rPr>
          <w:rFonts w:cs="Arial"/>
          <w:bCs/>
          <w:kern w:val="32"/>
          <w:szCs w:val="24"/>
        </w:rPr>
      </w:pPr>
    </w:p>
    <w:p w:rsidR="002D1DA9" w:rsidRPr="00DD76C8" w:rsidRDefault="002D1DA9" w:rsidP="002D1DA9">
      <w:pPr>
        <w:widowControl/>
        <w:jc w:val="both"/>
        <w:rPr>
          <w:rFonts w:cs="Arial"/>
          <w:bCs/>
          <w:kern w:val="32"/>
          <w:szCs w:val="24"/>
        </w:rPr>
      </w:pPr>
    </w:p>
    <w:p w:rsidR="002D1DA9" w:rsidRPr="00DD76C8" w:rsidRDefault="002D1DA9" w:rsidP="002D1DA9">
      <w:pPr>
        <w:widowControl/>
        <w:jc w:val="both"/>
        <w:rPr>
          <w:rFonts w:cs="Arial"/>
          <w:bCs/>
          <w:kern w:val="32"/>
          <w:szCs w:val="24"/>
        </w:rPr>
      </w:pPr>
    </w:p>
    <w:p w:rsidR="002D1DA9" w:rsidRPr="00DD76C8" w:rsidRDefault="002D1DA9" w:rsidP="002D1DA9">
      <w:pPr>
        <w:widowControl/>
        <w:jc w:val="both"/>
        <w:rPr>
          <w:rFonts w:cs="Arial"/>
          <w:bCs/>
          <w:kern w:val="32"/>
          <w:szCs w:val="24"/>
        </w:rPr>
      </w:pPr>
    </w:p>
    <w:p w:rsidR="002D1DA9" w:rsidRPr="00DD76C8" w:rsidRDefault="002D1DA9" w:rsidP="002D1DA9">
      <w:pPr>
        <w:widowControl/>
        <w:jc w:val="both"/>
        <w:rPr>
          <w:rFonts w:cs="Arial"/>
          <w:bCs/>
          <w:kern w:val="32"/>
          <w:szCs w:val="24"/>
        </w:rPr>
      </w:pPr>
    </w:p>
    <w:p w:rsidR="002D1DA9" w:rsidRPr="00DD76C8" w:rsidRDefault="002D1DA9" w:rsidP="002D1DA9">
      <w:pPr>
        <w:widowControl/>
        <w:jc w:val="both"/>
        <w:rPr>
          <w:rFonts w:cs="Arial"/>
          <w:bCs/>
          <w:kern w:val="32"/>
          <w:szCs w:val="24"/>
        </w:rPr>
      </w:pPr>
    </w:p>
    <w:p w:rsidR="002D1DA9" w:rsidRPr="00DD76C8" w:rsidRDefault="002D1DA9" w:rsidP="002D1DA9">
      <w:pPr>
        <w:widowControl/>
        <w:jc w:val="both"/>
        <w:rPr>
          <w:rFonts w:cs="Arial"/>
          <w:bCs/>
          <w:kern w:val="32"/>
          <w:szCs w:val="24"/>
        </w:rPr>
      </w:pPr>
    </w:p>
    <w:p w:rsidR="002D1DA9" w:rsidRPr="00DD76C8" w:rsidRDefault="002D1DA9" w:rsidP="002D1DA9">
      <w:pPr>
        <w:widowControl/>
        <w:jc w:val="both"/>
        <w:rPr>
          <w:rFonts w:cs="Arial"/>
          <w:bCs/>
          <w:kern w:val="32"/>
          <w:szCs w:val="24"/>
        </w:rPr>
      </w:pPr>
    </w:p>
    <w:p w:rsidR="002D1DA9" w:rsidRPr="00DD76C8" w:rsidRDefault="002D1DA9" w:rsidP="002D1DA9">
      <w:pPr>
        <w:widowControl/>
        <w:jc w:val="both"/>
        <w:rPr>
          <w:rFonts w:cs="Arial"/>
          <w:bCs/>
          <w:kern w:val="32"/>
          <w:szCs w:val="24"/>
        </w:rPr>
      </w:pPr>
      <w:r w:rsidRPr="00DD76C8">
        <w:br w:type="page"/>
      </w:r>
    </w:p>
    <w:p w:rsidR="002D1DA9" w:rsidRPr="00DD76C8" w:rsidRDefault="002D1DA9" w:rsidP="002D1DA9">
      <w:pPr>
        <w:widowControl/>
        <w:tabs>
          <w:tab w:val="center" w:pos="5519"/>
        </w:tabs>
        <w:jc w:val="center"/>
        <w:rPr>
          <w:rFonts w:cs="Arial"/>
          <w:b/>
          <w:kern w:val="32"/>
          <w:sz w:val="26"/>
          <w:szCs w:val="26"/>
        </w:rPr>
      </w:pPr>
    </w:p>
    <w:p w:rsidR="002D1DA9" w:rsidRPr="00DD76C8" w:rsidRDefault="002D1DA9" w:rsidP="002D1DA9">
      <w:pPr>
        <w:widowControl/>
        <w:tabs>
          <w:tab w:val="center" w:pos="5519"/>
        </w:tabs>
        <w:rPr>
          <w:rFonts w:cs="Arial"/>
          <w:b/>
          <w:kern w:val="32"/>
          <w:sz w:val="26"/>
          <w:szCs w:val="26"/>
        </w:rPr>
      </w:pPr>
    </w:p>
    <w:p w:rsidR="002D1DA9" w:rsidRPr="00DD76C8" w:rsidRDefault="002D1DA9" w:rsidP="002D1DA9">
      <w:pPr>
        <w:widowControl/>
        <w:tabs>
          <w:tab w:val="center" w:pos="5519"/>
        </w:tabs>
        <w:jc w:val="center"/>
        <w:rPr>
          <w:rFonts w:cs="Arial"/>
          <w:b/>
          <w:kern w:val="32"/>
          <w:sz w:val="26"/>
          <w:szCs w:val="26"/>
        </w:rPr>
      </w:pPr>
    </w:p>
    <w:p w:rsidR="002D1DA9" w:rsidRPr="00DD76C8" w:rsidRDefault="002D1DA9" w:rsidP="002D1DA9">
      <w:pPr>
        <w:widowControl/>
        <w:tabs>
          <w:tab w:val="center" w:pos="5519"/>
        </w:tabs>
        <w:jc w:val="center"/>
        <w:rPr>
          <w:rFonts w:cs="Arial"/>
          <w:b/>
          <w:kern w:val="32"/>
          <w:sz w:val="26"/>
          <w:szCs w:val="26"/>
        </w:rPr>
      </w:pPr>
    </w:p>
    <w:p w:rsidR="002D1DA9" w:rsidRPr="00DD76C8" w:rsidRDefault="002D1DA9" w:rsidP="002D1DA9">
      <w:pPr>
        <w:widowControl/>
        <w:tabs>
          <w:tab w:val="center" w:pos="5519"/>
        </w:tabs>
        <w:jc w:val="center"/>
        <w:rPr>
          <w:rFonts w:cs="Arial"/>
          <w:b/>
          <w:kern w:val="32"/>
          <w:sz w:val="26"/>
          <w:szCs w:val="26"/>
        </w:rPr>
      </w:pPr>
    </w:p>
    <w:p w:rsidR="002D1DA9" w:rsidRPr="00DD76C8" w:rsidRDefault="002D1DA9" w:rsidP="002D1DA9">
      <w:pPr>
        <w:widowControl/>
        <w:tabs>
          <w:tab w:val="center" w:pos="5519"/>
        </w:tabs>
        <w:jc w:val="center"/>
        <w:rPr>
          <w:rFonts w:cs="Arial"/>
          <w:b/>
          <w:kern w:val="32"/>
          <w:sz w:val="26"/>
          <w:szCs w:val="26"/>
        </w:rPr>
      </w:pPr>
    </w:p>
    <w:p w:rsidR="002D1DA9" w:rsidRPr="00DD76C8" w:rsidRDefault="002D1DA9" w:rsidP="002D1DA9">
      <w:pPr>
        <w:widowControl/>
        <w:tabs>
          <w:tab w:val="center" w:pos="5519"/>
        </w:tabs>
        <w:jc w:val="center"/>
        <w:rPr>
          <w:rFonts w:cs="Arial"/>
          <w:b/>
          <w:kern w:val="32"/>
          <w:sz w:val="26"/>
          <w:szCs w:val="26"/>
        </w:rPr>
      </w:pPr>
    </w:p>
    <w:p w:rsidR="002D1DA9" w:rsidRPr="00DD76C8" w:rsidRDefault="002D1DA9" w:rsidP="002D1DA9">
      <w:pPr>
        <w:widowControl/>
        <w:jc w:val="both"/>
        <w:rPr>
          <w:rFonts w:ascii="Arial" w:hAnsi="Arial" w:cs="Arial"/>
          <w:b/>
          <w:kern w:val="32"/>
          <w:sz w:val="22"/>
          <w:szCs w:val="22"/>
        </w:rPr>
      </w:pPr>
    </w:p>
    <w:p w:rsidR="002D1DA9" w:rsidRPr="00DD76C8" w:rsidRDefault="002D1DA9" w:rsidP="002D1DA9">
      <w:pPr>
        <w:widowControl/>
        <w:jc w:val="both"/>
        <w:rPr>
          <w:rFonts w:ascii="Arial" w:hAnsi="Arial" w:cs="Arial"/>
          <w:b/>
          <w:kern w:val="32"/>
          <w:sz w:val="22"/>
          <w:szCs w:val="22"/>
        </w:rPr>
      </w:pPr>
    </w:p>
    <w:p w:rsidR="002D1DA9" w:rsidRPr="00DD76C8" w:rsidRDefault="002D1DA9" w:rsidP="002D1DA9">
      <w:pPr>
        <w:widowControl/>
        <w:tabs>
          <w:tab w:val="center" w:pos="5519"/>
        </w:tabs>
        <w:jc w:val="center"/>
        <w:rPr>
          <w:b/>
          <w:kern w:val="32"/>
          <w:sz w:val="22"/>
          <w:szCs w:val="22"/>
        </w:rPr>
      </w:pPr>
      <w:r w:rsidRPr="00DD76C8">
        <w:rPr>
          <w:b/>
          <w:kern w:val="32"/>
          <w:sz w:val="22"/>
        </w:rPr>
        <w:t>Doprinos Europske unije financiranju rashoda</w:t>
      </w:r>
    </w:p>
    <w:p w:rsidR="002D1DA9" w:rsidRPr="00DD76C8" w:rsidRDefault="002D1DA9" w:rsidP="002D1DA9">
      <w:pPr>
        <w:widowControl/>
        <w:jc w:val="center"/>
        <w:rPr>
          <w:b/>
          <w:kern w:val="32"/>
          <w:sz w:val="22"/>
          <w:szCs w:val="22"/>
        </w:rPr>
      </w:pPr>
      <w:r w:rsidRPr="00DD76C8">
        <w:rPr>
          <w:b/>
          <w:kern w:val="32"/>
          <w:sz w:val="22"/>
        </w:rPr>
        <w:t>Europskog parlamenta u financijskoj godini 2018.</w:t>
      </w:r>
    </w:p>
    <w:p w:rsidR="002D1DA9" w:rsidRPr="00DD76C8" w:rsidRDefault="002D1DA9" w:rsidP="002D1DA9">
      <w:pPr>
        <w:widowControl/>
        <w:jc w:val="both"/>
        <w:rPr>
          <w:bCs/>
          <w:kern w:val="32"/>
          <w:sz w:val="22"/>
          <w:szCs w:val="22"/>
        </w:rPr>
      </w:pPr>
    </w:p>
    <w:p w:rsidR="002D1DA9" w:rsidRPr="00DD76C8" w:rsidRDefault="002D1DA9" w:rsidP="002D1DA9">
      <w:pPr>
        <w:widowControl/>
        <w:tabs>
          <w:tab w:val="center" w:pos="5519"/>
        </w:tabs>
        <w:jc w:val="both"/>
        <w:rPr>
          <w:bCs/>
          <w:kern w:val="32"/>
          <w:sz w:val="22"/>
          <w:szCs w:val="22"/>
        </w:rPr>
      </w:pPr>
    </w:p>
    <w:tbl>
      <w:tblPr>
        <w:tblW w:w="0" w:type="auto"/>
        <w:jc w:val="center"/>
        <w:tblLayout w:type="fixed"/>
        <w:tblCellMar>
          <w:left w:w="153" w:type="dxa"/>
          <w:right w:w="153" w:type="dxa"/>
        </w:tblCellMar>
        <w:tblLook w:val="0000" w:firstRow="0" w:lastRow="0" w:firstColumn="0" w:lastColumn="0" w:noHBand="0" w:noVBand="0"/>
      </w:tblPr>
      <w:tblGrid>
        <w:gridCol w:w="5578"/>
        <w:gridCol w:w="2035"/>
      </w:tblGrid>
      <w:tr w:rsidR="002D1DA9" w:rsidRPr="00DD76C8" w:rsidTr="002D1DA9">
        <w:trPr>
          <w:tblHeader/>
          <w:jc w:val="center"/>
        </w:trPr>
        <w:tc>
          <w:tcPr>
            <w:tcW w:w="5578" w:type="dxa"/>
            <w:tcBorders>
              <w:top w:val="single" w:sz="6" w:space="0" w:color="000000"/>
              <w:left w:val="single" w:sz="6" w:space="0" w:color="000000"/>
              <w:bottom w:val="single" w:sz="6" w:space="0" w:color="000000"/>
              <w:right w:val="single" w:sz="6" w:space="0" w:color="FFFFFF"/>
            </w:tcBorders>
          </w:tcPr>
          <w:p w:rsidR="002D1DA9" w:rsidRPr="00DD76C8" w:rsidRDefault="002D1DA9" w:rsidP="002D1DA9">
            <w:pPr>
              <w:widowControl/>
              <w:spacing w:before="240" w:after="240"/>
              <w:jc w:val="center"/>
              <w:rPr>
                <w:bCs/>
                <w:kern w:val="32"/>
                <w:sz w:val="22"/>
                <w:szCs w:val="22"/>
              </w:rPr>
            </w:pPr>
            <w:r w:rsidRPr="00DD76C8">
              <w:rPr>
                <w:kern w:val="32"/>
                <w:sz w:val="22"/>
              </w:rPr>
              <w:t>Naslov</w:t>
            </w:r>
          </w:p>
        </w:tc>
        <w:tc>
          <w:tcPr>
            <w:tcW w:w="2035" w:type="dxa"/>
            <w:tcBorders>
              <w:top w:val="single" w:sz="6" w:space="0" w:color="000000"/>
              <w:left w:val="single" w:sz="6" w:space="0" w:color="000000"/>
              <w:bottom w:val="single" w:sz="6" w:space="0" w:color="000000"/>
              <w:right w:val="single" w:sz="6" w:space="0" w:color="000000"/>
            </w:tcBorders>
          </w:tcPr>
          <w:p w:rsidR="002D1DA9" w:rsidRPr="00DD76C8" w:rsidRDefault="002D1DA9" w:rsidP="002D1DA9">
            <w:pPr>
              <w:widowControl/>
              <w:spacing w:before="240" w:after="240"/>
              <w:jc w:val="center"/>
              <w:rPr>
                <w:bCs/>
                <w:kern w:val="32"/>
                <w:sz w:val="22"/>
                <w:szCs w:val="22"/>
              </w:rPr>
            </w:pPr>
            <w:r w:rsidRPr="00DD76C8">
              <w:rPr>
                <w:kern w:val="32"/>
                <w:sz w:val="22"/>
              </w:rPr>
              <w:t>Iznos</w:t>
            </w:r>
          </w:p>
        </w:tc>
      </w:tr>
      <w:tr w:rsidR="002D1DA9" w:rsidRPr="00DD76C8" w:rsidTr="002D1DA9">
        <w:trPr>
          <w:jc w:val="center"/>
        </w:trPr>
        <w:tc>
          <w:tcPr>
            <w:tcW w:w="5578" w:type="dxa"/>
            <w:tcBorders>
              <w:top w:val="single" w:sz="6" w:space="0" w:color="FFFFFF"/>
              <w:left w:val="single" w:sz="6" w:space="0" w:color="000000"/>
              <w:bottom w:val="nil"/>
              <w:right w:val="single" w:sz="6" w:space="0" w:color="FFFFFF"/>
            </w:tcBorders>
          </w:tcPr>
          <w:p w:rsidR="002D1DA9" w:rsidRPr="00DD76C8" w:rsidRDefault="002D1DA9" w:rsidP="002D1DA9">
            <w:pPr>
              <w:widowControl/>
              <w:spacing w:before="120" w:after="120"/>
              <w:jc w:val="both"/>
              <w:rPr>
                <w:bCs/>
                <w:kern w:val="32"/>
                <w:sz w:val="22"/>
                <w:szCs w:val="22"/>
              </w:rPr>
            </w:pPr>
          </w:p>
        </w:tc>
        <w:tc>
          <w:tcPr>
            <w:tcW w:w="2035" w:type="dxa"/>
            <w:tcBorders>
              <w:top w:val="single" w:sz="6" w:space="0" w:color="FFFFFF"/>
              <w:left w:val="single" w:sz="6" w:space="0" w:color="000000"/>
              <w:bottom w:val="nil"/>
              <w:right w:val="single" w:sz="6" w:space="0" w:color="000000"/>
            </w:tcBorders>
            <w:shd w:val="clear" w:color="auto" w:fill="auto"/>
          </w:tcPr>
          <w:p w:rsidR="002D1DA9" w:rsidRPr="00DD76C8" w:rsidRDefault="002D1DA9" w:rsidP="002D1DA9">
            <w:pPr>
              <w:widowControl/>
              <w:spacing w:before="120" w:after="120"/>
              <w:jc w:val="right"/>
              <w:rPr>
                <w:bCs/>
                <w:kern w:val="32"/>
                <w:sz w:val="22"/>
                <w:szCs w:val="22"/>
              </w:rPr>
            </w:pPr>
          </w:p>
        </w:tc>
      </w:tr>
      <w:tr w:rsidR="002D1DA9" w:rsidRPr="00DD76C8" w:rsidTr="002D1DA9">
        <w:trPr>
          <w:jc w:val="center"/>
        </w:trPr>
        <w:tc>
          <w:tcPr>
            <w:tcW w:w="5578" w:type="dxa"/>
            <w:tcBorders>
              <w:top w:val="nil"/>
              <w:left w:val="single" w:sz="6" w:space="0" w:color="000000"/>
              <w:bottom w:val="nil"/>
              <w:right w:val="single" w:sz="6" w:space="0" w:color="FFFFFF"/>
            </w:tcBorders>
          </w:tcPr>
          <w:p w:rsidR="002D1DA9" w:rsidRPr="00DD76C8" w:rsidRDefault="002D1DA9" w:rsidP="002D1DA9">
            <w:pPr>
              <w:widowControl/>
              <w:spacing w:before="120" w:after="120"/>
              <w:jc w:val="both"/>
              <w:rPr>
                <w:bCs/>
                <w:kern w:val="32"/>
                <w:sz w:val="22"/>
                <w:szCs w:val="22"/>
              </w:rPr>
            </w:pPr>
            <w:r w:rsidRPr="00DD76C8">
              <w:rPr>
                <w:kern w:val="32"/>
                <w:sz w:val="22"/>
              </w:rPr>
              <w:t>Rashodi</w:t>
            </w:r>
          </w:p>
        </w:tc>
        <w:tc>
          <w:tcPr>
            <w:tcW w:w="2035" w:type="dxa"/>
            <w:tcBorders>
              <w:top w:val="nil"/>
              <w:left w:val="single" w:sz="6" w:space="0" w:color="000000"/>
              <w:bottom w:val="nil"/>
              <w:right w:val="single" w:sz="6" w:space="0" w:color="000000"/>
            </w:tcBorders>
            <w:shd w:val="clear" w:color="auto" w:fill="auto"/>
            <w:vAlign w:val="center"/>
          </w:tcPr>
          <w:p w:rsidR="002D1DA9" w:rsidRPr="00DD76C8" w:rsidRDefault="002D1DA9" w:rsidP="002D1DA9">
            <w:pPr>
              <w:widowControl/>
              <w:jc w:val="right"/>
              <w:rPr>
                <w:bCs/>
                <w:kern w:val="32"/>
                <w:sz w:val="22"/>
                <w:szCs w:val="22"/>
              </w:rPr>
            </w:pPr>
            <w:r w:rsidRPr="00DD76C8">
              <w:rPr>
                <w:kern w:val="32"/>
                <w:sz w:val="22"/>
              </w:rPr>
              <w:t>1 971 883 373</w:t>
            </w:r>
          </w:p>
        </w:tc>
      </w:tr>
      <w:tr w:rsidR="002D1DA9" w:rsidRPr="00DD76C8" w:rsidTr="002D1DA9">
        <w:trPr>
          <w:jc w:val="center"/>
        </w:trPr>
        <w:tc>
          <w:tcPr>
            <w:tcW w:w="5578" w:type="dxa"/>
            <w:tcBorders>
              <w:top w:val="nil"/>
              <w:left w:val="single" w:sz="6" w:space="0" w:color="000000"/>
              <w:bottom w:val="single" w:sz="6" w:space="0" w:color="FFFFFF"/>
              <w:right w:val="single" w:sz="6" w:space="0" w:color="FFFFFF"/>
            </w:tcBorders>
          </w:tcPr>
          <w:p w:rsidR="002D1DA9" w:rsidRPr="00DD76C8" w:rsidRDefault="002D1DA9" w:rsidP="002D1DA9">
            <w:pPr>
              <w:widowControl/>
              <w:spacing w:before="120" w:after="120"/>
              <w:jc w:val="both"/>
              <w:rPr>
                <w:bCs/>
                <w:kern w:val="32"/>
                <w:sz w:val="22"/>
                <w:szCs w:val="22"/>
              </w:rPr>
            </w:pPr>
            <w:r w:rsidRPr="00DD76C8">
              <w:rPr>
                <w:kern w:val="32"/>
                <w:sz w:val="22"/>
              </w:rPr>
              <w:t>Vlastiti prihodi</w:t>
            </w:r>
          </w:p>
        </w:tc>
        <w:tc>
          <w:tcPr>
            <w:tcW w:w="2035" w:type="dxa"/>
            <w:tcBorders>
              <w:top w:val="nil"/>
              <w:left w:val="single" w:sz="6" w:space="0" w:color="000000"/>
              <w:bottom w:val="single" w:sz="6" w:space="0" w:color="FFFFFF"/>
              <w:right w:val="single" w:sz="6" w:space="0" w:color="000000"/>
            </w:tcBorders>
            <w:shd w:val="clear" w:color="auto" w:fill="auto"/>
            <w:vAlign w:val="center"/>
          </w:tcPr>
          <w:p w:rsidR="002D1DA9" w:rsidRPr="00DD76C8" w:rsidRDefault="002D1DA9" w:rsidP="002D1DA9">
            <w:pPr>
              <w:widowControl/>
              <w:spacing w:before="180" w:after="180" w:line="181" w:lineRule="exact"/>
              <w:jc w:val="right"/>
              <w:rPr>
                <w:bCs/>
                <w:kern w:val="32"/>
                <w:sz w:val="22"/>
                <w:szCs w:val="22"/>
              </w:rPr>
            </w:pPr>
            <w:r w:rsidRPr="00DD76C8">
              <w:rPr>
                <w:kern w:val="32"/>
                <w:sz w:val="22"/>
              </w:rPr>
              <w:t>164 416 000</w:t>
            </w:r>
          </w:p>
        </w:tc>
      </w:tr>
      <w:tr w:rsidR="002D1DA9" w:rsidRPr="00DD76C8" w:rsidTr="002D1DA9">
        <w:trPr>
          <w:jc w:val="center"/>
        </w:trPr>
        <w:tc>
          <w:tcPr>
            <w:tcW w:w="5578" w:type="dxa"/>
            <w:tcBorders>
              <w:top w:val="single" w:sz="6" w:space="0" w:color="FFFFFF"/>
              <w:left w:val="single" w:sz="6" w:space="0" w:color="000000"/>
              <w:bottom w:val="single" w:sz="6" w:space="0" w:color="000000"/>
              <w:right w:val="single" w:sz="6" w:space="0" w:color="FFFFFF"/>
            </w:tcBorders>
            <w:vAlign w:val="center"/>
          </w:tcPr>
          <w:p w:rsidR="002D1DA9" w:rsidRPr="00DD76C8" w:rsidRDefault="002D1DA9" w:rsidP="002D1DA9">
            <w:pPr>
              <w:widowControl/>
              <w:spacing w:before="180" w:after="180"/>
              <w:jc w:val="right"/>
              <w:rPr>
                <w:bCs/>
                <w:kern w:val="32"/>
                <w:sz w:val="22"/>
                <w:szCs w:val="22"/>
              </w:rPr>
            </w:pPr>
            <w:r w:rsidRPr="00DD76C8">
              <w:rPr>
                <w:b/>
                <w:kern w:val="32"/>
                <w:sz w:val="22"/>
              </w:rPr>
              <w:t>Potraživanje</w:t>
            </w:r>
          </w:p>
        </w:tc>
        <w:tc>
          <w:tcPr>
            <w:tcW w:w="20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D1DA9" w:rsidRPr="00DD76C8" w:rsidRDefault="00E54DD6" w:rsidP="002D1DA9">
            <w:pPr>
              <w:widowControl/>
              <w:spacing w:before="180" w:after="180"/>
              <w:jc w:val="right"/>
              <w:rPr>
                <w:b/>
                <w:kern w:val="32"/>
                <w:sz w:val="22"/>
                <w:szCs w:val="22"/>
              </w:rPr>
            </w:pPr>
            <w:r w:rsidRPr="00DD76C8">
              <w:rPr>
                <w:b/>
                <w:sz w:val="22"/>
              </w:rPr>
              <w:t>1 789 067 373</w:t>
            </w:r>
          </w:p>
        </w:tc>
      </w:tr>
    </w:tbl>
    <w:p w:rsidR="002D1DA9" w:rsidRPr="00DD76C8" w:rsidRDefault="002D1DA9" w:rsidP="002D1DA9">
      <w:pPr>
        <w:widowControl/>
        <w:jc w:val="both"/>
        <w:rPr>
          <w:b/>
          <w:kern w:val="32"/>
          <w:sz w:val="22"/>
          <w:szCs w:val="22"/>
        </w:rPr>
      </w:pPr>
    </w:p>
    <w:p w:rsidR="002D1DA9" w:rsidRPr="00DD76C8" w:rsidRDefault="002D1DA9" w:rsidP="002D1DA9">
      <w:pPr>
        <w:widowControl/>
        <w:jc w:val="both"/>
        <w:rPr>
          <w:bCs/>
          <w:kern w:val="32"/>
          <w:sz w:val="22"/>
          <w:szCs w:val="22"/>
        </w:rPr>
      </w:pPr>
    </w:p>
    <w:p w:rsidR="002D1DA9" w:rsidRPr="00DD76C8" w:rsidRDefault="002D1DA9" w:rsidP="002D1DA9">
      <w:pPr>
        <w:widowControl/>
        <w:jc w:val="both"/>
        <w:rPr>
          <w:rFonts w:cs="Arial"/>
          <w:bCs/>
          <w:kern w:val="32"/>
          <w:sz w:val="22"/>
          <w:szCs w:val="22"/>
        </w:rPr>
      </w:pPr>
    </w:p>
    <w:p w:rsidR="002D1DA9" w:rsidRPr="00DD76C8" w:rsidRDefault="002D1DA9" w:rsidP="002D1DA9">
      <w:pPr>
        <w:widowControl/>
        <w:jc w:val="center"/>
        <w:rPr>
          <w:rFonts w:cs="Arial"/>
          <w:b/>
          <w:kern w:val="32"/>
          <w:sz w:val="28"/>
          <w:szCs w:val="28"/>
        </w:rPr>
      </w:pPr>
      <w:r w:rsidRPr="00DD76C8">
        <w:br w:type="page"/>
      </w:r>
      <w:r w:rsidRPr="00DD76C8">
        <w:rPr>
          <w:b/>
          <w:kern w:val="32"/>
        </w:rPr>
        <w:t>PRIHODI</w:t>
      </w:r>
    </w:p>
    <w:p w:rsidR="002D1DA9" w:rsidRPr="00DD76C8" w:rsidRDefault="002D1DA9" w:rsidP="002D1DA9">
      <w:pPr>
        <w:widowControl/>
        <w:jc w:val="both"/>
        <w:rPr>
          <w:rFonts w:cs="Arial"/>
          <w:bCs/>
          <w:kern w:val="32"/>
          <w:szCs w:val="24"/>
        </w:rPr>
      </w:pPr>
    </w:p>
    <w:tbl>
      <w:tblPr>
        <w:tblW w:w="10080" w:type="dxa"/>
        <w:tblInd w:w="93" w:type="dxa"/>
        <w:tblLook w:val="04A0" w:firstRow="1" w:lastRow="0" w:firstColumn="1" w:lastColumn="0" w:noHBand="0" w:noVBand="1"/>
      </w:tblPr>
      <w:tblGrid>
        <w:gridCol w:w="1260"/>
        <w:gridCol w:w="4567"/>
        <w:gridCol w:w="1418"/>
        <w:gridCol w:w="1275"/>
        <w:gridCol w:w="1560"/>
      </w:tblGrid>
      <w:tr w:rsidR="002D1DA9" w:rsidRPr="00DD76C8" w:rsidTr="002D1DA9">
        <w:trPr>
          <w:trHeight w:val="780"/>
        </w:trPr>
        <w:tc>
          <w:tcPr>
            <w:tcW w:w="1260" w:type="dxa"/>
            <w:tcBorders>
              <w:top w:val="single" w:sz="8" w:space="0" w:color="auto"/>
              <w:left w:val="single" w:sz="8" w:space="0" w:color="auto"/>
              <w:bottom w:val="single" w:sz="8" w:space="0" w:color="auto"/>
              <w:right w:val="single" w:sz="8" w:space="0" w:color="auto"/>
            </w:tcBorders>
            <w:shd w:val="clear" w:color="000000" w:fill="99CCFF"/>
            <w:vAlign w:val="center"/>
            <w:hideMark/>
          </w:tcPr>
          <w:p w:rsidR="002D1DA9" w:rsidRPr="00DD76C8" w:rsidRDefault="002D1DA9" w:rsidP="002D1DA9">
            <w:pPr>
              <w:widowControl/>
              <w:jc w:val="center"/>
              <w:rPr>
                <w:b/>
                <w:bCs/>
                <w:color w:val="000000"/>
                <w:sz w:val="20"/>
              </w:rPr>
            </w:pPr>
            <w:r w:rsidRPr="00DD76C8">
              <w:rPr>
                <w:b/>
                <w:color w:val="000000"/>
                <w:sz w:val="20"/>
              </w:rPr>
              <w:t>Glava Poglavlje Članak Stavka</w:t>
            </w:r>
          </w:p>
        </w:tc>
        <w:tc>
          <w:tcPr>
            <w:tcW w:w="4567" w:type="dxa"/>
            <w:tcBorders>
              <w:top w:val="single" w:sz="8" w:space="0" w:color="auto"/>
              <w:left w:val="nil"/>
              <w:bottom w:val="single" w:sz="8" w:space="0" w:color="auto"/>
              <w:right w:val="nil"/>
            </w:tcBorders>
            <w:shd w:val="clear" w:color="000000" w:fill="99CCFF"/>
            <w:vAlign w:val="center"/>
            <w:hideMark/>
          </w:tcPr>
          <w:p w:rsidR="002D1DA9" w:rsidRPr="00DD76C8" w:rsidRDefault="002D1DA9" w:rsidP="002D1DA9">
            <w:pPr>
              <w:widowControl/>
              <w:jc w:val="center"/>
              <w:rPr>
                <w:b/>
                <w:bCs/>
                <w:color w:val="000000"/>
                <w:szCs w:val="24"/>
              </w:rPr>
            </w:pPr>
            <w:r w:rsidRPr="00DD76C8">
              <w:rPr>
                <w:b/>
                <w:color w:val="000000"/>
              </w:rPr>
              <w:t>Naslov</w:t>
            </w:r>
          </w:p>
        </w:tc>
        <w:tc>
          <w:tcPr>
            <w:tcW w:w="1418" w:type="dxa"/>
            <w:tcBorders>
              <w:top w:val="single" w:sz="8" w:space="0" w:color="auto"/>
              <w:left w:val="single" w:sz="8" w:space="0" w:color="auto"/>
              <w:bottom w:val="single" w:sz="8" w:space="0" w:color="auto"/>
              <w:right w:val="nil"/>
            </w:tcBorders>
            <w:shd w:val="clear" w:color="000000" w:fill="99CCFF"/>
            <w:vAlign w:val="center"/>
            <w:hideMark/>
          </w:tcPr>
          <w:p w:rsidR="002D1DA9" w:rsidRPr="00DD76C8" w:rsidRDefault="002D1DA9" w:rsidP="002D1DA9">
            <w:pPr>
              <w:widowControl/>
              <w:jc w:val="center"/>
              <w:rPr>
                <w:b/>
                <w:bCs/>
                <w:color w:val="000000"/>
                <w:szCs w:val="24"/>
              </w:rPr>
            </w:pPr>
            <w:r w:rsidRPr="00DD76C8">
              <w:rPr>
                <w:b/>
                <w:color w:val="000000"/>
              </w:rPr>
              <w:t>Proračun za 2018.</w:t>
            </w:r>
          </w:p>
        </w:tc>
        <w:tc>
          <w:tcPr>
            <w:tcW w:w="1275" w:type="dxa"/>
            <w:tcBorders>
              <w:top w:val="single" w:sz="8" w:space="0" w:color="auto"/>
              <w:left w:val="single" w:sz="8" w:space="0" w:color="auto"/>
              <w:bottom w:val="single" w:sz="8" w:space="0" w:color="auto"/>
              <w:right w:val="nil"/>
            </w:tcBorders>
            <w:shd w:val="clear" w:color="000000" w:fill="99CCFF"/>
            <w:vAlign w:val="center"/>
            <w:hideMark/>
          </w:tcPr>
          <w:p w:rsidR="002D1DA9" w:rsidRPr="00DD76C8" w:rsidRDefault="002D1DA9" w:rsidP="002D1DA9">
            <w:pPr>
              <w:widowControl/>
              <w:jc w:val="center"/>
              <w:rPr>
                <w:b/>
                <w:bCs/>
                <w:color w:val="000000"/>
                <w:szCs w:val="24"/>
              </w:rPr>
            </w:pPr>
            <w:r w:rsidRPr="00DD76C8">
              <w:rPr>
                <w:b/>
                <w:color w:val="000000"/>
              </w:rPr>
              <w:t>Proračun za 2017.</w:t>
            </w:r>
          </w:p>
        </w:tc>
        <w:tc>
          <w:tcPr>
            <w:tcW w:w="1560" w:type="dxa"/>
            <w:tcBorders>
              <w:top w:val="single" w:sz="8" w:space="0" w:color="auto"/>
              <w:left w:val="single" w:sz="8" w:space="0" w:color="auto"/>
              <w:bottom w:val="single" w:sz="8" w:space="0" w:color="auto"/>
              <w:right w:val="single" w:sz="8" w:space="0" w:color="auto"/>
            </w:tcBorders>
            <w:shd w:val="clear" w:color="000000" w:fill="99CCFF"/>
            <w:vAlign w:val="center"/>
            <w:hideMark/>
          </w:tcPr>
          <w:p w:rsidR="002D1DA9" w:rsidRPr="00DD76C8" w:rsidRDefault="002D1DA9" w:rsidP="002D1DA9">
            <w:pPr>
              <w:widowControl/>
              <w:jc w:val="center"/>
              <w:rPr>
                <w:b/>
                <w:bCs/>
                <w:color w:val="000000"/>
                <w:szCs w:val="24"/>
              </w:rPr>
            </w:pPr>
            <w:r w:rsidRPr="00DD76C8">
              <w:rPr>
                <w:b/>
                <w:color w:val="000000"/>
              </w:rPr>
              <w:t>Izvršenje proračuna za 2016.</w:t>
            </w:r>
          </w:p>
        </w:tc>
      </w:tr>
      <w:tr w:rsidR="002D1DA9" w:rsidRPr="00DD76C8" w:rsidTr="002D1DA9">
        <w:trPr>
          <w:trHeight w:val="300"/>
        </w:trPr>
        <w:tc>
          <w:tcPr>
            <w:tcW w:w="1260"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jc w:val="both"/>
              <w:rPr>
                <w:b/>
                <w:bCs/>
                <w:color w:val="000000"/>
                <w:sz w:val="16"/>
                <w:szCs w:val="16"/>
              </w:rPr>
            </w:pPr>
            <w:r w:rsidRPr="00DD76C8">
              <w:rPr>
                <w:b/>
                <w:color w:val="000000"/>
                <w:sz w:val="16"/>
              </w:rPr>
              <w:t> </w:t>
            </w:r>
          </w:p>
        </w:tc>
        <w:tc>
          <w:tcPr>
            <w:tcW w:w="4567" w:type="dxa"/>
            <w:tcBorders>
              <w:top w:val="nil"/>
              <w:left w:val="nil"/>
              <w:bottom w:val="nil"/>
              <w:right w:val="nil"/>
            </w:tcBorders>
            <w:shd w:val="clear" w:color="auto" w:fill="auto"/>
            <w:vAlign w:val="center"/>
            <w:hideMark/>
          </w:tcPr>
          <w:p w:rsidR="002D1DA9" w:rsidRPr="00DD76C8" w:rsidRDefault="002D1DA9" w:rsidP="002D1DA9">
            <w:pPr>
              <w:widowControl/>
              <w:rPr>
                <w:color w:val="000000"/>
                <w:sz w:val="20"/>
              </w:rPr>
            </w:pPr>
          </w:p>
        </w:tc>
        <w:tc>
          <w:tcPr>
            <w:tcW w:w="1418"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jc w:val="both"/>
              <w:rPr>
                <w:color w:val="000000"/>
                <w:sz w:val="16"/>
                <w:szCs w:val="16"/>
              </w:rPr>
            </w:pPr>
            <w:r w:rsidRPr="00DD76C8">
              <w:rPr>
                <w:color w:val="000000"/>
                <w:sz w:val="16"/>
              </w:rPr>
              <w:t> </w:t>
            </w:r>
          </w:p>
        </w:tc>
        <w:tc>
          <w:tcPr>
            <w:tcW w:w="1275"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rPr>
                <w:color w:val="000000"/>
                <w:sz w:val="16"/>
                <w:szCs w:val="16"/>
              </w:rPr>
            </w:pPr>
            <w:r w:rsidRPr="00DD76C8">
              <w:rPr>
                <w:color w:val="000000"/>
                <w:sz w:val="16"/>
              </w:rPr>
              <w:t> </w:t>
            </w:r>
          </w:p>
        </w:tc>
        <w:tc>
          <w:tcPr>
            <w:tcW w:w="1560"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rPr>
                <w:color w:val="000000"/>
                <w:sz w:val="16"/>
                <w:szCs w:val="16"/>
              </w:rPr>
            </w:pPr>
            <w:r w:rsidRPr="00DD76C8">
              <w:rPr>
                <w:color w:val="000000"/>
                <w:sz w:val="16"/>
              </w:rPr>
              <w:t> </w:t>
            </w:r>
          </w:p>
        </w:tc>
      </w:tr>
      <w:tr w:rsidR="002D1DA9" w:rsidRPr="00DD76C8" w:rsidTr="002D1DA9">
        <w:trPr>
          <w:trHeight w:val="420"/>
        </w:trPr>
        <w:tc>
          <w:tcPr>
            <w:tcW w:w="1260"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jc w:val="both"/>
              <w:rPr>
                <w:b/>
                <w:bCs/>
                <w:color w:val="000000"/>
                <w:sz w:val="16"/>
                <w:szCs w:val="16"/>
              </w:rPr>
            </w:pPr>
            <w:r w:rsidRPr="00DD76C8">
              <w:rPr>
                <w:b/>
                <w:color w:val="000000"/>
                <w:kern w:val="32"/>
                <w:sz w:val="16"/>
              </w:rPr>
              <w:t>4</w:t>
            </w:r>
          </w:p>
        </w:tc>
        <w:tc>
          <w:tcPr>
            <w:tcW w:w="4567" w:type="dxa"/>
            <w:tcBorders>
              <w:top w:val="nil"/>
              <w:left w:val="nil"/>
              <w:bottom w:val="nil"/>
              <w:right w:val="nil"/>
            </w:tcBorders>
            <w:shd w:val="clear" w:color="auto" w:fill="auto"/>
            <w:vAlign w:val="center"/>
            <w:hideMark/>
          </w:tcPr>
          <w:p w:rsidR="002D1DA9" w:rsidRPr="00DD76C8" w:rsidRDefault="002D1DA9" w:rsidP="002D1DA9">
            <w:pPr>
              <w:widowControl/>
              <w:rPr>
                <w:b/>
                <w:bCs/>
                <w:color w:val="000000"/>
                <w:sz w:val="16"/>
                <w:szCs w:val="16"/>
              </w:rPr>
            </w:pPr>
            <w:r w:rsidRPr="00DD76C8">
              <w:rPr>
                <w:b/>
                <w:color w:val="000000"/>
                <w:kern w:val="32"/>
                <w:sz w:val="16"/>
              </w:rPr>
              <w:t>PRIHODI KOJI SE OSTVARUJU OD OSOBA KOJE RADE ZA INSTITUCIJE I OSTALA TIJELA UNIJE</w:t>
            </w:r>
          </w:p>
        </w:tc>
        <w:tc>
          <w:tcPr>
            <w:tcW w:w="1418"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jc w:val="both"/>
              <w:rPr>
                <w:color w:val="000000"/>
                <w:sz w:val="16"/>
                <w:szCs w:val="16"/>
              </w:rPr>
            </w:pPr>
            <w:r w:rsidRPr="00DD76C8">
              <w:rPr>
                <w:color w:val="000000"/>
                <w:kern w:val="32"/>
                <w:sz w:val="16"/>
              </w:rPr>
              <w:t> </w:t>
            </w:r>
          </w:p>
        </w:tc>
        <w:tc>
          <w:tcPr>
            <w:tcW w:w="1275"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 </w:t>
            </w:r>
          </w:p>
        </w:tc>
        <w:tc>
          <w:tcPr>
            <w:tcW w:w="1560"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 </w:t>
            </w:r>
          </w:p>
        </w:tc>
      </w:tr>
      <w:tr w:rsidR="002D1DA9" w:rsidRPr="00DD76C8" w:rsidTr="002D1DA9">
        <w:trPr>
          <w:trHeight w:val="300"/>
        </w:trPr>
        <w:tc>
          <w:tcPr>
            <w:tcW w:w="1260"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jc w:val="both"/>
              <w:rPr>
                <w:color w:val="000000"/>
                <w:sz w:val="16"/>
                <w:szCs w:val="16"/>
              </w:rPr>
            </w:pPr>
            <w:r w:rsidRPr="00DD76C8">
              <w:rPr>
                <w:color w:val="000000"/>
                <w:kern w:val="32"/>
                <w:sz w:val="16"/>
              </w:rPr>
              <w:t>4 0</w:t>
            </w:r>
          </w:p>
        </w:tc>
        <w:tc>
          <w:tcPr>
            <w:tcW w:w="4567"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POREZI I RAZLIČITA DAVANJA</w:t>
            </w:r>
          </w:p>
        </w:tc>
        <w:tc>
          <w:tcPr>
            <w:tcW w:w="1418"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 </w:t>
            </w:r>
          </w:p>
        </w:tc>
        <w:tc>
          <w:tcPr>
            <w:tcW w:w="1275"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 </w:t>
            </w:r>
          </w:p>
        </w:tc>
        <w:tc>
          <w:tcPr>
            <w:tcW w:w="1560"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 </w:t>
            </w:r>
          </w:p>
        </w:tc>
      </w:tr>
      <w:tr w:rsidR="002D1DA9" w:rsidRPr="00DD76C8" w:rsidTr="002D1DA9">
        <w:trPr>
          <w:trHeight w:val="675"/>
        </w:trPr>
        <w:tc>
          <w:tcPr>
            <w:tcW w:w="1260"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jc w:val="both"/>
              <w:rPr>
                <w:color w:val="000000"/>
                <w:sz w:val="16"/>
                <w:szCs w:val="16"/>
              </w:rPr>
            </w:pPr>
            <w:r w:rsidRPr="00DD76C8">
              <w:rPr>
                <w:color w:val="000000"/>
                <w:kern w:val="32"/>
                <w:sz w:val="16"/>
              </w:rPr>
              <w:t>4 0 0</w:t>
            </w:r>
          </w:p>
        </w:tc>
        <w:tc>
          <w:tcPr>
            <w:tcW w:w="4567"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Prihod od poreza na plaće, nadnice i naknade članova institucije, dužnosnika, ostalih službenika i osoba koje primaju mirovinu</w:t>
            </w:r>
          </w:p>
        </w:tc>
        <w:tc>
          <w:tcPr>
            <w:tcW w:w="1418"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77 085 000</w:t>
            </w:r>
          </w:p>
        </w:tc>
        <w:tc>
          <w:tcPr>
            <w:tcW w:w="1275"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74 105 828</w:t>
            </w:r>
          </w:p>
        </w:tc>
        <w:tc>
          <w:tcPr>
            <w:tcW w:w="1560"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jc w:val="right"/>
              <w:rPr>
                <w:rFonts w:cs="Arial"/>
                <w:bCs/>
                <w:color w:val="000000"/>
                <w:kern w:val="32"/>
                <w:sz w:val="16"/>
                <w:szCs w:val="16"/>
              </w:rPr>
            </w:pPr>
            <w:r w:rsidRPr="00DD76C8">
              <w:rPr>
                <w:color w:val="000000"/>
                <w:kern w:val="32"/>
                <w:sz w:val="16"/>
              </w:rPr>
              <w:t>71 635 418</w:t>
            </w:r>
          </w:p>
        </w:tc>
      </w:tr>
      <w:tr w:rsidR="002D1DA9" w:rsidRPr="00DD76C8" w:rsidTr="002D1DA9">
        <w:trPr>
          <w:trHeight w:val="450"/>
        </w:trPr>
        <w:tc>
          <w:tcPr>
            <w:tcW w:w="1260"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jc w:val="both"/>
              <w:rPr>
                <w:color w:val="000000"/>
                <w:sz w:val="16"/>
                <w:szCs w:val="16"/>
              </w:rPr>
            </w:pPr>
            <w:r w:rsidRPr="00DD76C8">
              <w:rPr>
                <w:color w:val="000000"/>
                <w:kern w:val="32"/>
                <w:sz w:val="16"/>
              </w:rPr>
              <w:t>4 0 3</w:t>
            </w:r>
          </w:p>
        </w:tc>
        <w:tc>
          <w:tcPr>
            <w:tcW w:w="4567"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Primitci od privremenog doprinosa iz plaća članova institucija, dužnosnika i ostalih službenika u aktivnoj službi</w:t>
            </w:r>
          </w:p>
        </w:tc>
        <w:tc>
          <w:tcPr>
            <w:tcW w:w="1418"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p.m.</w:t>
            </w:r>
          </w:p>
        </w:tc>
        <w:tc>
          <w:tcPr>
            <w:tcW w:w="1275"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p.m.</w:t>
            </w:r>
          </w:p>
        </w:tc>
        <w:tc>
          <w:tcPr>
            <w:tcW w:w="1560"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jc w:val="right"/>
              <w:rPr>
                <w:rFonts w:cs="Arial"/>
                <w:bCs/>
                <w:color w:val="000000"/>
                <w:kern w:val="32"/>
                <w:sz w:val="16"/>
                <w:szCs w:val="16"/>
              </w:rPr>
            </w:pPr>
            <w:r w:rsidRPr="00DD76C8">
              <w:rPr>
                <w:color w:val="000000"/>
                <w:kern w:val="32"/>
                <w:sz w:val="16"/>
              </w:rPr>
              <w:t>13 616</w:t>
            </w:r>
          </w:p>
        </w:tc>
      </w:tr>
      <w:tr w:rsidR="002D1DA9" w:rsidRPr="00DD76C8" w:rsidTr="002D1DA9">
        <w:trPr>
          <w:trHeight w:val="690"/>
        </w:trPr>
        <w:tc>
          <w:tcPr>
            <w:tcW w:w="1260"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jc w:val="both"/>
              <w:rPr>
                <w:color w:val="000000"/>
                <w:sz w:val="16"/>
                <w:szCs w:val="16"/>
              </w:rPr>
            </w:pPr>
            <w:r w:rsidRPr="00DD76C8">
              <w:rPr>
                <w:color w:val="000000"/>
                <w:kern w:val="32"/>
                <w:sz w:val="16"/>
              </w:rPr>
              <w:t>4 0 4</w:t>
            </w:r>
          </w:p>
        </w:tc>
        <w:tc>
          <w:tcPr>
            <w:tcW w:w="4567"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Prihod od posebnog nameta i nameta solidarnosti na plaće članova institucija, dužnosnika i ostalih službenika koji su u aktivnoj službi</w:t>
            </w:r>
          </w:p>
        </w:tc>
        <w:tc>
          <w:tcPr>
            <w:tcW w:w="1418" w:type="dxa"/>
            <w:tcBorders>
              <w:top w:val="nil"/>
              <w:left w:val="nil"/>
              <w:bottom w:val="single" w:sz="8" w:space="0" w:color="auto"/>
              <w:right w:val="single" w:sz="8" w:space="0" w:color="auto"/>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11 585 000</w:t>
            </w:r>
          </w:p>
        </w:tc>
        <w:tc>
          <w:tcPr>
            <w:tcW w:w="1275" w:type="dxa"/>
            <w:tcBorders>
              <w:top w:val="nil"/>
              <w:left w:val="nil"/>
              <w:bottom w:val="single" w:sz="8" w:space="0" w:color="auto"/>
              <w:right w:val="single" w:sz="8" w:space="0" w:color="auto"/>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11 006 056</w:t>
            </w:r>
          </w:p>
        </w:tc>
        <w:tc>
          <w:tcPr>
            <w:tcW w:w="1560" w:type="dxa"/>
            <w:tcBorders>
              <w:top w:val="nil"/>
              <w:left w:val="nil"/>
              <w:bottom w:val="single" w:sz="8" w:space="0" w:color="auto"/>
              <w:right w:val="single" w:sz="8" w:space="0" w:color="auto"/>
            </w:tcBorders>
            <w:shd w:val="clear" w:color="auto" w:fill="auto"/>
            <w:vAlign w:val="center"/>
            <w:hideMark/>
          </w:tcPr>
          <w:p w:rsidR="002D1DA9" w:rsidRPr="00DD76C8" w:rsidRDefault="002D1DA9" w:rsidP="002D1DA9">
            <w:pPr>
              <w:widowControl/>
              <w:jc w:val="right"/>
              <w:rPr>
                <w:rFonts w:cs="Arial"/>
                <w:bCs/>
                <w:color w:val="000000"/>
                <w:kern w:val="32"/>
                <w:sz w:val="16"/>
                <w:szCs w:val="16"/>
              </w:rPr>
            </w:pPr>
            <w:r w:rsidRPr="00DD76C8">
              <w:rPr>
                <w:color w:val="000000"/>
                <w:kern w:val="32"/>
                <w:sz w:val="16"/>
              </w:rPr>
              <w:t>10 602 055</w:t>
            </w:r>
          </w:p>
        </w:tc>
      </w:tr>
      <w:tr w:rsidR="002D1DA9" w:rsidRPr="00DD76C8" w:rsidTr="002D1DA9">
        <w:trPr>
          <w:trHeight w:val="300"/>
        </w:trPr>
        <w:tc>
          <w:tcPr>
            <w:tcW w:w="1260" w:type="dxa"/>
            <w:vMerge w:val="restart"/>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jc w:val="both"/>
              <w:rPr>
                <w:color w:val="000000"/>
                <w:szCs w:val="24"/>
              </w:rPr>
            </w:pPr>
            <w:r w:rsidRPr="00DD76C8">
              <w:rPr>
                <w:color w:val="000000"/>
                <w:kern w:val="32"/>
              </w:rPr>
              <w:t> </w:t>
            </w:r>
          </w:p>
        </w:tc>
        <w:tc>
          <w:tcPr>
            <w:tcW w:w="4567"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 </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88 670 000</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85 111 884</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2D1DA9" w:rsidRPr="00DD76C8" w:rsidRDefault="002D1DA9" w:rsidP="002D1DA9">
            <w:pPr>
              <w:widowControl/>
              <w:jc w:val="right"/>
              <w:rPr>
                <w:rFonts w:cs="Arial"/>
                <w:bCs/>
                <w:color w:val="000000"/>
                <w:kern w:val="32"/>
                <w:sz w:val="16"/>
                <w:szCs w:val="16"/>
              </w:rPr>
            </w:pPr>
            <w:r w:rsidRPr="00DD76C8">
              <w:rPr>
                <w:color w:val="000000"/>
                <w:kern w:val="32"/>
                <w:sz w:val="16"/>
              </w:rPr>
              <w:t>82 251 089</w:t>
            </w:r>
          </w:p>
        </w:tc>
      </w:tr>
      <w:tr w:rsidR="002D1DA9" w:rsidRPr="00DD76C8" w:rsidTr="002D1DA9">
        <w:trPr>
          <w:trHeight w:val="315"/>
        </w:trPr>
        <w:tc>
          <w:tcPr>
            <w:tcW w:w="1260" w:type="dxa"/>
            <w:vMerge/>
            <w:tcBorders>
              <w:top w:val="nil"/>
              <w:left w:val="single" w:sz="8" w:space="0" w:color="auto"/>
              <w:bottom w:val="nil"/>
              <w:right w:val="single" w:sz="8" w:space="0" w:color="auto"/>
            </w:tcBorders>
            <w:vAlign w:val="center"/>
            <w:hideMark/>
          </w:tcPr>
          <w:p w:rsidR="002D1DA9" w:rsidRPr="00DD76C8" w:rsidRDefault="002D1DA9" w:rsidP="002D1DA9">
            <w:pPr>
              <w:widowControl/>
              <w:rPr>
                <w:color w:val="000000"/>
                <w:szCs w:val="24"/>
              </w:rPr>
            </w:pPr>
          </w:p>
        </w:tc>
        <w:tc>
          <w:tcPr>
            <w:tcW w:w="4567"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Poglavlje 4 0 — Ukupno</w:t>
            </w:r>
          </w:p>
        </w:tc>
        <w:tc>
          <w:tcPr>
            <w:tcW w:w="1418" w:type="dxa"/>
            <w:vMerge/>
            <w:tcBorders>
              <w:top w:val="nil"/>
              <w:left w:val="single" w:sz="8" w:space="0" w:color="auto"/>
              <w:bottom w:val="single" w:sz="8" w:space="0" w:color="000000"/>
              <w:right w:val="single" w:sz="8" w:space="0" w:color="auto"/>
            </w:tcBorders>
            <w:vAlign w:val="center"/>
            <w:hideMark/>
          </w:tcPr>
          <w:p w:rsidR="002D1DA9" w:rsidRPr="00DD76C8" w:rsidRDefault="002D1DA9" w:rsidP="002D1DA9">
            <w:pPr>
              <w:widowControl/>
              <w:rPr>
                <w:color w:val="000000"/>
                <w:sz w:val="16"/>
                <w:szCs w:val="16"/>
              </w:rPr>
            </w:pPr>
          </w:p>
        </w:tc>
        <w:tc>
          <w:tcPr>
            <w:tcW w:w="1275" w:type="dxa"/>
            <w:vMerge/>
            <w:tcBorders>
              <w:top w:val="nil"/>
              <w:left w:val="single" w:sz="8" w:space="0" w:color="auto"/>
              <w:bottom w:val="single" w:sz="8" w:space="0" w:color="000000"/>
              <w:right w:val="single" w:sz="8" w:space="0" w:color="auto"/>
            </w:tcBorders>
            <w:vAlign w:val="center"/>
            <w:hideMark/>
          </w:tcPr>
          <w:p w:rsidR="002D1DA9" w:rsidRPr="00DD76C8" w:rsidRDefault="002D1DA9" w:rsidP="002D1DA9">
            <w:pPr>
              <w:widowControl/>
              <w:rPr>
                <w:color w:val="000000"/>
                <w:sz w:val="16"/>
                <w:szCs w:val="16"/>
              </w:rPr>
            </w:pPr>
          </w:p>
        </w:tc>
        <w:tc>
          <w:tcPr>
            <w:tcW w:w="1560" w:type="dxa"/>
            <w:vMerge/>
            <w:tcBorders>
              <w:top w:val="nil"/>
              <w:left w:val="single" w:sz="8" w:space="0" w:color="auto"/>
              <w:bottom w:val="single" w:sz="8" w:space="0" w:color="000000"/>
              <w:right w:val="single" w:sz="8" w:space="0" w:color="auto"/>
            </w:tcBorders>
            <w:vAlign w:val="center"/>
            <w:hideMark/>
          </w:tcPr>
          <w:p w:rsidR="002D1DA9" w:rsidRPr="00DD76C8" w:rsidRDefault="002D1DA9" w:rsidP="002D1DA9">
            <w:pPr>
              <w:widowControl/>
              <w:rPr>
                <w:color w:val="000000"/>
                <w:sz w:val="16"/>
                <w:szCs w:val="16"/>
              </w:rPr>
            </w:pPr>
          </w:p>
        </w:tc>
      </w:tr>
      <w:tr w:rsidR="002D1DA9" w:rsidRPr="00DD76C8" w:rsidTr="002D1DA9">
        <w:trPr>
          <w:trHeight w:val="300"/>
        </w:trPr>
        <w:tc>
          <w:tcPr>
            <w:tcW w:w="1260"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jc w:val="both"/>
              <w:rPr>
                <w:color w:val="000000"/>
                <w:sz w:val="16"/>
                <w:szCs w:val="16"/>
              </w:rPr>
            </w:pPr>
            <w:r w:rsidRPr="00DD76C8">
              <w:rPr>
                <w:color w:val="000000"/>
                <w:kern w:val="32"/>
                <w:sz w:val="16"/>
              </w:rPr>
              <w:t>4 1</w:t>
            </w:r>
          </w:p>
        </w:tc>
        <w:tc>
          <w:tcPr>
            <w:tcW w:w="4567"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DOPRINOSI ZA MIROVINSKI FOND</w:t>
            </w:r>
          </w:p>
        </w:tc>
        <w:tc>
          <w:tcPr>
            <w:tcW w:w="1418"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 </w:t>
            </w:r>
          </w:p>
        </w:tc>
        <w:tc>
          <w:tcPr>
            <w:tcW w:w="1275"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 </w:t>
            </w:r>
          </w:p>
        </w:tc>
        <w:tc>
          <w:tcPr>
            <w:tcW w:w="1560"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jc w:val="right"/>
              <w:rPr>
                <w:rFonts w:cs="Arial"/>
                <w:bCs/>
                <w:color w:val="000000"/>
                <w:kern w:val="32"/>
                <w:sz w:val="16"/>
                <w:szCs w:val="16"/>
              </w:rPr>
            </w:pPr>
            <w:r w:rsidRPr="00DD76C8">
              <w:rPr>
                <w:color w:val="000000"/>
                <w:kern w:val="32"/>
                <w:sz w:val="16"/>
              </w:rPr>
              <w:t>68 455 454</w:t>
            </w:r>
          </w:p>
        </w:tc>
      </w:tr>
      <w:tr w:rsidR="002D1DA9" w:rsidRPr="00DD76C8" w:rsidTr="002D1DA9">
        <w:trPr>
          <w:trHeight w:val="300"/>
        </w:trPr>
        <w:tc>
          <w:tcPr>
            <w:tcW w:w="1260"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jc w:val="both"/>
              <w:rPr>
                <w:color w:val="000000"/>
                <w:sz w:val="16"/>
                <w:szCs w:val="16"/>
              </w:rPr>
            </w:pPr>
            <w:r w:rsidRPr="00DD76C8">
              <w:rPr>
                <w:color w:val="000000"/>
                <w:kern w:val="32"/>
                <w:sz w:val="16"/>
              </w:rPr>
              <w:t>4 1 0</w:t>
            </w:r>
          </w:p>
        </w:tc>
        <w:tc>
          <w:tcPr>
            <w:tcW w:w="4567"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Doprinosi zaposlenika za mirovinski fond</w:t>
            </w:r>
          </w:p>
        </w:tc>
        <w:tc>
          <w:tcPr>
            <w:tcW w:w="1418"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66 485 000</w:t>
            </w:r>
          </w:p>
        </w:tc>
        <w:tc>
          <w:tcPr>
            <w:tcW w:w="1275"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64 712 299</w:t>
            </w:r>
          </w:p>
        </w:tc>
        <w:tc>
          <w:tcPr>
            <w:tcW w:w="1560"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jc w:val="right"/>
              <w:rPr>
                <w:rFonts w:cs="Arial"/>
                <w:bCs/>
                <w:color w:val="000000"/>
                <w:kern w:val="32"/>
                <w:sz w:val="16"/>
                <w:szCs w:val="16"/>
              </w:rPr>
            </w:pPr>
            <w:r w:rsidRPr="00DD76C8">
              <w:rPr>
                <w:color w:val="000000"/>
                <w:kern w:val="32"/>
                <w:sz w:val="16"/>
              </w:rPr>
              <w:t>61 138 636</w:t>
            </w:r>
          </w:p>
        </w:tc>
      </w:tr>
      <w:tr w:rsidR="002D1DA9" w:rsidRPr="00DD76C8" w:rsidTr="002D1DA9">
        <w:trPr>
          <w:trHeight w:val="300"/>
        </w:trPr>
        <w:tc>
          <w:tcPr>
            <w:tcW w:w="1260"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jc w:val="both"/>
              <w:rPr>
                <w:color w:val="000000"/>
                <w:sz w:val="16"/>
                <w:szCs w:val="16"/>
              </w:rPr>
            </w:pPr>
            <w:r w:rsidRPr="00DD76C8">
              <w:rPr>
                <w:color w:val="000000"/>
                <w:kern w:val="32"/>
                <w:sz w:val="16"/>
              </w:rPr>
              <w:t>4 1 1</w:t>
            </w:r>
          </w:p>
        </w:tc>
        <w:tc>
          <w:tcPr>
            <w:tcW w:w="4567"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Prijenos ili kupnja mirovinskih prava od strane osoblja</w:t>
            </w:r>
          </w:p>
        </w:tc>
        <w:tc>
          <w:tcPr>
            <w:tcW w:w="1418"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9 200 000</w:t>
            </w:r>
          </w:p>
        </w:tc>
        <w:tc>
          <w:tcPr>
            <w:tcW w:w="1275"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9 200 000</w:t>
            </w:r>
          </w:p>
        </w:tc>
        <w:tc>
          <w:tcPr>
            <w:tcW w:w="1560"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jc w:val="right"/>
              <w:rPr>
                <w:rFonts w:cs="Arial"/>
                <w:bCs/>
                <w:color w:val="000000"/>
                <w:kern w:val="32"/>
                <w:sz w:val="16"/>
                <w:szCs w:val="16"/>
              </w:rPr>
            </w:pPr>
            <w:r w:rsidRPr="00DD76C8">
              <w:rPr>
                <w:color w:val="000000"/>
                <w:kern w:val="32"/>
                <w:sz w:val="16"/>
              </w:rPr>
              <w:t>7 294 722</w:t>
            </w:r>
          </w:p>
        </w:tc>
      </w:tr>
      <w:tr w:rsidR="002D1DA9" w:rsidRPr="00DD76C8" w:rsidTr="002D1DA9">
        <w:trPr>
          <w:trHeight w:val="465"/>
        </w:trPr>
        <w:tc>
          <w:tcPr>
            <w:tcW w:w="1260"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jc w:val="both"/>
              <w:rPr>
                <w:color w:val="000000"/>
                <w:sz w:val="16"/>
                <w:szCs w:val="16"/>
              </w:rPr>
            </w:pPr>
            <w:r w:rsidRPr="00DD76C8">
              <w:rPr>
                <w:color w:val="000000"/>
                <w:kern w:val="32"/>
                <w:sz w:val="16"/>
              </w:rPr>
              <w:t>4 1 2</w:t>
            </w:r>
          </w:p>
        </w:tc>
        <w:tc>
          <w:tcPr>
            <w:tcW w:w="4567"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Doprinosi za mirovinski fond dužnosnika i privremenog osoblja koji su na dopustu iz osobnih razloga</w:t>
            </w:r>
          </w:p>
        </w:tc>
        <w:tc>
          <w:tcPr>
            <w:tcW w:w="1418" w:type="dxa"/>
            <w:tcBorders>
              <w:top w:val="nil"/>
              <w:left w:val="nil"/>
              <w:bottom w:val="single" w:sz="8" w:space="0" w:color="auto"/>
              <w:right w:val="single" w:sz="8" w:space="0" w:color="auto"/>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10 000</w:t>
            </w:r>
          </w:p>
        </w:tc>
        <w:tc>
          <w:tcPr>
            <w:tcW w:w="1275" w:type="dxa"/>
            <w:tcBorders>
              <w:top w:val="nil"/>
              <w:left w:val="nil"/>
              <w:bottom w:val="single" w:sz="8" w:space="0" w:color="auto"/>
              <w:right w:val="single" w:sz="8" w:space="0" w:color="auto"/>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10 000</w:t>
            </w:r>
          </w:p>
        </w:tc>
        <w:tc>
          <w:tcPr>
            <w:tcW w:w="1560" w:type="dxa"/>
            <w:tcBorders>
              <w:top w:val="nil"/>
              <w:left w:val="nil"/>
              <w:bottom w:val="single" w:sz="8" w:space="0" w:color="auto"/>
              <w:right w:val="single" w:sz="8" w:space="0" w:color="auto"/>
            </w:tcBorders>
            <w:shd w:val="clear" w:color="auto" w:fill="auto"/>
            <w:vAlign w:val="center"/>
            <w:hideMark/>
          </w:tcPr>
          <w:p w:rsidR="002D1DA9" w:rsidRPr="00DD76C8" w:rsidRDefault="002D1DA9" w:rsidP="002D1DA9">
            <w:pPr>
              <w:widowControl/>
              <w:jc w:val="right"/>
              <w:rPr>
                <w:rFonts w:cs="Arial"/>
                <w:bCs/>
                <w:color w:val="000000"/>
                <w:kern w:val="32"/>
                <w:sz w:val="16"/>
                <w:szCs w:val="16"/>
              </w:rPr>
            </w:pPr>
            <w:r w:rsidRPr="00DD76C8">
              <w:rPr>
                <w:color w:val="000000"/>
                <w:kern w:val="32"/>
                <w:sz w:val="16"/>
              </w:rPr>
              <w:t>22 096</w:t>
            </w:r>
          </w:p>
        </w:tc>
      </w:tr>
      <w:tr w:rsidR="002D1DA9" w:rsidRPr="00DD76C8" w:rsidTr="002D1DA9">
        <w:trPr>
          <w:trHeight w:val="300"/>
        </w:trPr>
        <w:tc>
          <w:tcPr>
            <w:tcW w:w="1260" w:type="dxa"/>
            <w:vMerge w:val="restart"/>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jc w:val="both"/>
              <w:rPr>
                <w:color w:val="000000"/>
                <w:szCs w:val="24"/>
              </w:rPr>
            </w:pPr>
            <w:r w:rsidRPr="00DD76C8">
              <w:rPr>
                <w:color w:val="000000"/>
                <w:kern w:val="32"/>
              </w:rPr>
              <w:t> </w:t>
            </w:r>
          </w:p>
        </w:tc>
        <w:tc>
          <w:tcPr>
            <w:tcW w:w="4567"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 </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75 695 000</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73 922 299</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2D1DA9" w:rsidRPr="00DD76C8" w:rsidRDefault="002D1DA9" w:rsidP="002D1DA9">
            <w:pPr>
              <w:widowControl/>
              <w:jc w:val="right"/>
              <w:rPr>
                <w:rFonts w:cs="Arial"/>
                <w:bCs/>
                <w:color w:val="000000"/>
                <w:kern w:val="32"/>
                <w:sz w:val="16"/>
                <w:szCs w:val="16"/>
              </w:rPr>
            </w:pPr>
            <w:r w:rsidRPr="00DD76C8">
              <w:rPr>
                <w:color w:val="000000"/>
                <w:kern w:val="32"/>
                <w:sz w:val="16"/>
              </w:rPr>
              <w:t>68 455 454</w:t>
            </w:r>
          </w:p>
        </w:tc>
      </w:tr>
      <w:tr w:rsidR="002D1DA9" w:rsidRPr="00DD76C8" w:rsidTr="002D1DA9">
        <w:trPr>
          <w:trHeight w:val="315"/>
        </w:trPr>
        <w:tc>
          <w:tcPr>
            <w:tcW w:w="1260" w:type="dxa"/>
            <w:vMerge/>
            <w:tcBorders>
              <w:top w:val="nil"/>
              <w:left w:val="single" w:sz="8" w:space="0" w:color="auto"/>
              <w:bottom w:val="nil"/>
              <w:right w:val="single" w:sz="8" w:space="0" w:color="auto"/>
            </w:tcBorders>
            <w:vAlign w:val="center"/>
            <w:hideMark/>
          </w:tcPr>
          <w:p w:rsidR="002D1DA9" w:rsidRPr="00DD76C8" w:rsidRDefault="002D1DA9" w:rsidP="002D1DA9">
            <w:pPr>
              <w:widowControl/>
              <w:rPr>
                <w:color w:val="000000"/>
                <w:szCs w:val="24"/>
              </w:rPr>
            </w:pPr>
          </w:p>
        </w:tc>
        <w:tc>
          <w:tcPr>
            <w:tcW w:w="4567"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Poglavlje 4 1 — Ukupno</w:t>
            </w:r>
          </w:p>
        </w:tc>
        <w:tc>
          <w:tcPr>
            <w:tcW w:w="1418" w:type="dxa"/>
            <w:vMerge/>
            <w:tcBorders>
              <w:top w:val="nil"/>
              <w:left w:val="single" w:sz="8" w:space="0" w:color="auto"/>
              <w:bottom w:val="single" w:sz="8" w:space="0" w:color="000000"/>
              <w:right w:val="single" w:sz="8" w:space="0" w:color="auto"/>
            </w:tcBorders>
            <w:vAlign w:val="center"/>
            <w:hideMark/>
          </w:tcPr>
          <w:p w:rsidR="002D1DA9" w:rsidRPr="00DD76C8" w:rsidRDefault="002D1DA9" w:rsidP="002D1DA9">
            <w:pPr>
              <w:widowControl/>
              <w:rPr>
                <w:color w:val="000000"/>
                <w:sz w:val="16"/>
                <w:szCs w:val="16"/>
              </w:rPr>
            </w:pPr>
          </w:p>
        </w:tc>
        <w:tc>
          <w:tcPr>
            <w:tcW w:w="1275" w:type="dxa"/>
            <w:vMerge/>
            <w:tcBorders>
              <w:top w:val="nil"/>
              <w:left w:val="single" w:sz="8" w:space="0" w:color="auto"/>
              <w:bottom w:val="single" w:sz="8" w:space="0" w:color="000000"/>
              <w:right w:val="single" w:sz="8" w:space="0" w:color="auto"/>
            </w:tcBorders>
            <w:vAlign w:val="center"/>
            <w:hideMark/>
          </w:tcPr>
          <w:p w:rsidR="002D1DA9" w:rsidRPr="00DD76C8" w:rsidRDefault="002D1DA9" w:rsidP="002D1DA9">
            <w:pPr>
              <w:widowControl/>
              <w:rPr>
                <w:color w:val="000000"/>
                <w:sz w:val="16"/>
                <w:szCs w:val="16"/>
              </w:rPr>
            </w:pPr>
          </w:p>
        </w:tc>
        <w:tc>
          <w:tcPr>
            <w:tcW w:w="1560" w:type="dxa"/>
            <w:vMerge/>
            <w:tcBorders>
              <w:top w:val="nil"/>
              <w:left w:val="single" w:sz="8" w:space="0" w:color="auto"/>
              <w:bottom w:val="single" w:sz="8" w:space="0" w:color="000000"/>
              <w:right w:val="single" w:sz="8" w:space="0" w:color="auto"/>
            </w:tcBorders>
            <w:vAlign w:val="center"/>
            <w:hideMark/>
          </w:tcPr>
          <w:p w:rsidR="002D1DA9" w:rsidRPr="00DD76C8" w:rsidRDefault="002D1DA9" w:rsidP="002D1DA9">
            <w:pPr>
              <w:widowControl/>
              <w:rPr>
                <w:color w:val="000000"/>
                <w:sz w:val="16"/>
                <w:szCs w:val="16"/>
              </w:rPr>
            </w:pPr>
          </w:p>
        </w:tc>
      </w:tr>
      <w:tr w:rsidR="002D1DA9" w:rsidRPr="00DD76C8" w:rsidTr="002D1DA9">
        <w:trPr>
          <w:trHeight w:val="300"/>
        </w:trPr>
        <w:tc>
          <w:tcPr>
            <w:tcW w:w="1260"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jc w:val="both"/>
              <w:rPr>
                <w:color w:val="000000"/>
                <w:sz w:val="16"/>
                <w:szCs w:val="16"/>
              </w:rPr>
            </w:pPr>
            <w:r w:rsidRPr="00DD76C8">
              <w:rPr>
                <w:color w:val="000000"/>
                <w:kern w:val="32"/>
                <w:sz w:val="16"/>
              </w:rPr>
              <w:t>4 2</w:t>
            </w:r>
          </w:p>
        </w:tc>
        <w:tc>
          <w:tcPr>
            <w:tcW w:w="4567" w:type="dxa"/>
            <w:tcBorders>
              <w:top w:val="nil"/>
              <w:left w:val="nil"/>
              <w:bottom w:val="nil"/>
              <w:right w:val="nil"/>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OSTALI DOPRINOSI ZA MIROVINSKI FOND</w:t>
            </w:r>
          </w:p>
        </w:tc>
        <w:tc>
          <w:tcPr>
            <w:tcW w:w="1418" w:type="dxa"/>
            <w:tcBorders>
              <w:top w:val="nil"/>
              <w:left w:val="single" w:sz="8" w:space="0" w:color="auto"/>
              <w:bottom w:val="nil"/>
              <w:right w:val="nil"/>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 </w:t>
            </w:r>
          </w:p>
        </w:tc>
        <w:tc>
          <w:tcPr>
            <w:tcW w:w="1275" w:type="dxa"/>
            <w:tcBorders>
              <w:top w:val="nil"/>
              <w:left w:val="single" w:sz="8" w:space="0" w:color="auto"/>
              <w:bottom w:val="nil"/>
              <w:right w:val="nil"/>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 </w:t>
            </w:r>
          </w:p>
        </w:tc>
        <w:tc>
          <w:tcPr>
            <w:tcW w:w="1560"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jc w:val="both"/>
              <w:rPr>
                <w:rFonts w:cs="Arial"/>
                <w:bCs/>
                <w:color w:val="000000"/>
                <w:kern w:val="32"/>
                <w:sz w:val="16"/>
                <w:szCs w:val="16"/>
              </w:rPr>
            </w:pPr>
            <w:r w:rsidRPr="00DD76C8">
              <w:rPr>
                <w:color w:val="000000"/>
                <w:kern w:val="32"/>
                <w:sz w:val="16"/>
              </w:rPr>
              <w:t> </w:t>
            </w:r>
          </w:p>
        </w:tc>
      </w:tr>
      <w:tr w:rsidR="002D1DA9" w:rsidRPr="00DD76C8" w:rsidTr="002D1DA9">
        <w:trPr>
          <w:trHeight w:val="315"/>
        </w:trPr>
        <w:tc>
          <w:tcPr>
            <w:tcW w:w="1260"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jc w:val="both"/>
              <w:rPr>
                <w:color w:val="000000"/>
                <w:sz w:val="16"/>
                <w:szCs w:val="16"/>
              </w:rPr>
            </w:pPr>
            <w:r w:rsidRPr="00DD76C8">
              <w:rPr>
                <w:color w:val="000000"/>
                <w:kern w:val="32"/>
                <w:sz w:val="16"/>
              </w:rPr>
              <w:t>4 2 1</w:t>
            </w:r>
          </w:p>
        </w:tc>
        <w:tc>
          <w:tcPr>
            <w:tcW w:w="4567" w:type="dxa"/>
            <w:tcBorders>
              <w:top w:val="nil"/>
              <w:left w:val="nil"/>
              <w:bottom w:val="nil"/>
              <w:right w:val="nil"/>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Doprinosi zastupnika Parlamenta za mirovinsko osiguranje</w:t>
            </w:r>
          </w:p>
        </w:tc>
        <w:tc>
          <w:tcPr>
            <w:tcW w:w="1418" w:type="dxa"/>
            <w:tcBorders>
              <w:top w:val="nil"/>
              <w:left w:val="single" w:sz="8" w:space="0" w:color="auto"/>
              <w:bottom w:val="single" w:sz="8" w:space="0" w:color="auto"/>
              <w:right w:val="nil"/>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p.m.</w:t>
            </w:r>
          </w:p>
        </w:tc>
        <w:tc>
          <w:tcPr>
            <w:tcW w:w="1275" w:type="dxa"/>
            <w:tcBorders>
              <w:top w:val="nil"/>
              <w:left w:val="single" w:sz="8" w:space="0" w:color="auto"/>
              <w:bottom w:val="single" w:sz="8" w:space="0" w:color="auto"/>
              <w:right w:val="nil"/>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p.m.</w:t>
            </w: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2D1DA9" w:rsidRPr="00DD76C8" w:rsidRDefault="002D1DA9" w:rsidP="002D1DA9">
            <w:pPr>
              <w:widowControl/>
              <w:jc w:val="right"/>
              <w:rPr>
                <w:rFonts w:cs="Arial"/>
                <w:bCs/>
                <w:color w:val="000000"/>
                <w:kern w:val="32"/>
                <w:sz w:val="16"/>
                <w:szCs w:val="16"/>
              </w:rPr>
            </w:pPr>
            <w:r w:rsidRPr="00DD76C8">
              <w:rPr>
                <w:color w:val="000000"/>
                <w:kern w:val="32"/>
                <w:sz w:val="16"/>
              </w:rPr>
              <w:t>p.m.</w:t>
            </w:r>
          </w:p>
        </w:tc>
      </w:tr>
      <w:tr w:rsidR="002D1DA9" w:rsidRPr="00DD76C8" w:rsidTr="002D1DA9">
        <w:trPr>
          <w:trHeight w:val="330"/>
        </w:trPr>
        <w:tc>
          <w:tcPr>
            <w:tcW w:w="1260"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jc w:val="right"/>
              <w:rPr>
                <w:color w:val="000000"/>
                <w:szCs w:val="24"/>
              </w:rPr>
            </w:pPr>
            <w:r w:rsidRPr="00DD76C8">
              <w:rPr>
                <w:color w:val="000000"/>
                <w:kern w:val="32"/>
              </w:rPr>
              <w:t> </w:t>
            </w:r>
          </w:p>
        </w:tc>
        <w:tc>
          <w:tcPr>
            <w:tcW w:w="4567" w:type="dxa"/>
            <w:tcBorders>
              <w:top w:val="nil"/>
              <w:left w:val="nil"/>
              <w:bottom w:val="nil"/>
              <w:right w:val="nil"/>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Poglavlje 4 2 — Ukupno</w:t>
            </w:r>
          </w:p>
        </w:tc>
        <w:tc>
          <w:tcPr>
            <w:tcW w:w="1418" w:type="dxa"/>
            <w:tcBorders>
              <w:top w:val="nil"/>
              <w:left w:val="single" w:sz="8" w:space="0" w:color="auto"/>
              <w:bottom w:val="single" w:sz="8" w:space="0" w:color="auto"/>
              <w:right w:val="nil"/>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0</w:t>
            </w:r>
          </w:p>
        </w:tc>
        <w:tc>
          <w:tcPr>
            <w:tcW w:w="1275" w:type="dxa"/>
            <w:tcBorders>
              <w:top w:val="nil"/>
              <w:left w:val="single" w:sz="8" w:space="0" w:color="auto"/>
              <w:bottom w:val="single" w:sz="8" w:space="0" w:color="auto"/>
              <w:right w:val="nil"/>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0</w:t>
            </w: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2D1DA9" w:rsidRPr="00DD76C8" w:rsidRDefault="002D1DA9" w:rsidP="002D1DA9">
            <w:pPr>
              <w:widowControl/>
              <w:jc w:val="right"/>
              <w:rPr>
                <w:rFonts w:cs="Arial"/>
                <w:bCs/>
                <w:color w:val="000000"/>
                <w:kern w:val="32"/>
                <w:sz w:val="16"/>
                <w:szCs w:val="16"/>
              </w:rPr>
            </w:pPr>
            <w:r w:rsidRPr="00DD76C8">
              <w:rPr>
                <w:color w:val="000000"/>
                <w:kern w:val="32"/>
                <w:sz w:val="16"/>
              </w:rPr>
              <w:t>0</w:t>
            </w:r>
          </w:p>
        </w:tc>
      </w:tr>
      <w:tr w:rsidR="002D1DA9" w:rsidRPr="00DD76C8" w:rsidTr="002D1DA9">
        <w:trPr>
          <w:trHeight w:val="300"/>
        </w:trPr>
        <w:tc>
          <w:tcPr>
            <w:tcW w:w="1260" w:type="dxa"/>
            <w:vMerge w:val="restart"/>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jc w:val="right"/>
              <w:rPr>
                <w:b/>
                <w:bCs/>
                <w:color w:val="000000"/>
                <w:sz w:val="16"/>
                <w:szCs w:val="16"/>
              </w:rPr>
            </w:pPr>
            <w:r w:rsidRPr="00DD76C8">
              <w:rPr>
                <w:b/>
                <w:color w:val="000000"/>
                <w:kern w:val="32"/>
                <w:sz w:val="16"/>
              </w:rPr>
              <w:t> </w:t>
            </w:r>
          </w:p>
        </w:tc>
        <w:tc>
          <w:tcPr>
            <w:tcW w:w="4567" w:type="dxa"/>
            <w:vMerge w:val="restart"/>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jc w:val="right"/>
              <w:rPr>
                <w:b/>
                <w:bCs/>
                <w:color w:val="000000"/>
                <w:sz w:val="16"/>
                <w:szCs w:val="16"/>
              </w:rPr>
            </w:pPr>
            <w:r w:rsidRPr="00DD76C8">
              <w:rPr>
                <w:b/>
                <w:color w:val="000000"/>
                <w:kern w:val="32"/>
                <w:sz w:val="16"/>
              </w:rPr>
              <w:t>Glava 4 — Ukupno</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rsidR="002D1DA9" w:rsidRPr="00DD76C8" w:rsidRDefault="002D1DA9" w:rsidP="002D1DA9">
            <w:pPr>
              <w:widowControl/>
              <w:jc w:val="right"/>
              <w:rPr>
                <w:b/>
                <w:bCs/>
                <w:color w:val="000000"/>
                <w:sz w:val="16"/>
                <w:szCs w:val="16"/>
              </w:rPr>
            </w:pPr>
            <w:r w:rsidRPr="00DD76C8">
              <w:rPr>
                <w:b/>
                <w:color w:val="000000"/>
                <w:kern w:val="32"/>
                <w:sz w:val="16"/>
              </w:rPr>
              <w:t>164 365 000</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rsidR="002D1DA9" w:rsidRPr="00DD76C8" w:rsidRDefault="002D1DA9" w:rsidP="002D1DA9">
            <w:pPr>
              <w:widowControl/>
              <w:jc w:val="right"/>
              <w:rPr>
                <w:b/>
                <w:bCs/>
                <w:color w:val="000000"/>
                <w:sz w:val="16"/>
                <w:szCs w:val="16"/>
              </w:rPr>
            </w:pPr>
            <w:r w:rsidRPr="00DD76C8">
              <w:rPr>
                <w:b/>
                <w:color w:val="000000"/>
                <w:kern w:val="32"/>
                <w:sz w:val="16"/>
              </w:rPr>
              <w:t>159 034 183</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2D1DA9" w:rsidRPr="00DD76C8" w:rsidRDefault="002D1DA9" w:rsidP="002D1DA9">
            <w:pPr>
              <w:widowControl/>
              <w:jc w:val="right"/>
              <w:rPr>
                <w:rFonts w:cs="Arial"/>
                <w:b/>
                <w:bCs/>
                <w:color w:val="000000"/>
                <w:kern w:val="32"/>
                <w:sz w:val="16"/>
                <w:szCs w:val="16"/>
              </w:rPr>
            </w:pPr>
            <w:r w:rsidRPr="00DD76C8">
              <w:rPr>
                <w:b/>
                <w:color w:val="000000"/>
                <w:kern w:val="32"/>
                <w:sz w:val="16"/>
              </w:rPr>
              <w:t>150 706 543</w:t>
            </w:r>
          </w:p>
        </w:tc>
      </w:tr>
      <w:tr w:rsidR="002D1DA9" w:rsidRPr="00DD76C8" w:rsidTr="002D1DA9">
        <w:trPr>
          <w:trHeight w:val="315"/>
        </w:trPr>
        <w:tc>
          <w:tcPr>
            <w:tcW w:w="1260" w:type="dxa"/>
            <w:vMerge/>
            <w:tcBorders>
              <w:top w:val="nil"/>
              <w:left w:val="single" w:sz="8" w:space="0" w:color="auto"/>
              <w:bottom w:val="nil"/>
              <w:right w:val="single" w:sz="8" w:space="0" w:color="auto"/>
            </w:tcBorders>
            <w:vAlign w:val="center"/>
            <w:hideMark/>
          </w:tcPr>
          <w:p w:rsidR="002D1DA9" w:rsidRPr="00DD76C8" w:rsidRDefault="002D1DA9" w:rsidP="002D1DA9">
            <w:pPr>
              <w:widowControl/>
              <w:rPr>
                <w:b/>
                <w:bCs/>
                <w:color w:val="000000"/>
                <w:sz w:val="16"/>
                <w:szCs w:val="16"/>
              </w:rPr>
            </w:pPr>
          </w:p>
        </w:tc>
        <w:tc>
          <w:tcPr>
            <w:tcW w:w="4567" w:type="dxa"/>
            <w:vMerge/>
            <w:tcBorders>
              <w:top w:val="nil"/>
              <w:left w:val="single" w:sz="8" w:space="0" w:color="auto"/>
              <w:bottom w:val="nil"/>
              <w:right w:val="single" w:sz="8" w:space="0" w:color="auto"/>
            </w:tcBorders>
            <w:vAlign w:val="center"/>
            <w:hideMark/>
          </w:tcPr>
          <w:p w:rsidR="002D1DA9" w:rsidRPr="00DD76C8" w:rsidRDefault="002D1DA9" w:rsidP="002D1DA9">
            <w:pPr>
              <w:widowControl/>
              <w:rPr>
                <w:b/>
                <w:bCs/>
                <w:color w:val="000000"/>
                <w:sz w:val="16"/>
                <w:szCs w:val="16"/>
              </w:rPr>
            </w:pPr>
          </w:p>
        </w:tc>
        <w:tc>
          <w:tcPr>
            <w:tcW w:w="1418" w:type="dxa"/>
            <w:vMerge/>
            <w:tcBorders>
              <w:top w:val="nil"/>
              <w:left w:val="single" w:sz="8" w:space="0" w:color="auto"/>
              <w:bottom w:val="single" w:sz="8" w:space="0" w:color="000000"/>
              <w:right w:val="single" w:sz="8" w:space="0" w:color="auto"/>
            </w:tcBorders>
            <w:vAlign w:val="center"/>
            <w:hideMark/>
          </w:tcPr>
          <w:p w:rsidR="002D1DA9" w:rsidRPr="00DD76C8" w:rsidRDefault="002D1DA9" w:rsidP="002D1DA9">
            <w:pPr>
              <w:widowControl/>
              <w:rPr>
                <w:b/>
                <w:bCs/>
                <w:color w:val="000000"/>
                <w:sz w:val="16"/>
                <w:szCs w:val="16"/>
              </w:rPr>
            </w:pPr>
          </w:p>
        </w:tc>
        <w:tc>
          <w:tcPr>
            <w:tcW w:w="1275" w:type="dxa"/>
            <w:vMerge/>
            <w:tcBorders>
              <w:top w:val="nil"/>
              <w:left w:val="single" w:sz="8" w:space="0" w:color="auto"/>
              <w:bottom w:val="single" w:sz="8" w:space="0" w:color="000000"/>
              <w:right w:val="single" w:sz="8" w:space="0" w:color="auto"/>
            </w:tcBorders>
            <w:vAlign w:val="center"/>
            <w:hideMark/>
          </w:tcPr>
          <w:p w:rsidR="002D1DA9" w:rsidRPr="00DD76C8" w:rsidRDefault="002D1DA9" w:rsidP="002D1DA9">
            <w:pPr>
              <w:widowControl/>
              <w:rPr>
                <w:b/>
                <w:bCs/>
                <w:color w:val="000000"/>
                <w:sz w:val="16"/>
                <w:szCs w:val="16"/>
              </w:rPr>
            </w:pPr>
          </w:p>
        </w:tc>
        <w:tc>
          <w:tcPr>
            <w:tcW w:w="1560" w:type="dxa"/>
            <w:vMerge/>
            <w:tcBorders>
              <w:top w:val="nil"/>
              <w:left w:val="single" w:sz="8" w:space="0" w:color="auto"/>
              <w:bottom w:val="single" w:sz="8" w:space="0" w:color="000000"/>
              <w:right w:val="single" w:sz="8" w:space="0" w:color="auto"/>
            </w:tcBorders>
            <w:vAlign w:val="center"/>
            <w:hideMark/>
          </w:tcPr>
          <w:p w:rsidR="002D1DA9" w:rsidRPr="00DD76C8" w:rsidRDefault="002D1DA9" w:rsidP="002D1DA9">
            <w:pPr>
              <w:widowControl/>
              <w:rPr>
                <w:b/>
                <w:bCs/>
                <w:color w:val="000000"/>
                <w:sz w:val="16"/>
                <w:szCs w:val="16"/>
              </w:rPr>
            </w:pPr>
          </w:p>
        </w:tc>
      </w:tr>
      <w:tr w:rsidR="002D1DA9" w:rsidRPr="00DD76C8" w:rsidTr="002D1DA9">
        <w:trPr>
          <w:trHeight w:val="420"/>
        </w:trPr>
        <w:tc>
          <w:tcPr>
            <w:tcW w:w="1260"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jc w:val="both"/>
              <w:rPr>
                <w:b/>
                <w:bCs/>
                <w:color w:val="000000"/>
                <w:sz w:val="16"/>
                <w:szCs w:val="16"/>
              </w:rPr>
            </w:pPr>
            <w:r w:rsidRPr="00DD76C8">
              <w:rPr>
                <w:b/>
                <w:color w:val="000000"/>
                <w:kern w:val="32"/>
                <w:sz w:val="16"/>
              </w:rPr>
              <w:t>5</w:t>
            </w:r>
          </w:p>
        </w:tc>
        <w:tc>
          <w:tcPr>
            <w:tcW w:w="4567" w:type="dxa"/>
            <w:tcBorders>
              <w:top w:val="nil"/>
              <w:left w:val="nil"/>
              <w:bottom w:val="nil"/>
              <w:right w:val="nil"/>
            </w:tcBorders>
            <w:shd w:val="clear" w:color="auto" w:fill="auto"/>
            <w:vAlign w:val="center"/>
            <w:hideMark/>
          </w:tcPr>
          <w:p w:rsidR="002D1DA9" w:rsidRPr="00DD76C8" w:rsidRDefault="002D1DA9" w:rsidP="002D1DA9">
            <w:pPr>
              <w:widowControl/>
              <w:rPr>
                <w:b/>
                <w:bCs/>
                <w:color w:val="000000"/>
                <w:sz w:val="16"/>
                <w:szCs w:val="16"/>
              </w:rPr>
            </w:pPr>
            <w:r w:rsidRPr="00DD76C8">
              <w:rPr>
                <w:b/>
                <w:color w:val="000000"/>
                <w:kern w:val="32"/>
                <w:sz w:val="16"/>
              </w:rPr>
              <w:t>PRIHODI OD ADMINISTRATIVNOG POSLOVANJA INSTITUCIJE</w:t>
            </w:r>
          </w:p>
        </w:tc>
        <w:tc>
          <w:tcPr>
            <w:tcW w:w="1418" w:type="dxa"/>
            <w:tcBorders>
              <w:top w:val="nil"/>
              <w:left w:val="single" w:sz="8" w:space="0" w:color="auto"/>
              <w:bottom w:val="nil"/>
              <w:right w:val="nil"/>
            </w:tcBorders>
            <w:shd w:val="clear" w:color="auto" w:fill="auto"/>
            <w:vAlign w:val="center"/>
            <w:hideMark/>
          </w:tcPr>
          <w:p w:rsidR="002D1DA9" w:rsidRPr="00DD76C8" w:rsidRDefault="002D1DA9" w:rsidP="002D1DA9">
            <w:pPr>
              <w:widowControl/>
              <w:jc w:val="right"/>
              <w:rPr>
                <w:b/>
                <w:bCs/>
                <w:color w:val="000000"/>
                <w:sz w:val="16"/>
                <w:szCs w:val="16"/>
              </w:rPr>
            </w:pPr>
            <w:r w:rsidRPr="00DD76C8">
              <w:rPr>
                <w:b/>
                <w:color w:val="000000"/>
                <w:kern w:val="32"/>
                <w:sz w:val="16"/>
              </w:rPr>
              <w:t> </w:t>
            </w:r>
          </w:p>
        </w:tc>
        <w:tc>
          <w:tcPr>
            <w:tcW w:w="1275" w:type="dxa"/>
            <w:tcBorders>
              <w:top w:val="nil"/>
              <w:left w:val="single" w:sz="8" w:space="0" w:color="auto"/>
              <w:bottom w:val="nil"/>
              <w:right w:val="nil"/>
            </w:tcBorders>
            <w:shd w:val="clear" w:color="auto" w:fill="auto"/>
            <w:vAlign w:val="center"/>
            <w:hideMark/>
          </w:tcPr>
          <w:p w:rsidR="002D1DA9" w:rsidRPr="00DD76C8" w:rsidRDefault="002D1DA9" w:rsidP="002D1DA9">
            <w:pPr>
              <w:widowControl/>
              <w:jc w:val="right"/>
              <w:rPr>
                <w:b/>
                <w:bCs/>
                <w:color w:val="000000"/>
                <w:sz w:val="16"/>
                <w:szCs w:val="16"/>
              </w:rPr>
            </w:pPr>
            <w:r w:rsidRPr="00DD76C8">
              <w:rPr>
                <w:b/>
                <w:color w:val="000000"/>
                <w:kern w:val="32"/>
                <w:sz w:val="16"/>
              </w:rPr>
              <w:t> </w:t>
            </w:r>
          </w:p>
        </w:tc>
        <w:tc>
          <w:tcPr>
            <w:tcW w:w="1560"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jc w:val="right"/>
              <w:rPr>
                <w:rFonts w:cs="Arial"/>
                <w:b/>
                <w:bCs/>
                <w:color w:val="000000"/>
                <w:kern w:val="32"/>
                <w:sz w:val="16"/>
                <w:szCs w:val="16"/>
              </w:rPr>
            </w:pPr>
            <w:r w:rsidRPr="00DD76C8">
              <w:rPr>
                <w:b/>
                <w:color w:val="000000"/>
                <w:kern w:val="32"/>
                <w:sz w:val="16"/>
              </w:rPr>
              <w:t> </w:t>
            </w:r>
          </w:p>
        </w:tc>
      </w:tr>
      <w:tr w:rsidR="002D1DA9" w:rsidRPr="00DD76C8" w:rsidTr="002D1DA9">
        <w:trPr>
          <w:trHeight w:val="300"/>
        </w:trPr>
        <w:tc>
          <w:tcPr>
            <w:tcW w:w="1260" w:type="dxa"/>
            <w:vMerge w:val="restart"/>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jc w:val="both"/>
              <w:rPr>
                <w:color w:val="000000"/>
                <w:sz w:val="16"/>
                <w:szCs w:val="16"/>
              </w:rPr>
            </w:pPr>
            <w:r w:rsidRPr="00DD76C8">
              <w:rPr>
                <w:color w:val="000000"/>
                <w:kern w:val="32"/>
                <w:sz w:val="16"/>
              </w:rPr>
              <w:t>5 0</w:t>
            </w:r>
          </w:p>
        </w:tc>
        <w:tc>
          <w:tcPr>
            <w:tcW w:w="4567" w:type="dxa"/>
            <w:vMerge w:val="restart"/>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PRIHODI OD PRODAJE POKRETNINA (NABAVA ROBE) I NEKRETNINA</w:t>
            </w:r>
          </w:p>
        </w:tc>
        <w:tc>
          <w:tcPr>
            <w:tcW w:w="1418" w:type="dxa"/>
            <w:vMerge w:val="restart"/>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 </w:t>
            </w:r>
          </w:p>
        </w:tc>
        <w:tc>
          <w:tcPr>
            <w:tcW w:w="1275" w:type="dxa"/>
            <w:vMerge w:val="restart"/>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 </w:t>
            </w:r>
          </w:p>
        </w:tc>
        <w:tc>
          <w:tcPr>
            <w:tcW w:w="1560" w:type="dxa"/>
            <w:vMerge w:val="restart"/>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jc w:val="right"/>
              <w:rPr>
                <w:rFonts w:cs="Arial"/>
                <w:bCs/>
                <w:color w:val="000000"/>
                <w:kern w:val="32"/>
                <w:sz w:val="16"/>
                <w:szCs w:val="16"/>
              </w:rPr>
            </w:pPr>
            <w:r w:rsidRPr="00DD76C8">
              <w:rPr>
                <w:color w:val="000000"/>
                <w:kern w:val="32"/>
                <w:sz w:val="16"/>
              </w:rPr>
              <w:t> </w:t>
            </w:r>
          </w:p>
        </w:tc>
      </w:tr>
      <w:tr w:rsidR="002D1DA9" w:rsidRPr="00DD76C8" w:rsidTr="002D1DA9">
        <w:trPr>
          <w:trHeight w:val="300"/>
        </w:trPr>
        <w:tc>
          <w:tcPr>
            <w:tcW w:w="1260" w:type="dxa"/>
            <w:vMerge/>
            <w:tcBorders>
              <w:top w:val="nil"/>
              <w:left w:val="single" w:sz="8" w:space="0" w:color="auto"/>
              <w:bottom w:val="nil"/>
              <w:right w:val="single" w:sz="8" w:space="0" w:color="auto"/>
            </w:tcBorders>
            <w:vAlign w:val="center"/>
            <w:hideMark/>
          </w:tcPr>
          <w:p w:rsidR="002D1DA9" w:rsidRPr="00DD76C8" w:rsidRDefault="002D1DA9" w:rsidP="002D1DA9">
            <w:pPr>
              <w:widowControl/>
              <w:rPr>
                <w:color w:val="000000"/>
                <w:sz w:val="16"/>
                <w:szCs w:val="16"/>
              </w:rPr>
            </w:pPr>
          </w:p>
        </w:tc>
        <w:tc>
          <w:tcPr>
            <w:tcW w:w="4567" w:type="dxa"/>
            <w:vMerge/>
            <w:tcBorders>
              <w:top w:val="nil"/>
              <w:left w:val="single" w:sz="8" w:space="0" w:color="auto"/>
              <w:bottom w:val="nil"/>
              <w:right w:val="single" w:sz="8" w:space="0" w:color="auto"/>
            </w:tcBorders>
            <w:vAlign w:val="center"/>
            <w:hideMark/>
          </w:tcPr>
          <w:p w:rsidR="002D1DA9" w:rsidRPr="00DD76C8" w:rsidRDefault="002D1DA9" w:rsidP="002D1DA9">
            <w:pPr>
              <w:widowControl/>
              <w:rPr>
                <w:color w:val="000000"/>
                <w:sz w:val="16"/>
                <w:szCs w:val="16"/>
              </w:rPr>
            </w:pPr>
          </w:p>
        </w:tc>
        <w:tc>
          <w:tcPr>
            <w:tcW w:w="1418" w:type="dxa"/>
            <w:vMerge/>
            <w:tcBorders>
              <w:top w:val="nil"/>
              <w:left w:val="single" w:sz="8" w:space="0" w:color="auto"/>
              <w:bottom w:val="nil"/>
              <w:right w:val="single" w:sz="8" w:space="0" w:color="auto"/>
            </w:tcBorders>
            <w:vAlign w:val="center"/>
            <w:hideMark/>
          </w:tcPr>
          <w:p w:rsidR="002D1DA9" w:rsidRPr="00DD76C8" w:rsidRDefault="002D1DA9" w:rsidP="002D1DA9">
            <w:pPr>
              <w:widowControl/>
              <w:rPr>
                <w:color w:val="000000"/>
                <w:sz w:val="16"/>
                <w:szCs w:val="16"/>
              </w:rPr>
            </w:pPr>
          </w:p>
        </w:tc>
        <w:tc>
          <w:tcPr>
            <w:tcW w:w="1275" w:type="dxa"/>
            <w:vMerge/>
            <w:tcBorders>
              <w:top w:val="nil"/>
              <w:left w:val="single" w:sz="8" w:space="0" w:color="auto"/>
              <w:bottom w:val="nil"/>
              <w:right w:val="single" w:sz="8" w:space="0" w:color="auto"/>
            </w:tcBorders>
            <w:vAlign w:val="center"/>
            <w:hideMark/>
          </w:tcPr>
          <w:p w:rsidR="002D1DA9" w:rsidRPr="00DD76C8" w:rsidRDefault="002D1DA9" w:rsidP="002D1DA9">
            <w:pPr>
              <w:widowControl/>
              <w:rPr>
                <w:color w:val="000000"/>
                <w:sz w:val="16"/>
                <w:szCs w:val="16"/>
              </w:rPr>
            </w:pPr>
          </w:p>
        </w:tc>
        <w:tc>
          <w:tcPr>
            <w:tcW w:w="1560" w:type="dxa"/>
            <w:vMerge/>
            <w:tcBorders>
              <w:top w:val="nil"/>
              <w:left w:val="single" w:sz="8" w:space="0" w:color="auto"/>
              <w:bottom w:val="nil"/>
              <w:right w:val="single" w:sz="8" w:space="0" w:color="auto"/>
            </w:tcBorders>
            <w:vAlign w:val="center"/>
            <w:hideMark/>
          </w:tcPr>
          <w:p w:rsidR="002D1DA9" w:rsidRPr="00DD76C8" w:rsidRDefault="002D1DA9" w:rsidP="002D1DA9">
            <w:pPr>
              <w:widowControl/>
              <w:rPr>
                <w:color w:val="000000"/>
                <w:sz w:val="16"/>
                <w:szCs w:val="16"/>
              </w:rPr>
            </w:pPr>
          </w:p>
        </w:tc>
      </w:tr>
      <w:tr w:rsidR="002D1DA9" w:rsidRPr="00DD76C8" w:rsidTr="002D1DA9">
        <w:trPr>
          <w:trHeight w:val="300"/>
        </w:trPr>
        <w:tc>
          <w:tcPr>
            <w:tcW w:w="1260"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jc w:val="both"/>
              <w:rPr>
                <w:color w:val="000000"/>
                <w:sz w:val="16"/>
                <w:szCs w:val="16"/>
              </w:rPr>
            </w:pPr>
            <w:r w:rsidRPr="00DD76C8">
              <w:rPr>
                <w:color w:val="000000"/>
                <w:kern w:val="32"/>
                <w:sz w:val="16"/>
              </w:rPr>
              <w:t>5 0 0</w:t>
            </w:r>
          </w:p>
        </w:tc>
        <w:tc>
          <w:tcPr>
            <w:tcW w:w="4567" w:type="dxa"/>
            <w:tcBorders>
              <w:top w:val="nil"/>
              <w:left w:val="nil"/>
              <w:bottom w:val="nil"/>
              <w:right w:val="nil"/>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Primitci od prodaje pokretne imovine (nabava robe)</w:t>
            </w:r>
          </w:p>
        </w:tc>
        <w:tc>
          <w:tcPr>
            <w:tcW w:w="1418" w:type="dxa"/>
            <w:tcBorders>
              <w:top w:val="nil"/>
              <w:left w:val="single" w:sz="8" w:space="0" w:color="auto"/>
              <w:bottom w:val="nil"/>
              <w:right w:val="nil"/>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 </w:t>
            </w:r>
          </w:p>
        </w:tc>
        <w:tc>
          <w:tcPr>
            <w:tcW w:w="1275" w:type="dxa"/>
            <w:tcBorders>
              <w:top w:val="nil"/>
              <w:left w:val="single" w:sz="8" w:space="0" w:color="auto"/>
              <w:bottom w:val="nil"/>
              <w:right w:val="nil"/>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 </w:t>
            </w:r>
          </w:p>
        </w:tc>
        <w:tc>
          <w:tcPr>
            <w:tcW w:w="1560"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jc w:val="right"/>
              <w:rPr>
                <w:rFonts w:cs="Arial"/>
                <w:bCs/>
                <w:color w:val="000000"/>
                <w:kern w:val="32"/>
                <w:sz w:val="16"/>
                <w:szCs w:val="16"/>
              </w:rPr>
            </w:pPr>
            <w:r w:rsidRPr="00DD76C8">
              <w:rPr>
                <w:color w:val="000000"/>
                <w:kern w:val="32"/>
                <w:sz w:val="16"/>
              </w:rPr>
              <w:t> </w:t>
            </w:r>
          </w:p>
        </w:tc>
      </w:tr>
      <w:tr w:rsidR="002D1DA9" w:rsidRPr="00DD76C8" w:rsidTr="002D1DA9">
        <w:trPr>
          <w:trHeight w:val="300"/>
        </w:trPr>
        <w:tc>
          <w:tcPr>
            <w:tcW w:w="1260"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jc w:val="both"/>
              <w:rPr>
                <w:color w:val="000000"/>
                <w:sz w:val="16"/>
                <w:szCs w:val="16"/>
              </w:rPr>
            </w:pPr>
            <w:r w:rsidRPr="00DD76C8">
              <w:rPr>
                <w:color w:val="000000"/>
                <w:kern w:val="32"/>
                <w:sz w:val="16"/>
              </w:rPr>
              <w:t>5 0 0 0</w:t>
            </w:r>
          </w:p>
        </w:tc>
        <w:tc>
          <w:tcPr>
            <w:tcW w:w="4567" w:type="dxa"/>
            <w:tcBorders>
              <w:top w:val="nil"/>
              <w:left w:val="nil"/>
              <w:bottom w:val="nil"/>
              <w:right w:val="nil"/>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Primitci od prodaje vozila — namjenski prihod</w:t>
            </w:r>
          </w:p>
        </w:tc>
        <w:tc>
          <w:tcPr>
            <w:tcW w:w="1418" w:type="dxa"/>
            <w:tcBorders>
              <w:top w:val="nil"/>
              <w:left w:val="single" w:sz="8" w:space="0" w:color="auto"/>
              <w:bottom w:val="nil"/>
              <w:right w:val="nil"/>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p.m.</w:t>
            </w:r>
          </w:p>
        </w:tc>
        <w:tc>
          <w:tcPr>
            <w:tcW w:w="1275" w:type="dxa"/>
            <w:tcBorders>
              <w:top w:val="nil"/>
              <w:left w:val="single" w:sz="8" w:space="0" w:color="auto"/>
              <w:bottom w:val="nil"/>
              <w:right w:val="nil"/>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p.m.</w:t>
            </w:r>
          </w:p>
        </w:tc>
        <w:tc>
          <w:tcPr>
            <w:tcW w:w="1560"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jc w:val="right"/>
              <w:rPr>
                <w:rFonts w:cs="Arial"/>
                <w:bCs/>
                <w:color w:val="000000"/>
                <w:kern w:val="32"/>
                <w:sz w:val="16"/>
                <w:szCs w:val="16"/>
              </w:rPr>
            </w:pPr>
            <w:r w:rsidRPr="00DD76C8">
              <w:rPr>
                <w:color w:val="000000"/>
                <w:kern w:val="32"/>
                <w:sz w:val="16"/>
              </w:rPr>
              <w:t>p.m.</w:t>
            </w:r>
          </w:p>
        </w:tc>
      </w:tr>
      <w:tr w:rsidR="002D1DA9" w:rsidRPr="00DD76C8" w:rsidTr="002D1DA9">
        <w:trPr>
          <w:trHeight w:val="300"/>
        </w:trPr>
        <w:tc>
          <w:tcPr>
            <w:tcW w:w="1260"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jc w:val="both"/>
              <w:rPr>
                <w:color w:val="000000"/>
                <w:sz w:val="16"/>
                <w:szCs w:val="16"/>
              </w:rPr>
            </w:pPr>
            <w:r w:rsidRPr="00DD76C8">
              <w:rPr>
                <w:color w:val="000000"/>
                <w:kern w:val="32"/>
                <w:sz w:val="16"/>
              </w:rPr>
              <w:t>5 0 0 1</w:t>
            </w:r>
          </w:p>
        </w:tc>
        <w:tc>
          <w:tcPr>
            <w:tcW w:w="4567" w:type="dxa"/>
            <w:tcBorders>
              <w:top w:val="nil"/>
              <w:left w:val="nil"/>
              <w:bottom w:val="nil"/>
              <w:right w:val="nil"/>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Primitci od prodaje ostale pokretne imovine — namjenski prihodi</w:t>
            </w:r>
          </w:p>
        </w:tc>
        <w:tc>
          <w:tcPr>
            <w:tcW w:w="1418" w:type="dxa"/>
            <w:tcBorders>
              <w:top w:val="nil"/>
              <w:left w:val="single" w:sz="8" w:space="0" w:color="auto"/>
              <w:bottom w:val="nil"/>
              <w:right w:val="nil"/>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p.m.</w:t>
            </w:r>
          </w:p>
        </w:tc>
        <w:tc>
          <w:tcPr>
            <w:tcW w:w="1275" w:type="dxa"/>
            <w:tcBorders>
              <w:top w:val="nil"/>
              <w:left w:val="single" w:sz="8" w:space="0" w:color="auto"/>
              <w:bottom w:val="nil"/>
              <w:right w:val="nil"/>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p.m.</w:t>
            </w:r>
          </w:p>
        </w:tc>
        <w:tc>
          <w:tcPr>
            <w:tcW w:w="1560"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jc w:val="right"/>
              <w:rPr>
                <w:rFonts w:cs="Arial"/>
                <w:bCs/>
                <w:color w:val="000000"/>
                <w:kern w:val="32"/>
                <w:sz w:val="16"/>
                <w:szCs w:val="16"/>
              </w:rPr>
            </w:pPr>
            <w:r w:rsidRPr="00DD76C8">
              <w:rPr>
                <w:color w:val="000000"/>
                <w:kern w:val="32"/>
                <w:sz w:val="16"/>
              </w:rPr>
              <w:t>589</w:t>
            </w:r>
          </w:p>
        </w:tc>
      </w:tr>
      <w:tr w:rsidR="002D1DA9" w:rsidRPr="00DD76C8" w:rsidTr="002D1DA9">
        <w:trPr>
          <w:trHeight w:val="450"/>
        </w:trPr>
        <w:tc>
          <w:tcPr>
            <w:tcW w:w="1260"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jc w:val="both"/>
              <w:rPr>
                <w:color w:val="000000"/>
                <w:sz w:val="16"/>
                <w:szCs w:val="16"/>
              </w:rPr>
            </w:pPr>
            <w:r w:rsidRPr="00DD76C8">
              <w:rPr>
                <w:color w:val="000000"/>
                <w:kern w:val="32"/>
                <w:sz w:val="16"/>
              </w:rPr>
              <w:t>5 0 0 2</w:t>
            </w:r>
          </w:p>
        </w:tc>
        <w:tc>
          <w:tcPr>
            <w:tcW w:w="4567" w:type="dxa"/>
            <w:tcBorders>
              <w:top w:val="nil"/>
              <w:left w:val="nil"/>
              <w:bottom w:val="nil"/>
              <w:right w:val="nil"/>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Primitci od isporuke robe drugim institucijama ili tijelima — namjenski prihodi</w:t>
            </w:r>
          </w:p>
        </w:tc>
        <w:tc>
          <w:tcPr>
            <w:tcW w:w="1418" w:type="dxa"/>
            <w:tcBorders>
              <w:top w:val="nil"/>
              <w:left w:val="single" w:sz="8" w:space="0" w:color="auto"/>
              <w:bottom w:val="nil"/>
              <w:right w:val="nil"/>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p.m.</w:t>
            </w:r>
          </w:p>
        </w:tc>
        <w:tc>
          <w:tcPr>
            <w:tcW w:w="1275" w:type="dxa"/>
            <w:tcBorders>
              <w:top w:val="nil"/>
              <w:left w:val="single" w:sz="8" w:space="0" w:color="auto"/>
              <w:bottom w:val="nil"/>
              <w:right w:val="nil"/>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p.m.</w:t>
            </w:r>
          </w:p>
        </w:tc>
        <w:tc>
          <w:tcPr>
            <w:tcW w:w="1560"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jc w:val="right"/>
              <w:rPr>
                <w:rFonts w:cs="Arial"/>
                <w:bCs/>
                <w:color w:val="000000"/>
                <w:kern w:val="32"/>
                <w:sz w:val="16"/>
                <w:szCs w:val="16"/>
              </w:rPr>
            </w:pPr>
            <w:r w:rsidRPr="00DD76C8">
              <w:rPr>
                <w:color w:val="000000"/>
                <w:kern w:val="32"/>
                <w:sz w:val="16"/>
              </w:rPr>
              <w:t>188.858</w:t>
            </w:r>
          </w:p>
        </w:tc>
      </w:tr>
      <w:tr w:rsidR="002D1DA9" w:rsidRPr="00DD76C8" w:rsidTr="002D1DA9">
        <w:trPr>
          <w:trHeight w:val="300"/>
        </w:trPr>
        <w:tc>
          <w:tcPr>
            <w:tcW w:w="1260"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jc w:val="both"/>
              <w:rPr>
                <w:color w:val="000000"/>
                <w:sz w:val="16"/>
                <w:szCs w:val="16"/>
              </w:rPr>
            </w:pPr>
            <w:r w:rsidRPr="00DD76C8">
              <w:rPr>
                <w:color w:val="000000"/>
                <w:kern w:val="32"/>
                <w:sz w:val="16"/>
              </w:rPr>
              <w:t>5 0 1</w:t>
            </w:r>
          </w:p>
        </w:tc>
        <w:tc>
          <w:tcPr>
            <w:tcW w:w="4567" w:type="dxa"/>
            <w:tcBorders>
              <w:top w:val="nil"/>
              <w:left w:val="nil"/>
              <w:bottom w:val="nil"/>
              <w:right w:val="nil"/>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Primitci od prodaje nepokretne imovine</w:t>
            </w:r>
          </w:p>
        </w:tc>
        <w:tc>
          <w:tcPr>
            <w:tcW w:w="1418" w:type="dxa"/>
            <w:tcBorders>
              <w:top w:val="nil"/>
              <w:left w:val="single" w:sz="8" w:space="0" w:color="auto"/>
              <w:bottom w:val="nil"/>
              <w:right w:val="nil"/>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p.m.</w:t>
            </w:r>
          </w:p>
        </w:tc>
        <w:tc>
          <w:tcPr>
            <w:tcW w:w="1275" w:type="dxa"/>
            <w:tcBorders>
              <w:top w:val="nil"/>
              <w:left w:val="single" w:sz="8" w:space="0" w:color="auto"/>
              <w:bottom w:val="nil"/>
              <w:right w:val="nil"/>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p.m.</w:t>
            </w:r>
          </w:p>
        </w:tc>
        <w:tc>
          <w:tcPr>
            <w:tcW w:w="1560"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jc w:val="right"/>
              <w:rPr>
                <w:rFonts w:cs="Arial"/>
                <w:bCs/>
                <w:color w:val="000000"/>
                <w:kern w:val="32"/>
                <w:sz w:val="16"/>
                <w:szCs w:val="16"/>
              </w:rPr>
            </w:pPr>
            <w:r w:rsidRPr="00DD76C8">
              <w:rPr>
                <w:color w:val="000000"/>
                <w:kern w:val="32"/>
                <w:sz w:val="16"/>
              </w:rPr>
              <w:t>p.m.</w:t>
            </w:r>
          </w:p>
        </w:tc>
      </w:tr>
      <w:tr w:rsidR="002D1DA9" w:rsidRPr="00DD76C8" w:rsidTr="002D1DA9">
        <w:trPr>
          <w:trHeight w:val="465"/>
        </w:trPr>
        <w:tc>
          <w:tcPr>
            <w:tcW w:w="1260"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jc w:val="both"/>
              <w:rPr>
                <w:color w:val="000000"/>
                <w:sz w:val="16"/>
                <w:szCs w:val="16"/>
              </w:rPr>
            </w:pPr>
            <w:r w:rsidRPr="00DD76C8">
              <w:rPr>
                <w:color w:val="000000"/>
                <w:kern w:val="32"/>
                <w:sz w:val="16"/>
              </w:rPr>
              <w:t>5 0 2</w:t>
            </w:r>
          </w:p>
        </w:tc>
        <w:tc>
          <w:tcPr>
            <w:tcW w:w="4567" w:type="dxa"/>
            <w:tcBorders>
              <w:top w:val="nil"/>
              <w:left w:val="nil"/>
              <w:bottom w:val="nil"/>
              <w:right w:val="nil"/>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Primitci od prodaje publikacija, tiskanih materijala i filmova — namjenski prihodi</w:t>
            </w:r>
          </w:p>
        </w:tc>
        <w:tc>
          <w:tcPr>
            <w:tcW w:w="1418" w:type="dxa"/>
            <w:tcBorders>
              <w:top w:val="nil"/>
              <w:left w:val="single" w:sz="8" w:space="0" w:color="auto"/>
              <w:bottom w:val="single" w:sz="8" w:space="0" w:color="auto"/>
              <w:right w:val="nil"/>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p.m.</w:t>
            </w:r>
          </w:p>
        </w:tc>
        <w:tc>
          <w:tcPr>
            <w:tcW w:w="1275" w:type="dxa"/>
            <w:tcBorders>
              <w:top w:val="nil"/>
              <w:left w:val="single" w:sz="8" w:space="0" w:color="auto"/>
              <w:bottom w:val="single" w:sz="8" w:space="0" w:color="auto"/>
              <w:right w:val="nil"/>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p.m.</w:t>
            </w: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2D1DA9" w:rsidRPr="00DD76C8" w:rsidRDefault="002D1DA9" w:rsidP="002D1DA9">
            <w:pPr>
              <w:widowControl/>
              <w:jc w:val="right"/>
              <w:rPr>
                <w:rFonts w:cs="Arial"/>
                <w:bCs/>
                <w:color w:val="000000"/>
                <w:kern w:val="32"/>
                <w:sz w:val="16"/>
                <w:szCs w:val="16"/>
              </w:rPr>
            </w:pPr>
            <w:r w:rsidRPr="00DD76C8">
              <w:rPr>
                <w:color w:val="000000"/>
                <w:kern w:val="32"/>
                <w:sz w:val="16"/>
              </w:rPr>
              <w:t>p.m.</w:t>
            </w:r>
          </w:p>
        </w:tc>
      </w:tr>
      <w:tr w:rsidR="002D1DA9" w:rsidRPr="00DD76C8" w:rsidTr="002D1DA9">
        <w:trPr>
          <w:trHeight w:val="330"/>
        </w:trPr>
        <w:tc>
          <w:tcPr>
            <w:tcW w:w="1260"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jc w:val="right"/>
              <w:rPr>
                <w:color w:val="000000"/>
                <w:szCs w:val="24"/>
              </w:rPr>
            </w:pPr>
            <w:r w:rsidRPr="00DD76C8">
              <w:rPr>
                <w:color w:val="000000"/>
                <w:kern w:val="32"/>
              </w:rPr>
              <w:t> </w:t>
            </w:r>
          </w:p>
        </w:tc>
        <w:tc>
          <w:tcPr>
            <w:tcW w:w="4567" w:type="dxa"/>
            <w:tcBorders>
              <w:top w:val="nil"/>
              <w:left w:val="nil"/>
              <w:bottom w:val="nil"/>
              <w:right w:val="nil"/>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Poglavlje 5 0 — Ukupno</w:t>
            </w:r>
          </w:p>
        </w:tc>
        <w:tc>
          <w:tcPr>
            <w:tcW w:w="1418" w:type="dxa"/>
            <w:tcBorders>
              <w:top w:val="nil"/>
              <w:left w:val="single" w:sz="8" w:space="0" w:color="auto"/>
              <w:bottom w:val="single" w:sz="8" w:space="0" w:color="auto"/>
              <w:right w:val="nil"/>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p.m.</w:t>
            </w:r>
          </w:p>
        </w:tc>
        <w:tc>
          <w:tcPr>
            <w:tcW w:w="1275" w:type="dxa"/>
            <w:tcBorders>
              <w:top w:val="nil"/>
              <w:left w:val="single" w:sz="8" w:space="0" w:color="auto"/>
              <w:bottom w:val="single" w:sz="8" w:space="0" w:color="auto"/>
              <w:right w:val="nil"/>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p.m.</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D1DA9" w:rsidRPr="00DD76C8" w:rsidRDefault="002D1DA9" w:rsidP="002D1DA9">
            <w:pPr>
              <w:widowControl/>
              <w:jc w:val="right"/>
              <w:rPr>
                <w:rFonts w:cs="Arial"/>
                <w:bCs/>
                <w:color w:val="000000"/>
                <w:kern w:val="32"/>
                <w:sz w:val="16"/>
                <w:szCs w:val="16"/>
              </w:rPr>
            </w:pPr>
            <w:r w:rsidRPr="00DD76C8">
              <w:rPr>
                <w:color w:val="000000"/>
                <w:kern w:val="32"/>
                <w:sz w:val="16"/>
              </w:rPr>
              <w:t>189 447</w:t>
            </w:r>
          </w:p>
        </w:tc>
      </w:tr>
      <w:tr w:rsidR="002D1DA9" w:rsidRPr="00DD76C8" w:rsidTr="002D1DA9">
        <w:trPr>
          <w:trHeight w:val="300"/>
        </w:trPr>
        <w:tc>
          <w:tcPr>
            <w:tcW w:w="1260"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jc w:val="both"/>
              <w:rPr>
                <w:color w:val="000000"/>
                <w:sz w:val="16"/>
                <w:szCs w:val="16"/>
              </w:rPr>
            </w:pPr>
            <w:r w:rsidRPr="00DD76C8">
              <w:rPr>
                <w:color w:val="000000"/>
                <w:kern w:val="32"/>
                <w:sz w:val="16"/>
              </w:rPr>
              <w:t>5 1</w:t>
            </w:r>
          </w:p>
        </w:tc>
        <w:tc>
          <w:tcPr>
            <w:tcW w:w="4567" w:type="dxa"/>
            <w:tcBorders>
              <w:top w:val="nil"/>
              <w:left w:val="nil"/>
              <w:bottom w:val="nil"/>
              <w:right w:val="nil"/>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PRIHODI OD IZNAJMLJIVANJA</w:t>
            </w:r>
          </w:p>
        </w:tc>
        <w:tc>
          <w:tcPr>
            <w:tcW w:w="1418" w:type="dxa"/>
            <w:tcBorders>
              <w:top w:val="nil"/>
              <w:left w:val="single" w:sz="8" w:space="0" w:color="auto"/>
              <w:bottom w:val="nil"/>
              <w:right w:val="nil"/>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 </w:t>
            </w:r>
          </w:p>
        </w:tc>
        <w:tc>
          <w:tcPr>
            <w:tcW w:w="1275" w:type="dxa"/>
            <w:tcBorders>
              <w:top w:val="nil"/>
              <w:left w:val="single" w:sz="8" w:space="0" w:color="auto"/>
              <w:bottom w:val="nil"/>
              <w:right w:val="nil"/>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 </w:t>
            </w:r>
          </w:p>
        </w:tc>
        <w:tc>
          <w:tcPr>
            <w:tcW w:w="1560"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jc w:val="right"/>
              <w:rPr>
                <w:rFonts w:cs="Arial"/>
                <w:bCs/>
                <w:color w:val="000000"/>
                <w:kern w:val="32"/>
                <w:sz w:val="16"/>
                <w:szCs w:val="16"/>
              </w:rPr>
            </w:pPr>
            <w:r w:rsidRPr="00DD76C8">
              <w:rPr>
                <w:color w:val="000000"/>
                <w:kern w:val="32"/>
                <w:sz w:val="16"/>
              </w:rPr>
              <w:t> </w:t>
            </w:r>
          </w:p>
        </w:tc>
      </w:tr>
      <w:tr w:rsidR="002D1DA9" w:rsidRPr="00DD76C8" w:rsidTr="002D1DA9">
        <w:trPr>
          <w:trHeight w:val="450"/>
        </w:trPr>
        <w:tc>
          <w:tcPr>
            <w:tcW w:w="1260"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jc w:val="both"/>
              <w:rPr>
                <w:color w:val="000000"/>
                <w:sz w:val="16"/>
                <w:szCs w:val="16"/>
              </w:rPr>
            </w:pPr>
            <w:r w:rsidRPr="00DD76C8">
              <w:rPr>
                <w:color w:val="000000"/>
                <w:kern w:val="32"/>
                <w:sz w:val="16"/>
              </w:rPr>
              <w:t>5 1 1</w:t>
            </w:r>
          </w:p>
        </w:tc>
        <w:tc>
          <w:tcPr>
            <w:tcW w:w="4567" w:type="dxa"/>
            <w:tcBorders>
              <w:top w:val="nil"/>
              <w:left w:val="nil"/>
              <w:bottom w:val="nil"/>
              <w:right w:val="nil"/>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Primitci od najma i davanja u podnajam nepokretne imovine i povrat dodatnih troškova vezano uz najam</w:t>
            </w:r>
          </w:p>
        </w:tc>
        <w:tc>
          <w:tcPr>
            <w:tcW w:w="1418" w:type="dxa"/>
            <w:tcBorders>
              <w:top w:val="nil"/>
              <w:left w:val="single" w:sz="8" w:space="0" w:color="auto"/>
              <w:bottom w:val="nil"/>
              <w:right w:val="nil"/>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p.m.</w:t>
            </w:r>
          </w:p>
        </w:tc>
        <w:tc>
          <w:tcPr>
            <w:tcW w:w="1275" w:type="dxa"/>
            <w:tcBorders>
              <w:top w:val="nil"/>
              <w:left w:val="single" w:sz="8" w:space="0" w:color="auto"/>
              <w:bottom w:val="nil"/>
              <w:right w:val="nil"/>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p.m.</w:t>
            </w:r>
          </w:p>
        </w:tc>
        <w:tc>
          <w:tcPr>
            <w:tcW w:w="1560"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jc w:val="right"/>
              <w:rPr>
                <w:rFonts w:cs="Arial"/>
                <w:bCs/>
                <w:color w:val="000000"/>
                <w:kern w:val="32"/>
                <w:sz w:val="16"/>
                <w:szCs w:val="16"/>
              </w:rPr>
            </w:pPr>
            <w:r w:rsidRPr="00DD76C8">
              <w:rPr>
                <w:color w:val="000000"/>
                <w:kern w:val="32"/>
                <w:sz w:val="16"/>
              </w:rPr>
              <w:t> </w:t>
            </w:r>
          </w:p>
        </w:tc>
      </w:tr>
      <w:tr w:rsidR="002D1DA9" w:rsidRPr="00DD76C8" w:rsidTr="002D1DA9">
        <w:trPr>
          <w:trHeight w:val="300"/>
        </w:trPr>
        <w:tc>
          <w:tcPr>
            <w:tcW w:w="1260"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jc w:val="both"/>
              <w:rPr>
                <w:color w:val="000000"/>
                <w:sz w:val="16"/>
                <w:szCs w:val="16"/>
              </w:rPr>
            </w:pPr>
            <w:r w:rsidRPr="00DD76C8">
              <w:rPr>
                <w:color w:val="000000"/>
                <w:kern w:val="32"/>
                <w:sz w:val="16"/>
              </w:rPr>
              <w:t>5 1 1 0</w:t>
            </w:r>
          </w:p>
        </w:tc>
        <w:tc>
          <w:tcPr>
            <w:tcW w:w="4567" w:type="dxa"/>
            <w:tcBorders>
              <w:top w:val="nil"/>
              <w:left w:val="nil"/>
              <w:bottom w:val="nil"/>
              <w:right w:val="nil"/>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Primitci od davanja u najam i podnajam nepokretne imovine i naknada troškova povezanih s davanjem u najam</w:t>
            </w:r>
          </w:p>
        </w:tc>
        <w:tc>
          <w:tcPr>
            <w:tcW w:w="1418" w:type="dxa"/>
            <w:tcBorders>
              <w:top w:val="nil"/>
              <w:left w:val="single" w:sz="8" w:space="0" w:color="auto"/>
              <w:bottom w:val="nil"/>
              <w:right w:val="nil"/>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p.m.</w:t>
            </w:r>
          </w:p>
        </w:tc>
        <w:tc>
          <w:tcPr>
            <w:tcW w:w="1275" w:type="dxa"/>
            <w:tcBorders>
              <w:top w:val="nil"/>
              <w:left w:val="single" w:sz="8" w:space="0" w:color="auto"/>
              <w:bottom w:val="nil"/>
              <w:right w:val="nil"/>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p.m.</w:t>
            </w:r>
          </w:p>
        </w:tc>
        <w:tc>
          <w:tcPr>
            <w:tcW w:w="1560"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jc w:val="right"/>
              <w:rPr>
                <w:rFonts w:cs="Arial"/>
                <w:bCs/>
                <w:color w:val="000000"/>
                <w:kern w:val="32"/>
                <w:sz w:val="16"/>
                <w:szCs w:val="16"/>
              </w:rPr>
            </w:pPr>
            <w:r w:rsidRPr="00DD76C8">
              <w:rPr>
                <w:color w:val="000000"/>
                <w:kern w:val="32"/>
                <w:sz w:val="16"/>
              </w:rPr>
              <w:t>2 859 618</w:t>
            </w:r>
          </w:p>
        </w:tc>
      </w:tr>
      <w:tr w:rsidR="002D1DA9" w:rsidRPr="00DD76C8" w:rsidTr="002D1DA9">
        <w:trPr>
          <w:trHeight w:val="315"/>
        </w:trPr>
        <w:tc>
          <w:tcPr>
            <w:tcW w:w="1260"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jc w:val="both"/>
              <w:rPr>
                <w:color w:val="000000"/>
                <w:sz w:val="16"/>
                <w:szCs w:val="16"/>
              </w:rPr>
            </w:pPr>
            <w:r w:rsidRPr="00DD76C8">
              <w:rPr>
                <w:color w:val="000000"/>
                <w:kern w:val="32"/>
                <w:sz w:val="16"/>
              </w:rPr>
              <w:t>5 1 1 1</w:t>
            </w:r>
          </w:p>
        </w:tc>
        <w:tc>
          <w:tcPr>
            <w:tcW w:w="4567" w:type="dxa"/>
            <w:tcBorders>
              <w:top w:val="nil"/>
              <w:left w:val="nil"/>
              <w:bottom w:val="nil"/>
              <w:right w:val="nil"/>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Povrat dodatnih troškova vezanih uz najam — namjenski prihodi</w:t>
            </w:r>
          </w:p>
        </w:tc>
        <w:tc>
          <w:tcPr>
            <w:tcW w:w="1418" w:type="dxa"/>
            <w:tcBorders>
              <w:top w:val="nil"/>
              <w:left w:val="single" w:sz="8" w:space="0" w:color="auto"/>
              <w:bottom w:val="single" w:sz="8" w:space="0" w:color="auto"/>
              <w:right w:val="nil"/>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p.m.</w:t>
            </w:r>
          </w:p>
        </w:tc>
        <w:tc>
          <w:tcPr>
            <w:tcW w:w="1275" w:type="dxa"/>
            <w:tcBorders>
              <w:top w:val="nil"/>
              <w:left w:val="single" w:sz="8" w:space="0" w:color="auto"/>
              <w:bottom w:val="single" w:sz="8" w:space="0" w:color="auto"/>
              <w:right w:val="nil"/>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p.m.</w:t>
            </w: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2D1DA9" w:rsidRPr="00DD76C8" w:rsidRDefault="002D1DA9" w:rsidP="002D1DA9">
            <w:pPr>
              <w:widowControl/>
              <w:jc w:val="right"/>
              <w:rPr>
                <w:rFonts w:cs="Arial"/>
                <w:bCs/>
                <w:color w:val="000000"/>
                <w:kern w:val="32"/>
                <w:sz w:val="16"/>
                <w:szCs w:val="16"/>
              </w:rPr>
            </w:pPr>
            <w:r w:rsidRPr="00DD76C8">
              <w:rPr>
                <w:color w:val="000000"/>
                <w:kern w:val="32"/>
                <w:sz w:val="16"/>
              </w:rPr>
              <w:t>129 706</w:t>
            </w:r>
          </w:p>
        </w:tc>
      </w:tr>
      <w:tr w:rsidR="002D1DA9" w:rsidRPr="00DD76C8" w:rsidTr="002D1DA9">
        <w:trPr>
          <w:trHeight w:val="330"/>
        </w:trPr>
        <w:tc>
          <w:tcPr>
            <w:tcW w:w="1260"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jc w:val="right"/>
              <w:rPr>
                <w:color w:val="000000"/>
                <w:szCs w:val="24"/>
              </w:rPr>
            </w:pPr>
            <w:r w:rsidRPr="00DD76C8">
              <w:rPr>
                <w:color w:val="000000"/>
                <w:kern w:val="32"/>
              </w:rPr>
              <w:t> </w:t>
            </w:r>
          </w:p>
        </w:tc>
        <w:tc>
          <w:tcPr>
            <w:tcW w:w="4567" w:type="dxa"/>
            <w:tcBorders>
              <w:top w:val="nil"/>
              <w:left w:val="nil"/>
              <w:bottom w:val="nil"/>
              <w:right w:val="nil"/>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Poglavlje 5 1 — Ukupno</w:t>
            </w:r>
          </w:p>
        </w:tc>
        <w:tc>
          <w:tcPr>
            <w:tcW w:w="1418" w:type="dxa"/>
            <w:tcBorders>
              <w:top w:val="nil"/>
              <w:left w:val="single" w:sz="8" w:space="0" w:color="auto"/>
              <w:bottom w:val="single" w:sz="8" w:space="0" w:color="auto"/>
              <w:right w:val="nil"/>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p.m.</w:t>
            </w:r>
          </w:p>
        </w:tc>
        <w:tc>
          <w:tcPr>
            <w:tcW w:w="1275" w:type="dxa"/>
            <w:tcBorders>
              <w:top w:val="nil"/>
              <w:left w:val="single" w:sz="8" w:space="0" w:color="auto"/>
              <w:bottom w:val="single" w:sz="8" w:space="0" w:color="auto"/>
              <w:right w:val="nil"/>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p.m.</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D1DA9" w:rsidRPr="00DD76C8" w:rsidRDefault="002D1DA9" w:rsidP="002D1DA9">
            <w:pPr>
              <w:widowControl/>
              <w:jc w:val="right"/>
              <w:rPr>
                <w:rFonts w:cs="Arial"/>
                <w:bCs/>
                <w:color w:val="000000"/>
                <w:kern w:val="32"/>
                <w:sz w:val="16"/>
                <w:szCs w:val="16"/>
              </w:rPr>
            </w:pPr>
            <w:r w:rsidRPr="00DD76C8">
              <w:rPr>
                <w:color w:val="000000"/>
                <w:kern w:val="32"/>
                <w:sz w:val="16"/>
              </w:rPr>
              <w:t>2 989 324</w:t>
            </w:r>
          </w:p>
        </w:tc>
      </w:tr>
      <w:tr w:rsidR="002D1DA9" w:rsidRPr="00DD76C8" w:rsidTr="002D1DA9">
        <w:trPr>
          <w:trHeight w:val="450"/>
        </w:trPr>
        <w:tc>
          <w:tcPr>
            <w:tcW w:w="1260"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jc w:val="both"/>
              <w:rPr>
                <w:color w:val="000000"/>
                <w:sz w:val="16"/>
                <w:szCs w:val="16"/>
              </w:rPr>
            </w:pPr>
            <w:r w:rsidRPr="00DD76C8">
              <w:rPr>
                <w:color w:val="000000"/>
                <w:kern w:val="32"/>
                <w:sz w:val="16"/>
              </w:rPr>
              <w:t>5 2</w:t>
            </w:r>
          </w:p>
        </w:tc>
        <w:tc>
          <w:tcPr>
            <w:tcW w:w="4567" w:type="dxa"/>
            <w:tcBorders>
              <w:top w:val="nil"/>
              <w:left w:val="nil"/>
              <w:bottom w:val="nil"/>
              <w:right w:val="nil"/>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PRIHODI OD ULAGANJA ILI ODOBRENIH ZAJMOVA TE BANKOVNIH I OSTALIH KAMATA</w:t>
            </w:r>
          </w:p>
        </w:tc>
        <w:tc>
          <w:tcPr>
            <w:tcW w:w="1418" w:type="dxa"/>
            <w:tcBorders>
              <w:top w:val="nil"/>
              <w:left w:val="single" w:sz="8" w:space="0" w:color="auto"/>
              <w:bottom w:val="nil"/>
              <w:right w:val="nil"/>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 </w:t>
            </w:r>
          </w:p>
        </w:tc>
        <w:tc>
          <w:tcPr>
            <w:tcW w:w="1275" w:type="dxa"/>
            <w:tcBorders>
              <w:top w:val="nil"/>
              <w:left w:val="single" w:sz="8" w:space="0" w:color="auto"/>
              <w:bottom w:val="nil"/>
              <w:right w:val="nil"/>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 </w:t>
            </w:r>
          </w:p>
        </w:tc>
        <w:tc>
          <w:tcPr>
            <w:tcW w:w="1560"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jc w:val="right"/>
              <w:rPr>
                <w:rFonts w:cs="Arial"/>
                <w:bCs/>
                <w:color w:val="000000"/>
                <w:kern w:val="32"/>
                <w:sz w:val="16"/>
                <w:szCs w:val="16"/>
              </w:rPr>
            </w:pPr>
            <w:r w:rsidRPr="00DD76C8">
              <w:rPr>
                <w:color w:val="000000"/>
                <w:kern w:val="32"/>
                <w:sz w:val="16"/>
              </w:rPr>
              <w:t> </w:t>
            </w:r>
          </w:p>
        </w:tc>
      </w:tr>
      <w:tr w:rsidR="002D1DA9" w:rsidRPr="00DD76C8" w:rsidTr="002D1DA9">
        <w:trPr>
          <w:trHeight w:val="465"/>
        </w:trPr>
        <w:tc>
          <w:tcPr>
            <w:tcW w:w="1260"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jc w:val="both"/>
              <w:rPr>
                <w:color w:val="000000"/>
                <w:sz w:val="16"/>
                <w:szCs w:val="16"/>
              </w:rPr>
            </w:pPr>
            <w:r w:rsidRPr="00DD76C8">
              <w:rPr>
                <w:color w:val="000000"/>
                <w:kern w:val="32"/>
                <w:sz w:val="16"/>
              </w:rPr>
              <w:t>5 2 0</w:t>
            </w:r>
          </w:p>
        </w:tc>
        <w:tc>
          <w:tcPr>
            <w:tcW w:w="4567" w:type="dxa"/>
            <w:tcBorders>
              <w:top w:val="nil"/>
              <w:left w:val="nil"/>
              <w:bottom w:val="nil"/>
              <w:right w:val="nil"/>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Primitci od ulaganja ili odobrenih zajmova, bankovnih i drugih kamata na računima institucije</w:t>
            </w:r>
          </w:p>
        </w:tc>
        <w:tc>
          <w:tcPr>
            <w:tcW w:w="1418" w:type="dxa"/>
            <w:tcBorders>
              <w:top w:val="nil"/>
              <w:left w:val="single" w:sz="8" w:space="0" w:color="auto"/>
              <w:bottom w:val="single" w:sz="8" w:space="0" w:color="auto"/>
              <w:right w:val="nil"/>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50 000</w:t>
            </w:r>
          </w:p>
        </w:tc>
        <w:tc>
          <w:tcPr>
            <w:tcW w:w="1275" w:type="dxa"/>
            <w:tcBorders>
              <w:top w:val="nil"/>
              <w:left w:val="single" w:sz="8" w:space="0" w:color="auto"/>
              <w:bottom w:val="single" w:sz="8" w:space="0" w:color="auto"/>
              <w:right w:val="nil"/>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200 000</w:t>
            </w: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2D1DA9" w:rsidRPr="00DD76C8" w:rsidRDefault="002D1DA9" w:rsidP="002D1DA9">
            <w:pPr>
              <w:widowControl/>
              <w:jc w:val="right"/>
              <w:rPr>
                <w:rFonts w:cs="Arial"/>
                <w:bCs/>
                <w:color w:val="000000"/>
                <w:kern w:val="32"/>
                <w:sz w:val="16"/>
                <w:szCs w:val="16"/>
              </w:rPr>
            </w:pPr>
            <w:r w:rsidRPr="00DD76C8">
              <w:rPr>
                <w:color w:val="000000"/>
                <w:kern w:val="32"/>
                <w:sz w:val="16"/>
              </w:rPr>
              <w:t>23 473</w:t>
            </w:r>
          </w:p>
        </w:tc>
      </w:tr>
      <w:tr w:rsidR="002D1DA9" w:rsidRPr="00DD76C8" w:rsidTr="002D1DA9">
        <w:trPr>
          <w:trHeight w:val="330"/>
        </w:trPr>
        <w:tc>
          <w:tcPr>
            <w:tcW w:w="1260"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jc w:val="right"/>
              <w:rPr>
                <w:color w:val="000000"/>
                <w:szCs w:val="24"/>
              </w:rPr>
            </w:pPr>
            <w:r w:rsidRPr="00DD76C8">
              <w:rPr>
                <w:color w:val="000000"/>
                <w:kern w:val="32"/>
              </w:rPr>
              <w:t> </w:t>
            </w:r>
          </w:p>
        </w:tc>
        <w:tc>
          <w:tcPr>
            <w:tcW w:w="4567" w:type="dxa"/>
            <w:tcBorders>
              <w:top w:val="nil"/>
              <w:left w:val="nil"/>
              <w:bottom w:val="nil"/>
              <w:right w:val="nil"/>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Poglavlje 5 2 — Ukupno</w:t>
            </w:r>
          </w:p>
        </w:tc>
        <w:tc>
          <w:tcPr>
            <w:tcW w:w="1418" w:type="dxa"/>
            <w:tcBorders>
              <w:top w:val="nil"/>
              <w:left w:val="single" w:sz="8" w:space="0" w:color="auto"/>
              <w:bottom w:val="single" w:sz="8" w:space="0" w:color="auto"/>
              <w:right w:val="nil"/>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50 000</w:t>
            </w:r>
          </w:p>
        </w:tc>
        <w:tc>
          <w:tcPr>
            <w:tcW w:w="1275" w:type="dxa"/>
            <w:tcBorders>
              <w:top w:val="nil"/>
              <w:left w:val="single" w:sz="8" w:space="0" w:color="auto"/>
              <w:bottom w:val="single" w:sz="8" w:space="0" w:color="auto"/>
              <w:right w:val="nil"/>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200 000</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D1DA9" w:rsidRPr="00DD76C8" w:rsidRDefault="002D1DA9" w:rsidP="002D1DA9">
            <w:pPr>
              <w:widowControl/>
              <w:jc w:val="right"/>
              <w:rPr>
                <w:rFonts w:cs="Arial"/>
                <w:bCs/>
                <w:color w:val="000000"/>
                <w:kern w:val="32"/>
                <w:sz w:val="16"/>
                <w:szCs w:val="16"/>
              </w:rPr>
            </w:pPr>
            <w:r w:rsidRPr="00DD76C8">
              <w:rPr>
                <w:color w:val="000000"/>
                <w:kern w:val="32"/>
                <w:sz w:val="16"/>
              </w:rPr>
              <w:t>23 473</w:t>
            </w:r>
          </w:p>
        </w:tc>
      </w:tr>
      <w:tr w:rsidR="002D1DA9" w:rsidRPr="00DD76C8" w:rsidTr="002D1DA9">
        <w:trPr>
          <w:trHeight w:val="450"/>
        </w:trPr>
        <w:tc>
          <w:tcPr>
            <w:tcW w:w="1260"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jc w:val="both"/>
              <w:rPr>
                <w:color w:val="000000"/>
                <w:sz w:val="16"/>
                <w:szCs w:val="16"/>
              </w:rPr>
            </w:pPr>
            <w:r w:rsidRPr="00DD76C8">
              <w:rPr>
                <w:color w:val="000000"/>
                <w:kern w:val="32"/>
                <w:sz w:val="16"/>
              </w:rPr>
              <w:t>5 5</w:t>
            </w:r>
          </w:p>
        </w:tc>
        <w:tc>
          <w:tcPr>
            <w:tcW w:w="4567" w:type="dxa"/>
            <w:tcBorders>
              <w:top w:val="nil"/>
              <w:left w:val="nil"/>
              <w:bottom w:val="nil"/>
              <w:right w:val="nil"/>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PRIMITCI OD PRUŽANJA USLUGA I OSTALIH RADOVA</w:t>
            </w:r>
          </w:p>
        </w:tc>
        <w:tc>
          <w:tcPr>
            <w:tcW w:w="1418" w:type="dxa"/>
            <w:tcBorders>
              <w:top w:val="nil"/>
              <w:left w:val="single" w:sz="8" w:space="0" w:color="auto"/>
              <w:bottom w:val="nil"/>
              <w:right w:val="nil"/>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 </w:t>
            </w:r>
          </w:p>
        </w:tc>
        <w:tc>
          <w:tcPr>
            <w:tcW w:w="1275" w:type="dxa"/>
            <w:tcBorders>
              <w:top w:val="nil"/>
              <w:left w:val="single" w:sz="8" w:space="0" w:color="auto"/>
              <w:bottom w:val="nil"/>
              <w:right w:val="nil"/>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 </w:t>
            </w:r>
          </w:p>
        </w:tc>
        <w:tc>
          <w:tcPr>
            <w:tcW w:w="1560"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jc w:val="right"/>
              <w:rPr>
                <w:rFonts w:cs="Arial"/>
                <w:bCs/>
                <w:color w:val="000000"/>
                <w:kern w:val="32"/>
                <w:sz w:val="16"/>
                <w:szCs w:val="16"/>
              </w:rPr>
            </w:pPr>
            <w:r w:rsidRPr="00DD76C8">
              <w:rPr>
                <w:color w:val="000000"/>
                <w:kern w:val="32"/>
                <w:sz w:val="16"/>
              </w:rPr>
              <w:t> </w:t>
            </w:r>
          </w:p>
        </w:tc>
      </w:tr>
      <w:tr w:rsidR="002D1DA9" w:rsidRPr="00DD76C8" w:rsidTr="002D1DA9">
        <w:trPr>
          <w:trHeight w:val="900"/>
        </w:trPr>
        <w:tc>
          <w:tcPr>
            <w:tcW w:w="1260"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jc w:val="both"/>
              <w:rPr>
                <w:color w:val="000000"/>
                <w:sz w:val="16"/>
                <w:szCs w:val="16"/>
              </w:rPr>
            </w:pPr>
            <w:r w:rsidRPr="00DD76C8">
              <w:rPr>
                <w:color w:val="000000"/>
                <w:kern w:val="32"/>
                <w:sz w:val="16"/>
              </w:rPr>
              <w:t>5 5 0</w:t>
            </w:r>
          </w:p>
        </w:tc>
        <w:tc>
          <w:tcPr>
            <w:tcW w:w="4567" w:type="dxa"/>
            <w:tcBorders>
              <w:top w:val="nil"/>
              <w:left w:val="nil"/>
              <w:bottom w:val="nil"/>
              <w:right w:val="nil"/>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Primitci od pružanja usluga i obavljanja rada za druge institucije ili tijela, uključujući naknadu troškova putovanja plaćenih u ime drugih institucija ili tijela — namjenski prihodi</w:t>
            </w:r>
          </w:p>
        </w:tc>
        <w:tc>
          <w:tcPr>
            <w:tcW w:w="1418" w:type="dxa"/>
            <w:tcBorders>
              <w:top w:val="nil"/>
              <w:left w:val="single" w:sz="8" w:space="0" w:color="auto"/>
              <w:bottom w:val="nil"/>
              <w:right w:val="nil"/>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p.m.</w:t>
            </w:r>
          </w:p>
        </w:tc>
        <w:tc>
          <w:tcPr>
            <w:tcW w:w="1275" w:type="dxa"/>
            <w:tcBorders>
              <w:top w:val="nil"/>
              <w:left w:val="single" w:sz="8" w:space="0" w:color="auto"/>
              <w:bottom w:val="nil"/>
              <w:right w:val="nil"/>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p.m.</w:t>
            </w:r>
          </w:p>
        </w:tc>
        <w:tc>
          <w:tcPr>
            <w:tcW w:w="1560"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jc w:val="right"/>
              <w:rPr>
                <w:rFonts w:cs="Arial"/>
                <w:bCs/>
                <w:color w:val="000000"/>
                <w:kern w:val="32"/>
                <w:sz w:val="16"/>
                <w:szCs w:val="16"/>
              </w:rPr>
            </w:pPr>
            <w:r w:rsidRPr="00DD76C8">
              <w:rPr>
                <w:color w:val="000000"/>
                <w:kern w:val="32"/>
                <w:sz w:val="16"/>
              </w:rPr>
              <w:t>4 958 708</w:t>
            </w:r>
          </w:p>
        </w:tc>
      </w:tr>
      <w:tr w:rsidR="002D1DA9" w:rsidRPr="00DD76C8" w:rsidTr="002D1DA9">
        <w:trPr>
          <w:trHeight w:val="465"/>
        </w:trPr>
        <w:tc>
          <w:tcPr>
            <w:tcW w:w="1260"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jc w:val="both"/>
              <w:rPr>
                <w:color w:val="000000"/>
                <w:sz w:val="16"/>
                <w:szCs w:val="16"/>
              </w:rPr>
            </w:pPr>
            <w:r w:rsidRPr="00DD76C8">
              <w:rPr>
                <w:color w:val="000000"/>
                <w:kern w:val="32"/>
                <w:sz w:val="16"/>
              </w:rPr>
              <w:t>5 5 1</w:t>
            </w:r>
          </w:p>
        </w:tc>
        <w:tc>
          <w:tcPr>
            <w:tcW w:w="4567" w:type="dxa"/>
            <w:tcBorders>
              <w:top w:val="nil"/>
              <w:left w:val="nil"/>
              <w:bottom w:val="nil"/>
              <w:right w:val="nil"/>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Primitci od trećih osoba za usluge pružene ili rad obavljen na njihov zahtjev — namjenski prihodi</w:t>
            </w:r>
          </w:p>
        </w:tc>
        <w:tc>
          <w:tcPr>
            <w:tcW w:w="1418" w:type="dxa"/>
            <w:tcBorders>
              <w:top w:val="nil"/>
              <w:left w:val="single" w:sz="8" w:space="0" w:color="auto"/>
              <w:bottom w:val="single" w:sz="8" w:space="0" w:color="auto"/>
              <w:right w:val="nil"/>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p.m.</w:t>
            </w:r>
          </w:p>
        </w:tc>
        <w:tc>
          <w:tcPr>
            <w:tcW w:w="1275" w:type="dxa"/>
            <w:tcBorders>
              <w:top w:val="nil"/>
              <w:left w:val="single" w:sz="8" w:space="0" w:color="auto"/>
              <w:bottom w:val="single" w:sz="8" w:space="0" w:color="auto"/>
              <w:right w:val="nil"/>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p.m.</w:t>
            </w: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2D1DA9" w:rsidRPr="00DD76C8" w:rsidRDefault="002D1DA9" w:rsidP="002D1DA9">
            <w:pPr>
              <w:widowControl/>
              <w:jc w:val="right"/>
              <w:rPr>
                <w:rFonts w:cs="Arial"/>
                <w:bCs/>
                <w:color w:val="000000"/>
                <w:kern w:val="32"/>
                <w:sz w:val="16"/>
                <w:szCs w:val="16"/>
              </w:rPr>
            </w:pPr>
            <w:r w:rsidRPr="00DD76C8">
              <w:rPr>
                <w:color w:val="000000"/>
                <w:kern w:val="32"/>
                <w:sz w:val="16"/>
              </w:rPr>
              <w:t>583 648</w:t>
            </w:r>
          </w:p>
        </w:tc>
      </w:tr>
      <w:tr w:rsidR="002D1DA9" w:rsidRPr="00DD76C8" w:rsidTr="002D1DA9">
        <w:trPr>
          <w:trHeight w:val="330"/>
        </w:trPr>
        <w:tc>
          <w:tcPr>
            <w:tcW w:w="1260"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jc w:val="right"/>
              <w:rPr>
                <w:color w:val="000000"/>
                <w:szCs w:val="24"/>
              </w:rPr>
            </w:pPr>
            <w:r w:rsidRPr="00DD76C8">
              <w:rPr>
                <w:color w:val="000000"/>
                <w:kern w:val="32"/>
              </w:rPr>
              <w:t> </w:t>
            </w:r>
          </w:p>
        </w:tc>
        <w:tc>
          <w:tcPr>
            <w:tcW w:w="4567" w:type="dxa"/>
            <w:tcBorders>
              <w:top w:val="nil"/>
              <w:left w:val="nil"/>
              <w:bottom w:val="nil"/>
              <w:right w:val="nil"/>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Poglavlje 5 5 — Ukupno</w:t>
            </w:r>
          </w:p>
        </w:tc>
        <w:tc>
          <w:tcPr>
            <w:tcW w:w="1418" w:type="dxa"/>
            <w:tcBorders>
              <w:top w:val="nil"/>
              <w:left w:val="single" w:sz="8" w:space="0" w:color="auto"/>
              <w:bottom w:val="single" w:sz="8" w:space="0" w:color="auto"/>
              <w:right w:val="nil"/>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p.m.</w:t>
            </w:r>
          </w:p>
        </w:tc>
        <w:tc>
          <w:tcPr>
            <w:tcW w:w="1275" w:type="dxa"/>
            <w:tcBorders>
              <w:top w:val="nil"/>
              <w:left w:val="single" w:sz="8" w:space="0" w:color="auto"/>
              <w:bottom w:val="single" w:sz="8" w:space="0" w:color="auto"/>
              <w:right w:val="nil"/>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p.m.</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D1DA9" w:rsidRPr="00DD76C8" w:rsidRDefault="002D1DA9" w:rsidP="002D1DA9">
            <w:pPr>
              <w:widowControl/>
              <w:jc w:val="right"/>
              <w:rPr>
                <w:rFonts w:cs="Arial"/>
                <w:bCs/>
                <w:color w:val="000000"/>
                <w:kern w:val="32"/>
                <w:sz w:val="16"/>
                <w:szCs w:val="16"/>
              </w:rPr>
            </w:pPr>
            <w:r w:rsidRPr="00DD76C8">
              <w:rPr>
                <w:color w:val="000000"/>
                <w:kern w:val="32"/>
                <w:sz w:val="16"/>
              </w:rPr>
              <w:t>5 542 356</w:t>
            </w:r>
          </w:p>
        </w:tc>
      </w:tr>
      <w:tr w:rsidR="002D1DA9" w:rsidRPr="00DD76C8" w:rsidTr="002D1DA9">
        <w:trPr>
          <w:trHeight w:val="450"/>
        </w:trPr>
        <w:tc>
          <w:tcPr>
            <w:tcW w:w="1260"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jc w:val="both"/>
              <w:rPr>
                <w:color w:val="000000"/>
                <w:sz w:val="16"/>
                <w:szCs w:val="16"/>
              </w:rPr>
            </w:pPr>
            <w:r w:rsidRPr="00DD76C8">
              <w:rPr>
                <w:color w:val="000000"/>
                <w:kern w:val="32"/>
                <w:sz w:val="16"/>
              </w:rPr>
              <w:t>5 7</w:t>
            </w:r>
          </w:p>
        </w:tc>
        <w:tc>
          <w:tcPr>
            <w:tcW w:w="4567" w:type="dxa"/>
            <w:tcBorders>
              <w:top w:val="nil"/>
              <w:left w:val="nil"/>
              <w:bottom w:val="nil"/>
              <w:right w:val="nil"/>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OSTALI DOPRINOSI I POVRATI U VEZI S UPRAVNIM POSLOVANJEM INSTITUCIJE</w:t>
            </w:r>
          </w:p>
        </w:tc>
        <w:tc>
          <w:tcPr>
            <w:tcW w:w="1418" w:type="dxa"/>
            <w:tcBorders>
              <w:top w:val="nil"/>
              <w:left w:val="single" w:sz="8" w:space="0" w:color="auto"/>
              <w:bottom w:val="nil"/>
              <w:right w:val="nil"/>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 </w:t>
            </w:r>
          </w:p>
        </w:tc>
        <w:tc>
          <w:tcPr>
            <w:tcW w:w="1275" w:type="dxa"/>
            <w:tcBorders>
              <w:top w:val="nil"/>
              <w:left w:val="single" w:sz="8" w:space="0" w:color="auto"/>
              <w:bottom w:val="nil"/>
              <w:right w:val="nil"/>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 </w:t>
            </w:r>
          </w:p>
        </w:tc>
        <w:tc>
          <w:tcPr>
            <w:tcW w:w="1560"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jc w:val="right"/>
              <w:rPr>
                <w:rFonts w:cs="Arial"/>
                <w:bCs/>
                <w:color w:val="000000"/>
                <w:kern w:val="32"/>
                <w:sz w:val="16"/>
                <w:szCs w:val="16"/>
              </w:rPr>
            </w:pPr>
            <w:r w:rsidRPr="00DD76C8">
              <w:rPr>
                <w:color w:val="000000"/>
                <w:kern w:val="32"/>
                <w:sz w:val="16"/>
              </w:rPr>
              <w:t> </w:t>
            </w:r>
          </w:p>
        </w:tc>
      </w:tr>
      <w:tr w:rsidR="002D1DA9" w:rsidRPr="00DD76C8" w:rsidTr="002D1DA9">
        <w:trPr>
          <w:trHeight w:val="450"/>
        </w:trPr>
        <w:tc>
          <w:tcPr>
            <w:tcW w:w="1260"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jc w:val="both"/>
              <w:rPr>
                <w:color w:val="000000"/>
                <w:sz w:val="16"/>
                <w:szCs w:val="16"/>
              </w:rPr>
            </w:pPr>
            <w:r w:rsidRPr="00DD76C8">
              <w:rPr>
                <w:color w:val="000000"/>
                <w:kern w:val="32"/>
                <w:sz w:val="16"/>
              </w:rPr>
              <w:t>5 7 0</w:t>
            </w:r>
          </w:p>
        </w:tc>
        <w:tc>
          <w:tcPr>
            <w:tcW w:w="4567" w:type="dxa"/>
            <w:tcBorders>
              <w:top w:val="nil"/>
              <w:left w:val="nil"/>
              <w:bottom w:val="nil"/>
              <w:right w:val="nil"/>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Primitci od povrata pogrešno isplaćenih iznosa — namjenski prihodi</w:t>
            </w:r>
          </w:p>
        </w:tc>
        <w:tc>
          <w:tcPr>
            <w:tcW w:w="1418" w:type="dxa"/>
            <w:tcBorders>
              <w:top w:val="nil"/>
              <w:left w:val="single" w:sz="8" w:space="0" w:color="auto"/>
              <w:bottom w:val="nil"/>
              <w:right w:val="nil"/>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p.m.</w:t>
            </w:r>
          </w:p>
        </w:tc>
        <w:tc>
          <w:tcPr>
            <w:tcW w:w="1275" w:type="dxa"/>
            <w:tcBorders>
              <w:top w:val="nil"/>
              <w:left w:val="single" w:sz="8" w:space="0" w:color="auto"/>
              <w:bottom w:val="nil"/>
              <w:right w:val="nil"/>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p.m.</w:t>
            </w:r>
          </w:p>
        </w:tc>
        <w:tc>
          <w:tcPr>
            <w:tcW w:w="1560"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jc w:val="right"/>
              <w:rPr>
                <w:rFonts w:cs="Arial"/>
                <w:bCs/>
                <w:color w:val="000000"/>
                <w:kern w:val="32"/>
                <w:sz w:val="16"/>
                <w:szCs w:val="16"/>
              </w:rPr>
            </w:pPr>
            <w:r w:rsidRPr="00DD76C8">
              <w:rPr>
                <w:color w:val="000000"/>
                <w:kern w:val="32"/>
                <w:sz w:val="16"/>
              </w:rPr>
              <w:t>3 874 703</w:t>
            </w:r>
          </w:p>
        </w:tc>
      </w:tr>
      <w:tr w:rsidR="002D1DA9" w:rsidRPr="00DD76C8" w:rsidTr="002D1DA9">
        <w:trPr>
          <w:trHeight w:val="675"/>
        </w:trPr>
        <w:tc>
          <w:tcPr>
            <w:tcW w:w="1260"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jc w:val="both"/>
              <w:rPr>
                <w:color w:val="000000"/>
                <w:sz w:val="16"/>
                <w:szCs w:val="16"/>
              </w:rPr>
            </w:pPr>
            <w:r w:rsidRPr="00DD76C8">
              <w:rPr>
                <w:color w:val="000000"/>
                <w:kern w:val="32"/>
                <w:sz w:val="16"/>
              </w:rPr>
              <w:t>5 7 1</w:t>
            </w:r>
          </w:p>
        </w:tc>
        <w:tc>
          <w:tcPr>
            <w:tcW w:w="4567" w:type="dxa"/>
            <w:tcBorders>
              <w:top w:val="nil"/>
              <w:left w:val="nil"/>
              <w:bottom w:val="nil"/>
              <w:right w:val="nil"/>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Primitci namijenjeni za posebne svrhe, poput prihoda od zaklada, donacija, darova i ostavina, uključujući vlastite prihode dodijeljene svakoj instituciji — namjenski prihodi</w:t>
            </w:r>
          </w:p>
        </w:tc>
        <w:tc>
          <w:tcPr>
            <w:tcW w:w="1418" w:type="dxa"/>
            <w:tcBorders>
              <w:top w:val="nil"/>
              <w:left w:val="single" w:sz="8" w:space="0" w:color="auto"/>
              <w:bottom w:val="nil"/>
              <w:right w:val="nil"/>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p.m.</w:t>
            </w:r>
          </w:p>
        </w:tc>
        <w:tc>
          <w:tcPr>
            <w:tcW w:w="1275" w:type="dxa"/>
            <w:tcBorders>
              <w:top w:val="nil"/>
              <w:left w:val="single" w:sz="8" w:space="0" w:color="auto"/>
              <w:bottom w:val="nil"/>
              <w:right w:val="nil"/>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p.m.</w:t>
            </w:r>
          </w:p>
        </w:tc>
        <w:tc>
          <w:tcPr>
            <w:tcW w:w="1560"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jc w:val="right"/>
              <w:rPr>
                <w:rFonts w:cs="Arial"/>
                <w:bCs/>
                <w:color w:val="000000"/>
                <w:kern w:val="32"/>
                <w:sz w:val="16"/>
                <w:szCs w:val="16"/>
              </w:rPr>
            </w:pPr>
            <w:r w:rsidRPr="00DD76C8">
              <w:rPr>
                <w:color w:val="000000"/>
                <w:kern w:val="32"/>
                <w:sz w:val="16"/>
              </w:rPr>
              <w:t>p.m.</w:t>
            </w:r>
          </w:p>
        </w:tc>
      </w:tr>
      <w:tr w:rsidR="002D1DA9" w:rsidRPr="00DD76C8" w:rsidTr="002D1DA9">
        <w:trPr>
          <w:trHeight w:val="450"/>
        </w:trPr>
        <w:tc>
          <w:tcPr>
            <w:tcW w:w="1260"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jc w:val="both"/>
              <w:rPr>
                <w:color w:val="000000"/>
                <w:sz w:val="16"/>
                <w:szCs w:val="16"/>
              </w:rPr>
            </w:pPr>
            <w:r w:rsidRPr="00DD76C8">
              <w:rPr>
                <w:color w:val="000000"/>
                <w:kern w:val="32"/>
                <w:sz w:val="16"/>
              </w:rPr>
              <w:t>5 7 2</w:t>
            </w:r>
          </w:p>
        </w:tc>
        <w:tc>
          <w:tcPr>
            <w:tcW w:w="4567" w:type="dxa"/>
            <w:tcBorders>
              <w:top w:val="nil"/>
              <w:left w:val="nil"/>
              <w:bottom w:val="nil"/>
              <w:right w:val="nil"/>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Povrat socijalnih davanja uplaćenih u ime druge institucije</w:t>
            </w:r>
          </w:p>
        </w:tc>
        <w:tc>
          <w:tcPr>
            <w:tcW w:w="1418" w:type="dxa"/>
            <w:tcBorders>
              <w:top w:val="nil"/>
              <w:left w:val="single" w:sz="8" w:space="0" w:color="auto"/>
              <w:bottom w:val="nil"/>
              <w:right w:val="nil"/>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p.m.</w:t>
            </w:r>
          </w:p>
        </w:tc>
        <w:tc>
          <w:tcPr>
            <w:tcW w:w="1275" w:type="dxa"/>
            <w:tcBorders>
              <w:top w:val="nil"/>
              <w:left w:val="single" w:sz="8" w:space="0" w:color="auto"/>
              <w:bottom w:val="nil"/>
              <w:right w:val="nil"/>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p.m.</w:t>
            </w:r>
          </w:p>
        </w:tc>
        <w:tc>
          <w:tcPr>
            <w:tcW w:w="1560"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jc w:val="right"/>
              <w:rPr>
                <w:rFonts w:cs="Arial"/>
                <w:bCs/>
                <w:color w:val="000000"/>
                <w:kern w:val="32"/>
                <w:sz w:val="16"/>
                <w:szCs w:val="16"/>
              </w:rPr>
            </w:pPr>
            <w:r w:rsidRPr="00DD76C8">
              <w:rPr>
                <w:color w:val="000000"/>
                <w:kern w:val="32"/>
                <w:sz w:val="16"/>
              </w:rPr>
              <w:t>p.m.</w:t>
            </w:r>
          </w:p>
        </w:tc>
      </w:tr>
      <w:tr w:rsidR="002D1DA9" w:rsidRPr="00DD76C8" w:rsidTr="002D1DA9">
        <w:trPr>
          <w:trHeight w:val="465"/>
        </w:trPr>
        <w:tc>
          <w:tcPr>
            <w:tcW w:w="1260"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jc w:val="both"/>
              <w:rPr>
                <w:color w:val="000000"/>
                <w:sz w:val="16"/>
                <w:szCs w:val="16"/>
              </w:rPr>
            </w:pPr>
            <w:r w:rsidRPr="00DD76C8">
              <w:rPr>
                <w:color w:val="000000"/>
                <w:kern w:val="32"/>
                <w:sz w:val="16"/>
              </w:rPr>
              <w:t>5 7 3</w:t>
            </w:r>
          </w:p>
        </w:tc>
        <w:tc>
          <w:tcPr>
            <w:tcW w:w="4567" w:type="dxa"/>
            <w:tcBorders>
              <w:top w:val="nil"/>
              <w:left w:val="nil"/>
              <w:bottom w:val="nil"/>
              <w:right w:val="nil"/>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Ostali doprinosi i povrati u vezi s upravnim poslovanjem institucije — namjenski prihodi</w:t>
            </w:r>
          </w:p>
        </w:tc>
        <w:tc>
          <w:tcPr>
            <w:tcW w:w="1418" w:type="dxa"/>
            <w:tcBorders>
              <w:top w:val="nil"/>
              <w:left w:val="single" w:sz="8" w:space="0" w:color="auto"/>
              <w:bottom w:val="single" w:sz="8" w:space="0" w:color="auto"/>
              <w:right w:val="nil"/>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p.m.</w:t>
            </w:r>
          </w:p>
        </w:tc>
        <w:tc>
          <w:tcPr>
            <w:tcW w:w="1275" w:type="dxa"/>
            <w:tcBorders>
              <w:top w:val="nil"/>
              <w:left w:val="single" w:sz="8" w:space="0" w:color="auto"/>
              <w:bottom w:val="single" w:sz="8" w:space="0" w:color="auto"/>
              <w:right w:val="nil"/>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p.m.</w:t>
            </w: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2D1DA9" w:rsidRPr="00DD76C8" w:rsidRDefault="002D1DA9" w:rsidP="002D1DA9">
            <w:pPr>
              <w:widowControl/>
              <w:jc w:val="right"/>
              <w:rPr>
                <w:rFonts w:cs="Arial"/>
                <w:bCs/>
                <w:color w:val="000000"/>
                <w:kern w:val="32"/>
                <w:sz w:val="16"/>
                <w:szCs w:val="16"/>
              </w:rPr>
            </w:pPr>
            <w:r w:rsidRPr="00DD76C8">
              <w:rPr>
                <w:color w:val="000000"/>
                <w:kern w:val="32"/>
                <w:sz w:val="16"/>
              </w:rPr>
              <w:t>3 298 878</w:t>
            </w:r>
          </w:p>
        </w:tc>
      </w:tr>
      <w:tr w:rsidR="002D1DA9" w:rsidRPr="00DD76C8" w:rsidTr="002D1DA9">
        <w:trPr>
          <w:trHeight w:val="330"/>
        </w:trPr>
        <w:tc>
          <w:tcPr>
            <w:tcW w:w="1260"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jc w:val="right"/>
              <w:rPr>
                <w:color w:val="000000"/>
                <w:szCs w:val="24"/>
              </w:rPr>
            </w:pPr>
            <w:r w:rsidRPr="00DD76C8">
              <w:rPr>
                <w:color w:val="000000"/>
                <w:kern w:val="32"/>
              </w:rPr>
              <w:t> </w:t>
            </w:r>
          </w:p>
        </w:tc>
        <w:tc>
          <w:tcPr>
            <w:tcW w:w="4567" w:type="dxa"/>
            <w:tcBorders>
              <w:top w:val="nil"/>
              <w:left w:val="nil"/>
              <w:bottom w:val="nil"/>
              <w:right w:val="nil"/>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Poglavlje 5 7 — Ukupno</w:t>
            </w:r>
          </w:p>
        </w:tc>
        <w:tc>
          <w:tcPr>
            <w:tcW w:w="1418" w:type="dxa"/>
            <w:tcBorders>
              <w:top w:val="nil"/>
              <w:left w:val="single" w:sz="8" w:space="0" w:color="auto"/>
              <w:bottom w:val="single" w:sz="8" w:space="0" w:color="auto"/>
              <w:right w:val="nil"/>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p.m.</w:t>
            </w:r>
          </w:p>
        </w:tc>
        <w:tc>
          <w:tcPr>
            <w:tcW w:w="1275" w:type="dxa"/>
            <w:tcBorders>
              <w:top w:val="nil"/>
              <w:left w:val="single" w:sz="8" w:space="0" w:color="auto"/>
              <w:bottom w:val="single" w:sz="8" w:space="0" w:color="auto"/>
              <w:right w:val="nil"/>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p.m.</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D1DA9" w:rsidRPr="00DD76C8" w:rsidRDefault="002D1DA9" w:rsidP="002D1DA9">
            <w:pPr>
              <w:widowControl/>
              <w:jc w:val="right"/>
              <w:rPr>
                <w:rFonts w:cs="Arial"/>
                <w:bCs/>
                <w:color w:val="000000"/>
                <w:kern w:val="32"/>
                <w:sz w:val="16"/>
                <w:szCs w:val="16"/>
              </w:rPr>
            </w:pPr>
            <w:r w:rsidRPr="00DD76C8">
              <w:rPr>
                <w:color w:val="000000"/>
                <w:kern w:val="32"/>
                <w:sz w:val="16"/>
              </w:rPr>
              <w:t>7 173 581</w:t>
            </w:r>
          </w:p>
        </w:tc>
      </w:tr>
      <w:tr w:rsidR="002D1DA9" w:rsidRPr="00DD76C8" w:rsidTr="002D1DA9">
        <w:trPr>
          <w:trHeight w:val="300"/>
        </w:trPr>
        <w:tc>
          <w:tcPr>
            <w:tcW w:w="1260"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jc w:val="both"/>
              <w:rPr>
                <w:color w:val="000000"/>
                <w:sz w:val="16"/>
                <w:szCs w:val="16"/>
              </w:rPr>
            </w:pPr>
            <w:r w:rsidRPr="00DD76C8">
              <w:rPr>
                <w:color w:val="000000"/>
                <w:kern w:val="32"/>
                <w:sz w:val="16"/>
              </w:rPr>
              <w:t>5 8</w:t>
            </w:r>
          </w:p>
        </w:tc>
        <w:tc>
          <w:tcPr>
            <w:tcW w:w="4567" w:type="dxa"/>
            <w:tcBorders>
              <w:top w:val="nil"/>
              <w:left w:val="nil"/>
              <w:bottom w:val="nil"/>
              <w:right w:val="nil"/>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RAZNE NAKNADE</w:t>
            </w:r>
          </w:p>
        </w:tc>
        <w:tc>
          <w:tcPr>
            <w:tcW w:w="1418" w:type="dxa"/>
            <w:tcBorders>
              <w:top w:val="nil"/>
              <w:left w:val="single" w:sz="8" w:space="0" w:color="auto"/>
              <w:bottom w:val="nil"/>
              <w:right w:val="nil"/>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 </w:t>
            </w:r>
          </w:p>
        </w:tc>
        <w:tc>
          <w:tcPr>
            <w:tcW w:w="1275" w:type="dxa"/>
            <w:tcBorders>
              <w:top w:val="nil"/>
              <w:left w:val="single" w:sz="8" w:space="0" w:color="auto"/>
              <w:bottom w:val="nil"/>
              <w:right w:val="nil"/>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 </w:t>
            </w:r>
          </w:p>
        </w:tc>
        <w:tc>
          <w:tcPr>
            <w:tcW w:w="1560"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jc w:val="right"/>
              <w:rPr>
                <w:rFonts w:cs="Arial"/>
                <w:bCs/>
                <w:color w:val="000000"/>
                <w:kern w:val="32"/>
                <w:sz w:val="16"/>
                <w:szCs w:val="16"/>
              </w:rPr>
            </w:pPr>
            <w:r w:rsidRPr="00DD76C8">
              <w:rPr>
                <w:color w:val="000000"/>
                <w:kern w:val="32"/>
                <w:sz w:val="16"/>
              </w:rPr>
              <w:t> </w:t>
            </w:r>
          </w:p>
        </w:tc>
      </w:tr>
      <w:tr w:rsidR="002D1DA9" w:rsidRPr="00DD76C8" w:rsidTr="002D1DA9">
        <w:trPr>
          <w:trHeight w:val="315"/>
        </w:trPr>
        <w:tc>
          <w:tcPr>
            <w:tcW w:w="1260"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jc w:val="both"/>
              <w:rPr>
                <w:color w:val="000000"/>
                <w:sz w:val="16"/>
                <w:szCs w:val="16"/>
              </w:rPr>
            </w:pPr>
            <w:r w:rsidRPr="00DD76C8">
              <w:rPr>
                <w:color w:val="000000"/>
                <w:kern w:val="32"/>
                <w:sz w:val="16"/>
              </w:rPr>
              <w:t>5 8 1</w:t>
            </w:r>
          </w:p>
        </w:tc>
        <w:tc>
          <w:tcPr>
            <w:tcW w:w="4567" w:type="dxa"/>
            <w:tcBorders>
              <w:top w:val="nil"/>
              <w:left w:val="nil"/>
              <w:bottom w:val="nil"/>
              <w:right w:val="nil"/>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Prihodi od isplate osigurnina — namjenski prihodi</w:t>
            </w:r>
          </w:p>
        </w:tc>
        <w:tc>
          <w:tcPr>
            <w:tcW w:w="1418" w:type="dxa"/>
            <w:tcBorders>
              <w:top w:val="nil"/>
              <w:left w:val="single" w:sz="8" w:space="0" w:color="auto"/>
              <w:bottom w:val="single" w:sz="8" w:space="0" w:color="auto"/>
              <w:right w:val="nil"/>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p.m.</w:t>
            </w:r>
          </w:p>
        </w:tc>
        <w:tc>
          <w:tcPr>
            <w:tcW w:w="1275" w:type="dxa"/>
            <w:tcBorders>
              <w:top w:val="nil"/>
              <w:left w:val="single" w:sz="8" w:space="0" w:color="auto"/>
              <w:bottom w:val="single" w:sz="8" w:space="0" w:color="auto"/>
              <w:right w:val="nil"/>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p.m.</w:t>
            </w: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2D1DA9" w:rsidRPr="00DD76C8" w:rsidRDefault="002D1DA9" w:rsidP="002D1DA9">
            <w:pPr>
              <w:widowControl/>
              <w:jc w:val="right"/>
              <w:rPr>
                <w:rFonts w:cs="Arial"/>
                <w:bCs/>
                <w:color w:val="000000"/>
                <w:kern w:val="32"/>
                <w:sz w:val="16"/>
                <w:szCs w:val="16"/>
              </w:rPr>
            </w:pPr>
            <w:r w:rsidRPr="00DD76C8">
              <w:rPr>
                <w:color w:val="000000"/>
                <w:kern w:val="32"/>
                <w:sz w:val="16"/>
              </w:rPr>
              <w:t>217 498</w:t>
            </w:r>
          </w:p>
        </w:tc>
      </w:tr>
      <w:tr w:rsidR="002D1DA9" w:rsidRPr="00DD76C8" w:rsidTr="002D1DA9">
        <w:trPr>
          <w:trHeight w:val="330"/>
        </w:trPr>
        <w:tc>
          <w:tcPr>
            <w:tcW w:w="1260"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jc w:val="right"/>
              <w:rPr>
                <w:color w:val="000000"/>
                <w:szCs w:val="24"/>
              </w:rPr>
            </w:pPr>
            <w:r w:rsidRPr="00DD76C8">
              <w:rPr>
                <w:color w:val="000000"/>
                <w:kern w:val="32"/>
              </w:rPr>
              <w:t> </w:t>
            </w:r>
          </w:p>
        </w:tc>
        <w:tc>
          <w:tcPr>
            <w:tcW w:w="4567" w:type="dxa"/>
            <w:tcBorders>
              <w:top w:val="nil"/>
              <w:left w:val="nil"/>
              <w:bottom w:val="nil"/>
              <w:right w:val="nil"/>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Poglavlje 5 8 — Ukupno</w:t>
            </w:r>
          </w:p>
        </w:tc>
        <w:tc>
          <w:tcPr>
            <w:tcW w:w="1418" w:type="dxa"/>
            <w:tcBorders>
              <w:top w:val="nil"/>
              <w:left w:val="single" w:sz="8" w:space="0" w:color="auto"/>
              <w:bottom w:val="single" w:sz="8" w:space="0" w:color="auto"/>
              <w:right w:val="nil"/>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p.m.</w:t>
            </w:r>
          </w:p>
        </w:tc>
        <w:tc>
          <w:tcPr>
            <w:tcW w:w="1275" w:type="dxa"/>
            <w:tcBorders>
              <w:top w:val="nil"/>
              <w:left w:val="single" w:sz="8" w:space="0" w:color="auto"/>
              <w:bottom w:val="single" w:sz="8" w:space="0" w:color="auto"/>
              <w:right w:val="nil"/>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 </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D1DA9" w:rsidRPr="00DD76C8" w:rsidRDefault="002D1DA9" w:rsidP="002D1DA9">
            <w:pPr>
              <w:widowControl/>
              <w:jc w:val="right"/>
              <w:rPr>
                <w:rFonts w:cs="Arial"/>
                <w:bCs/>
                <w:color w:val="000000"/>
                <w:kern w:val="32"/>
                <w:sz w:val="16"/>
                <w:szCs w:val="16"/>
              </w:rPr>
            </w:pPr>
            <w:r w:rsidRPr="00DD76C8">
              <w:rPr>
                <w:color w:val="000000"/>
                <w:kern w:val="32"/>
                <w:sz w:val="16"/>
              </w:rPr>
              <w:t> </w:t>
            </w:r>
          </w:p>
        </w:tc>
      </w:tr>
      <w:tr w:rsidR="002D1DA9" w:rsidRPr="00DD76C8" w:rsidTr="002D1DA9">
        <w:trPr>
          <w:trHeight w:val="300"/>
        </w:trPr>
        <w:tc>
          <w:tcPr>
            <w:tcW w:w="1260" w:type="dxa"/>
            <w:vMerge w:val="restart"/>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jc w:val="right"/>
              <w:rPr>
                <w:b/>
                <w:bCs/>
                <w:color w:val="000000"/>
                <w:sz w:val="16"/>
                <w:szCs w:val="16"/>
              </w:rPr>
            </w:pPr>
            <w:r w:rsidRPr="00DD76C8">
              <w:rPr>
                <w:b/>
                <w:color w:val="000000"/>
                <w:kern w:val="32"/>
                <w:sz w:val="16"/>
              </w:rPr>
              <w:t> </w:t>
            </w:r>
          </w:p>
        </w:tc>
        <w:tc>
          <w:tcPr>
            <w:tcW w:w="4567" w:type="dxa"/>
            <w:vMerge w:val="restart"/>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jc w:val="right"/>
              <w:rPr>
                <w:b/>
                <w:bCs/>
                <w:color w:val="000000"/>
                <w:sz w:val="16"/>
                <w:szCs w:val="16"/>
              </w:rPr>
            </w:pPr>
            <w:r w:rsidRPr="00DD76C8">
              <w:rPr>
                <w:b/>
                <w:color w:val="000000"/>
                <w:kern w:val="32"/>
                <w:sz w:val="16"/>
              </w:rPr>
              <w:t>Glava 5 — Ukupno</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rsidR="002D1DA9" w:rsidRPr="00DD76C8" w:rsidRDefault="002D1DA9" w:rsidP="002D1DA9">
            <w:pPr>
              <w:widowControl/>
              <w:jc w:val="right"/>
              <w:rPr>
                <w:b/>
                <w:bCs/>
                <w:color w:val="000000"/>
                <w:sz w:val="16"/>
                <w:szCs w:val="16"/>
              </w:rPr>
            </w:pPr>
            <w:r w:rsidRPr="00DD76C8">
              <w:rPr>
                <w:b/>
                <w:color w:val="000000"/>
                <w:kern w:val="32"/>
                <w:sz w:val="16"/>
              </w:rPr>
              <w:t>50 000</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rsidR="002D1DA9" w:rsidRPr="00DD76C8" w:rsidRDefault="002D1DA9" w:rsidP="002D1DA9">
            <w:pPr>
              <w:widowControl/>
              <w:jc w:val="right"/>
              <w:rPr>
                <w:b/>
                <w:bCs/>
                <w:color w:val="000000"/>
                <w:sz w:val="16"/>
                <w:szCs w:val="16"/>
              </w:rPr>
            </w:pPr>
            <w:r w:rsidRPr="00DD76C8">
              <w:rPr>
                <w:b/>
                <w:color w:val="000000"/>
                <w:kern w:val="32"/>
                <w:sz w:val="16"/>
              </w:rPr>
              <w:t>200 000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2D1DA9" w:rsidRPr="00DD76C8" w:rsidRDefault="002D1DA9" w:rsidP="002D1DA9">
            <w:pPr>
              <w:widowControl/>
              <w:jc w:val="right"/>
              <w:rPr>
                <w:rFonts w:cs="Arial"/>
                <w:b/>
                <w:bCs/>
                <w:color w:val="000000"/>
                <w:kern w:val="32"/>
                <w:sz w:val="16"/>
                <w:szCs w:val="16"/>
              </w:rPr>
            </w:pPr>
            <w:r w:rsidRPr="00DD76C8">
              <w:rPr>
                <w:b/>
                <w:color w:val="000000"/>
                <w:kern w:val="32"/>
                <w:sz w:val="16"/>
              </w:rPr>
              <w:t>16 135 679</w:t>
            </w:r>
          </w:p>
        </w:tc>
      </w:tr>
      <w:tr w:rsidR="002D1DA9" w:rsidRPr="00DD76C8" w:rsidTr="002D1DA9">
        <w:trPr>
          <w:trHeight w:val="315"/>
        </w:trPr>
        <w:tc>
          <w:tcPr>
            <w:tcW w:w="1260" w:type="dxa"/>
            <w:vMerge/>
            <w:tcBorders>
              <w:top w:val="nil"/>
              <w:left w:val="single" w:sz="8" w:space="0" w:color="auto"/>
              <w:bottom w:val="nil"/>
              <w:right w:val="single" w:sz="8" w:space="0" w:color="auto"/>
            </w:tcBorders>
            <w:vAlign w:val="center"/>
            <w:hideMark/>
          </w:tcPr>
          <w:p w:rsidR="002D1DA9" w:rsidRPr="00DD76C8" w:rsidRDefault="002D1DA9" w:rsidP="002D1DA9">
            <w:pPr>
              <w:widowControl/>
              <w:rPr>
                <w:b/>
                <w:bCs/>
                <w:color w:val="000000"/>
                <w:sz w:val="16"/>
                <w:szCs w:val="16"/>
              </w:rPr>
            </w:pPr>
          </w:p>
        </w:tc>
        <w:tc>
          <w:tcPr>
            <w:tcW w:w="4567" w:type="dxa"/>
            <w:vMerge/>
            <w:tcBorders>
              <w:top w:val="nil"/>
              <w:left w:val="single" w:sz="8" w:space="0" w:color="auto"/>
              <w:bottom w:val="nil"/>
              <w:right w:val="single" w:sz="8" w:space="0" w:color="auto"/>
            </w:tcBorders>
            <w:vAlign w:val="center"/>
            <w:hideMark/>
          </w:tcPr>
          <w:p w:rsidR="002D1DA9" w:rsidRPr="00DD76C8" w:rsidRDefault="002D1DA9" w:rsidP="002D1DA9">
            <w:pPr>
              <w:widowControl/>
              <w:rPr>
                <w:b/>
                <w:bCs/>
                <w:color w:val="000000"/>
                <w:sz w:val="16"/>
                <w:szCs w:val="16"/>
              </w:rPr>
            </w:pPr>
          </w:p>
        </w:tc>
        <w:tc>
          <w:tcPr>
            <w:tcW w:w="1418" w:type="dxa"/>
            <w:vMerge/>
            <w:tcBorders>
              <w:top w:val="nil"/>
              <w:left w:val="single" w:sz="8" w:space="0" w:color="auto"/>
              <w:bottom w:val="single" w:sz="8" w:space="0" w:color="000000"/>
              <w:right w:val="single" w:sz="8" w:space="0" w:color="auto"/>
            </w:tcBorders>
            <w:vAlign w:val="center"/>
            <w:hideMark/>
          </w:tcPr>
          <w:p w:rsidR="002D1DA9" w:rsidRPr="00DD76C8" w:rsidRDefault="002D1DA9" w:rsidP="002D1DA9">
            <w:pPr>
              <w:widowControl/>
              <w:rPr>
                <w:b/>
                <w:bCs/>
                <w:color w:val="000000"/>
                <w:sz w:val="16"/>
                <w:szCs w:val="16"/>
              </w:rPr>
            </w:pPr>
          </w:p>
        </w:tc>
        <w:tc>
          <w:tcPr>
            <w:tcW w:w="1275" w:type="dxa"/>
            <w:vMerge/>
            <w:tcBorders>
              <w:top w:val="nil"/>
              <w:left w:val="single" w:sz="8" w:space="0" w:color="auto"/>
              <w:bottom w:val="single" w:sz="8" w:space="0" w:color="000000"/>
              <w:right w:val="single" w:sz="8" w:space="0" w:color="auto"/>
            </w:tcBorders>
            <w:vAlign w:val="center"/>
            <w:hideMark/>
          </w:tcPr>
          <w:p w:rsidR="002D1DA9" w:rsidRPr="00DD76C8" w:rsidRDefault="002D1DA9" w:rsidP="002D1DA9">
            <w:pPr>
              <w:widowControl/>
              <w:rPr>
                <w:b/>
                <w:bCs/>
                <w:color w:val="000000"/>
                <w:sz w:val="16"/>
                <w:szCs w:val="16"/>
              </w:rPr>
            </w:pPr>
          </w:p>
        </w:tc>
        <w:tc>
          <w:tcPr>
            <w:tcW w:w="1560" w:type="dxa"/>
            <w:vMerge/>
            <w:tcBorders>
              <w:top w:val="nil"/>
              <w:left w:val="single" w:sz="8" w:space="0" w:color="auto"/>
              <w:bottom w:val="single" w:sz="8" w:space="0" w:color="000000"/>
              <w:right w:val="single" w:sz="8" w:space="0" w:color="auto"/>
            </w:tcBorders>
            <w:vAlign w:val="center"/>
            <w:hideMark/>
          </w:tcPr>
          <w:p w:rsidR="002D1DA9" w:rsidRPr="00DD76C8" w:rsidRDefault="002D1DA9" w:rsidP="002D1DA9">
            <w:pPr>
              <w:widowControl/>
              <w:rPr>
                <w:b/>
                <w:bCs/>
                <w:color w:val="000000"/>
                <w:sz w:val="16"/>
                <w:szCs w:val="16"/>
              </w:rPr>
            </w:pPr>
          </w:p>
        </w:tc>
      </w:tr>
      <w:tr w:rsidR="002D1DA9" w:rsidRPr="00DD76C8" w:rsidTr="002D1DA9">
        <w:trPr>
          <w:trHeight w:val="300"/>
        </w:trPr>
        <w:tc>
          <w:tcPr>
            <w:tcW w:w="1260" w:type="dxa"/>
            <w:vMerge w:val="restart"/>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jc w:val="both"/>
              <w:rPr>
                <w:b/>
                <w:bCs/>
                <w:color w:val="000000"/>
                <w:sz w:val="16"/>
                <w:szCs w:val="16"/>
              </w:rPr>
            </w:pPr>
            <w:r w:rsidRPr="00DD76C8">
              <w:rPr>
                <w:b/>
                <w:color w:val="000000"/>
                <w:kern w:val="32"/>
                <w:sz w:val="16"/>
              </w:rPr>
              <w:t>6</w:t>
            </w:r>
          </w:p>
        </w:tc>
        <w:tc>
          <w:tcPr>
            <w:tcW w:w="4567" w:type="dxa"/>
            <w:vMerge w:val="restart"/>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rPr>
                <w:b/>
                <w:bCs/>
                <w:color w:val="000000"/>
                <w:sz w:val="16"/>
                <w:szCs w:val="16"/>
              </w:rPr>
            </w:pPr>
            <w:r w:rsidRPr="00DD76C8">
              <w:rPr>
                <w:b/>
                <w:color w:val="000000"/>
                <w:kern w:val="32"/>
                <w:sz w:val="16"/>
              </w:rPr>
              <w:t>DOPRINOSI I POVRATI VEZANI UZ SPORAZUME I PROGRAME UNIJE</w:t>
            </w:r>
          </w:p>
        </w:tc>
        <w:tc>
          <w:tcPr>
            <w:tcW w:w="1418" w:type="dxa"/>
            <w:vMerge w:val="restart"/>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jc w:val="right"/>
              <w:rPr>
                <w:b/>
                <w:bCs/>
                <w:color w:val="000000"/>
                <w:sz w:val="16"/>
                <w:szCs w:val="16"/>
              </w:rPr>
            </w:pPr>
            <w:r w:rsidRPr="00DD76C8">
              <w:rPr>
                <w:b/>
                <w:color w:val="000000"/>
                <w:kern w:val="32"/>
                <w:sz w:val="16"/>
              </w:rPr>
              <w:t> </w:t>
            </w:r>
          </w:p>
        </w:tc>
        <w:tc>
          <w:tcPr>
            <w:tcW w:w="1275" w:type="dxa"/>
            <w:vMerge w:val="restart"/>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jc w:val="right"/>
              <w:rPr>
                <w:b/>
                <w:bCs/>
                <w:color w:val="000000"/>
                <w:sz w:val="16"/>
                <w:szCs w:val="16"/>
              </w:rPr>
            </w:pPr>
            <w:r w:rsidRPr="00DD76C8">
              <w:rPr>
                <w:b/>
                <w:color w:val="000000"/>
                <w:kern w:val="32"/>
                <w:sz w:val="16"/>
              </w:rPr>
              <w:t> </w:t>
            </w:r>
          </w:p>
        </w:tc>
        <w:tc>
          <w:tcPr>
            <w:tcW w:w="1560" w:type="dxa"/>
            <w:vMerge w:val="restart"/>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jc w:val="right"/>
              <w:rPr>
                <w:rFonts w:cs="Arial"/>
                <w:b/>
                <w:bCs/>
                <w:color w:val="000000"/>
                <w:kern w:val="32"/>
                <w:sz w:val="16"/>
                <w:szCs w:val="16"/>
              </w:rPr>
            </w:pPr>
            <w:r w:rsidRPr="00DD76C8">
              <w:rPr>
                <w:b/>
                <w:color w:val="000000"/>
                <w:kern w:val="32"/>
                <w:sz w:val="16"/>
              </w:rPr>
              <w:t> </w:t>
            </w:r>
          </w:p>
        </w:tc>
      </w:tr>
      <w:tr w:rsidR="002D1DA9" w:rsidRPr="00DD76C8" w:rsidTr="002D1DA9">
        <w:trPr>
          <w:trHeight w:val="300"/>
        </w:trPr>
        <w:tc>
          <w:tcPr>
            <w:tcW w:w="1260" w:type="dxa"/>
            <w:vMerge/>
            <w:tcBorders>
              <w:top w:val="nil"/>
              <w:left w:val="single" w:sz="8" w:space="0" w:color="auto"/>
              <w:bottom w:val="nil"/>
              <w:right w:val="single" w:sz="8" w:space="0" w:color="auto"/>
            </w:tcBorders>
            <w:vAlign w:val="center"/>
            <w:hideMark/>
          </w:tcPr>
          <w:p w:rsidR="002D1DA9" w:rsidRPr="00DD76C8" w:rsidRDefault="002D1DA9" w:rsidP="002D1DA9">
            <w:pPr>
              <w:widowControl/>
              <w:rPr>
                <w:b/>
                <w:bCs/>
                <w:color w:val="000000"/>
                <w:sz w:val="16"/>
                <w:szCs w:val="16"/>
              </w:rPr>
            </w:pPr>
          </w:p>
        </w:tc>
        <w:tc>
          <w:tcPr>
            <w:tcW w:w="4567" w:type="dxa"/>
            <w:vMerge/>
            <w:tcBorders>
              <w:top w:val="nil"/>
              <w:left w:val="single" w:sz="8" w:space="0" w:color="auto"/>
              <w:bottom w:val="nil"/>
              <w:right w:val="single" w:sz="8" w:space="0" w:color="auto"/>
            </w:tcBorders>
            <w:vAlign w:val="center"/>
            <w:hideMark/>
          </w:tcPr>
          <w:p w:rsidR="002D1DA9" w:rsidRPr="00DD76C8" w:rsidRDefault="002D1DA9" w:rsidP="002D1DA9">
            <w:pPr>
              <w:widowControl/>
              <w:rPr>
                <w:b/>
                <w:bCs/>
                <w:color w:val="000000"/>
                <w:sz w:val="16"/>
                <w:szCs w:val="16"/>
              </w:rPr>
            </w:pPr>
          </w:p>
        </w:tc>
        <w:tc>
          <w:tcPr>
            <w:tcW w:w="1418" w:type="dxa"/>
            <w:vMerge/>
            <w:tcBorders>
              <w:top w:val="nil"/>
              <w:left w:val="single" w:sz="8" w:space="0" w:color="auto"/>
              <w:bottom w:val="nil"/>
              <w:right w:val="single" w:sz="8" w:space="0" w:color="auto"/>
            </w:tcBorders>
            <w:vAlign w:val="center"/>
            <w:hideMark/>
          </w:tcPr>
          <w:p w:rsidR="002D1DA9" w:rsidRPr="00DD76C8" w:rsidRDefault="002D1DA9" w:rsidP="002D1DA9">
            <w:pPr>
              <w:widowControl/>
              <w:rPr>
                <w:b/>
                <w:bCs/>
                <w:color w:val="000000"/>
                <w:sz w:val="16"/>
                <w:szCs w:val="16"/>
              </w:rPr>
            </w:pPr>
          </w:p>
        </w:tc>
        <w:tc>
          <w:tcPr>
            <w:tcW w:w="1275" w:type="dxa"/>
            <w:vMerge/>
            <w:tcBorders>
              <w:top w:val="nil"/>
              <w:left w:val="single" w:sz="8" w:space="0" w:color="auto"/>
              <w:bottom w:val="nil"/>
              <w:right w:val="single" w:sz="8" w:space="0" w:color="auto"/>
            </w:tcBorders>
            <w:vAlign w:val="center"/>
            <w:hideMark/>
          </w:tcPr>
          <w:p w:rsidR="002D1DA9" w:rsidRPr="00DD76C8" w:rsidRDefault="002D1DA9" w:rsidP="002D1DA9">
            <w:pPr>
              <w:widowControl/>
              <w:rPr>
                <w:b/>
                <w:bCs/>
                <w:color w:val="000000"/>
                <w:sz w:val="16"/>
                <w:szCs w:val="16"/>
              </w:rPr>
            </w:pPr>
          </w:p>
        </w:tc>
        <w:tc>
          <w:tcPr>
            <w:tcW w:w="1560" w:type="dxa"/>
            <w:vMerge/>
            <w:tcBorders>
              <w:top w:val="nil"/>
              <w:left w:val="single" w:sz="8" w:space="0" w:color="auto"/>
              <w:bottom w:val="nil"/>
              <w:right w:val="single" w:sz="8" w:space="0" w:color="auto"/>
            </w:tcBorders>
            <w:vAlign w:val="center"/>
            <w:hideMark/>
          </w:tcPr>
          <w:p w:rsidR="002D1DA9" w:rsidRPr="00DD76C8" w:rsidRDefault="002D1DA9" w:rsidP="002D1DA9">
            <w:pPr>
              <w:widowControl/>
              <w:rPr>
                <w:b/>
                <w:bCs/>
                <w:color w:val="000000"/>
                <w:sz w:val="16"/>
                <w:szCs w:val="16"/>
              </w:rPr>
            </w:pPr>
          </w:p>
        </w:tc>
      </w:tr>
      <w:tr w:rsidR="002D1DA9" w:rsidRPr="00DD76C8" w:rsidTr="002D1DA9">
        <w:trPr>
          <w:trHeight w:val="300"/>
        </w:trPr>
        <w:tc>
          <w:tcPr>
            <w:tcW w:w="1260"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jc w:val="both"/>
              <w:rPr>
                <w:color w:val="000000"/>
                <w:sz w:val="16"/>
                <w:szCs w:val="16"/>
              </w:rPr>
            </w:pPr>
            <w:r w:rsidRPr="00DD76C8">
              <w:rPr>
                <w:color w:val="000000"/>
                <w:kern w:val="32"/>
                <w:sz w:val="16"/>
              </w:rPr>
              <w:t>6 6</w:t>
            </w:r>
          </w:p>
        </w:tc>
        <w:tc>
          <w:tcPr>
            <w:tcW w:w="4567" w:type="dxa"/>
            <w:tcBorders>
              <w:top w:val="nil"/>
              <w:left w:val="nil"/>
              <w:bottom w:val="nil"/>
              <w:right w:val="nil"/>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OSTALI DOPRINOSI I POVRATI</w:t>
            </w:r>
          </w:p>
        </w:tc>
        <w:tc>
          <w:tcPr>
            <w:tcW w:w="1418" w:type="dxa"/>
            <w:tcBorders>
              <w:top w:val="nil"/>
              <w:left w:val="single" w:sz="8" w:space="0" w:color="auto"/>
              <w:bottom w:val="nil"/>
              <w:right w:val="nil"/>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 </w:t>
            </w:r>
          </w:p>
        </w:tc>
        <w:tc>
          <w:tcPr>
            <w:tcW w:w="1275" w:type="dxa"/>
            <w:tcBorders>
              <w:top w:val="nil"/>
              <w:left w:val="single" w:sz="8" w:space="0" w:color="auto"/>
              <w:bottom w:val="nil"/>
              <w:right w:val="nil"/>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 </w:t>
            </w:r>
          </w:p>
        </w:tc>
        <w:tc>
          <w:tcPr>
            <w:tcW w:w="1560"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jc w:val="right"/>
              <w:rPr>
                <w:rFonts w:cs="Arial"/>
                <w:bCs/>
                <w:color w:val="000000"/>
                <w:kern w:val="32"/>
                <w:sz w:val="16"/>
                <w:szCs w:val="16"/>
              </w:rPr>
            </w:pPr>
            <w:r w:rsidRPr="00DD76C8">
              <w:rPr>
                <w:color w:val="000000"/>
                <w:kern w:val="32"/>
                <w:sz w:val="16"/>
              </w:rPr>
              <w:t> </w:t>
            </w:r>
          </w:p>
        </w:tc>
      </w:tr>
      <w:tr w:rsidR="002D1DA9" w:rsidRPr="00DD76C8" w:rsidTr="002D1DA9">
        <w:trPr>
          <w:trHeight w:val="300"/>
        </w:trPr>
        <w:tc>
          <w:tcPr>
            <w:tcW w:w="1260"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jc w:val="both"/>
              <w:rPr>
                <w:color w:val="000000"/>
                <w:sz w:val="16"/>
                <w:szCs w:val="16"/>
              </w:rPr>
            </w:pPr>
            <w:r w:rsidRPr="00DD76C8">
              <w:rPr>
                <w:color w:val="000000"/>
                <w:kern w:val="32"/>
                <w:sz w:val="16"/>
              </w:rPr>
              <w:t>6 6 0</w:t>
            </w:r>
          </w:p>
        </w:tc>
        <w:tc>
          <w:tcPr>
            <w:tcW w:w="4567" w:type="dxa"/>
            <w:tcBorders>
              <w:top w:val="nil"/>
              <w:left w:val="nil"/>
              <w:bottom w:val="nil"/>
              <w:right w:val="nil"/>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Ostali doprinosi i povrati</w:t>
            </w:r>
          </w:p>
        </w:tc>
        <w:tc>
          <w:tcPr>
            <w:tcW w:w="1418" w:type="dxa"/>
            <w:tcBorders>
              <w:top w:val="nil"/>
              <w:left w:val="single" w:sz="8" w:space="0" w:color="auto"/>
              <w:bottom w:val="nil"/>
              <w:right w:val="nil"/>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 </w:t>
            </w:r>
          </w:p>
        </w:tc>
        <w:tc>
          <w:tcPr>
            <w:tcW w:w="1275" w:type="dxa"/>
            <w:tcBorders>
              <w:top w:val="nil"/>
              <w:left w:val="single" w:sz="8" w:space="0" w:color="auto"/>
              <w:bottom w:val="nil"/>
              <w:right w:val="nil"/>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 </w:t>
            </w:r>
          </w:p>
        </w:tc>
        <w:tc>
          <w:tcPr>
            <w:tcW w:w="1560"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jc w:val="right"/>
              <w:rPr>
                <w:rFonts w:cs="Arial"/>
                <w:bCs/>
                <w:color w:val="000000"/>
                <w:kern w:val="32"/>
                <w:sz w:val="16"/>
                <w:szCs w:val="16"/>
              </w:rPr>
            </w:pPr>
            <w:r w:rsidRPr="00DD76C8">
              <w:rPr>
                <w:color w:val="000000"/>
                <w:kern w:val="32"/>
                <w:sz w:val="16"/>
              </w:rPr>
              <w:t> </w:t>
            </w:r>
          </w:p>
        </w:tc>
      </w:tr>
      <w:tr w:rsidR="002D1DA9" w:rsidRPr="00DD76C8" w:rsidTr="002D1DA9">
        <w:trPr>
          <w:trHeight w:val="300"/>
        </w:trPr>
        <w:tc>
          <w:tcPr>
            <w:tcW w:w="1260"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jc w:val="both"/>
              <w:rPr>
                <w:color w:val="000000"/>
                <w:sz w:val="16"/>
                <w:szCs w:val="16"/>
              </w:rPr>
            </w:pPr>
            <w:r w:rsidRPr="00DD76C8">
              <w:rPr>
                <w:color w:val="000000"/>
                <w:kern w:val="32"/>
                <w:sz w:val="16"/>
              </w:rPr>
              <w:t>6 6 0 0</w:t>
            </w:r>
          </w:p>
        </w:tc>
        <w:tc>
          <w:tcPr>
            <w:tcW w:w="4567" w:type="dxa"/>
            <w:tcBorders>
              <w:top w:val="nil"/>
              <w:left w:val="nil"/>
              <w:bottom w:val="nil"/>
              <w:right w:val="nil"/>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Ostali namjenski doprinosi i povrati — namjenski prihodi</w:t>
            </w:r>
          </w:p>
        </w:tc>
        <w:tc>
          <w:tcPr>
            <w:tcW w:w="1418" w:type="dxa"/>
            <w:tcBorders>
              <w:top w:val="nil"/>
              <w:left w:val="single" w:sz="8" w:space="0" w:color="auto"/>
              <w:bottom w:val="nil"/>
              <w:right w:val="nil"/>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p.m.</w:t>
            </w:r>
          </w:p>
        </w:tc>
        <w:tc>
          <w:tcPr>
            <w:tcW w:w="1275" w:type="dxa"/>
            <w:tcBorders>
              <w:top w:val="nil"/>
              <w:left w:val="single" w:sz="8" w:space="0" w:color="auto"/>
              <w:bottom w:val="nil"/>
              <w:right w:val="nil"/>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p.m.</w:t>
            </w:r>
          </w:p>
        </w:tc>
        <w:tc>
          <w:tcPr>
            <w:tcW w:w="1560"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jc w:val="right"/>
              <w:rPr>
                <w:rFonts w:cs="Arial"/>
                <w:bCs/>
                <w:color w:val="000000"/>
                <w:kern w:val="32"/>
                <w:sz w:val="16"/>
                <w:szCs w:val="16"/>
              </w:rPr>
            </w:pPr>
            <w:r w:rsidRPr="00DD76C8">
              <w:rPr>
                <w:color w:val="000000"/>
                <w:kern w:val="32"/>
                <w:sz w:val="16"/>
              </w:rPr>
              <w:t>14 477 581</w:t>
            </w:r>
          </w:p>
        </w:tc>
      </w:tr>
      <w:tr w:rsidR="002D1DA9" w:rsidRPr="00DD76C8" w:rsidTr="002D1DA9">
        <w:trPr>
          <w:trHeight w:val="315"/>
        </w:trPr>
        <w:tc>
          <w:tcPr>
            <w:tcW w:w="1260"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jc w:val="both"/>
              <w:rPr>
                <w:color w:val="000000"/>
                <w:sz w:val="16"/>
                <w:szCs w:val="16"/>
              </w:rPr>
            </w:pPr>
            <w:r w:rsidRPr="00DD76C8">
              <w:rPr>
                <w:color w:val="000000"/>
                <w:kern w:val="32"/>
                <w:sz w:val="16"/>
              </w:rPr>
              <w:t>6 6 0 1</w:t>
            </w:r>
          </w:p>
        </w:tc>
        <w:tc>
          <w:tcPr>
            <w:tcW w:w="4567" w:type="dxa"/>
            <w:tcBorders>
              <w:top w:val="nil"/>
              <w:left w:val="nil"/>
              <w:bottom w:val="nil"/>
              <w:right w:val="nil"/>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Ostali nenamjenski doprinosi i povrati</w:t>
            </w:r>
          </w:p>
        </w:tc>
        <w:tc>
          <w:tcPr>
            <w:tcW w:w="1418" w:type="dxa"/>
            <w:tcBorders>
              <w:top w:val="nil"/>
              <w:left w:val="single" w:sz="8" w:space="0" w:color="auto"/>
              <w:bottom w:val="single" w:sz="8" w:space="0" w:color="auto"/>
              <w:right w:val="nil"/>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p.m.</w:t>
            </w:r>
          </w:p>
        </w:tc>
        <w:tc>
          <w:tcPr>
            <w:tcW w:w="1275" w:type="dxa"/>
            <w:tcBorders>
              <w:top w:val="nil"/>
              <w:left w:val="single" w:sz="8" w:space="0" w:color="auto"/>
              <w:bottom w:val="single" w:sz="8" w:space="0" w:color="auto"/>
              <w:right w:val="nil"/>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p.m.</w:t>
            </w: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2D1DA9" w:rsidRPr="00DD76C8" w:rsidRDefault="002D1DA9" w:rsidP="002D1DA9">
            <w:pPr>
              <w:widowControl/>
              <w:jc w:val="right"/>
              <w:rPr>
                <w:rFonts w:cs="Arial"/>
                <w:bCs/>
                <w:color w:val="000000"/>
                <w:kern w:val="32"/>
                <w:sz w:val="16"/>
                <w:szCs w:val="16"/>
              </w:rPr>
            </w:pPr>
            <w:r w:rsidRPr="00DD76C8">
              <w:rPr>
                <w:color w:val="000000"/>
                <w:kern w:val="32"/>
                <w:sz w:val="16"/>
              </w:rPr>
              <w:t>p.m.</w:t>
            </w:r>
          </w:p>
        </w:tc>
      </w:tr>
      <w:tr w:rsidR="002D1DA9" w:rsidRPr="00DD76C8" w:rsidTr="002D1DA9">
        <w:trPr>
          <w:trHeight w:val="330"/>
        </w:trPr>
        <w:tc>
          <w:tcPr>
            <w:tcW w:w="1260"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jc w:val="right"/>
              <w:rPr>
                <w:color w:val="000000"/>
                <w:szCs w:val="24"/>
              </w:rPr>
            </w:pPr>
            <w:r w:rsidRPr="00DD76C8">
              <w:rPr>
                <w:color w:val="000000"/>
                <w:kern w:val="32"/>
              </w:rPr>
              <w:t> </w:t>
            </w:r>
          </w:p>
        </w:tc>
        <w:tc>
          <w:tcPr>
            <w:tcW w:w="4567" w:type="dxa"/>
            <w:tcBorders>
              <w:top w:val="nil"/>
              <w:left w:val="nil"/>
              <w:bottom w:val="nil"/>
              <w:right w:val="nil"/>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Poglavlje 6 6 — Ukupno</w:t>
            </w:r>
          </w:p>
        </w:tc>
        <w:tc>
          <w:tcPr>
            <w:tcW w:w="1418" w:type="dxa"/>
            <w:tcBorders>
              <w:top w:val="nil"/>
              <w:left w:val="single" w:sz="8" w:space="0" w:color="auto"/>
              <w:bottom w:val="single" w:sz="8" w:space="0" w:color="auto"/>
              <w:right w:val="nil"/>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p.m.</w:t>
            </w:r>
          </w:p>
        </w:tc>
        <w:tc>
          <w:tcPr>
            <w:tcW w:w="1275" w:type="dxa"/>
            <w:tcBorders>
              <w:top w:val="nil"/>
              <w:left w:val="single" w:sz="8" w:space="0" w:color="auto"/>
              <w:bottom w:val="single" w:sz="8" w:space="0" w:color="auto"/>
              <w:right w:val="nil"/>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p.m.</w:t>
            </w: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2D1DA9" w:rsidRPr="00DD76C8" w:rsidRDefault="002D1DA9" w:rsidP="002D1DA9">
            <w:pPr>
              <w:widowControl/>
              <w:jc w:val="right"/>
              <w:rPr>
                <w:rFonts w:cs="Arial"/>
                <w:bCs/>
                <w:color w:val="000000"/>
                <w:kern w:val="32"/>
                <w:sz w:val="16"/>
                <w:szCs w:val="16"/>
              </w:rPr>
            </w:pPr>
            <w:r w:rsidRPr="00DD76C8">
              <w:rPr>
                <w:color w:val="000000"/>
                <w:kern w:val="32"/>
                <w:sz w:val="16"/>
              </w:rPr>
              <w:t>14 477 581</w:t>
            </w:r>
          </w:p>
        </w:tc>
      </w:tr>
      <w:tr w:rsidR="002D1DA9" w:rsidRPr="00DD76C8" w:rsidTr="002D1DA9">
        <w:trPr>
          <w:trHeight w:val="330"/>
        </w:trPr>
        <w:tc>
          <w:tcPr>
            <w:tcW w:w="1260"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jc w:val="right"/>
              <w:rPr>
                <w:color w:val="000000"/>
                <w:szCs w:val="24"/>
              </w:rPr>
            </w:pPr>
            <w:r w:rsidRPr="00DD76C8">
              <w:rPr>
                <w:color w:val="000000"/>
                <w:kern w:val="32"/>
              </w:rPr>
              <w:t> </w:t>
            </w:r>
          </w:p>
        </w:tc>
        <w:tc>
          <w:tcPr>
            <w:tcW w:w="4567" w:type="dxa"/>
            <w:tcBorders>
              <w:top w:val="nil"/>
              <w:left w:val="nil"/>
              <w:bottom w:val="nil"/>
              <w:right w:val="nil"/>
            </w:tcBorders>
            <w:shd w:val="clear" w:color="auto" w:fill="auto"/>
            <w:vAlign w:val="center"/>
            <w:hideMark/>
          </w:tcPr>
          <w:p w:rsidR="002D1DA9" w:rsidRPr="00DD76C8" w:rsidRDefault="002D1DA9" w:rsidP="002D1DA9">
            <w:pPr>
              <w:widowControl/>
              <w:jc w:val="right"/>
              <w:rPr>
                <w:b/>
                <w:bCs/>
                <w:color w:val="000000"/>
                <w:sz w:val="16"/>
                <w:szCs w:val="16"/>
              </w:rPr>
            </w:pPr>
            <w:r w:rsidRPr="00DD76C8">
              <w:rPr>
                <w:b/>
                <w:color w:val="000000"/>
                <w:kern w:val="32"/>
                <w:sz w:val="16"/>
              </w:rPr>
              <w:t>Glava 6 — Ukupno</w:t>
            </w:r>
          </w:p>
        </w:tc>
        <w:tc>
          <w:tcPr>
            <w:tcW w:w="1418" w:type="dxa"/>
            <w:tcBorders>
              <w:top w:val="nil"/>
              <w:left w:val="single" w:sz="8" w:space="0" w:color="auto"/>
              <w:bottom w:val="single" w:sz="8" w:space="0" w:color="auto"/>
              <w:right w:val="nil"/>
            </w:tcBorders>
            <w:shd w:val="clear" w:color="auto" w:fill="auto"/>
            <w:vAlign w:val="center"/>
            <w:hideMark/>
          </w:tcPr>
          <w:p w:rsidR="002D1DA9" w:rsidRPr="00DD76C8" w:rsidRDefault="002D1DA9" w:rsidP="002D1DA9">
            <w:pPr>
              <w:widowControl/>
              <w:jc w:val="right"/>
              <w:rPr>
                <w:b/>
                <w:bCs/>
                <w:color w:val="000000"/>
                <w:sz w:val="16"/>
                <w:szCs w:val="16"/>
              </w:rPr>
            </w:pPr>
            <w:r w:rsidRPr="00DD76C8">
              <w:rPr>
                <w:b/>
                <w:color w:val="000000"/>
                <w:kern w:val="32"/>
                <w:sz w:val="16"/>
              </w:rPr>
              <w:t>p.m.</w:t>
            </w:r>
          </w:p>
        </w:tc>
        <w:tc>
          <w:tcPr>
            <w:tcW w:w="1275" w:type="dxa"/>
            <w:tcBorders>
              <w:top w:val="nil"/>
              <w:left w:val="single" w:sz="8" w:space="0" w:color="auto"/>
              <w:bottom w:val="single" w:sz="8" w:space="0" w:color="auto"/>
              <w:right w:val="nil"/>
            </w:tcBorders>
            <w:shd w:val="clear" w:color="auto" w:fill="auto"/>
            <w:vAlign w:val="center"/>
            <w:hideMark/>
          </w:tcPr>
          <w:p w:rsidR="002D1DA9" w:rsidRPr="00DD76C8" w:rsidRDefault="002D1DA9" w:rsidP="002D1DA9">
            <w:pPr>
              <w:widowControl/>
              <w:jc w:val="right"/>
              <w:rPr>
                <w:b/>
                <w:bCs/>
                <w:color w:val="000000"/>
                <w:sz w:val="16"/>
                <w:szCs w:val="16"/>
              </w:rPr>
            </w:pPr>
            <w:r w:rsidRPr="00DD76C8">
              <w:rPr>
                <w:b/>
                <w:color w:val="000000"/>
                <w:kern w:val="32"/>
                <w:sz w:val="16"/>
              </w:rPr>
              <w:t>p.m.</w:t>
            </w: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2D1DA9" w:rsidRPr="00DD76C8" w:rsidRDefault="002D1DA9" w:rsidP="002D1DA9">
            <w:pPr>
              <w:widowControl/>
              <w:jc w:val="right"/>
              <w:rPr>
                <w:rFonts w:cs="Arial"/>
                <w:b/>
                <w:bCs/>
                <w:color w:val="000000"/>
                <w:kern w:val="32"/>
                <w:sz w:val="16"/>
                <w:szCs w:val="16"/>
              </w:rPr>
            </w:pPr>
            <w:r w:rsidRPr="00DD76C8">
              <w:rPr>
                <w:b/>
                <w:color w:val="000000"/>
                <w:kern w:val="32"/>
                <w:sz w:val="16"/>
              </w:rPr>
              <w:t>14 477 581</w:t>
            </w:r>
          </w:p>
        </w:tc>
      </w:tr>
      <w:tr w:rsidR="002D1DA9" w:rsidRPr="00DD76C8" w:rsidTr="002D1DA9">
        <w:trPr>
          <w:trHeight w:val="420"/>
        </w:trPr>
        <w:tc>
          <w:tcPr>
            <w:tcW w:w="1260"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jc w:val="both"/>
              <w:rPr>
                <w:b/>
                <w:bCs/>
                <w:color w:val="000000"/>
                <w:sz w:val="16"/>
                <w:szCs w:val="16"/>
              </w:rPr>
            </w:pPr>
            <w:r w:rsidRPr="00DD76C8">
              <w:rPr>
                <w:b/>
                <w:color w:val="000000"/>
                <w:kern w:val="32"/>
                <w:sz w:val="16"/>
              </w:rPr>
              <w:t>9</w:t>
            </w:r>
          </w:p>
        </w:tc>
        <w:tc>
          <w:tcPr>
            <w:tcW w:w="4567" w:type="dxa"/>
            <w:tcBorders>
              <w:top w:val="nil"/>
              <w:left w:val="nil"/>
              <w:bottom w:val="nil"/>
              <w:right w:val="nil"/>
            </w:tcBorders>
            <w:shd w:val="clear" w:color="auto" w:fill="auto"/>
            <w:vAlign w:val="center"/>
            <w:hideMark/>
          </w:tcPr>
          <w:p w:rsidR="002D1DA9" w:rsidRPr="00DD76C8" w:rsidRDefault="002D1DA9" w:rsidP="002D1DA9">
            <w:pPr>
              <w:widowControl/>
              <w:jc w:val="both"/>
              <w:rPr>
                <w:b/>
                <w:bCs/>
                <w:color w:val="000000"/>
                <w:sz w:val="16"/>
                <w:szCs w:val="16"/>
              </w:rPr>
            </w:pPr>
            <w:r w:rsidRPr="00DD76C8">
              <w:rPr>
                <w:b/>
                <w:color w:val="000000"/>
                <w:kern w:val="32"/>
                <w:sz w:val="16"/>
              </w:rPr>
              <w:t>RAZNI PRIHODI</w:t>
            </w:r>
          </w:p>
        </w:tc>
        <w:tc>
          <w:tcPr>
            <w:tcW w:w="1418" w:type="dxa"/>
            <w:tcBorders>
              <w:top w:val="nil"/>
              <w:left w:val="single" w:sz="8" w:space="0" w:color="auto"/>
              <w:bottom w:val="nil"/>
              <w:right w:val="nil"/>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 </w:t>
            </w:r>
          </w:p>
        </w:tc>
        <w:tc>
          <w:tcPr>
            <w:tcW w:w="1275" w:type="dxa"/>
            <w:tcBorders>
              <w:top w:val="nil"/>
              <w:left w:val="single" w:sz="8" w:space="0" w:color="auto"/>
              <w:bottom w:val="nil"/>
              <w:right w:val="nil"/>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 </w:t>
            </w:r>
          </w:p>
        </w:tc>
        <w:tc>
          <w:tcPr>
            <w:tcW w:w="1560"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jc w:val="right"/>
              <w:rPr>
                <w:rFonts w:cs="Arial"/>
                <w:bCs/>
                <w:color w:val="000000"/>
                <w:kern w:val="32"/>
                <w:sz w:val="16"/>
                <w:szCs w:val="16"/>
              </w:rPr>
            </w:pPr>
            <w:r w:rsidRPr="00DD76C8">
              <w:rPr>
                <w:color w:val="000000"/>
                <w:kern w:val="32"/>
                <w:sz w:val="16"/>
              </w:rPr>
              <w:t> </w:t>
            </w:r>
          </w:p>
        </w:tc>
      </w:tr>
      <w:tr w:rsidR="002D1DA9" w:rsidRPr="00DD76C8" w:rsidTr="002D1DA9">
        <w:trPr>
          <w:trHeight w:val="300"/>
        </w:trPr>
        <w:tc>
          <w:tcPr>
            <w:tcW w:w="1260"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jc w:val="both"/>
              <w:rPr>
                <w:color w:val="000000"/>
                <w:sz w:val="16"/>
                <w:szCs w:val="16"/>
              </w:rPr>
            </w:pPr>
            <w:r w:rsidRPr="00DD76C8">
              <w:rPr>
                <w:color w:val="000000"/>
                <w:kern w:val="32"/>
                <w:sz w:val="16"/>
              </w:rPr>
              <w:t>9 0</w:t>
            </w:r>
          </w:p>
        </w:tc>
        <w:tc>
          <w:tcPr>
            <w:tcW w:w="4567" w:type="dxa"/>
            <w:tcBorders>
              <w:top w:val="nil"/>
              <w:left w:val="nil"/>
              <w:bottom w:val="nil"/>
              <w:right w:val="nil"/>
            </w:tcBorders>
            <w:shd w:val="clear" w:color="auto" w:fill="auto"/>
            <w:vAlign w:val="center"/>
            <w:hideMark/>
          </w:tcPr>
          <w:p w:rsidR="002D1DA9" w:rsidRPr="00DD76C8" w:rsidRDefault="002D1DA9" w:rsidP="002D1DA9">
            <w:pPr>
              <w:widowControl/>
              <w:jc w:val="both"/>
              <w:rPr>
                <w:color w:val="000000"/>
                <w:sz w:val="16"/>
                <w:szCs w:val="16"/>
              </w:rPr>
            </w:pPr>
            <w:r w:rsidRPr="00DD76C8">
              <w:rPr>
                <w:color w:val="000000"/>
                <w:kern w:val="32"/>
                <w:sz w:val="16"/>
              </w:rPr>
              <w:t>RAZNI PRIHODI</w:t>
            </w:r>
          </w:p>
        </w:tc>
        <w:tc>
          <w:tcPr>
            <w:tcW w:w="1418" w:type="dxa"/>
            <w:tcBorders>
              <w:top w:val="nil"/>
              <w:left w:val="single" w:sz="8" w:space="0" w:color="auto"/>
              <w:bottom w:val="nil"/>
              <w:right w:val="nil"/>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 </w:t>
            </w:r>
          </w:p>
        </w:tc>
        <w:tc>
          <w:tcPr>
            <w:tcW w:w="1275" w:type="dxa"/>
            <w:tcBorders>
              <w:top w:val="nil"/>
              <w:left w:val="single" w:sz="8" w:space="0" w:color="auto"/>
              <w:bottom w:val="nil"/>
              <w:right w:val="nil"/>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 </w:t>
            </w:r>
          </w:p>
        </w:tc>
        <w:tc>
          <w:tcPr>
            <w:tcW w:w="1560"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jc w:val="right"/>
              <w:rPr>
                <w:rFonts w:cs="Arial"/>
                <w:bCs/>
                <w:color w:val="000000"/>
                <w:kern w:val="32"/>
                <w:sz w:val="16"/>
                <w:szCs w:val="16"/>
              </w:rPr>
            </w:pPr>
            <w:r w:rsidRPr="00DD76C8">
              <w:rPr>
                <w:color w:val="000000"/>
                <w:kern w:val="32"/>
                <w:sz w:val="16"/>
              </w:rPr>
              <w:t> </w:t>
            </w:r>
          </w:p>
        </w:tc>
      </w:tr>
      <w:tr w:rsidR="002D1DA9" w:rsidRPr="00DD76C8" w:rsidTr="002D1DA9">
        <w:trPr>
          <w:trHeight w:val="315"/>
        </w:trPr>
        <w:tc>
          <w:tcPr>
            <w:tcW w:w="1260"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jc w:val="both"/>
              <w:rPr>
                <w:color w:val="000000"/>
                <w:sz w:val="16"/>
                <w:szCs w:val="16"/>
              </w:rPr>
            </w:pPr>
            <w:r w:rsidRPr="00DD76C8">
              <w:rPr>
                <w:color w:val="000000"/>
                <w:kern w:val="32"/>
                <w:sz w:val="16"/>
              </w:rPr>
              <w:t>9 0 0</w:t>
            </w:r>
          </w:p>
        </w:tc>
        <w:tc>
          <w:tcPr>
            <w:tcW w:w="4567" w:type="dxa"/>
            <w:tcBorders>
              <w:top w:val="nil"/>
              <w:left w:val="nil"/>
              <w:bottom w:val="nil"/>
              <w:right w:val="nil"/>
            </w:tcBorders>
            <w:shd w:val="clear" w:color="auto" w:fill="auto"/>
            <w:vAlign w:val="center"/>
            <w:hideMark/>
          </w:tcPr>
          <w:p w:rsidR="002D1DA9" w:rsidRPr="00DD76C8" w:rsidRDefault="002D1DA9" w:rsidP="002D1DA9">
            <w:pPr>
              <w:widowControl/>
              <w:jc w:val="both"/>
              <w:rPr>
                <w:color w:val="000000"/>
                <w:sz w:val="16"/>
                <w:szCs w:val="16"/>
              </w:rPr>
            </w:pPr>
            <w:r w:rsidRPr="00DD76C8">
              <w:rPr>
                <w:color w:val="000000"/>
                <w:kern w:val="32"/>
                <w:sz w:val="16"/>
              </w:rPr>
              <w:t>Razni prihodi</w:t>
            </w:r>
          </w:p>
        </w:tc>
        <w:tc>
          <w:tcPr>
            <w:tcW w:w="1418" w:type="dxa"/>
            <w:tcBorders>
              <w:top w:val="nil"/>
              <w:left w:val="single" w:sz="8" w:space="0" w:color="auto"/>
              <w:bottom w:val="single" w:sz="8" w:space="0" w:color="auto"/>
              <w:right w:val="nil"/>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1 000</w:t>
            </w:r>
          </w:p>
        </w:tc>
        <w:tc>
          <w:tcPr>
            <w:tcW w:w="1275" w:type="dxa"/>
            <w:tcBorders>
              <w:top w:val="nil"/>
              <w:left w:val="single" w:sz="8" w:space="0" w:color="auto"/>
              <w:bottom w:val="single" w:sz="8" w:space="0" w:color="auto"/>
              <w:right w:val="nil"/>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1 000</w:t>
            </w: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2D1DA9" w:rsidRPr="00DD76C8" w:rsidRDefault="002D1DA9" w:rsidP="002D1DA9">
            <w:pPr>
              <w:widowControl/>
              <w:jc w:val="right"/>
              <w:rPr>
                <w:rFonts w:cs="Arial"/>
                <w:bCs/>
                <w:color w:val="000000"/>
                <w:kern w:val="32"/>
                <w:sz w:val="16"/>
                <w:szCs w:val="16"/>
              </w:rPr>
            </w:pPr>
            <w:r w:rsidRPr="00DD76C8">
              <w:rPr>
                <w:color w:val="000000"/>
                <w:kern w:val="32"/>
                <w:sz w:val="16"/>
              </w:rPr>
              <w:t>2 061 711</w:t>
            </w:r>
          </w:p>
        </w:tc>
      </w:tr>
      <w:tr w:rsidR="002D1DA9" w:rsidRPr="00DD76C8" w:rsidTr="002D1DA9">
        <w:trPr>
          <w:trHeight w:val="315"/>
        </w:trPr>
        <w:tc>
          <w:tcPr>
            <w:tcW w:w="1260"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 </w:t>
            </w:r>
          </w:p>
        </w:tc>
        <w:tc>
          <w:tcPr>
            <w:tcW w:w="4567" w:type="dxa"/>
            <w:tcBorders>
              <w:top w:val="nil"/>
              <w:left w:val="nil"/>
              <w:bottom w:val="nil"/>
              <w:right w:val="nil"/>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Poglavlje 9 0 — Ukupno</w:t>
            </w:r>
          </w:p>
        </w:tc>
        <w:tc>
          <w:tcPr>
            <w:tcW w:w="1418" w:type="dxa"/>
            <w:tcBorders>
              <w:top w:val="nil"/>
              <w:left w:val="single" w:sz="8" w:space="0" w:color="auto"/>
              <w:bottom w:val="single" w:sz="8" w:space="0" w:color="auto"/>
              <w:right w:val="nil"/>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1 000</w:t>
            </w:r>
          </w:p>
        </w:tc>
        <w:tc>
          <w:tcPr>
            <w:tcW w:w="1275" w:type="dxa"/>
            <w:tcBorders>
              <w:top w:val="nil"/>
              <w:left w:val="single" w:sz="8" w:space="0" w:color="auto"/>
              <w:bottom w:val="single" w:sz="8" w:space="0" w:color="auto"/>
              <w:right w:val="nil"/>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1 000</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D1DA9" w:rsidRPr="00DD76C8" w:rsidRDefault="002D1DA9" w:rsidP="002D1DA9">
            <w:pPr>
              <w:widowControl/>
              <w:jc w:val="right"/>
              <w:rPr>
                <w:rFonts w:cs="Arial"/>
                <w:bCs/>
                <w:color w:val="000000"/>
                <w:kern w:val="32"/>
                <w:sz w:val="16"/>
                <w:szCs w:val="16"/>
              </w:rPr>
            </w:pPr>
            <w:r w:rsidRPr="00DD76C8">
              <w:rPr>
                <w:color w:val="000000"/>
                <w:kern w:val="32"/>
                <w:sz w:val="16"/>
              </w:rPr>
              <w:t>2 061 711</w:t>
            </w:r>
          </w:p>
        </w:tc>
      </w:tr>
      <w:tr w:rsidR="002D1DA9" w:rsidRPr="00DD76C8" w:rsidTr="002D1DA9">
        <w:trPr>
          <w:trHeight w:val="315"/>
        </w:trPr>
        <w:tc>
          <w:tcPr>
            <w:tcW w:w="1260"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jc w:val="right"/>
              <w:rPr>
                <w:b/>
                <w:bCs/>
                <w:color w:val="000000"/>
                <w:sz w:val="16"/>
                <w:szCs w:val="16"/>
              </w:rPr>
            </w:pPr>
            <w:r w:rsidRPr="00DD76C8">
              <w:rPr>
                <w:b/>
                <w:color w:val="000000"/>
                <w:kern w:val="32"/>
                <w:sz w:val="16"/>
              </w:rPr>
              <w:t> </w:t>
            </w:r>
          </w:p>
        </w:tc>
        <w:tc>
          <w:tcPr>
            <w:tcW w:w="4567" w:type="dxa"/>
            <w:tcBorders>
              <w:top w:val="nil"/>
              <w:left w:val="nil"/>
              <w:bottom w:val="nil"/>
              <w:right w:val="nil"/>
            </w:tcBorders>
            <w:shd w:val="clear" w:color="auto" w:fill="auto"/>
            <w:vAlign w:val="center"/>
            <w:hideMark/>
          </w:tcPr>
          <w:p w:rsidR="002D1DA9" w:rsidRPr="00DD76C8" w:rsidRDefault="002D1DA9" w:rsidP="002D1DA9">
            <w:pPr>
              <w:widowControl/>
              <w:jc w:val="right"/>
              <w:rPr>
                <w:b/>
                <w:bCs/>
                <w:color w:val="000000"/>
                <w:sz w:val="16"/>
                <w:szCs w:val="16"/>
              </w:rPr>
            </w:pPr>
            <w:r w:rsidRPr="00DD76C8">
              <w:rPr>
                <w:b/>
                <w:color w:val="000000"/>
                <w:kern w:val="32"/>
                <w:sz w:val="16"/>
              </w:rPr>
              <w:t>Glava 9 — Ukupno</w:t>
            </w:r>
          </w:p>
        </w:tc>
        <w:tc>
          <w:tcPr>
            <w:tcW w:w="1418" w:type="dxa"/>
            <w:tcBorders>
              <w:top w:val="nil"/>
              <w:left w:val="single" w:sz="8" w:space="0" w:color="auto"/>
              <w:bottom w:val="single" w:sz="8" w:space="0" w:color="auto"/>
              <w:right w:val="nil"/>
            </w:tcBorders>
            <w:shd w:val="clear" w:color="auto" w:fill="auto"/>
            <w:vAlign w:val="center"/>
            <w:hideMark/>
          </w:tcPr>
          <w:p w:rsidR="002D1DA9" w:rsidRPr="00DD76C8" w:rsidRDefault="002D1DA9" w:rsidP="002D1DA9">
            <w:pPr>
              <w:widowControl/>
              <w:jc w:val="right"/>
              <w:rPr>
                <w:b/>
                <w:bCs/>
                <w:color w:val="000000"/>
                <w:sz w:val="16"/>
                <w:szCs w:val="16"/>
              </w:rPr>
            </w:pPr>
            <w:r w:rsidRPr="00DD76C8">
              <w:rPr>
                <w:b/>
                <w:color w:val="000000"/>
                <w:kern w:val="32"/>
                <w:sz w:val="16"/>
              </w:rPr>
              <w:t>1 000</w:t>
            </w:r>
          </w:p>
        </w:tc>
        <w:tc>
          <w:tcPr>
            <w:tcW w:w="1275" w:type="dxa"/>
            <w:tcBorders>
              <w:top w:val="nil"/>
              <w:left w:val="single" w:sz="8" w:space="0" w:color="auto"/>
              <w:bottom w:val="single" w:sz="8" w:space="0" w:color="auto"/>
              <w:right w:val="nil"/>
            </w:tcBorders>
            <w:shd w:val="clear" w:color="auto" w:fill="auto"/>
            <w:vAlign w:val="center"/>
            <w:hideMark/>
          </w:tcPr>
          <w:p w:rsidR="002D1DA9" w:rsidRPr="00DD76C8" w:rsidRDefault="002D1DA9" w:rsidP="002D1DA9">
            <w:pPr>
              <w:widowControl/>
              <w:jc w:val="right"/>
              <w:rPr>
                <w:b/>
                <w:bCs/>
                <w:color w:val="000000"/>
                <w:sz w:val="16"/>
                <w:szCs w:val="16"/>
              </w:rPr>
            </w:pPr>
            <w:r w:rsidRPr="00DD76C8">
              <w:rPr>
                <w:b/>
                <w:color w:val="000000"/>
                <w:kern w:val="32"/>
                <w:sz w:val="16"/>
              </w:rPr>
              <w:t>1 000</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D1DA9" w:rsidRPr="00DD76C8" w:rsidRDefault="002D1DA9" w:rsidP="002D1DA9">
            <w:pPr>
              <w:widowControl/>
              <w:jc w:val="right"/>
              <w:rPr>
                <w:rFonts w:cs="Arial"/>
                <w:b/>
                <w:bCs/>
                <w:color w:val="000000"/>
                <w:kern w:val="32"/>
                <w:sz w:val="16"/>
                <w:szCs w:val="16"/>
              </w:rPr>
            </w:pPr>
            <w:r w:rsidRPr="00DD76C8">
              <w:rPr>
                <w:b/>
                <w:color w:val="000000"/>
                <w:kern w:val="32"/>
                <w:sz w:val="16"/>
              </w:rPr>
              <w:t>2 061 711</w:t>
            </w:r>
          </w:p>
        </w:tc>
      </w:tr>
      <w:tr w:rsidR="002D1DA9" w:rsidRPr="00DD76C8" w:rsidTr="002D1DA9">
        <w:trPr>
          <w:trHeight w:val="300"/>
        </w:trPr>
        <w:tc>
          <w:tcPr>
            <w:tcW w:w="1260" w:type="dxa"/>
            <w:vMerge w:val="restart"/>
            <w:tcBorders>
              <w:top w:val="nil"/>
              <w:left w:val="single" w:sz="8" w:space="0" w:color="auto"/>
              <w:bottom w:val="single" w:sz="8" w:space="0" w:color="000000"/>
              <w:right w:val="single" w:sz="8" w:space="0" w:color="auto"/>
            </w:tcBorders>
            <w:shd w:val="clear" w:color="auto" w:fill="auto"/>
            <w:vAlign w:val="center"/>
            <w:hideMark/>
          </w:tcPr>
          <w:p w:rsidR="002D1DA9" w:rsidRPr="00DD76C8" w:rsidRDefault="002D1DA9" w:rsidP="002D1DA9">
            <w:pPr>
              <w:widowControl/>
              <w:jc w:val="right"/>
              <w:rPr>
                <w:b/>
                <w:bCs/>
                <w:color w:val="000000"/>
                <w:szCs w:val="24"/>
              </w:rPr>
            </w:pPr>
            <w:r w:rsidRPr="00DD76C8">
              <w:rPr>
                <w:b/>
                <w:color w:val="000000"/>
                <w:kern w:val="32"/>
              </w:rPr>
              <w:t> </w:t>
            </w:r>
          </w:p>
        </w:tc>
        <w:tc>
          <w:tcPr>
            <w:tcW w:w="4567" w:type="dxa"/>
            <w:vMerge w:val="restart"/>
            <w:tcBorders>
              <w:top w:val="nil"/>
              <w:left w:val="single" w:sz="8" w:space="0" w:color="auto"/>
              <w:bottom w:val="single" w:sz="8" w:space="0" w:color="000000"/>
              <w:right w:val="single" w:sz="8" w:space="0" w:color="auto"/>
            </w:tcBorders>
            <w:shd w:val="clear" w:color="auto" w:fill="auto"/>
            <w:vAlign w:val="center"/>
            <w:hideMark/>
          </w:tcPr>
          <w:p w:rsidR="002D1DA9" w:rsidRPr="00DD76C8" w:rsidRDefault="002D1DA9" w:rsidP="002D1DA9">
            <w:pPr>
              <w:widowControl/>
              <w:jc w:val="right"/>
              <w:rPr>
                <w:b/>
                <w:bCs/>
                <w:color w:val="000000"/>
                <w:szCs w:val="24"/>
              </w:rPr>
            </w:pPr>
            <w:r w:rsidRPr="00DD76C8">
              <w:rPr>
                <w:b/>
                <w:color w:val="000000"/>
                <w:kern w:val="32"/>
              </w:rPr>
              <w:t>UKUPNI IZNOS</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rsidR="002D1DA9" w:rsidRPr="00DD76C8" w:rsidRDefault="002D1DA9" w:rsidP="002D1DA9">
            <w:pPr>
              <w:widowControl/>
              <w:jc w:val="right"/>
              <w:rPr>
                <w:b/>
                <w:bCs/>
                <w:color w:val="000000"/>
                <w:sz w:val="18"/>
                <w:szCs w:val="18"/>
              </w:rPr>
            </w:pPr>
            <w:r w:rsidRPr="00DD76C8">
              <w:rPr>
                <w:b/>
                <w:color w:val="000000"/>
                <w:kern w:val="32"/>
                <w:sz w:val="18"/>
              </w:rPr>
              <w:t>164 416 000</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rsidR="002D1DA9" w:rsidRPr="00DD76C8" w:rsidRDefault="002D1DA9" w:rsidP="002D1DA9">
            <w:pPr>
              <w:widowControl/>
              <w:jc w:val="right"/>
              <w:rPr>
                <w:b/>
                <w:bCs/>
                <w:color w:val="000000"/>
                <w:sz w:val="18"/>
                <w:szCs w:val="18"/>
              </w:rPr>
            </w:pPr>
            <w:r w:rsidRPr="00DD76C8">
              <w:rPr>
                <w:b/>
                <w:color w:val="000000"/>
                <w:kern w:val="32"/>
                <w:sz w:val="18"/>
              </w:rPr>
              <w:t>159 235 183</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2D1DA9" w:rsidRPr="00DD76C8" w:rsidRDefault="002D1DA9" w:rsidP="002D1DA9">
            <w:pPr>
              <w:widowControl/>
              <w:jc w:val="right"/>
              <w:rPr>
                <w:rFonts w:cs="Arial"/>
                <w:b/>
                <w:bCs/>
                <w:color w:val="000000"/>
                <w:kern w:val="32"/>
                <w:sz w:val="18"/>
                <w:szCs w:val="18"/>
              </w:rPr>
            </w:pPr>
            <w:r w:rsidRPr="00DD76C8">
              <w:rPr>
                <w:b/>
                <w:color w:val="000000"/>
                <w:kern w:val="32"/>
                <w:sz w:val="18"/>
              </w:rPr>
              <w:t>183 381 514</w:t>
            </w:r>
          </w:p>
        </w:tc>
      </w:tr>
      <w:tr w:rsidR="002D1DA9" w:rsidRPr="00DD76C8" w:rsidTr="002D1DA9">
        <w:trPr>
          <w:trHeight w:val="315"/>
        </w:trPr>
        <w:tc>
          <w:tcPr>
            <w:tcW w:w="1260" w:type="dxa"/>
            <w:vMerge/>
            <w:tcBorders>
              <w:top w:val="nil"/>
              <w:left w:val="single" w:sz="8" w:space="0" w:color="auto"/>
              <w:bottom w:val="single" w:sz="8" w:space="0" w:color="000000"/>
              <w:right w:val="single" w:sz="8" w:space="0" w:color="auto"/>
            </w:tcBorders>
            <w:vAlign w:val="center"/>
            <w:hideMark/>
          </w:tcPr>
          <w:p w:rsidR="002D1DA9" w:rsidRPr="00DD76C8" w:rsidRDefault="002D1DA9" w:rsidP="002D1DA9">
            <w:pPr>
              <w:widowControl/>
              <w:rPr>
                <w:b/>
                <w:bCs/>
                <w:color w:val="000000"/>
                <w:szCs w:val="24"/>
              </w:rPr>
            </w:pPr>
          </w:p>
        </w:tc>
        <w:tc>
          <w:tcPr>
            <w:tcW w:w="4567" w:type="dxa"/>
            <w:vMerge/>
            <w:tcBorders>
              <w:top w:val="nil"/>
              <w:left w:val="single" w:sz="8" w:space="0" w:color="auto"/>
              <w:bottom w:val="single" w:sz="8" w:space="0" w:color="000000"/>
              <w:right w:val="single" w:sz="8" w:space="0" w:color="auto"/>
            </w:tcBorders>
            <w:vAlign w:val="center"/>
            <w:hideMark/>
          </w:tcPr>
          <w:p w:rsidR="002D1DA9" w:rsidRPr="00DD76C8" w:rsidRDefault="002D1DA9" w:rsidP="002D1DA9">
            <w:pPr>
              <w:widowControl/>
              <w:rPr>
                <w:b/>
                <w:bCs/>
                <w:color w:val="000000"/>
                <w:szCs w:val="24"/>
              </w:rPr>
            </w:pPr>
          </w:p>
        </w:tc>
        <w:tc>
          <w:tcPr>
            <w:tcW w:w="1418" w:type="dxa"/>
            <w:vMerge/>
            <w:tcBorders>
              <w:top w:val="nil"/>
              <w:left w:val="single" w:sz="8" w:space="0" w:color="auto"/>
              <w:bottom w:val="single" w:sz="8" w:space="0" w:color="000000"/>
              <w:right w:val="single" w:sz="8" w:space="0" w:color="auto"/>
            </w:tcBorders>
            <w:vAlign w:val="center"/>
            <w:hideMark/>
          </w:tcPr>
          <w:p w:rsidR="002D1DA9" w:rsidRPr="00DD76C8" w:rsidRDefault="002D1DA9" w:rsidP="002D1DA9">
            <w:pPr>
              <w:widowControl/>
              <w:rPr>
                <w:b/>
                <w:bCs/>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2D1DA9" w:rsidRPr="00DD76C8" w:rsidRDefault="002D1DA9" w:rsidP="002D1DA9">
            <w:pPr>
              <w:widowControl/>
              <w:rPr>
                <w:b/>
                <w:bCs/>
                <w:color w:val="000000"/>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2D1DA9" w:rsidRPr="00DD76C8" w:rsidRDefault="002D1DA9" w:rsidP="002D1DA9">
            <w:pPr>
              <w:widowControl/>
              <w:rPr>
                <w:b/>
                <w:bCs/>
                <w:color w:val="000000"/>
                <w:sz w:val="18"/>
                <w:szCs w:val="18"/>
              </w:rPr>
            </w:pPr>
          </w:p>
        </w:tc>
      </w:tr>
    </w:tbl>
    <w:p w:rsidR="002D1DA9" w:rsidRPr="00DD76C8" w:rsidRDefault="002D1DA9" w:rsidP="002D1DA9">
      <w:pPr>
        <w:widowControl/>
        <w:jc w:val="both"/>
        <w:rPr>
          <w:rFonts w:cs="Arial"/>
          <w:bCs/>
          <w:kern w:val="32"/>
          <w:szCs w:val="24"/>
        </w:rPr>
      </w:pPr>
    </w:p>
    <w:p w:rsidR="002D1DA9" w:rsidRPr="00DD76C8" w:rsidRDefault="002D1DA9" w:rsidP="002D1DA9">
      <w:pPr>
        <w:widowControl/>
        <w:jc w:val="center"/>
        <w:rPr>
          <w:rFonts w:cs="Arial"/>
          <w:bCs/>
          <w:kern w:val="32"/>
          <w:sz w:val="18"/>
          <w:szCs w:val="18"/>
        </w:rPr>
      </w:pPr>
      <w:r w:rsidRPr="00DD76C8">
        <w:br w:type="page"/>
      </w:r>
      <w:r w:rsidRPr="00DD76C8">
        <w:rPr>
          <w:b/>
          <w:kern w:val="32"/>
          <w:sz w:val="26"/>
        </w:rPr>
        <w:t>RASHODI</w:t>
      </w:r>
    </w:p>
    <w:p w:rsidR="002D1DA9" w:rsidRPr="00DD76C8" w:rsidRDefault="002D1DA9" w:rsidP="002D1DA9">
      <w:pPr>
        <w:widowControl/>
        <w:tabs>
          <w:tab w:val="center" w:pos="5248"/>
        </w:tabs>
        <w:spacing w:after="180"/>
        <w:jc w:val="center"/>
        <w:rPr>
          <w:rFonts w:cs="Arial"/>
          <w:b/>
          <w:kern w:val="32"/>
          <w:sz w:val="22"/>
          <w:szCs w:val="22"/>
        </w:rPr>
      </w:pPr>
      <w:r w:rsidRPr="00DD76C8">
        <w:rPr>
          <w:b/>
          <w:kern w:val="32"/>
          <w:sz w:val="22"/>
        </w:rPr>
        <w:t>Ukupni pregled sredstava (2018. i 2017.) i izvršenja (2016.)</w:t>
      </w:r>
    </w:p>
    <w:tbl>
      <w:tblPr>
        <w:tblW w:w="10080" w:type="dxa"/>
        <w:tblInd w:w="93" w:type="dxa"/>
        <w:tblLook w:val="04A0" w:firstRow="1" w:lastRow="0" w:firstColumn="1" w:lastColumn="0" w:noHBand="0" w:noVBand="1"/>
      </w:tblPr>
      <w:tblGrid>
        <w:gridCol w:w="1433"/>
        <w:gridCol w:w="4394"/>
        <w:gridCol w:w="1418"/>
        <w:gridCol w:w="1275"/>
        <w:gridCol w:w="1560"/>
      </w:tblGrid>
      <w:tr w:rsidR="002D1DA9" w:rsidRPr="00DD76C8" w:rsidTr="002D1DA9">
        <w:trPr>
          <w:trHeight w:val="645"/>
        </w:trPr>
        <w:tc>
          <w:tcPr>
            <w:tcW w:w="1433" w:type="dxa"/>
            <w:tcBorders>
              <w:top w:val="single" w:sz="8" w:space="0" w:color="auto"/>
              <w:left w:val="single" w:sz="8" w:space="0" w:color="auto"/>
              <w:bottom w:val="single" w:sz="8" w:space="0" w:color="auto"/>
              <w:right w:val="nil"/>
            </w:tcBorders>
            <w:shd w:val="clear" w:color="000000" w:fill="99CCFF"/>
            <w:vAlign w:val="center"/>
            <w:hideMark/>
          </w:tcPr>
          <w:p w:rsidR="002D1DA9" w:rsidRPr="00DD76C8" w:rsidRDefault="002D1DA9" w:rsidP="002D1DA9">
            <w:pPr>
              <w:widowControl/>
              <w:jc w:val="center"/>
              <w:rPr>
                <w:b/>
                <w:bCs/>
                <w:color w:val="000000"/>
                <w:szCs w:val="24"/>
              </w:rPr>
            </w:pPr>
            <w:r w:rsidRPr="00DD76C8">
              <w:rPr>
                <w:b/>
                <w:color w:val="000000"/>
              </w:rPr>
              <w:t>Glava Poglavlje</w:t>
            </w:r>
          </w:p>
        </w:tc>
        <w:tc>
          <w:tcPr>
            <w:tcW w:w="4394" w:type="dxa"/>
            <w:tcBorders>
              <w:top w:val="single" w:sz="8" w:space="0" w:color="auto"/>
              <w:left w:val="single" w:sz="8" w:space="0" w:color="auto"/>
              <w:bottom w:val="single" w:sz="8" w:space="0" w:color="auto"/>
              <w:right w:val="single" w:sz="8" w:space="0" w:color="auto"/>
            </w:tcBorders>
            <w:shd w:val="clear" w:color="000000" w:fill="99CCFF"/>
            <w:vAlign w:val="center"/>
            <w:hideMark/>
          </w:tcPr>
          <w:p w:rsidR="002D1DA9" w:rsidRPr="00DD76C8" w:rsidRDefault="002D1DA9" w:rsidP="002D1DA9">
            <w:pPr>
              <w:widowControl/>
              <w:jc w:val="center"/>
              <w:rPr>
                <w:b/>
                <w:bCs/>
                <w:color w:val="000000"/>
                <w:szCs w:val="24"/>
              </w:rPr>
            </w:pPr>
            <w:r w:rsidRPr="00DD76C8">
              <w:rPr>
                <w:b/>
                <w:color w:val="000000"/>
              </w:rPr>
              <w:t>Naslov</w:t>
            </w:r>
          </w:p>
        </w:tc>
        <w:tc>
          <w:tcPr>
            <w:tcW w:w="1418" w:type="dxa"/>
            <w:tcBorders>
              <w:top w:val="single" w:sz="8" w:space="0" w:color="auto"/>
              <w:left w:val="nil"/>
              <w:bottom w:val="single" w:sz="8" w:space="0" w:color="auto"/>
              <w:right w:val="single" w:sz="8" w:space="0" w:color="auto"/>
            </w:tcBorders>
            <w:shd w:val="clear" w:color="000000" w:fill="99CCFF"/>
            <w:vAlign w:val="center"/>
            <w:hideMark/>
          </w:tcPr>
          <w:p w:rsidR="002D1DA9" w:rsidRPr="00DD76C8" w:rsidRDefault="002D1DA9" w:rsidP="002D1DA9">
            <w:pPr>
              <w:widowControl/>
              <w:jc w:val="center"/>
              <w:rPr>
                <w:b/>
                <w:bCs/>
                <w:color w:val="000000"/>
                <w:szCs w:val="24"/>
              </w:rPr>
            </w:pPr>
            <w:r w:rsidRPr="00DD76C8">
              <w:rPr>
                <w:b/>
                <w:color w:val="000000"/>
              </w:rPr>
              <w:t>Odobrena sredstva za 2018.</w:t>
            </w:r>
          </w:p>
        </w:tc>
        <w:tc>
          <w:tcPr>
            <w:tcW w:w="1275" w:type="dxa"/>
            <w:tcBorders>
              <w:top w:val="single" w:sz="8" w:space="0" w:color="auto"/>
              <w:left w:val="nil"/>
              <w:bottom w:val="single" w:sz="8" w:space="0" w:color="auto"/>
              <w:right w:val="single" w:sz="8" w:space="0" w:color="auto"/>
            </w:tcBorders>
            <w:shd w:val="clear" w:color="000000" w:fill="99CCFF"/>
            <w:vAlign w:val="center"/>
            <w:hideMark/>
          </w:tcPr>
          <w:p w:rsidR="002D1DA9" w:rsidRPr="00DD76C8" w:rsidRDefault="002D1DA9" w:rsidP="002D1DA9">
            <w:pPr>
              <w:widowControl/>
              <w:jc w:val="center"/>
              <w:rPr>
                <w:b/>
                <w:bCs/>
                <w:color w:val="000000"/>
                <w:szCs w:val="24"/>
              </w:rPr>
            </w:pPr>
            <w:r w:rsidRPr="00DD76C8">
              <w:rPr>
                <w:b/>
                <w:color w:val="000000"/>
              </w:rPr>
              <w:t>Odobrena sredstva za 2017.</w:t>
            </w:r>
          </w:p>
        </w:tc>
        <w:tc>
          <w:tcPr>
            <w:tcW w:w="1560" w:type="dxa"/>
            <w:tcBorders>
              <w:top w:val="single" w:sz="8" w:space="0" w:color="auto"/>
              <w:left w:val="nil"/>
              <w:bottom w:val="single" w:sz="8" w:space="0" w:color="auto"/>
              <w:right w:val="single" w:sz="8" w:space="0" w:color="auto"/>
            </w:tcBorders>
            <w:shd w:val="clear" w:color="000000" w:fill="99CCFF"/>
            <w:vAlign w:val="center"/>
            <w:hideMark/>
          </w:tcPr>
          <w:p w:rsidR="002D1DA9" w:rsidRPr="00DD76C8" w:rsidRDefault="002D1DA9" w:rsidP="002D1DA9">
            <w:pPr>
              <w:widowControl/>
              <w:jc w:val="center"/>
              <w:rPr>
                <w:b/>
                <w:bCs/>
                <w:color w:val="000000"/>
                <w:szCs w:val="24"/>
              </w:rPr>
            </w:pPr>
            <w:r w:rsidRPr="00DD76C8">
              <w:rPr>
                <w:b/>
                <w:color w:val="000000"/>
              </w:rPr>
              <w:t>Izvršenje proračuna za 2016.</w:t>
            </w:r>
          </w:p>
        </w:tc>
      </w:tr>
      <w:tr w:rsidR="002D1DA9" w:rsidRPr="00DD76C8" w:rsidTr="002D1DA9">
        <w:trPr>
          <w:trHeight w:val="300"/>
        </w:trPr>
        <w:tc>
          <w:tcPr>
            <w:tcW w:w="1433" w:type="dxa"/>
            <w:tcBorders>
              <w:top w:val="nil"/>
              <w:left w:val="single" w:sz="8" w:space="0" w:color="auto"/>
              <w:bottom w:val="nil"/>
              <w:right w:val="nil"/>
            </w:tcBorders>
            <w:shd w:val="clear" w:color="auto" w:fill="auto"/>
            <w:vAlign w:val="center"/>
            <w:hideMark/>
          </w:tcPr>
          <w:p w:rsidR="002D1DA9" w:rsidRPr="00DD76C8" w:rsidRDefault="002D1DA9" w:rsidP="002D1DA9">
            <w:pPr>
              <w:widowControl/>
              <w:jc w:val="both"/>
              <w:rPr>
                <w:color w:val="000000"/>
                <w:sz w:val="16"/>
                <w:szCs w:val="16"/>
              </w:rPr>
            </w:pPr>
            <w:r w:rsidRPr="00DD76C8">
              <w:rPr>
                <w:color w:val="000000"/>
                <w:sz w:val="16"/>
              </w:rPr>
              <w:t> </w:t>
            </w:r>
          </w:p>
        </w:tc>
        <w:tc>
          <w:tcPr>
            <w:tcW w:w="4394"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rPr>
                <w:color w:val="000000"/>
                <w:sz w:val="16"/>
                <w:szCs w:val="16"/>
              </w:rPr>
            </w:pPr>
            <w:r w:rsidRPr="00DD76C8">
              <w:rPr>
                <w:color w:val="000000"/>
                <w:sz w:val="16"/>
              </w:rPr>
              <w:t> </w:t>
            </w:r>
          </w:p>
        </w:tc>
        <w:tc>
          <w:tcPr>
            <w:tcW w:w="1418"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rPr>
                <w:color w:val="000000"/>
                <w:sz w:val="16"/>
                <w:szCs w:val="16"/>
              </w:rPr>
            </w:pPr>
            <w:r w:rsidRPr="00DD76C8">
              <w:rPr>
                <w:color w:val="000000"/>
                <w:sz w:val="16"/>
              </w:rPr>
              <w:t> </w:t>
            </w:r>
          </w:p>
        </w:tc>
        <w:tc>
          <w:tcPr>
            <w:tcW w:w="1275"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rPr>
                <w:color w:val="000000"/>
                <w:sz w:val="16"/>
                <w:szCs w:val="16"/>
              </w:rPr>
            </w:pPr>
            <w:r w:rsidRPr="00DD76C8">
              <w:rPr>
                <w:color w:val="000000"/>
                <w:sz w:val="16"/>
              </w:rPr>
              <w:t> </w:t>
            </w:r>
          </w:p>
        </w:tc>
        <w:tc>
          <w:tcPr>
            <w:tcW w:w="1560"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rPr>
                <w:color w:val="000000"/>
                <w:sz w:val="16"/>
                <w:szCs w:val="16"/>
              </w:rPr>
            </w:pPr>
            <w:r w:rsidRPr="00DD76C8">
              <w:rPr>
                <w:color w:val="000000"/>
                <w:sz w:val="16"/>
              </w:rPr>
              <w:t> </w:t>
            </w:r>
          </w:p>
        </w:tc>
      </w:tr>
      <w:tr w:rsidR="002D1DA9" w:rsidRPr="00DD76C8" w:rsidTr="002D1DA9">
        <w:trPr>
          <w:trHeight w:val="300"/>
        </w:trPr>
        <w:tc>
          <w:tcPr>
            <w:tcW w:w="1433" w:type="dxa"/>
            <w:tcBorders>
              <w:top w:val="nil"/>
              <w:left w:val="single" w:sz="8" w:space="0" w:color="auto"/>
              <w:bottom w:val="nil"/>
              <w:right w:val="nil"/>
            </w:tcBorders>
            <w:shd w:val="clear" w:color="auto" w:fill="auto"/>
            <w:vAlign w:val="center"/>
            <w:hideMark/>
          </w:tcPr>
          <w:p w:rsidR="002D1DA9" w:rsidRPr="00DD76C8" w:rsidRDefault="002D1DA9" w:rsidP="002D1DA9">
            <w:pPr>
              <w:widowControl/>
              <w:jc w:val="both"/>
              <w:rPr>
                <w:b/>
                <w:bCs/>
                <w:color w:val="000000"/>
                <w:sz w:val="16"/>
                <w:szCs w:val="16"/>
              </w:rPr>
            </w:pPr>
            <w:r w:rsidRPr="00DD76C8">
              <w:rPr>
                <w:b/>
                <w:color w:val="000000"/>
                <w:kern w:val="32"/>
                <w:sz w:val="16"/>
              </w:rPr>
              <w:t>1</w:t>
            </w:r>
          </w:p>
        </w:tc>
        <w:tc>
          <w:tcPr>
            <w:tcW w:w="4394"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rPr>
                <w:b/>
                <w:bCs/>
                <w:color w:val="000000"/>
                <w:sz w:val="16"/>
                <w:szCs w:val="16"/>
              </w:rPr>
            </w:pPr>
            <w:r w:rsidRPr="00DD76C8">
              <w:rPr>
                <w:b/>
                <w:color w:val="000000"/>
                <w:kern w:val="32"/>
                <w:sz w:val="16"/>
              </w:rPr>
              <w:t>OSOBE KOJE RADE ZA INSTITUCIJU</w:t>
            </w:r>
          </w:p>
        </w:tc>
        <w:tc>
          <w:tcPr>
            <w:tcW w:w="1418"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 </w:t>
            </w:r>
          </w:p>
        </w:tc>
        <w:tc>
          <w:tcPr>
            <w:tcW w:w="1275"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 </w:t>
            </w:r>
          </w:p>
        </w:tc>
        <w:tc>
          <w:tcPr>
            <w:tcW w:w="1560"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 </w:t>
            </w:r>
          </w:p>
        </w:tc>
      </w:tr>
      <w:tr w:rsidR="002D1DA9" w:rsidRPr="00DD76C8" w:rsidTr="002D1DA9">
        <w:trPr>
          <w:trHeight w:val="300"/>
        </w:trPr>
        <w:tc>
          <w:tcPr>
            <w:tcW w:w="1433" w:type="dxa"/>
            <w:tcBorders>
              <w:top w:val="nil"/>
              <w:left w:val="single" w:sz="8" w:space="0" w:color="auto"/>
              <w:bottom w:val="nil"/>
              <w:right w:val="nil"/>
            </w:tcBorders>
            <w:shd w:val="clear" w:color="auto" w:fill="auto"/>
            <w:vAlign w:val="center"/>
            <w:hideMark/>
          </w:tcPr>
          <w:p w:rsidR="002D1DA9" w:rsidRPr="00DD76C8" w:rsidRDefault="002D1DA9" w:rsidP="002D1DA9">
            <w:pPr>
              <w:widowControl/>
              <w:jc w:val="both"/>
              <w:rPr>
                <w:color w:val="000000"/>
                <w:sz w:val="16"/>
                <w:szCs w:val="16"/>
              </w:rPr>
            </w:pPr>
            <w:r w:rsidRPr="00DD76C8">
              <w:rPr>
                <w:color w:val="000000"/>
                <w:kern w:val="32"/>
                <w:sz w:val="16"/>
              </w:rPr>
              <w:t> </w:t>
            </w:r>
          </w:p>
        </w:tc>
        <w:tc>
          <w:tcPr>
            <w:tcW w:w="4394"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 </w:t>
            </w:r>
          </w:p>
        </w:tc>
        <w:tc>
          <w:tcPr>
            <w:tcW w:w="1418"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 </w:t>
            </w:r>
          </w:p>
        </w:tc>
        <w:tc>
          <w:tcPr>
            <w:tcW w:w="1275"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 </w:t>
            </w:r>
          </w:p>
        </w:tc>
        <w:tc>
          <w:tcPr>
            <w:tcW w:w="1560"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 </w:t>
            </w:r>
          </w:p>
        </w:tc>
      </w:tr>
      <w:tr w:rsidR="002D1DA9" w:rsidRPr="00DD76C8" w:rsidTr="002D1DA9">
        <w:trPr>
          <w:trHeight w:val="300"/>
        </w:trPr>
        <w:tc>
          <w:tcPr>
            <w:tcW w:w="1433" w:type="dxa"/>
            <w:tcBorders>
              <w:top w:val="nil"/>
              <w:left w:val="single" w:sz="8" w:space="0" w:color="auto"/>
              <w:bottom w:val="nil"/>
              <w:right w:val="nil"/>
            </w:tcBorders>
            <w:shd w:val="clear" w:color="auto" w:fill="auto"/>
            <w:vAlign w:val="center"/>
            <w:hideMark/>
          </w:tcPr>
          <w:p w:rsidR="002D1DA9" w:rsidRPr="00DD76C8" w:rsidRDefault="002D1DA9" w:rsidP="002D1DA9">
            <w:pPr>
              <w:widowControl/>
              <w:jc w:val="both"/>
              <w:rPr>
                <w:color w:val="000000"/>
                <w:sz w:val="16"/>
                <w:szCs w:val="16"/>
              </w:rPr>
            </w:pPr>
            <w:r w:rsidRPr="00DD76C8">
              <w:rPr>
                <w:color w:val="000000"/>
                <w:kern w:val="32"/>
                <w:sz w:val="16"/>
              </w:rPr>
              <w:t>1 0</w:t>
            </w:r>
          </w:p>
        </w:tc>
        <w:tc>
          <w:tcPr>
            <w:tcW w:w="4394"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ČLANOVI INSTITUCIJE</w:t>
            </w:r>
          </w:p>
        </w:tc>
        <w:tc>
          <w:tcPr>
            <w:tcW w:w="1418"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212 101 000</w:t>
            </w:r>
          </w:p>
        </w:tc>
        <w:tc>
          <w:tcPr>
            <w:tcW w:w="1275"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210 660 500</w:t>
            </w:r>
          </w:p>
        </w:tc>
        <w:tc>
          <w:tcPr>
            <w:tcW w:w="1560"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203 367 219</w:t>
            </w:r>
          </w:p>
        </w:tc>
      </w:tr>
      <w:tr w:rsidR="002D1DA9" w:rsidRPr="00DD76C8" w:rsidTr="002D1DA9">
        <w:trPr>
          <w:trHeight w:val="300"/>
        </w:trPr>
        <w:tc>
          <w:tcPr>
            <w:tcW w:w="1433" w:type="dxa"/>
            <w:tcBorders>
              <w:top w:val="nil"/>
              <w:left w:val="single" w:sz="8" w:space="0" w:color="auto"/>
              <w:bottom w:val="nil"/>
              <w:right w:val="nil"/>
            </w:tcBorders>
            <w:shd w:val="clear" w:color="auto" w:fill="auto"/>
            <w:vAlign w:val="center"/>
            <w:hideMark/>
          </w:tcPr>
          <w:p w:rsidR="002D1DA9" w:rsidRPr="00DD76C8" w:rsidRDefault="002D1DA9" w:rsidP="002D1DA9">
            <w:pPr>
              <w:widowControl/>
              <w:jc w:val="both"/>
              <w:rPr>
                <w:color w:val="000000"/>
                <w:sz w:val="16"/>
                <w:szCs w:val="16"/>
              </w:rPr>
            </w:pPr>
            <w:r w:rsidRPr="00DD76C8">
              <w:rPr>
                <w:color w:val="000000"/>
                <w:kern w:val="32"/>
                <w:sz w:val="16"/>
              </w:rPr>
              <w:t>1 2</w:t>
            </w:r>
          </w:p>
        </w:tc>
        <w:tc>
          <w:tcPr>
            <w:tcW w:w="4394"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DUŽNOSNICI I PRIVREMENO OSOBLJE</w:t>
            </w:r>
          </w:p>
        </w:tc>
        <w:tc>
          <w:tcPr>
            <w:tcW w:w="1418" w:type="dxa"/>
            <w:tcBorders>
              <w:top w:val="nil"/>
              <w:left w:val="nil"/>
              <w:bottom w:val="nil"/>
              <w:right w:val="single" w:sz="8" w:space="0" w:color="auto"/>
            </w:tcBorders>
            <w:shd w:val="clear" w:color="auto" w:fill="auto"/>
            <w:vAlign w:val="center"/>
            <w:hideMark/>
          </w:tcPr>
          <w:p w:rsidR="002D1DA9" w:rsidRPr="00DD76C8" w:rsidRDefault="00E54DD6" w:rsidP="002D1DA9">
            <w:pPr>
              <w:widowControl/>
              <w:jc w:val="right"/>
              <w:rPr>
                <w:color w:val="000000"/>
                <w:sz w:val="16"/>
                <w:szCs w:val="16"/>
              </w:rPr>
            </w:pPr>
            <w:r w:rsidRPr="00DD76C8">
              <w:rPr>
                <w:color w:val="000000"/>
                <w:sz w:val="16"/>
              </w:rPr>
              <w:t>671 064 000</w:t>
            </w:r>
          </w:p>
        </w:tc>
        <w:tc>
          <w:tcPr>
            <w:tcW w:w="1275"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650 213 700</w:t>
            </w:r>
          </w:p>
        </w:tc>
        <w:tc>
          <w:tcPr>
            <w:tcW w:w="1560"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625 820 200</w:t>
            </w:r>
          </w:p>
        </w:tc>
      </w:tr>
      <w:tr w:rsidR="002D1DA9" w:rsidRPr="00DD76C8" w:rsidTr="002D1DA9">
        <w:trPr>
          <w:trHeight w:val="300"/>
        </w:trPr>
        <w:tc>
          <w:tcPr>
            <w:tcW w:w="1433" w:type="dxa"/>
            <w:tcBorders>
              <w:top w:val="nil"/>
              <w:left w:val="single" w:sz="8" w:space="0" w:color="auto"/>
              <w:bottom w:val="nil"/>
              <w:right w:val="nil"/>
            </w:tcBorders>
            <w:shd w:val="clear" w:color="auto" w:fill="auto"/>
            <w:vAlign w:val="center"/>
            <w:hideMark/>
          </w:tcPr>
          <w:p w:rsidR="002D1DA9" w:rsidRPr="00DD76C8" w:rsidRDefault="002D1DA9" w:rsidP="002D1DA9">
            <w:pPr>
              <w:widowControl/>
              <w:jc w:val="both"/>
              <w:rPr>
                <w:color w:val="000000"/>
                <w:sz w:val="16"/>
                <w:szCs w:val="16"/>
              </w:rPr>
            </w:pPr>
            <w:r w:rsidRPr="00DD76C8">
              <w:rPr>
                <w:color w:val="000000"/>
                <w:kern w:val="32"/>
                <w:sz w:val="16"/>
              </w:rPr>
              <w:t>1 4</w:t>
            </w:r>
          </w:p>
        </w:tc>
        <w:tc>
          <w:tcPr>
            <w:tcW w:w="4394"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OSTALO OSOBLJE I VANJSKE USLUGE</w:t>
            </w:r>
          </w:p>
        </w:tc>
        <w:tc>
          <w:tcPr>
            <w:tcW w:w="1418" w:type="dxa"/>
            <w:tcBorders>
              <w:top w:val="nil"/>
              <w:left w:val="nil"/>
              <w:bottom w:val="nil"/>
              <w:right w:val="single" w:sz="8" w:space="0" w:color="auto"/>
            </w:tcBorders>
            <w:shd w:val="clear" w:color="auto" w:fill="auto"/>
            <w:vAlign w:val="center"/>
            <w:hideMark/>
          </w:tcPr>
          <w:p w:rsidR="002D1DA9" w:rsidRPr="00DD76C8" w:rsidRDefault="00E54DD6" w:rsidP="002D1DA9">
            <w:pPr>
              <w:widowControl/>
              <w:jc w:val="right"/>
              <w:rPr>
                <w:color w:val="000000"/>
                <w:sz w:val="16"/>
                <w:szCs w:val="16"/>
              </w:rPr>
            </w:pPr>
            <w:r w:rsidRPr="00DD76C8">
              <w:rPr>
                <w:color w:val="000000"/>
                <w:sz w:val="16"/>
              </w:rPr>
              <w:t>144 760 333</w:t>
            </w:r>
          </w:p>
        </w:tc>
        <w:tc>
          <w:tcPr>
            <w:tcW w:w="1275"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137 040 500</w:t>
            </w:r>
          </w:p>
        </w:tc>
        <w:tc>
          <w:tcPr>
            <w:tcW w:w="1560"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125 551 151</w:t>
            </w:r>
          </w:p>
        </w:tc>
      </w:tr>
      <w:tr w:rsidR="002D1DA9" w:rsidRPr="00DD76C8" w:rsidTr="002D1DA9">
        <w:trPr>
          <w:trHeight w:val="465"/>
        </w:trPr>
        <w:tc>
          <w:tcPr>
            <w:tcW w:w="1433" w:type="dxa"/>
            <w:tcBorders>
              <w:top w:val="nil"/>
              <w:left w:val="single" w:sz="8" w:space="0" w:color="auto"/>
              <w:bottom w:val="nil"/>
              <w:right w:val="nil"/>
            </w:tcBorders>
            <w:shd w:val="clear" w:color="auto" w:fill="auto"/>
            <w:vAlign w:val="center"/>
            <w:hideMark/>
          </w:tcPr>
          <w:p w:rsidR="002D1DA9" w:rsidRPr="00DD76C8" w:rsidRDefault="002D1DA9" w:rsidP="002D1DA9">
            <w:pPr>
              <w:widowControl/>
              <w:jc w:val="both"/>
              <w:rPr>
                <w:color w:val="000000"/>
                <w:sz w:val="16"/>
                <w:szCs w:val="16"/>
              </w:rPr>
            </w:pPr>
            <w:r w:rsidRPr="00DD76C8">
              <w:rPr>
                <w:color w:val="000000"/>
                <w:kern w:val="32"/>
                <w:sz w:val="16"/>
              </w:rPr>
              <w:t>1 6</w:t>
            </w:r>
          </w:p>
        </w:tc>
        <w:tc>
          <w:tcPr>
            <w:tcW w:w="4394"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OSTALI RASHODI POVEZANI S OSOBAMA KOJE RADE ZA INSTITUCIJU</w:t>
            </w:r>
          </w:p>
        </w:tc>
        <w:tc>
          <w:tcPr>
            <w:tcW w:w="1418" w:type="dxa"/>
            <w:tcBorders>
              <w:top w:val="nil"/>
              <w:left w:val="nil"/>
              <w:bottom w:val="single" w:sz="8" w:space="0" w:color="auto"/>
              <w:right w:val="single" w:sz="8" w:space="0" w:color="auto"/>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18 648 150</w:t>
            </w:r>
          </w:p>
        </w:tc>
        <w:tc>
          <w:tcPr>
            <w:tcW w:w="1275" w:type="dxa"/>
            <w:tcBorders>
              <w:top w:val="nil"/>
              <w:left w:val="nil"/>
              <w:bottom w:val="single" w:sz="8" w:space="0" w:color="auto"/>
              <w:right w:val="single" w:sz="8" w:space="0" w:color="auto"/>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17 539 500</w:t>
            </w:r>
          </w:p>
        </w:tc>
        <w:tc>
          <w:tcPr>
            <w:tcW w:w="1560" w:type="dxa"/>
            <w:tcBorders>
              <w:top w:val="nil"/>
              <w:left w:val="nil"/>
              <w:bottom w:val="single" w:sz="8" w:space="0" w:color="auto"/>
              <w:right w:val="single" w:sz="8" w:space="0" w:color="auto"/>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14 441 490</w:t>
            </w:r>
          </w:p>
        </w:tc>
      </w:tr>
      <w:tr w:rsidR="002D1DA9" w:rsidRPr="00DD76C8" w:rsidTr="002D1DA9">
        <w:trPr>
          <w:trHeight w:val="330"/>
        </w:trPr>
        <w:tc>
          <w:tcPr>
            <w:tcW w:w="1433" w:type="dxa"/>
            <w:tcBorders>
              <w:top w:val="nil"/>
              <w:left w:val="single" w:sz="8" w:space="0" w:color="auto"/>
              <w:bottom w:val="nil"/>
              <w:right w:val="nil"/>
            </w:tcBorders>
            <w:shd w:val="clear" w:color="auto" w:fill="auto"/>
            <w:vAlign w:val="center"/>
            <w:hideMark/>
          </w:tcPr>
          <w:p w:rsidR="002D1DA9" w:rsidRPr="00DD76C8" w:rsidRDefault="002D1DA9" w:rsidP="002D1DA9">
            <w:pPr>
              <w:widowControl/>
              <w:jc w:val="both"/>
              <w:rPr>
                <w:color w:val="000000"/>
                <w:szCs w:val="24"/>
              </w:rPr>
            </w:pPr>
            <w:r w:rsidRPr="00DD76C8">
              <w:rPr>
                <w:color w:val="000000"/>
                <w:kern w:val="32"/>
              </w:rPr>
              <w:t> </w:t>
            </w:r>
          </w:p>
        </w:tc>
        <w:tc>
          <w:tcPr>
            <w:tcW w:w="4394"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jc w:val="right"/>
              <w:rPr>
                <w:b/>
                <w:bCs/>
                <w:color w:val="000000"/>
                <w:sz w:val="16"/>
                <w:szCs w:val="16"/>
              </w:rPr>
            </w:pPr>
            <w:r w:rsidRPr="00DD76C8">
              <w:rPr>
                <w:b/>
                <w:color w:val="000000"/>
                <w:kern w:val="32"/>
                <w:sz w:val="16"/>
              </w:rPr>
              <w:t>Glava 1 — Ukupno</w:t>
            </w:r>
          </w:p>
        </w:tc>
        <w:tc>
          <w:tcPr>
            <w:tcW w:w="1418" w:type="dxa"/>
            <w:tcBorders>
              <w:top w:val="nil"/>
              <w:left w:val="nil"/>
              <w:bottom w:val="single" w:sz="8" w:space="0" w:color="auto"/>
              <w:right w:val="single" w:sz="8" w:space="0" w:color="auto"/>
            </w:tcBorders>
            <w:shd w:val="clear" w:color="auto" w:fill="auto"/>
            <w:vAlign w:val="center"/>
            <w:hideMark/>
          </w:tcPr>
          <w:p w:rsidR="002D1DA9" w:rsidRPr="00DD76C8" w:rsidRDefault="00E54DD6" w:rsidP="002D1DA9">
            <w:pPr>
              <w:widowControl/>
              <w:jc w:val="right"/>
              <w:rPr>
                <w:b/>
                <w:bCs/>
                <w:color w:val="000000"/>
                <w:sz w:val="16"/>
                <w:szCs w:val="16"/>
              </w:rPr>
            </w:pPr>
            <w:r w:rsidRPr="00DD76C8">
              <w:rPr>
                <w:b/>
                <w:color w:val="000000"/>
                <w:sz w:val="16"/>
              </w:rPr>
              <w:t>1 046 573 483</w:t>
            </w:r>
          </w:p>
        </w:tc>
        <w:tc>
          <w:tcPr>
            <w:tcW w:w="1275" w:type="dxa"/>
            <w:tcBorders>
              <w:top w:val="nil"/>
              <w:left w:val="nil"/>
              <w:bottom w:val="single" w:sz="8" w:space="0" w:color="auto"/>
              <w:right w:val="single" w:sz="8" w:space="0" w:color="auto"/>
            </w:tcBorders>
            <w:shd w:val="clear" w:color="auto" w:fill="auto"/>
            <w:vAlign w:val="center"/>
            <w:hideMark/>
          </w:tcPr>
          <w:p w:rsidR="002D1DA9" w:rsidRPr="00DD76C8" w:rsidRDefault="002D1DA9" w:rsidP="002D1DA9">
            <w:pPr>
              <w:widowControl/>
              <w:jc w:val="right"/>
              <w:rPr>
                <w:b/>
                <w:bCs/>
                <w:color w:val="000000"/>
                <w:sz w:val="16"/>
                <w:szCs w:val="16"/>
              </w:rPr>
            </w:pPr>
            <w:r w:rsidRPr="00DD76C8">
              <w:rPr>
                <w:b/>
                <w:color w:val="000000"/>
                <w:kern w:val="32"/>
                <w:sz w:val="16"/>
              </w:rPr>
              <w:t>1 015 454 200</w:t>
            </w:r>
          </w:p>
        </w:tc>
        <w:tc>
          <w:tcPr>
            <w:tcW w:w="1560" w:type="dxa"/>
            <w:tcBorders>
              <w:top w:val="nil"/>
              <w:left w:val="nil"/>
              <w:bottom w:val="single" w:sz="8" w:space="0" w:color="auto"/>
              <w:right w:val="single" w:sz="8" w:space="0" w:color="auto"/>
            </w:tcBorders>
            <w:shd w:val="clear" w:color="auto" w:fill="auto"/>
            <w:vAlign w:val="center"/>
            <w:hideMark/>
          </w:tcPr>
          <w:p w:rsidR="002D1DA9" w:rsidRPr="00DD76C8" w:rsidRDefault="002D1DA9" w:rsidP="002D1DA9">
            <w:pPr>
              <w:widowControl/>
              <w:jc w:val="right"/>
              <w:rPr>
                <w:b/>
                <w:bCs/>
                <w:color w:val="000000"/>
                <w:sz w:val="16"/>
                <w:szCs w:val="16"/>
              </w:rPr>
            </w:pPr>
            <w:r w:rsidRPr="00DD76C8">
              <w:rPr>
                <w:b/>
                <w:color w:val="000000"/>
                <w:kern w:val="32"/>
                <w:sz w:val="16"/>
              </w:rPr>
              <w:t>969 180 059</w:t>
            </w:r>
          </w:p>
        </w:tc>
      </w:tr>
      <w:tr w:rsidR="002D1DA9" w:rsidRPr="00DD76C8" w:rsidTr="002D1DA9">
        <w:trPr>
          <w:trHeight w:val="300"/>
        </w:trPr>
        <w:tc>
          <w:tcPr>
            <w:tcW w:w="1433" w:type="dxa"/>
            <w:tcBorders>
              <w:top w:val="nil"/>
              <w:left w:val="single" w:sz="8" w:space="0" w:color="auto"/>
              <w:bottom w:val="nil"/>
              <w:right w:val="nil"/>
            </w:tcBorders>
            <w:shd w:val="clear" w:color="auto" w:fill="auto"/>
            <w:vAlign w:val="center"/>
            <w:hideMark/>
          </w:tcPr>
          <w:p w:rsidR="002D1DA9" w:rsidRPr="00DD76C8" w:rsidRDefault="002D1DA9" w:rsidP="002D1DA9">
            <w:pPr>
              <w:widowControl/>
              <w:jc w:val="both"/>
              <w:rPr>
                <w:color w:val="000000"/>
                <w:sz w:val="16"/>
                <w:szCs w:val="16"/>
              </w:rPr>
            </w:pPr>
            <w:r w:rsidRPr="00DD76C8">
              <w:rPr>
                <w:color w:val="000000"/>
                <w:kern w:val="32"/>
                <w:sz w:val="16"/>
              </w:rPr>
              <w:t> </w:t>
            </w:r>
          </w:p>
        </w:tc>
        <w:tc>
          <w:tcPr>
            <w:tcW w:w="4394"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 </w:t>
            </w:r>
          </w:p>
        </w:tc>
        <w:tc>
          <w:tcPr>
            <w:tcW w:w="1418"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 </w:t>
            </w:r>
          </w:p>
        </w:tc>
        <w:tc>
          <w:tcPr>
            <w:tcW w:w="1275"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 </w:t>
            </w:r>
          </w:p>
        </w:tc>
        <w:tc>
          <w:tcPr>
            <w:tcW w:w="1560"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 </w:t>
            </w:r>
          </w:p>
        </w:tc>
      </w:tr>
      <w:tr w:rsidR="002D1DA9" w:rsidRPr="00DD76C8" w:rsidTr="002D1DA9">
        <w:trPr>
          <w:trHeight w:val="420"/>
        </w:trPr>
        <w:tc>
          <w:tcPr>
            <w:tcW w:w="1433" w:type="dxa"/>
            <w:tcBorders>
              <w:top w:val="nil"/>
              <w:left w:val="single" w:sz="8" w:space="0" w:color="auto"/>
              <w:bottom w:val="nil"/>
              <w:right w:val="nil"/>
            </w:tcBorders>
            <w:shd w:val="clear" w:color="auto" w:fill="auto"/>
            <w:vAlign w:val="center"/>
            <w:hideMark/>
          </w:tcPr>
          <w:p w:rsidR="002D1DA9" w:rsidRPr="00DD76C8" w:rsidRDefault="002D1DA9" w:rsidP="002D1DA9">
            <w:pPr>
              <w:widowControl/>
              <w:jc w:val="both"/>
              <w:rPr>
                <w:b/>
                <w:bCs/>
                <w:color w:val="000000"/>
                <w:sz w:val="16"/>
                <w:szCs w:val="16"/>
              </w:rPr>
            </w:pPr>
            <w:r w:rsidRPr="00DD76C8">
              <w:rPr>
                <w:b/>
                <w:color w:val="000000"/>
                <w:kern w:val="32"/>
                <w:sz w:val="16"/>
              </w:rPr>
              <w:t>2</w:t>
            </w:r>
          </w:p>
        </w:tc>
        <w:tc>
          <w:tcPr>
            <w:tcW w:w="4394"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rPr>
                <w:b/>
                <w:bCs/>
                <w:color w:val="000000"/>
                <w:sz w:val="16"/>
                <w:szCs w:val="16"/>
              </w:rPr>
            </w:pPr>
            <w:r w:rsidRPr="00DD76C8">
              <w:rPr>
                <w:b/>
                <w:color w:val="000000"/>
                <w:kern w:val="32"/>
                <w:sz w:val="16"/>
              </w:rPr>
              <w:t>ZGRADE, NAMJEŠTAJ, OPREMA I RAZNI OPERATIVNI TROŠKOVI</w:t>
            </w:r>
          </w:p>
        </w:tc>
        <w:tc>
          <w:tcPr>
            <w:tcW w:w="1418"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 </w:t>
            </w:r>
          </w:p>
        </w:tc>
        <w:tc>
          <w:tcPr>
            <w:tcW w:w="1275"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 </w:t>
            </w:r>
          </w:p>
        </w:tc>
        <w:tc>
          <w:tcPr>
            <w:tcW w:w="1560"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 </w:t>
            </w:r>
          </w:p>
        </w:tc>
      </w:tr>
      <w:tr w:rsidR="002D1DA9" w:rsidRPr="00DD76C8" w:rsidTr="002D1DA9">
        <w:trPr>
          <w:trHeight w:val="300"/>
        </w:trPr>
        <w:tc>
          <w:tcPr>
            <w:tcW w:w="1433" w:type="dxa"/>
            <w:tcBorders>
              <w:top w:val="nil"/>
              <w:left w:val="single" w:sz="8" w:space="0" w:color="auto"/>
              <w:bottom w:val="nil"/>
              <w:right w:val="nil"/>
            </w:tcBorders>
            <w:shd w:val="clear" w:color="auto" w:fill="auto"/>
            <w:vAlign w:val="center"/>
            <w:hideMark/>
          </w:tcPr>
          <w:p w:rsidR="002D1DA9" w:rsidRPr="00DD76C8" w:rsidRDefault="002D1DA9" w:rsidP="002D1DA9">
            <w:pPr>
              <w:widowControl/>
              <w:jc w:val="both"/>
              <w:rPr>
                <w:color w:val="000000"/>
                <w:sz w:val="16"/>
                <w:szCs w:val="16"/>
              </w:rPr>
            </w:pPr>
            <w:r w:rsidRPr="00DD76C8">
              <w:rPr>
                <w:color w:val="000000"/>
                <w:kern w:val="32"/>
                <w:sz w:val="16"/>
              </w:rPr>
              <w:t> </w:t>
            </w:r>
          </w:p>
        </w:tc>
        <w:tc>
          <w:tcPr>
            <w:tcW w:w="4394"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 </w:t>
            </w:r>
          </w:p>
        </w:tc>
        <w:tc>
          <w:tcPr>
            <w:tcW w:w="1418"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 </w:t>
            </w:r>
          </w:p>
        </w:tc>
        <w:tc>
          <w:tcPr>
            <w:tcW w:w="1275"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 </w:t>
            </w:r>
          </w:p>
        </w:tc>
        <w:tc>
          <w:tcPr>
            <w:tcW w:w="1560"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 </w:t>
            </w:r>
          </w:p>
        </w:tc>
      </w:tr>
      <w:tr w:rsidR="002D1DA9" w:rsidRPr="00DD76C8" w:rsidTr="002D1DA9">
        <w:trPr>
          <w:trHeight w:val="300"/>
        </w:trPr>
        <w:tc>
          <w:tcPr>
            <w:tcW w:w="1433" w:type="dxa"/>
            <w:tcBorders>
              <w:top w:val="nil"/>
              <w:left w:val="single" w:sz="8" w:space="0" w:color="auto"/>
              <w:bottom w:val="nil"/>
              <w:right w:val="nil"/>
            </w:tcBorders>
            <w:shd w:val="clear" w:color="auto" w:fill="auto"/>
            <w:vAlign w:val="center"/>
            <w:hideMark/>
          </w:tcPr>
          <w:p w:rsidR="002D1DA9" w:rsidRPr="00DD76C8" w:rsidRDefault="002D1DA9" w:rsidP="002D1DA9">
            <w:pPr>
              <w:widowControl/>
              <w:jc w:val="both"/>
              <w:rPr>
                <w:color w:val="000000"/>
                <w:sz w:val="16"/>
                <w:szCs w:val="16"/>
              </w:rPr>
            </w:pPr>
            <w:r w:rsidRPr="00DD76C8">
              <w:rPr>
                <w:color w:val="000000"/>
                <w:kern w:val="32"/>
                <w:sz w:val="16"/>
              </w:rPr>
              <w:t>2 0</w:t>
            </w:r>
          </w:p>
        </w:tc>
        <w:tc>
          <w:tcPr>
            <w:tcW w:w="4394"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ZGRADE I S NJIMA POVEZANI TROŠKOVI</w:t>
            </w:r>
          </w:p>
        </w:tc>
        <w:tc>
          <w:tcPr>
            <w:tcW w:w="1418" w:type="dxa"/>
            <w:tcBorders>
              <w:top w:val="nil"/>
              <w:left w:val="nil"/>
              <w:bottom w:val="nil"/>
              <w:right w:val="single" w:sz="8" w:space="0" w:color="auto"/>
            </w:tcBorders>
            <w:shd w:val="clear" w:color="auto" w:fill="auto"/>
            <w:vAlign w:val="center"/>
            <w:hideMark/>
          </w:tcPr>
          <w:p w:rsidR="002D1DA9" w:rsidRPr="00DD76C8" w:rsidRDefault="00E54DD6" w:rsidP="00E54DD6">
            <w:pPr>
              <w:widowControl/>
              <w:jc w:val="right"/>
              <w:rPr>
                <w:color w:val="000000"/>
                <w:sz w:val="16"/>
                <w:szCs w:val="16"/>
              </w:rPr>
            </w:pPr>
            <w:r w:rsidRPr="00DD76C8">
              <w:rPr>
                <w:color w:val="000000"/>
                <w:sz w:val="16"/>
              </w:rPr>
              <w:t>227 352 000</w:t>
            </w:r>
          </w:p>
        </w:tc>
        <w:tc>
          <w:tcPr>
            <w:tcW w:w="1275"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255 137 000</w:t>
            </w:r>
          </w:p>
        </w:tc>
        <w:tc>
          <w:tcPr>
            <w:tcW w:w="1560"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251 599 697</w:t>
            </w:r>
          </w:p>
        </w:tc>
      </w:tr>
      <w:tr w:rsidR="002D1DA9" w:rsidRPr="00DD76C8" w:rsidTr="002D1DA9">
        <w:trPr>
          <w:trHeight w:val="300"/>
        </w:trPr>
        <w:tc>
          <w:tcPr>
            <w:tcW w:w="1433" w:type="dxa"/>
            <w:tcBorders>
              <w:top w:val="nil"/>
              <w:left w:val="single" w:sz="8" w:space="0" w:color="auto"/>
              <w:bottom w:val="nil"/>
              <w:right w:val="nil"/>
            </w:tcBorders>
            <w:shd w:val="clear" w:color="auto" w:fill="auto"/>
            <w:vAlign w:val="center"/>
            <w:hideMark/>
          </w:tcPr>
          <w:p w:rsidR="002D1DA9" w:rsidRPr="00DD76C8" w:rsidRDefault="002D1DA9" w:rsidP="002D1DA9">
            <w:pPr>
              <w:widowControl/>
              <w:jc w:val="both"/>
              <w:rPr>
                <w:color w:val="000000"/>
                <w:sz w:val="16"/>
                <w:szCs w:val="16"/>
              </w:rPr>
            </w:pPr>
            <w:r w:rsidRPr="00DD76C8">
              <w:rPr>
                <w:color w:val="000000"/>
                <w:kern w:val="32"/>
                <w:sz w:val="16"/>
              </w:rPr>
              <w:t>2 1</w:t>
            </w:r>
          </w:p>
        </w:tc>
        <w:tc>
          <w:tcPr>
            <w:tcW w:w="4394"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OBRADA PODATAKA, OPREMA I POKRETNINE</w:t>
            </w:r>
          </w:p>
        </w:tc>
        <w:tc>
          <w:tcPr>
            <w:tcW w:w="1418" w:type="dxa"/>
            <w:tcBorders>
              <w:top w:val="nil"/>
              <w:left w:val="nil"/>
              <w:bottom w:val="nil"/>
              <w:right w:val="single" w:sz="8" w:space="0" w:color="auto"/>
            </w:tcBorders>
            <w:shd w:val="clear" w:color="auto" w:fill="auto"/>
            <w:vAlign w:val="center"/>
            <w:hideMark/>
          </w:tcPr>
          <w:p w:rsidR="002D1DA9" w:rsidRPr="00DD76C8" w:rsidRDefault="00E54DD6" w:rsidP="002D1DA9">
            <w:pPr>
              <w:widowControl/>
              <w:jc w:val="right"/>
              <w:rPr>
                <w:color w:val="000000"/>
                <w:sz w:val="16"/>
                <w:szCs w:val="16"/>
              </w:rPr>
            </w:pPr>
            <w:r w:rsidRPr="00DD76C8">
              <w:rPr>
                <w:color w:val="000000"/>
                <w:sz w:val="16"/>
              </w:rPr>
              <w:t>179 543 500</w:t>
            </w:r>
          </w:p>
        </w:tc>
        <w:tc>
          <w:tcPr>
            <w:tcW w:w="1275"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170 034 500</w:t>
            </w:r>
          </w:p>
        </w:tc>
        <w:tc>
          <w:tcPr>
            <w:tcW w:w="1560"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154 150 447</w:t>
            </w:r>
          </w:p>
        </w:tc>
      </w:tr>
      <w:tr w:rsidR="002D1DA9" w:rsidRPr="00DD76C8" w:rsidTr="002D1DA9">
        <w:trPr>
          <w:trHeight w:val="315"/>
        </w:trPr>
        <w:tc>
          <w:tcPr>
            <w:tcW w:w="1433" w:type="dxa"/>
            <w:tcBorders>
              <w:top w:val="nil"/>
              <w:left w:val="single" w:sz="8" w:space="0" w:color="auto"/>
              <w:bottom w:val="nil"/>
              <w:right w:val="nil"/>
            </w:tcBorders>
            <w:shd w:val="clear" w:color="auto" w:fill="auto"/>
            <w:vAlign w:val="center"/>
            <w:hideMark/>
          </w:tcPr>
          <w:p w:rsidR="002D1DA9" w:rsidRPr="00DD76C8" w:rsidRDefault="002D1DA9" w:rsidP="002D1DA9">
            <w:pPr>
              <w:widowControl/>
              <w:jc w:val="both"/>
              <w:rPr>
                <w:color w:val="000000"/>
                <w:sz w:val="16"/>
                <w:szCs w:val="16"/>
              </w:rPr>
            </w:pPr>
            <w:r w:rsidRPr="00DD76C8">
              <w:rPr>
                <w:color w:val="000000"/>
                <w:kern w:val="32"/>
                <w:sz w:val="16"/>
              </w:rPr>
              <w:t>2 3</w:t>
            </w:r>
          </w:p>
        </w:tc>
        <w:tc>
          <w:tcPr>
            <w:tcW w:w="4394"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TEKUĆI ADMINISTRATIVNI RASHODI</w:t>
            </w:r>
          </w:p>
        </w:tc>
        <w:tc>
          <w:tcPr>
            <w:tcW w:w="1418" w:type="dxa"/>
            <w:tcBorders>
              <w:top w:val="nil"/>
              <w:left w:val="nil"/>
              <w:bottom w:val="single" w:sz="8" w:space="0" w:color="auto"/>
              <w:right w:val="single" w:sz="8" w:space="0" w:color="auto"/>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7 103 000</w:t>
            </w:r>
          </w:p>
        </w:tc>
        <w:tc>
          <w:tcPr>
            <w:tcW w:w="1275" w:type="dxa"/>
            <w:tcBorders>
              <w:top w:val="nil"/>
              <w:left w:val="nil"/>
              <w:bottom w:val="single" w:sz="8" w:space="0" w:color="auto"/>
              <w:right w:val="single" w:sz="8" w:space="0" w:color="auto"/>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5 719 000</w:t>
            </w:r>
          </w:p>
        </w:tc>
        <w:tc>
          <w:tcPr>
            <w:tcW w:w="1560" w:type="dxa"/>
            <w:tcBorders>
              <w:top w:val="nil"/>
              <w:left w:val="nil"/>
              <w:bottom w:val="single" w:sz="8" w:space="0" w:color="auto"/>
              <w:right w:val="single" w:sz="8" w:space="0" w:color="auto"/>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4 421 417</w:t>
            </w:r>
          </w:p>
        </w:tc>
      </w:tr>
      <w:tr w:rsidR="002D1DA9" w:rsidRPr="00DD76C8" w:rsidTr="002D1DA9">
        <w:trPr>
          <w:trHeight w:val="330"/>
        </w:trPr>
        <w:tc>
          <w:tcPr>
            <w:tcW w:w="1433" w:type="dxa"/>
            <w:tcBorders>
              <w:top w:val="nil"/>
              <w:left w:val="single" w:sz="8" w:space="0" w:color="auto"/>
              <w:bottom w:val="nil"/>
              <w:right w:val="nil"/>
            </w:tcBorders>
            <w:shd w:val="clear" w:color="auto" w:fill="auto"/>
            <w:vAlign w:val="center"/>
            <w:hideMark/>
          </w:tcPr>
          <w:p w:rsidR="002D1DA9" w:rsidRPr="00DD76C8" w:rsidRDefault="002D1DA9" w:rsidP="002D1DA9">
            <w:pPr>
              <w:widowControl/>
              <w:jc w:val="both"/>
              <w:rPr>
                <w:color w:val="000000"/>
                <w:szCs w:val="24"/>
              </w:rPr>
            </w:pPr>
            <w:r w:rsidRPr="00DD76C8">
              <w:rPr>
                <w:color w:val="000000"/>
                <w:kern w:val="32"/>
              </w:rPr>
              <w:t> </w:t>
            </w:r>
          </w:p>
        </w:tc>
        <w:tc>
          <w:tcPr>
            <w:tcW w:w="4394"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jc w:val="right"/>
              <w:rPr>
                <w:b/>
                <w:bCs/>
                <w:color w:val="000000"/>
                <w:sz w:val="16"/>
                <w:szCs w:val="16"/>
              </w:rPr>
            </w:pPr>
            <w:r w:rsidRPr="00DD76C8">
              <w:rPr>
                <w:b/>
                <w:color w:val="000000"/>
                <w:kern w:val="32"/>
                <w:sz w:val="16"/>
              </w:rPr>
              <w:t>Glava 2 — Ukupno</w:t>
            </w:r>
          </w:p>
        </w:tc>
        <w:tc>
          <w:tcPr>
            <w:tcW w:w="1418" w:type="dxa"/>
            <w:tcBorders>
              <w:top w:val="nil"/>
              <w:left w:val="nil"/>
              <w:bottom w:val="single" w:sz="8" w:space="0" w:color="auto"/>
              <w:right w:val="single" w:sz="8" w:space="0" w:color="auto"/>
            </w:tcBorders>
            <w:shd w:val="clear" w:color="auto" w:fill="auto"/>
            <w:vAlign w:val="center"/>
            <w:hideMark/>
          </w:tcPr>
          <w:p w:rsidR="002D1DA9" w:rsidRPr="00DD76C8" w:rsidRDefault="00E54DD6" w:rsidP="002D1DA9">
            <w:pPr>
              <w:widowControl/>
              <w:jc w:val="right"/>
              <w:rPr>
                <w:b/>
                <w:bCs/>
                <w:color w:val="000000"/>
                <w:sz w:val="16"/>
                <w:szCs w:val="16"/>
              </w:rPr>
            </w:pPr>
            <w:r w:rsidRPr="00DD76C8">
              <w:rPr>
                <w:b/>
                <w:color w:val="000000"/>
                <w:sz w:val="16"/>
              </w:rPr>
              <w:t>413 998 500</w:t>
            </w:r>
          </w:p>
        </w:tc>
        <w:tc>
          <w:tcPr>
            <w:tcW w:w="1275" w:type="dxa"/>
            <w:tcBorders>
              <w:top w:val="nil"/>
              <w:left w:val="nil"/>
              <w:bottom w:val="single" w:sz="8" w:space="0" w:color="auto"/>
              <w:right w:val="single" w:sz="8" w:space="0" w:color="auto"/>
            </w:tcBorders>
            <w:shd w:val="clear" w:color="auto" w:fill="auto"/>
            <w:vAlign w:val="center"/>
            <w:hideMark/>
          </w:tcPr>
          <w:p w:rsidR="002D1DA9" w:rsidRPr="00DD76C8" w:rsidRDefault="002D1DA9" w:rsidP="002D1DA9">
            <w:pPr>
              <w:widowControl/>
              <w:jc w:val="right"/>
              <w:rPr>
                <w:b/>
                <w:bCs/>
                <w:color w:val="000000"/>
                <w:sz w:val="16"/>
                <w:szCs w:val="16"/>
              </w:rPr>
            </w:pPr>
            <w:r w:rsidRPr="00DD76C8">
              <w:rPr>
                <w:b/>
                <w:color w:val="000000"/>
                <w:kern w:val="32"/>
                <w:sz w:val="16"/>
              </w:rPr>
              <w:t>430 890 500</w:t>
            </w:r>
          </w:p>
        </w:tc>
        <w:tc>
          <w:tcPr>
            <w:tcW w:w="1560" w:type="dxa"/>
            <w:tcBorders>
              <w:top w:val="nil"/>
              <w:left w:val="nil"/>
              <w:bottom w:val="single" w:sz="8" w:space="0" w:color="auto"/>
              <w:right w:val="single" w:sz="8" w:space="0" w:color="auto"/>
            </w:tcBorders>
            <w:shd w:val="clear" w:color="auto" w:fill="auto"/>
            <w:vAlign w:val="center"/>
            <w:hideMark/>
          </w:tcPr>
          <w:p w:rsidR="002D1DA9" w:rsidRPr="00DD76C8" w:rsidRDefault="002D1DA9" w:rsidP="002D1DA9">
            <w:pPr>
              <w:widowControl/>
              <w:jc w:val="right"/>
              <w:rPr>
                <w:b/>
                <w:bCs/>
                <w:color w:val="000000"/>
                <w:sz w:val="16"/>
                <w:szCs w:val="16"/>
              </w:rPr>
            </w:pPr>
            <w:r w:rsidRPr="00DD76C8">
              <w:rPr>
                <w:b/>
                <w:color w:val="000000"/>
                <w:kern w:val="32"/>
                <w:sz w:val="16"/>
              </w:rPr>
              <w:t>410 171 561</w:t>
            </w:r>
          </w:p>
        </w:tc>
      </w:tr>
      <w:tr w:rsidR="002D1DA9" w:rsidRPr="00DD76C8" w:rsidTr="002D1DA9">
        <w:trPr>
          <w:trHeight w:val="300"/>
        </w:trPr>
        <w:tc>
          <w:tcPr>
            <w:tcW w:w="1433" w:type="dxa"/>
            <w:tcBorders>
              <w:top w:val="nil"/>
              <w:left w:val="single" w:sz="8" w:space="0" w:color="auto"/>
              <w:bottom w:val="nil"/>
              <w:right w:val="nil"/>
            </w:tcBorders>
            <w:shd w:val="clear" w:color="auto" w:fill="auto"/>
            <w:vAlign w:val="center"/>
            <w:hideMark/>
          </w:tcPr>
          <w:p w:rsidR="002D1DA9" w:rsidRPr="00DD76C8" w:rsidRDefault="002D1DA9" w:rsidP="002D1DA9">
            <w:pPr>
              <w:widowControl/>
              <w:jc w:val="both"/>
              <w:rPr>
                <w:color w:val="000000"/>
                <w:sz w:val="16"/>
                <w:szCs w:val="16"/>
              </w:rPr>
            </w:pPr>
            <w:r w:rsidRPr="00DD76C8">
              <w:rPr>
                <w:color w:val="000000"/>
                <w:kern w:val="32"/>
                <w:sz w:val="16"/>
              </w:rPr>
              <w:t> </w:t>
            </w:r>
          </w:p>
        </w:tc>
        <w:tc>
          <w:tcPr>
            <w:tcW w:w="4394"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 </w:t>
            </w:r>
          </w:p>
        </w:tc>
        <w:tc>
          <w:tcPr>
            <w:tcW w:w="1418"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 </w:t>
            </w:r>
          </w:p>
        </w:tc>
        <w:tc>
          <w:tcPr>
            <w:tcW w:w="1275"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 </w:t>
            </w:r>
          </w:p>
        </w:tc>
        <w:tc>
          <w:tcPr>
            <w:tcW w:w="1560"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 </w:t>
            </w:r>
          </w:p>
        </w:tc>
      </w:tr>
      <w:tr w:rsidR="002D1DA9" w:rsidRPr="00DD76C8" w:rsidTr="002D1DA9">
        <w:trPr>
          <w:trHeight w:val="420"/>
        </w:trPr>
        <w:tc>
          <w:tcPr>
            <w:tcW w:w="1433" w:type="dxa"/>
            <w:tcBorders>
              <w:top w:val="nil"/>
              <w:left w:val="single" w:sz="8" w:space="0" w:color="auto"/>
              <w:bottom w:val="nil"/>
              <w:right w:val="nil"/>
            </w:tcBorders>
            <w:shd w:val="clear" w:color="auto" w:fill="auto"/>
            <w:vAlign w:val="center"/>
            <w:hideMark/>
          </w:tcPr>
          <w:p w:rsidR="002D1DA9" w:rsidRPr="00DD76C8" w:rsidRDefault="002D1DA9" w:rsidP="002D1DA9">
            <w:pPr>
              <w:widowControl/>
              <w:jc w:val="both"/>
              <w:rPr>
                <w:b/>
                <w:bCs/>
                <w:color w:val="000000"/>
                <w:sz w:val="16"/>
                <w:szCs w:val="16"/>
              </w:rPr>
            </w:pPr>
            <w:r w:rsidRPr="00DD76C8">
              <w:rPr>
                <w:b/>
                <w:color w:val="000000"/>
                <w:kern w:val="32"/>
                <w:sz w:val="16"/>
              </w:rPr>
              <w:t>3</w:t>
            </w:r>
          </w:p>
        </w:tc>
        <w:tc>
          <w:tcPr>
            <w:tcW w:w="4394"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rPr>
                <w:b/>
                <w:bCs/>
                <w:color w:val="000000"/>
                <w:sz w:val="16"/>
                <w:szCs w:val="16"/>
              </w:rPr>
            </w:pPr>
            <w:r w:rsidRPr="00DD76C8">
              <w:rPr>
                <w:b/>
                <w:color w:val="000000"/>
                <w:kern w:val="32"/>
                <w:sz w:val="16"/>
              </w:rPr>
              <w:t>RASHODI VEZANI UZ OBAVLJANJE REDOVNE DJELATNOSTI INSTITUCIJE</w:t>
            </w:r>
          </w:p>
        </w:tc>
        <w:tc>
          <w:tcPr>
            <w:tcW w:w="1418"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 </w:t>
            </w:r>
          </w:p>
        </w:tc>
        <w:tc>
          <w:tcPr>
            <w:tcW w:w="1275"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 </w:t>
            </w:r>
          </w:p>
        </w:tc>
        <w:tc>
          <w:tcPr>
            <w:tcW w:w="1560"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 </w:t>
            </w:r>
          </w:p>
        </w:tc>
      </w:tr>
      <w:tr w:rsidR="002D1DA9" w:rsidRPr="00DD76C8" w:rsidTr="002D1DA9">
        <w:trPr>
          <w:trHeight w:val="300"/>
        </w:trPr>
        <w:tc>
          <w:tcPr>
            <w:tcW w:w="1433" w:type="dxa"/>
            <w:tcBorders>
              <w:top w:val="nil"/>
              <w:left w:val="single" w:sz="8" w:space="0" w:color="auto"/>
              <w:bottom w:val="nil"/>
              <w:right w:val="nil"/>
            </w:tcBorders>
            <w:shd w:val="clear" w:color="auto" w:fill="auto"/>
            <w:vAlign w:val="center"/>
            <w:hideMark/>
          </w:tcPr>
          <w:p w:rsidR="002D1DA9" w:rsidRPr="00DD76C8" w:rsidRDefault="002D1DA9" w:rsidP="002D1DA9">
            <w:pPr>
              <w:widowControl/>
              <w:jc w:val="both"/>
              <w:rPr>
                <w:color w:val="000000"/>
                <w:sz w:val="16"/>
                <w:szCs w:val="16"/>
              </w:rPr>
            </w:pPr>
            <w:r w:rsidRPr="00DD76C8">
              <w:rPr>
                <w:color w:val="000000"/>
                <w:kern w:val="32"/>
                <w:sz w:val="16"/>
              </w:rPr>
              <w:t> </w:t>
            </w:r>
          </w:p>
        </w:tc>
        <w:tc>
          <w:tcPr>
            <w:tcW w:w="4394"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 </w:t>
            </w:r>
          </w:p>
        </w:tc>
        <w:tc>
          <w:tcPr>
            <w:tcW w:w="1418"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 </w:t>
            </w:r>
          </w:p>
        </w:tc>
        <w:tc>
          <w:tcPr>
            <w:tcW w:w="1275"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 </w:t>
            </w:r>
          </w:p>
        </w:tc>
        <w:tc>
          <w:tcPr>
            <w:tcW w:w="1560"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 </w:t>
            </w:r>
          </w:p>
        </w:tc>
      </w:tr>
      <w:tr w:rsidR="002D1DA9" w:rsidRPr="00DD76C8" w:rsidTr="002D1DA9">
        <w:trPr>
          <w:trHeight w:val="300"/>
        </w:trPr>
        <w:tc>
          <w:tcPr>
            <w:tcW w:w="1433" w:type="dxa"/>
            <w:tcBorders>
              <w:top w:val="nil"/>
              <w:left w:val="single" w:sz="8" w:space="0" w:color="auto"/>
              <w:bottom w:val="nil"/>
              <w:right w:val="nil"/>
            </w:tcBorders>
            <w:shd w:val="clear" w:color="auto" w:fill="auto"/>
            <w:vAlign w:val="center"/>
            <w:hideMark/>
          </w:tcPr>
          <w:p w:rsidR="002D1DA9" w:rsidRPr="00DD76C8" w:rsidRDefault="002D1DA9" w:rsidP="002D1DA9">
            <w:pPr>
              <w:widowControl/>
              <w:jc w:val="both"/>
              <w:rPr>
                <w:color w:val="000000"/>
                <w:sz w:val="16"/>
                <w:szCs w:val="16"/>
              </w:rPr>
            </w:pPr>
            <w:r w:rsidRPr="00DD76C8">
              <w:rPr>
                <w:color w:val="000000"/>
                <w:kern w:val="32"/>
                <w:sz w:val="16"/>
              </w:rPr>
              <w:t> </w:t>
            </w:r>
          </w:p>
        </w:tc>
        <w:tc>
          <w:tcPr>
            <w:tcW w:w="4394"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 </w:t>
            </w:r>
          </w:p>
        </w:tc>
        <w:tc>
          <w:tcPr>
            <w:tcW w:w="1418"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 </w:t>
            </w:r>
          </w:p>
        </w:tc>
        <w:tc>
          <w:tcPr>
            <w:tcW w:w="1275"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 </w:t>
            </w:r>
          </w:p>
        </w:tc>
        <w:tc>
          <w:tcPr>
            <w:tcW w:w="1560"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 </w:t>
            </w:r>
          </w:p>
        </w:tc>
      </w:tr>
      <w:tr w:rsidR="002D1DA9" w:rsidRPr="00DD76C8" w:rsidTr="002D1DA9">
        <w:trPr>
          <w:trHeight w:val="300"/>
        </w:trPr>
        <w:tc>
          <w:tcPr>
            <w:tcW w:w="1433" w:type="dxa"/>
            <w:tcBorders>
              <w:top w:val="nil"/>
              <w:left w:val="single" w:sz="8" w:space="0" w:color="auto"/>
              <w:bottom w:val="nil"/>
              <w:right w:val="nil"/>
            </w:tcBorders>
            <w:shd w:val="clear" w:color="auto" w:fill="auto"/>
            <w:vAlign w:val="center"/>
            <w:hideMark/>
          </w:tcPr>
          <w:p w:rsidR="002D1DA9" w:rsidRPr="00DD76C8" w:rsidRDefault="002D1DA9" w:rsidP="002D1DA9">
            <w:pPr>
              <w:widowControl/>
              <w:jc w:val="both"/>
              <w:rPr>
                <w:color w:val="000000"/>
                <w:sz w:val="16"/>
                <w:szCs w:val="16"/>
              </w:rPr>
            </w:pPr>
            <w:r w:rsidRPr="00DD76C8">
              <w:rPr>
                <w:color w:val="000000"/>
                <w:kern w:val="32"/>
                <w:sz w:val="16"/>
              </w:rPr>
              <w:t>3 0</w:t>
            </w:r>
          </w:p>
        </w:tc>
        <w:tc>
          <w:tcPr>
            <w:tcW w:w="4394"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SJEDNICE I KONFERENCIJE</w:t>
            </w:r>
          </w:p>
        </w:tc>
        <w:tc>
          <w:tcPr>
            <w:tcW w:w="1418" w:type="dxa"/>
            <w:tcBorders>
              <w:top w:val="nil"/>
              <w:left w:val="nil"/>
              <w:bottom w:val="nil"/>
              <w:right w:val="single" w:sz="8" w:space="0" w:color="auto"/>
            </w:tcBorders>
            <w:shd w:val="clear" w:color="auto" w:fill="auto"/>
            <w:vAlign w:val="center"/>
            <w:hideMark/>
          </w:tcPr>
          <w:p w:rsidR="002D1DA9" w:rsidRPr="00DD76C8" w:rsidRDefault="00E54DD6" w:rsidP="002D1DA9">
            <w:pPr>
              <w:widowControl/>
              <w:jc w:val="right"/>
              <w:rPr>
                <w:color w:val="000000"/>
                <w:sz w:val="16"/>
                <w:szCs w:val="16"/>
              </w:rPr>
            </w:pPr>
            <w:r w:rsidRPr="00DD76C8">
              <w:rPr>
                <w:color w:val="000000"/>
                <w:sz w:val="16"/>
              </w:rPr>
              <w:t>36 693 000</w:t>
            </w:r>
          </w:p>
        </w:tc>
        <w:tc>
          <w:tcPr>
            <w:tcW w:w="1275"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32 827 000</w:t>
            </w:r>
          </w:p>
        </w:tc>
        <w:tc>
          <w:tcPr>
            <w:tcW w:w="1560"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33 038 898</w:t>
            </w:r>
          </w:p>
        </w:tc>
      </w:tr>
      <w:tr w:rsidR="002D1DA9" w:rsidRPr="00DD76C8" w:rsidTr="002D1DA9">
        <w:trPr>
          <w:trHeight w:val="465"/>
        </w:trPr>
        <w:tc>
          <w:tcPr>
            <w:tcW w:w="1433" w:type="dxa"/>
            <w:tcBorders>
              <w:top w:val="nil"/>
              <w:left w:val="single" w:sz="8" w:space="0" w:color="auto"/>
              <w:bottom w:val="nil"/>
              <w:right w:val="nil"/>
            </w:tcBorders>
            <w:shd w:val="clear" w:color="auto" w:fill="auto"/>
            <w:vAlign w:val="center"/>
            <w:hideMark/>
          </w:tcPr>
          <w:p w:rsidR="002D1DA9" w:rsidRPr="00DD76C8" w:rsidRDefault="002D1DA9" w:rsidP="002D1DA9">
            <w:pPr>
              <w:widowControl/>
              <w:jc w:val="both"/>
              <w:rPr>
                <w:color w:val="000000"/>
                <w:sz w:val="16"/>
                <w:szCs w:val="16"/>
              </w:rPr>
            </w:pPr>
            <w:r w:rsidRPr="00DD76C8">
              <w:rPr>
                <w:color w:val="000000"/>
                <w:kern w:val="32"/>
                <w:sz w:val="16"/>
              </w:rPr>
              <w:t>3 2</w:t>
            </w:r>
          </w:p>
        </w:tc>
        <w:tc>
          <w:tcPr>
            <w:tcW w:w="4394"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STRUČNA MIŠLJENJA I INFORMACIJE: PRIBAVLJANJE, ARHIVIRANJE, PROIZVODNJA I DISTRIBUCIJA</w:t>
            </w:r>
          </w:p>
        </w:tc>
        <w:tc>
          <w:tcPr>
            <w:tcW w:w="1418" w:type="dxa"/>
            <w:tcBorders>
              <w:top w:val="nil"/>
              <w:left w:val="nil"/>
              <w:bottom w:val="single" w:sz="8" w:space="0" w:color="auto"/>
              <w:right w:val="single" w:sz="8" w:space="0" w:color="auto"/>
            </w:tcBorders>
            <w:shd w:val="clear" w:color="auto" w:fill="auto"/>
            <w:vAlign w:val="center"/>
            <w:hideMark/>
          </w:tcPr>
          <w:p w:rsidR="002D1DA9" w:rsidRPr="00DD76C8" w:rsidRDefault="00E54DD6" w:rsidP="002D1DA9">
            <w:pPr>
              <w:widowControl/>
              <w:jc w:val="right"/>
              <w:rPr>
                <w:color w:val="000000"/>
                <w:sz w:val="16"/>
                <w:szCs w:val="16"/>
              </w:rPr>
            </w:pPr>
            <w:r w:rsidRPr="00DD76C8">
              <w:rPr>
                <w:color w:val="000000"/>
                <w:sz w:val="16"/>
              </w:rPr>
              <w:t>131 498 390</w:t>
            </w:r>
          </w:p>
        </w:tc>
        <w:tc>
          <w:tcPr>
            <w:tcW w:w="1275" w:type="dxa"/>
            <w:tcBorders>
              <w:top w:val="nil"/>
              <w:left w:val="nil"/>
              <w:bottom w:val="single" w:sz="8" w:space="0" w:color="auto"/>
              <w:right w:val="single" w:sz="8" w:space="0" w:color="auto"/>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108 238 000</w:t>
            </w:r>
          </w:p>
        </w:tc>
        <w:tc>
          <w:tcPr>
            <w:tcW w:w="1560" w:type="dxa"/>
            <w:tcBorders>
              <w:top w:val="nil"/>
              <w:left w:val="nil"/>
              <w:bottom w:val="single" w:sz="8" w:space="0" w:color="auto"/>
              <w:right w:val="single" w:sz="8" w:space="0" w:color="auto"/>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106 676 345</w:t>
            </w:r>
          </w:p>
        </w:tc>
      </w:tr>
      <w:tr w:rsidR="002D1DA9" w:rsidRPr="00DD76C8" w:rsidTr="002D1DA9">
        <w:trPr>
          <w:trHeight w:val="330"/>
        </w:trPr>
        <w:tc>
          <w:tcPr>
            <w:tcW w:w="1433" w:type="dxa"/>
            <w:tcBorders>
              <w:top w:val="nil"/>
              <w:left w:val="single" w:sz="8" w:space="0" w:color="auto"/>
              <w:bottom w:val="nil"/>
              <w:right w:val="nil"/>
            </w:tcBorders>
            <w:shd w:val="clear" w:color="auto" w:fill="auto"/>
            <w:vAlign w:val="center"/>
            <w:hideMark/>
          </w:tcPr>
          <w:p w:rsidR="002D1DA9" w:rsidRPr="00DD76C8" w:rsidRDefault="002D1DA9" w:rsidP="002D1DA9">
            <w:pPr>
              <w:widowControl/>
              <w:jc w:val="both"/>
              <w:rPr>
                <w:color w:val="000000"/>
                <w:szCs w:val="24"/>
              </w:rPr>
            </w:pPr>
            <w:r w:rsidRPr="00DD76C8">
              <w:rPr>
                <w:color w:val="000000"/>
                <w:kern w:val="32"/>
              </w:rPr>
              <w:t> </w:t>
            </w:r>
          </w:p>
        </w:tc>
        <w:tc>
          <w:tcPr>
            <w:tcW w:w="4394"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jc w:val="right"/>
              <w:rPr>
                <w:b/>
                <w:bCs/>
                <w:color w:val="000000"/>
                <w:sz w:val="16"/>
                <w:szCs w:val="16"/>
              </w:rPr>
            </w:pPr>
            <w:r w:rsidRPr="00DD76C8">
              <w:rPr>
                <w:b/>
                <w:color w:val="000000"/>
                <w:kern w:val="32"/>
                <w:sz w:val="16"/>
              </w:rPr>
              <w:t>Glava 3 — Ukupno</w:t>
            </w:r>
          </w:p>
        </w:tc>
        <w:tc>
          <w:tcPr>
            <w:tcW w:w="1418" w:type="dxa"/>
            <w:tcBorders>
              <w:top w:val="nil"/>
              <w:left w:val="nil"/>
              <w:bottom w:val="single" w:sz="8" w:space="0" w:color="auto"/>
              <w:right w:val="single" w:sz="8" w:space="0" w:color="auto"/>
            </w:tcBorders>
            <w:shd w:val="clear" w:color="auto" w:fill="auto"/>
            <w:vAlign w:val="center"/>
            <w:hideMark/>
          </w:tcPr>
          <w:p w:rsidR="002D1DA9" w:rsidRPr="00DD76C8" w:rsidRDefault="00E54DD6" w:rsidP="00E54DD6">
            <w:pPr>
              <w:widowControl/>
              <w:jc w:val="right"/>
              <w:rPr>
                <w:b/>
                <w:bCs/>
                <w:color w:val="000000"/>
                <w:sz w:val="16"/>
                <w:szCs w:val="16"/>
              </w:rPr>
            </w:pPr>
            <w:r w:rsidRPr="00DD76C8">
              <w:rPr>
                <w:b/>
                <w:color w:val="000000"/>
                <w:sz w:val="16"/>
              </w:rPr>
              <w:t>168 91 390</w:t>
            </w:r>
          </w:p>
        </w:tc>
        <w:tc>
          <w:tcPr>
            <w:tcW w:w="1275" w:type="dxa"/>
            <w:tcBorders>
              <w:top w:val="nil"/>
              <w:left w:val="nil"/>
              <w:bottom w:val="single" w:sz="8" w:space="0" w:color="auto"/>
              <w:right w:val="single" w:sz="8" w:space="0" w:color="auto"/>
            </w:tcBorders>
            <w:shd w:val="clear" w:color="auto" w:fill="auto"/>
            <w:vAlign w:val="center"/>
            <w:hideMark/>
          </w:tcPr>
          <w:p w:rsidR="002D1DA9" w:rsidRPr="00DD76C8" w:rsidRDefault="002D1DA9" w:rsidP="002D1DA9">
            <w:pPr>
              <w:widowControl/>
              <w:jc w:val="right"/>
              <w:rPr>
                <w:b/>
                <w:bCs/>
                <w:color w:val="000000"/>
                <w:sz w:val="16"/>
                <w:szCs w:val="16"/>
              </w:rPr>
            </w:pPr>
            <w:r w:rsidRPr="00DD76C8">
              <w:rPr>
                <w:b/>
                <w:color w:val="000000"/>
                <w:kern w:val="32"/>
                <w:sz w:val="16"/>
              </w:rPr>
              <w:t>141 065 000</w:t>
            </w:r>
          </w:p>
        </w:tc>
        <w:tc>
          <w:tcPr>
            <w:tcW w:w="1560" w:type="dxa"/>
            <w:tcBorders>
              <w:top w:val="nil"/>
              <w:left w:val="nil"/>
              <w:bottom w:val="single" w:sz="8" w:space="0" w:color="auto"/>
              <w:right w:val="single" w:sz="8" w:space="0" w:color="auto"/>
            </w:tcBorders>
            <w:shd w:val="clear" w:color="auto" w:fill="auto"/>
            <w:vAlign w:val="center"/>
            <w:hideMark/>
          </w:tcPr>
          <w:p w:rsidR="002D1DA9" w:rsidRPr="00DD76C8" w:rsidRDefault="002D1DA9" w:rsidP="002D1DA9">
            <w:pPr>
              <w:widowControl/>
              <w:jc w:val="right"/>
              <w:rPr>
                <w:b/>
                <w:bCs/>
                <w:color w:val="000000"/>
                <w:sz w:val="16"/>
                <w:szCs w:val="16"/>
              </w:rPr>
            </w:pPr>
            <w:r w:rsidRPr="00DD76C8">
              <w:rPr>
                <w:b/>
                <w:color w:val="000000"/>
                <w:kern w:val="32"/>
                <w:sz w:val="16"/>
              </w:rPr>
              <w:t>139 715 243</w:t>
            </w:r>
          </w:p>
        </w:tc>
      </w:tr>
      <w:tr w:rsidR="002D1DA9" w:rsidRPr="00DD76C8" w:rsidTr="002D1DA9">
        <w:trPr>
          <w:trHeight w:val="300"/>
        </w:trPr>
        <w:tc>
          <w:tcPr>
            <w:tcW w:w="1433" w:type="dxa"/>
            <w:tcBorders>
              <w:top w:val="nil"/>
              <w:left w:val="single" w:sz="8" w:space="0" w:color="auto"/>
              <w:bottom w:val="nil"/>
              <w:right w:val="nil"/>
            </w:tcBorders>
            <w:shd w:val="clear" w:color="auto" w:fill="auto"/>
            <w:vAlign w:val="center"/>
            <w:hideMark/>
          </w:tcPr>
          <w:p w:rsidR="002D1DA9" w:rsidRPr="00DD76C8" w:rsidRDefault="002D1DA9" w:rsidP="002D1DA9">
            <w:pPr>
              <w:widowControl/>
              <w:jc w:val="both"/>
              <w:rPr>
                <w:b/>
                <w:bCs/>
                <w:color w:val="000000"/>
                <w:sz w:val="16"/>
                <w:szCs w:val="16"/>
              </w:rPr>
            </w:pPr>
            <w:r w:rsidRPr="00DD76C8">
              <w:rPr>
                <w:b/>
                <w:color w:val="000000"/>
                <w:kern w:val="32"/>
                <w:sz w:val="16"/>
              </w:rPr>
              <w:t> </w:t>
            </w:r>
          </w:p>
        </w:tc>
        <w:tc>
          <w:tcPr>
            <w:tcW w:w="4394"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rPr>
                <w:b/>
                <w:bCs/>
                <w:color w:val="000000"/>
                <w:sz w:val="16"/>
                <w:szCs w:val="16"/>
              </w:rPr>
            </w:pPr>
            <w:r w:rsidRPr="00DD76C8">
              <w:rPr>
                <w:b/>
                <w:color w:val="000000"/>
                <w:kern w:val="32"/>
                <w:sz w:val="16"/>
              </w:rPr>
              <w:t> </w:t>
            </w:r>
          </w:p>
        </w:tc>
        <w:tc>
          <w:tcPr>
            <w:tcW w:w="1418"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 </w:t>
            </w:r>
          </w:p>
        </w:tc>
        <w:tc>
          <w:tcPr>
            <w:tcW w:w="1275"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 </w:t>
            </w:r>
          </w:p>
        </w:tc>
        <w:tc>
          <w:tcPr>
            <w:tcW w:w="1560"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 </w:t>
            </w:r>
          </w:p>
        </w:tc>
      </w:tr>
      <w:tr w:rsidR="002D1DA9" w:rsidRPr="00DD76C8" w:rsidTr="002D1DA9">
        <w:trPr>
          <w:trHeight w:val="420"/>
        </w:trPr>
        <w:tc>
          <w:tcPr>
            <w:tcW w:w="1433" w:type="dxa"/>
            <w:tcBorders>
              <w:top w:val="nil"/>
              <w:left w:val="single" w:sz="8" w:space="0" w:color="auto"/>
              <w:bottom w:val="nil"/>
              <w:right w:val="nil"/>
            </w:tcBorders>
            <w:shd w:val="clear" w:color="auto" w:fill="auto"/>
            <w:vAlign w:val="center"/>
            <w:hideMark/>
          </w:tcPr>
          <w:p w:rsidR="002D1DA9" w:rsidRPr="00DD76C8" w:rsidRDefault="002D1DA9" w:rsidP="002D1DA9">
            <w:pPr>
              <w:widowControl/>
              <w:jc w:val="both"/>
              <w:rPr>
                <w:b/>
                <w:bCs/>
                <w:color w:val="000000"/>
                <w:sz w:val="16"/>
                <w:szCs w:val="16"/>
              </w:rPr>
            </w:pPr>
            <w:r w:rsidRPr="00DD76C8">
              <w:rPr>
                <w:b/>
                <w:color w:val="000000"/>
                <w:kern w:val="32"/>
                <w:sz w:val="16"/>
              </w:rPr>
              <w:t>4</w:t>
            </w:r>
          </w:p>
        </w:tc>
        <w:tc>
          <w:tcPr>
            <w:tcW w:w="4394"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rPr>
                <w:b/>
                <w:bCs/>
                <w:color w:val="000000"/>
                <w:sz w:val="16"/>
                <w:szCs w:val="16"/>
              </w:rPr>
            </w:pPr>
            <w:r w:rsidRPr="00DD76C8">
              <w:rPr>
                <w:b/>
                <w:color w:val="000000"/>
                <w:kern w:val="32"/>
                <w:sz w:val="16"/>
              </w:rPr>
              <w:t>RASHODI VEZANI UZ OBAVLJANJE POSEBNIH ZADATAKA INSTITUCIJE</w:t>
            </w:r>
          </w:p>
        </w:tc>
        <w:tc>
          <w:tcPr>
            <w:tcW w:w="1418"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 </w:t>
            </w:r>
          </w:p>
        </w:tc>
        <w:tc>
          <w:tcPr>
            <w:tcW w:w="1275"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 </w:t>
            </w:r>
          </w:p>
        </w:tc>
        <w:tc>
          <w:tcPr>
            <w:tcW w:w="1560"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 </w:t>
            </w:r>
          </w:p>
        </w:tc>
      </w:tr>
      <w:tr w:rsidR="002D1DA9" w:rsidRPr="00DD76C8" w:rsidTr="002D1DA9">
        <w:trPr>
          <w:trHeight w:val="300"/>
        </w:trPr>
        <w:tc>
          <w:tcPr>
            <w:tcW w:w="1433" w:type="dxa"/>
            <w:tcBorders>
              <w:top w:val="nil"/>
              <w:left w:val="single" w:sz="8" w:space="0" w:color="auto"/>
              <w:bottom w:val="nil"/>
              <w:right w:val="nil"/>
            </w:tcBorders>
            <w:shd w:val="clear" w:color="auto" w:fill="auto"/>
            <w:vAlign w:val="center"/>
            <w:hideMark/>
          </w:tcPr>
          <w:p w:rsidR="002D1DA9" w:rsidRPr="00DD76C8" w:rsidRDefault="002D1DA9" w:rsidP="002D1DA9">
            <w:pPr>
              <w:widowControl/>
              <w:jc w:val="both"/>
              <w:rPr>
                <w:color w:val="000000"/>
                <w:sz w:val="16"/>
                <w:szCs w:val="16"/>
              </w:rPr>
            </w:pPr>
            <w:r w:rsidRPr="00DD76C8">
              <w:rPr>
                <w:color w:val="000000"/>
                <w:kern w:val="32"/>
                <w:sz w:val="16"/>
              </w:rPr>
              <w:t> </w:t>
            </w:r>
          </w:p>
        </w:tc>
        <w:tc>
          <w:tcPr>
            <w:tcW w:w="4394"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 </w:t>
            </w:r>
          </w:p>
        </w:tc>
        <w:tc>
          <w:tcPr>
            <w:tcW w:w="1418"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 </w:t>
            </w:r>
          </w:p>
        </w:tc>
        <w:tc>
          <w:tcPr>
            <w:tcW w:w="1275"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 </w:t>
            </w:r>
          </w:p>
        </w:tc>
        <w:tc>
          <w:tcPr>
            <w:tcW w:w="1560"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 </w:t>
            </w:r>
          </w:p>
        </w:tc>
      </w:tr>
      <w:tr w:rsidR="002D1DA9" w:rsidRPr="00DD76C8" w:rsidTr="002D1DA9">
        <w:trPr>
          <w:trHeight w:val="300"/>
        </w:trPr>
        <w:tc>
          <w:tcPr>
            <w:tcW w:w="1433" w:type="dxa"/>
            <w:tcBorders>
              <w:top w:val="nil"/>
              <w:left w:val="single" w:sz="8" w:space="0" w:color="auto"/>
              <w:bottom w:val="nil"/>
              <w:right w:val="nil"/>
            </w:tcBorders>
            <w:shd w:val="clear" w:color="auto" w:fill="auto"/>
            <w:vAlign w:val="center"/>
            <w:hideMark/>
          </w:tcPr>
          <w:p w:rsidR="002D1DA9" w:rsidRPr="00DD76C8" w:rsidRDefault="002D1DA9" w:rsidP="002D1DA9">
            <w:pPr>
              <w:widowControl/>
              <w:jc w:val="both"/>
              <w:rPr>
                <w:color w:val="000000"/>
                <w:sz w:val="16"/>
                <w:szCs w:val="16"/>
              </w:rPr>
            </w:pPr>
            <w:r w:rsidRPr="00DD76C8">
              <w:rPr>
                <w:color w:val="000000"/>
                <w:kern w:val="32"/>
                <w:sz w:val="16"/>
              </w:rPr>
              <w:t> </w:t>
            </w:r>
          </w:p>
        </w:tc>
        <w:tc>
          <w:tcPr>
            <w:tcW w:w="4394"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 </w:t>
            </w:r>
          </w:p>
        </w:tc>
        <w:tc>
          <w:tcPr>
            <w:tcW w:w="1418"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 </w:t>
            </w:r>
          </w:p>
        </w:tc>
        <w:tc>
          <w:tcPr>
            <w:tcW w:w="1275"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 </w:t>
            </w:r>
          </w:p>
        </w:tc>
        <w:tc>
          <w:tcPr>
            <w:tcW w:w="1560"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 </w:t>
            </w:r>
          </w:p>
        </w:tc>
      </w:tr>
      <w:tr w:rsidR="002D1DA9" w:rsidRPr="00DD76C8" w:rsidTr="002D1DA9">
        <w:trPr>
          <w:trHeight w:val="450"/>
        </w:trPr>
        <w:tc>
          <w:tcPr>
            <w:tcW w:w="1433" w:type="dxa"/>
            <w:tcBorders>
              <w:top w:val="nil"/>
              <w:left w:val="single" w:sz="8" w:space="0" w:color="auto"/>
              <w:bottom w:val="nil"/>
              <w:right w:val="nil"/>
            </w:tcBorders>
            <w:shd w:val="clear" w:color="auto" w:fill="auto"/>
            <w:vAlign w:val="center"/>
            <w:hideMark/>
          </w:tcPr>
          <w:p w:rsidR="002D1DA9" w:rsidRPr="00DD76C8" w:rsidRDefault="002D1DA9" w:rsidP="002D1DA9">
            <w:pPr>
              <w:widowControl/>
              <w:jc w:val="both"/>
              <w:rPr>
                <w:color w:val="000000"/>
                <w:sz w:val="16"/>
                <w:szCs w:val="16"/>
              </w:rPr>
            </w:pPr>
            <w:r w:rsidRPr="00DD76C8">
              <w:rPr>
                <w:color w:val="000000"/>
                <w:kern w:val="32"/>
                <w:sz w:val="16"/>
              </w:rPr>
              <w:t>4 0</w:t>
            </w:r>
          </w:p>
        </w:tc>
        <w:tc>
          <w:tcPr>
            <w:tcW w:w="4394"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POSEBNI RASHODI NEKIH INSTITUCIJA I TIJELA</w:t>
            </w:r>
          </w:p>
        </w:tc>
        <w:tc>
          <w:tcPr>
            <w:tcW w:w="1418"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114 770 000</w:t>
            </w:r>
          </w:p>
        </w:tc>
        <w:tc>
          <w:tcPr>
            <w:tcW w:w="1275"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112 905 000</w:t>
            </w:r>
          </w:p>
        </w:tc>
        <w:tc>
          <w:tcPr>
            <w:tcW w:w="1560"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109 952 171</w:t>
            </w:r>
          </w:p>
        </w:tc>
      </w:tr>
      <w:tr w:rsidR="002D1DA9" w:rsidRPr="00DD76C8" w:rsidTr="002D1DA9">
        <w:trPr>
          <w:trHeight w:val="300"/>
        </w:trPr>
        <w:tc>
          <w:tcPr>
            <w:tcW w:w="1433" w:type="dxa"/>
            <w:tcBorders>
              <w:top w:val="nil"/>
              <w:left w:val="single" w:sz="8" w:space="0" w:color="auto"/>
              <w:bottom w:val="nil"/>
              <w:right w:val="nil"/>
            </w:tcBorders>
            <w:shd w:val="clear" w:color="auto" w:fill="auto"/>
            <w:vAlign w:val="center"/>
            <w:hideMark/>
          </w:tcPr>
          <w:p w:rsidR="002D1DA9" w:rsidRPr="00DD76C8" w:rsidRDefault="002D1DA9" w:rsidP="002D1DA9">
            <w:pPr>
              <w:widowControl/>
              <w:jc w:val="both"/>
              <w:rPr>
                <w:color w:val="000000"/>
                <w:sz w:val="16"/>
                <w:szCs w:val="16"/>
              </w:rPr>
            </w:pPr>
            <w:r w:rsidRPr="00DD76C8">
              <w:rPr>
                <w:color w:val="000000"/>
                <w:kern w:val="32"/>
                <w:sz w:val="16"/>
              </w:rPr>
              <w:t>4 2</w:t>
            </w:r>
          </w:p>
        </w:tc>
        <w:tc>
          <w:tcPr>
            <w:tcW w:w="4394"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RASHODI ZA PARLAMENTARNU POMOĆ</w:t>
            </w:r>
          </w:p>
        </w:tc>
        <w:tc>
          <w:tcPr>
            <w:tcW w:w="1418"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208 510 000</w:t>
            </w:r>
          </w:p>
        </w:tc>
        <w:tc>
          <w:tcPr>
            <w:tcW w:w="1275"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207 991 000</w:t>
            </w:r>
          </w:p>
        </w:tc>
        <w:tc>
          <w:tcPr>
            <w:tcW w:w="1560"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194 405 139</w:t>
            </w:r>
          </w:p>
        </w:tc>
      </w:tr>
      <w:tr w:rsidR="002D1DA9" w:rsidRPr="00DD76C8" w:rsidTr="002D1DA9">
        <w:trPr>
          <w:trHeight w:val="465"/>
        </w:trPr>
        <w:tc>
          <w:tcPr>
            <w:tcW w:w="1433" w:type="dxa"/>
            <w:tcBorders>
              <w:top w:val="nil"/>
              <w:left w:val="single" w:sz="8" w:space="0" w:color="auto"/>
              <w:bottom w:val="nil"/>
              <w:right w:val="nil"/>
            </w:tcBorders>
            <w:shd w:val="clear" w:color="auto" w:fill="auto"/>
            <w:vAlign w:val="center"/>
            <w:hideMark/>
          </w:tcPr>
          <w:p w:rsidR="002D1DA9" w:rsidRPr="00DD76C8" w:rsidRDefault="002D1DA9" w:rsidP="002D1DA9">
            <w:pPr>
              <w:widowControl/>
              <w:jc w:val="both"/>
              <w:rPr>
                <w:color w:val="000000"/>
                <w:sz w:val="16"/>
                <w:szCs w:val="16"/>
              </w:rPr>
            </w:pPr>
            <w:r w:rsidRPr="00DD76C8">
              <w:rPr>
                <w:color w:val="000000"/>
                <w:kern w:val="32"/>
                <w:sz w:val="16"/>
              </w:rPr>
              <w:t>4 4</w:t>
            </w:r>
          </w:p>
        </w:tc>
        <w:tc>
          <w:tcPr>
            <w:tcW w:w="4394"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SJEDNICE I DRUGE AKTIVNOSTI SADAŠNJIH I BIVŠIH ZASTUPNIKA</w:t>
            </w:r>
          </w:p>
        </w:tc>
        <w:tc>
          <w:tcPr>
            <w:tcW w:w="1418" w:type="dxa"/>
            <w:tcBorders>
              <w:top w:val="nil"/>
              <w:left w:val="nil"/>
              <w:bottom w:val="single" w:sz="8" w:space="0" w:color="auto"/>
              <w:right w:val="single" w:sz="8" w:space="0" w:color="auto"/>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440 000</w:t>
            </w:r>
          </w:p>
        </w:tc>
        <w:tc>
          <w:tcPr>
            <w:tcW w:w="1275" w:type="dxa"/>
            <w:tcBorders>
              <w:top w:val="nil"/>
              <w:left w:val="nil"/>
              <w:bottom w:val="single" w:sz="8" w:space="0" w:color="auto"/>
              <w:right w:val="single" w:sz="8" w:space="0" w:color="auto"/>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420 000</w:t>
            </w:r>
          </w:p>
        </w:tc>
        <w:tc>
          <w:tcPr>
            <w:tcW w:w="1560" w:type="dxa"/>
            <w:tcBorders>
              <w:top w:val="nil"/>
              <w:left w:val="nil"/>
              <w:bottom w:val="single" w:sz="8" w:space="0" w:color="auto"/>
              <w:right w:val="single" w:sz="8" w:space="0" w:color="auto"/>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420 000</w:t>
            </w:r>
          </w:p>
        </w:tc>
      </w:tr>
      <w:tr w:rsidR="002D1DA9" w:rsidRPr="00DD76C8" w:rsidTr="002D1DA9">
        <w:trPr>
          <w:trHeight w:val="330"/>
        </w:trPr>
        <w:tc>
          <w:tcPr>
            <w:tcW w:w="1433" w:type="dxa"/>
            <w:tcBorders>
              <w:top w:val="nil"/>
              <w:left w:val="single" w:sz="8" w:space="0" w:color="auto"/>
              <w:bottom w:val="nil"/>
              <w:right w:val="nil"/>
            </w:tcBorders>
            <w:shd w:val="clear" w:color="auto" w:fill="auto"/>
            <w:vAlign w:val="center"/>
            <w:hideMark/>
          </w:tcPr>
          <w:p w:rsidR="002D1DA9" w:rsidRPr="00DD76C8" w:rsidRDefault="002D1DA9" w:rsidP="002D1DA9">
            <w:pPr>
              <w:widowControl/>
              <w:jc w:val="both"/>
              <w:rPr>
                <w:color w:val="000000"/>
                <w:szCs w:val="24"/>
              </w:rPr>
            </w:pPr>
            <w:r w:rsidRPr="00DD76C8">
              <w:rPr>
                <w:color w:val="000000"/>
                <w:kern w:val="32"/>
              </w:rPr>
              <w:t> </w:t>
            </w:r>
          </w:p>
        </w:tc>
        <w:tc>
          <w:tcPr>
            <w:tcW w:w="4394"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jc w:val="right"/>
              <w:rPr>
                <w:b/>
                <w:bCs/>
                <w:color w:val="000000"/>
                <w:sz w:val="16"/>
                <w:szCs w:val="16"/>
              </w:rPr>
            </w:pPr>
            <w:r w:rsidRPr="00DD76C8">
              <w:rPr>
                <w:b/>
                <w:color w:val="000000"/>
                <w:kern w:val="32"/>
                <w:sz w:val="16"/>
              </w:rPr>
              <w:t xml:space="preserve">Glava 4 — Ukupno </w:t>
            </w:r>
          </w:p>
        </w:tc>
        <w:tc>
          <w:tcPr>
            <w:tcW w:w="1418" w:type="dxa"/>
            <w:tcBorders>
              <w:top w:val="nil"/>
              <w:left w:val="nil"/>
              <w:bottom w:val="single" w:sz="8" w:space="0" w:color="auto"/>
              <w:right w:val="single" w:sz="8" w:space="0" w:color="auto"/>
            </w:tcBorders>
            <w:shd w:val="clear" w:color="auto" w:fill="auto"/>
            <w:vAlign w:val="center"/>
            <w:hideMark/>
          </w:tcPr>
          <w:p w:rsidR="002D1DA9" w:rsidRPr="00DD76C8" w:rsidRDefault="002D1DA9" w:rsidP="002D1DA9">
            <w:pPr>
              <w:widowControl/>
              <w:jc w:val="right"/>
              <w:rPr>
                <w:b/>
                <w:bCs/>
                <w:color w:val="000000"/>
                <w:sz w:val="16"/>
                <w:szCs w:val="16"/>
              </w:rPr>
            </w:pPr>
            <w:r w:rsidRPr="00DD76C8">
              <w:rPr>
                <w:b/>
                <w:color w:val="000000"/>
                <w:kern w:val="32"/>
                <w:sz w:val="16"/>
              </w:rPr>
              <w:t>323 720 000</w:t>
            </w:r>
          </w:p>
        </w:tc>
        <w:tc>
          <w:tcPr>
            <w:tcW w:w="1275" w:type="dxa"/>
            <w:tcBorders>
              <w:top w:val="nil"/>
              <w:left w:val="nil"/>
              <w:bottom w:val="single" w:sz="8" w:space="0" w:color="auto"/>
              <w:right w:val="single" w:sz="8" w:space="0" w:color="auto"/>
            </w:tcBorders>
            <w:shd w:val="clear" w:color="auto" w:fill="auto"/>
            <w:vAlign w:val="center"/>
            <w:hideMark/>
          </w:tcPr>
          <w:p w:rsidR="002D1DA9" w:rsidRPr="00DD76C8" w:rsidRDefault="002D1DA9" w:rsidP="002D1DA9">
            <w:pPr>
              <w:widowControl/>
              <w:jc w:val="right"/>
              <w:rPr>
                <w:b/>
                <w:bCs/>
                <w:color w:val="000000"/>
                <w:sz w:val="16"/>
                <w:szCs w:val="16"/>
              </w:rPr>
            </w:pPr>
            <w:r w:rsidRPr="00DD76C8">
              <w:rPr>
                <w:b/>
                <w:color w:val="000000"/>
                <w:kern w:val="32"/>
                <w:sz w:val="16"/>
              </w:rPr>
              <w:t>321 316 000</w:t>
            </w:r>
          </w:p>
        </w:tc>
        <w:tc>
          <w:tcPr>
            <w:tcW w:w="1560" w:type="dxa"/>
            <w:tcBorders>
              <w:top w:val="nil"/>
              <w:left w:val="nil"/>
              <w:bottom w:val="single" w:sz="8" w:space="0" w:color="auto"/>
              <w:right w:val="single" w:sz="8" w:space="0" w:color="auto"/>
            </w:tcBorders>
            <w:shd w:val="clear" w:color="auto" w:fill="auto"/>
            <w:vAlign w:val="center"/>
            <w:hideMark/>
          </w:tcPr>
          <w:p w:rsidR="002D1DA9" w:rsidRPr="00DD76C8" w:rsidRDefault="002D1DA9" w:rsidP="002D1DA9">
            <w:pPr>
              <w:widowControl/>
              <w:jc w:val="right"/>
              <w:rPr>
                <w:b/>
                <w:bCs/>
                <w:color w:val="000000"/>
                <w:sz w:val="16"/>
                <w:szCs w:val="16"/>
              </w:rPr>
            </w:pPr>
            <w:r w:rsidRPr="00DD76C8">
              <w:rPr>
                <w:b/>
                <w:color w:val="000000"/>
                <w:kern w:val="32"/>
                <w:sz w:val="16"/>
              </w:rPr>
              <w:t>304 777 310</w:t>
            </w:r>
          </w:p>
        </w:tc>
      </w:tr>
      <w:tr w:rsidR="002D1DA9" w:rsidRPr="00DD76C8" w:rsidTr="002D1DA9">
        <w:trPr>
          <w:trHeight w:val="315"/>
        </w:trPr>
        <w:tc>
          <w:tcPr>
            <w:tcW w:w="1433" w:type="dxa"/>
            <w:tcBorders>
              <w:top w:val="nil"/>
              <w:left w:val="single" w:sz="8" w:space="0" w:color="auto"/>
              <w:bottom w:val="nil"/>
              <w:right w:val="nil"/>
            </w:tcBorders>
            <w:shd w:val="clear" w:color="auto" w:fill="auto"/>
            <w:vAlign w:val="center"/>
            <w:hideMark/>
          </w:tcPr>
          <w:p w:rsidR="002D1DA9" w:rsidRPr="00DD76C8" w:rsidRDefault="002D1DA9" w:rsidP="002D1DA9">
            <w:pPr>
              <w:widowControl/>
              <w:jc w:val="both"/>
              <w:rPr>
                <w:color w:val="000000"/>
                <w:szCs w:val="24"/>
              </w:rPr>
            </w:pPr>
            <w:r w:rsidRPr="00DD76C8">
              <w:rPr>
                <w:color w:val="000000"/>
                <w:kern w:val="32"/>
              </w:rPr>
              <w:t> </w:t>
            </w:r>
          </w:p>
        </w:tc>
        <w:tc>
          <w:tcPr>
            <w:tcW w:w="4394"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jc w:val="right"/>
              <w:rPr>
                <w:b/>
                <w:bCs/>
                <w:color w:val="000000"/>
                <w:sz w:val="16"/>
                <w:szCs w:val="16"/>
              </w:rPr>
            </w:pPr>
            <w:r w:rsidRPr="00DD76C8">
              <w:rPr>
                <w:b/>
                <w:color w:val="000000"/>
                <w:kern w:val="32"/>
                <w:sz w:val="16"/>
              </w:rPr>
              <w:t> </w:t>
            </w:r>
          </w:p>
        </w:tc>
        <w:tc>
          <w:tcPr>
            <w:tcW w:w="1418"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jc w:val="right"/>
              <w:rPr>
                <w:b/>
                <w:bCs/>
                <w:color w:val="000000"/>
                <w:sz w:val="16"/>
                <w:szCs w:val="16"/>
              </w:rPr>
            </w:pPr>
            <w:r w:rsidRPr="00DD76C8">
              <w:rPr>
                <w:b/>
                <w:color w:val="000000"/>
                <w:kern w:val="32"/>
                <w:sz w:val="16"/>
              </w:rPr>
              <w:t> </w:t>
            </w:r>
          </w:p>
        </w:tc>
        <w:tc>
          <w:tcPr>
            <w:tcW w:w="1275"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jc w:val="right"/>
              <w:rPr>
                <w:b/>
                <w:bCs/>
                <w:color w:val="000000"/>
                <w:sz w:val="16"/>
                <w:szCs w:val="16"/>
              </w:rPr>
            </w:pPr>
            <w:r w:rsidRPr="00DD76C8">
              <w:rPr>
                <w:b/>
                <w:color w:val="000000"/>
                <w:kern w:val="32"/>
                <w:sz w:val="16"/>
              </w:rPr>
              <w:t> </w:t>
            </w:r>
          </w:p>
        </w:tc>
        <w:tc>
          <w:tcPr>
            <w:tcW w:w="1560"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jc w:val="right"/>
              <w:rPr>
                <w:b/>
                <w:bCs/>
                <w:color w:val="000000"/>
                <w:sz w:val="16"/>
                <w:szCs w:val="16"/>
              </w:rPr>
            </w:pPr>
            <w:r w:rsidRPr="00DD76C8">
              <w:rPr>
                <w:b/>
                <w:color w:val="000000"/>
                <w:kern w:val="32"/>
                <w:sz w:val="16"/>
              </w:rPr>
              <w:t> </w:t>
            </w:r>
          </w:p>
        </w:tc>
      </w:tr>
      <w:tr w:rsidR="002D1DA9" w:rsidRPr="00DD76C8" w:rsidTr="002D1DA9">
        <w:trPr>
          <w:trHeight w:val="630"/>
        </w:trPr>
        <w:tc>
          <w:tcPr>
            <w:tcW w:w="1433" w:type="dxa"/>
            <w:tcBorders>
              <w:top w:val="nil"/>
              <w:left w:val="single" w:sz="8" w:space="0" w:color="000000"/>
              <w:bottom w:val="nil"/>
              <w:right w:val="nil"/>
            </w:tcBorders>
            <w:shd w:val="clear" w:color="auto" w:fill="auto"/>
            <w:hideMark/>
          </w:tcPr>
          <w:p w:rsidR="002D1DA9" w:rsidRPr="00DD76C8" w:rsidRDefault="002D1DA9" w:rsidP="002D1DA9">
            <w:pPr>
              <w:widowControl/>
              <w:rPr>
                <w:sz w:val="16"/>
                <w:szCs w:val="16"/>
              </w:rPr>
            </w:pPr>
            <w:r w:rsidRPr="00DD76C8">
              <w:rPr>
                <w:kern w:val="32"/>
                <w:sz w:val="16"/>
              </w:rPr>
              <w:t>5</w:t>
            </w:r>
          </w:p>
        </w:tc>
        <w:tc>
          <w:tcPr>
            <w:tcW w:w="4394"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rPr>
                <w:rFonts w:cs="Arial"/>
                <w:b/>
                <w:color w:val="000000"/>
                <w:kern w:val="32"/>
                <w:sz w:val="16"/>
                <w:szCs w:val="16"/>
              </w:rPr>
            </w:pPr>
            <w:r w:rsidRPr="00DD76C8">
              <w:rPr>
                <w:b/>
                <w:color w:val="000000"/>
                <w:kern w:val="32"/>
                <w:sz w:val="16"/>
              </w:rPr>
              <w:t>TIJELO ZA EUROPSKE POLITIČKE STRANKE I EUROPSKE POLITIČKE ZAKLADE I ODBOR NEOVISNIH UGLEDNIH OSOBA</w:t>
            </w:r>
          </w:p>
          <w:p w:rsidR="002D1DA9" w:rsidRPr="00DD76C8" w:rsidRDefault="002D1DA9" w:rsidP="002D1DA9">
            <w:pPr>
              <w:widowControl/>
              <w:rPr>
                <w:b/>
                <w:bCs/>
                <w:color w:val="000000"/>
                <w:sz w:val="16"/>
                <w:szCs w:val="16"/>
              </w:rPr>
            </w:pPr>
          </w:p>
        </w:tc>
        <w:tc>
          <w:tcPr>
            <w:tcW w:w="1418"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jc w:val="right"/>
              <w:rPr>
                <w:b/>
                <w:bCs/>
                <w:color w:val="000000"/>
                <w:sz w:val="16"/>
                <w:szCs w:val="16"/>
              </w:rPr>
            </w:pPr>
            <w:r w:rsidRPr="00DD76C8">
              <w:rPr>
                <w:b/>
                <w:color w:val="000000"/>
                <w:kern w:val="32"/>
                <w:sz w:val="16"/>
              </w:rPr>
              <w:t> </w:t>
            </w:r>
          </w:p>
        </w:tc>
        <w:tc>
          <w:tcPr>
            <w:tcW w:w="1275"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jc w:val="right"/>
              <w:rPr>
                <w:b/>
                <w:bCs/>
                <w:color w:val="000000"/>
                <w:sz w:val="16"/>
                <w:szCs w:val="16"/>
              </w:rPr>
            </w:pPr>
            <w:r w:rsidRPr="00DD76C8">
              <w:rPr>
                <w:b/>
                <w:color w:val="000000"/>
                <w:kern w:val="32"/>
                <w:sz w:val="16"/>
              </w:rPr>
              <w:t> </w:t>
            </w:r>
          </w:p>
        </w:tc>
        <w:tc>
          <w:tcPr>
            <w:tcW w:w="1560"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jc w:val="right"/>
              <w:rPr>
                <w:b/>
                <w:bCs/>
                <w:color w:val="000000"/>
                <w:sz w:val="16"/>
                <w:szCs w:val="16"/>
              </w:rPr>
            </w:pPr>
            <w:r w:rsidRPr="00DD76C8">
              <w:rPr>
                <w:b/>
                <w:color w:val="000000"/>
                <w:kern w:val="32"/>
                <w:sz w:val="16"/>
              </w:rPr>
              <w:t> </w:t>
            </w:r>
          </w:p>
        </w:tc>
      </w:tr>
      <w:tr w:rsidR="002D1DA9" w:rsidRPr="00DD76C8" w:rsidTr="002D1DA9">
        <w:trPr>
          <w:trHeight w:val="675"/>
        </w:trPr>
        <w:tc>
          <w:tcPr>
            <w:tcW w:w="1433" w:type="dxa"/>
            <w:tcBorders>
              <w:top w:val="nil"/>
              <w:left w:val="single" w:sz="8" w:space="0" w:color="000000"/>
              <w:bottom w:val="nil"/>
              <w:right w:val="nil"/>
            </w:tcBorders>
            <w:shd w:val="clear" w:color="auto" w:fill="auto"/>
            <w:hideMark/>
          </w:tcPr>
          <w:p w:rsidR="002D1DA9" w:rsidRPr="00DD76C8" w:rsidRDefault="002D1DA9" w:rsidP="002D1DA9">
            <w:pPr>
              <w:widowControl/>
              <w:rPr>
                <w:sz w:val="16"/>
                <w:szCs w:val="16"/>
              </w:rPr>
            </w:pPr>
            <w:r w:rsidRPr="00DD76C8">
              <w:rPr>
                <w:kern w:val="32"/>
                <w:sz w:val="16"/>
              </w:rPr>
              <w:t>5 0</w:t>
            </w:r>
          </w:p>
        </w:tc>
        <w:tc>
          <w:tcPr>
            <w:tcW w:w="4394"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rPr>
                <w:rFonts w:cs="Arial"/>
                <w:bCs/>
                <w:color w:val="000000"/>
                <w:kern w:val="32"/>
                <w:sz w:val="16"/>
                <w:szCs w:val="16"/>
              </w:rPr>
            </w:pPr>
            <w:r w:rsidRPr="00DD76C8">
              <w:rPr>
                <w:color w:val="000000"/>
                <w:kern w:val="32"/>
                <w:sz w:val="16"/>
              </w:rPr>
              <w:t>RASHODI TIJELA ZA EUROPSKE POLITIČKE STRANKE I EUROPSKE POLITIČKE ZAKLADE I ODBORA NEOVISNIH UGLEDNIH OSOBA</w:t>
            </w:r>
          </w:p>
          <w:p w:rsidR="002D1DA9" w:rsidRPr="00DD76C8" w:rsidRDefault="002D1DA9" w:rsidP="002D1DA9">
            <w:pPr>
              <w:widowControl/>
              <w:rPr>
                <w:color w:val="000000"/>
                <w:sz w:val="16"/>
                <w:szCs w:val="16"/>
              </w:rPr>
            </w:pPr>
          </w:p>
        </w:tc>
        <w:tc>
          <w:tcPr>
            <w:tcW w:w="1418"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jc w:val="right"/>
              <w:rPr>
                <w:b/>
                <w:bCs/>
                <w:color w:val="000000"/>
                <w:sz w:val="16"/>
                <w:szCs w:val="16"/>
              </w:rPr>
            </w:pPr>
            <w:r w:rsidRPr="00DD76C8">
              <w:rPr>
                <w:b/>
                <w:color w:val="000000"/>
                <w:kern w:val="32"/>
                <w:sz w:val="16"/>
              </w:rPr>
              <w:t>p.m.</w:t>
            </w:r>
          </w:p>
        </w:tc>
        <w:tc>
          <w:tcPr>
            <w:tcW w:w="1275"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jc w:val="right"/>
              <w:rPr>
                <w:b/>
                <w:bCs/>
                <w:color w:val="000000"/>
                <w:sz w:val="16"/>
                <w:szCs w:val="16"/>
              </w:rPr>
            </w:pPr>
            <w:r w:rsidRPr="00DD76C8">
              <w:rPr>
                <w:b/>
                <w:color w:val="000000"/>
                <w:kern w:val="32"/>
                <w:sz w:val="16"/>
              </w:rPr>
              <w:t>p.m.</w:t>
            </w:r>
          </w:p>
        </w:tc>
        <w:tc>
          <w:tcPr>
            <w:tcW w:w="1560"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jc w:val="right"/>
              <w:rPr>
                <w:b/>
                <w:bCs/>
                <w:color w:val="000000"/>
                <w:sz w:val="16"/>
                <w:szCs w:val="16"/>
              </w:rPr>
            </w:pPr>
            <w:r w:rsidRPr="00DD76C8">
              <w:rPr>
                <w:b/>
                <w:color w:val="000000"/>
                <w:kern w:val="32"/>
                <w:sz w:val="16"/>
              </w:rPr>
              <w:t>0</w:t>
            </w:r>
          </w:p>
        </w:tc>
      </w:tr>
      <w:tr w:rsidR="002D1DA9" w:rsidRPr="00DD76C8" w:rsidTr="002D1DA9">
        <w:trPr>
          <w:trHeight w:val="330"/>
        </w:trPr>
        <w:tc>
          <w:tcPr>
            <w:tcW w:w="1433" w:type="dxa"/>
            <w:tcBorders>
              <w:top w:val="nil"/>
              <w:left w:val="single" w:sz="8" w:space="0" w:color="auto"/>
              <w:bottom w:val="nil"/>
              <w:right w:val="nil"/>
            </w:tcBorders>
            <w:shd w:val="clear" w:color="auto" w:fill="auto"/>
            <w:vAlign w:val="center"/>
            <w:hideMark/>
          </w:tcPr>
          <w:p w:rsidR="002D1DA9" w:rsidRPr="00DD76C8" w:rsidRDefault="002D1DA9" w:rsidP="002D1DA9">
            <w:pPr>
              <w:widowControl/>
              <w:jc w:val="both"/>
              <w:rPr>
                <w:color w:val="000000"/>
                <w:szCs w:val="24"/>
              </w:rPr>
            </w:pPr>
            <w:r w:rsidRPr="00DD76C8">
              <w:rPr>
                <w:color w:val="000000"/>
                <w:kern w:val="32"/>
              </w:rPr>
              <w:t> </w:t>
            </w:r>
          </w:p>
        </w:tc>
        <w:tc>
          <w:tcPr>
            <w:tcW w:w="4394"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jc w:val="right"/>
              <w:rPr>
                <w:b/>
                <w:bCs/>
                <w:color w:val="000000"/>
                <w:sz w:val="16"/>
                <w:szCs w:val="16"/>
              </w:rPr>
            </w:pPr>
            <w:r w:rsidRPr="00DD76C8">
              <w:rPr>
                <w:b/>
                <w:color w:val="000000"/>
                <w:kern w:val="32"/>
                <w:sz w:val="16"/>
              </w:rPr>
              <w:t xml:space="preserve">Glava 5 — Ukupno </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2D1DA9" w:rsidRPr="00DD76C8" w:rsidRDefault="002D1DA9" w:rsidP="002D1DA9">
            <w:pPr>
              <w:widowControl/>
              <w:jc w:val="right"/>
              <w:rPr>
                <w:b/>
                <w:bCs/>
                <w:color w:val="000000"/>
                <w:sz w:val="16"/>
                <w:szCs w:val="16"/>
              </w:rPr>
            </w:pPr>
            <w:r w:rsidRPr="00DD76C8">
              <w:rPr>
                <w:b/>
                <w:color w:val="000000"/>
                <w:kern w:val="32"/>
                <w:sz w:val="16"/>
              </w:rPr>
              <w:t>0</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2D1DA9" w:rsidRPr="00DD76C8" w:rsidRDefault="002D1DA9" w:rsidP="002D1DA9">
            <w:pPr>
              <w:widowControl/>
              <w:jc w:val="right"/>
              <w:rPr>
                <w:b/>
                <w:bCs/>
                <w:color w:val="000000"/>
                <w:sz w:val="16"/>
                <w:szCs w:val="16"/>
              </w:rPr>
            </w:pPr>
            <w:r w:rsidRPr="00DD76C8">
              <w:rPr>
                <w:b/>
                <w:color w:val="000000"/>
                <w:kern w:val="32"/>
                <w:sz w:val="16"/>
              </w:rPr>
              <w:t>0</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2D1DA9" w:rsidRPr="00DD76C8" w:rsidRDefault="002D1DA9" w:rsidP="002D1DA9">
            <w:pPr>
              <w:widowControl/>
              <w:jc w:val="right"/>
              <w:rPr>
                <w:b/>
                <w:bCs/>
                <w:color w:val="000000"/>
                <w:sz w:val="16"/>
                <w:szCs w:val="16"/>
              </w:rPr>
            </w:pPr>
            <w:r w:rsidRPr="00DD76C8">
              <w:rPr>
                <w:b/>
                <w:color w:val="000000"/>
                <w:kern w:val="32"/>
                <w:sz w:val="16"/>
              </w:rPr>
              <w:t>0</w:t>
            </w:r>
          </w:p>
        </w:tc>
      </w:tr>
      <w:tr w:rsidR="002D1DA9" w:rsidRPr="00DD76C8" w:rsidTr="002D1DA9">
        <w:trPr>
          <w:trHeight w:val="300"/>
        </w:trPr>
        <w:tc>
          <w:tcPr>
            <w:tcW w:w="1433" w:type="dxa"/>
            <w:tcBorders>
              <w:top w:val="nil"/>
              <w:left w:val="single" w:sz="8" w:space="0" w:color="auto"/>
              <w:bottom w:val="nil"/>
              <w:right w:val="nil"/>
            </w:tcBorders>
            <w:shd w:val="clear" w:color="auto" w:fill="auto"/>
            <w:vAlign w:val="center"/>
            <w:hideMark/>
          </w:tcPr>
          <w:p w:rsidR="002D1DA9" w:rsidRPr="00DD76C8" w:rsidRDefault="002D1DA9" w:rsidP="002D1DA9">
            <w:pPr>
              <w:widowControl/>
              <w:jc w:val="both"/>
              <w:rPr>
                <w:color w:val="000000"/>
                <w:sz w:val="16"/>
                <w:szCs w:val="16"/>
              </w:rPr>
            </w:pPr>
            <w:r w:rsidRPr="00DD76C8">
              <w:rPr>
                <w:color w:val="000000"/>
                <w:kern w:val="32"/>
                <w:sz w:val="16"/>
              </w:rPr>
              <w:t> </w:t>
            </w:r>
          </w:p>
        </w:tc>
        <w:tc>
          <w:tcPr>
            <w:tcW w:w="4394"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 </w:t>
            </w:r>
          </w:p>
        </w:tc>
        <w:tc>
          <w:tcPr>
            <w:tcW w:w="1418"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 </w:t>
            </w:r>
          </w:p>
        </w:tc>
        <w:tc>
          <w:tcPr>
            <w:tcW w:w="1275"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 </w:t>
            </w:r>
          </w:p>
        </w:tc>
        <w:tc>
          <w:tcPr>
            <w:tcW w:w="1560"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 </w:t>
            </w:r>
          </w:p>
        </w:tc>
      </w:tr>
      <w:tr w:rsidR="002D1DA9" w:rsidRPr="00DD76C8" w:rsidTr="002D1DA9">
        <w:trPr>
          <w:trHeight w:val="300"/>
        </w:trPr>
        <w:tc>
          <w:tcPr>
            <w:tcW w:w="1433" w:type="dxa"/>
            <w:tcBorders>
              <w:top w:val="nil"/>
              <w:left w:val="single" w:sz="8" w:space="0" w:color="auto"/>
              <w:bottom w:val="nil"/>
              <w:right w:val="nil"/>
            </w:tcBorders>
            <w:shd w:val="clear" w:color="auto" w:fill="auto"/>
            <w:vAlign w:val="center"/>
            <w:hideMark/>
          </w:tcPr>
          <w:p w:rsidR="002D1DA9" w:rsidRPr="00DD76C8" w:rsidRDefault="002D1DA9" w:rsidP="002D1DA9">
            <w:pPr>
              <w:widowControl/>
              <w:jc w:val="both"/>
              <w:rPr>
                <w:b/>
                <w:bCs/>
                <w:color w:val="000000"/>
                <w:sz w:val="16"/>
                <w:szCs w:val="16"/>
              </w:rPr>
            </w:pPr>
            <w:r w:rsidRPr="00DD76C8">
              <w:rPr>
                <w:b/>
                <w:color w:val="000000"/>
                <w:kern w:val="32"/>
                <w:sz w:val="16"/>
              </w:rPr>
              <w:t>10</w:t>
            </w:r>
          </w:p>
        </w:tc>
        <w:tc>
          <w:tcPr>
            <w:tcW w:w="4394"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rPr>
                <w:b/>
                <w:bCs/>
                <w:color w:val="000000"/>
                <w:sz w:val="16"/>
                <w:szCs w:val="16"/>
              </w:rPr>
            </w:pPr>
            <w:r w:rsidRPr="00DD76C8">
              <w:rPr>
                <w:b/>
                <w:color w:val="000000"/>
                <w:kern w:val="32"/>
                <w:sz w:val="16"/>
              </w:rPr>
              <w:t>OSTALI RASHODI</w:t>
            </w:r>
          </w:p>
        </w:tc>
        <w:tc>
          <w:tcPr>
            <w:tcW w:w="1418"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 </w:t>
            </w:r>
          </w:p>
        </w:tc>
        <w:tc>
          <w:tcPr>
            <w:tcW w:w="1275"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 </w:t>
            </w:r>
          </w:p>
        </w:tc>
        <w:tc>
          <w:tcPr>
            <w:tcW w:w="1560"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 </w:t>
            </w:r>
          </w:p>
        </w:tc>
      </w:tr>
      <w:tr w:rsidR="002D1DA9" w:rsidRPr="00DD76C8" w:rsidTr="002D1DA9">
        <w:trPr>
          <w:trHeight w:val="300"/>
        </w:trPr>
        <w:tc>
          <w:tcPr>
            <w:tcW w:w="1433" w:type="dxa"/>
            <w:tcBorders>
              <w:top w:val="nil"/>
              <w:left w:val="single" w:sz="8" w:space="0" w:color="auto"/>
              <w:bottom w:val="nil"/>
              <w:right w:val="nil"/>
            </w:tcBorders>
            <w:shd w:val="clear" w:color="auto" w:fill="auto"/>
            <w:vAlign w:val="center"/>
            <w:hideMark/>
          </w:tcPr>
          <w:p w:rsidR="002D1DA9" w:rsidRPr="00DD76C8" w:rsidRDefault="002D1DA9" w:rsidP="002D1DA9">
            <w:pPr>
              <w:widowControl/>
              <w:jc w:val="both"/>
              <w:rPr>
                <w:color w:val="000000"/>
                <w:sz w:val="16"/>
                <w:szCs w:val="16"/>
              </w:rPr>
            </w:pPr>
            <w:r w:rsidRPr="00DD76C8">
              <w:rPr>
                <w:color w:val="000000"/>
                <w:kern w:val="32"/>
                <w:sz w:val="16"/>
              </w:rPr>
              <w:t> </w:t>
            </w:r>
          </w:p>
        </w:tc>
        <w:tc>
          <w:tcPr>
            <w:tcW w:w="4394"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rPr>
                <w:b/>
                <w:bCs/>
                <w:color w:val="000000"/>
                <w:sz w:val="16"/>
                <w:szCs w:val="16"/>
              </w:rPr>
            </w:pPr>
            <w:r w:rsidRPr="00DD76C8">
              <w:rPr>
                <w:b/>
                <w:color w:val="000000"/>
                <w:kern w:val="32"/>
                <w:sz w:val="16"/>
              </w:rPr>
              <w:t> </w:t>
            </w:r>
          </w:p>
        </w:tc>
        <w:tc>
          <w:tcPr>
            <w:tcW w:w="1418"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 </w:t>
            </w:r>
          </w:p>
        </w:tc>
        <w:tc>
          <w:tcPr>
            <w:tcW w:w="1275"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 </w:t>
            </w:r>
          </w:p>
        </w:tc>
        <w:tc>
          <w:tcPr>
            <w:tcW w:w="1560"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 </w:t>
            </w:r>
          </w:p>
        </w:tc>
      </w:tr>
      <w:tr w:rsidR="002D1DA9" w:rsidRPr="00DD76C8" w:rsidTr="002D1DA9">
        <w:trPr>
          <w:trHeight w:val="300"/>
        </w:trPr>
        <w:tc>
          <w:tcPr>
            <w:tcW w:w="1433" w:type="dxa"/>
            <w:tcBorders>
              <w:top w:val="nil"/>
              <w:left w:val="single" w:sz="8" w:space="0" w:color="auto"/>
              <w:bottom w:val="nil"/>
              <w:right w:val="nil"/>
            </w:tcBorders>
            <w:shd w:val="clear" w:color="auto" w:fill="auto"/>
            <w:vAlign w:val="center"/>
            <w:hideMark/>
          </w:tcPr>
          <w:p w:rsidR="002D1DA9" w:rsidRPr="00DD76C8" w:rsidRDefault="002D1DA9" w:rsidP="002D1DA9">
            <w:pPr>
              <w:widowControl/>
              <w:jc w:val="both"/>
              <w:rPr>
                <w:color w:val="000000"/>
                <w:sz w:val="16"/>
                <w:szCs w:val="16"/>
              </w:rPr>
            </w:pPr>
            <w:r w:rsidRPr="00DD76C8">
              <w:rPr>
                <w:color w:val="000000"/>
                <w:kern w:val="32"/>
                <w:sz w:val="16"/>
              </w:rPr>
              <w:t>10 0</w:t>
            </w:r>
          </w:p>
        </w:tc>
        <w:tc>
          <w:tcPr>
            <w:tcW w:w="4394"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REZERVACIJE</w:t>
            </w:r>
          </w:p>
        </w:tc>
        <w:tc>
          <w:tcPr>
            <w:tcW w:w="1418"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p.m.</w:t>
            </w:r>
          </w:p>
        </w:tc>
        <w:tc>
          <w:tcPr>
            <w:tcW w:w="1275"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p.m.</w:t>
            </w:r>
          </w:p>
        </w:tc>
        <w:tc>
          <w:tcPr>
            <w:tcW w:w="1560"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0</w:t>
            </w:r>
          </w:p>
        </w:tc>
      </w:tr>
      <w:tr w:rsidR="002D1DA9" w:rsidRPr="00DD76C8" w:rsidTr="002D1DA9">
        <w:trPr>
          <w:trHeight w:val="300"/>
        </w:trPr>
        <w:tc>
          <w:tcPr>
            <w:tcW w:w="1433" w:type="dxa"/>
            <w:tcBorders>
              <w:top w:val="nil"/>
              <w:left w:val="single" w:sz="8" w:space="0" w:color="auto"/>
              <w:bottom w:val="nil"/>
              <w:right w:val="nil"/>
            </w:tcBorders>
            <w:shd w:val="clear" w:color="auto" w:fill="auto"/>
            <w:vAlign w:val="center"/>
            <w:hideMark/>
          </w:tcPr>
          <w:p w:rsidR="002D1DA9" w:rsidRPr="00DD76C8" w:rsidRDefault="002D1DA9" w:rsidP="002D1DA9">
            <w:pPr>
              <w:widowControl/>
              <w:jc w:val="both"/>
              <w:rPr>
                <w:color w:val="000000"/>
                <w:sz w:val="16"/>
                <w:szCs w:val="16"/>
              </w:rPr>
            </w:pPr>
            <w:r w:rsidRPr="00DD76C8">
              <w:rPr>
                <w:color w:val="000000"/>
                <w:kern w:val="32"/>
                <w:sz w:val="16"/>
              </w:rPr>
              <w:t>10 1</w:t>
            </w:r>
          </w:p>
        </w:tc>
        <w:tc>
          <w:tcPr>
            <w:tcW w:w="4394"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PRIČUVA ZA NEPREDVIĐENE IZDATKE</w:t>
            </w:r>
          </w:p>
        </w:tc>
        <w:tc>
          <w:tcPr>
            <w:tcW w:w="1418"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5 000 000</w:t>
            </w:r>
          </w:p>
        </w:tc>
        <w:tc>
          <w:tcPr>
            <w:tcW w:w="1275"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864 300</w:t>
            </w:r>
          </w:p>
        </w:tc>
        <w:tc>
          <w:tcPr>
            <w:tcW w:w="1560"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0</w:t>
            </w:r>
          </w:p>
        </w:tc>
      </w:tr>
      <w:tr w:rsidR="002D1DA9" w:rsidRPr="00DD76C8" w:rsidTr="002D1DA9">
        <w:trPr>
          <w:trHeight w:val="300"/>
        </w:trPr>
        <w:tc>
          <w:tcPr>
            <w:tcW w:w="1433" w:type="dxa"/>
            <w:tcBorders>
              <w:top w:val="nil"/>
              <w:left w:val="single" w:sz="8" w:space="0" w:color="auto"/>
              <w:bottom w:val="nil"/>
              <w:right w:val="nil"/>
            </w:tcBorders>
            <w:shd w:val="clear" w:color="auto" w:fill="auto"/>
            <w:vAlign w:val="center"/>
            <w:hideMark/>
          </w:tcPr>
          <w:p w:rsidR="002D1DA9" w:rsidRPr="00DD76C8" w:rsidRDefault="002D1DA9" w:rsidP="002D1DA9">
            <w:pPr>
              <w:widowControl/>
              <w:jc w:val="both"/>
              <w:rPr>
                <w:color w:val="000000"/>
                <w:sz w:val="16"/>
                <w:szCs w:val="16"/>
              </w:rPr>
            </w:pPr>
            <w:r w:rsidRPr="00DD76C8">
              <w:rPr>
                <w:color w:val="000000"/>
                <w:kern w:val="32"/>
                <w:sz w:val="16"/>
              </w:rPr>
              <w:t>10 3</w:t>
            </w:r>
          </w:p>
        </w:tc>
        <w:tc>
          <w:tcPr>
            <w:tcW w:w="4394"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PRIČUVA ZA PROŠIRENJE</w:t>
            </w:r>
          </w:p>
        </w:tc>
        <w:tc>
          <w:tcPr>
            <w:tcW w:w="1418"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p.m.</w:t>
            </w:r>
          </w:p>
        </w:tc>
        <w:tc>
          <w:tcPr>
            <w:tcW w:w="1275"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p.m.</w:t>
            </w:r>
          </w:p>
        </w:tc>
        <w:tc>
          <w:tcPr>
            <w:tcW w:w="1560"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0</w:t>
            </w:r>
          </w:p>
        </w:tc>
      </w:tr>
      <w:tr w:rsidR="002D1DA9" w:rsidRPr="00DD76C8" w:rsidTr="002D1DA9">
        <w:trPr>
          <w:trHeight w:val="450"/>
        </w:trPr>
        <w:tc>
          <w:tcPr>
            <w:tcW w:w="1433" w:type="dxa"/>
            <w:tcBorders>
              <w:top w:val="nil"/>
              <w:left w:val="single" w:sz="8" w:space="0" w:color="auto"/>
              <w:bottom w:val="nil"/>
              <w:right w:val="nil"/>
            </w:tcBorders>
            <w:shd w:val="clear" w:color="auto" w:fill="auto"/>
            <w:vAlign w:val="center"/>
            <w:hideMark/>
          </w:tcPr>
          <w:p w:rsidR="002D1DA9" w:rsidRPr="00DD76C8" w:rsidRDefault="002D1DA9" w:rsidP="002D1DA9">
            <w:pPr>
              <w:widowControl/>
              <w:jc w:val="both"/>
              <w:rPr>
                <w:color w:val="000000"/>
                <w:sz w:val="16"/>
                <w:szCs w:val="16"/>
              </w:rPr>
            </w:pPr>
            <w:r w:rsidRPr="00DD76C8">
              <w:rPr>
                <w:color w:val="000000"/>
                <w:kern w:val="32"/>
                <w:sz w:val="16"/>
              </w:rPr>
              <w:t>10 4</w:t>
            </w:r>
          </w:p>
        </w:tc>
        <w:tc>
          <w:tcPr>
            <w:tcW w:w="4394"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PRIČUVA ZA POLITIKU INFORMIRANJA I KOMUNIKACIJSKU POLITIKU</w:t>
            </w:r>
          </w:p>
        </w:tc>
        <w:tc>
          <w:tcPr>
            <w:tcW w:w="1418"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p.m.</w:t>
            </w:r>
          </w:p>
        </w:tc>
        <w:tc>
          <w:tcPr>
            <w:tcW w:w="1275"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p.m.</w:t>
            </w:r>
          </w:p>
        </w:tc>
        <w:tc>
          <w:tcPr>
            <w:tcW w:w="1560"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0</w:t>
            </w:r>
          </w:p>
        </w:tc>
      </w:tr>
      <w:tr w:rsidR="002D1DA9" w:rsidRPr="00DD76C8" w:rsidTr="002D1DA9">
        <w:trPr>
          <w:trHeight w:val="300"/>
        </w:trPr>
        <w:tc>
          <w:tcPr>
            <w:tcW w:w="1433" w:type="dxa"/>
            <w:tcBorders>
              <w:top w:val="nil"/>
              <w:left w:val="single" w:sz="8" w:space="0" w:color="auto"/>
              <w:bottom w:val="nil"/>
              <w:right w:val="nil"/>
            </w:tcBorders>
            <w:shd w:val="clear" w:color="auto" w:fill="auto"/>
            <w:vAlign w:val="center"/>
            <w:hideMark/>
          </w:tcPr>
          <w:p w:rsidR="002D1DA9" w:rsidRPr="00DD76C8" w:rsidRDefault="002D1DA9" w:rsidP="002D1DA9">
            <w:pPr>
              <w:widowControl/>
              <w:jc w:val="both"/>
              <w:rPr>
                <w:color w:val="000000"/>
                <w:sz w:val="16"/>
                <w:szCs w:val="16"/>
              </w:rPr>
            </w:pPr>
            <w:r w:rsidRPr="00DD76C8">
              <w:rPr>
                <w:color w:val="000000"/>
                <w:kern w:val="32"/>
                <w:sz w:val="16"/>
              </w:rPr>
              <w:t>10 5</w:t>
            </w:r>
          </w:p>
        </w:tc>
        <w:tc>
          <w:tcPr>
            <w:tcW w:w="4394"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REZERVACIJE ZA ZGRADE</w:t>
            </w:r>
          </w:p>
        </w:tc>
        <w:tc>
          <w:tcPr>
            <w:tcW w:w="1418"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p.m.</w:t>
            </w:r>
          </w:p>
        </w:tc>
        <w:tc>
          <w:tcPr>
            <w:tcW w:w="1275"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p.m.</w:t>
            </w:r>
          </w:p>
        </w:tc>
        <w:tc>
          <w:tcPr>
            <w:tcW w:w="1560"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0</w:t>
            </w:r>
          </w:p>
        </w:tc>
      </w:tr>
      <w:tr w:rsidR="002D1DA9" w:rsidRPr="00DD76C8" w:rsidTr="002D1DA9">
        <w:trPr>
          <w:trHeight w:val="450"/>
        </w:trPr>
        <w:tc>
          <w:tcPr>
            <w:tcW w:w="1433" w:type="dxa"/>
            <w:tcBorders>
              <w:top w:val="nil"/>
              <w:left w:val="single" w:sz="8" w:space="0" w:color="auto"/>
              <w:bottom w:val="nil"/>
              <w:right w:val="nil"/>
            </w:tcBorders>
            <w:shd w:val="clear" w:color="auto" w:fill="auto"/>
            <w:vAlign w:val="center"/>
            <w:hideMark/>
          </w:tcPr>
          <w:p w:rsidR="002D1DA9" w:rsidRPr="00DD76C8" w:rsidRDefault="002D1DA9" w:rsidP="002D1DA9">
            <w:pPr>
              <w:widowControl/>
              <w:jc w:val="both"/>
              <w:rPr>
                <w:color w:val="000000"/>
                <w:sz w:val="16"/>
                <w:szCs w:val="16"/>
              </w:rPr>
            </w:pPr>
            <w:r w:rsidRPr="00DD76C8">
              <w:rPr>
                <w:color w:val="000000"/>
                <w:kern w:val="32"/>
                <w:sz w:val="16"/>
              </w:rPr>
              <w:t>10 6</w:t>
            </w:r>
          </w:p>
        </w:tc>
        <w:tc>
          <w:tcPr>
            <w:tcW w:w="4394"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PRIČUVA ZA PRIORITETNE PROJEKTE KOJI SU U PRIPREMI</w:t>
            </w:r>
          </w:p>
        </w:tc>
        <w:tc>
          <w:tcPr>
            <w:tcW w:w="1418"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p.m.</w:t>
            </w:r>
          </w:p>
        </w:tc>
        <w:tc>
          <w:tcPr>
            <w:tcW w:w="1275"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p.m.</w:t>
            </w:r>
          </w:p>
        </w:tc>
        <w:tc>
          <w:tcPr>
            <w:tcW w:w="1560"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0</w:t>
            </w:r>
          </w:p>
        </w:tc>
      </w:tr>
      <w:tr w:rsidR="002D1DA9" w:rsidRPr="00DD76C8" w:rsidTr="002D1DA9">
        <w:trPr>
          <w:trHeight w:val="315"/>
        </w:trPr>
        <w:tc>
          <w:tcPr>
            <w:tcW w:w="1433" w:type="dxa"/>
            <w:tcBorders>
              <w:top w:val="nil"/>
              <w:left w:val="single" w:sz="8" w:space="0" w:color="auto"/>
              <w:bottom w:val="nil"/>
              <w:right w:val="nil"/>
            </w:tcBorders>
            <w:shd w:val="clear" w:color="auto" w:fill="auto"/>
            <w:vAlign w:val="center"/>
            <w:hideMark/>
          </w:tcPr>
          <w:p w:rsidR="002D1DA9" w:rsidRPr="00DD76C8" w:rsidRDefault="002D1DA9" w:rsidP="002D1DA9">
            <w:pPr>
              <w:widowControl/>
              <w:jc w:val="both"/>
              <w:rPr>
                <w:color w:val="000000"/>
                <w:sz w:val="16"/>
                <w:szCs w:val="16"/>
              </w:rPr>
            </w:pPr>
            <w:r w:rsidRPr="00DD76C8">
              <w:rPr>
                <w:color w:val="000000"/>
                <w:kern w:val="32"/>
                <w:sz w:val="16"/>
              </w:rPr>
              <w:t>10 8</w:t>
            </w:r>
          </w:p>
        </w:tc>
        <w:tc>
          <w:tcPr>
            <w:tcW w:w="4394" w:type="dxa"/>
            <w:tcBorders>
              <w:top w:val="nil"/>
              <w:left w:val="single" w:sz="8" w:space="0" w:color="auto"/>
              <w:bottom w:val="nil"/>
              <w:right w:val="single" w:sz="8" w:space="0" w:color="auto"/>
            </w:tcBorders>
            <w:shd w:val="clear" w:color="auto" w:fill="auto"/>
            <w:vAlign w:val="center"/>
            <w:hideMark/>
          </w:tcPr>
          <w:p w:rsidR="002D1DA9" w:rsidRPr="00DD76C8" w:rsidRDefault="002D1DA9" w:rsidP="002D1DA9">
            <w:pPr>
              <w:widowControl/>
              <w:rPr>
                <w:color w:val="000000"/>
                <w:sz w:val="16"/>
                <w:szCs w:val="16"/>
              </w:rPr>
            </w:pPr>
            <w:r w:rsidRPr="00DD76C8">
              <w:rPr>
                <w:color w:val="000000"/>
                <w:kern w:val="32"/>
                <w:sz w:val="16"/>
              </w:rPr>
              <w:t>PRIČUVA ZA EMAS</w:t>
            </w:r>
          </w:p>
        </w:tc>
        <w:tc>
          <w:tcPr>
            <w:tcW w:w="1418"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p.m.</w:t>
            </w:r>
          </w:p>
        </w:tc>
        <w:tc>
          <w:tcPr>
            <w:tcW w:w="1275"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p.m.</w:t>
            </w:r>
          </w:p>
        </w:tc>
        <w:tc>
          <w:tcPr>
            <w:tcW w:w="1560" w:type="dxa"/>
            <w:tcBorders>
              <w:top w:val="nil"/>
              <w:left w:val="nil"/>
              <w:bottom w:val="nil"/>
              <w:right w:val="single" w:sz="8" w:space="0" w:color="auto"/>
            </w:tcBorders>
            <w:shd w:val="clear" w:color="auto" w:fill="auto"/>
            <w:vAlign w:val="center"/>
            <w:hideMark/>
          </w:tcPr>
          <w:p w:rsidR="002D1DA9" w:rsidRPr="00DD76C8" w:rsidRDefault="002D1DA9" w:rsidP="002D1DA9">
            <w:pPr>
              <w:widowControl/>
              <w:jc w:val="right"/>
              <w:rPr>
                <w:color w:val="000000"/>
                <w:sz w:val="16"/>
                <w:szCs w:val="16"/>
              </w:rPr>
            </w:pPr>
            <w:r w:rsidRPr="00DD76C8">
              <w:rPr>
                <w:color w:val="000000"/>
                <w:kern w:val="32"/>
                <w:sz w:val="16"/>
              </w:rPr>
              <w:t>0</w:t>
            </w:r>
          </w:p>
        </w:tc>
      </w:tr>
      <w:tr w:rsidR="002D1DA9" w:rsidRPr="00DD76C8" w:rsidTr="002D1DA9">
        <w:trPr>
          <w:trHeight w:val="330"/>
        </w:trPr>
        <w:tc>
          <w:tcPr>
            <w:tcW w:w="1433" w:type="dxa"/>
            <w:tcBorders>
              <w:top w:val="nil"/>
              <w:left w:val="single" w:sz="8" w:space="0" w:color="auto"/>
              <w:bottom w:val="nil"/>
              <w:right w:val="nil"/>
            </w:tcBorders>
            <w:shd w:val="clear" w:color="auto" w:fill="auto"/>
            <w:vAlign w:val="center"/>
            <w:hideMark/>
          </w:tcPr>
          <w:p w:rsidR="002D1DA9" w:rsidRPr="00DD76C8" w:rsidRDefault="002D1DA9" w:rsidP="002D1DA9">
            <w:pPr>
              <w:widowControl/>
              <w:jc w:val="right"/>
              <w:rPr>
                <w:color w:val="000000"/>
                <w:szCs w:val="24"/>
              </w:rPr>
            </w:pPr>
            <w:r w:rsidRPr="00DD76C8">
              <w:rPr>
                <w:color w:val="000000"/>
                <w:kern w:val="32"/>
              </w:rPr>
              <w:t> </w:t>
            </w:r>
          </w:p>
        </w:tc>
        <w:tc>
          <w:tcPr>
            <w:tcW w:w="439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D1DA9" w:rsidRPr="00DD76C8" w:rsidRDefault="002D1DA9" w:rsidP="002D1DA9">
            <w:pPr>
              <w:widowControl/>
              <w:jc w:val="right"/>
              <w:rPr>
                <w:b/>
                <w:bCs/>
                <w:color w:val="000000"/>
                <w:sz w:val="16"/>
                <w:szCs w:val="16"/>
              </w:rPr>
            </w:pPr>
            <w:r w:rsidRPr="00DD76C8">
              <w:rPr>
                <w:b/>
                <w:color w:val="000000"/>
                <w:kern w:val="32"/>
                <w:sz w:val="16"/>
              </w:rPr>
              <w:t xml:space="preserve">Glava 10 — Ukupno </w:t>
            </w:r>
          </w:p>
        </w:tc>
        <w:tc>
          <w:tcPr>
            <w:tcW w:w="1418" w:type="dxa"/>
            <w:tcBorders>
              <w:top w:val="single" w:sz="8" w:space="0" w:color="auto"/>
              <w:left w:val="nil"/>
              <w:bottom w:val="nil"/>
              <w:right w:val="single" w:sz="8" w:space="0" w:color="auto"/>
            </w:tcBorders>
            <w:shd w:val="clear" w:color="auto" w:fill="auto"/>
            <w:vAlign w:val="center"/>
            <w:hideMark/>
          </w:tcPr>
          <w:p w:rsidR="002D1DA9" w:rsidRPr="00DD76C8" w:rsidRDefault="002D1DA9" w:rsidP="002D1DA9">
            <w:pPr>
              <w:widowControl/>
              <w:jc w:val="right"/>
              <w:rPr>
                <w:b/>
                <w:bCs/>
                <w:color w:val="000000"/>
                <w:sz w:val="16"/>
                <w:szCs w:val="16"/>
              </w:rPr>
            </w:pPr>
            <w:r w:rsidRPr="00DD76C8">
              <w:rPr>
                <w:b/>
                <w:color w:val="000000"/>
                <w:kern w:val="32"/>
                <w:sz w:val="16"/>
              </w:rPr>
              <w:t>5 000 000</w:t>
            </w:r>
          </w:p>
        </w:tc>
        <w:tc>
          <w:tcPr>
            <w:tcW w:w="1275" w:type="dxa"/>
            <w:tcBorders>
              <w:top w:val="single" w:sz="8" w:space="0" w:color="auto"/>
              <w:left w:val="nil"/>
              <w:bottom w:val="nil"/>
              <w:right w:val="single" w:sz="8" w:space="0" w:color="auto"/>
            </w:tcBorders>
            <w:shd w:val="clear" w:color="auto" w:fill="auto"/>
            <w:vAlign w:val="center"/>
            <w:hideMark/>
          </w:tcPr>
          <w:p w:rsidR="002D1DA9" w:rsidRPr="00DD76C8" w:rsidRDefault="002D1DA9" w:rsidP="002D1DA9">
            <w:pPr>
              <w:widowControl/>
              <w:jc w:val="right"/>
              <w:rPr>
                <w:b/>
                <w:bCs/>
                <w:color w:val="000000"/>
                <w:sz w:val="16"/>
                <w:szCs w:val="16"/>
              </w:rPr>
            </w:pPr>
            <w:r w:rsidRPr="00DD76C8">
              <w:rPr>
                <w:b/>
                <w:color w:val="000000"/>
                <w:kern w:val="32"/>
                <w:sz w:val="16"/>
              </w:rPr>
              <w:t>864 300</w:t>
            </w:r>
          </w:p>
        </w:tc>
        <w:tc>
          <w:tcPr>
            <w:tcW w:w="1560" w:type="dxa"/>
            <w:tcBorders>
              <w:top w:val="single" w:sz="8" w:space="0" w:color="auto"/>
              <w:left w:val="nil"/>
              <w:bottom w:val="nil"/>
              <w:right w:val="single" w:sz="8" w:space="0" w:color="auto"/>
            </w:tcBorders>
            <w:shd w:val="clear" w:color="auto" w:fill="auto"/>
            <w:vAlign w:val="center"/>
            <w:hideMark/>
          </w:tcPr>
          <w:p w:rsidR="002D1DA9" w:rsidRPr="00DD76C8" w:rsidRDefault="002D1DA9" w:rsidP="002D1DA9">
            <w:pPr>
              <w:widowControl/>
              <w:jc w:val="right"/>
              <w:rPr>
                <w:b/>
                <w:bCs/>
                <w:color w:val="000000"/>
                <w:sz w:val="16"/>
                <w:szCs w:val="16"/>
              </w:rPr>
            </w:pPr>
            <w:r w:rsidRPr="00DD76C8">
              <w:rPr>
                <w:b/>
                <w:color w:val="000000"/>
                <w:kern w:val="32"/>
                <w:sz w:val="16"/>
              </w:rPr>
              <w:t>0</w:t>
            </w:r>
          </w:p>
        </w:tc>
      </w:tr>
      <w:tr w:rsidR="002D1DA9" w:rsidRPr="00DD76C8" w:rsidTr="002D1DA9">
        <w:trPr>
          <w:trHeight w:val="330"/>
        </w:trPr>
        <w:tc>
          <w:tcPr>
            <w:tcW w:w="1433" w:type="dxa"/>
            <w:tcBorders>
              <w:top w:val="nil"/>
              <w:left w:val="single" w:sz="8" w:space="0" w:color="auto"/>
              <w:bottom w:val="single" w:sz="8" w:space="0" w:color="auto"/>
              <w:right w:val="nil"/>
            </w:tcBorders>
            <w:shd w:val="clear" w:color="auto" w:fill="auto"/>
            <w:vAlign w:val="center"/>
            <w:hideMark/>
          </w:tcPr>
          <w:p w:rsidR="002D1DA9" w:rsidRPr="00DD76C8" w:rsidRDefault="002D1DA9" w:rsidP="002D1DA9">
            <w:pPr>
              <w:widowControl/>
              <w:jc w:val="right"/>
              <w:rPr>
                <w:color w:val="000000"/>
                <w:szCs w:val="24"/>
              </w:rPr>
            </w:pPr>
            <w:r w:rsidRPr="00DD76C8">
              <w:rPr>
                <w:color w:val="000000"/>
                <w:kern w:val="32"/>
              </w:rPr>
              <w:t> </w:t>
            </w:r>
          </w:p>
        </w:tc>
        <w:tc>
          <w:tcPr>
            <w:tcW w:w="4394" w:type="dxa"/>
            <w:tcBorders>
              <w:top w:val="nil"/>
              <w:left w:val="single" w:sz="8" w:space="0" w:color="auto"/>
              <w:bottom w:val="single" w:sz="8" w:space="0" w:color="auto"/>
              <w:right w:val="single" w:sz="8" w:space="0" w:color="auto"/>
            </w:tcBorders>
            <w:shd w:val="clear" w:color="auto" w:fill="auto"/>
            <w:vAlign w:val="center"/>
            <w:hideMark/>
          </w:tcPr>
          <w:p w:rsidR="002D1DA9" w:rsidRPr="00DD76C8" w:rsidRDefault="002D1DA9" w:rsidP="002D1DA9">
            <w:pPr>
              <w:widowControl/>
              <w:jc w:val="right"/>
              <w:rPr>
                <w:b/>
                <w:bCs/>
                <w:color w:val="000000"/>
                <w:szCs w:val="24"/>
              </w:rPr>
            </w:pPr>
            <w:r w:rsidRPr="00DD76C8">
              <w:rPr>
                <w:b/>
                <w:color w:val="000000"/>
                <w:kern w:val="32"/>
              </w:rPr>
              <w:t>UKUPNI IZNOS</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2D1DA9" w:rsidRPr="00DD76C8" w:rsidRDefault="002D1DA9" w:rsidP="002D1DA9">
            <w:pPr>
              <w:widowControl/>
              <w:jc w:val="right"/>
              <w:rPr>
                <w:b/>
                <w:bCs/>
                <w:color w:val="000000"/>
                <w:sz w:val="16"/>
                <w:szCs w:val="16"/>
              </w:rPr>
            </w:pPr>
            <w:r w:rsidRPr="00DD76C8">
              <w:rPr>
                <w:b/>
                <w:color w:val="000000"/>
                <w:kern w:val="32"/>
                <w:sz w:val="16"/>
              </w:rPr>
              <w:t>1 971 883 373</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2D1DA9" w:rsidRPr="00DD76C8" w:rsidRDefault="002D1DA9" w:rsidP="002D1DA9">
            <w:pPr>
              <w:widowControl/>
              <w:jc w:val="right"/>
              <w:rPr>
                <w:b/>
                <w:bCs/>
                <w:color w:val="000000"/>
                <w:sz w:val="16"/>
                <w:szCs w:val="16"/>
              </w:rPr>
            </w:pPr>
            <w:r w:rsidRPr="00DD76C8">
              <w:rPr>
                <w:b/>
                <w:color w:val="000000"/>
                <w:kern w:val="32"/>
                <w:sz w:val="16"/>
              </w:rPr>
              <w:t>1 909 590 000</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2D1DA9" w:rsidRPr="00DD76C8" w:rsidRDefault="002D1DA9" w:rsidP="002D1DA9">
            <w:pPr>
              <w:widowControl/>
              <w:jc w:val="right"/>
              <w:rPr>
                <w:b/>
                <w:bCs/>
                <w:color w:val="000000"/>
                <w:sz w:val="16"/>
                <w:szCs w:val="16"/>
              </w:rPr>
            </w:pPr>
            <w:r w:rsidRPr="00DD76C8">
              <w:rPr>
                <w:b/>
                <w:color w:val="000000"/>
                <w:kern w:val="32"/>
                <w:sz w:val="16"/>
              </w:rPr>
              <w:t>1 823 844 172</w:t>
            </w:r>
          </w:p>
        </w:tc>
      </w:tr>
    </w:tbl>
    <w:p w:rsidR="002D1DA9" w:rsidRPr="00DD76C8" w:rsidRDefault="002D1DA9" w:rsidP="002D1DA9">
      <w:pPr>
        <w:widowControl/>
        <w:tabs>
          <w:tab w:val="center" w:pos="5248"/>
        </w:tabs>
        <w:spacing w:after="180"/>
        <w:jc w:val="center"/>
        <w:rPr>
          <w:rFonts w:cs="Arial"/>
          <w:b/>
          <w:kern w:val="32"/>
          <w:sz w:val="22"/>
          <w:szCs w:val="22"/>
        </w:rPr>
      </w:pPr>
    </w:p>
    <w:p w:rsidR="00FD2C57" w:rsidRPr="00E55206" w:rsidRDefault="00FD2C57" w:rsidP="00FD2C57">
      <w:pPr>
        <w:widowControl/>
        <w:autoSpaceDE w:val="0"/>
        <w:autoSpaceDN w:val="0"/>
        <w:spacing w:before="480" w:after="120"/>
        <w:outlineLvl w:val="0"/>
        <w:rPr>
          <w:b/>
          <w:bCs/>
          <w:smallCaps/>
          <w:sz w:val="44"/>
          <w:szCs w:val="44"/>
        </w:rPr>
        <w:sectPr w:rsidR="00FD2C57" w:rsidRPr="00E55206" w:rsidSect="00DD76C8">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pPr>
    </w:p>
    <w:p w:rsidR="002D1DA9" w:rsidRPr="00DD76C8" w:rsidRDefault="002D1DA9" w:rsidP="00FD2C57">
      <w:pPr>
        <w:widowControl/>
        <w:autoSpaceDE w:val="0"/>
        <w:autoSpaceDN w:val="0"/>
        <w:spacing w:before="480" w:after="120"/>
        <w:outlineLvl w:val="0"/>
        <w:rPr>
          <w:b/>
          <w:bCs/>
          <w:smallCaps/>
          <w:sz w:val="36"/>
          <w:szCs w:val="36"/>
        </w:rPr>
      </w:pPr>
      <w:r w:rsidRPr="00DD76C8">
        <w:rPr>
          <w:b/>
          <w:smallCaps/>
          <w:sz w:val="36"/>
        </w:rPr>
        <w:t>Prihodi — Vlastiti prihodi</w:t>
      </w:r>
    </w:p>
    <w:p w:rsidR="002D1DA9" w:rsidRPr="00DD76C8" w:rsidRDefault="002D1DA9" w:rsidP="00FD2C57">
      <w:pPr>
        <w:keepNext/>
        <w:widowControl/>
        <w:spacing w:before="480" w:after="120"/>
        <w:outlineLvl w:val="1"/>
        <w:rPr>
          <w:b/>
          <w:bCs/>
          <w:smallCaps/>
          <w:sz w:val="32"/>
          <w:szCs w:val="32"/>
        </w:rPr>
      </w:pPr>
      <w:r w:rsidRPr="00DD76C8">
        <w:rPr>
          <w:b/>
          <w:smallCaps/>
          <w:sz w:val="32"/>
        </w:rPr>
        <w:t>Glava 4. — Prihodi koji potječu od osoba zaposlenih u institucijama i drugim tijelima unije</w:t>
      </w:r>
    </w:p>
    <w:p w:rsidR="002D1DA9" w:rsidRPr="00DD76C8" w:rsidRDefault="002D1DA9" w:rsidP="00FD2C57">
      <w:pPr>
        <w:widowControl/>
        <w:autoSpaceDE w:val="0"/>
        <w:autoSpaceDN w:val="0"/>
        <w:spacing w:before="480" w:after="120"/>
        <w:outlineLvl w:val="2"/>
        <w:rPr>
          <w:b/>
          <w:bCs/>
          <w:smallCaps/>
          <w:sz w:val="28"/>
          <w:szCs w:val="28"/>
        </w:rPr>
      </w:pPr>
      <w:r w:rsidRPr="00DD76C8">
        <w:rPr>
          <w:b/>
          <w:smallCaps/>
          <w:sz w:val="28"/>
        </w:rPr>
        <w:t>Poglavlje 4 0 — Porezi i različita davanja</w:t>
      </w:r>
    </w:p>
    <w:p w:rsidR="002D1DA9" w:rsidRPr="00DD76C8" w:rsidRDefault="002D1DA9" w:rsidP="00FD2C57">
      <w:pPr>
        <w:widowControl/>
        <w:autoSpaceDE w:val="0"/>
        <w:autoSpaceDN w:val="0"/>
        <w:spacing w:before="480" w:after="120"/>
        <w:outlineLvl w:val="3"/>
        <w:rPr>
          <w:b/>
          <w:bCs/>
          <w:i/>
          <w:iCs/>
          <w:szCs w:val="24"/>
        </w:rPr>
      </w:pPr>
      <w:r w:rsidRPr="00DD76C8">
        <w:rPr>
          <w:b/>
          <w:i/>
        </w:rPr>
        <w:t>Članak 4 0 0 — Prihod od poreza na plaće i naknade članova institucije, dužnosnika, drugih zaposlenika i osoba koje primaju mirovinu</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77 085 000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74 105 828</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71 635 418,00</w:t>
            </w:r>
          </w:p>
        </w:tc>
      </w:tr>
    </w:tbl>
    <w:p w:rsidR="002D1DA9" w:rsidRPr="00DD76C8" w:rsidRDefault="002D1DA9" w:rsidP="00FD2C57">
      <w:pPr>
        <w:widowControl/>
        <w:autoSpaceDE w:val="0"/>
        <w:autoSpaceDN w:val="0"/>
        <w:spacing w:before="120" w:after="120"/>
        <w:rPr>
          <w:i/>
          <w:iCs/>
          <w:sz w:val="20"/>
        </w:rPr>
      </w:pPr>
      <w:r w:rsidRPr="00DD76C8">
        <w:rPr>
          <w:i/>
          <w:sz w:val="20"/>
        </w:rPr>
        <w:t>Pravna osnova</w:t>
      </w:r>
    </w:p>
    <w:p w:rsidR="002D1DA9" w:rsidRPr="00DD76C8" w:rsidRDefault="002D1DA9" w:rsidP="00FD2C57">
      <w:pPr>
        <w:widowControl/>
        <w:jc w:val="both"/>
        <w:rPr>
          <w:rFonts w:cs="Arial"/>
          <w:bCs/>
          <w:kern w:val="32"/>
          <w:szCs w:val="24"/>
        </w:rPr>
      </w:pPr>
      <w:r w:rsidRPr="00DD76C8">
        <w:t>Protokol o povlasticama i imunitetima Europske unije, a posebno članak 12.</w:t>
      </w:r>
    </w:p>
    <w:p w:rsidR="002D1DA9" w:rsidRPr="00DD76C8" w:rsidRDefault="002D1DA9" w:rsidP="00FD2C57">
      <w:pPr>
        <w:widowControl/>
        <w:jc w:val="both"/>
        <w:rPr>
          <w:rFonts w:cs="Arial"/>
          <w:bCs/>
          <w:kern w:val="32"/>
          <w:szCs w:val="24"/>
        </w:rPr>
      </w:pPr>
      <w:r w:rsidRPr="00DD76C8">
        <w:t>Uredba Vijeća (EEZ, Euratom, CECA) br. 260/68 od 29. veljače 1968. o utvrđivanju uvjeta i postupka za primjenu poreza u korist Europskih zajednica (SL L 56 od 4.3.1968., str. 8.).</w:t>
      </w:r>
    </w:p>
    <w:p w:rsidR="002D1DA9" w:rsidRPr="00DD76C8" w:rsidRDefault="002D1DA9" w:rsidP="00FD2C57">
      <w:pPr>
        <w:widowControl/>
        <w:autoSpaceDE w:val="0"/>
        <w:autoSpaceDN w:val="0"/>
        <w:spacing w:before="480" w:after="120"/>
        <w:outlineLvl w:val="3"/>
        <w:rPr>
          <w:b/>
          <w:bCs/>
          <w:i/>
          <w:iCs/>
          <w:szCs w:val="24"/>
        </w:rPr>
      </w:pPr>
      <w:r w:rsidRPr="00DD76C8">
        <w:rPr>
          <w:b/>
          <w:i/>
        </w:rPr>
        <w:t>Članak 4 0 3 — Primitci od privremenog doprinosa iz plaća članova institucija, dužnosnika i drugih zaposlenika u aktivnom radnom odnosu</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p.m.</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p.m.</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13 616,00</w:t>
            </w:r>
          </w:p>
        </w:tc>
      </w:tr>
    </w:tbl>
    <w:p w:rsidR="002D1DA9" w:rsidRPr="00DD76C8" w:rsidRDefault="002D1DA9" w:rsidP="00FD2C57">
      <w:pPr>
        <w:widowControl/>
        <w:autoSpaceDE w:val="0"/>
        <w:autoSpaceDN w:val="0"/>
        <w:spacing w:before="120" w:after="120"/>
        <w:rPr>
          <w:i/>
          <w:iCs/>
          <w:sz w:val="20"/>
        </w:rPr>
      </w:pPr>
      <w:r w:rsidRPr="00DD76C8">
        <w:rPr>
          <w:i/>
          <w:sz w:val="20"/>
        </w:rPr>
        <w:t>Pravna osnova</w:t>
      </w:r>
    </w:p>
    <w:p w:rsidR="002D1DA9" w:rsidRPr="00DD76C8" w:rsidRDefault="002D1DA9" w:rsidP="00FD2C57">
      <w:pPr>
        <w:widowControl/>
        <w:jc w:val="both"/>
        <w:rPr>
          <w:rFonts w:cs="Arial"/>
          <w:bCs/>
          <w:kern w:val="32"/>
          <w:szCs w:val="24"/>
        </w:rPr>
      </w:pPr>
      <w:r w:rsidRPr="00DD76C8">
        <w:t>Pravilnik o osoblju za dužnosnike Europskih zajednica, a posebno njegov članak 66.a u verziji koja je bila na snazi do 15. prosinca 2003.</w:t>
      </w:r>
    </w:p>
    <w:p w:rsidR="002D1DA9" w:rsidRPr="00DD76C8" w:rsidRDefault="002D1DA9" w:rsidP="00FD2C57">
      <w:pPr>
        <w:widowControl/>
        <w:autoSpaceDE w:val="0"/>
        <w:autoSpaceDN w:val="0"/>
        <w:spacing w:before="480" w:after="120"/>
        <w:outlineLvl w:val="3"/>
        <w:rPr>
          <w:b/>
          <w:bCs/>
          <w:i/>
          <w:iCs/>
          <w:szCs w:val="24"/>
        </w:rPr>
      </w:pPr>
      <w:r w:rsidRPr="00DD76C8">
        <w:rPr>
          <w:b/>
          <w:i/>
        </w:rPr>
        <w:t>Članak 4 0 4 — Primitci od posebnog nameta i nameta solidarnosti na plaće članova institucije, dužnosnika i drugih zaposlenika u aktivnom radnom odnosu</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11 585 000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11 006 056</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10 602 055,00</w:t>
            </w:r>
          </w:p>
        </w:tc>
      </w:tr>
    </w:tbl>
    <w:p w:rsidR="002D1DA9" w:rsidRPr="00DD76C8" w:rsidRDefault="002D1DA9" w:rsidP="00FD2C57">
      <w:pPr>
        <w:widowControl/>
        <w:autoSpaceDE w:val="0"/>
        <w:autoSpaceDN w:val="0"/>
        <w:spacing w:before="120" w:after="120"/>
        <w:rPr>
          <w:i/>
          <w:iCs/>
          <w:sz w:val="20"/>
        </w:rPr>
      </w:pPr>
      <w:r w:rsidRPr="00DD76C8">
        <w:rPr>
          <w:i/>
          <w:sz w:val="20"/>
        </w:rPr>
        <w:t>Pravna osnova</w:t>
      </w:r>
    </w:p>
    <w:p w:rsidR="002D1DA9" w:rsidRPr="00DD76C8" w:rsidRDefault="002D1DA9" w:rsidP="00FD2C57">
      <w:pPr>
        <w:widowControl/>
        <w:jc w:val="both"/>
        <w:rPr>
          <w:rFonts w:cs="Arial"/>
          <w:bCs/>
          <w:kern w:val="32"/>
          <w:szCs w:val="24"/>
        </w:rPr>
      </w:pPr>
      <w:r w:rsidRPr="00DD76C8">
        <w:t>Pravilnik o osoblju za dužnosnike Europskih zajednica, a posebno članak 66.a.</w:t>
      </w:r>
    </w:p>
    <w:p w:rsidR="002D1DA9" w:rsidRPr="00DD76C8" w:rsidRDefault="002D1DA9" w:rsidP="00FD2C57">
      <w:pPr>
        <w:widowControl/>
        <w:autoSpaceDE w:val="0"/>
        <w:autoSpaceDN w:val="0"/>
        <w:spacing w:before="480" w:after="120"/>
        <w:outlineLvl w:val="2"/>
        <w:rPr>
          <w:b/>
          <w:bCs/>
          <w:smallCaps/>
          <w:sz w:val="28"/>
          <w:szCs w:val="28"/>
        </w:rPr>
      </w:pPr>
      <w:r w:rsidRPr="00DD76C8">
        <w:rPr>
          <w:b/>
          <w:smallCaps/>
          <w:sz w:val="28"/>
        </w:rPr>
        <w:t>Poglavlje 4 1 — Doprinosi za mirovinski fond</w:t>
      </w:r>
    </w:p>
    <w:p w:rsidR="002D1DA9" w:rsidRPr="00DD76C8" w:rsidRDefault="002D1DA9" w:rsidP="00FD2C57">
      <w:pPr>
        <w:widowControl/>
        <w:autoSpaceDE w:val="0"/>
        <w:autoSpaceDN w:val="0"/>
        <w:spacing w:before="480" w:after="120"/>
        <w:outlineLvl w:val="3"/>
        <w:rPr>
          <w:b/>
          <w:bCs/>
          <w:i/>
          <w:iCs/>
          <w:szCs w:val="24"/>
        </w:rPr>
      </w:pPr>
      <w:r w:rsidRPr="00DD76C8">
        <w:rPr>
          <w:b/>
          <w:i/>
        </w:rPr>
        <w:t>Članak 4 1 0 — Doprinosi zaposlenika za mirovinski fond</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66 485 000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64 712 299</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61 138 636,00</w:t>
            </w:r>
          </w:p>
        </w:tc>
      </w:tr>
    </w:tbl>
    <w:p w:rsidR="002D1DA9" w:rsidRPr="00DD76C8" w:rsidRDefault="002D1DA9" w:rsidP="00FD2C57">
      <w:pPr>
        <w:widowControl/>
        <w:autoSpaceDE w:val="0"/>
        <w:autoSpaceDN w:val="0"/>
        <w:spacing w:before="120" w:after="120"/>
        <w:rPr>
          <w:i/>
          <w:iCs/>
          <w:sz w:val="20"/>
        </w:rPr>
      </w:pPr>
      <w:r w:rsidRPr="00DD76C8">
        <w:rPr>
          <w:i/>
          <w:sz w:val="20"/>
        </w:rPr>
        <w:t>Pravna osnova</w:t>
      </w:r>
    </w:p>
    <w:p w:rsidR="002D1DA9" w:rsidRPr="00DD76C8" w:rsidRDefault="002D1DA9" w:rsidP="00FD2C57">
      <w:pPr>
        <w:widowControl/>
        <w:jc w:val="both"/>
        <w:rPr>
          <w:rFonts w:cs="Arial"/>
          <w:bCs/>
          <w:kern w:val="32"/>
          <w:szCs w:val="24"/>
        </w:rPr>
      </w:pPr>
      <w:r w:rsidRPr="00DD76C8">
        <w:t>Pravilnik o osoblju za dužnosnike Europskih zajednica, a posebno članak 83. stavak 2.</w:t>
      </w:r>
    </w:p>
    <w:p w:rsidR="002D1DA9" w:rsidRPr="00DD76C8" w:rsidRDefault="002D1DA9" w:rsidP="00FD2C57">
      <w:pPr>
        <w:widowControl/>
        <w:autoSpaceDE w:val="0"/>
        <w:autoSpaceDN w:val="0"/>
        <w:spacing w:before="480" w:after="120"/>
        <w:outlineLvl w:val="3"/>
        <w:rPr>
          <w:b/>
          <w:bCs/>
          <w:i/>
          <w:iCs/>
          <w:szCs w:val="24"/>
        </w:rPr>
      </w:pPr>
      <w:r w:rsidRPr="00DD76C8">
        <w:rPr>
          <w:b/>
          <w:i/>
        </w:rPr>
        <w:t>Članak 4 1 1 — Prijenos ili kupnja mirovinskih prava od strane osoblja</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9 200 000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9 200 000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7 294 722,00</w:t>
            </w:r>
          </w:p>
        </w:tc>
      </w:tr>
    </w:tbl>
    <w:p w:rsidR="002D1DA9" w:rsidRPr="00DD76C8" w:rsidRDefault="002D1DA9" w:rsidP="00FD2C57">
      <w:pPr>
        <w:widowControl/>
        <w:autoSpaceDE w:val="0"/>
        <w:autoSpaceDN w:val="0"/>
        <w:spacing w:before="120" w:after="120"/>
        <w:rPr>
          <w:i/>
          <w:iCs/>
          <w:sz w:val="20"/>
        </w:rPr>
      </w:pPr>
      <w:r w:rsidRPr="00DD76C8">
        <w:rPr>
          <w:i/>
          <w:sz w:val="20"/>
        </w:rPr>
        <w:t>Pravna osnova</w:t>
      </w:r>
    </w:p>
    <w:p w:rsidR="002D1DA9" w:rsidRPr="00DD76C8" w:rsidRDefault="002D1DA9" w:rsidP="00FD2C57">
      <w:pPr>
        <w:widowControl/>
        <w:jc w:val="both"/>
        <w:rPr>
          <w:rFonts w:cs="Arial"/>
          <w:bCs/>
          <w:kern w:val="32"/>
          <w:szCs w:val="24"/>
        </w:rPr>
      </w:pPr>
      <w:r w:rsidRPr="00DD76C8">
        <w:t>Pravilnik o osoblju za dužnosnike Europskih zajednica, a posebno članak 4., članak 11. stavci 2. i 3. te članak 48. Priloga VIII.</w:t>
      </w:r>
    </w:p>
    <w:p w:rsidR="002D1DA9" w:rsidRPr="00DD76C8" w:rsidRDefault="002D1DA9" w:rsidP="00FD2C57">
      <w:pPr>
        <w:widowControl/>
        <w:autoSpaceDE w:val="0"/>
        <w:autoSpaceDN w:val="0"/>
        <w:spacing w:before="480" w:after="120"/>
        <w:outlineLvl w:val="3"/>
        <w:rPr>
          <w:b/>
          <w:bCs/>
          <w:i/>
          <w:iCs/>
          <w:szCs w:val="24"/>
        </w:rPr>
      </w:pPr>
      <w:r w:rsidRPr="00DD76C8">
        <w:rPr>
          <w:b/>
          <w:i/>
        </w:rPr>
        <w:t>Članak 4 1 2 — Doprinosi za mirovinski fond dužnosnika i privremenog osoblja koji su na dopustu iz osobnih razloga</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10 000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10 000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22 096,00</w:t>
            </w:r>
          </w:p>
        </w:tc>
      </w:tr>
    </w:tbl>
    <w:p w:rsidR="002D1DA9" w:rsidRPr="00DD76C8" w:rsidRDefault="002D1DA9" w:rsidP="00E55206">
      <w:pPr>
        <w:widowControl/>
        <w:autoSpaceDE w:val="0"/>
        <w:autoSpaceDN w:val="0"/>
        <w:spacing w:before="480" w:after="120"/>
        <w:ind w:right="-211"/>
        <w:outlineLvl w:val="2"/>
        <w:rPr>
          <w:b/>
          <w:bCs/>
          <w:smallCaps/>
          <w:sz w:val="28"/>
          <w:szCs w:val="28"/>
        </w:rPr>
      </w:pPr>
      <w:r w:rsidRPr="00DD76C8">
        <w:rPr>
          <w:b/>
          <w:smallCaps/>
          <w:sz w:val="28"/>
        </w:rPr>
        <w:t>Poglavlje 4 2 — Ostali doprinosi za mirovinski fond</w:t>
      </w:r>
    </w:p>
    <w:p w:rsidR="002D1DA9" w:rsidRPr="00DD76C8" w:rsidRDefault="002D1DA9" w:rsidP="00FD2C57">
      <w:pPr>
        <w:widowControl/>
        <w:autoSpaceDE w:val="0"/>
        <w:autoSpaceDN w:val="0"/>
        <w:spacing w:before="480" w:after="120"/>
        <w:outlineLvl w:val="3"/>
        <w:rPr>
          <w:b/>
          <w:bCs/>
          <w:i/>
          <w:iCs/>
          <w:szCs w:val="24"/>
        </w:rPr>
      </w:pPr>
      <w:r w:rsidRPr="00DD76C8">
        <w:rPr>
          <w:b/>
          <w:i/>
        </w:rPr>
        <w:t>Članak 4 2 1 — Doprinosi zastupnika u Europskom parlamentu za mirovinsko osiguranje</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p.m.</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p.m.</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0,—</w:t>
            </w:r>
          </w:p>
        </w:tc>
      </w:tr>
    </w:tbl>
    <w:p w:rsidR="002D1DA9" w:rsidRPr="00DD76C8" w:rsidRDefault="002D1DA9" w:rsidP="00FD2C57">
      <w:pPr>
        <w:widowControl/>
        <w:autoSpaceDE w:val="0"/>
        <w:autoSpaceDN w:val="0"/>
        <w:spacing w:before="120" w:after="120"/>
        <w:rPr>
          <w:i/>
          <w:iCs/>
          <w:sz w:val="20"/>
        </w:rPr>
      </w:pPr>
      <w:r w:rsidRPr="00DD76C8">
        <w:rPr>
          <w:i/>
          <w:sz w:val="20"/>
        </w:rPr>
        <w:t>Pravna osnova</w:t>
      </w:r>
    </w:p>
    <w:p w:rsidR="002D1DA9" w:rsidRPr="00DD76C8" w:rsidRDefault="002D1DA9" w:rsidP="00FD2C57">
      <w:pPr>
        <w:widowControl/>
        <w:jc w:val="both"/>
        <w:rPr>
          <w:rFonts w:cs="Arial"/>
          <w:bCs/>
          <w:kern w:val="32"/>
          <w:szCs w:val="24"/>
        </w:rPr>
      </w:pPr>
      <w:r w:rsidRPr="00DD76C8">
        <w:t>Pravilnik o isplati troškova i naknada zastupnicima Europskog parlamenta, a posebno Prilog III.</w:t>
      </w:r>
    </w:p>
    <w:p w:rsidR="002D1DA9" w:rsidRPr="00DD76C8" w:rsidRDefault="002D1DA9" w:rsidP="00FD2C57">
      <w:pPr>
        <w:keepNext/>
        <w:widowControl/>
        <w:spacing w:before="480" w:after="120"/>
        <w:outlineLvl w:val="1"/>
        <w:rPr>
          <w:b/>
          <w:bCs/>
          <w:smallCaps/>
          <w:sz w:val="32"/>
          <w:szCs w:val="32"/>
        </w:rPr>
      </w:pPr>
      <w:r w:rsidRPr="00DD76C8">
        <w:rPr>
          <w:b/>
          <w:smallCaps/>
          <w:sz w:val="32"/>
        </w:rPr>
        <w:t>Glava 5. — Prihodi iz upravnog poslovanja institucije</w:t>
      </w:r>
    </w:p>
    <w:p w:rsidR="002D1DA9" w:rsidRPr="00DD76C8" w:rsidRDefault="002D1DA9" w:rsidP="00FD2C57">
      <w:pPr>
        <w:widowControl/>
        <w:autoSpaceDE w:val="0"/>
        <w:autoSpaceDN w:val="0"/>
        <w:spacing w:before="480" w:after="120"/>
        <w:outlineLvl w:val="2"/>
        <w:rPr>
          <w:b/>
          <w:bCs/>
          <w:smallCaps/>
          <w:sz w:val="28"/>
          <w:szCs w:val="28"/>
        </w:rPr>
      </w:pPr>
      <w:r w:rsidRPr="00DD76C8">
        <w:rPr>
          <w:b/>
          <w:smallCaps/>
          <w:sz w:val="28"/>
        </w:rPr>
        <w:t>Poglavlje 5 0 — Primitci od prodaje pokretne imovine (nabava robe) i nepokretne imovine</w:t>
      </w:r>
    </w:p>
    <w:p w:rsidR="002D1DA9" w:rsidRPr="00DD76C8" w:rsidRDefault="002D1DA9" w:rsidP="00FD2C57">
      <w:pPr>
        <w:widowControl/>
        <w:autoSpaceDE w:val="0"/>
        <w:autoSpaceDN w:val="0"/>
        <w:spacing w:before="480" w:after="120"/>
        <w:outlineLvl w:val="3"/>
        <w:rPr>
          <w:b/>
          <w:bCs/>
          <w:i/>
          <w:iCs/>
          <w:szCs w:val="24"/>
        </w:rPr>
      </w:pPr>
      <w:r w:rsidRPr="00DD76C8">
        <w:rPr>
          <w:b/>
          <w:i/>
        </w:rPr>
        <w:t>Članak 5 0 0 — Primitci od prodaje pokretne imovine (nabava robe)</w:t>
      </w:r>
    </w:p>
    <w:p w:rsidR="002D1DA9" w:rsidRPr="00DD76C8" w:rsidRDefault="002D1DA9" w:rsidP="00FD2C57">
      <w:pPr>
        <w:widowControl/>
        <w:autoSpaceDE w:val="0"/>
        <w:autoSpaceDN w:val="0"/>
        <w:spacing w:before="480" w:after="120"/>
        <w:outlineLvl w:val="4"/>
        <w:rPr>
          <w:sz w:val="22"/>
          <w:szCs w:val="22"/>
        </w:rPr>
      </w:pPr>
      <w:r w:rsidRPr="00DD76C8">
        <w:rPr>
          <w:sz w:val="22"/>
        </w:rPr>
        <w:t>Stavka 5 0 0 0 — Primitci od prodaje vozila — namjenski prihodi</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p.m.</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p.m.</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0,—</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widowControl/>
        <w:jc w:val="both"/>
        <w:rPr>
          <w:rFonts w:cs="Arial"/>
          <w:bCs/>
          <w:kern w:val="32"/>
          <w:szCs w:val="24"/>
        </w:rPr>
      </w:pPr>
      <w:r w:rsidRPr="00DD76C8">
        <w:t>U ovoj stavci knjiže se prihodi od prodaje ili zamjene vozila koja su u vlasništvu institucije.</w:t>
      </w:r>
    </w:p>
    <w:p w:rsidR="002D1DA9" w:rsidRPr="00DD76C8" w:rsidRDefault="002D1DA9" w:rsidP="00FD2C57">
      <w:pPr>
        <w:widowControl/>
        <w:jc w:val="both"/>
        <w:rPr>
          <w:rFonts w:cs="Arial"/>
          <w:bCs/>
          <w:kern w:val="32"/>
          <w:szCs w:val="24"/>
        </w:rPr>
      </w:pPr>
      <w:r w:rsidRPr="00DD76C8">
        <w:t>Ovi prihodi su namjenski u skladu s člankom 21. stavkom 3. Financijske uredbe, a na proračunskim stavkama na čiji je teret knjižen prvobitni izdatak koji je prouzročio prihode koriste se kao dodatna sredstva.</w:t>
      </w:r>
    </w:p>
    <w:p w:rsidR="002D1DA9" w:rsidRPr="00DD76C8" w:rsidRDefault="002D1DA9" w:rsidP="00FD2C57">
      <w:pPr>
        <w:widowControl/>
        <w:autoSpaceDE w:val="0"/>
        <w:autoSpaceDN w:val="0"/>
        <w:spacing w:before="480" w:after="120"/>
        <w:outlineLvl w:val="4"/>
        <w:rPr>
          <w:sz w:val="22"/>
          <w:szCs w:val="22"/>
        </w:rPr>
      </w:pPr>
      <w:r w:rsidRPr="00DD76C8">
        <w:rPr>
          <w:sz w:val="22"/>
        </w:rPr>
        <w:t>Stavka 5 0 0 1 — Primitci od prodaje ostale pokretne imovine — namjenski prihodi</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p.m.</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p.m.</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589,00</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widowControl/>
        <w:jc w:val="both"/>
        <w:rPr>
          <w:rFonts w:cs="Arial"/>
          <w:bCs/>
          <w:kern w:val="32"/>
          <w:szCs w:val="24"/>
        </w:rPr>
      </w:pPr>
      <w:r w:rsidRPr="00DD76C8">
        <w:t>U ovoj stavci knjiže se prihodi od prodaje ili zamjene pokretne imovine institucije uz iznimku prijevoznih sredstava.</w:t>
      </w:r>
    </w:p>
    <w:p w:rsidR="002D1DA9" w:rsidRPr="00DD76C8" w:rsidRDefault="002D1DA9" w:rsidP="00FD2C57">
      <w:pPr>
        <w:widowControl/>
        <w:jc w:val="both"/>
        <w:rPr>
          <w:rFonts w:cs="Arial"/>
          <w:bCs/>
          <w:kern w:val="32"/>
          <w:szCs w:val="24"/>
        </w:rPr>
      </w:pPr>
      <w:r w:rsidRPr="00DD76C8">
        <w:t>Ovi prihodi su namjenski u skladu s člankom 21. stavkom 3. Financijske uredbe, a na proračunskim stavkama na čiji je teret knjižen prvobitni izdatak koji je prouzročio prihode koriste se kao dodatna sredstva.</w:t>
      </w:r>
    </w:p>
    <w:p w:rsidR="002D1DA9" w:rsidRPr="00DD76C8" w:rsidRDefault="002D1DA9" w:rsidP="00FD2C57">
      <w:pPr>
        <w:widowControl/>
        <w:autoSpaceDE w:val="0"/>
        <w:autoSpaceDN w:val="0"/>
        <w:spacing w:before="480" w:after="120"/>
        <w:outlineLvl w:val="4"/>
        <w:rPr>
          <w:sz w:val="22"/>
          <w:szCs w:val="22"/>
        </w:rPr>
      </w:pPr>
      <w:r w:rsidRPr="00DD76C8">
        <w:rPr>
          <w:sz w:val="22"/>
        </w:rPr>
        <w:t>Stavka 5 0 0 2 — Prihodi od nabave robe za druge institucije ili tijela — namjenski prihodi</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p.m.</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p.m.</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188 858,00</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widowControl/>
        <w:jc w:val="both"/>
        <w:rPr>
          <w:rFonts w:cs="Arial"/>
          <w:bCs/>
          <w:kern w:val="32"/>
          <w:szCs w:val="24"/>
        </w:rPr>
      </w:pPr>
      <w:r w:rsidRPr="00DD76C8">
        <w:t>Ovi prihodi su namjenski u skladu s člankom 21. stavkom 3. Financijske uredbe, a na proračunskim stavkama na čiji je teret knjižen prvobitni izdatak koji je prouzročio prihode koriste se kao dodatna sredstva.</w:t>
      </w:r>
    </w:p>
    <w:p w:rsidR="002D1DA9" w:rsidRPr="00DD76C8" w:rsidRDefault="002D1DA9" w:rsidP="00FD2C57">
      <w:pPr>
        <w:widowControl/>
        <w:jc w:val="both"/>
        <w:rPr>
          <w:rFonts w:cs="Arial"/>
          <w:bCs/>
          <w:kern w:val="32"/>
          <w:szCs w:val="24"/>
        </w:rPr>
      </w:pPr>
      <w:r w:rsidRPr="00DD76C8">
        <w:t>Pojedinosti o prihodima i rashodima koji nastaju zajmovima ili najamninama ili pružanjem usluga u okviru ove proračunske stavke navedene su u prilogu ove projekcije proračuna.</w:t>
      </w:r>
    </w:p>
    <w:p w:rsidR="002D1DA9" w:rsidRPr="00DD76C8" w:rsidRDefault="002D1DA9" w:rsidP="00FD2C57">
      <w:pPr>
        <w:widowControl/>
        <w:autoSpaceDE w:val="0"/>
        <w:autoSpaceDN w:val="0"/>
        <w:spacing w:before="480" w:after="120"/>
        <w:outlineLvl w:val="3"/>
        <w:rPr>
          <w:b/>
          <w:bCs/>
          <w:i/>
          <w:iCs/>
          <w:szCs w:val="24"/>
        </w:rPr>
      </w:pPr>
      <w:r w:rsidRPr="00DD76C8">
        <w:rPr>
          <w:b/>
          <w:i/>
        </w:rPr>
        <w:t>Članak 5 0 1 — Prihod od prodaje nepokretne imovine</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p.m.</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p.m.</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0,—</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widowControl/>
        <w:jc w:val="both"/>
        <w:rPr>
          <w:rFonts w:cs="Arial"/>
          <w:bCs/>
          <w:kern w:val="32"/>
          <w:szCs w:val="24"/>
        </w:rPr>
      </w:pPr>
      <w:r w:rsidRPr="00DD76C8">
        <w:t>U ovom članku knjiže se prihodi od prodaje nepokretne imovine institucije.</w:t>
      </w:r>
    </w:p>
    <w:p w:rsidR="002D1DA9" w:rsidRPr="00DD76C8" w:rsidRDefault="002D1DA9" w:rsidP="00FD2C57">
      <w:pPr>
        <w:widowControl/>
        <w:autoSpaceDE w:val="0"/>
        <w:autoSpaceDN w:val="0"/>
        <w:spacing w:before="480" w:after="120"/>
        <w:outlineLvl w:val="3"/>
        <w:rPr>
          <w:b/>
          <w:bCs/>
          <w:i/>
          <w:iCs/>
          <w:szCs w:val="24"/>
        </w:rPr>
      </w:pPr>
      <w:r w:rsidRPr="00DD76C8">
        <w:rPr>
          <w:b/>
          <w:i/>
        </w:rPr>
        <w:t>Članak 5 0 2 — Primitci od prodaje publikacija, tiskanih materijala i filmova — namjenski prihodi</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p.m.</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p.m.</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0,—</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widowControl/>
        <w:jc w:val="both"/>
        <w:rPr>
          <w:rFonts w:cs="Arial"/>
          <w:bCs/>
          <w:kern w:val="32"/>
          <w:szCs w:val="24"/>
        </w:rPr>
      </w:pPr>
      <w:r w:rsidRPr="00DD76C8">
        <w:t>Ovi prihodi su namjenski u skladu s člankom 21. stavkom 3. Financijske uredbe, a na proračunskim stavkama na čiji je teret knjižen prvobitni izdatak koji je prouzročio prihode koriste se kao dodatna sredstva.</w:t>
      </w:r>
    </w:p>
    <w:p w:rsidR="002D1DA9" w:rsidRPr="00DD76C8" w:rsidRDefault="002D1DA9" w:rsidP="00FD2C57">
      <w:pPr>
        <w:widowControl/>
        <w:jc w:val="both"/>
        <w:rPr>
          <w:rFonts w:cs="Arial"/>
          <w:bCs/>
          <w:kern w:val="32"/>
          <w:szCs w:val="24"/>
        </w:rPr>
      </w:pPr>
      <w:r w:rsidRPr="00DD76C8">
        <w:t>Ovaj članak obuhvaća i prihode od prodaje tih proizvoda u elektroničkom obliku.</w:t>
      </w:r>
    </w:p>
    <w:p w:rsidR="002D1DA9" w:rsidRPr="00DD76C8" w:rsidRDefault="002D1DA9" w:rsidP="00FD2C57">
      <w:pPr>
        <w:widowControl/>
        <w:autoSpaceDE w:val="0"/>
        <w:autoSpaceDN w:val="0"/>
        <w:spacing w:before="480" w:after="120"/>
        <w:outlineLvl w:val="2"/>
        <w:rPr>
          <w:b/>
          <w:bCs/>
          <w:smallCaps/>
          <w:sz w:val="28"/>
          <w:szCs w:val="28"/>
        </w:rPr>
      </w:pPr>
      <w:r w:rsidRPr="00DD76C8">
        <w:rPr>
          <w:b/>
          <w:smallCaps/>
          <w:sz w:val="28"/>
        </w:rPr>
        <w:t>Poglavlje 5 1 — Primitci od iznajmljivanja</w:t>
      </w:r>
    </w:p>
    <w:p w:rsidR="002D1DA9" w:rsidRPr="00DD76C8" w:rsidRDefault="002D1DA9" w:rsidP="00FD2C57">
      <w:pPr>
        <w:widowControl/>
        <w:autoSpaceDE w:val="0"/>
        <w:autoSpaceDN w:val="0"/>
        <w:spacing w:before="480" w:after="120"/>
        <w:outlineLvl w:val="3"/>
        <w:rPr>
          <w:b/>
          <w:bCs/>
          <w:i/>
          <w:iCs/>
          <w:szCs w:val="24"/>
        </w:rPr>
      </w:pPr>
      <w:r w:rsidRPr="00DD76C8">
        <w:rPr>
          <w:b/>
          <w:i/>
        </w:rPr>
        <w:t>Članak 5 1 1 — Primitci od najma i davanja u podnajam nepokretne imovine i povrat dodatnih troškova vezano uz najam</w:t>
      </w:r>
    </w:p>
    <w:p w:rsidR="002D1DA9" w:rsidRPr="00DD76C8" w:rsidRDefault="002D1DA9" w:rsidP="00FD2C57">
      <w:pPr>
        <w:widowControl/>
        <w:autoSpaceDE w:val="0"/>
        <w:autoSpaceDN w:val="0"/>
        <w:spacing w:before="480" w:after="120"/>
        <w:outlineLvl w:val="4"/>
        <w:rPr>
          <w:sz w:val="22"/>
          <w:szCs w:val="22"/>
        </w:rPr>
      </w:pPr>
      <w:r w:rsidRPr="00DD76C8">
        <w:rPr>
          <w:sz w:val="22"/>
        </w:rPr>
        <w:t>Stavka 5 1 1 0 — Primitci od najma i davanja u podnajam nepokretne imovine — namjenski prihodi</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p.m.</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p.m.</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2 859 618,00</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widowControl/>
        <w:jc w:val="both"/>
        <w:rPr>
          <w:rFonts w:cs="Arial"/>
          <w:bCs/>
          <w:kern w:val="32"/>
          <w:szCs w:val="24"/>
        </w:rPr>
      </w:pPr>
      <w:r w:rsidRPr="00DD76C8">
        <w:t>Ovi prihodi su namjenski u skladu s člankom 21. stavkom 3. Financijske uredbe, a na proračunskim stavkama na čiji je teret knjižen prvobitni izdatak koji je prouzročio prihode koriste se kao dodatna sredstva.</w:t>
      </w:r>
    </w:p>
    <w:p w:rsidR="002D1DA9" w:rsidRPr="00DD76C8" w:rsidRDefault="002D1DA9" w:rsidP="00FD2C57">
      <w:pPr>
        <w:widowControl/>
        <w:jc w:val="both"/>
        <w:rPr>
          <w:rFonts w:cs="Arial"/>
          <w:bCs/>
          <w:kern w:val="32"/>
          <w:szCs w:val="24"/>
        </w:rPr>
      </w:pPr>
      <w:r w:rsidRPr="00DD76C8">
        <w:t>Pojedinosti o prihodima i rashodima koji nastaju zajmovima ili najamninama ili pružanjem usluga u okviru ove proračunske stavke navedene su u prilogu ove projekcije proračuna.</w:t>
      </w:r>
    </w:p>
    <w:p w:rsidR="002D1DA9" w:rsidRPr="00DD76C8" w:rsidRDefault="002D1DA9" w:rsidP="00FD2C57">
      <w:pPr>
        <w:widowControl/>
        <w:autoSpaceDE w:val="0"/>
        <w:autoSpaceDN w:val="0"/>
        <w:spacing w:before="480" w:after="120"/>
        <w:outlineLvl w:val="4"/>
        <w:rPr>
          <w:sz w:val="22"/>
          <w:szCs w:val="22"/>
        </w:rPr>
      </w:pPr>
      <w:r w:rsidRPr="00DD76C8">
        <w:rPr>
          <w:sz w:val="22"/>
        </w:rPr>
        <w:t>Stavka 5 1 1 1 — Povrat dodatnih troškova vezanih uz najam — namjenski prihodi</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p.m.</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p.m.</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129 706,00</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widowControl/>
        <w:jc w:val="both"/>
        <w:rPr>
          <w:rFonts w:cs="Arial"/>
          <w:bCs/>
          <w:kern w:val="32"/>
          <w:szCs w:val="24"/>
        </w:rPr>
      </w:pPr>
      <w:r w:rsidRPr="00DD76C8">
        <w:t>Ovi prihodi su namjenski u skladu s člankom 21. stavkom 3. Financijske uredbe, a na proračunskim stavkama na čiji je teret knjižen prvobitni izdatak koji je prouzročio prihode koriste se kao dodatna sredstva.</w:t>
      </w:r>
    </w:p>
    <w:p w:rsidR="002D1DA9" w:rsidRPr="00DD76C8" w:rsidRDefault="002D1DA9" w:rsidP="00FD2C57">
      <w:pPr>
        <w:widowControl/>
        <w:autoSpaceDE w:val="0"/>
        <w:autoSpaceDN w:val="0"/>
        <w:spacing w:before="480" w:after="120"/>
        <w:outlineLvl w:val="2"/>
        <w:rPr>
          <w:b/>
          <w:bCs/>
          <w:smallCaps/>
          <w:sz w:val="28"/>
          <w:szCs w:val="28"/>
        </w:rPr>
      </w:pPr>
      <w:r w:rsidRPr="00DD76C8">
        <w:rPr>
          <w:b/>
          <w:smallCaps/>
          <w:sz w:val="28"/>
        </w:rPr>
        <w:t>Poglavlje 5 2 — Primitci od ulaganja ili odobrenih zajmova, bankovnih i drugih kamata</w:t>
      </w:r>
    </w:p>
    <w:p w:rsidR="002D1DA9" w:rsidRPr="00DD76C8" w:rsidRDefault="002D1DA9" w:rsidP="00FD2C57">
      <w:pPr>
        <w:widowControl/>
        <w:autoSpaceDE w:val="0"/>
        <w:autoSpaceDN w:val="0"/>
        <w:spacing w:before="480" w:after="120"/>
        <w:outlineLvl w:val="3"/>
        <w:rPr>
          <w:b/>
          <w:bCs/>
          <w:i/>
          <w:iCs/>
          <w:szCs w:val="24"/>
        </w:rPr>
      </w:pPr>
      <w:r w:rsidRPr="00DD76C8">
        <w:rPr>
          <w:b/>
          <w:i/>
        </w:rPr>
        <w:t>Članak 5 2 0 — Primitci od ulaganja ili odobrenih zajmova, bankovnih i drugih kamata na računima institucije</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50 000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200 000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23 473,00</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widowControl/>
        <w:jc w:val="both"/>
        <w:rPr>
          <w:rFonts w:cs="Arial"/>
          <w:bCs/>
          <w:kern w:val="32"/>
          <w:szCs w:val="24"/>
        </w:rPr>
      </w:pPr>
      <w:r w:rsidRPr="00DD76C8">
        <w:t>U ovom se članku knjiže primitci od ulaganja ili odobrenih zajmova, bankovnih i drugih kamata na računima institucije.</w:t>
      </w:r>
    </w:p>
    <w:p w:rsidR="002D1DA9" w:rsidRPr="00DD76C8" w:rsidRDefault="002D1DA9" w:rsidP="00FD2C57">
      <w:pPr>
        <w:widowControl/>
        <w:autoSpaceDE w:val="0"/>
        <w:autoSpaceDN w:val="0"/>
        <w:spacing w:before="480" w:after="120"/>
        <w:outlineLvl w:val="2"/>
        <w:rPr>
          <w:b/>
          <w:bCs/>
          <w:smallCaps/>
          <w:sz w:val="28"/>
          <w:szCs w:val="28"/>
        </w:rPr>
      </w:pPr>
      <w:r w:rsidRPr="00DD76C8">
        <w:rPr>
          <w:b/>
          <w:smallCaps/>
          <w:sz w:val="28"/>
        </w:rPr>
        <w:t>Poglavlje 5 5 — Primitci od pruženih usluga i ostalih radova</w:t>
      </w:r>
    </w:p>
    <w:p w:rsidR="002D1DA9" w:rsidRPr="00DD76C8" w:rsidRDefault="002D1DA9" w:rsidP="00FD2C57">
      <w:pPr>
        <w:widowControl/>
        <w:autoSpaceDE w:val="0"/>
        <w:autoSpaceDN w:val="0"/>
        <w:spacing w:before="480" w:after="120"/>
        <w:outlineLvl w:val="3"/>
        <w:rPr>
          <w:b/>
          <w:bCs/>
          <w:i/>
          <w:iCs/>
          <w:szCs w:val="24"/>
        </w:rPr>
      </w:pPr>
      <w:r w:rsidRPr="00DD76C8">
        <w:rPr>
          <w:b/>
          <w:i/>
        </w:rPr>
        <w:t>Članak 5 5 0 — Primitci od pružanja usluga i obavljanja rada za druge institucije ili tijela, uključujući naknadu troškova putovanja plaćenih u ime drugih institucija ili tijela — namjenski prihodi</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p.m.</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p.m.</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4 958 708,00</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widowControl/>
        <w:jc w:val="both"/>
        <w:rPr>
          <w:rFonts w:cs="Arial"/>
          <w:bCs/>
          <w:kern w:val="32"/>
          <w:szCs w:val="24"/>
        </w:rPr>
      </w:pPr>
      <w:r w:rsidRPr="00DD76C8">
        <w:t>Ovi prihodi su namjenski u skladu s člankom 21. stavkom 3. Financijske uredbe, a na proračunskim stavkama na čiji je teret knjižen prvobitni izdatak koji je prouzročio prihode koriste se kao dodatna sredstva.</w:t>
      </w:r>
    </w:p>
    <w:p w:rsidR="002D1DA9" w:rsidRPr="00DD76C8" w:rsidRDefault="002D1DA9" w:rsidP="00FD2C57">
      <w:pPr>
        <w:widowControl/>
        <w:autoSpaceDE w:val="0"/>
        <w:autoSpaceDN w:val="0"/>
        <w:spacing w:before="480" w:after="120"/>
        <w:outlineLvl w:val="3"/>
        <w:rPr>
          <w:b/>
          <w:bCs/>
          <w:i/>
          <w:iCs/>
          <w:szCs w:val="24"/>
        </w:rPr>
      </w:pPr>
      <w:r w:rsidRPr="00DD76C8">
        <w:rPr>
          <w:b/>
          <w:i/>
        </w:rPr>
        <w:t>Članak 5 5 1 — Primitci od trećih osoba za usluge pružene ili rad obavljen na njihov zahtjev — namjenski prihodi</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p.m.</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p.m.</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583 648,00</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widowControl/>
        <w:jc w:val="both"/>
        <w:rPr>
          <w:rFonts w:cs="Arial"/>
          <w:bCs/>
          <w:kern w:val="32"/>
          <w:szCs w:val="24"/>
        </w:rPr>
      </w:pPr>
      <w:r w:rsidRPr="00DD76C8">
        <w:t>Ovi prihodi su namjenski u skladu s člankom 21. stavkom 3. Financijske uredbe, a na proračunskim stavkama na čiji je teret knjižen prvobitni izdatak koji je prouzročio prihode koriste se kao dodatna sredstva.</w:t>
      </w:r>
    </w:p>
    <w:p w:rsidR="002D1DA9" w:rsidRPr="00DD76C8" w:rsidRDefault="002D1DA9" w:rsidP="00FD2C57">
      <w:pPr>
        <w:widowControl/>
        <w:autoSpaceDE w:val="0"/>
        <w:autoSpaceDN w:val="0"/>
        <w:spacing w:before="480" w:after="120"/>
        <w:outlineLvl w:val="2"/>
        <w:rPr>
          <w:b/>
          <w:bCs/>
          <w:smallCaps/>
          <w:sz w:val="28"/>
          <w:szCs w:val="28"/>
        </w:rPr>
      </w:pPr>
      <w:r w:rsidRPr="00DD76C8">
        <w:rPr>
          <w:b/>
          <w:smallCaps/>
          <w:sz w:val="28"/>
        </w:rPr>
        <w:t>Poglavlje 5 7 — Ostali doprinosi i povrati u vezi s upravnim poslovanjem institucije</w:t>
      </w:r>
    </w:p>
    <w:p w:rsidR="002D1DA9" w:rsidRPr="00DD76C8" w:rsidRDefault="002D1DA9" w:rsidP="00FD2C57">
      <w:pPr>
        <w:widowControl/>
        <w:autoSpaceDE w:val="0"/>
        <w:autoSpaceDN w:val="0"/>
        <w:spacing w:before="480" w:after="120"/>
        <w:outlineLvl w:val="3"/>
        <w:rPr>
          <w:b/>
          <w:bCs/>
          <w:i/>
          <w:iCs/>
          <w:szCs w:val="24"/>
        </w:rPr>
      </w:pPr>
      <w:r w:rsidRPr="00DD76C8">
        <w:rPr>
          <w:b/>
          <w:i/>
        </w:rPr>
        <w:t>Članak 5 7 0 — Primitci od povrata pogrešno isplaćenih iznosa — namjenski prihodi</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p.m.</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p.m.</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3 874 703,00</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widowControl/>
        <w:jc w:val="both"/>
        <w:rPr>
          <w:rFonts w:cs="Arial"/>
          <w:bCs/>
          <w:kern w:val="32"/>
          <w:szCs w:val="24"/>
        </w:rPr>
      </w:pPr>
      <w:r w:rsidRPr="00DD76C8">
        <w:t>Ovi prihodi su namjenski u skladu s člankom 21. stavkom 3. Financijske uredbe, a na proračunskim stavkama na čiji je teret knjižen prvobitni izdatak koji je prouzročio prihode koriste se kao dodatna sredstva.</w:t>
      </w:r>
    </w:p>
    <w:p w:rsidR="002D1DA9" w:rsidRPr="00DD76C8" w:rsidRDefault="002D1DA9" w:rsidP="00FD2C57">
      <w:pPr>
        <w:widowControl/>
        <w:autoSpaceDE w:val="0"/>
        <w:autoSpaceDN w:val="0"/>
        <w:spacing w:before="480" w:after="120"/>
        <w:outlineLvl w:val="3"/>
        <w:rPr>
          <w:b/>
          <w:bCs/>
          <w:i/>
          <w:iCs/>
          <w:szCs w:val="24"/>
        </w:rPr>
      </w:pPr>
      <w:r w:rsidRPr="00DD76C8">
        <w:rPr>
          <w:b/>
          <w:i/>
        </w:rPr>
        <w:t>Članak 5 7 1 — Namjenski prihodi, primjerice od zaklada, donacija, darova i ostavina, uključujući vlastite prihode dodijeljene svakoj instituciji — namjenski prihodi</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p.m.</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p.m.</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0,—</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widowControl/>
        <w:jc w:val="both"/>
        <w:rPr>
          <w:rFonts w:cs="Arial"/>
          <w:bCs/>
          <w:kern w:val="32"/>
          <w:szCs w:val="24"/>
        </w:rPr>
      </w:pPr>
      <w:r w:rsidRPr="00DD76C8">
        <w:t>Ovi prihodi su namjenski u skladu s člankom 21. stavkom 2. točkom (d) Financijske uredbe, a na proračunskim stavkama na čiji je teret knjižen prvobitni izdatak koji je prouzročio prihode koriste se kao dodatna sredstva.</w:t>
      </w:r>
    </w:p>
    <w:p w:rsidR="002D1DA9" w:rsidRPr="00DD76C8" w:rsidRDefault="002D1DA9" w:rsidP="00FD2C57">
      <w:pPr>
        <w:widowControl/>
        <w:autoSpaceDE w:val="0"/>
        <w:autoSpaceDN w:val="0"/>
        <w:spacing w:before="480" w:after="120"/>
        <w:outlineLvl w:val="3"/>
        <w:rPr>
          <w:b/>
          <w:bCs/>
          <w:i/>
          <w:iCs/>
          <w:szCs w:val="24"/>
        </w:rPr>
      </w:pPr>
      <w:r w:rsidRPr="00DD76C8">
        <w:rPr>
          <w:b/>
          <w:i/>
        </w:rPr>
        <w:t>Članak 5 7 2 — Povrat socijalnih davanja uplaćenih u ime druge institucije</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p.m.</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p.m.</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0,—</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widowControl/>
        <w:jc w:val="both"/>
        <w:rPr>
          <w:rFonts w:cs="Arial"/>
          <w:bCs/>
          <w:kern w:val="32"/>
          <w:szCs w:val="24"/>
        </w:rPr>
      </w:pPr>
      <w:r w:rsidRPr="00DD76C8">
        <w:t>U ovom članku knjiže se prihodi od povrata socijalnih davanja uplaćenih u ime druge institucije.</w:t>
      </w:r>
    </w:p>
    <w:p w:rsidR="002D1DA9" w:rsidRPr="00DD76C8" w:rsidRDefault="002D1DA9" w:rsidP="00FD2C57">
      <w:pPr>
        <w:widowControl/>
        <w:autoSpaceDE w:val="0"/>
        <w:autoSpaceDN w:val="0"/>
        <w:spacing w:before="480" w:after="120"/>
        <w:outlineLvl w:val="3"/>
        <w:rPr>
          <w:b/>
          <w:bCs/>
          <w:i/>
          <w:iCs/>
          <w:szCs w:val="24"/>
        </w:rPr>
      </w:pPr>
      <w:r w:rsidRPr="00DD76C8">
        <w:rPr>
          <w:b/>
          <w:i/>
        </w:rPr>
        <w:t>Članak 5 7 3 — Ostali doprinosi i povrati u vezi s upravnim poslovanjem institucije — namjenski prihodi</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p.m.</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p.m.</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3 298 878,00</w:t>
            </w:r>
          </w:p>
        </w:tc>
      </w:tr>
    </w:tbl>
    <w:p w:rsidR="002D1DA9" w:rsidRPr="00DD76C8" w:rsidRDefault="002D1DA9" w:rsidP="00FD2C57">
      <w:pPr>
        <w:widowControl/>
        <w:autoSpaceDE w:val="0"/>
        <w:autoSpaceDN w:val="0"/>
        <w:spacing w:before="480" w:after="120"/>
        <w:outlineLvl w:val="2"/>
        <w:rPr>
          <w:b/>
          <w:bCs/>
          <w:smallCaps/>
          <w:sz w:val="28"/>
          <w:szCs w:val="28"/>
        </w:rPr>
      </w:pPr>
      <w:r w:rsidRPr="00DD76C8">
        <w:rPr>
          <w:b/>
          <w:smallCaps/>
          <w:sz w:val="28"/>
        </w:rPr>
        <w:t>Poglavlje 5 8 — Razne naknade</w:t>
      </w:r>
    </w:p>
    <w:p w:rsidR="002D1DA9" w:rsidRPr="00DD76C8" w:rsidRDefault="002D1DA9" w:rsidP="00FD2C57">
      <w:pPr>
        <w:widowControl/>
        <w:autoSpaceDE w:val="0"/>
        <w:autoSpaceDN w:val="0"/>
        <w:spacing w:before="480" w:after="120"/>
        <w:outlineLvl w:val="3"/>
        <w:rPr>
          <w:b/>
          <w:bCs/>
          <w:i/>
          <w:iCs/>
          <w:szCs w:val="24"/>
        </w:rPr>
      </w:pPr>
      <w:r w:rsidRPr="00DD76C8">
        <w:rPr>
          <w:b/>
          <w:i/>
        </w:rPr>
        <w:t>Članak 5 8 1 — Prihodi od isplate osigurnina — namjenski prihodi</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p.m.</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p.m.</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217 498,00</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widowControl/>
        <w:jc w:val="both"/>
        <w:rPr>
          <w:rFonts w:cs="Arial"/>
          <w:bCs/>
          <w:kern w:val="32"/>
          <w:szCs w:val="24"/>
        </w:rPr>
      </w:pPr>
      <w:r w:rsidRPr="00DD76C8">
        <w:t>Ovi prihodi su namjenski u skladu s člankom 21. stavkom 3. Financijske uredbe, a na proračunskim stavkama na čiji je teret knjižen prvobitni izdatak koji je prouzročio prihode koriste se kao dodatna sredstva.</w:t>
      </w:r>
    </w:p>
    <w:p w:rsidR="002D1DA9" w:rsidRPr="00DD76C8" w:rsidRDefault="002D1DA9" w:rsidP="00FD2C57">
      <w:pPr>
        <w:widowControl/>
        <w:jc w:val="both"/>
        <w:rPr>
          <w:rFonts w:cs="Arial"/>
          <w:bCs/>
          <w:kern w:val="32"/>
          <w:szCs w:val="24"/>
        </w:rPr>
      </w:pPr>
      <w:r w:rsidRPr="00DD76C8">
        <w:t>Ovaj članak obuhvaća i povrat primanja dužnosnika od osiguranja u slučaju nezgode.</w:t>
      </w:r>
    </w:p>
    <w:p w:rsidR="002D1DA9" w:rsidRPr="00DD76C8" w:rsidRDefault="002D1DA9" w:rsidP="00FD2C57">
      <w:pPr>
        <w:keepNext/>
        <w:widowControl/>
        <w:spacing w:before="480" w:after="120"/>
        <w:outlineLvl w:val="1"/>
        <w:rPr>
          <w:b/>
          <w:bCs/>
          <w:smallCaps/>
          <w:sz w:val="32"/>
          <w:szCs w:val="32"/>
        </w:rPr>
      </w:pPr>
      <w:r w:rsidRPr="00DD76C8">
        <w:rPr>
          <w:b/>
          <w:smallCaps/>
          <w:sz w:val="32"/>
        </w:rPr>
        <w:t>Glava 6. — Doprinosi i povrati vezani uz sporazume i programe unije</w:t>
      </w:r>
    </w:p>
    <w:p w:rsidR="002D1DA9" w:rsidRPr="00DD76C8" w:rsidRDefault="002D1DA9" w:rsidP="00FD2C57">
      <w:pPr>
        <w:widowControl/>
        <w:autoSpaceDE w:val="0"/>
        <w:autoSpaceDN w:val="0"/>
        <w:spacing w:before="480" w:after="120"/>
        <w:outlineLvl w:val="2"/>
        <w:rPr>
          <w:b/>
          <w:bCs/>
          <w:smallCaps/>
          <w:sz w:val="28"/>
          <w:szCs w:val="28"/>
        </w:rPr>
      </w:pPr>
      <w:r w:rsidRPr="00DD76C8">
        <w:rPr>
          <w:b/>
          <w:smallCaps/>
          <w:sz w:val="28"/>
        </w:rPr>
        <w:t xml:space="preserve">Poglavlje 6 6 — Ostali doprinosi i povrati </w:t>
      </w:r>
    </w:p>
    <w:p w:rsidR="002D1DA9" w:rsidRPr="00DD76C8" w:rsidRDefault="002D1DA9" w:rsidP="00FD2C57">
      <w:pPr>
        <w:widowControl/>
        <w:autoSpaceDE w:val="0"/>
        <w:autoSpaceDN w:val="0"/>
        <w:spacing w:before="480" w:after="120"/>
        <w:outlineLvl w:val="3"/>
        <w:rPr>
          <w:b/>
          <w:bCs/>
          <w:i/>
          <w:iCs/>
          <w:szCs w:val="24"/>
        </w:rPr>
      </w:pPr>
      <w:r w:rsidRPr="00DD76C8">
        <w:rPr>
          <w:b/>
          <w:i/>
        </w:rPr>
        <w:t>Članak 6 6 0 — Ostali doprinosi i povrati</w:t>
      </w:r>
    </w:p>
    <w:p w:rsidR="002D1DA9" w:rsidRPr="00DD76C8" w:rsidRDefault="002D1DA9" w:rsidP="00FD2C57">
      <w:pPr>
        <w:widowControl/>
        <w:autoSpaceDE w:val="0"/>
        <w:autoSpaceDN w:val="0"/>
        <w:spacing w:before="480" w:after="120"/>
        <w:outlineLvl w:val="4"/>
        <w:rPr>
          <w:sz w:val="22"/>
          <w:szCs w:val="22"/>
        </w:rPr>
      </w:pPr>
      <w:r w:rsidRPr="00DD76C8">
        <w:rPr>
          <w:sz w:val="22"/>
        </w:rPr>
        <w:t>Stavka 6 6 0 0 — Ostali namjenski doprinosi i povrati — namjenski prihodi</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p.m.</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p.m.</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14 477 581,00</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widowControl/>
        <w:jc w:val="both"/>
        <w:rPr>
          <w:rFonts w:cs="Arial"/>
          <w:bCs/>
          <w:kern w:val="32"/>
          <w:szCs w:val="24"/>
        </w:rPr>
      </w:pPr>
      <w:r w:rsidRPr="00DD76C8">
        <w:t>Ova je stavka, u skladu s člankom 21. Financijske uredbe, namijenjena unosu svih prihoda koji nisu predviđeni u drugim dijelovima glave 6 i koji se koriste kao izvor dodatnih odobrenih sredstava za financiranje rashoda za koje su ti prihodi namijenjeni.</w:t>
      </w:r>
    </w:p>
    <w:p w:rsidR="002D1DA9" w:rsidRPr="00DD76C8" w:rsidRDefault="002D1DA9" w:rsidP="00FD2C57">
      <w:pPr>
        <w:widowControl/>
        <w:autoSpaceDE w:val="0"/>
        <w:autoSpaceDN w:val="0"/>
        <w:spacing w:before="480" w:after="120"/>
        <w:outlineLvl w:val="4"/>
        <w:rPr>
          <w:sz w:val="22"/>
          <w:szCs w:val="22"/>
        </w:rPr>
      </w:pPr>
      <w:r w:rsidRPr="00DD76C8">
        <w:rPr>
          <w:sz w:val="22"/>
        </w:rPr>
        <w:t xml:space="preserve">Stavka 6 6 0 1 — Ostali nenamjenski doprinosi i povrati </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p.m.</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p.m.</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0,—</w:t>
            </w:r>
          </w:p>
        </w:tc>
      </w:tr>
    </w:tbl>
    <w:p w:rsidR="002D1DA9" w:rsidRPr="00DD76C8" w:rsidRDefault="002D1DA9" w:rsidP="00FD2C57">
      <w:pPr>
        <w:keepNext/>
        <w:widowControl/>
        <w:spacing w:before="480" w:after="120"/>
        <w:outlineLvl w:val="1"/>
        <w:rPr>
          <w:b/>
          <w:bCs/>
          <w:smallCaps/>
          <w:sz w:val="32"/>
          <w:szCs w:val="32"/>
        </w:rPr>
      </w:pPr>
      <w:r w:rsidRPr="00DD76C8">
        <w:rPr>
          <w:b/>
          <w:smallCaps/>
          <w:sz w:val="32"/>
        </w:rPr>
        <w:t>Glava 9. — razni prihodi</w:t>
      </w:r>
    </w:p>
    <w:p w:rsidR="002D1DA9" w:rsidRPr="00DD76C8" w:rsidRDefault="002D1DA9" w:rsidP="00FD2C57">
      <w:pPr>
        <w:widowControl/>
        <w:autoSpaceDE w:val="0"/>
        <w:autoSpaceDN w:val="0"/>
        <w:spacing w:before="480" w:after="120"/>
        <w:outlineLvl w:val="2"/>
        <w:rPr>
          <w:b/>
          <w:bCs/>
          <w:smallCaps/>
          <w:sz w:val="28"/>
          <w:szCs w:val="28"/>
        </w:rPr>
      </w:pPr>
      <w:r w:rsidRPr="00DD76C8">
        <w:rPr>
          <w:b/>
          <w:smallCaps/>
          <w:sz w:val="28"/>
        </w:rPr>
        <w:t>Poglavlje 9 0 — razni prihodi</w:t>
      </w:r>
    </w:p>
    <w:p w:rsidR="002D1DA9" w:rsidRPr="00DD76C8" w:rsidRDefault="002D1DA9" w:rsidP="00FD2C57">
      <w:pPr>
        <w:widowControl/>
        <w:autoSpaceDE w:val="0"/>
        <w:autoSpaceDN w:val="0"/>
        <w:spacing w:before="480" w:after="120"/>
        <w:outlineLvl w:val="3"/>
        <w:rPr>
          <w:b/>
          <w:bCs/>
          <w:i/>
          <w:iCs/>
          <w:szCs w:val="24"/>
        </w:rPr>
      </w:pPr>
      <w:r w:rsidRPr="00DD76C8">
        <w:rPr>
          <w:b/>
          <w:i/>
        </w:rPr>
        <w:t>Članak 9 0 0 — Razni prihodi</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1 000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1 000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2 061 711,00</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widowControl/>
        <w:jc w:val="both"/>
        <w:rPr>
          <w:rFonts w:cs="Arial"/>
          <w:bCs/>
          <w:kern w:val="32"/>
          <w:szCs w:val="24"/>
        </w:rPr>
      </w:pPr>
      <w:r w:rsidRPr="00DD76C8">
        <w:t>U ovom članku knjiže se ostali prihodi.</w:t>
      </w:r>
    </w:p>
    <w:p w:rsidR="002D1DA9" w:rsidRPr="00DD76C8" w:rsidRDefault="002D1DA9" w:rsidP="00FD2C57">
      <w:pPr>
        <w:widowControl/>
        <w:jc w:val="both"/>
        <w:rPr>
          <w:rFonts w:cs="Arial"/>
          <w:bCs/>
          <w:kern w:val="32"/>
          <w:szCs w:val="24"/>
        </w:rPr>
      </w:pPr>
      <w:r w:rsidRPr="00DD76C8">
        <w:t>Pojedinosti o prihodima i rashodima koji nastaju pozajmicama ili najamninama ili pružanjem usluga u okviru ovog članka navedene su u prilogu ove projekcije proračuna.</w:t>
      </w:r>
    </w:p>
    <w:p w:rsidR="002D1DA9" w:rsidRPr="00DD76C8" w:rsidRDefault="002D1DA9" w:rsidP="00FD2C57">
      <w:pPr>
        <w:widowControl/>
        <w:rPr>
          <w:b/>
          <w:bCs/>
          <w:smallCaps/>
          <w:sz w:val="36"/>
          <w:szCs w:val="36"/>
        </w:rPr>
      </w:pPr>
      <w:r w:rsidRPr="00DD76C8">
        <w:br w:type="page"/>
      </w:r>
    </w:p>
    <w:p w:rsidR="002D1DA9" w:rsidRPr="00DD76C8" w:rsidRDefault="002D1DA9" w:rsidP="00FD2C57">
      <w:pPr>
        <w:widowControl/>
        <w:autoSpaceDE w:val="0"/>
        <w:autoSpaceDN w:val="0"/>
        <w:spacing w:before="480" w:after="120"/>
        <w:outlineLvl w:val="0"/>
        <w:rPr>
          <w:b/>
          <w:bCs/>
          <w:smallCaps/>
          <w:sz w:val="36"/>
          <w:szCs w:val="36"/>
        </w:rPr>
      </w:pPr>
      <w:r w:rsidRPr="00DD76C8">
        <w:rPr>
          <w:b/>
          <w:smallCaps/>
          <w:sz w:val="36"/>
        </w:rPr>
        <w:t>Rashodi — Rashodi</w:t>
      </w:r>
    </w:p>
    <w:p w:rsidR="002D1DA9" w:rsidRPr="00DD76C8" w:rsidRDefault="002D1DA9" w:rsidP="00FD2C57">
      <w:pPr>
        <w:keepNext/>
        <w:widowControl/>
        <w:spacing w:before="480" w:after="120"/>
        <w:outlineLvl w:val="1"/>
        <w:rPr>
          <w:b/>
          <w:bCs/>
          <w:smallCaps/>
          <w:sz w:val="32"/>
          <w:szCs w:val="32"/>
        </w:rPr>
      </w:pPr>
      <w:r w:rsidRPr="00DD76C8">
        <w:rPr>
          <w:b/>
          <w:smallCaps/>
          <w:sz w:val="32"/>
        </w:rPr>
        <w:t>Glava 1. — Osobe koje rade za instituciju</w:t>
      </w:r>
    </w:p>
    <w:p w:rsidR="002D1DA9" w:rsidRPr="00DD76C8" w:rsidRDefault="002D1DA9" w:rsidP="00FD2C57">
      <w:pPr>
        <w:widowControl/>
        <w:autoSpaceDE w:val="0"/>
        <w:autoSpaceDN w:val="0"/>
        <w:spacing w:before="480" w:after="120"/>
        <w:outlineLvl w:val="2"/>
        <w:rPr>
          <w:b/>
          <w:bCs/>
          <w:smallCaps/>
          <w:sz w:val="28"/>
          <w:szCs w:val="28"/>
        </w:rPr>
      </w:pPr>
      <w:r w:rsidRPr="00DD76C8">
        <w:rPr>
          <w:b/>
          <w:smallCaps/>
          <w:sz w:val="28"/>
        </w:rPr>
        <w:t>Poglavlje 1 0 — Članovi institucije</w:t>
      </w:r>
    </w:p>
    <w:p w:rsidR="002D1DA9" w:rsidRPr="00DD76C8" w:rsidRDefault="002D1DA9" w:rsidP="00FD2C57">
      <w:pPr>
        <w:widowControl/>
        <w:autoSpaceDE w:val="0"/>
        <w:autoSpaceDN w:val="0"/>
        <w:spacing w:before="480" w:after="120"/>
        <w:outlineLvl w:val="3"/>
        <w:rPr>
          <w:b/>
          <w:bCs/>
          <w:i/>
          <w:iCs/>
          <w:szCs w:val="24"/>
        </w:rPr>
      </w:pPr>
      <w:r w:rsidRPr="00DD76C8">
        <w:rPr>
          <w:b/>
          <w:i/>
        </w:rPr>
        <w:t>Članak 1 0 0 — Plaće i naknade</w:t>
      </w:r>
    </w:p>
    <w:p w:rsidR="002D1DA9" w:rsidRPr="00DD76C8" w:rsidRDefault="002D1DA9" w:rsidP="00FD2C57">
      <w:pPr>
        <w:widowControl/>
        <w:autoSpaceDE w:val="0"/>
        <w:autoSpaceDN w:val="0"/>
        <w:spacing w:before="480" w:after="120"/>
        <w:outlineLvl w:val="4"/>
        <w:rPr>
          <w:sz w:val="22"/>
          <w:szCs w:val="22"/>
        </w:rPr>
      </w:pPr>
      <w:r w:rsidRPr="00DD76C8">
        <w:rPr>
          <w:sz w:val="22"/>
        </w:rPr>
        <w:t>Stavka 1 0 0 0 ‒ Plaće</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Odobrena sredstva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77 350 000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75 846 000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73 871 418,64</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widowControl/>
        <w:jc w:val="both"/>
        <w:rPr>
          <w:rFonts w:cs="Arial"/>
          <w:bCs/>
          <w:kern w:val="32"/>
          <w:szCs w:val="24"/>
        </w:rPr>
      </w:pPr>
      <w:r w:rsidRPr="00DD76C8">
        <w:t>Ova sredstva namijenjena su financiranju plaća predviđenih Statutom zastupnika.</w:t>
      </w:r>
    </w:p>
    <w:p w:rsidR="002D1DA9" w:rsidRPr="00DD76C8" w:rsidRDefault="002D1DA9" w:rsidP="00FD2C57">
      <w:pPr>
        <w:widowControl/>
        <w:jc w:val="both"/>
        <w:rPr>
          <w:rFonts w:cs="Arial"/>
          <w:bCs/>
          <w:kern w:val="32"/>
          <w:szCs w:val="24"/>
        </w:rPr>
      </w:pPr>
      <w:r w:rsidRPr="00DD76C8">
        <w:t>Namjenski prihodi u skladu s člankom 21. stavkom 3. Financijske uredbe procjenjuju se na 5 000 EUR.</w:t>
      </w:r>
    </w:p>
    <w:p w:rsidR="002D1DA9" w:rsidRPr="00DD76C8" w:rsidRDefault="002D1DA9" w:rsidP="00FD2C57">
      <w:pPr>
        <w:widowControl/>
        <w:autoSpaceDE w:val="0"/>
        <w:autoSpaceDN w:val="0"/>
        <w:spacing w:before="120" w:after="120"/>
        <w:rPr>
          <w:i/>
          <w:iCs/>
          <w:sz w:val="20"/>
        </w:rPr>
      </w:pPr>
      <w:r w:rsidRPr="00DD76C8">
        <w:rPr>
          <w:i/>
          <w:sz w:val="20"/>
        </w:rPr>
        <w:t>Pravna osnova</w:t>
      </w:r>
    </w:p>
    <w:p w:rsidR="002D1DA9" w:rsidRPr="00DD76C8" w:rsidRDefault="002D1DA9" w:rsidP="00FD2C57">
      <w:pPr>
        <w:widowControl/>
        <w:jc w:val="both"/>
        <w:rPr>
          <w:rFonts w:cs="Arial"/>
          <w:bCs/>
          <w:kern w:val="32"/>
          <w:szCs w:val="24"/>
        </w:rPr>
      </w:pPr>
      <w:r w:rsidRPr="00DD76C8">
        <w:t>Statut zastupnika u Europskom parlamentu, a posebno njegovi članci 9. i 10.</w:t>
      </w:r>
    </w:p>
    <w:p w:rsidR="002D1DA9" w:rsidRPr="00DD76C8" w:rsidRDefault="002D1DA9" w:rsidP="00FD2C57">
      <w:pPr>
        <w:widowControl/>
        <w:jc w:val="both"/>
        <w:rPr>
          <w:rFonts w:cs="Arial"/>
          <w:bCs/>
          <w:kern w:val="32"/>
          <w:szCs w:val="24"/>
        </w:rPr>
      </w:pPr>
      <w:r w:rsidRPr="00DD76C8">
        <w:t>Provedbene mjere za Statut zastupnika u Europskom parlamentu, a posebno njihovi članci 1. i 2.</w:t>
      </w:r>
    </w:p>
    <w:p w:rsidR="002D1DA9" w:rsidRPr="00DD76C8" w:rsidRDefault="002D1DA9" w:rsidP="00FD2C57">
      <w:pPr>
        <w:widowControl/>
        <w:autoSpaceDE w:val="0"/>
        <w:autoSpaceDN w:val="0"/>
        <w:spacing w:before="480" w:after="120"/>
        <w:outlineLvl w:val="4"/>
        <w:rPr>
          <w:sz w:val="22"/>
          <w:szCs w:val="22"/>
        </w:rPr>
      </w:pPr>
      <w:r w:rsidRPr="00DD76C8">
        <w:rPr>
          <w:sz w:val="22"/>
        </w:rPr>
        <w:t>Stavka 1 0 0 4 — Redovni putni troškovi</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Odobrena sredstva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68 500 000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69 200 000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66 290 000,00</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widowControl/>
        <w:jc w:val="both"/>
        <w:rPr>
          <w:rFonts w:cs="Arial"/>
          <w:bCs/>
          <w:kern w:val="32"/>
          <w:szCs w:val="24"/>
        </w:rPr>
      </w:pPr>
      <w:r w:rsidRPr="00DD76C8">
        <w:t>Ova sredstva namijenjena su za povrat putnih troškova i troškova boravka vezanih uz putovanja u i iz mjesta rada te druga službena putovanja.</w:t>
      </w:r>
    </w:p>
    <w:p w:rsidR="002D1DA9" w:rsidRPr="00DD76C8" w:rsidRDefault="002D1DA9" w:rsidP="00FD2C57">
      <w:pPr>
        <w:widowControl/>
        <w:jc w:val="both"/>
        <w:rPr>
          <w:rFonts w:cs="Arial"/>
          <w:bCs/>
          <w:kern w:val="32"/>
          <w:szCs w:val="24"/>
        </w:rPr>
      </w:pPr>
      <w:r w:rsidRPr="00DD76C8">
        <w:t>Iznos namjenskih prihoda u skladu s člankom 21. stavkom 3. Financijske uredbe procjenjuje se na 25 000 EUR.</w:t>
      </w:r>
    </w:p>
    <w:p w:rsidR="002D1DA9" w:rsidRPr="00DD76C8" w:rsidRDefault="002D1DA9" w:rsidP="00FD2C57">
      <w:pPr>
        <w:widowControl/>
        <w:autoSpaceDE w:val="0"/>
        <w:autoSpaceDN w:val="0"/>
        <w:spacing w:before="120" w:after="120"/>
        <w:rPr>
          <w:i/>
          <w:iCs/>
          <w:sz w:val="20"/>
        </w:rPr>
      </w:pPr>
      <w:r w:rsidRPr="00DD76C8">
        <w:rPr>
          <w:i/>
          <w:sz w:val="20"/>
        </w:rPr>
        <w:t>Pravna osnova</w:t>
      </w:r>
    </w:p>
    <w:p w:rsidR="002D1DA9" w:rsidRPr="00DD76C8" w:rsidRDefault="002D1DA9" w:rsidP="00FD2C57">
      <w:pPr>
        <w:widowControl/>
        <w:jc w:val="both"/>
        <w:rPr>
          <w:rFonts w:cs="Arial"/>
          <w:bCs/>
          <w:kern w:val="32"/>
          <w:szCs w:val="24"/>
        </w:rPr>
      </w:pPr>
      <w:r w:rsidRPr="00DD76C8">
        <w:t>Statut zastupnika u Europskom parlamentu, a posebno njegov članak 20.</w:t>
      </w:r>
    </w:p>
    <w:p w:rsidR="002D1DA9" w:rsidRPr="00DD76C8" w:rsidRDefault="002D1DA9" w:rsidP="00FD2C57">
      <w:pPr>
        <w:widowControl/>
        <w:jc w:val="both"/>
        <w:rPr>
          <w:rFonts w:cs="Arial"/>
          <w:bCs/>
          <w:kern w:val="32"/>
          <w:szCs w:val="24"/>
        </w:rPr>
      </w:pPr>
      <w:r w:rsidRPr="00DD76C8">
        <w:t>Provedbene mjere za Statut zastupnika u Europskom parlamentu, a posebno njihovi članci 10. do 21. i članak 24.</w:t>
      </w:r>
    </w:p>
    <w:p w:rsidR="002D1DA9" w:rsidRPr="00DD76C8" w:rsidRDefault="002D1DA9" w:rsidP="00FD2C57">
      <w:pPr>
        <w:widowControl/>
        <w:autoSpaceDE w:val="0"/>
        <w:autoSpaceDN w:val="0"/>
        <w:spacing w:before="480" w:after="120"/>
        <w:outlineLvl w:val="4"/>
        <w:rPr>
          <w:sz w:val="22"/>
          <w:szCs w:val="22"/>
        </w:rPr>
      </w:pPr>
      <w:r w:rsidRPr="00DD76C8">
        <w:rPr>
          <w:sz w:val="22"/>
        </w:rPr>
        <w:t>Stavka 1 0 0 5 — Ostali putni troškovi</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Odobrena sredstva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6 200 000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6 000 000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6 150 000,00</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widowControl/>
        <w:jc w:val="both"/>
        <w:rPr>
          <w:rFonts w:cs="Arial"/>
          <w:bCs/>
          <w:kern w:val="32"/>
          <w:szCs w:val="24"/>
        </w:rPr>
      </w:pPr>
      <w:r w:rsidRPr="00DD76C8">
        <w:t>Ova sredstva namijenjena su povratu dodatnih putnih troškova ili troškova za putovanja u državi članici u kojoj je zastupnik izabran.</w:t>
      </w:r>
    </w:p>
    <w:p w:rsidR="002D1DA9" w:rsidRPr="00DD76C8" w:rsidRDefault="002D1DA9" w:rsidP="00FD2C57">
      <w:pPr>
        <w:widowControl/>
        <w:jc w:val="both"/>
        <w:rPr>
          <w:rFonts w:cs="Arial"/>
          <w:bCs/>
          <w:kern w:val="32"/>
          <w:szCs w:val="24"/>
        </w:rPr>
      </w:pPr>
      <w:r w:rsidRPr="00DD76C8">
        <w:t>Iznos namjenskih prihoda u skladu s člankom 21. stavkom 3. Financijske uredbe procjenjuje se na 1 000 EUR.</w:t>
      </w:r>
    </w:p>
    <w:p w:rsidR="002D1DA9" w:rsidRPr="00DD76C8" w:rsidRDefault="002D1DA9" w:rsidP="00FD2C57">
      <w:pPr>
        <w:widowControl/>
        <w:autoSpaceDE w:val="0"/>
        <w:autoSpaceDN w:val="0"/>
        <w:spacing w:before="120" w:after="120"/>
        <w:rPr>
          <w:i/>
          <w:iCs/>
          <w:sz w:val="20"/>
        </w:rPr>
      </w:pPr>
      <w:r w:rsidRPr="00DD76C8">
        <w:rPr>
          <w:i/>
          <w:sz w:val="20"/>
        </w:rPr>
        <w:t>Pravna osnova</w:t>
      </w:r>
    </w:p>
    <w:p w:rsidR="002D1DA9" w:rsidRPr="00DD76C8" w:rsidRDefault="002D1DA9" w:rsidP="00FD2C57">
      <w:pPr>
        <w:widowControl/>
        <w:jc w:val="both"/>
        <w:rPr>
          <w:rFonts w:cs="Arial"/>
          <w:bCs/>
          <w:kern w:val="32"/>
          <w:szCs w:val="24"/>
        </w:rPr>
      </w:pPr>
      <w:r w:rsidRPr="00DD76C8">
        <w:t>Statut zastupnika u Europskom parlamentu, a posebno njegov članak 20.</w:t>
      </w:r>
    </w:p>
    <w:p w:rsidR="002D1DA9" w:rsidRPr="00DD76C8" w:rsidRDefault="002D1DA9" w:rsidP="00FD2C57">
      <w:pPr>
        <w:widowControl/>
        <w:jc w:val="both"/>
        <w:rPr>
          <w:rFonts w:cs="Arial"/>
          <w:bCs/>
          <w:kern w:val="32"/>
          <w:szCs w:val="24"/>
        </w:rPr>
      </w:pPr>
      <w:r w:rsidRPr="00DD76C8">
        <w:t>Provedbene mjere za Statut zastupnika u Europskom parlamentu, a posebno njihovi članci 22. i 23.</w:t>
      </w:r>
    </w:p>
    <w:p w:rsidR="002D1DA9" w:rsidRPr="00DD76C8" w:rsidRDefault="002D1DA9" w:rsidP="00FD2C57">
      <w:pPr>
        <w:widowControl/>
        <w:autoSpaceDE w:val="0"/>
        <w:autoSpaceDN w:val="0"/>
        <w:spacing w:before="480" w:after="120"/>
        <w:outlineLvl w:val="4"/>
        <w:rPr>
          <w:sz w:val="22"/>
          <w:szCs w:val="22"/>
        </w:rPr>
      </w:pPr>
      <w:r w:rsidRPr="00DD76C8">
        <w:rPr>
          <w:sz w:val="22"/>
        </w:rPr>
        <w:t>Stavka 1 0 0 6 — Naknada za opće troškove</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Odobrena sredstva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40 213 000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39 886 000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38 937 488,00</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widowControl/>
        <w:jc w:val="both"/>
        <w:rPr>
          <w:rFonts w:cs="Arial"/>
          <w:bCs/>
          <w:kern w:val="32"/>
          <w:szCs w:val="24"/>
        </w:rPr>
      </w:pPr>
      <w:r w:rsidRPr="00DD76C8">
        <w:t>Ova sredstva namijenjena su za pokrivanje troškova parlamentarnih aktivnosti zastupnika, u skladu s Provedbenim mjerama za Statut zastupnika u Europskom parlamentu.</w:t>
      </w:r>
    </w:p>
    <w:p w:rsidR="002D1DA9" w:rsidRPr="00DD76C8" w:rsidRDefault="002D1DA9" w:rsidP="00FD2C57">
      <w:pPr>
        <w:widowControl/>
        <w:jc w:val="both"/>
        <w:rPr>
          <w:rFonts w:cs="Arial"/>
          <w:bCs/>
          <w:kern w:val="32"/>
          <w:szCs w:val="24"/>
        </w:rPr>
      </w:pPr>
      <w:r w:rsidRPr="00DD76C8">
        <w:t>Iznos namjenskih prihoda u skladu s člankom 21. stavkom 3. Financijske uredbe procjenjuje se na 170 000 EUR.</w:t>
      </w:r>
    </w:p>
    <w:p w:rsidR="002D1DA9" w:rsidRPr="00DD76C8" w:rsidRDefault="002D1DA9" w:rsidP="00FD2C57">
      <w:pPr>
        <w:widowControl/>
        <w:autoSpaceDE w:val="0"/>
        <w:autoSpaceDN w:val="0"/>
        <w:spacing w:before="120" w:after="120"/>
        <w:rPr>
          <w:i/>
          <w:iCs/>
          <w:sz w:val="20"/>
        </w:rPr>
      </w:pPr>
      <w:r w:rsidRPr="00DD76C8">
        <w:rPr>
          <w:i/>
          <w:sz w:val="20"/>
        </w:rPr>
        <w:t>Pravna osnova</w:t>
      </w:r>
    </w:p>
    <w:p w:rsidR="002D1DA9" w:rsidRPr="00DD76C8" w:rsidRDefault="002D1DA9" w:rsidP="00FD2C57">
      <w:pPr>
        <w:widowControl/>
        <w:jc w:val="both"/>
        <w:rPr>
          <w:rFonts w:cs="Arial"/>
          <w:bCs/>
          <w:kern w:val="32"/>
          <w:szCs w:val="24"/>
        </w:rPr>
      </w:pPr>
      <w:r w:rsidRPr="00DD76C8">
        <w:t>Statut zastupnika u Europskom parlamentu, a posebno njegov članak 20.</w:t>
      </w:r>
    </w:p>
    <w:p w:rsidR="002D1DA9" w:rsidRPr="00DD76C8" w:rsidRDefault="002D1DA9" w:rsidP="00FD2C57">
      <w:pPr>
        <w:widowControl/>
        <w:jc w:val="both"/>
        <w:rPr>
          <w:rFonts w:cs="Arial"/>
          <w:bCs/>
          <w:kern w:val="32"/>
          <w:szCs w:val="24"/>
        </w:rPr>
      </w:pPr>
      <w:r w:rsidRPr="00DD76C8">
        <w:t>Provedbene mjere za Statut zastupnika u Europskom parlamentu, a posebno njihovi članci 25. do 28.</w:t>
      </w:r>
    </w:p>
    <w:p w:rsidR="002D1DA9" w:rsidRPr="00DD76C8" w:rsidRDefault="002D1DA9" w:rsidP="00FD2C57">
      <w:pPr>
        <w:widowControl/>
        <w:autoSpaceDE w:val="0"/>
        <w:autoSpaceDN w:val="0"/>
        <w:spacing w:before="480" w:after="120"/>
        <w:outlineLvl w:val="4"/>
        <w:rPr>
          <w:sz w:val="22"/>
          <w:szCs w:val="22"/>
        </w:rPr>
      </w:pPr>
      <w:r w:rsidRPr="00DD76C8">
        <w:rPr>
          <w:sz w:val="22"/>
        </w:rPr>
        <w:t>Stavka 1 0 0 7 — Naknada za obnašanje dužnosti</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Odobrena sredstva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185 000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181 500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176 892,22</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widowControl/>
        <w:jc w:val="both"/>
        <w:rPr>
          <w:rFonts w:cs="Arial"/>
          <w:bCs/>
          <w:kern w:val="32"/>
          <w:szCs w:val="24"/>
        </w:rPr>
      </w:pPr>
      <w:r w:rsidRPr="00DD76C8">
        <w:t>Ova sredstva namijenjena su za pokrivanje paušalnih dnevnica i naknada troškova reprezentacije koje su vezane uz dužnosti predsjednika Europskog parlamenta.</w:t>
      </w:r>
    </w:p>
    <w:p w:rsidR="002D1DA9" w:rsidRPr="00DD76C8" w:rsidRDefault="002D1DA9" w:rsidP="00FD2C57">
      <w:pPr>
        <w:widowControl/>
        <w:jc w:val="both"/>
        <w:rPr>
          <w:rFonts w:cs="Arial"/>
          <w:bCs/>
          <w:kern w:val="32"/>
          <w:szCs w:val="24"/>
        </w:rPr>
      </w:pPr>
      <w:r w:rsidRPr="00DD76C8">
        <w:t>Iznos dodijeljenih prihoda u skladu s člankom 21. stavkom 3. Financijske uredbe procjenjuje se na 100 EUR.</w:t>
      </w:r>
    </w:p>
    <w:p w:rsidR="002D1DA9" w:rsidRPr="00DD76C8" w:rsidRDefault="002D1DA9" w:rsidP="00FD2C57">
      <w:pPr>
        <w:widowControl/>
        <w:autoSpaceDE w:val="0"/>
        <w:autoSpaceDN w:val="0"/>
        <w:spacing w:before="120" w:after="120"/>
        <w:rPr>
          <w:i/>
          <w:iCs/>
          <w:sz w:val="20"/>
        </w:rPr>
      </w:pPr>
      <w:r w:rsidRPr="00DD76C8">
        <w:rPr>
          <w:i/>
          <w:sz w:val="20"/>
        </w:rPr>
        <w:t>Pravna osnova</w:t>
      </w:r>
    </w:p>
    <w:p w:rsidR="002D1DA9" w:rsidRPr="00DD76C8" w:rsidRDefault="002D1DA9" w:rsidP="00FD2C57">
      <w:pPr>
        <w:widowControl/>
        <w:jc w:val="both"/>
        <w:rPr>
          <w:rFonts w:cs="Arial"/>
          <w:bCs/>
          <w:kern w:val="32"/>
          <w:szCs w:val="24"/>
        </w:rPr>
      </w:pPr>
      <w:r w:rsidRPr="00DD76C8">
        <w:t>Statut zastupnika u Europskom parlamentu, a posebno njegov članak 20.</w:t>
      </w:r>
    </w:p>
    <w:p w:rsidR="002D1DA9" w:rsidRPr="00DD76C8" w:rsidRDefault="002D1DA9" w:rsidP="00FD2C57">
      <w:pPr>
        <w:widowControl/>
        <w:jc w:val="both"/>
        <w:rPr>
          <w:rFonts w:cs="Arial"/>
          <w:bCs/>
          <w:kern w:val="32"/>
          <w:szCs w:val="24"/>
        </w:rPr>
      </w:pPr>
      <w:r w:rsidRPr="00DD76C8">
        <w:t>Odluka Predsjedništva od 17. lipnja 2009.</w:t>
      </w:r>
    </w:p>
    <w:p w:rsidR="002D1DA9" w:rsidRPr="00DD76C8" w:rsidRDefault="002D1DA9" w:rsidP="00FD2C57">
      <w:pPr>
        <w:widowControl/>
        <w:autoSpaceDE w:val="0"/>
        <w:autoSpaceDN w:val="0"/>
        <w:spacing w:before="480" w:after="120"/>
        <w:outlineLvl w:val="3"/>
        <w:rPr>
          <w:b/>
          <w:bCs/>
          <w:i/>
          <w:iCs/>
          <w:szCs w:val="24"/>
        </w:rPr>
      </w:pPr>
      <w:r w:rsidRPr="00DD76C8">
        <w:rPr>
          <w:b/>
          <w:i/>
        </w:rPr>
        <w:t>Članak 1 0 1 — Zdravstveno osiguranje i osiguranje od nezgoda te ostale socijalne mjere</w:t>
      </w:r>
    </w:p>
    <w:p w:rsidR="002D1DA9" w:rsidRPr="00DD76C8" w:rsidRDefault="002D1DA9" w:rsidP="00FD2C57">
      <w:pPr>
        <w:widowControl/>
        <w:autoSpaceDE w:val="0"/>
        <w:autoSpaceDN w:val="0"/>
        <w:spacing w:before="480" w:after="120"/>
        <w:outlineLvl w:val="4"/>
        <w:rPr>
          <w:sz w:val="22"/>
          <w:szCs w:val="22"/>
        </w:rPr>
      </w:pPr>
      <w:r w:rsidRPr="00DD76C8">
        <w:rPr>
          <w:sz w:val="22"/>
        </w:rPr>
        <w:t>Stavka 1 0 1 0 — Zdravstveno osiguranje i osiguranje od nezgoda te ostala socijalna davanja</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Odobrena sredstva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2 923 000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3 097 000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1 978 805,22</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widowControl/>
        <w:jc w:val="both"/>
        <w:rPr>
          <w:rFonts w:cs="Arial"/>
          <w:bCs/>
          <w:kern w:val="32"/>
          <w:szCs w:val="24"/>
        </w:rPr>
      </w:pPr>
      <w:r w:rsidRPr="00DD76C8">
        <w:t>Ova sredstva namijenjena su za osiguranje zastupnika od nezgoda, povrat zdravstvenih troškova zastupnika te pokrivanje rizika gubitka i krađe osobnih predmeta zastupnika.</w:t>
      </w:r>
    </w:p>
    <w:p w:rsidR="002D1DA9" w:rsidRPr="00DD76C8" w:rsidRDefault="002D1DA9" w:rsidP="00FD2C57">
      <w:pPr>
        <w:widowControl/>
        <w:jc w:val="both"/>
        <w:rPr>
          <w:rFonts w:cs="Arial"/>
          <w:bCs/>
          <w:kern w:val="32"/>
          <w:szCs w:val="24"/>
        </w:rPr>
      </w:pPr>
      <w:r w:rsidRPr="00DD76C8">
        <w:t>Ovim sredstvima se također financiraju osiguranje i podrška zastupnicima u slučaju potrebe za repatrijacijom tijekom službenog putovanja kao posljedice teške bolesti, nezgode ili neočekivanog događaja koji priječi neometano odvijanje puta. Pomoć podrazumijeva organizaciju repatrijacije i plaćanje s njom povezanih troškova.</w:t>
      </w:r>
    </w:p>
    <w:p w:rsidR="002D1DA9" w:rsidRPr="00DD76C8" w:rsidRDefault="002D1DA9" w:rsidP="00FD2C57">
      <w:pPr>
        <w:widowControl/>
        <w:jc w:val="both"/>
        <w:rPr>
          <w:rFonts w:cs="Arial"/>
          <w:bCs/>
          <w:kern w:val="32"/>
          <w:szCs w:val="24"/>
        </w:rPr>
      </w:pPr>
      <w:r w:rsidRPr="00DD76C8">
        <w:t>Iznos namjenskih prihoda u skladu s člankom 21. stavkom 3. Financijske uredbe procjenjuje se na 200 000 EUR.</w:t>
      </w:r>
    </w:p>
    <w:p w:rsidR="002D1DA9" w:rsidRPr="00DD76C8" w:rsidRDefault="002D1DA9" w:rsidP="00FD2C57">
      <w:pPr>
        <w:widowControl/>
        <w:autoSpaceDE w:val="0"/>
        <w:autoSpaceDN w:val="0"/>
        <w:spacing w:before="120" w:after="120"/>
        <w:rPr>
          <w:i/>
          <w:iCs/>
          <w:sz w:val="20"/>
        </w:rPr>
      </w:pPr>
      <w:r w:rsidRPr="00DD76C8">
        <w:rPr>
          <w:i/>
          <w:sz w:val="20"/>
        </w:rPr>
        <w:t>Pravna osnova</w:t>
      </w:r>
    </w:p>
    <w:p w:rsidR="002D1DA9" w:rsidRPr="00DD76C8" w:rsidRDefault="002D1DA9" w:rsidP="00FD2C57">
      <w:pPr>
        <w:widowControl/>
        <w:jc w:val="both"/>
        <w:rPr>
          <w:rFonts w:cs="Arial"/>
          <w:bCs/>
          <w:kern w:val="32"/>
          <w:szCs w:val="24"/>
        </w:rPr>
      </w:pPr>
      <w:r w:rsidRPr="00DD76C8">
        <w:t>Statut zastupnika u Europskom parlamentu, a posebno njihovi članci 18. i 19.</w:t>
      </w:r>
    </w:p>
    <w:p w:rsidR="002D1DA9" w:rsidRPr="00DD76C8" w:rsidRDefault="002D1DA9" w:rsidP="00FD2C57">
      <w:pPr>
        <w:widowControl/>
        <w:jc w:val="both"/>
        <w:rPr>
          <w:rFonts w:cs="Arial"/>
          <w:bCs/>
          <w:kern w:val="32"/>
          <w:szCs w:val="24"/>
        </w:rPr>
      </w:pPr>
      <w:r w:rsidRPr="00DD76C8">
        <w:t>Provedbene mjere Statuta zastupnika u Europskom parlamentu, a posebno njihovi članci 3. – 9. i 29.</w:t>
      </w:r>
    </w:p>
    <w:p w:rsidR="002D1DA9" w:rsidRPr="00DD76C8" w:rsidRDefault="002D1DA9" w:rsidP="00FD2C57">
      <w:pPr>
        <w:widowControl/>
        <w:jc w:val="both"/>
        <w:rPr>
          <w:rFonts w:cs="Arial"/>
          <w:bCs/>
          <w:kern w:val="32"/>
          <w:szCs w:val="24"/>
        </w:rPr>
      </w:pPr>
      <w:r w:rsidRPr="00DD76C8">
        <w:t>Opća pravila o osiguranju od rizika nezgode i profesionalne bolesti za dužnosnike Europske unije.</w:t>
      </w:r>
    </w:p>
    <w:p w:rsidR="002D1DA9" w:rsidRPr="00DD76C8" w:rsidRDefault="002D1DA9" w:rsidP="00FD2C57">
      <w:pPr>
        <w:widowControl/>
        <w:jc w:val="both"/>
        <w:rPr>
          <w:rFonts w:cs="Arial"/>
          <w:bCs/>
          <w:kern w:val="32"/>
          <w:szCs w:val="24"/>
        </w:rPr>
      </w:pPr>
      <w:r w:rsidRPr="00DD76C8">
        <w:t>Opća pravila o zdravstvenom osiguranju za dužnosnike Europskih zajednica.</w:t>
      </w:r>
    </w:p>
    <w:p w:rsidR="002D1DA9" w:rsidRPr="00DD76C8" w:rsidRDefault="002D1DA9" w:rsidP="00FD2C57">
      <w:pPr>
        <w:widowControl/>
        <w:jc w:val="both"/>
        <w:rPr>
          <w:rFonts w:cs="Arial"/>
          <w:bCs/>
          <w:kern w:val="32"/>
          <w:szCs w:val="24"/>
        </w:rPr>
      </w:pPr>
      <w:r w:rsidRPr="00DD76C8">
        <w:t>Odluka Komisije kojom se utvrđuju opće provedbene odredbe za povrat zdravstvenih troškova.</w:t>
      </w:r>
    </w:p>
    <w:p w:rsidR="002D1DA9" w:rsidRPr="00DD76C8" w:rsidRDefault="002D1DA9" w:rsidP="00FD2C57">
      <w:pPr>
        <w:widowControl/>
        <w:autoSpaceDE w:val="0"/>
        <w:autoSpaceDN w:val="0"/>
        <w:spacing w:before="480" w:after="120"/>
        <w:outlineLvl w:val="4"/>
        <w:rPr>
          <w:sz w:val="22"/>
          <w:szCs w:val="22"/>
        </w:rPr>
      </w:pPr>
      <w:r w:rsidRPr="00DD76C8">
        <w:rPr>
          <w:sz w:val="22"/>
        </w:rPr>
        <w:t>Stavka 1 0 1 2 — Posebne mjere za zastupnike s invaliditetom</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Odobrena sredstva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805 000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775 000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593 638,06</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widowControl/>
        <w:jc w:val="both"/>
        <w:rPr>
          <w:rFonts w:cs="Arial"/>
          <w:bCs/>
          <w:kern w:val="32"/>
          <w:szCs w:val="24"/>
        </w:rPr>
      </w:pPr>
      <w:r w:rsidRPr="00DD76C8">
        <w:t>Ova sredstva namijenjena su pokrivanju određenih izdataka potrebnih za pružanje pomoći zastupniku s teškim invaliditetom.</w:t>
      </w:r>
    </w:p>
    <w:p w:rsidR="002D1DA9" w:rsidRPr="00DD76C8" w:rsidRDefault="002D1DA9" w:rsidP="00FD2C57">
      <w:pPr>
        <w:widowControl/>
        <w:jc w:val="both"/>
        <w:rPr>
          <w:rFonts w:cs="Arial"/>
          <w:bCs/>
          <w:kern w:val="32"/>
          <w:szCs w:val="24"/>
        </w:rPr>
      </w:pPr>
      <w:r w:rsidRPr="00DD76C8">
        <w:t>Namjenski prihodi u skladu s člankom 21. stavkom 3. Financijske uredbe procjenjuju se na 5 000 EUR.</w:t>
      </w:r>
    </w:p>
    <w:p w:rsidR="002D1DA9" w:rsidRPr="00DD76C8" w:rsidRDefault="002D1DA9" w:rsidP="00FD2C57">
      <w:pPr>
        <w:widowControl/>
        <w:autoSpaceDE w:val="0"/>
        <w:autoSpaceDN w:val="0"/>
        <w:spacing w:before="120" w:after="120"/>
        <w:rPr>
          <w:i/>
          <w:iCs/>
          <w:sz w:val="20"/>
        </w:rPr>
      </w:pPr>
      <w:r w:rsidRPr="00DD76C8">
        <w:rPr>
          <w:i/>
          <w:sz w:val="20"/>
        </w:rPr>
        <w:t>Pravna osnova</w:t>
      </w:r>
    </w:p>
    <w:p w:rsidR="002D1DA9" w:rsidRPr="00DD76C8" w:rsidRDefault="002D1DA9" w:rsidP="00FD2C57">
      <w:pPr>
        <w:widowControl/>
        <w:jc w:val="both"/>
        <w:rPr>
          <w:rFonts w:cs="Arial"/>
          <w:bCs/>
          <w:kern w:val="32"/>
          <w:szCs w:val="24"/>
        </w:rPr>
      </w:pPr>
      <w:r w:rsidRPr="00DD76C8">
        <w:t>Provedbene mjere za Statut zastupnika u Europskom parlamentu, a posebno njihov članak 30.</w:t>
      </w:r>
    </w:p>
    <w:p w:rsidR="002D1DA9" w:rsidRPr="00DD76C8" w:rsidRDefault="002D1DA9" w:rsidP="00FD2C57">
      <w:pPr>
        <w:widowControl/>
        <w:autoSpaceDE w:val="0"/>
        <w:autoSpaceDN w:val="0"/>
        <w:spacing w:before="480" w:after="120"/>
        <w:outlineLvl w:val="3"/>
        <w:rPr>
          <w:b/>
          <w:bCs/>
          <w:i/>
          <w:iCs/>
          <w:szCs w:val="24"/>
        </w:rPr>
      </w:pPr>
      <w:r w:rsidRPr="00DD76C8">
        <w:rPr>
          <w:b/>
          <w:i/>
        </w:rPr>
        <w:t>Članak 1 0 2 — Prijelazne naknade</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Odobrena sredstva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960 000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939 000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1 725 886,26</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widowControl/>
        <w:jc w:val="both"/>
        <w:rPr>
          <w:rFonts w:cs="Arial"/>
          <w:bCs/>
          <w:kern w:val="32"/>
          <w:szCs w:val="24"/>
        </w:rPr>
      </w:pPr>
      <w:r w:rsidRPr="00DD76C8">
        <w:t>Ova sredstva namijenjena su financiranju prijelazne naknade nakon isteka mandata zastupnika.</w:t>
      </w:r>
    </w:p>
    <w:p w:rsidR="002D1DA9" w:rsidRPr="00DD76C8" w:rsidRDefault="002D1DA9" w:rsidP="00FD2C57">
      <w:pPr>
        <w:widowControl/>
        <w:jc w:val="both"/>
        <w:rPr>
          <w:rFonts w:cs="Arial"/>
          <w:bCs/>
          <w:kern w:val="32"/>
          <w:szCs w:val="24"/>
        </w:rPr>
      </w:pPr>
      <w:r w:rsidRPr="00DD76C8">
        <w:t>Namjenski prihodi u skladu s člankom 21. stavkom 3. Financijske uredbe procjenjuju se na 5 000 EUR.</w:t>
      </w:r>
    </w:p>
    <w:p w:rsidR="002D1DA9" w:rsidRPr="00DD76C8" w:rsidRDefault="002D1DA9" w:rsidP="00FD2C57">
      <w:pPr>
        <w:widowControl/>
        <w:autoSpaceDE w:val="0"/>
        <w:autoSpaceDN w:val="0"/>
        <w:spacing w:before="120" w:after="120"/>
        <w:rPr>
          <w:i/>
          <w:iCs/>
          <w:sz w:val="20"/>
        </w:rPr>
      </w:pPr>
      <w:r w:rsidRPr="00DD76C8">
        <w:rPr>
          <w:i/>
          <w:sz w:val="20"/>
        </w:rPr>
        <w:t>Pravna osnova</w:t>
      </w:r>
    </w:p>
    <w:p w:rsidR="002D1DA9" w:rsidRPr="00DD76C8" w:rsidRDefault="002D1DA9" w:rsidP="00FD2C57">
      <w:pPr>
        <w:widowControl/>
        <w:jc w:val="both"/>
        <w:rPr>
          <w:rFonts w:cs="Arial"/>
          <w:bCs/>
          <w:kern w:val="32"/>
          <w:szCs w:val="24"/>
        </w:rPr>
      </w:pPr>
      <w:r w:rsidRPr="00DD76C8">
        <w:t>Statut zastupnika u Europskom parlamentu, a posebno njegov članak 13.</w:t>
      </w:r>
    </w:p>
    <w:p w:rsidR="002D1DA9" w:rsidRPr="00DD76C8" w:rsidRDefault="002D1DA9" w:rsidP="00FD2C57">
      <w:pPr>
        <w:widowControl/>
        <w:jc w:val="both"/>
        <w:rPr>
          <w:rFonts w:cs="Arial"/>
          <w:bCs/>
          <w:kern w:val="32"/>
          <w:szCs w:val="24"/>
        </w:rPr>
      </w:pPr>
      <w:r w:rsidRPr="00DD76C8">
        <w:t>Provedbene mjere za Statut zastupnika u Europskom parlamentu, a posebno njihovi članci 45. do 48. i članak 77.</w:t>
      </w:r>
    </w:p>
    <w:p w:rsidR="002D1DA9" w:rsidRPr="00DD76C8" w:rsidRDefault="002D1DA9" w:rsidP="00FD2C57">
      <w:pPr>
        <w:widowControl/>
        <w:autoSpaceDE w:val="0"/>
        <w:autoSpaceDN w:val="0"/>
        <w:spacing w:before="480" w:after="120"/>
        <w:outlineLvl w:val="3"/>
        <w:rPr>
          <w:b/>
          <w:bCs/>
          <w:i/>
          <w:iCs/>
          <w:szCs w:val="24"/>
        </w:rPr>
      </w:pPr>
      <w:r w:rsidRPr="00DD76C8">
        <w:rPr>
          <w:b/>
          <w:i/>
        </w:rPr>
        <w:t>Članak 1 0 3 — Mirovine</w:t>
      </w:r>
    </w:p>
    <w:p w:rsidR="002D1DA9" w:rsidRPr="00DD76C8" w:rsidRDefault="002D1DA9" w:rsidP="00FD2C57">
      <w:pPr>
        <w:widowControl/>
        <w:autoSpaceDE w:val="0"/>
        <w:autoSpaceDN w:val="0"/>
        <w:spacing w:before="480" w:after="120"/>
        <w:outlineLvl w:val="4"/>
        <w:rPr>
          <w:sz w:val="22"/>
          <w:szCs w:val="22"/>
        </w:rPr>
      </w:pPr>
      <w:r w:rsidRPr="00DD76C8">
        <w:rPr>
          <w:sz w:val="22"/>
        </w:rPr>
        <w:t>Stavka 1 0 3 0 — Starosne mirovine (Pravilnik o isplati troškova i naknada)</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Odobrena sredstva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11 540 000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11 450 000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10 521 344,41</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widowControl/>
        <w:jc w:val="both"/>
        <w:rPr>
          <w:rFonts w:cs="Arial"/>
          <w:bCs/>
          <w:kern w:val="32"/>
          <w:szCs w:val="24"/>
        </w:rPr>
      </w:pPr>
      <w:r w:rsidRPr="00DD76C8">
        <w:t>Ova sredstva namijenjena su pokrivanju starosne mirovine nakon isteka mandata zastupnika.</w:t>
      </w:r>
    </w:p>
    <w:p w:rsidR="002D1DA9" w:rsidRPr="00DD76C8" w:rsidRDefault="002D1DA9" w:rsidP="00FD2C57">
      <w:pPr>
        <w:widowControl/>
        <w:jc w:val="both"/>
        <w:rPr>
          <w:rFonts w:cs="Arial"/>
          <w:bCs/>
          <w:kern w:val="32"/>
          <w:szCs w:val="24"/>
        </w:rPr>
      </w:pPr>
      <w:r w:rsidRPr="00DD76C8">
        <w:t>Iznos namjenskih prihoda u skladu s člankom 21. stavkom 3. Financijske uredbe procjenjuje se na 150 000 EUR.</w:t>
      </w:r>
    </w:p>
    <w:p w:rsidR="002D1DA9" w:rsidRPr="00DD76C8" w:rsidRDefault="002D1DA9" w:rsidP="00FD2C57">
      <w:pPr>
        <w:widowControl/>
        <w:autoSpaceDE w:val="0"/>
        <w:autoSpaceDN w:val="0"/>
        <w:spacing w:before="120" w:after="120"/>
        <w:rPr>
          <w:i/>
          <w:iCs/>
          <w:sz w:val="20"/>
        </w:rPr>
      </w:pPr>
      <w:r w:rsidRPr="00DD76C8">
        <w:rPr>
          <w:i/>
          <w:sz w:val="20"/>
        </w:rPr>
        <w:t>Pravna osnova</w:t>
      </w:r>
    </w:p>
    <w:p w:rsidR="002D1DA9" w:rsidRPr="00DD76C8" w:rsidRDefault="002D1DA9" w:rsidP="00FD2C57">
      <w:pPr>
        <w:widowControl/>
        <w:jc w:val="both"/>
        <w:rPr>
          <w:rFonts w:cs="Arial"/>
          <w:bCs/>
          <w:kern w:val="32"/>
          <w:szCs w:val="24"/>
        </w:rPr>
      </w:pPr>
      <w:r w:rsidRPr="00DD76C8">
        <w:t>Provedbene mjere za Statut zastupnika u Europskom parlamentu, a posebno njihov članak 75. i Prilog III. Pravilniku o isplati troškova i naknada zastupnicima u Europskom parlamentu (Pravilnik o PEAM-u).</w:t>
      </w:r>
    </w:p>
    <w:p w:rsidR="002D1DA9" w:rsidRPr="00DD76C8" w:rsidRDefault="002D1DA9" w:rsidP="00FD2C57">
      <w:pPr>
        <w:widowControl/>
        <w:autoSpaceDE w:val="0"/>
        <w:autoSpaceDN w:val="0"/>
        <w:spacing w:before="480" w:after="120"/>
        <w:outlineLvl w:val="4"/>
        <w:rPr>
          <w:sz w:val="22"/>
          <w:szCs w:val="22"/>
        </w:rPr>
      </w:pPr>
      <w:r w:rsidRPr="00DD76C8">
        <w:rPr>
          <w:sz w:val="22"/>
        </w:rPr>
        <w:t>Stavka 1 0 3 1 — Invalidske mirovine (Pravilnik o PEAM-u)</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Odobrena sredstva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310 000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303 000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300 813,90</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widowControl/>
        <w:jc w:val="both"/>
        <w:rPr>
          <w:rFonts w:cs="Arial"/>
          <w:bCs/>
          <w:kern w:val="32"/>
          <w:szCs w:val="24"/>
        </w:rPr>
      </w:pPr>
      <w:r w:rsidRPr="00DD76C8">
        <w:t>Ova sredstva namijenjena su pokrivanju invalidske mirovine u slučaju invaliditeta zastupnika koji je nastao tijekom njegova mandata.</w:t>
      </w:r>
    </w:p>
    <w:p w:rsidR="002D1DA9" w:rsidRPr="00DD76C8" w:rsidRDefault="002D1DA9" w:rsidP="00FD2C57">
      <w:pPr>
        <w:widowControl/>
        <w:jc w:val="both"/>
        <w:rPr>
          <w:rFonts w:cs="Arial"/>
          <w:bCs/>
          <w:kern w:val="32"/>
          <w:szCs w:val="24"/>
        </w:rPr>
      </w:pPr>
      <w:r w:rsidRPr="00DD76C8">
        <w:t>Namjenski prihodi u skladu s člankom 21. stavkom 3. Financijske uredbe procjenjuju se na 5 000 EUR.</w:t>
      </w:r>
    </w:p>
    <w:p w:rsidR="002D1DA9" w:rsidRPr="00DD76C8" w:rsidRDefault="002D1DA9" w:rsidP="00FD2C57">
      <w:pPr>
        <w:widowControl/>
        <w:autoSpaceDE w:val="0"/>
        <w:autoSpaceDN w:val="0"/>
        <w:spacing w:before="120" w:after="120"/>
        <w:rPr>
          <w:i/>
          <w:iCs/>
          <w:sz w:val="20"/>
        </w:rPr>
      </w:pPr>
      <w:r w:rsidRPr="00DD76C8">
        <w:rPr>
          <w:i/>
          <w:sz w:val="20"/>
        </w:rPr>
        <w:t>Pravna osnova</w:t>
      </w:r>
    </w:p>
    <w:p w:rsidR="002D1DA9" w:rsidRPr="00DD76C8" w:rsidRDefault="002D1DA9" w:rsidP="00FD2C57">
      <w:pPr>
        <w:widowControl/>
        <w:jc w:val="both"/>
        <w:rPr>
          <w:rFonts w:cs="Arial"/>
          <w:bCs/>
          <w:kern w:val="32"/>
          <w:szCs w:val="24"/>
        </w:rPr>
      </w:pPr>
      <w:r w:rsidRPr="00DD76C8">
        <w:t>Provedbene mjere za Statut zastupnika u Europskom parlamentu, a posebno njihov članak 75. i Prilog II. Pravilniku o isplati troškova i naknada zastupnicima u Europskom parlamentu (Pravilnik o PEAM-u).</w:t>
      </w:r>
    </w:p>
    <w:p w:rsidR="002D1DA9" w:rsidRPr="00DD76C8" w:rsidRDefault="002D1DA9" w:rsidP="00FD2C57">
      <w:pPr>
        <w:widowControl/>
        <w:autoSpaceDE w:val="0"/>
        <w:autoSpaceDN w:val="0"/>
        <w:spacing w:before="480" w:after="120"/>
        <w:outlineLvl w:val="4"/>
        <w:rPr>
          <w:sz w:val="22"/>
          <w:szCs w:val="22"/>
        </w:rPr>
      </w:pPr>
      <w:r w:rsidRPr="00DD76C8">
        <w:rPr>
          <w:sz w:val="22"/>
        </w:rPr>
        <w:t>Stavka 1 0 3 2 — Obiteljske mirovine (PEAM)</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Odobrena sredstva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2 315 000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2 313 000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2 170 644,40</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widowControl/>
        <w:jc w:val="both"/>
        <w:rPr>
          <w:rFonts w:cs="Arial"/>
          <w:bCs/>
          <w:kern w:val="32"/>
          <w:szCs w:val="24"/>
        </w:rPr>
      </w:pPr>
      <w:r w:rsidRPr="00DD76C8">
        <w:t>Ova sredstva namijenjena su pokrivanju obiteljske mirovine i/ili mirovine za siročad u slučaju smrti zastupnika ili bivšeg zastupnika.</w:t>
      </w:r>
    </w:p>
    <w:p w:rsidR="002D1DA9" w:rsidRPr="00DD76C8" w:rsidRDefault="002D1DA9" w:rsidP="00FD2C57">
      <w:pPr>
        <w:widowControl/>
        <w:jc w:val="both"/>
        <w:rPr>
          <w:rFonts w:cs="Arial"/>
          <w:bCs/>
          <w:kern w:val="32"/>
          <w:szCs w:val="24"/>
        </w:rPr>
      </w:pPr>
      <w:r w:rsidRPr="00DD76C8">
        <w:t>Iznos namjenskih prihoda u skladu s člankom 21. stavkom 3. Financijske uredbe procjenjuje se na 15 000 EUR.</w:t>
      </w:r>
    </w:p>
    <w:p w:rsidR="002D1DA9" w:rsidRPr="00DD76C8" w:rsidRDefault="002D1DA9" w:rsidP="00FD2C57">
      <w:pPr>
        <w:widowControl/>
        <w:autoSpaceDE w:val="0"/>
        <w:autoSpaceDN w:val="0"/>
        <w:spacing w:before="120" w:after="120"/>
        <w:rPr>
          <w:i/>
          <w:iCs/>
          <w:sz w:val="20"/>
        </w:rPr>
      </w:pPr>
      <w:r w:rsidRPr="00DD76C8">
        <w:rPr>
          <w:i/>
          <w:sz w:val="20"/>
        </w:rPr>
        <w:t>Pravna osnova</w:t>
      </w:r>
    </w:p>
    <w:p w:rsidR="002D1DA9" w:rsidRPr="00DD76C8" w:rsidRDefault="002D1DA9" w:rsidP="00FD2C57">
      <w:pPr>
        <w:widowControl/>
        <w:jc w:val="both"/>
        <w:rPr>
          <w:rFonts w:cs="Arial"/>
          <w:bCs/>
          <w:kern w:val="32"/>
          <w:szCs w:val="24"/>
        </w:rPr>
      </w:pPr>
      <w:r w:rsidRPr="00DD76C8">
        <w:t>Provedbene mjere za Statut zastupnika u Europskom parlamentu, a posebno njihov članak 75. i Prilog I. Pravilniku o isplati troškova i naknada zastupnicima u Europskom parlamentu (Pravilnik o PEAM-u).</w:t>
      </w:r>
    </w:p>
    <w:p w:rsidR="002D1DA9" w:rsidRPr="00DD76C8" w:rsidRDefault="002D1DA9" w:rsidP="00FD2C57">
      <w:pPr>
        <w:widowControl/>
        <w:autoSpaceDE w:val="0"/>
        <w:autoSpaceDN w:val="0"/>
        <w:spacing w:before="480" w:after="120"/>
        <w:outlineLvl w:val="4"/>
        <w:rPr>
          <w:sz w:val="22"/>
          <w:szCs w:val="22"/>
        </w:rPr>
      </w:pPr>
      <w:r w:rsidRPr="00DD76C8">
        <w:rPr>
          <w:sz w:val="22"/>
        </w:rPr>
        <w:t>Stavka 1 0 3 3 — Dobrovoljni mirovinski sustav za zastupnike</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Odobrena sredstva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p.m.</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p.m.</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287,82</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widowControl/>
        <w:jc w:val="both"/>
        <w:rPr>
          <w:rFonts w:cs="Arial"/>
          <w:bCs/>
          <w:kern w:val="32"/>
          <w:szCs w:val="24"/>
        </w:rPr>
      </w:pPr>
      <w:r w:rsidRPr="00DD76C8">
        <w:t>Ova sredstva namijenjena su pokrivanju doprinosa institucije dodatnom (dobrovoljnom) mirovinskom sustavu za zastupnike.</w:t>
      </w:r>
    </w:p>
    <w:p w:rsidR="002D1DA9" w:rsidRPr="00DD76C8" w:rsidRDefault="002D1DA9" w:rsidP="00FD2C57">
      <w:pPr>
        <w:widowControl/>
        <w:jc w:val="both"/>
        <w:rPr>
          <w:rFonts w:cs="Arial"/>
          <w:bCs/>
          <w:kern w:val="32"/>
          <w:szCs w:val="24"/>
        </w:rPr>
      </w:pPr>
      <w:r w:rsidRPr="00DD76C8">
        <w:t>Namjenski prihodi u skladu s člankom 21. stavkom 3. Financijske uredbe procjenjuju se na 500 EUR.</w:t>
      </w:r>
    </w:p>
    <w:p w:rsidR="002D1DA9" w:rsidRPr="00DD76C8" w:rsidRDefault="002D1DA9" w:rsidP="00FD2C57">
      <w:pPr>
        <w:widowControl/>
        <w:autoSpaceDE w:val="0"/>
        <w:autoSpaceDN w:val="0"/>
        <w:spacing w:before="120" w:after="120"/>
        <w:rPr>
          <w:i/>
          <w:iCs/>
          <w:sz w:val="20"/>
        </w:rPr>
      </w:pPr>
      <w:r w:rsidRPr="00DD76C8">
        <w:rPr>
          <w:i/>
          <w:sz w:val="20"/>
        </w:rPr>
        <w:t>Pravna osnova</w:t>
      </w:r>
    </w:p>
    <w:p w:rsidR="002D1DA9" w:rsidRPr="00DD76C8" w:rsidRDefault="002D1DA9" w:rsidP="00FD2C57">
      <w:pPr>
        <w:widowControl/>
        <w:jc w:val="both"/>
        <w:rPr>
          <w:rFonts w:cs="Arial"/>
          <w:bCs/>
          <w:kern w:val="32"/>
          <w:szCs w:val="24"/>
        </w:rPr>
      </w:pPr>
      <w:r w:rsidRPr="00DD76C8">
        <w:t>Statut zastupnika u Europskom parlamentu, a posebno njegov članak 27.</w:t>
      </w:r>
    </w:p>
    <w:p w:rsidR="002D1DA9" w:rsidRPr="00DD76C8" w:rsidRDefault="002D1DA9" w:rsidP="00FD2C57">
      <w:pPr>
        <w:widowControl/>
        <w:jc w:val="both"/>
        <w:rPr>
          <w:rFonts w:cs="Arial"/>
          <w:bCs/>
          <w:kern w:val="32"/>
          <w:szCs w:val="24"/>
        </w:rPr>
      </w:pPr>
      <w:r w:rsidRPr="00DD76C8">
        <w:t>Provedbene mjere za Statut zastupnika u Europskom parlamentu, a posebno njihov članak 76. i Prilog VII. Pravilniku o isplati troškova i naknada zastupnicima u Europskom parlamentu (Pravilnik o PEAM-u).</w:t>
      </w:r>
    </w:p>
    <w:p w:rsidR="002D1DA9" w:rsidRPr="00DD76C8" w:rsidRDefault="002D1DA9" w:rsidP="00FD2C57">
      <w:pPr>
        <w:widowControl/>
        <w:autoSpaceDE w:val="0"/>
        <w:autoSpaceDN w:val="0"/>
        <w:spacing w:before="480" w:after="120"/>
        <w:outlineLvl w:val="3"/>
        <w:rPr>
          <w:b/>
          <w:bCs/>
          <w:i/>
          <w:iCs/>
          <w:szCs w:val="24"/>
        </w:rPr>
      </w:pPr>
      <w:r w:rsidRPr="00DD76C8">
        <w:rPr>
          <w:b/>
          <w:i/>
        </w:rPr>
        <w:t>Članak 1 0 5 — Jezični i informatički tečajevi</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Odobrena sredstva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800 000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670 000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650 000,00</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widowControl/>
        <w:jc w:val="both"/>
        <w:rPr>
          <w:rFonts w:cs="Arial"/>
          <w:bCs/>
          <w:kern w:val="32"/>
          <w:szCs w:val="24"/>
        </w:rPr>
      </w:pPr>
      <w:r w:rsidRPr="00DD76C8">
        <w:t>Ova sredstva namijenjena su za pokrivanje troškova jezičnih i informatičkih tečajeva zastupnika.</w:t>
      </w:r>
    </w:p>
    <w:p w:rsidR="002D1DA9" w:rsidRPr="00DD76C8" w:rsidRDefault="002D1DA9" w:rsidP="00FD2C57">
      <w:pPr>
        <w:widowControl/>
        <w:jc w:val="both"/>
        <w:rPr>
          <w:rFonts w:cs="Arial"/>
          <w:bCs/>
          <w:kern w:val="32"/>
          <w:szCs w:val="24"/>
        </w:rPr>
      </w:pPr>
      <w:r w:rsidRPr="00DD76C8">
        <w:t>Iznos dodijeljenih prihoda u skladu s člankom 21. stavkom 3. Financijske uredbe procjenjuje se na 100 EUR.</w:t>
      </w:r>
    </w:p>
    <w:p w:rsidR="002D1DA9" w:rsidRPr="00DD76C8" w:rsidRDefault="002D1DA9" w:rsidP="00FD2C57">
      <w:pPr>
        <w:widowControl/>
        <w:autoSpaceDE w:val="0"/>
        <w:autoSpaceDN w:val="0"/>
        <w:spacing w:before="120" w:after="120"/>
        <w:rPr>
          <w:i/>
          <w:iCs/>
          <w:sz w:val="20"/>
        </w:rPr>
      </w:pPr>
      <w:r w:rsidRPr="00DD76C8">
        <w:rPr>
          <w:i/>
          <w:sz w:val="20"/>
        </w:rPr>
        <w:t>Pravna osnova</w:t>
      </w:r>
    </w:p>
    <w:p w:rsidR="002D1DA9" w:rsidRPr="00DD76C8" w:rsidRDefault="002D1DA9" w:rsidP="00FD2C57">
      <w:pPr>
        <w:widowControl/>
        <w:jc w:val="both"/>
        <w:rPr>
          <w:rFonts w:cs="Arial"/>
          <w:bCs/>
          <w:kern w:val="32"/>
          <w:szCs w:val="24"/>
        </w:rPr>
      </w:pPr>
      <w:r w:rsidRPr="00DD76C8">
        <w:t>Provedbene mjere za Statut zastupnika u Europskom parlamentu, a posebno njegov članak 44.</w:t>
      </w:r>
    </w:p>
    <w:p w:rsidR="002D1DA9" w:rsidRPr="00DD76C8" w:rsidRDefault="002D1DA9" w:rsidP="00FD2C57">
      <w:pPr>
        <w:widowControl/>
        <w:jc w:val="both"/>
        <w:rPr>
          <w:rFonts w:cs="Arial"/>
          <w:bCs/>
          <w:kern w:val="32"/>
          <w:szCs w:val="24"/>
        </w:rPr>
      </w:pPr>
      <w:r w:rsidRPr="00DD76C8">
        <w:t>Odluka Predsjedništva od 4. svibnja 2009. o jezičnim i informatičkim tečajevima za zastupnike.</w:t>
      </w:r>
    </w:p>
    <w:p w:rsidR="002D1DA9" w:rsidRPr="00DD76C8" w:rsidRDefault="002D1DA9" w:rsidP="00FD2C57">
      <w:pPr>
        <w:widowControl/>
        <w:autoSpaceDE w:val="0"/>
        <w:autoSpaceDN w:val="0"/>
        <w:spacing w:before="480" w:after="120"/>
        <w:outlineLvl w:val="2"/>
        <w:rPr>
          <w:b/>
          <w:bCs/>
          <w:smallCaps/>
          <w:sz w:val="28"/>
          <w:szCs w:val="28"/>
        </w:rPr>
      </w:pPr>
      <w:r w:rsidRPr="00DD76C8">
        <w:rPr>
          <w:b/>
          <w:smallCaps/>
          <w:sz w:val="28"/>
        </w:rPr>
        <w:t>Poglavlje 1 2 — Dužnosnici i privremeno osoblje</w:t>
      </w:r>
    </w:p>
    <w:p w:rsidR="002D1DA9" w:rsidRPr="00DD76C8" w:rsidRDefault="002D1DA9" w:rsidP="00FD2C57">
      <w:pPr>
        <w:widowControl/>
        <w:autoSpaceDE w:val="0"/>
        <w:autoSpaceDN w:val="0"/>
        <w:spacing w:before="480" w:after="120"/>
        <w:outlineLvl w:val="3"/>
        <w:rPr>
          <w:b/>
          <w:bCs/>
          <w:i/>
          <w:iCs/>
          <w:szCs w:val="24"/>
        </w:rPr>
      </w:pPr>
      <w:r w:rsidRPr="00DD76C8">
        <w:rPr>
          <w:b/>
          <w:i/>
        </w:rPr>
        <w:t>Članak 1 2 0 — Primanja i ostala prava</w:t>
      </w:r>
    </w:p>
    <w:p w:rsidR="002D1DA9" w:rsidRPr="00DD76C8" w:rsidRDefault="002D1DA9" w:rsidP="00FD2C57">
      <w:pPr>
        <w:widowControl/>
        <w:autoSpaceDE w:val="0"/>
        <w:autoSpaceDN w:val="0"/>
        <w:spacing w:before="480" w:after="120"/>
        <w:outlineLvl w:val="4"/>
        <w:rPr>
          <w:sz w:val="22"/>
          <w:szCs w:val="22"/>
        </w:rPr>
      </w:pPr>
      <w:r w:rsidRPr="00DD76C8">
        <w:rPr>
          <w:sz w:val="22"/>
        </w:rPr>
        <w:t xml:space="preserve">Stavka 1 2 0 0 — Primanja i naknade </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Odobrena sredstva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669 000 000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645 973 700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621 577 766,68</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keepNext/>
        <w:widowControl/>
        <w:jc w:val="both"/>
        <w:rPr>
          <w:rFonts w:cs="Arial"/>
          <w:bCs/>
          <w:kern w:val="32"/>
          <w:szCs w:val="24"/>
        </w:rPr>
      </w:pPr>
      <w:r w:rsidRPr="00DD76C8">
        <w:t>Sredstva iz ove stavke namijenjena su prvenstveno dužnosnicima i privremenom osoblju čija su radna mjesta zabilježena u planu radnih mjesta i njima se financira sljedeće:</w:t>
      </w:r>
    </w:p>
    <w:p w:rsidR="002D1DA9" w:rsidRPr="00DD76C8" w:rsidRDefault="002D1DA9" w:rsidP="00FD2C57">
      <w:pPr>
        <w:widowControl/>
        <w:numPr>
          <w:ilvl w:val="0"/>
          <w:numId w:val="1"/>
        </w:numPr>
        <w:spacing w:before="60" w:after="60"/>
        <w:ind w:left="0" w:firstLine="0"/>
        <w:jc w:val="both"/>
        <w:rPr>
          <w:rFonts w:cs="Arial"/>
          <w:bCs/>
          <w:kern w:val="32"/>
          <w:szCs w:val="24"/>
        </w:rPr>
      </w:pPr>
      <w:r w:rsidRPr="00DD76C8">
        <w:t>primanja, naknade i dodatci na primanja,</w:t>
      </w:r>
    </w:p>
    <w:p w:rsidR="002D1DA9" w:rsidRPr="00DD76C8" w:rsidRDefault="002D1DA9" w:rsidP="00FD2C57">
      <w:pPr>
        <w:widowControl/>
        <w:numPr>
          <w:ilvl w:val="0"/>
          <w:numId w:val="1"/>
        </w:numPr>
        <w:spacing w:before="60" w:after="60"/>
        <w:ind w:left="0" w:firstLine="0"/>
        <w:jc w:val="both"/>
        <w:rPr>
          <w:rFonts w:cs="Arial"/>
          <w:bCs/>
          <w:kern w:val="32"/>
          <w:szCs w:val="24"/>
        </w:rPr>
      </w:pPr>
      <w:r w:rsidRPr="00DD76C8">
        <w:t>zdravstveno osiguranje i osiguranje od nezgoda, osiguranje od profesionalnih bolesti i druga socijalna davanja,</w:t>
      </w:r>
    </w:p>
    <w:p w:rsidR="002D1DA9" w:rsidRPr="00DD76C8" w:rsidRDefault="002D1DA9" w:rsidP="00FD2C57">
      <w:pPr>
        <w:widowControl/>
        <w:numPr>
          <w:ilvl w:val="0"/>
          <w:numId w:val="1"/>
        </w:numPr>
        <w:spacing w:before="60" w:after="60"/>
        <w:ind w:left="0" w:firstLine="0"/>
        <w:jc w:val="both"/>
        <w:rPr>
          <w:rFonts w:cs="Arial"/>
          <w:bCs/>
          <w:kern w:val="32"/>
          <w:szCs w:val="24"/>
        </w:rPr>
      </w:pPr>
      <w:r w:rsidRPr="00DD76C8">
        <w:t>paušalne naknade za prekovremeni rad,</w:t>
      </w:r>
    </w:p>
    <w:p w:rsidR="002D1DA9" w:rsidRPr="00DD76C8" w:rsidRDefault="002D1DA9" w:rsidP="00FD2C57">
      <w:pPr>
        <w:widowControl/>
        <w:numPr>
          <w:ilvl w:val="0"/>
          <w:numId w:val="1"/>
        </w:numPr>
        <w:spacing w:before="60" w:after="60"/>
        <w:ind w:left="0" w:firstLine="0"/>
        <w:jc w:val="both"/>
        <w:rPr>
          <w:rFonts w:cs="Arial"/>
          <w:bCs/>
          <w:kern w:val="32"/>
          <w:szCs w:val="24"/>
        </w:rPr>
      </w:pPr>
      <w:r w:rsidRPr="00DD76C8">
        <w:t>ostali dodatci i različite naknade,</w:t>
      </w:r>
    </w:p>
    <w:p w:rsidR="002D1DA9" w:rsidRPr="00DD76C8" w:rsidRDefault="002D1DA9" w:rsidP="00FD2C57">
      <w:pPr>
        <w:widowControl/>
        <w:numPr>
          <w:ilvl w:val="0"/>
          <w:numId w:val="1"/>
        </w:numPr>
        <w:spacing w:before="60" w:after="60"/>
        <w:ind w:left="0" w:firstLine="0"/>
        <w:jc w:val="both"/>
        <w:rPr>
          <w:rFonts w:cs="Arial"/>
          <w:bCs/>
          <w:kern w:val="32"/>
          <w:szCs w:val="24"/>
        </w:rPr>
      </w:pPr>
      <w:r w:rsidRPr="00DD76C8">
        <w:t>putni troškovi dužnosnika ili člana privremenog osoblja, njegova bračnog druga i uzdržavanih osoba iz mjesta zaposlenja u mjesto podrijetla,</w:t>
      </w:r>
    </w:p>
    <w:p w:rsidR="002D1DA9" w:rsidRPr="00DD76C8" w:rsidRDefault="002D1DA9" w:rsidP="00FD2C57">
      <w:pPr>
        <w:widowControl/>
        <w:numPr>
          <w:ilvl w:val="0"/>
          <w:numId w:val="1"/>
        </w:numPr>
        <w:spacing w:before="60" w:after="60"/>
        <w:ind w:left="0" w:firstLine="0"/>
        <w:jc w:val="both"/>
        <w:rPr>
          <w:rFonts w:cs="Arial"/>
          <w:bCs/>
          <w:kern w:val="32"/>
          <w:szCs w:val="24"/>
        </w:rPr>
      </w:pPr>
      <w:r w:rsidRPr="00DD76C8">
        <w:t>učinak korekcijskih koeficijenata na primanja i udio primanja koji se prenosi u zemlju koja nije zemlja zaposlenja,</w:t>
      </w:r>
    </w:p>
    <w:p w:rsidR="002D1DA9" w:rsidRPr="00DD76C8" w:rsidRDefault="002D1DA9" w:rsidP="00FD2C57">
      <w:pPr>
        <w:widowControl/>
        <w:numPr>
          <w:ilvl w:val="0"/>
          <w:numId w:val="1"/>
        </w:numPr>
        <w:spacing w:before="60" w:after="60"/>
        <w:ind w:left="0" w:firstLine="0"/>
        <w:jc w:val="both"/>
        <w:rPr>
          <w:rFonts w:cs="Arial"/>
          <w:bCs/>
          <w:kern w:val="32"/>
          <w:szCs w:val="24"/>
        </w:rPr>
      </w:pPr>
      <w:r w:rsidRPr="00DD76C8">
        <w:t>osiguranje za slučaj nezaposlenosti privremenog osoblja te troškovi koje institucija plaća radi ostvarivanja ili zadržavanja mirovinskih prava u zemlji podrijetla za privremeno osoblje.</w:t>
      </w:r>
    </w:p>
    <w:p w:rsidR="002D1DA9" w:rsidRPr="00DD76C8" w:rsidRDefault="002D1DA9" w:rsidP="00FD2C57">
      <w:pPr>
        <w:widowControl/>
        <w:jc w:val="both"/>
        <w:rPr>
          <w:rFonts w:cs="Arial"/>
          <w:bCs/>
          <w:kern w:val="32"/>
          <w:szCs w:val="24"/>
        </w:rPr>
      </w:pPr>
      <w:r w:rsidRPr="00DD76C8">
        <w:t>Ova sredstva nadalje služe za pokrivanje premija osiguranja za sportske ozljede korisnika sportskog centra Europskog parlamenta u Bruxellesu i Strasbourgu.</w:t>
      </w:r>
    </w:p>
    <w:p w:rsidR="002D1DA9" w:rsidRPr="00DD76C8" w:rsidRDefault="002D1DA9" w:rsidP="00FD2C57">
      <w:pPr>
        <w:widowControl/>
        <w:jc w:val="both"/>
        <w:rPr>
          <w:rFonts w:cs="Arial"/>
          <w:bCs/>
          <w:kern w:val="32"/>
          <w:szCs w:val="24"/>
        </w:rPr>
      </w:pPr>
      <w:r w:rsidRPr="00DD76C8">
        <w:t>Iznos namjenskih prihoda u skladu s člankom 21. stavkom 3. Financijske uredbe procjenjuje se na 350 000 EUR.</w:t>
      </w:r>
    </w:p>
    <w:p w:rsidR="002D1DA9" w:rsidRPr="00DD76C8" w:rsidRDefault="002D1DA9" w:rsidP="00FD2C57">
      <w:pPr>
        <w:widowControl/>
        <w:autoSpaceDE w:val="0"/>
        <w:autoSpaceDN w:val="0"/>
        <w:spacing w:before="120" w:after="120"/>
        <w:rPr>
          <w:i/>
          <w:iCs/>
          <w:sz w:val="20"/>
        </w:rPr>
      </w:pPr>
      <w:r w:rsidRPr="00DD76C8">
        <w:rPr>
          <w:i/>
          <w:sz w:val="20"/>
        </w:rPr>
        <w:t>Pravna osnova</w:t>
      </w:r>
    </w:p>
    <w:p w:rsidR="002D1DA9" w:rsidRPr="00DD76C8" w:rsidRDefault="002D1DA9" w:rsidP="00FD2C57">
      <w:pPr>
        <w:widowControl/>
        <w:jc w:val="both"/>
        <w:rPr>
          <w:rFonts w:cs="Arial"/>
          <w:bCs/>
          <w:kern w:val="32"/>
          <w:szCs w:val="24"/>
        </w:rPr>
      </w:pPr>
      <w:r w:rsidRPr="00DD76C8">
        <w:t>Pravilnik o osoblju za dužnosnike Europske unije.</w:t>
      </w:r>
    </w:p>
    <w:p w:rsidR="002D1DA9" w:rsidRPr="00DD76C8" w:rsidRDefault="002D1DA9" w:rsidP="00FD2C57">
      <w:pPr>
        <w:widowControl/>
        <w:jc w:val="both"/>
        <w:rPr>
          <w:rFonts w:cs="Arial"/>
          <w:bCs/>
          <w:kern w:val="32"/>
          <w:szCs w:val="24"/>
        </w:rPr>
      </w:pPr>
      <w:r w:rsidRPr="00DD76C8">
        <w:t>Uvjeti zaposlenja ostalih službenika Europske unije.</w:t>
      </w:r>
    </w:p>
    <w:p w:rsidR="002D1DA9" w:rsidRPr="00DD76C8" w:rsidRDefault="002D1DA9" w:rsidP="00FD2C57">
      <w:pPr>
        <w:widowControl/>
        <w:autoSpaceDE w:val="0"/>
        <w:autoSpaceDN w:val="0"/>
        <w:spacing w:before="480" w:after="120"/>
        <w:outlineLvl w:val="4"/>
        <w:rPr>
          <w:sz w:val="22"/>
          <w:szCs w:val="22"/>
        </w:rPr>
      </w:pPr>
      <w:r w:rsidRPr="00DD76C8">
        <w:rPr>
          <w:sz w:val="22"/>
        </w:rPr>
        <w:t>Stavka 1 2 0 2 — Naknada za prekovremeni rad</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Odobrena sredstva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134 000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135 000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60 000,00</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widowControl/>
        <w:jc w:val="both"/>
        <w:rPr>
          <w:rFonts w:cs="Arial"/>
          <w:bCs/>
          <w:kern w:val="32"/>
          <w:szCs w:val="24"/>
        </w:rPr>
      </w:pPr>
      <w:r w:rsidRPr="00DD76C8">
        <w:t>Ova sredstva namijenjena su plaćanju naknade za prekovremeni rad u skladu s navedenim odredbama.</w:t>
      </w:r>
    </w:p>
    <w:p w:rsidR="002D1DA9" w:rsidRPr="00DD76C8" w:rsidRDefault="002D1DA9" w:rsidP="00FD2C57">
      <w:pPr>
        <w:widowControl/>
        <w:jc w:val="both"/>
        <w:rPr>
          <w:rFonts w:cs="Arial"/>
          <w:bCs/>
          <w:kern w:val="32"/>
          <w:szCs w:val="24"/>
        </w:rPr>
      </w:pPr>
      <w:r w:rsidRPr="00DD76C8">
        <w:t>Iznos dodijeljenih prihoda u skladu s člankom 21. stavkom 3. Financijske uredbe procjenjuje se na 100 EUR.</w:t>
      </w:r>
    </w:p>
    <w:p w:rsidR="002D1DA9" w:rsidRPr="00DD76C8" w:rsidRDefault="002D1DA9" w:rsidP="00FD2C57">
      <w:pPr>
        <w:widowControl/>
        <w:autoSpaceDE w:val="0"/>
        <w:autoSpaceDN w:val="0"/>
        <w:spacing w:before="120" w:after="120"/>
        <w:rPr>
          <w:i/>
          <w:iCs/>
          <w:sz w:val="20"/>
        </w:rPr>
      </w:pPr>
      <w:r w:rsidRPr="00DD76C8">
        <w:rPr>
          <w:i/>
          <w:sz w:val="20"/>
        </w:rPr>
        <w:t>Pravna osnova</w:t>
      </w:r>
    </w:p>
    <w:p w:rsidR="002D1DA9" w:rsidRPr="00DD76C8" w:rsidRDefault="002D1DA9" w:rsidP="00FD2C57">
      <w:pPr>
        <w:widowControl/>
        <w:jc w:val="both"/>
        <w:rPr>
          <w:rFonts w:cs="Arial"/>
          <w:bCs/>
          <w:kern w:val="32"/>
          <w:szCs w:val="24"/>
        </w:rPr>
      </w:pPr>
      <w:r w:rsidRPr="00DD76C8">
        <w:t>Pravilnik o osoblju za dužnosnike Europske unije, a posebno njegov članak 56. i Prilog VI. Pravilniku.</w:t>
      </w:r>
    </w:p>
    <w:p w:rsidR="002D1DA9" w:rsidRPr="00DD76C8" w:rsidRDefault="002D1DA9" w:rsidP="00FD2C57">
      <w:pPr>
        <w:widowControl/>
        <w:jc w:val="both"/>
        <w:rPr>
          <w:rFonts w:cs="Arial"/>
          <w:bCs/>
          <w:kern w:val="32"/>
          <w:szCs w:val="24"/>
        </w:rPr>
      </w:pPr>
      <w:r w:rsidRPr="00DD76C8">
        <w:t>Uvjeti zaposlenja ostalih službenika Europske unije.</w:t>
      </w:r>
    </w:p>
    <w:p w:rsidR="002D1DA9" w:rsidRPr="00DD76C8" w:rsidRDefault="002D1DA9" w:rsidP="00FD2C57">
      <w:pPr>
        <w:widowControl/>
        <w:autoSpaceDE w:val="0"/>
        <w:autoSpaceDN w:val="0"/>
        <w:spacing w:before="480" w:after="120"/>
        <w:outlineLvl w:val="4"/>
        <w:rPr>
          <w:sz w:val="22"/>
          <w:szCs w:val="22"/>
        </w:rPr>
      </w:pPr>
      <w:r w:rsidRPr="00DD76C8">
        <w:rPr>
          <w:sz w:val="22"/>
        </w:rPr>
        <w:t>Stavka 1 2 0 4 — Prava pri stupanju u službu, premještaju i odlasku iz službe</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Odobrena sredstva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3 430 000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2 950 000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3 425 000,00</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keepNext/>
        <w:widowControl/>
        <w:jc w:val="both"/>
        <w:rPr>
          <w:rFonts w:cs="Arial"/>
          <w:bCs/>
          <w:kern w:val="32"/>
          <w:szCs w:val="24"/>
        </w:rPr>
      </w:pPr>
      <w:r w:rsidRPr="00DD76C8">
        <w:t>Ova sredstva namijenjena su za pokrivanje:</w:t>
      </w:r>
    </w:p>
    <w:p w:rsidR="002D1DA9" w:rsidRPr="00DD76C8" w:rsidRDefault="002D1DA9" w:rsidP="00FD2C57">
      <w:pPr>
        <w:widowControl/>
        <w:numPr>
          <w:ilvl w:val="0"/>
          <w:numId w:val="2"/>
        </w:numPr>
        <w:spacing w:before="60" w:after="60"/>
        <w:ind w:left="0" w:firstLine="0"/>
        <w:jc w:val="both"/>
        <w:rPr>
          <w:rFonts w:cs="Arial"/>
          <w:bCs/>
          <w:kern w:val="32"/>
          <w:szCs w:val="24"/>
        </w:rPr>
      </w:pPr>
      <w:r w:rsidRPr="00DD76C8">
        <w:t>putnih troškova dužnosnika i privremenog osoblja (uključujući one njihovih članova obitelji) pri stupanju u službu, odlasku iz službe ili premještaju koji podrazumijeva promjenu mjesta zaposlenja,</w:t>
      </w:r>
    </w:p>
    <w:p w:rsidR="002D1DA9" w:rsidRPr="00DD76C8" w:rsidRDefault="002D1DA9" w:rsidP="00FD2C57">
      <w:pPr>
        <w:widowControl/>
        <w:numPr>
          <w:ilvl w:val="0"/>
          <w:numId w:val="2"/>
        </w:numPr>
        <w:spacing w:before="60" w:after="60"/>
        <w:ind w:left="0" w:firstLine="0"/>
        <w:jc w:val="both"/>
        <w:rPr>
          <w:rFonts w:cs="Arial"/>
          <w:bCs/>
          <w:kern w:val="32"/>
          <w:szCs w:val="24"/>
        </w:rPr>
      </w:pPr>
      <w:r w:rsidRPr="00DD76C8">
        <w:t>naknada za nastanjenje i preseljenje te troškova selidbe dužnosnika i privremenog osoblja koje uslijed stupanja u službu, službe u drugom mjestu zaposlenja ili konačnog odlaska iz službe promijeni stalno boravište te se ponovno mora nastaniti u drugom mjestu,</w:t>
      </w:r>
    </w:p>
    <w:p w:rsidR="002D1DA9" w:rsidRPr="00DD76C8" w:rsidRDefault="002D1DA9" w:rsidP="00FD2C57">
      <w:pPr>
        <w:widowControl/>
        <w:numPr>
          <w:ilvl w:val="0"/>
          <w:numId w:val="2"/>
        </w:numPr>
        <w:spacing w:before="60" w:after="60"/>
        <w:ind w:left="0" w:firstLine="0"/>
        <w:jc w:val="both"/>
        <w:rPr>
          <w:rFonts w:cs="Arial"/>
          <w:bCs/>
          <w:kern w:val="32"/>
          <w:szCs w:val="24"/>
        </w:rPr>
      </w:pPr>
      <w:r w:rsidRPr="00DD76C8">
        <w:t>dnevnica za dužnosnike i privremeno osoblje koje dokaže da uslijed stupanja u službu ili službe u drugom mjestu zaposlenja mora promijeniti mjesto stanovanja,</w:t>
      </w:r>
    </w:p>
    <w:p w:rsidR="002D1DA9" w:rsidRPr="00DD76C8" w:rsidRDefault="002D1DA9" w:rsidP="00FD2C57">
      <w:pPr>
        <w:widowControl/>
        <w:numPr>
          <w:ilvl w:val="0"/>
          <w:numId w:val="2"/>
        </w:numPr>
        <w:spacing w:before="60" w:after="60"/>
        <w:ind w:left="0" w:firstLine="0"/>
        <w:jc w:val="both"/>
        <w:rPr>
          <w:rFonts w:cs="Arial"/>
          <w:bCs/>
          <w:kern w:val="32"/>
          <w:szCs w:val="24"/>
        </w:rPr>
      </w:pPr>
      <w:r w:rsidRPr="00DD76C8">
        <w:t>naknada za prestanak radnog odnosa dužnosnika na probnom roku u slučaju njezinih ili njegovih očigledno nedostatnih sposobnosti,</w:t>
      </w:r>
    </w:p>
    <w:p w:rsidR="002D1DA9" w:rsidRPr="00DD76C8" w:rsidRDefault="002D1DA9" w:rsidP="00FD2C57">
      <w:pPr>
        <w:widowControl/>
        <w:numPr>
          <w:ilvl w:val="0"/>
          <w:numId w:val="2"/>
        </w:numPr>
        <w:spacing w:before="60" w:after="60"/>
        <w:ind w:left="0" w:firstLine="0"/>
        <w:jc w:val="both"/>
        <w:rPr>
          <w:rFonts w:cs="Arial"/>
          <w:bCs/>
          <w:kern w:val="32"/>
          <w:szCs w:val="24"/>
        </w:rPr>
      </w:pPr>
      <w:r w:rsidRPr="00DD76C8">
        <w:t>naknada za otkaz ugovora o radu članu privremenog osoblja ako ugovor otkaže institucija,</w:t>
      </w:r>
    </w:p>
    <w:p w:rsidR="002D1DA9" w:rsidRPr="00DD76C8" w:rsidRDefault="002D1DA9" w:rsidP="00FD2C57">
      <w:pPr>
        <w:widowControl/>
        <w:numPr>
          <w:ilvl w:val="0"/>
          <w:numId w:val="2"/>
        </w:numPr>
        <w:spacing w:before="60" w:after="60"/>
        <w:ind w:left="0" w:firstLine="0"/>
        <w:jc w:val="both"/>
        <w:rPr>
          <w:rFonts w:cs="Arial"/>
          <w:bCs/>
          <w:kern w:val="32"/>
          <w:szCs w:val="24"/>
        </w:rPr>
      </w:pPr>
      <w:r w:rsidRPr="00DD76C8">
        <w:t>razlika između doprinosa ugovornog osoblja u sustav mirovinskog osiguranja države članice i iznosa koji se plaćaju mirovinskom osiguranju Zajednice u slučaju sklapanja nove vrste ugovora.</w:t>
      </w:r>
    </w:p>
    <w:p w:rsidR="002D1DA9" w:rsidRPr="00DD76C8" w:rsidRDefault="002D1DA9" w:rsidP="00FD2C57">
      <w:pPr>
        <w:widowControl/>
        <w:jc w:val="both"/>
        <w:rPr>
          <w:rFonts w:cs="Arial"/>
          <w:bCs/>
          <w:kern w:val="32"/>
          <w:szCs w:val="24"/>
        </w:rPr>
      </w:pPr>
      <w:r w:rsidRPr="00DD76C8">
        <w:t>Iznos dodijeljenih prihoda u skladu s člankom 21. stavkom 3. Financijske uredbe procjenjuje se na 100 EUR.</w:t>
      </w:r>
    </w:p>
    <w:p w:rsidR="002D1DA9" w:rsidRPr="00DD76C8" w:rsidRDefault="002D1DA9" w:rsidP="00FD2C57">
      <w:pPr>
        <w:widowControl/>
        <w:autoSpaceDE w:val="0"/>
        <w:autoSpaceDN w:val="0"/>
        <w:spacing w:before="120" w:after="120"/>
        <w:rPr>
          <w:i/>
          <w:iCs/>
          <w:sz w:val="20"/>
        </w:rPr>
      </w:pPr>
      <w:r w:rsidRPr="00DD76C8">
        <w:rPr>
          <w:i/>
          <w:sz w:val="20"/>
        </w:rPr>
        <w:t>Pravna osnova</w:t>
      </w:r>
    </w:p>
    <w:p w:rsidR="002D1DA9" w:rsidRPr="00DD76C8" w:rsidRDefault="002D1DA9" w:rsidP="00FD2C57">
      <w:pPr>
        <w:widowControl/>
        <w:jc w:val="both"/>
        <w:rPr>
          <w:rFonts w:cs="Arial"/>
          <w:bCs/>
          <w:kern w:val="32"/>
          <w:szCs w:val="24"/>
        </w:rPr>
      </w:pPr>
      <w:r w:rsidRPr="00DD76C8">
        <w:t>Pravilnik o osoblju za dužnosnike Europske unije.</w:t>
      </w:r>
    </w:p>
    <w:p w:rsidR="002D1DA9" w:rsidRPr="00DD76C8" w:rsidRDefault="002D1DA9" w:rsidP="00FD2C57">
      <w:pPr>
        <w:widowControl/>
        <w:jc w:val="both"/>
        <w:rPr>
          <w:rFonts w:cs="Arial"/>
          <w:bCs/>
          <w:kern w:val="32"/>
          <w:szCs w:val="24"/>
        </w:rPr>
      </w:pPr>
      <w:r w:rsidRPr="00DD76C8">
        <w:t>Uvjeti zaposlenja ostalih službenika Europske unije.</w:t>
      </w:r>
    </w:p>
    <w:p w:rsidR="002D1DA9" w:rsidRPr="00DD76C8" w:rsidRDefault="002D1DA9" w:rsidP="00FD2C57">
      <w:pPr>
        <w:widowControl/>
        <w:autoSpaceDE w:val="0"/>
        <w:autoSpaceDN w:val="0"/>
        <w:spacing w:before="480" w:after="120"/>
        <w:outlineLvl w:val="3"/>
        <w:rPr>
          <w:b/>
          <w:bCs/>
          <w:i/>
          <w:iCs/>
          <w:szCs w:val="24"/>
        </w:rPr>
      </w:pPr>
      <w:r w:rsidRPr="00DD76C8">
        <w:rPr>
          <w:b/>
          <w:i/>
        </w:rPr>
        <w:t>Članak 1 2 2 — Naknade za prijevremeni odlazak iz službe</w:t>
      </w:r>
    </w:p>
    <w:p w:rsidR="002D1DA9" w:rsidRPr="00DD76C8" w:rsidRDefault="002D1DA9" w:rsidP="00FD2C57">
      <w:pPr>
        <w:widowControl/>
        <w:autoSpaceDE w:val="0"/>
        <w:autoSpaceDN w:val="0"/>
        <w:spacing w:before="480" w:after="120"/>
        <w:outlineLvl w:val="4"/>
        <w:rPr>
          <w:sz w:val="22"/>
          <w:szCs w:val="22"/>
        </w:rPr>
      </w:pPr>
      <w:r w:rsidRPr="00DD76C8">
        <w:rPr>
          <w:sz w:val="22"/>
        </w:rPr>
        <w:t>Stavka 1 2 2 0 — Naknade za osoblje umirovljeno i poslano na dopust u interesu službe</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Odobrena sredstva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1 200 000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1 155 000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757 433,06</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keepNext/>
        <w:widowControl/>
        <w:jc w:val="both"/>
        <w:rPr>
          <w:rFonts w:cs="Arial"/>
          <w:bCs/>
          <w:kern w:val="32"/>
          <w:szCs w:val="24"/>
        </w:rPr>
      </w:pPr>
      <w:r w:rsidRPr="00DD76C8">
        <w:t>Ova sredstva namijenjena su za pokrivanje naknada koje se isplaćuju:</w:t>
      </w:r>
    </w:p>
    <w:p w:rsidR="002D1DA9" w:rsidRPr="00DD76C8" w:rsidRDefault="002D1DA9" w:rsidP="00FD2C57">
      <w:pPr>
        <w:widowControl/>
        <w:numPr>
          <w:ilvl w:val="0"/>
          <w:numId w:val="3"/>
        </w:numPr>
        <w:spacing w:before="60" w:after="60"/>
        <w:ind w:left="0" w:firstLine="0"/>
        <w:jc w:val="both"/>
        <w:rPr>
          <w:rFonts w:cs="Arial"/>
          <w:bCs/>
          <w:kern w:val="32"/>
          <w:szCs w:val="24"/>
        </w:rPr>
      </w:pPr>
      <w:r w:rsidRPr="00DD76C8">
        <w:t>dužnosnicima kojima je dodijeljen neaktivni status kao posljedica smanjenja broja radnih mjesta u instituciji,</w:t>
      </w:r>
    </w:p>
    <w:p w:rsidR="002D1DA9" w:rsidRPr="00DD76C8" w:rsidRDefault="002D1DA9" w:rsidP="00FD2C57">
      <w:pPr>
        <w:widowControl/>
        <w:numPr>
          <w:ilvl w:val="0"/>
          <w:numId w:val="3"/>
        </w:numPr>
        <w:spacing w:before="60" w:after="60"/>
        <w:ind w:left="0" w:firstLine="0"/>
        <w:jc w:val="both"/>
        <w:rPr>
          <w:rFonts w:cs="Arial"/>
          <w:bCs/>
          <w:kern w:val="32"/>
          <w:szCs w:val="24"/>
        </w:rPr>
      </w:pPr>
      <w:r w:rsidRPr="00DD76C8">
        <w:t>dužnosnicima koji su poslani na dopust iz organizacijskih razloga povezanih sa stjecanjem novih vještina u instituciji,</w:t>
      </w:r>
    </w:p>
    <w:p w:rsidR="002D1DA9" w:rsidRPr="00DD76C8" w:rsidRDefault="002D1DA9" w:rsidP="00FD2C57">
      <w:pPr>
        <w:widowControl/>
        <w:numPr>
          <w:ilvl w:val="0"/>
          <w:numId w:val="3"/>
        </w:numPr>
        <w:spacing w:before="60" w:after="60"/>
        <w:ind w:left="0" w:firstLine="0"/>
        <w:jc w:val="both"/>
        <w:rPr>
          <w:rFonts w:cs="Arial"/>
          <w:bCs/>
          <w:kern w:val="32"/>
          <w:szCs w:val="24"/>
        </w:rPr>
      </w:pPr>
      <w:r w:rsidRPr="00DD76C8">
        <w:t>dužnosnicima i privremenim djelatnicima klubova zastupnika zaposlenih na višim položajima u platnim razredima AD 16 i AD 15 koji su umirovljeni u interesu službe.</w:t>
      </w:r>
    </w:p>
    <w:p w:rsidR="002D1DA9" w:rsidRPr="00DD76C8" w:rsidRDefault="002D1DA9" w:rsidP="00FD2C57">
      <w:pPr>
        <w:widowControl/>
        <w:jc w:val="both"/>
        <w:rPr>
          <w:rFonts w:cs="Arial"/>
          <w:bCs/>
          <w:kern w:val="32"/>
          <w:szCs w:val="24"/>
        </w:rPr>
      </w:pPr>
      <w:r w:rsidRPr="00DD76C8">
        <w:t>Ta odobrena sredstva pokrivaju i doprinose poslodavca za zdravstveno osiguranje te učinke korekcijskih koeficijenata koji se primjenjuju na te naknade (osim korisnika na koje se primjenjuje članak 42.c i koji nemaju pravo na korektivni koeficijent).</w:t>
      </w:r>
    </w:p>
    <w:p w:rsidR="002D1DA9" w:rsidRPr="00DD76C8" w:rsidRDefault="002D1DA9" w:rsidP="00FD2C57">
      <w:pPr>
        <w:widowControl/>
        <w:jc w:val="both"/>
        <w:rPr>
          <w:rFonts w:cs="Arial"/>
          <w:bCs/>
          <w:kern w:val="32"/>
          <w:szCs w:val="24"/>
        </w:rPr>
      </w:pPr>
      <w:r w:rsidRPr="00DD76C8">
        <w:t>Iznos dodijeljenih prihoda u skladu s člankom 21. stavkom 3. Financijske uredbe procjenjuje se na 100 EUR.</w:t>
      </w:r>
    </w:p>
    <w:p w:rsidR="002D1DA9" w:rsidRPr="00DD76C8" w:rsidRDefault="002D1DA9" w:rsidP="00FD2C57">
      <w:pPr>
        <w:widowControl/>
        <w:autoSpaceDE w:val="0"/>
        <w:autoSpaceDN w:val="0"/>
        <w:spacing w:before="120" w:after="120"/>
        <w:rPr>
          <w:i/>
          <w:iCs/>
          <w:sz w:val="20"/>
        </w:rPr>
      </w:pPr>
      <w:r w:rsidRPr="00DD76C8">
        <w:rPr>
          <w:i/>
          <w:sz w:val="20"/>
        </w:rPr>
        <w:t>Pravna osnova</w:t>
      </w:r>
    </w:p>
    <w:p w:rsidR="002D1DA9" w:rsidRPr="00DD76C8" w:rsidRDefault="002D1DA9" w:rsidP="00FD2C57">
      <w:pPr>
        <w:widowControl/>
        <w:jc w:val="both"/>
        <w:rPr>
          <w:rFonts w:cs="Arial"/>
          <w:bCs/>
          <w:kern w:val="32"/>
          <w:szCs w:val="24"/>
        </w:rPr>
      </w:pPr>
      <w:r w:rsidRPr="00DD76C8">
        <w:t>Pravilnik o osoblju za dužnosnike Europske unije, a posebno članci 41. i 42.c, 50. i Prilog IV. te članak 48.a Uvjeta zaposlenja ostalih službenika Europske unije.</w:t>
      </w:r>
    </w:p>
    <w:p w:rsidR="002D1DA9" w:rsidRPr="00DD76C8" w:rsidRDefault="002D1DA9" w:rsidP="00FD2C57">
      <w:pPr>
        <w:widowControl/>
        <w:autoSpaceDE w:val="0"/>
        <w:autoSpaceDN w:val="0"/>
        <w:spacing w:before="480" w:after="120"/>
        <w:outlineLvl w:val="4"/>
        <w:rPr>
          <w:sz w:val="22"/>
          <w:szCs w:val="22"/>
        </w:rPr>
      </w:pPr>
      <w:r w:rsidRPr="00DD76C8">
        <w:rPr>
          <w:sz w:val="22"/>
        </w:rPr>
        <w:t>Stavka 1 2 2 2 — Naknade za konačni odlazak iz službe i posebni mirovinski sustav za dužnosnike i privremeno osoblje</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Odobrena sredstva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p.m.</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p.m.</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0,—</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keepNext/>
        <w:widowControl/>
        <w:jc w:val="both"/>
        <w:rPr>
          <w:rFonts w:cs="Arial"/>
          <w:bCs/>
          <w:kern w:val="32"/>
          <w:szCs w:val="24"/>
        </w:rPr>
      </w:pPr>
      <w:r w:rsidRPr="00DD76C8">
        <w:t>Ova sredstva namijenjena su za pokrivanje:</w:t>
      </w:r>
    </w:p>
    <w:p w:rsidR="002D1DA9" w:rsidRPr="00DD76C8" w:rsidRDefault="002D1DA9" w:rsidP="00FD2C57">
      <w:pPr>
        <w:widowControl/>
        <w:numPr>
          <w:ilvl w:val="0"/>
          <w:numId w:val="4"/>
        </w:numPr>
        <w:spacing w:before="60" w:after="60"/>
        <w:ind w:left="0" w:firstLine="0"/>
        <w:jc w:val="both"/>
        <w:rPr>
          <w:rFonts w:cs="Arial"/>
          <w:bCs/>
          <w:kern w:val="32"/>
          <w:szCs w:val="24"/>
        </w:rPr>
      </w:pPr>
      <w:r w:rsidRPr="00DD76C8">
        <w:t>naknada koje se plaćaju u skladu s Pravilnikom o osoblju ili uredbama (EZ, Euratom, EZUČ) br. 2689/95 i (EZ, Euratom) br. 1748/2002,</w:t>
      </w:r>
    </w:p>
    <w:p w:rsidR="002D1DA9" w:rsidRPr="00DD76C8" w:rsidRDefault="002D1DA9" w:rsidP="00FD2C57">
      <w:pPr>
        <w:widowControl/>
        <w:numPr>
          <w:ilvl w:val="0"/>
          <w:numId w:val="4"/>
        </w:numPr>
        <w:spacing w:before="60" w:after="60"/>
        <w:ind w:left="0" w:firstLine="0"/>
        <w:jc w:val="both"/>
        <w:rPr>
          <w:rFonts w:cs="Arial"/>
          <w:bCs/>
          <w:kern w:val="32"/>
          <w:szCs w:val="24"/>
        </w:rPr>
      </w:pPr>
      <w:r w:rsidRPr="00DD76C8">
        <w:t>doprinosa poslodavca za zdravstveno osiguranje primatelja naknada,</w:t>
      </w:r>
    </w:p>
    <w:p w:rsidR="002D1DA9" w:rsidRPr="00DD76C8" w:rsidRDefault="002D1DA9" w:rsidP="00FD2C57">
      <w:pPr>
        <w:widowControl/>
        <w:numPr>
          <w:ilvl w:val="0"/>
          <w:numId w:val="4"/>
        </w:numPr>
        <w:spacing w:before="60" w:after="60"/>
        <w:ind w:left="0" w:firstLine="0"/>
        <w:jc w:val="both"/>
        <w:rPr>
          <w:rFonts w:cs="Arial"/>
          <w:bCs/>
          <w:kern w:val="32"/>
          <w:szCs w:val="24"/>
        </w:rPr>
      </w:pPr>
      <w:r w:rsidRPr="00DD76C8">
        <w:t>učinaka korekcijskog koeficijenta koji se primjenjuju na pojedine naknade.</w:t>
      </w:r>
    </w:p>
    <w:p w:rsidR="002D1DA9" w:rsidRPr="00DD76C8" w:rsidRDefault="002D1DA9" w:rsidP="00FD2C57">
      <w:pPr>
        <w:widowControl/>
        <w:jc w:val="both"/>
        <w:rPr>
          <w:rFonts w:cs="Arial"/>
          <w:bCs/>
          <w:kern w:val="32"/>
          <w:szCs w:val="24"/>
        </w:rPr>
      </w:pPr>
      <w:r w:rsidRPr="00DD76C8">
        <w:t>Iznos dodijeljenih prihoda u skladu s člankom 21. stavkom 3. Financijske uredbe procjenjuje se na 100 EUR.</w:t>
      </w:r>
    </w:p>
    <w:p w:rsidR="002D1DA9" w:rsidRPr="00DD76C8" w:rsidRDefault="002D1DA9" w:rsidP="00FD2C57">
      <w:pPr>
        <w:widowControl/>
        <w:autoSpaceDE w:val="0"/>
        <w:autoSpaceDN w:val="0"/>
        <w:spacing w:before="120" w:after="120"/>
        <w:rPr>
          <w:i/>
          <w:iCs/>
          <w:sz w:val="20"/>
        </w:rPr>
      </w:pPr>
      <w:r w:rsidRPr="00DD76C8">
        <w:rPr>
          <w:i/>
          <w:sz w:val="20"/>
        </w:rPr>
        <w:t>Pravna osnova</w:t>
      </w:r>
    </w:p>
    <w:p w:rsidR="002D1DA9" w:rsidRPr="00DD76C8" w:rsidRDefault="002D1DA9" w:rsidP="00FD2C57">
      <w:pPr>
        <w:widowControl/>
        <w:jc w:val="both"/>
        <w:rPr>
          <w:rFonts w:cs="Arial"/>
          <w:bCs/>
          <w:kern w:val="32"/>
          <w:szCs w:val="24"/>
        </w:rPr>
      </w:pPr>
      <w:r w:rsidRPr="00DD76C8">
        <w:t>Pravilnik o osoblju za dužnosnike Europske unije, a posebno njegovi članci 64. i 72.</w:t>
      </w:r>
    </w:p>
    <w:p w:rsidR="002D1DA9" w:rsidRPr="00DD76C8" w:rsidRDefault="002D1DA9" w:rsidP="00FD2C57">
      <w:pPr>
        <w:widowControl/>
        <w:jc w:val="both"/>
        <w:rPr>
          <w:rFonts w:cs="Arial"/>
          <w:bCs/>
          <w:kern w:val="32"/>
          <w:szCs w:val="24"/>
        </w:rPr>
      </w:pPr>
      <w:r w:rsidRPr="00DD76C8">
        <w:t>Uredba Vijeća (EZ, Euratom, EZUČ) br. 2689/95 od 17. studenog 1995. o uvođenju posebnih mjera u vezi s konačnim odlaskom iz službe privremenog osoblja Europskih zajednica zbog pristupanja Austrije, Finske i Švedske (SL L 280, 23.11.1995., str. 4.).</w:t>
      </w:r>
    </w:p>
    <w:p w:rsidR="002D1DA9" w:rsidRPr="00DD76C8" w:rsidRDefault="002D1DA9" w:rsidP="00FD2C57">
      <w:pPr>
        <w:widowControl/>
        <w:jc w:val="both"/>
        <w:rPr>
          <w:rFonts w:cs="Arial"/>
          <w:bCs/>
          <w:kern w:val="32"/>
          <w:szCs w:val="24"/>
        </w:rPr>
      </w:pPr>
      <w:r w:rsidRPr="00DD76C8">
        <w:t>Uredba Vijeća (EZ, Euratom) br. 1748/2002 od 30. rujna 2002. o uvođenju posebnih mjera u okviru modernizacije institucije koje se odnose na konačni odlazak iz službe dužnosnika Europskih zajednica sa stalnim radnim mjestom u Europskom parlamentu i privremenog osoblja klubova zastupnika u Europskom parlamentu (SL L 264, 2.10.2002., str. 9.).</w:t>
      </w:r>
    </w:p>
    <w:p w:rsidR="002D1DA9" w:rsidRPr="00DD76C8" w:rsidRDefault="002D1DA9" w:rsidP="00FD2C57">
      <w:pPr>
        <w:widowControl/>
        <w:autoSpaceDE w:val="0"/>
        <w:autoSpaceDN w:val="0"/>
        <w:spacing w:before="480" w:after="120"/>
        <w:outlineLvl w:val="2"/>
        <w:rPr>
          <w:b/>
          <w:bCs/>
          <w:smallCaps/>
          <w:sz w:val="28"/>
          <w:szCs w:val="28"/>
        </w:rPr>
      </w:pPr>
      <w:r w:rsidRPr="00DD76C8">
        <w:rPr>
          <w:b/>
          <w:smallCaps/>
          <w:sz w:val="28"/>
        </w:rPr>
        <w:t>Poglavlje 1 4 — Ostalo osoblje i vanjske usluge</w:t>
      </w:r>
    </w:p>
    <w:p w:rsidR="002D1DA9" w:rsidRPr="00DD76C8" w:rsidRDefault="002D1DA9" w:rsidP="00FD2C57">
      <w:pPr>
        <w:widowControl/>
        <w:autoSpaceDE w:val="0"/>
        <w:autoSpaceDN w:val="0"/>
        <w:spacing w:before="480" w:after="120"/>
        <w:outlineLvl w:val="3"/>
        <w:rPr>
          <w:b/>
          <w:bCs/>
          <w:i/>
          <w:iCs/>
          <w:szCs w:val="24"/>
        </w:rPr>
      </w:pPr>
      <w:r w:rsidRPr="00DD76C8">
        <w:rPr>
          <w:b/>
          <w:i/>
        </w:rPr>
        <w:t>Članak 1 4 0 — Ostalo osoblje i vanjski suradnici</w:t>
      </w:r>
    </w:p>
    <w:p w:rsidR="002D1DA9" w:rsidRPr="00DD76C8" w:rsidRDefault="002D1DA9" w:rsidP="00FD2C57">
      <w:pPr>
        <w:widowControl/>
        <w:autoSpaceDE w:val="0"/>
        <w:autoSpaceDN w:val="0"/>
        <w:spacing w:before="480" w:after="120"/>
        <w:outlineLvl w:val="4"/>
        <w:rPr>
          <w:sz w:val="22"/>
          <w:szCs w:val="22"/>
        </w:rPr>
      </w:pPr>
      <w:r w:rsidRPr="00DD76C8">
        <w:rPr>
          <w:sz w:val="22"/>
        </w:rPr>
        <w:t>Stavak 1 4 0 0 — Ostalo osoblje — Glavno tajništvo i klubovi zastupnika</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Odobrena sredstva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47 579 000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44 392 000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41 021 126,59</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keepNext/>
        <w:widowControl/>
        <w:jc w:val="both"/>
        <w:rPr>
          <w:rFonts w:cs="Arial"/>
          <w:bCs/>
          <w:kern w:val="32"/>
          <w:szCs w:val="24"/>
        </w:rPr>
      </w:pPr>
      <w:r w:rsidRPr="00DD76C8">
        <w:t>Tim se sredstvima u prvom redu pokrivaju sljedeći troškovi, osim kada je riječ o ostalom osoblju koje radi u Glavnoj upravi za sigurnost i obavlja dužnosti povezane sa sigurnošću osoba i imovine, informacijskom sigurnošću i procjenom rizika te dužnostima povezanima s drugim zaposlenicima koji rade kao vozači pri Glavnom tajništvu ili su zaduženi za njihovu koordinaciju:</w:t>
      </w:r>
    </w:p>
    <w:p w:rsidR="002D1DA9" w:rsidRPr="00DD76C8" w:rsidRDefault="002D1DA9" w:rsidP="00FD2C57">
      <w:pPr>
        <w:widowControl/>
        <w:numPr>
          <w:ilvl w:val="0"/>
          <w:numId w:val="5"/>
        </w:numPr>
        <w:spacing w:before="60" w:after="60"/>
        <w:ind w:left="0" w:firstLine="0"/>
        <w:jc w:val="both"/>
        <w:rPr>
          <w:rFonts w:cs="Arial"/>
          <w:bCs/>
          <w:kern w:val="32"/>
          <w:szCs w:val="24"/>
        </w:rPr>
      </w:pPr>
      <w:r w:rsidRPr="00DD76C8">
        <w:t>primanja, uključujući dodatke i naknade, ostalog osoblja, pa i ugovornog osoblja i posebnih savjetnika (u skladu s Uvjetima zaposlenja ostalih službenika Europske unije), doprinose poslodavca za različite sustave socijalnog osiguranja, u prvom redu sustave Zajednice, i učinke korekcijskih koeficijenata koji se primjenjuju na primanja tog osoblja,</w:t>
      </w:r>
    </w:p>
    <w:p w:rsidR="002D1DA9" w:rsidRPr="00DD76C8" w:rsidRDefault="002D1DA9" w:rsidP="00FD2C57">
      <w:pPr>
        <w:widowControl/>
        <w:numPr>
          <w:ilvl w:val="0"/>
          <w:numId w:val="5"/>
        </w:numPr>
        <w:spacing w:before="60" w:after="60"/>
        <w:ind w:left="0" w:firstLine="0"/>
        <w:jc w:val="both"/>
        <w:rPr>
          <w:rFonts w:cs="Arial"/>
          <w:bCs/>
          <w:kern w:val="32"/>
          <w:szCs w:val="24"/>
        </w:rPr>
      </w:pPr>
      <w:r w:rsidRPr="00DD76C8">
        <w:t>zaposlenje vanjskih suradnika,</w:t>
      </w:r>
    </w:p>
    <w:p w:rsidR="002D1DA9" w:rsidRPr="00DD76C8" w:rsidRDefault="002D1DA9" w:rsidP="00FD2C57">
      <w:pPr>
        <w:widowControl/>
        <w:numPr>
          <w:ilvl w:val="0"/>
          <w:numId w:val="5"/>
        </w:numPr>
        <w:spacing w:before="60" w:after="60"/>
        <w:ind w:left="0" w:firstLine="0"/>
        <w:jc w:val="both"/>
        <w:rPr>
          <w:rFonts w:cs="Arial"/>
          <w:bCs/>
          <w:kern w:val="32"/>
          <w:szCs w:val="24"/>
        </w:rPr>
      </w:pPr>
      <w:r w:rsidRPr="00DD76C8">
        <w:t>računi koje izda Ured za upravljanje individualnim materijalnim pravima i njihovu isplatu za zapošljavanje osoblja koje obrađuje administrativne podatke osoblja Europskog parlamenta (npr. naknadu za nezaposlene, mirovinska prava itd.).</w:t>
      </w:r>
    </w:p>
    <w:p w:rsidR="002D1DA9" w:rsidRPr="00DD76C8" w:rsidRDefault="002D1DA9" w:rsidP="00FD2C57">
      <w:pPr>
        <w:widowControl/>
        <w:jc w:val="both"/>
        <w:rPr>
          <w:rFonts w:cs="Arial"/>
          <w:bCs/>
          <w:kern w:val="32"/>
          <w:szCs w:val="24"/>
        </w:rPr>
      </w:pPr>
      <w:r w:rsidRPr="00DD76C8">
        <w:t>Dio tih sredstava treba se iskoristiti za zapošljavanje ugovornog osoblja s invaliditetom u skladu s Odlukom Predsjedništva od 7. i 9. srpnja 2008.</w:t>
      </w:r>
    </w:p>
    <w:p w:rsidR="002D1DA9" w:rsidRPr="00DD76C8" w:rsidRDefault="002D1DA9" w:rsidP="00FD2C57">
      <w:pPr>
        <w:widowControl/>
        <w:jc w:val="both"/>
        <w:rPr>
          <w:rFonts w:cs="Arial"/>
          <w:bCs/>
          <w:kern w:val="32"/>
          <w:szCs w:val="24"/>
        </w:rPr>
      </w:pPr>
      <w:r w:rsidRPr="00DD76C8">
        <w:t>Iznos namjenskih prihoda u skladu s člankom 21. stavkom 3. Financijske uredbe procjenjuje se na 4 400 000 EUR.</w:t>
      </w:r>
    </w:p>
    <w:p w:rsidR="002D1DA9" w:rsidRPr="00DD76C8" w:rsidRDefault="002D1DA9" w:rsidP="00FD2C57">
      <w:pPr>
        <w:widowControl/>
        <w:autoSpaceDE w:val="0"/>
        <w:autoSpaceDN w:val="0"/>
        <w:spacing w:before="120" w:after="120"/>
        <w:rPr>
          <w:i/>
          <w:iCs/>
          <w:sz w:val="20"/>
        </w:rPr>
      </w:pPr>
      <w:r w:rsidRPr="00DD76C8">
        <w:rPr>
          <w:i/>
          <w:sz w:val="20"/>
        </w:rPr>
        <w:t>Pravna osnova</w:t>
      </w:r>
    </w:p>
    <w:p w:rsidR="002D1DA9" w:rsidRPr="00DD76C8" w:rsidRDefault="002D1DA9" w:rsidP="00FD2C57">
      <w:pPr>
        <w:widowControl/>
        <w:jc w:val="both"/>
        <w:rPr>
          <w:rFonts w:cs="Arial"/>
          <w:bCs/>
          <w:kern w:val="32"/>
          <w:szCs w:val="24"/>
        </w:rPr>
      </w:pPr>
      <w:r w:rsidRPr="00DD76C8">
        <w:t>Uvjeti zaposlenja ostalih službenika Europske unije (glave IV., V. i VI.).</w:t>
      </w:r>
    </w:p>
    <w:p w:rsidR="002D1DA9" w:rsidRPr="00DD76C8" w:rsidRDefault="002D1DA9" w:rsidP="00FD2C57">
      <w:pPr>
        <w:widowControl/>
        <w:jc w:val="both"/>
        <w:rPr>
          <w:rFonts w:cs="Arial"/>
          <w:bCs/>
          <w:kern w:val="32"/>
          <w:szCs w:val="24"/>
        </w:rPr>
      </w:pPr>
      <w:r w:rsidRPr="00DD76C8">
        <w:t>Opće provedbene odredbe kojima se uređuju postupci natječaja i odabira, zapošljavanje i platni razredi dužnosnika i ostalih službenika Europskog parlamenta (Odluka glavnog tajnika Europskog parlamenta od 17. listopada 2014).</w:t>
      </w:r>
    </w:p>
    <w:p w:rsidR="002D1DA9" w:rsidRPr="00DD76C8" w:rsidRDefault="002D1DA9" w:rsidP="00FD2C57">
      <w:pPr>
        <w:widowControl/>
        <w:autoSpaceDE w:val="0"/>
        <w:autoSpaceDN w:val="0"/>
        <w:spacing w:before="480" w:after="120"/>
        <w:outlineLvl w:val="4"/>
        <w:rPr>
          <w:sz w:val="22"/>
          <w:szCs w:val="22"/>
        </w:rPr>
      </w:pPr>
      <w:r w:rsidRPr="00DD76C8">
        <w:rPr>
          <w:sz w:val="22"/>
        </w:rPr>
        <w:t>Stavka 1 4 0 1 — Ostali službenici — Sigurnost</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Odobrena sredstva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24 208 600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25 233 000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21 980 312,57</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keepNext/>
        <w:widowControl/>
        <w:jc w:val="both"/>
        <w:rPr>
          <w:rFonts w:cs="Arial"/>
          <w:bCs/>
          <w:kern w:val="32"/>
          <w:szCs w:val="24"/>
        </w:rPr>
      </w:pPr>
      <w:r w:rsidRPr="00DD76C8">
        <w:t>Tim se sredstvima u prvom redu pokrivaju sljedeći troškovi ostalog osoblja koje radi u Glavnoj upravi za sigurnost i obavlja dužnosti povezane sa sigurnošću osoba i imovine, informacijskom sigurnošću i procjenom rizika:</w:t>
      </w:r>
    </w:p>
    <w:p w:rsidR="002D1DA9" w:rsidRPr="00DD76C8" w:rsidRDefault="002D1DA9" w:rsidP="00FD2C57">
      <w:pPr>
        <w:widowControl/>
        <w:numPr>
          <w:ilvl w:val="0"/>
          <w:numId w:val="6"/>
        </w:numPr>
        <w:spacing w:before="60" w:after="60"/>
        <w:ind w:left="0" w:firstLine="0"/>
        <w:jc w:val="both"/>
        <w:rPr>
          <w:rFonts w:cs="Arial"/>
          <w:bCs/>
          <w:kern w:val="32"/>
          <w:szCs w:val="24"/>
        </w:rPr>
      </w:pPr>
      <w:r w:rsidRPr="00DD76C8">
        <w:t>primanja ugovornog osoblja i pomoćnog ugovornog osoblja, uključujući dodatke i naknade ugovornog osoblja i učinke korekcijskih koeficijenata koji se primjenjuju na primanja tog osoblja,</w:t>
      </w:r>
    </w:p>
    <w:p w:rsidR="002D1DA9" w:rsidRPr="00DD76C8" w:rsidRDefault="002D1DA9" w:rsidP="00FD2C57">
      <w:pPr>
        <w:widowControl/>
        <w:numPr>
          <w:ilvl w:val="0"/>
          <w:numId w:val="6"/>
        </w:numPr>
        <w:spacing w:before="60" w:after="60"/>
        <w:ind w:left="0" w:firstLine="0"/>
        <w:jc w:val="both"/>
        <w:rPr>
          <w:rFonts w:cs="Arial"/>
          <w:bCs/>
          <w:kern w:val="32"/>
          <w:szCs w:val="24"/>
        </w:rPr>
      </w:pPr>
      <w:r w:rsidRPr="00DD76C8">
        <w:t>zaposlenje vanjskih suradnika.</w:t>
      </w:r>
    </w:p>
    <w:p w:rsidR="002D1DA9" w:rsidRPr="00DD76C8" w:rsidRDefault="002D1DA9" w:rsidP="00FD2C57">
      <w:pPr>
        <w:widowControl/>
        <w:jc w:val="both"/>
        <w:rPr>
          <w:rFonts w:cs="Arial"/>
          <w:bCs/>
          <w:kern w:val="32"/>
          <w:szCs w:val="24"/>
        </w:rPr>
      </w:pPr>
      <w:r w:rsidRPr="00DD76C8">
        <w:t>Namjenski prihodi u skladu s člankom 21. stavkom 3. Financijske uredbe procjenjuju se na 5 000 EUR.</w:t>
      </w:r>
    </w:p>
    <w:p w:rsidR="002D1DA9" w:rsidRPr="00DD76C8" w:rsidRDefault="002D1DA9" w:rsidP="00FD2C57">
      <w:pPr>
        <w:widowControl/>
        <w:autoSpaceDE w:val="0"/>
        <w:autoSpaceDN w:val="0"/>
        <w:spacing w:before="120" w:after="120"/>
        <w:rPr>
          <w:i/>
          <w:iCs/>
          <w:sz w:val="20"/>
        </w:rPr>
      </w:pPr>
      <w:r w:rsidRPr="00DD76C8">
        <w:rPr>
          <w:i/>
          <w:sz w:val="20"/>
        </w:rPr>
        <w:t>Pravna osnova</w:t>
      </w:r>
    </w:p>
    <w:p w:rsidR="002D1DA9" w:rsidRPr="00DD76C8" w:rsidRDefault="002D1DA9" w:rsidP="00FD2C57">
      <w:pPr>
        <w:widowControl/>
        <w:jc w:val="both"/>
        <w:rPr>
          <w:rFonts w:cs="Arial"/>
          <w:bCs/>
          <w:kern w:val="32"/>
          <w:szCs w:val="24"/>
        </w:rPr>
      </w:pPr>
      <w:r w:rsidRPr="00DD76C8">
        <w:t>Uvjeti zaposlenja ostalih službenika Europske unije (glava IV.).</w:t>
      </w:r>
    </w:p>
    <w:p w:rsidR="002D1DA9" w:rsidRPr="00DD76C8" w:rsidRDefault="002D1DA9" w:rsidP="00FD2C57">
      <w:pPr>
        <w:widowControl/>
        <w:jc w:val="both"/>
        <w:rPr>
          <w:rFonts w:cs="Arial"/>
          <w:bCs/>
          <w:kern w:val="32"/>
          <w:szCs w:val="24"/>
        </w:rPr>
      </w:pPr>
      <w:r w:rsidRPr="00DD76C8">
        <w:t>Opće provedbene odredbe kojima se uređuju postupci natječaja i odabira, zapošljavanje i platni razredi dužnosnika i ostalih službenika Europskog parlamenta (Odluka glavnog tajnika Europskog parlamenta od 17. listopada 2014.).</w:t>
      </w:r>
    </w:p>
    <w:p w:rsidR="002D1DA9" w:rsidRPr="00DD76C8" w:rsidRDefault="002D1DA9" w:rsidP="00FD2C57">
      <w:pPr>
        <w:widowControl/>
        <w:autoSpaceDE w:val="0"/>
        <w:autoSpaceDN w:val="0"/>
        <w:spacing w:before="480" w:after="120"/>
        <w:outlineLvl w:val="4"/>
        <w:rPr>
          <w:sz w:val="22"/>
          <w:szCs w:val="22"/>
        </w:rPr>
      </w:pPr>
      <w:r w:rsidRPr="00DD76C8">
        <w:rPr>
          <w:sz w:val="22"/>
        </w:rPr>
        <w:t>Stavka 1 4 0 2 — Ostalo osoblje — vozači pri Glavnom tajništvu</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Odobrena sredstva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6 220 300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6 169 000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keepNext/>
        <w:widowControl/>
        <w:jc w:val="both"/>
        <w:rPr>
          <w:rFonts w:cs="Arial"/>
          <w:bCs/>
          <w:kern w:val="32"/>
          <w:szCs w:val="24"/>
        </w:rPr>
      </w:pPr>
      <w:r w:rsidRPr="00DD76C8">
        <w:t>Tim se sredstvima u prvom redu pokrivaju sljedeći troškovi povezani s ostalim osobljem koje radi kao vozači pri Glavnom tajništvu ili su zaduženi za njihovu koordinaciju:</w:t>
      </w:r>
    </w:p>
    <w:p w:rsidR="002D1DA9" w:rsidRPr="00DD76C8" w:rsidRDefault="002D1DA9" w:rsidP="00FD2C57">
      <w:pPr>
        <w:widowControl/>
        <w:numPr>
          <w:ilvl w:val="0"/>
          <w:numId w:val="7"/>
        </w:numPr>
        <w:spacing w:before="60" w:after="60"/>
        <w:ind w:left="0" w:firstLine="0"/>
        <w:jc w:val="both"/>
        <w:rPr>
          <w:rFonts w:cs="Arial"/>
          <w:bCs/>
          <w:kern w:val="32"/>
          <w:szCs w:val="24"/>
        </w:rPr>
      </w:pPr>
      <w:r w:rsidRPr="00DD76C8">
        <w:t>primanja ugovornog osoblja i pomoćnog ugovornog osoblja, uključujući dodatke i naknade ugovornog osoblja i učinke korekcijskih koeficijenata koji se primjenjuju na primanja tog osoblja,</w:t>
      </w:r>
    </w:p>
    <w:p w:rsidR="002D1DA9" w:rsidRPr="00DD76C8" w:rsidRDefault="002D1DA9" w:rsidP="00FD2C57">
      <w:pPr>
        <w:widowControl/>
        <w:numPr>
          <w:ilvl w:val="0"/>
          <w:numId w:val="7"/>
        </w:numPr>
        <w:spacing w:before="60" w:after="60"/>
        <w:ind w:left="0" w:firstLine="0"/>
        <w:jc w:val="both"/>
        <w:rPr>
          <w:rFonts w:cs="Arial"/>
          <w:bCs/>
          <w:kern w:val="32"/>
          <w:szCs w:val="24"/>
        </w:rPr>
      </w:pPr>
      <w:r w:rsidRPr="00DD76C8">
        <w:t>zaposlenje vanjskih suradnika.</w:t>
      </w:r>
    </w:p>
    <w:p w:rsidR="002D1DA9" w:rsidRPr="00DD76C8" w:rsidRDefault="002D1DA9" w:rsidP="00FD2C57">
      <w:pPr>
        <w:widowControl/>
        <w:jc w:val="both"/>
        <w:rPr>
          <w:rFonts w:cs="Arial"/>
          <w:bCs/>
          <w:kern w:val="32"/>
          <w:szCs w:val="24"/>
        </w:rPr>
      </w:pPr>
      <w:r w:rsidRPr="00DD76C8">
        <w:t>Namjenski prihodi u skladu s člankom 21. stavkom 3. Financijske uredbe procjenjuju se na 5 000 EUR.</w:t>
      </w:r>
    </w:p>
    <w:p w:rsidR="002D1DA9" w:rsidRPr="00DD76C8" w:rsidRDefault="002D1DA9" w:rsidP="00FD2C57">
      <w:pPr>
        <w:widowControl/>
        <w:autoSpaceDE w:val="0"/>
        <w:autoSpaceDN w:val="0"/>
        <w:spacing w:before="120" w:after="120"/>
        <w:rPr>
          <w:i/>
          <w:iCs/>
          <w:sz w:val="20"/>
        </w:rPr>
      </w:pPr>
      <w:r w:rsidRPr="00DD76C8">
        <w:rPr>
          <w:i/>
          <w:sz w:val="20"/>
        </w:rPr>
        <w:t>Pravna osnova</w:t>
      </w:r>
    </w:p>
    <w:p w:rsidR="002D1DA9" w:rsidRPr="00DD76C8" w:rsidRDefault="002D1DA9" w:rsidP="00FD2C57">
      <w:pPr>
        <w:widowControl/>
        <w:jc w:val="both"/>
        <w:rPr>
          <w:rFonts w:cs="Arial"/>
          <w:bCs/>
          <w:kern w:val="32"/>
          <w:szCs w:val="24"/>
        </w:rPr>
      </w:pPr>
      <w:r w:rsidRPr="00DD76C8">
        <w:t>Uvjeti zaposlenja ostalih službenika Europske unije (glava IV.).</w:t>
      </w:r>
    </w:p>
    <w:p w:rsidR="002D1DA9" w:rsidRPr="00DD76C8" w:rsidRDefault="002D1DA9" w:rsidP="00FD2C57">
      <w:pPr>
        <w:widowControl/>
        <w:jc w:val="both"/>
        <w:rPr>
          <w:rFonts w:cs="Arial"/>
          <w:bCs/>
          <w:kern w:val="32"/>
          <w:szCs w:val="24"/>
        </w:rPr>
      </w:pPr>
      <w:r w:rsidRPr="00DD76C8">
        <w:t>Opće provedbene odredbe kojima se uređuju postupci natječaja i odabira, zapošljavanje i platni razredi dužnosnika i ostalih službenika Europskog parlamenta (Odluka glavnog tajnika Europskog parlamenta od 17. listopada 2014.).</w:t>
      </w:r>
    </w:p>
    <w:p w:rsidR="002D1DA9" w:rsidRPr="00DD76C8" w:rsidRDefault="002D1DA9" w:rsidP="00FD2C57">
      <w:pPr>
        <w:widowControl/>
        <w:autoSpaceDE w:val="0"/>
        <w:autoSpaceDN w:val="0"/>
        <w:spacing w:before="480" w:after="120"/>
        <w:outlineLvl w:val="4"/>
        <w:rPr>
          <w:sz w:val="22"/>
          <w:szCs w:val="22"/>
        </w:rPr>
      </w:pPr>
      <w:r w:rsidRPr="00DD76C8">
        <w:rPr>
          <w:sz w:val="22"/>
        </w:rPr>
        <w:t>Stavka 1 4 0 4 — Stažiranja, potpore i razmjena dužnosnika</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Odobrena sredstva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7 697 900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6 806 500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7 033 669,67</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keepNext/>
        <w:widowControl/>
        <w:jc w:val="both"/>
        <w:rPr>
          <w:rFonts w:cs="Arial"/>
          <w:bCs/>
          <w:kern w:val="32"/>
          <w:szCs w:val="24"/>
        </w:rPr>
      </w:pPr>
      <w:r w:rsidRPr="00DD76C8">
        <w:t>Ova sredstva namijenjena su za pokrivanje:</w:t>
      </w:r>
    </w:p>
    <w:p w:rsidR="002D1DA9" w:rsidRPr="00DD76C8" w:rsidRDefault="002D1DA9" w:rsidP="00FD2C57">
      <w:pPr>
        <w:widowControl/>
        <w:numPr>
          <w:ilvl w:val="0"/>
          <w:numId w:val="8"/>
        </w:numPr>
        <w:spacing w:before="60" w:after="60"/>
        <w:ind w:left="0" w:firstLine="0"/>
        <w:jc w:val="both"/>
        <w:rPr>
          <w:rFonts w:cs="Arial"/>
          <w:bCs/>
          <w:kern w:val="32"/>
          <w:szCs w:val="24"/>
        </w:rPr>
      </w:pPr>
      <w:r w:rsidRPr="00DD76C8">
        <w:t>troškova povezanih s odabirom, zapošljavanjem i prijemom stažista,</w:t>
      </w:r>
    </w:p>
    <w:p w:rsidR="002D1DA9" w:rsidRPr="00DD76C8" w:rsidRDefault="002D1DA9" w:rsidP="00FD2C57">
      <w:pPr>
        <w:widowControl/>
        <w:numPr>
          <w:ilvl w:val="0"/>
          <w:numId w:val="8"/>
        </w:numPr>
        <w:spacing w:before="60" w:after="60"/>
        <w:ind w:left="0" w:firstLine="0"/>
        <w:jc w:val="both"/>
        <w:rPr>
          <w:rFonts w:cs="Arial"/>
          <w:bCs/>
          <w:kern w:val="32"/>
          <w:szCs w:val="24"/>
        </w:rPr>
      </w:pPr>
      <w:r w:rsidRPr="00DD76C8">
        <w:t>naknada za diplomirane stažiste (stipendije), uključujući eventualne dodatke za kućanstvo, te troškova doplatka (do 50 % iznosa stipendije) koji se isplaćuje u slučaju invalidnosti,</w:t>
      </w:r>
    </w:p>
    <w:p w:rsidR="002D1DA9" w:rsidRPr="00DD76C8" w:rsidRDefault="002D1DA9" w:rsidP="00FD2C57">
      <w:pPr>
        <w:widowControl/>
        <w:numPr>
          <w:ilvl w:val="0"/>
          <w:numId w:val="8"/>
        </w:numPr>
        <w:spacing w:before="60" w:after="60"/>
        <w:ind w:left="0" w:firstLine="0"/>
        <w:jc w:val="both"/>
        <w:rPr>
          <w:rFonts w:cs="Arial"/>
          <w:bCs/>
          <w:kern w:val="32"/>
          <w:szCs w:val="24"/>
        </w:rPr>
      </w:pPr>
      <w:r w:rsidRPr="00DD76C8">
        <w:t>naknada koje se plaćaju stažistima na stručnom usavršavanju,</w:t>
      </w:r>
    </w:p>
    <w:p w:rsidR="002D1DA9" w:rsidRPr="00DD76C8" w:rsidRDefault="002D1DA9" w:rsidP="00FD2C57">
      <w:pPr>
        <w:widowControl/>
        <w:numPr>
          <w:ilvl w:val="0"/>
          <w:numId w:val="8"/>
        </w:numPr>
        <w:spacing w:before="60" w:after="60"/>
        <w:ind w:left="0" w:firstLine="0"/>
        <w:jc w:val="both"/>
        <w:rPr>
          <w:rFonts w:cs="Arial"/>
          <w:bCs/>
          <w:kern w:val="32"/>
          <w:szCs w:val="24"/>
        </w:rPr>
      </w:pPr>
      <w:r w:rsidRPr="00DD76C8">
        <w:t>putnih troškova stažista,</w:t>
      </w:r>
    </w:p>
    <w:p w:rsidR="002D1DA9" w:rsidRPr="00DD76C8" w:rsidRDefault="002D1DA9" w:rsidP="00FD2C57">
      <w:pPr>
        <w:widowControl/>
        <w:numPr>
          <w:ilvl w:val="0"/>
          <w:numId w:val="8"/>
        </w:numPr>
        <w:spacing w:before="60" w:after="60"/>
        <w:ind w:left="0" w:firstLine="0"/>
        <w:jc w:val="both"/>
        <w:rPr>
          <w:rFonts w:cs="Arial"/>
          <w:bCs/>
          <w:kern w:val="32"/>
          <w:szCs w:val="24"/>
        </w:rPr>
      </w:pPr>
      <w:r w:rsidRPr="00DD76C8">
        <w:t>troškova zdravstvenog osiguranja stažista i njihova osiguranja od nesreća,</w:t>
      </w:r>
    </w:p>
    <w:p w:rsidR="002D1DA9" w:rsidRPr="00DD76C8" w:rsidRDefault="002D1DA9" w:rsidP="00FD2C57">
      <w:pPr>
        <w:widowControl/>
        <w:numPr>
          <w:ilvl w:val="0"/>
          <w:numId w:val="8"/>
        </w:numPr>
        <w:spacing w:before="60" w:after="60"/>
        <w:ind w:left="0" w:firstLine="0"/>
        <w:jc w:val="both"/>
        <w:rPr>
          <w:rFonts w:cs="Arial"/>
          <w:bCs/>
          <w:kern w:val="32"/>
          <w:szCs w:val="24"/>
        </w:rPr>
      </w:pPr>
      <w:r w:rsidRPr="00DD76C8">
        <w:t>bespovratnih sredstava za poslovanje ili izravno pokrivanje troškova događanja koje organizira Odbor za stažiranje, do najviše 2 000 EUR godišnje.</w:t>
      </w:r>
    </w:p>
    <w:p w:rsidR="002D1DA9" w:rsidRPr="00DD76C8" w:rsidRDefault="002D1DA9" w:rsidP="00FD2C57">
      <w:pPr>
        <w:widowControl/>
        <w:numPr>
          <w:ilvl w:val="0"/>
          <w:numId w:val="8"/>
        </w:numPr>
        <w:spacing w:before="60" w:after="60"/>
        <w:ind w:left="0" w:firstLine="0"/>
        <w:jc w:val="both"/>
        <w:rPr>
          <w:rFonts w:cs="Arial"/>
          <w:bCs/>
          <w:kern w:val="32"/>
          <w:szCs w:val="24"/>
        </w:rPr>
      </w:pPr>
      <w:r w:rsidRPr="00DD76C8">
        <w:t xml:space="preserve">troškova razmjene osoblja između Parlamenta i javnih službi država članica ili drugih država koje su navedene u Pravilniku, </w:t>
      </w:r>
    </w:p>
    <w:p w:rsidR="002D1DA9" w:rsidRPr="00DD76C8" w:rsidRDefault="002D1DA9" w:rsidP="00FD2C57">
      <w:pPr>
        <w:widowControl/>
        <w:numPr>
          <w:ilvl w:val="0"/>
          <w:numId w:val="8"/>
        </w:numPr>
        <w:spacing w:before="60" w:after="60"/>
        <w:ind w:left="0" w:firstLine="0"/>
        <w:jc w:val="both"/>
        <w:rPr>
          <w:rFonts w:cs="Arial"/>
          <w:bCs/>
          <w:kern w:val="32"/>
          <w:szCs w:val="24"/>
        </w:rPr>
      </w:pPr>
      <w:r w:rsidRPr="00DD76C8">
        <w:t>troškova upućivanja nacionalnih stručnjaka u Europski parlament, posebno njihovih dnevnica i putnih troškova,</w:t>
      </w:r>
    </w:p>
    <w:p w:rsidR="002D1DA9" w:rsidRPr="00DD76C8" w:rsidRDefault="002D1DA9" w:rsidP="00FD2C57">
      <w:pPr>
        <w:widowControl/>
        <w:numPr>
          <w:ilvl w:val="0"/>
          <w:numId w:val="8"/>
        </w:numPr>
        <w:spacing w:before="60" w:after="60"/>
        <w:ind w:left="0" w:firstLine="0"/>
        <w:jc w:val="both"/>
        <w:rPr>
          <w:rFonts w:cs="Arial"/>
          <w:bCs/>
          <w:kern w:val="32"/>
          <w:szCs w:val="24"/>
        </w:rPr>
      </w:pPr>
      <w:r w:rsidRPr="00DD76C8">
        <w:t>troškova osiguranja od nesreća za upućene nacionalne stručnjake,</w:t>
      </w:r>
    </w:p>
    <w:p w:rsidR="002D1DA9" w:rsidRPr="00DD76C8" w:rsidRDefault="002D1DA9" w:rsidP="00FD2C57">
      <w:pPr>
        <w:widowControl/>
        <w:numPr>
          <w:ilvl w:val="0"/>
          <w:numId w:val="8"/>
        </w:numPr>
        <w:spacing w:before="60" w:after="60"/>
        <w:ind w:left="0" w:firstLine="0"/>
        <w:jc w:val="both"/>
        <w:rPr>
          <w:rFonts w:cs="Arial"/>
          <w:bCs/>
          <w:kern w:val="32"/>
          <w:szCs w:val="24"/>
        </w:rPr>
      </w:pPr>
      <w:r w:rsidRPr="00DD76C8">
        <w:t>naknada za studijska putovanja,</w:t>
      </w:r>
    </w:p>
    <w:p w:rsidR="002D1DA9" w:rsidRPr="00DD76C8" w:rsidRDefault="002D1DA9" w:rsidP="00FD2C57">
      <w:pPr>
        <w:widowControl/>
        <w:numPr>
          <w:ilvl w:val="0"/>
          <w:numId w:val="8"/>
        </w:numPr>
        <w:spacing w:before="60" w:after="60"/>
        <w:ind w:left="0" w:firstLine="0"/>
        <w:jc w:val="both"/>
        <w:rPr>
          <w:rFonts w:cs="Arial"/>
          <w:bCs/>
          <w:kern w:val="32"/>
          <w:szCs w:val="24"/>
        </w:rPr>
      </w:pPr>
      <w:r w:rsidRPr="00DD76C8">
        <w:t>organizacije obrazovnih programa za konferencijske i pismene prevoditelje, s posebnom suradnjom s obrazovnim institucijama za usmene i pismene prevoditelje, te stipendija za obrazovanje i stručno usavršavanje usmenih i pismenih prevoditelja, kupnju didaktičkih pomagala i s tim povezanih dodatnih troškovi.</w:t>
      </w:r>
    </w:p>
    <w:p w:rsidR="002D1DA9" w:rsidRPr="00DD76C8" w:rsidRDefault="002D1DA9" w:rsidP="00FD2C57">
      <w:pPr>
        <w:widowControl/>
        <w:jc w:val="both"/>
        <w:rPr>
          <w:rFonts w:cs="Arial"/>
          <w:bCs/>
          <w:kern w:val="32"/>
          <w:szCs w:val="24"/>
        </w:rPr>
      </w:pPr>
      <w:r w:rsidRPr="00DD76C8">
        <w:t>Namjenski prihodi u skladu s člankom 21. stavkom 3. Financijske uredbe procjenjuju se na 5 000 EUR.</w:t>
      </w:r>
    </w:p>
    <w:p w:rsidR="002D1DA9" w:rsidRPr="00DD76C8" w:rsidRDefault="002D1DA9" w:rsidP="00FD2C57">
      <w:pPr>
        <w:widowControl/>
        <w:autoSpaceDE w:val="0"/>
        <w:autoSpaceDN w:val="0"/>
        <w:spacing w:before="120" w:after="120"/>
        <w:rPr>
          <w:i/>
          <w:iCs/>
          <w:sz w:val="20"/>
        </w:rPr>
      </w:pPr>
      <w:r w:rsidRPr="00DD76C8">
        <w:rPr>
          <w:i/>
          <w:sz w:val="20"/>
        </w:rPr>
        <w:t>Pravna osnova</w:t>
      </w:r>
    </w:p>
    <w:p w:rsidR="002D1DA9" w:rsidRPr="00DD76C8" w:rsidRDefault="002D1DA9" w:rsidP="00FD2C57">
      <w:pPr>
        <w:widowControl/>
        <w:jc w:val="both"/>
        <w:rPr>
          <w:rFonts w:cs="Arial"/>
          <w:bCs/>
          <w:kern w:val="32"/>
          <w:szCs w:val="24"/>
        </w:rPr>
      </w:pPr>
      <w:r w:rsidRPr="00DD76C8">
        <w:t>Pravilnik o premještaju dužnosnika Europskog parlamenta i privremenog osoblja klubova zastupnika na mjesta u državnim javnim tijelima, jednakopravnim tijelima i međunarodnim organizacijama (Odluka Predsjedništva od 7. ožujka 2005.).</w:t>
      </w:r>
    </w:p>
    <w:p w:rsidR="002D1DA9" w:rsidRPr="00DD76C8" w:rsidRDefault="002D1DA9" w:rsidP="00FD2C57">
      <w:pPr>
        <w:widowControl/>
        <w:jc w:val="both"/>
        <w:rPr>
          <w:rFonts w:cs="Arial"/>
          <w:bCs/>
          <w:kern w:val="32"/>
          <w:szCs w:val="24"/>
        </w:rPr>
      </w:pPr>
      <w:r w:rsidRPr="00DD76C8">
        <w:t>Pravilnik o upućivanju nacionalnih stručnjaka u Europski parlament (Odluka Predsjedništva od 4. svibnja 2009.).</w:t>
      </w:r>
    </w:p>
    <w:p w:rsidR="002D1DA9" w:rsidRPr="00DD76C8" w:rsidRDefault="002D1DA9" w:rsidP="00FD2C57">
      <w:pPr>
        <w:widowControl/>
        <w:jc w:val="both"/>
        <w:rPr>
          <w:rFonts w:cs="Arial"/>
          <w:bCs/>
          <w:kern w:val="32"/>
          <w:szCs w:val="24"/>
        </w:rPr>
      </w:pPr>
      <w:r w:rsidRPr="00DD76C8">
        <w:t>Interni pravilnik o stažiranju i studijskim posjetima Glavnom tajništvu Europskog parlamenta (Odluka glavnog tajnika Europskog parlamenta od 1. veljače 2013.).</w:t>
      </w:r>
    </w:p>
    <w:p w:rsidR="002D1DA9" w:rsidRPr="00DD76C8" w:rsidRDefault="002D1DA9" w:rsidP="00FD2C57">
      <w:pPr>
        <w:widowControl/>
        <w:autoSpaceDE w:val="0"/>
        <w:autoSpaceDN w:val="0"/>
        <w:spacing w:before="480" w:after="120"/>
        <w:outlineLvl w:val="4"/>
        <w:rPr>
          <w:sz w:val="22"/>
          <w:szCs w:val="22"/>
        </w:rPr>
      </w:pPr>
      <w:r w:rsidRPr="00DD76C8">
        <w:rPr>
          <w:sz w:val="22"/>
        </w:rPr>
        <w:t>Stavka 1 4 0 5 — Izdatci za usmeno prevođenje</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Odobrena sredstva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52 858 533</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46 244 000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48 598 750,00</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keepNext/>
        <w:widowControl/>
        <w:jc w:val="both"/>
        <w:rPr>
          <w:rFonts w:cs="Arial"/>
          <w:bCs/>
          <w:kern w:val="32"/>
          <w:szCs w:val="24"/>
        </w:rPr>
      </w:pPr>
      <w:r w:rsidRPr="00DD76C8">
        <w:t>Ova odobrena sredstva namijenjena su pokrivanju sljedećih troškova:</w:t>
      </w:r>
    </w:p>
    <w:p w:rsidR="002D1DA9" w:rsidRPr="00DD76C8" w:rsidRDefault="002D1DA9" w:rsidP="00FD2C57">
      <w:pPr>
        <w:widowControl/>
        <w:numPr>
          <w:ilvl w:val="0"/>
          <w:numId w:val="9"/>
        </w:numPr>
        <w:spacing w:before="60" w:after="60"/>
        <w:ind w:left="0" w:firstLine="0"/>
        <w:jc w:val="both"/>
        <w:rPr>
          <w:rFonts w:cs="Arial"/>
          <w:bCs/>
          <w:kern w:val="32"/>
          <w:szCs w:val="24"/>
        </w:rPr>
      </w:pPr>
      <w:r w:rsidRPr="00DD76C8">
        <w:t>honorara i sličnih naknada, socijalnih davanja, putnih troškova i ostalih troškova konferencijskih prevoditelja koje je angažirao Parlament za sjednice koje organizira Parlament za svoje potrebe ili potrebe drugih institucija ili tijela, ako tražene usluge ne mogu izvršiti usmeni prevoditelji Europskog parlamenta (dužnosnici ili privremeni djelatnici),</w:t>
      </w:r>
    </w:p>
    <w:p w:rsidR="002D1DA9" w:rsidRPr="00DD76C8" w:rsidRDefault="002D1DA9" w:rsidP="00FD2C57">
      <w:pPr>
        <w:widowControl/>
        <w:numPr>
          <w:ilvl w:val="0"/>
          <w:numId w:val="9"/>
        </w:numPr>
        <w:spacing w:before="60" w:after="60"/>
        <w:ind w:left="0" w:firstLine="0"/>
        <w:jc w:val="both"/>
        <w:rPr>
          <w:rFonts w:cs="Arial"/>
          <w:bCs/>
          <w:kern w:val="32"/>
          <w:szCs w:val="24"/>
        </w:rPr>
      </w:pPr>
      <w:r w:rsidRPr="00DD76C8">
        <w:t>izdataka za agencije koje pružaju usluge konferencijskog prevođenja, konferencijske tehničare i administratore za navedene sjednice, ako tražene usluge ne mogu izvršiti dužnosnici, privremeni djelatnici ili ostalo osoblje Europskog parlamenta,</w:t>
      </w:r>
    </w:p>
    <w:p w:rsidR="002D1DA9" w:rsidRPr="00DD76C8" w:rsidRDefault="002D1DA9" w:rsidP="00FD2C57">
      <w:pPr>
        <w:widowControl/>
        <w:numPr>
          <w:ilvl w:val="0"/>
          <w:numId w:val="9"/>
        </w:numPr>
        <w:spacing w:before="60" w:after="60"/>
        <w:ind w:left="0" w:firstLine="0"/>
        <w:jc w:val="both"/>
        <w:rPr>
          <w:rFonts w:cs="Arial"/>
          <w:bCs/>
          <w:kern w:val="32"/>
          <w:szCs w:val="24"/>
        </w:rPr>
      </w:pPr>
      <w:r w:rsidRPr="00DD76C8">
        <w:t>troškova vezanih uz usluge koje u Parlamentu izvršavaju usmeni prevoditelji drugih regionalnih, nacionalnih i međunarodnih institucija,</w:t>
      </w:r>
    </w:p>
    <w:p w:rsidR="002D1DA9" w:rsidRPr="00DD76C8" w:rsidRDefault="002D1DA9" w:rsidP="00FD2C57">
      <w:pPr>
        <w:widowControl/>
        <w:numPr>
          <w:ilvl w:val="0"/>
          <w:numId w:val="9"/>
        </w:numPr>
        <w:spacing w:before="60" w:after="60"/>
        <w:ind w:left="0" w:firstLine="0"/>
        <w:jc w:val="both"/>
        <w:rPr>
          <w:rFonts w:cs="Arial"/>
          <w:bCs/>
          <w:kern w:val="32"/>
          <w:szCs w:val="24"/>
        </w:rPr>
      </w:pPr>
      <w:r w:rsidRPr="00DD76C8">
        <w:t>troškova nastalih zbog aktivnosti povezanih s usmenim prevođenjem, posebno onih koje se odnose na pripremu sjednica, obuku i odabir usmenih prevoditelja.</w:t>
      </w:r>
    </w:p>
    <w:p w:rsidR="002D1DA9" w:rsidRPr="00DD76C8" w:rsidRDefault="002D1DA9" w:rsidP="00FD2C57">
      <w:pPr>
        <w:widowControl/>
        <w:jc w:val="both"/>
        <w:rPr>
          <w:rFonts w:cs="Arial"/>
          <w:bCs/>
          <w:kern w:val="32"/>
          <w:szCs w:val="24"/>
        </w:rPr>
      </w:pPr>
      <w:r w:rsidRPr="00DD76C8">
        <w:t>Iznos namjenskih prihoda u skladu s člankom 21. stavkom 3. Financijske uredbe procjenjuje se na 3 500 000 EUR.</w:t>
      </w:r>
    </w:p>
    <w:p w:rsidR="002D1DA9" w:rsidRPr="00DD76C8" w:rsidRDefault="002D1DA9" w:rsidP="00FD2C57">
      <w:pPr>
        <w:widowControl/>
        <w:autoSpaceDE w:val="0"/>
        <w:autoSpaceDN w:val="0"/>
        <w:spacing w:before="120" w:after="120"/>
        <w:rPr>
          <w:i/>
          <w:iCs/>
          <w:sz w:val="20"/>
        </w:rPr>
      </w:pPr>
      <w:r w:rsidRPr="00DD76C8">
        <w:rPr>
          <w:i/>
          <w:sz w:val="20"/>
        </w:rPr>
        <w:t>Pravna osnova</w:t>
      </w:r>
    </w:p>
    <w:p w:rsidR="002D1DA9" w:rsidRPr="00DD76C8" w:rsidRDefault="002D1DA9" w:rsidP="00FD2C57">
      <w:pPr>
        <w:widowControl/>
        <w:jc w:val="both"/>
        <w:rPr>
          <w:rFonts w:cs="Arial"/>
          <w:bCs/>
          <w:kern w:val="32"/>
          <w:szCs w:val="24"/>
        </w:rPr>
      </w:pPr>
      <w:r w:rsidRPr="00DD76C8">
        <w:t>Pravilnik o osoblju za dužnosnike Europske unije.</w:t>
      </w:r>
    </w:p>
    <w:p w:rsidR="002D1DA9" w:rsidRPr="00DD76C8" w:rsidRDefault="002D1DA9" w:rsidP="00FD2C57">
      <w:pPr>
        <w:widowControl/>
        <w:jc w:val="both"/>
        <w:rPr>
          <w:rFonts w:cs="Arial"/>
          <w:bCs/>
          <w:kern w:val="32"/>
          <w:szCs w:val="24"/>
        </w:rPr>
      </w:pPr>
      <w:r w:rsidRPr="00DD76C8">
        <w:t>Uvjeti zaposlenja ostalih službenika Europske unije.</w:t>
      </w:r>
    </w:p>
    <w:p w:rsidR="002D1DA9" w:rsidRPr="00DD76C8" w:rsidRDefault="002D1DA9" w:rsidP="00FD2C57">
      <w:pPr>
        <w:widowControl/>
        <w:jc w:val="both"/>
        <w:rPr>
          <w:rFonts w:cs="Arial"/>
          <w:bCs/>
          <w:kern w:val="32"/>
          <w:szCs w:val="24"/>
        </w:rPr>
      </w:pPr>
      <w:r w:rsidRPr="00DD76C8">
        <w:t>Sporazum o uvjetima rada i financijskim uvjetima za pomoćne konferencijske prevoditelje (i pravila za njegovu provedbu) kako je utvrđen 28. srpnja 1999., izmijenjen 13. listopada 2004. i revidiran 31. srpnja 2008.</w:t>
      </w:r>
    </w:p>
    <w:p w:rsidR="002D1DA9" w:rsidRPr="00DD76C8" w:rsidRDefault="002D1DA9" w:rsidP="00FD2C57">
      <w:pPr>
        <w:widowControl/>
        <w:autoSpaceDE w:val="0"/>
        <w:autoSpaceDN w:val="0"/>
        <w:spacing w:before="480" w:after="120"/>
        <w:outlineLvl w:val="4"/>
        <w:rPr>
          <w:sz w:val="22"/>
          <w:szCs w:val="22"/>
        </w:rPr>
      </w:pPr>
      <w:r w:rsidRPr="00DD76C8">
        <w:rPr>
          <w:sz w:val="22"/>
        </w:rPr>
        <w:t>Stavka 1 4 0 6 — Promatrači</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Odobrena sredstva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p.m.</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p.m.</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0,—</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widowControl/>
        <w:jc w:val="both"/>
        <w:rPr>
          <w:rFonts w:cs="Arial"/>
          <w:bCs/>
          <w:kern w:val="32"/>
          <w:szCs w:val="24"/>
        </w:rPr>
      </w:pPr>
      <w:r w:rsidRPr="00DD76C8">
        <w:t>Ova sredstva namijenjena su pokrivanju izdataka vezanih uz promatrače na temelju članka 13. Poslovnika Europskog parlamenta.</w:t>
      </w:r>
    </w:p>
    <w:p w:rsidR="002D1DA9" w:rsidRPr="00DD76C8" w:rsidRDefault="002D1DA9" w:rsidP="00FD2C57">
      <w:pPr>
        <w:widowControl/>
        <w:jc w:val="both"/>
        <w:rPr>
          <w:rFonts w:cs="Arial"/>
          <w:bCs/>
          <w:kern w:val="32"/>
          <w:szCs w:val="24"/>
        </w:rPr>
      </w:pPr>
      <w:r w:rsidRPr="00DD76C8">
        <w:t>Iznos dodijeljenih prihoda u skladu s člankom 21. stavkom 3. Financijske uredbe procjenjuje se na 100 EUR.</w:t>
      </w:r>
    </w:p>
    <w:p w:rsidR="002D1DA9" w:rsidRPr="00DD76C8" w:rsidRDefault="002D1DA9" w:rsidP="00FD2C57">
      <w:pPr>
        <w:widowControl/>
        <w:autoSpaceDE w:val="0"/>
        <w:autoSpaceDN w:val="0"/>
        <w:spacing w:before="480" w:after="120"/>
        <w:outlineLvl w:val="3"/>
        <w:rPr>
          <w:b/>
          <w:bCs/>
          <w:i/>
          <w:iCs/>
          <w:szCs w:val="24"/>
        </w:rPr>
      </w:pPr>
      <w:r w:rsidRPr="00DD76C8">
        <w:rPr>
          <w:b/>
          <w:i/>
        </w:rPr>
        <w:t>Članak 1 4 2 – Vanjske prevoditeljske usluge</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Odobrena sredstva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9 196 000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8 196 000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6 917 291,98</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widowControl/>
        <w:jc w:val="both"/>
        <w:rPr>
          <w:rFonts w:cs="Arial"/>
          <w:bCs/>
          <w:kern w:val="32"/>
          <w:szCs w:val="24"/>
        </w:rPr>
      </w:pPr>
      <w:r w:rsidRPr="00DD76C8">
        <w:t>Ova sredstva namijenjena su za poslove prevođenja, redakture, pisanja i kodiranja koji su povjereni vanjskom pružatelju usluga te za tehničku podršku.</w:t>
      </w:r>
    </w:p>
    <w:p w:rsidR="002D1DA9" w:rsidRPr="00DD76C8" w:rsidRDefault="002D1DA9" w:rsidP="00FD2C57">
      <w:pPr>
        <w:widowControl/>
        <w:jc w:val="both"/>
        <w:rPr>
          <w:rFonts w:cs="Arial"/>
          <w:bCs/>
          <w:kern w:val="32"/>
          <w:szCs w:val="24"/>
        </w:rPr>
      </w:pPr>
      <w:r w:rsidRPr="00DD76C8">
        <w:t>Iznos namjenskih prihoda u skladu s člankom 21. stavkom 3. Financijske uredbe procjenjuje se na 50 000 EUR.</w:t>
      </w:r>
    </w:p>
    <w:p w:rsidR="002D1DA9" w:rsidRPr="00DD76C8" w:rsidRDefault="002D1DA9" w:rsidP="00FD2C57">
      <w:pPr>
        <w:widowControl/>
        <w:autoSpaceDE w:val="0"/>
        <w:autoSpaceDN w:val="0"/>
        <w:spacing w:before="480" w:after="120"/>
        <w:outlineLvl w:val="2"/>
        <w:rPr>
          <w:b/>
          <w:bCs/>
          <w:smallCaps/>
          <w:sz w:val="28"/>
          <w:szCs w:val="28"/>
        </w:rPr>
      </w:pPr>
      <w:r w:rsidRPr="00DD76C8">
        <w:rPr>
          <w:b/>
          <w:smallCaps/>
          <w:sz w:val="28"/>
        </w:rPr>
        <w:t>Poglavlje 1 6 — Ostali rashodi u vezi s osobama koje rade za instituciju</w:t>
      </w:r>
    </w:p>
    <w:p w:rsidR="002D1DA9" w:rsidRPr="00DD76C8" w:rsidRDefault="002D1DA9" w:rsidP="00FD2C57">
      <w:pPr>
        <w:widowControl/>
        <w:autoSpaceDE w:val="0"/>
        <w:autoSpaceDN w:val="0"/>
        <w:spacing w:before="480" w:after="120"/>
        <w:outlineLvl w:val="3"/>
        <w:rPr>
          <w:b/>
          <w:bCs/>
          <w:i/>
          <w:iCs/>
          <w:szCs w:val="24"/>
        </w:rPr>
      </w:pPr>
      <w:r w:rsidRPr="00DD76C8">
        <w:rPr>
          <w:b/>
          <w:i/>
        </w:rPr>
        <w:t>Članak 1 6 1 — Rashodi za upravljanje osobljem</w:t>
      </w:r>
    </w:p>
    <w:p w:rsidR="002D1DA9" w:rsidRPr="00DD76C8" w:rsidRDefault="002D1DA9" w:rsidP="00FD2C57">
      <w:pPr>
        <w:widowControl/>
        <w:autoSpaceDE w:val="0"/>
        <w:autoSpaceDN w:val="0"/>
        <w:spacing w:before="480" w:after="120"/>
        <w:outlineLvl w:val="4"/>
        <w:rPr>
          <w:sz w:val="22"/>
          <w:szCs w:val="22"/>
        </w:rPr>
      </w:pPr>
      <w:r w:rsidRPr="00DD76C8">
        <w:rPr>
          <w:sz w:val="22"/>
        </w:rPr>
        <w:t>Stavka 1 6 1 0 — Rashodi za zapošljavanje osoblja</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Odobrena sredstva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253 650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214 000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273 500,00</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keepNext/>
        <w:widowControl/>
        <w:jc w:val="both"/>
        <w:rPr>
          <w:rFonts w:cs="Arial"/>
          <w:bCs/>
          <w:kern w:val="32"/>
          <w:szCs w:val="24"/>
        </w:rPr>
      </w:pPr>
      <w:r w:rsidRPr="00DD76C8">
        <w:t>Ova sredstva namijenjena su za pokrivanje:</w:t>
      </w:r>
    </w:p>
    <w:p w:rsidR="002D1DA9" w:rsidRPr="00DD76C8" w:rsidRDefault="002D1DA9" w:rsidP="00FD2C57">
      <w:pPr>
        <w:widowControl/>
        <w:numPr>
          <w:ilvl w:val="0"/>
          <w:numId w:val="10"/>
        </w:numPr>
        <w:spacing w:before="60" w:after="60"/>
        <w:ind w:left="0" w:firstLine="0"/>
        <w:jc w:val="both"/>
        <w:rPr>
          <w:rFonts w:cs="Arial"/>
          <w:bCs/>
          <w:kern w:val="32"/>
          <w:szCs w:val="24"/>
        </w:rPr>
      </w:pPr>
      <w:r w:rsidRPr="00DD76C8">
        <w:t>izdataka za organizaciju postupaka odabira predviđenih člankom 3. Odluke 2002/621/EZ te putnih troškova i troškova boravka kandidata povodom razgovora za posao i liječničkih pregleda,</w:t>
      </w:r>
    </w:p>
    <w:p w:rsidR="002D1DA9" w:rsidRPr="00DD76C8" w:rsidRDefault="002D1DA9" w:rsidP="00FD2C57">
      <w:pPr>
        <w:widowControl/>
        <w:numPr>
          <w:ilvl w:val="0"/>
          <w:numId w:val="10"/>
        </w:numPr>
        <w:spacing w:before="60" w:after="60"/>
        <w:ind w:left="0" w:firstLine="0"/>
        <w:jc w:val="both"/>
        <w:rPr>
          <w:rFonts w:cs="Arial"/>
          <w:bCs/>
          <w:kern w:val="32"/>
          <w:szCs w:val="24"/>
        </w:rPr>
      </w:pPr>
      <w:r w:rsidRPr="00DD76C8">
        <w:t>izdataka za organizaciju postupaka za odabir osoblja.</w:t>
      </w:r>
    </w:p>
    <w:p w:rsidR="002D1DA9" w:rsidRPr="00DD76C8" w:rsidRDefault="002D1DA9" w:rsidP="00FD2C57">
      <w:pPr>
        <w:widowControl/>
        <w:jc w:val="both"/>
        <w:rPr>
          <w:rFonts w:cs="Arial"/>
          <w:bCs/>
          <w:kern w:val="32"/>
          <w:szCs w:val="24"/>
        </w:rPr>
      </w:pPr>
      <w:r w:rsidRPr="00DD76C8">
        <w:t>Mogu se koristiti za postupke odabira koje organizira institucija u slučajevima koji su u dovoljnoj mjeri opravdani funkcionalnim zahtjevima te nakon savjetovanja s Europskim uredom za odabir osoblja.</w:t>
      </w:r>
    </w:p>
    <w:p w:rsidR="002D1DA9" w:rsidRPr="00DD76C8" w:rsidRDefault="002D1DA9" w:rsidP="00FD2C57">
      <w:pPr>
        <w:widowControl/>
        <w:jc w:val="both"/>
        <w:rPr>
          <w:rFonts w:cs="Arial"/>
          <w:bCs/>
          <w:kern w:val="32"/>
          <w:szCs w:val="24"/>
        </w:rPr>
      </w:pPr>
      <w:r w:rsidRPr="00DD76C8">
        <w:t>Iznos dodijeljenih prihoda u skladu s člankom 21. stavkom 3. Financijske uredbe procjenjuje se na 100 EUR.</w:t>
      </w:r>
    </w:p>
    <w:p w:rsidR="002D1DA9" w:rsidRPr="00DD76C8" w:rsidRDefault="002D1DA9" w:rsidP="00FD2C57">
      <w:pPr>
        <w:widowControl/>
        <w:autoSpaceDE w:val="0"/>
        <w:autoSpaceDN w:val="0"/>
        <w:spacing w:before="120" w:after="120"/>
        <w:rPr>
          <w:i/>
          <w:iCs/>
          <w:sz w:val="20"/>
        </w:rPr>
      </w:pPr>
      <w:r w:rsidRPr="00DD76C8">
        <w:rPr>
          <w:i/>
          <w:sz w:val="20"/>
        </w:rPr>
        <w:t>Pravna osnova</w:t>
      </w:r>
    </w:p>
    <w:p w:rsidR="002D1DA9" w:rsidRPr="00DD76C8" w:rsidRDefault="002D1DA9" w:rsidP="00FD2C57">
      <w:pPr>
        <w:widowControl/>
        <w:jc w:val="both"/>
        <w:rPr>
          <w:rFonts w:cs="Arial"/>
          <w:bCs/>
          <w:kern w:val="32"/>
          <w:szCs w:val="24"/>
        </w:rPr>
      </w:pPr>
      <w:r w:rsidRPr="00DD76C8">
        <w:t xml:space="preserve">Pravilnik o osoblju za dužnosnike Europske unije, a posebno članci 27. do 31. i članak 33. te Prilog III. Pravilniku. </w:t>
      </w:r>
    </w:p>
    <w:p w:rsidR="002D1DA9" w:rsidRPr="00DD76C8" w:rsidRDefault="002D1DA9" w:rsidP="00FD2C57">
      <w:pPr>
        <w:widowControl/>
        <w:jc w:val="both"/>
        <w:rPr>
          <w:rFonts w:cs="Arial"/>
          <w:bCs/>
          <w:kern w:val="32"/>
          <w:szCs w:val="24"/>
        </w:rPr>
      </w:pPr>
      <w:r w:rsidRPr="00DD76C8">
        <w:t>Odluka 2002/620/EZ Europskog parlamenta, Vijeća, Komisije, Suda, Revizorskog suda, Gospodarskog i socijalnog odbora, Odbora regija i Europskog ombudsmana od 25. srpnja 2002. o osnivanju Ureda Europskih zajednica za odabir osoblja (SL L 197, 26.7.2002., str. 53.) i Odluka 2002/621/EZ glavnih tajnika Europskog parlamenta, Vijeća, Komisije, tajnika Suda, glavnih tajnika Revizorskog suda, Gospodarskog i socijalnog odbora, Odbora regija i predstavnika Europskog ombudsmana od 25. srpnja 2002. o organizaciji i radu Ureda Europskih zajednica za odabir osoblja (SL L 197, 26.7.2002., str. 56.).</w:t>
      </w:r>
    </w:p>
    <w:p w:rsidR="002D1DA9" w:rsidRPr="00DD76C8" w:rsidRDefault="002D1DA9" w:rsidP="00FD2C57">
      <w:pPr>
        <w:widowControl/>
        <w:autoSpaceDE w:val="0"/>
        <w:autoSpaceDN w:val="0"/>
        <w:spacing w:before="480" w:after="120"/>
        <w:outlineLvl w:val="4"/>
        <w:rPr>
          <w:sz w:val="22"/>
          <w:szCs w:val="22"/>
        </w:rPr>
      </w:pPr>
      <w:r w:rsidRPr="00DD76C8">
        <w:rPr>
          <w:sz w:val="22"/>
        </w:rPr>
        <w:t>Stavka 1 6 1 2 — Stručno usavršavanje</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Odobrena sredstva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6 210 000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5 515 000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5 535 265,36</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widowControl/>
        <w:jc w:val="both"/>
        <w:rPr>
          <w:rFonts w:cs="Arial"/>
          <w:bCs/>
          <w:kern w:val="32"/>
          <w:szCs w:val="24"/>
        </w:rPr>
      </w:pPr>
      <w:r w:rsidRPr="00DD76C8">
        <w:t>Ova sredstva namijenjena su za pokrivanje izdataka za mjere stručnog usavršavanja u cilju unapređivanja vještina osoblja te produktivnosti i učinkovitosti institucije, na primjer tečajevi službenih radnih jezika.</w:t>
      </w:r>
    </w:p>
    <w:p w:rsidR="002D1DA9" w:rsidRPr="00DD76C8" w:rsidRDefault="002D1DA9" w:rsidP="00FD2C57">
      <w:pPr>
        <w:widowControl/>
        <w:jc w:val="both"/>
        <w:rPr>
          <w:rFonts w:cs="Arial"/>
          <w:bCs/>
          <w:kern w:val="32"/>
          <w:szCs w:val="24"/>
        </w:rPr>
      </w:pPr>
      <w:r w:rsidRPr="00DD76C8">
        <w:t>Iznos dodijeljenih prihoda u skladu s člankom 21. stavkom 3. Financijske uredbe procjenjuje se na 100 EUR.</w:t>
      </w:r>
    </w:p>
    <w:p w:rsidR="002D1DA9" w:rsidRPr="00DD76C8" w:rsidRDefault="002D1DA9" w:rsidP="00FD2C57">
      <w:pPr>
        <w:widowControl/>
        <w:autoSpaceDE w:val="0"/>
        <w:autoSpaceDN w:val="0"/>
        <w:spacing w:before="120" w:after="120"/>
        <w:rPr>
          <w:i/>
          <w:iCs/>
          <w:sz w:val="20"/>
        </w:rPr>
      </w:pPr>
      <w:r w:rsidRPr="00DD76C8">
        <w:rPr>
          <w:i/>
          <w:sz w:val="20"/>
        </w:rPr>
        <w:t>Pravna osnova</w:t>
      </w:r>
    </w:p>
    <w:p w:rsidR="002D1DA9" w:rsidRPr="00DD76C8" w:rsidRDefault="002D1DA9" w:rsidP="00FD2C57">
      <w:pPr>
        <w:widowControl/>
        <w:jc w:val="both"/>
        <w:rPr>
          <w:rFonts w:cs="Arial"/>
          <w:bCs/>
          <w:kern w:val="32"/>
          <w:szCs w:val="24"/>
        </w:rPr>
      </w:pPr>
      <w:r w:rsidRPr="00DD76C8">
        <w:t>Pravilnik o osoblju za dužnosnike Europske unije, a posebno njegov članak 24.a.</w:t>
      </w:r>
    </w:p>
    <w:p w:rsidR="002D1DA9" w:rsidRPr="00DD76C8" w:rsidRDefault="002D1DA9" w:rsidP="00FD2C57">
      <w:pPr>
        <w:widowControl/>
        <w:jc w:val="both"/>
        <w:rPr>
          <w:rFonts w:cs="Arial"/>
          <w:bCs/>
          <w:kern w:val="32"/>
          <w:szCs w:val="24"/>
        </w:rPr>
      </w:pPr>
      <w:r w:rsidRPr="00DD76C8">
        <w:t>Uvjeti zaposlenja ostalih službenika Europske unije.</w:t>
      </w:r>
    </w:p>
    <w:p w:rsidR="002D1DA9" w:rsidRPr="00DD76C8" w:rsidRDefault="002D1DA9" w:rsidP="00FD2C57">
      <w:pPr>
        <w:widowControl/>
        <w:autoSpaceDE w:val="0"/>
        <w:autoSpaceDN w:val="0"/>
        <w:spacing w:before="480" w:after="120"/>
        <w:outlineLvl w:val="3"/>
        <w:rPr>
          <w:b/>
          <w:bCs/>
          <w:i/>
          <w:iCs/>
          <w:szCs w:val="24"/>
        </w:rPr>
      </w:pPr>
      <w:r w:rsidRPr="00DD76C8">
        <w:rPr>
          <w:b/>
          <w:i/>
        </w:rPr>
        <w:t>Članak 1 6 3 — Mjere u korist osoblja institucije</w:t>
      </w:r>
    </w:p>
    <w:p w:rsidR="002D1DA9" w:rsidRPr="00DD76C8" w:rsidRDefault="002D1DA9" w:rsidP="00FD2C57">
      <w:pPr>
        <w:widowControl/>
        <w:autoSpaceDE w:val="0"/>
        <w:autoSpaceDN w:val="0"/>
        <w:spacing w:before="480" w:after="120"/>
        <w:outlineLvl w:val="4"/>
        <w:rPr>
          <w:sz w:val="22"/>
          <w:szCs w:val="22"/>
        </w:rPr>
      </w:pPr>
      <w:r w:rsidRPr="00DD76C8">
        <w:rPr>
          <w:sz w:val="22"/>
        </w:rPr>
        <w:t>Stavka 1 6 3 0 — Socijalna služba</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Odobrena sredstva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743 000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768 000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418 323,17</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keepNext/>
        <w:widowControl/>
        <w:jc w:val="both"/>
        <w:rPr>
          <w:rFonts w:cs="Arial"/>
          <w:bCs/>
          <w:kern w:val="32"/>
          <w:szCs w:val="24"/>
        </w:rPr>
      </w:pPr>
      <w:r w:rsidRPr="00DD76C8">
        <w:t>Ova sredstva namijenjena su za pokrivanje:</w:t>
      </w:r>
    </w:p>
    <w:p w:rsidR="002D1DA9" w:rsidRPr="00DD76C8" w:rsidRDefault="002D1DA9" w:rsidP="00FD2C57">
      <w:pPr>
        <w:keepNext/>
        <w:widowControl/>
        <w:numPr>
          <w:ilvl w:val="0"/>
          <w:numId w:val="11"/>
        </w:numPr>
        <w:spacing w:before="60" w:after="60"/>
        <w:ind w:left="0" w:firstLine="0"/>
        <w:jc w:val="both"/>
        <w:rPr>
          <w:rFonts w:cs="Arial"/>
          <w:bCs/>
          <w:kern w:val="32"/>
          <w:szCs w:val="24"/>
        </w:rPr>
      </w:pPr>
      <w:r w:rsidRPr="00DD76C8">
        <w:t>u okviru međuinstitucionalne politike u korist osoba s invaliditetom sljedećih kategorija:</w:t>
      </w:r>
    </w:p>
    <w:p w:rsidR="002D1DA9" w:rsidRPr="00DD76C8" w:rsidRDefault="002D1DA9" w:rsidP="00FD2C57">
      <w:pPr>
        <w:widowControl/>
        <w:numPr>
          <w:ilvl w:val="0"/>
          <w:numId w:val="11"/>
        </w:numPr>
        <w:tabs>
          <w:tab w:val="clear" w:pos="360"/>
          <w:tab w:val="num" w:pos="0"/>
          <w:tab w:val="num" w:pos="1080"/>
        </w:tabs>
        <w:spacing w:before="60" w:after="60"/>
        <w:ind w:left="0" w:firstLine="0"/>
        <w:jc w:val="both"/>
        <w:rPr>
          <w:rFonts w:cs="Arial"/>
          <w:bCs/>
          <w:kern w:val="32"/>
          <w:szCs w:val="24"/>
        </w:rPr>
      </w:pPr>
      <w:r w:rsidRPr="00DD76C8">
        <w:t>dužnosnika i privremenog osoblja koji su u aktivnoj službi,</w:t>
      </w:r>
    </w:p>
    <w:p w:rsidR="002D1DA9" w:rsidRPr="00DD76C8" w:rsidRDefault="002D1DA9" w:rsidP="00FD2C57">
      <w:pPr>
        <w:widowControl/>
        <w:numPr>
          <w:ilvl w:val="0"/>
          <w:numId w:val="11"/>
        </w:numPr>
        <w:tabs>
          <w:tab w:val="clear" w:pos="360"/>
          <w:tab w:val="num" w:pos="0"/>
          <w:tab w:val="num" w:pos="1080"/>
        </w:tabs>
        <w:spacing w:before="60" w:after="60"/>
        <w:ind w:left="0" w:firstLine="0"/>
        <w:jc w:val="both"/>
        <w:rPr>
          <w:rFonts w:cs="Arial"/>
          <w:bCs/>
          <w:kern w:val="32"/>
          <w:szCs w:val="24"/>
        </w:rPr>
      </w:pPr>
      <w:r w:rsidRPr="00DD76C8">
        <w:t>supružnika dužnosnika i privremenog osoblja koji su u aktivnoj službi,</w:t>
      </w:r>
    </w:p>
    <w:p w:rsidR="002D1DA9" w:rsidRPr="00DD76C8" w:rsidRDefault="002D1DA9" w:rsidP="00FD2C57">
      <w:pPr>
        <w:widowControl/>
        <w:numPr>
          <w:ilvl w:val="0"/>
          <w:numId w:val="11"/>
        </w:numPr>
        <w:tabs>
          <w:tab w:val="clear" w:pos="360"/>
          <w:tab w:val="num" w:pos="0"/>
          <w:tab w:val="num" w:pos="1080"/>
        </w:tabs>
        <w:spacing w:before="60" w:after="60"/>
        <w:ind w:left="0" w:firstLine="0"/>
        <w:jc w:val="both"/>
        <w:rPr>
          <w:rFonts w:cs="Arial"/>
          <w:bCs/>
          <w:kern w:val="32"/>
          <w:szCs w:val="24"/>
        </w:rPr>
      </w:pPr>
      <w:r w:rsidRPr="00DD76C8">
        <w:t>uzdržavane djece u skladu s Pravilnikom o osoblju za dužnosnike Europske unije,</w:t>
      </w:r>
    </w:p>
    <w:p w:rsidR="002D1DA9" w:rsidRPr="00DD76C8" w:rsidRDefault="002D1DA9" w:rsidP="00FD2C57">
      <w:pPr>
        <w:widowControl/>
        <w:jc w:val="both"/>
        <w:rPr>
          <w:rFonts w:cs="Arial"/>
          <w:bCs/>
          <w:kern w:val="32"/>
          <w:szCs w:val="24"/>
        </w:rPr>
      </w:pPr>
      <w:r w:rsidRPr="00DD76C8">
        <w:t>povrata izdataka koji se ne tiču zdravstvene njege, koji se smatraju potrebnima, kojima je uzrok invaliditet, koji su uredno potkrijepljeni dokazima i ne vraćaju se u okviru zajedničkog sustava zdravstvenog osiguranja, ako su proračunska sredstva dostupna i nakon što su iscrpljena eventualna prava na razini države u zemlji boravišta ili podrijetla,</w:t>
      </w:r>
    </w:p>
    <w:p w:rsidR="002D1DA9" w:rsidRPr="00DD76C8" w:rsidRDefault="002D1DA9" w:rsidP="00FD2C57">
      <w:pPr>
        <w:widowControl/>
        <w:numPr>
          <w:ilvl w:val="0"/>
          <w:numId w:val="11"/>
        </w:numPr>
        <w:spacing w:before="60" w:after="60"/>
        <w:ind w:left="0" w:firstLine="0"/>
        <w:jc w:val="both"/>
        <w:rPr>
          <w:rFonts w:cs="Arial"/>
          <w:bCs/>
          <w:kern w:val="32"/>
          <w:szCs w:val="24"/>
        </w:rPr>
      </w:pPr>
      <w:r w:rsidRPr="00DD76C8">
        <w:t>mjera za dužnosnike ili ostale službenike koji se nalaze u posebno teškom položaju,</w:t>
      </w:r>
    </w:p>
    <w:p w:rsidR="002D1DA9" w:rsidRPr="00DD76C8" w:rsidRDefault="002D1DA9" w:rsidP="00FD2C57">
      <w:pPr>
        <w:widowControl/>
        <w:numPr>
          <w:ilvl w:val="0"/>
          <w:numId w:val="11"/>
        </w:numPr>
        <w:spacing w:before="60" w:after="60"/>
        <w:ind w:left="0" w:firstLine="0"/>
        <w:jc w:val="both"/>
        <w:rPr>
          <w:rFonts w:cs="Arial"/>
          <w:bCs/>
          <w:kern w:val="32"/>
          <w:szCs w:val="24"/>
        </w:rPr>
      </w:pPr>
      <w:r w:rsidRPr="00DD76C8">
        <w:t>odobravanja potpora za Odbor zaposlenika i manjih izdataka socijalnih službi. Potpore ili preuzimanje troškova Odbora zaposlenika za sudionike u nekoj socijalnoj aktivnosti usmjereni su na financiranje aktivnosti sa socijalnom, kulturnom ili jezičnom dimenzijom, ali ne predstavljaju potpore za pojedine djelatnike ili kućanstva,</w:t>
      </w:r>
    </w:p>
    <w:p w:rsidR="002D1DA9" w:rsidRPr="00DD76C8" w:rsidRDefault="002D1DA9" w:rsidP="00FD2C57">
      <w:pPr>
        <w:widowControl/>
        <w:numPr>
          <w:ilvl w:val="0"/>
          <w:numId w:val="11"/>
        </w:numPr>
        <w:spacing w:before="60" w:after="60"/>
        <w:ind w:left="0" w:firstLine="0"/>
        <w:jc w:val="both"/>
        <w:rPr>
          <w:rFonts w:cs="Arial"/>
          <w:bCs/>
          <w:kern w:val="32"/>
          <w:szCs w:val="24"/>
        </w:rPr>
      </w:pPr>
      <w:r w:rsidRPr="00DD76C8">
        <w:t>drugih mjera socijalne naravi, na institucionalnoj ili međuinstitucionalnoj razini, s ciljem integracije dužnosnika i službenika,</w:t>
      </w:r>
    </w:p>
    <w:p w:rsidR="002D1DA9" w:rsidRPr="00DD76C8" w:rsidRDefault="002D1DA9" w:rsidP="00FD2C57">
      <w:pPr>
        <w:widowControl/>
        <w:numPr>
          <w:ilvl w:val="0"/>
          <w:numId w:val="11"/>
        </w:numPr>
        <w:spacing w:before="60" w:after="60"/>
        <w:ind w:left="0" w:firstLine="0"/>
        <w:jc w:val="both"/>
        <w:rPr>
          <w:rFonts w:cs="Arial"/>
          <w:bCs/>
          <w:kern w:val="32"/>
          <w:szCs w:val="24"/>
        </w:rPr>
      </w:pPr>
      <w:r w:rsidRPr="00DD76C8">
        <w:t>financiranja mjera u vezi s prilagodbom do određene mjere ili izdataka za liječnički pregled i procjenu socijalnih potreba dužnosnika i ostalog osoblja i stažista s invaliditetom i dužnosnika i drugog osoblja s invaliditetom koji sudjeluju u postupku zapošljavanja te stažista s invaliditetom koji su u postupku odabira, u skladu s člankom 1.d Pravilnika o osoblju, posebno mjere individualne pomoći na radnome mjestu ili za vrijeme službenih putovanja.</w:t>
      </w:r>
    </w:p>
    <w:p w:rsidR="002D1DA9" w:rsidRPr="00DD76C8" w:rsidRDefault="002D1DA9" w:rsidP="00FD2C57">
      <w:pPr>
        <w:widowControl/>
        <w:jc w:val="both"/>
        <w:rPr>
          <w:rFonts w:cs="Arial"/>
          <w:bCs/>
          <w:kern w:val="32"/>
          <w:szCs w:val="24"/>
        </w:rPr>
      </w:pPr>
      <w:r w:rsidRPr="00DD76C8">
        <w:t>Iznos namjenskih prihoda u skladu s člankom 21. stavkom 3. Financijske uredbe procjenjuje se na 50 000 EUR.</w:t>
      </w:r>
    </w:p>
    <w:p w:rsidR="002D1DA9" w:rsidRPr="00DD76C8" w:rsidRDefault="002D1DA9" w:rsidP="00FD2C57">
      <w:pPr>
        <w:widowControl/>
        <w:autoSpaceDE w:val="0"/>
        <w:autoSpaceDN w:val="0"/>
        <w:spacing w:before="120" w:after="120"/>
        <w:rPr>
          <w:i/>
          <w:iCs/>
          <w:sz w:val="20"/>
        </w:rPr>
      </w:pPr>
      <w:r w:rsidRPr="00DD76C8">
        <w:rPr>
          <w:i/>
          <w:sz w:val="20"/>
        </w:rPr>
        <w:t>Pravna osnova</w:t>
      </w:r>
    </w:p>
    <w:p w:rsidR="002D1DA9" w:rsidRPr="00DD76C8" w:rsidRDefault="002D1DA9" w:rsidP="00FD2C57">
      <w:pPr>
        <w:widowControl/>
        <w:jc w:val="both"/>
        <w:rPr>
          <w:rFonts w:cs="Arial"/>
          <w:bCs/>
          <w:kern w:val="32"/>
          <w:szCs w:val="24"/>
        </w:rPr>
      </w:pPr>
      <w:r w:rsidRPr="00DD76C8">
        <w:t>Pravilnik o osoblju za dužnosnike Europske unije, a posebno članak 1.d, članak 9. stavak 3. treći podstavak i članak 76.</w:t>
      </w:r>
    </w:p>
    <w:p w:rsidR="002D1DA9" w:rsidRPr="00DD76C8" w:rsidRDefault="002D1DA9" w:rsidP="00FD2C57">
      <w:pPr>
        <w:widowControl/>
        <w:autoSpaceDE w:val="0"/>
        <w:autoSpaceDN w:val="0"/>
        <w:spacing w:before="480" w:after="120"/>
        <w:outlineLvl w:val="4"/>
        <w:rPr>
          <w:sz w:val="22"/>
          <w:szCs w:val="22"/>
        </w:rPr>
      </w:pPr>
      <w:r w:rsidRPr="00DD76C8">
        <w:rPr>
          <w:sz w:val="22"/>
        </w:rPr>
        <w:t>Stavka 1 6 3 1 — Mobilnost</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Odobrena sredstva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730 000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700 000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448 687,52</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widowControl/>
        <w:jc w:val="both"/>
        <w:rPr>
          <w:rFonts w:cs="Arial"/>
          <w:bCs/>
          <w:kern w:val="32"/>
          <w:szCs w:val="24"/>
        </w:rPr>
      </w:pPr>
      <w:r w:rsidRPr="00DD76C8">
        <w:t>Ova sredstva namijenjena su pokrivanju izdataka vezanih uz provedbu plana mobilnosti u različitim mjestima rada.</w:t>
      </w:r>
    </w:p>
    <w:p w:rsidR="002D1DA9" w:rsidRPr="00DD76C8" w:rsidRDefault="002D1DA9" w:rsidP="00FD2C57">
      <w:pPr>
        <w:widowControl/>
        <w:jc w:val="both"/>
        <w:rPr>
          <w:rFonts w:cs="Arial"/>
          <w:bCs/>
          <w:kern w:val="32"/>
          <w:szCs w:val="24"/>
        </w:rPr>
      </w:pPr>
      <w:r w:rsidRPr="00DD76C8">
        <w:t>Namjenski prihodi u skladu s člankom 21. stavkom 3. Financijske uredbe procjenjuju se na 5 000 EUR.</w:t>
      </w:r>
    </w:p>
    <w:p w:rsidR="002D1DA9" w:rsidRPr="00DD76C8" w:rsidRDefault="002D1DA9" w:rsidP="00FD2C57">
      <w:pPr>
        <w:widowControl/>
        <w:autoSpaceDE w:val="0"/>
        <w:autoSpaceDN w:val="0"/>
        <w:spacing w:before="480" w:after="120"/>
        <w:outlineLvl w:val="4"/>
        <w:rPr>
          <w:sz w:val="22"/>
          <w:szCs w:val="22"/>
        </w:rPr>
      </w:pPr>
      <w:r w:rsidRPr="00DD76C8">
        <w:rPr>
          <w:sz w:val="22"/>
        </w:rPr>
        <w:t>Stavka 1 6 3 2 — Društveni kontakti među djelatnicima i ostale socijalne mjere</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Odobrena sredstva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227 000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230 000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238 000,00</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widowControl/>
        <w:jc w:val="both"/>
        <w:rPr>
          <w:rFonts w:cs="Arial"/>
          <w:bCs/>
          <w:kern w:val="32"/>
          <w:szCs w:val="24"/>
        </w:rPr>
      </w:pPr>
      <w:r w:rsidRPr="00DD76C8">
        <w:t>Ovim sredstvima trebale bi se financijski podupirati i pomagati sve inicijative kojima je cilj razvijanje društvenih kontakata među djelatnicima različitih nacionalnosti, u što spadaju potpore klubovima i kulturnim, sportskim i drugim udrugama osoblja te doprinos troškovima stalnog centra za slobodne aktivnosti (kulturne i sportske aktivnosti, hobiji, restoran).</w:t>
      </w:r>
    </w:p>
    <w:p w:rsidR="002D1DA9" w:rsidRPr="00DD76C8" w:rsidRDefault="002D1DA9" w:rsidP="00FD2C57">
      <w:pPr>
        <w:widowControl/>
        <w:jc w:val="both"/>
        <w:rPr>
          <w:rFonts w:cs="Arial"/>
          <w:bCs/>
          <w:kern w:val="32"/>
          <w:szCs w:val="24"/>
        </w:rPr>
      </w:pPr>
      <w:r w:rsidRPr="00DD76C8">
        <w:t>Osim toga ovim sredstvima pokriva se financijsko sudjelovanje u međuinstitucionalnim socijalnim aktivnostima.</w:t>
      </w:r>
    </w:p>
    <w:p w:rsidR="002D1DA9" w:rsidRPr="00DD76C8" w:rsidRDefault="002D1DA9" w:rsidP="00FD2C57">
      <w:pPr>
        <w:widowControl/>
        <w:jc w:val="both"/>
        <w:rPr>
          <w:rFonts w:cs="Arial"/>
          <w:bCs/>
          <w:kern w:val="32"/>
          <w:szCs w:val="24"/>
        </w:rPr>
      </w:pPr>
      <w:r w:rsidRPr="00DD76C8">
        <w:t>Iznos namjenskih prihoda u skladu s člankom 21. stavkom 3. Financijske uredbe procjenjuje se na 600 000 EUR.</w:t>
      </w:r>
    </w:p>
    <w:p w:rsidR="002D1DA9" w:rsidRPr="00DD76C8" w:rsidRDefault="002D1DA9" w:rsidP="00FD2C57">
      <w:pPr>
        <w:widowControl/>
        <w:autoSpaceDE w:val="0"/>
        <w:autoSpaceDN w:val="0"/>
        <w:spacing w:before="480" w:after="120"/>
        <w:outlineLvl w:val="3"/>
        <w:rPr>
          <w:b/>
          <w:bCs/>
          <w:i/>
          <w:iCs/>
          <w:szCs w:val="24"/>
        </w:rPr>
      </w:pPr>
      <w:r w:rsidRPr="00DD76C8">
        <w:rPr>
          <w:b/>
          <w:i/>
        </w:rPr>
        <w:t>Članak 1 6 5 — Aktivnosti koje se odnose na sve osobe koje rade za instituciju</w:t>
      </w:r>
    </w:p>
    <w:p w:rsidR="002D1DA9" w:rsidRPr="00DD76C8" w:rsidRDefault="002D1DA9" w:rsidP="00FD2C57">
      <w:pPr>
        <w:widowControl/>
        <w:autoSpaceDE w:val="0"/>
        <w:autoSpaceDN w:val="0"/>
        <w:spacing w:before="480" w:after="120"/>
        <w:outlineLvl w:val="4"/>
        <w:rPr>
          <w:sz w:val="22"/>
          <w:szCs w:val="22"/>
        </w:rPr>
      </w:pPr>
      <w:r w:rsidRPr="00DD76C8">
        <w:rPr>
          <w:sz w:val="22"/>
        </w:rPr>
        <w:t>Stavka 1 6 5 0 — Zdravstvena služba</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Odobrena sredstva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1 250 000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1 275 000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1 095 269,68</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widowControl/>
        <w:jc w:val="both"/>
        <w:rPr>
          <w:rFonts w:cs="Arial"/>
          <w:bCs/>
          <w:kern w:val="32"/>
          <w:szCs w:val="24"/>
        </w:rPr>
      </w:pPr>
      <w:r w:rsidRPr="00DD76C8">
        <w:t>Ova sredstva namijenjena su pokrivanju administrativnih izdataka zdravstvene službe u trima mjestima rada, uključujući kupovinu materijala, lijekova itd., troškove preventivnih liječničkih pregleda, administrativne izdatke invalidske komisije te izdatke za vanjske usluge specijalista koje liječnici službenici smatraju potrebnima.</w:t>
      </w:r>
    </w:p>
    <w:p w:rsidR="002D1DA9" w:rsidRPr="00DD76C8" w:rsidRDefault="002D1DA9" w:rsidP="00FD2C57">
      <w:pPr>
        <w:widowControl/>
        <w:jc w:val="both"/>
        <w:rPr>
          <w:rFonts w:cs="Arial"/>
          <w:bCs/>
          <w:kern w:val="32"/>
          <w:szCs w:val="24"/>
        </w:rPr>
      </w:pPr>
      <w:r w:rsidRPr="00DD76C8">
        <w:t>Njima se također pokrivaju izdatci za kupovinu određenog uređaja koji je potreban iz medicinskih razloga te izdatci za medicinsko ili paramedicinsko osoblje koje je zaposleno u okviru ugovora o pružanju usluga ili u svojstvu kratkoročne zamjene.</w:t>
      </w:r>
    </w:p>
    <w:p w:rsidR="002D1DA9" w:rsidRPr="00DD76C8" w:rsidRDefault="002D1DA9" w:rsidP="00FD2C57">
      <w:pPr>
        <w:widowControl/>
        <w:jc w:val="both"/>
        <w:rPr>
          <w:rFonts w:cs="Arial"/>
          <w:bCs/>
          <w:kern w:val="32"/>
          <w:szCs w:val="24"/>
        </w:rPr>
      </w:pPr>
      <w:r w:rsidRPr="00DD76C8">
        <w:t>Iznos dodijeljenih prihoda u skladu s člankom 21. stavkom 3. Financijske uredbe procjenjuje se na 100 EUR.</w:t>
      </w:r>
    </w:p>
    <w:p w:rsidR="002D1DA9" w:rsidRPr="00DD76C8" w:rsidRDefault="002D1DA9" w:rsidP="00FD2C57">
      <w:pPr>
        <w:widowControl/>
        <w:autoSpaceDE w:val="0"/>
        <w:autoSpaceDN w:val="0"/>
        <w:spacing w:before="120" w:after="120"/>
        <w:rPr>
          <w:i/>
          <w:iCs/>
          <w:sz w:val="20"/>
        </w:rPr>
      </w:pPr>
      <w:r w:rsidRPr="00DD76C8">
        <w:rPr>
          <w:i/>
          <w:sz w:val="20"/>
        </w:rPr>
        <w:t>Pravna osnova</w:t>
      </w:r>
    </w:p>
    <w:p w:rsidR="002D1DA9" w:rsidRPr="00DD76C8" w:rsidRDefault="002D1DA9" w:rsidP="00FD2C57">
      <w:pPr>
        <w:widowControl/>
        <w:jc w:val="both"/>
        <w:rPr>
          <w:rFonts w:cs="Arial"/>
          <w:bCs/>
          <w:kern w:val="32"/>
          <w:szCs w:val="24"/>
        </w:rPr>
      </w:pPr>
      <w:r w:rsidRPr="00DD76C8">
        <w:t>Pravilnik o osoblju za dužnosnike Europske unije, a posebno njegov članak 59. te Prilog II. članak 8. Pravilnika.</w:t>
      </w:r>
    </w:p>
    <w:p w:rsidR="002D1DA9" w:rsidRPr="00DD76C8" w:rsidRDefault="002D1DA9" w:rsidP="00FD2C57">
      <w:pPr>
        <w:widowControl/>
        <w:autoSpaceDE w:val="0"/>
        <w:autoSpaceDN w:val="0"/>
        <w:spacing w:before="480" w:after="120"/>
        <w:outlineLvl w:val="4"/>
        <w:rPr>
          <w:sz w:val="22"/>
          <w:szCs w:val="22"/>
        </w:rPr>
      </w:pPr>
      <w:r w:rsidRPr="00DD76C8">
        <w:rPr>
          <w:sz w:val="22"/>
        </w:rPr>
        <w:t>Stavka 1 6 5 2 — Troškovi poslovanja restorana i kantina</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Odobrena sredstva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1 310 000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1 380 000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615 000,00</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widowControl/>
        <w:jc w:val="both"/>
        <w:rPr>
          <w:rFonts w:cs="Arial"/>
          <w:bCs/>
          <w:kern w:val="32"/>
          <w:szCs w:val="24"/>
        </w:rPr>
      </w:pPr>
      <w:r w:rsidRPr="00DD76C8">
        <w:t>Ova sredstva namijenjena su pokrivanju troškova vođenja restorana i kantina.</w:t>
      </w:r>
    </w:p>
    <w:p w:rsidR="002D1DA9" w:rsidRPr="00DD76C8" w:rsidRDefault="002D1DA9" w:rsidP="00FD2C57">
      <w:pPr>
        <w:widowControl/>
        <w:jc w:val="both"/>
        <w:rPr>
          <w:rFonts w:cs="Arial"/>
          <w:bCs/>
          <w:kern w:val="32"/>
          <w:szCs w:val="24"/>
        </w:rPr>
      </w:pPr>
      <w:r w:rsidRPr="00DD76C8">
        <w:t>Iznos namjenskih prihoda u skladu s člankom 21. stavkom 3. Financijske uredbe procjenjuje se na 1 800 000 EUR.</w:t>
      </w:r>
    </w:p>
    <w:p w:rsidR="002D1DA9" w:rsidRPr="00DD76C8" w:rsidRDefault="002D1DA9" w:rsidP="00FD2C57">
      <w:pPr>
        <w:widowControl/>
        <w:autoSpaceDE w:val="0"/>
        <w:autoSpaceDN w:val="0"/>
        <w:spacing w:before="480" w:after="120"/>
        <w:outlineLvl w:val="4"/>
        <w:rPr>
          <w:sz w:val="22"/>
          <w:szCs w:val="22"/>
        </w:rPr>
      </w:pPr>
      <w:r w:rsidRPr="00DD76C8">
        <w:rPr>
          <w:sz w:val="22"/>
        </w:rPr>
        <w:t>Stavka 1 6 5 4 —  Ustanove za čuvanje djece</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Odobrena sredstva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7 478 900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7 162 500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5 517 443,89</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widowControl/>
        <w:jc w:val="both"/>
        <w:rPr>
          <w:rFonts w:cs="Arial"/>
          <w:bCs/>
          <w:kern w:val="32"/>
          <w:szCs w:val="24"/>
        </w:rPr>
      </w:pPr>
      <w:r w:rsidRPr="00DD76C8">
        <w:t>Ova sredstva namijenjena su pokrivanju doprinosa Europskog parlamenta ukupnim izdacima vezanima uz organizaciju i pružanje usluga u ustanovama EP-a za čuvanje djece, kao i u privatnim ustanovama s kojima je sklopljen ugovor.</w:t>
      </w:r>
    </w:p>
    <w:p w:rsidR="002D1DA9" w:rsidRPr="00DD76C8" w:rsidRDefault="002D1DA9" w:rsidP="00FD2C57">
      <w:pPr>
        <w:widowControl/>
        <w:jc w:val="both"/>
        <w:rPr>
          <w:rFonts w:cs="Arial"/>
          <w:bCs/>
          <w:kern w:val="32"/>
          <w:szCs w:val="24"/>
        </w:rPr>
      </w:pPr>
      <w:r w:rsidRPr="00DD76C8">
        <w:t>Iznos namjenskih prihoda u skladu s člankom 21. stavkom 3. Financijske uredbe procjenjuje se na 4 250 000 EUR.</w:t>
      </w:r>
    </w:p>
    <w:p w:rsidR="002D1DA9" w:rsidRPr="00DD76C8" w:rsidRDefault="002D1DA9" w:rsidP="00FD2C57">
      <w:pPr>
        <w:widowControl/>
        <w:autoSpaceDE w:val="0"/>
        <w:autoSpaceDN w:val="0"/>
        <w:spacing w:before="480" w:after="120"/>
        <w:outlineLvl w:val="4"/>
        <w:rPr>
          <w:sz w:val="22"/>
          <w:szCs w:val="22"/>
        </w:rPr>
      </w:pPr>
      <w:r w:rsidRPr="00DD76C8">
        <w:rPr>
          <w:sz w:val="22"/>
        </w:rPr>
        <w:t>Stavka 1 6 5 5 — Doprinos Europskog parlamenta akreditiranim europskim školama (tipa II)</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Odobrena sredstva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445 600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295 000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300 000,00</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widowControl/>
        <w:jc w:val="both"/>
        <w:rPr>
          <w:rFonts w:cs="Arial"/>
          <w:bCs/>
          <w:kern w:val="32"/>
          <w:szCs w:val="24"/>
        </w:rPr>
      </w:pPr>
      <w:r w:rsidRPr="00DD76C8">
        <w:t>Provedba Odluke Komisije C(2013) 4886 od 1. kolovoza 2013. (SL C 222, 2.8.2013., str. 8.).</w:t>
      </w:r>
    </w:p>
    <w:p w:rsidR="002D1DA9" w:rsidRPr="00DD76C8" w:rsidRDefault="002D1DA9" w:rsidP="00FD2C57">
      <w:pPr>
        <w:widowControl/>
        <w:jc w:val="both"/>
        <w:rPr>
          <w:rFonts w:cs="Arial"/>
          <w:bCs/>
          <w:kern w:val="32"/>
          <w:szCs w:val="24"/>
        </w:rPr>
      </w:pPr>
      <w:r w:rsidRPr="00DD76C8">
        <w:t>Sredstva su namijenjena pokrivanju doprinosa Europskog parlamenta europskim školama tipa II koje je akreditirao Upravni odbor europskih škola, ili povrata troškova doprinosa koji je u ime Europskog parlamenta Komisija isplatila europskim školama tipa II koje je akreditirao Upravni odbor europskih škola. Sredstva pokrivaju troškove povezane s djecom statutarnog osoblja Europskog parlamenta koja su upisana u te škole.</w:t>
      </w:r>
    </w:p>
    <w:p w:rsidR="002D1DA9" w:rsidRPr="00DD76C8" w:rsidRDefault="002D1DA9" w:rsidP="00FD2C57">
      <w:pPr>
        <w:widowControl/>
        <w:jc w:val="both"/>
        <w:rPr>
          <w:rFonts w:cs="Arial"/>
          <w:bCs/>
          <w:kern w:val="32"/>
          <w:szCs w:val="24"/>
        </w:rPr>
      </w:pPr>
      <w:r w:rsidRPr="00DD76C8">
        <w:t>Iznos dodijeljenih prihoda u skladu s člankom 21. stavkom 3. Financijske uredbe procjenjuje se na 100 EUR.</w:t>
      </w:r>
    </w:p>
    <w:p w:rsidR="002D1DA9" w:rsidRPr="00DD76C8" w:rsidRDefault="002D1DA9" w:rsidP="00FD2C57">
      <w:pPr>
        <w:keepNext/>
        <w:widowControl/>
        <w:spacing w:before="480" w:after="120"/>
        <w:outlineLvl w:val="1"/>
        <w:rPr>
          <w:b/>
          <w:bCs/>
          <w:smallCaps/>
          <w:sz w:val="32"/>
          <w:szCs w:val="32"/>
        </w:rPr>
      </w:pPr>
      <w:r w:rsidRPr="00DD76C8">
        <w:rPr>
          <w:b/>
          <w:smallCaps/>
          <w:sz w:val="32"/>
        </w:rPr>
        <w:t>Glava 2. — zgrade, namještaj, oprema i razni poslovni izdaci</w:t>
      </w:r>
    </w:p>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widowControl/>
        <w:jc w:val="both"/>
        <w:rPr>
          <w:rFonts w:cs="Arial"/>
          <w:bCs/>
          <w:kern w:val="32"/>
          <w:szCs w:val="24"/>
        </w:rPr>
      </w:pPr>
      <w:r w:rsidRPr="00DD76C8">
        <w:t>Budući da su osiguravajuća društva prestala osiguravati rizike, zgrade Europskog parlamenta moraju se u okviru općeg proračuna Europske unije osigurati od rizika štrajka i terorističkih napada.</w:t>
      </w:r>
    </w:p>
    <w:p w:rsidR="002D1DA9" w:rsidRPr="00DD76C8" w:rsidRDefault="002D1DA9" w:rsidP="00FD2C57">
      <w:pPr>
        <w:widowControl/>
        <w:jc w:val="both"/>
        <w:rPr>
          <w:rFonts w:cs="Arial"/>
          <w:bCs/>
          <w:kern w:val="32"/>
          <w:szCs w:val="24"/>
        </w:rPr>
      </w:pPr>
      <w:r w:rsidRPr="00DD76C8">
        <w:t>Prema tome, sredstvima ove glave pokrivaju se svi izdatci vezani uz štete koje su posljedica štrajkova i terorističkih napada.</w:t>
      </w:r>
    </w:p>
    <w:p w:rsidR="002D1DA9" w:rsidRPr="00DD76C8" w:rsidRDefault="002D1DA9" w:rsidP="00FD2C57">
      <w:pPr>
        <w:widowControl/>
        <w:autoSpaceDE w:val="0"/>
        <w:autoSpaceDN w:val="0"/>
        <w:spacing w:before="480" w:after="120"/>
        <w:outlineLvl w:val="2"/>
        <w:rPr>
          <w:b/>
          <w:bCs/>
          <w:smallCaps/>
          <w:sz w:val="28"/>
          <w:szCs w:val="28"/>
        </w:rPr>
      </w:pPr>
      <w:r w:rsidRPr="00DD76C8">
        <w:rPr>
          <w:b/>
          <w:smallCaps/>
          <w:sz w:val="28"/>
        </w:rPr>
        <w:t>Poglavlje 2 0 — zgrade i s njima povezani troškovi</w:t>
      </w:r>
    </w:p>
    <w:p w:rsidR="002D1DA9" w:rsidRPr="00DD76C8" w:rsidRDefault="002D1DA9" w:rsidP="00FD2C57">
      <w:pPr>
        <w:widowControl/>
        <w:autoSpaceDE w:val="0"/>
        <w:autoSpaceDN w:val="0"/>
        <w:spacing w:before="480" w:after="120"/>
        <w:outlineLvl w:val="3"/>
        <w:rPr>
          <w:b/>
          <w:bCs/>
          <w:i/>
          <w:iCs/>
          <w:szCs w:val="24"/>
        </w:rPr>
      </w:pPr>
      <w:r w:rsidRPr="00DD76C8">
        <w:rPr>
          <w:b/>
          <w:i/>
        </w:rPr>
        <w:t>Članak 2 0 0 — Zgrade</w:t>
      </w:r>
    </w:p>
    <w:p w:rsidR="002D1DA9" w:rsidRPr="00DD76C8" w:rsidRDefault="002D1DA9" w:rsidP="00FD2C57">
      <w:pPr>
        <w:widowControl/>
        <w:autoSpaceDE w:val="0"/>
        <w:autoSpaceDN w:val="0"/>
        <w:spacing w:before="480" w:after="120"/>
        <w:outlineLvl w:val="4"/>
        <w:rPr>
          <w:sz w:val="22"/>
          <w:szCs w:val="22"/>
        </w:rPr>
      </w:pPr>
      <w:r w:rsidRPr="00DD76C8">
        <w:rPr>
          <w:sz w:val="22"/>
        </w:rPr>
        <w:t>Stavka 2 0 0 0 — Najamnine</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Odobrena sredstva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35 948 000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37 169 000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32 913 005,98</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widowControl/>
        <w:jc w:val="both"/>
        <w:rPr>
          <w:rFonts w:cs="Arial"/>
          <w:bCs/>
          <w:kern w:val="32"/>
          <w:szCs w:val="24"/>
        </w:rPr>
      </w:pPr>
      <w:r w:rsidRPr="00DD76C8">
        <w:t xml:space="preserve">Ova sredstva namijenjena su pokrivanju najamnine za zgrade ili dijelove zgrada koje koristi Europski parlament. </w:t>
      </w:r>
    </w:p>
    <w:p w:rsidR="002D1DA9" w:rsidRPr="00DD76C8" w:rsidRDefault="002D1DA9" w:rsidP="00FD2C57">
      <w:pPr>
        <w:widowControl/>
        <w:jc w:val="both"/>
        <w:rPr>
          <w:rFonts w:cs="Arial"/>
          <w:bCs/>
          <w:kern w:val="32"/>
          <w:szCs w:val="24"/>
        </w:rPr>
      </w:pPr>
      <w:r w:rsidRPr="00DD76C8">
        <w:t>Njima se također pokrivaju izdatci za porez na nekretnine. Najamnine se obračunavaju za 12 mjeseci i na temelju postojećih ugovora ili ugovora u pripremi u kojima je obično predviđena prilagodba na troškove života, odnosno građevinske troškove.</w:t>
      </w:r>
    </w:p>
    <w:p w:rsidR="002D1DA9" w:rsidRPr="00DD76C8" w:rsidRDefault="002D1DA9" w:rsidP="00FD2C57">
      <w:pPr>
        <w:widowControl/>
        <w:jc w:val="both"/>
        <w:rPr>
          <w:rFonts w:cs="Arial"/>
          <w:bCs/>
          <w:kern w:val="32"/>
          <w:szCs w:val="24"/>
        </w:rPr>
      </w:pPr>
      <w:r w:rsidRPr="00DD76C8">
        <w:t>Iznos namjenskih prihoda u skladu s člankom 21. stavkom 3. Financijske uredbe procjenjuje se na 3 000 000 EUR.</w:t>
      </w:r>
    </w:p>
    <w:p w:rsidR="002D1DA9" w:rsidRPr="00DD76C8" w:rsidRDefault="002D1DA9" w:rsidP="00FD2C57">
      <w:pPr>
        <w:widowControl/>
        <w:jc w:val="both"/>
        <w:rPr>
          <w:rFonts w:cs="Arial"/>
          <w:bCs/>
          <w:kern w:val="32"/>
          <w:szCs w:val="24"/>
        </w:rPr>
      </w:pPr>
      <w:r w:rsidRPr="00DD76C8">
        <w:t>Financijski doprinosi koje plaćaju države članice ili njihove javne agencije ili subjekti u obliku financiranja ili nadoknada troškova i s njima povezanih naknada u vezi s nabavom ili korištenjem zemljišta ili zgrada, ili troškovi zgrada ili opreme institucije smatrat će se vanjskim namjenskim prihodima u smislu članka 21. stavka 2.</w:t>
      </w:r>
    </w:p>
    <w:p w:rsidR="002D1DA9" w:rsidRPr="00DD76C8" w:rsidRDefault="002D1DA9" w:rsidP="00FD2C57">
      <w:pPr>
        <w:widowControl/>
        <w:autoSpaceDE w:val="0"/>
        <w:autoSpaceDN w:val="0"/>
        <w:spacing w:before="480" w:after="120"/>
        <w:outlineLvl w:val="4"/>
        <w:rPr>
          <w:sz w:val="22"/>
          <w:szCs w:val="22"/>
        </w:rPr>
      </w:pPr>
      <w:r w:rsidRPr="00DD76C8">
        <w:rPr>
          <w:sz w:val="22"/>
        </w:rPr>
        <w:t>Stavka 2 0 0 1 — Plaćanje najma</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Odobrena sredstva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13 000 000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p.m.</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53 500 000,00</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widowControl/>
        <w:jc w:val="both"/>
        <w:rPr>
          <w:rFonts w:cs="Arial"/>
          <w:bCs/>
          <w:kern w:val="32"/>
          <w:szCs w:val="24"/>
        </w:rPr>
      </w:pPr>
      <w:r w:rsidRPr="00DD76C8">
        <w:t>Ova sredstva namijenjena su financiranju kamata na najam zgrada i dijelova zgrada na temelju važećih ugovora, odnosno ugovora koji su u fazi pripreme.</w:t>
      </w:r>
    </w:p>
    <w:p w:rsidR="002D1DA9" w:rsidRPr="00DD76C8" w:rsidRDefault="002D1DA9" w:rsidP="00FD2C57">
      <w:pPr>
        <w:widowControl/>
        <w:jc w:val="both"/>
        <w:rPr>
          <w:rFonts w:cs="Arial"/>
          <w:bCs/>
          <w:kern w:val="32"/>
          <w:szCs w:val="24"/>
        </w:rPr>
      </w:pPr>
      <w:r w:rsidRPr="00DD76C8">
        <w:t>Iznos namjenskih prihoda u skladu s člankom 21. stavkom 3. Financijske uredbe procjenjuje se na 50 000 EUR.</w:t>
      </w:r>
    </w:p>
    <w:p w:rsidR="002D1DA9" w:rsidRPr="00DD76C8" w:rsidRDefault="002D1DA9" w:rsidP="00FD2C57">
      <w:pPr>
        <w:widowControl/>
        <w:jc w:val="both"/>
        <w:rPr>
          <w:rFonts w:cs="Arial"/>
          <w:bCs/>
          <w:kern w:val="32"/>
          <w:szCs w:val="24"/>
        </w:rPr>
      </w:pPr>
      <w:r w:rsidRPr="00DD76C8">
        <w:t>Financijski doprinosi koje plaćaju države članice ili njihove javne agencije ili subjekti u obliku financiranja ili nadoknada troškova i s njima povezanih naknada u vezi s nabavom ili korištenjem zemljišta ili zgrada, ili troškovi zgrada ili opreme institucije smatrat će se vanjskim namjenskim prihodima u smislu članka 21. stavka 2.</w:t>
      </w:r>
    </w:p>
    <w:p w:rsidR="002D1DA9" w:rsidRPr="00DD76C8" w:rsidRDefault="002D1DA9" w:rsidP="00FD2C57">
      <w:pPr>
        <w:widowControl/>
        <w:autoSpaceDE w:val="0"/>
        <w:autoSpaceDN w:val="0"/>
        <w:spacing w:before="480" w:after="120"/>
        <w:outlineLvl w:val="4"/>
        <w:rPr>
          <w:sz w:val="22"/>
          <w:szCs w:val="22"/>
        </w:rPr>
      </w:pPr>
      <w:r w:rsidRPr="00DD76C8">
        <w:rPr>
          <w:sz w:val="22"/>
        </w:rPr>
        <w:t>Stavka 2 0 0 3 — Stjecanje nekretnina</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Odobrena sredstva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p.m.</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p.m.</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0,—</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widowControl/>
        <w:jc w:val="both"/>
        <w:rPr>
          <w:rFonts w:cs="Arial"/>
          <w:bCs/>
          <w:kern w:val="32"/>
          <w:szCs w:val="24"/>
        </w:rPr>
      </w:pPr>
      <w:r w:rsidRPr="00DD76C8">
        <w:t>Ova sredstva namijenjena su pokrivanju troškova stjecanja nekretnina. Doprinosi za zemljišta i njihovo priključenje na komunalnu mrežu obrađuju se u skladu s odredbama Financijske uredbe.</w:t>
      </w:r>
    </w:p>
    <w:p w:rsidR="002D1DA9" w:rsidRPr="00DD76C8" w:rsidRDefault="002D1DA9" w:rsidP="00FD2C57">
      <w:pPr>
        <w:widowControl/>
        <w:jc w:val="both"/>
        <w:rPr>
          <w:rFonts w:cs="Arial"/>
          <w:bCs/>
          <w:kern w:val="32"/>
          <w:szCs w:val="24"/>
        </w:rPr>
      </w:pPr>
      <w:r w:rsidRPr="00DD76C8">
        <w:t>Iznos namjenskih prihoda u skladu s člankom 21. stavkom 3. Financijske uredbe procjenjuje se na 13 000 EUR.</w:t>
      </w:r>
    </w:p>
    <w:p w:rsidR="002D1DA9" w:rsidRPr="00DD76C8" w:rsidRDefault="002D1DA9" w:rsidP="00FD2C57">
      <w:pPr>
        <w:widowControl/>
        <w:jc w:val="both"/>
        <w:rPr>
          <w:rFonts w:cs="Arial"/>
          <w:bCs/>
          <w:kern w:val="32"/>
          <w:szCs w:val="24"/>
        </w:rPr>
      </w:pPr>
      <w:r w:rsidRPr="00DD76C8">
        <w:t>Financijski doprinosi koje plaćaju države članice ili njihove javne agencije ili subjekti u obliku financiranja ili nadoknada troškova i s njima povezanih naknada u vezi s nabavom ili korištenjem zemljišta ili zgrada, ili troškovi zgrada ili opreme institucije smatrat će se vanjskim namjenskim prihodima u smislu članka 21. stavka 2. Financijske uredbe.</w:t>
      </w:r>
    </w:p>
    <w:p w:rsidR="002D1DA9" w:rsidRPr="00DD76C8" w:rsidRDefault="002D1DA9" w:rsidP="00FD2C57">
      <w:pPr>
        <w:widowControl/>
        <w:autoSpaceDE w:val="0"/>
        <w:autoSpaceDN w:val="0"/>
        <w:spacing w:before="480" w:after="120"/>
        <w:outlineLvl w:val="4"/>
        <w:rPr>
          <w:sz w:val="22"/>
          <w:szCs w:val="22"/>
        </w:rPr>
      </w:pPr>
      <w:r w:rsidRPr="00DD76C8">
        <w:rPr>
          <w:sz w:val="22"/>
        </w:rPr>
        <w:t>Stavka 2 0 0 5 — Izgradnja zgrada</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Odobrena sredstva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17 888 000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32 970 000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17 788 806,93</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widowControl/>
        <w:jc w:val="both"/>
        <w:rPr>
          <w:rFonts w:cs="Arial"/>
          <w:bCs/>
          <w:kern w:val="32"/>
          <w:szCs w:val="24"/>
        </w:rPr>
      </w:pPr>
      <w:r w:rsidRPr="00DD76C8">
        <w:t>Sredstva iz ove stavke mogu se koristiti za izgradnju građevinskih objekata (radovi, honorari za izradu studija, prva opremanja i namještaj potreban za rad i svi povezani troškovi).</w:t>
      </w:r>
    </w:p>
    <w:p w:rsidR="002D1DA9" w:rsidRPr="00DD76C8" w:rsidRDefault="002D1DA9" w:rsidP="00FD2C57">
      <w:pPr>
        <w:widowControl/>
        <w:jc w:val="both"/>
        <w:rPr>
          <w:rFonts w:cs="Arial"/>
          <w:bCs/>
          <w:kern w:val="32"/>
          <w:szCs w:val="24"/>
        </w:rPr>
      </w:pPr>
      <w:r w:rsidRPr="00DD76C8">
        <w:t>Iznos namjenskih prihoda u skladu s člankom 21. stavkom 3. Financijske uredbe procjenjuje se na 1 000 000 EUR.</w:t>
      </w:r>
    </w:p>
    <w:p w:rsidR="002D1DA9" w:rsidRPr="00DD76C8" w:rsidRDefault="002D1DA9" w:rsidP="00FD2C57">
      <w:pPr>
        <w:widowControl/>
        <w:jc w:val="both"/>
        <w:rPr>
          <w:rFonts w:cs="Arial"/>
          <w:bCs/>
          <w:kern w:val="32"/>
          <w:szCs w:val="24"/>
        </w:rPr>
      </w:pPr>
      <w:r w:rsidRPr="00DD76C8">
        <w:t>Financijski doprinosi koje plaćaju države članice ili njihove javne agencije ili subjekti u obliku financiranja ili nadoknada troškova i s njima povezanih naknada u vezi s nabavom ili korištenjem zemljišta ili zgrada, ili troškovi zgrada ili opreme institucije smatrat će se vanjskim namjenskim prihodima u smislu članka 21. stavka 2. Financijske uredbe.</w:t>
      </w:r>
    </w:p>
    <w:p w:rsidR="002D1DA9" w:rsidRPr="00DD76C8" w:rsidRDefault="002D1DA9" w:rsidP="00FD2C57">
      <w:pPr>
        <w:widowControl/>
        <w:autoSpaceDE w:val="0"/>
        <w:autoSpaceDN w:val="0"/>
        <w:spacing w:before="480" w:after="120"/>
        <w:outlineLvl w:val="4"/>
        <w:rPr>
          <w:sz w:val="22"/>
          <w:szCs w:val="22"/>
        </w:rPr>
      </w:pPr>
      <w:r w:rsidRPr="00DD76C8">
        <w:rPr>
          <w:sz w:val="22"/>
        </w:rPr>
        <w:t>Stavka 2 0 0 7 — Opremanje prostora</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Odobrena sredstva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60 820 000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84 550 000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60 652 105,72</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widowControl/>
        <w:jc w:val="both"/>
        <w:rPr>
          <w:rFonts w:cs="Arial"/>
          <w:bCs/>
          <w:kern w:val="32"/>
          <w:szCs w:val="24"/>
        </w:rPr>
      </w:pPr>
      <w:r w:rsidRPr="00DD76C8">
        <w:t>Ova sredstva namijenjena su pokrivanju troškova građevinskih radova adaptacije te ostalih s tim povezanih izdataka, a posebno troškova arhitekata i inženjera itd.</w:t>
      </w:r>
    </w:p>
    <w:p w:rsidR="002D1DA9" w:rsidRPr="00DD76C8" w:rsidRDefault="002D1DA9" w:rsidP="00FD2C57">
      <w:pPr>
        <w:widowControl/>
        <w:jc w:val="both"/>
        <w:rPr>
          <w:rFonts w:cs="Arial"/>
          <w:bCs/>
          <w:kern w:val="32"/>
          <w:szCs w:val="24"/>
        </w:rPr>
      </w:pPr>
      <w:r w:rsidRPr="00DD76C8">
        <w:t>Iznos namjenskih prihoda u skladu s člankom 21. stavkom 3. Financijske uredbe procjenjuje se na 600 000 EUR.</w:t>
      </w:r>
    </w:p>
    <w:p w:rsidR="002D1DA9" w:rsidRPr="00DD76C8" w:rsidRDefault="002D1DA9" w:rsidP="00FD2C57">
      <w:pPr>
        <w:widowControl/>
        <w:jc w:val="both"/>
        <w:rPr>
          <w:rFonts w:cs="Arial"/>
          <w:bCs/>
          <w:kern w:val="32"/>
          <w:szCs w:val="24"/>
        </w:rPr>
      </w:pPr>
      <w:r w:rsidRPr="00DD76C8">
        <w:t>Financijski doprinosi koje plaćaju države članice ili njihove javne agencije ili subjekti u obliku financiranja ili nadoknada troškova i s njima povezanih naknada u vezi s nabavom ili korištenjem zemljišta ili zgrada, ili troškovi zgrada ili opreme institucije smatrat će se vanjskim namjenskim prihodima u smislu članka 21. stavka 2. Financijske uredbe.</w:t>
      </w:r>
    </w:p>
    <w:p w:rsidR="002D1DA9" w:rsidRPr="00DD76C8" w:rsidRDefault="002D1DA9" w:rsidP="00FD2C57">
      <w:pPr>
        <w:widowControl/>
        <w:autoSpaceDE w:val="0"/>
        <w:autoSpaceDN w:val="0"/>
        <w:spacing w:before="480" w:after="120"/>
        <w:outlineLvl w:val="4"/>
        <w:rPr>
          <w:sz w:val="22"/>
          <w:szCs w:val="22"/>
        </w:rPr>
      </w:pPr>
      <w:r w:rsidRPr="00DD76C8">
        <w:rPr>
          <w:sz w:val="22"/>
        </w:rPr>
        <w:t>Stavka 2 0 0 8 — Posebni rashodi za upravljanje nekretninama</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Odobrena sredstva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5 196 000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5 114 000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2 768 631,32</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keepNext/>
        <w:widowControl/>
        <w:jc w:val="both"/>
        <w:rPr>
          <w:rFonts w:cs="Arial"/>
          <w:bCs/>
          <w:kern w:val="32"/>
          <w:szCs w:val="24"/>
        </w:rPr>
      </w:pPr>
      <w:r w:rsidRPr="00DD76C8">
        <w:t>Ova sredstva namijenjena su financiranju izdataka za upravljanje nekretninama koji nisu predviđeni drugim člancima ovog poglavlja, a posebno na sljedećim područjima:</w:t>
      </w:r>
    </w:p>
    <w:p w:rsidR="002D1DA9" w:rsidRPr="00DD76C8" w:rsidRDefault="002D1DA9" w:rsidP="00FD2C57">
      <w:pPr>
        <w:widowControl/>
        <w:numPr>
          <w:ilvl w:val="0"/>
          <w:numId w:val="12"/>
        </w:numPr>
        <w:spacing w:before="60" w:after="60"/>
        <w:ind w:left="0" w:firstLine="0"/>
        <w:jc w:val="both"/>
        <w:rPr>
          <w:rFonts w:cs="Arial"/>
          <w:bCs/>
          <w:kern w:val="32"/>
          <w:szCs w:val="24"/>
        </w:rPr>
      </w:pPr>
      <w:r w:rsidRPr="00DD76C8">
        <w:t>uklanjanje otpada,</w:t>
      </w:r>
    </w:p>
    <w:p w:rsidR="002D1DA9" w:rsidRPr="00DD76C8" w:rsidRDefault="002D1DA9" w:rsidP="00FD2C57">
      <w:pPr>
        <w:widowControl/>
        <w:numPr>
          <w:ilvl w:val="0"/>
          <w:numId w:val="12"/>
        </w:numPr>
        <w:spacing w:before="60" w:after="60"/>
        <w:ind w:left="0" w:firstLine="0"/>
        <w:jc w:val="both"/>
        <w:rPr>
          <w:rFonts w:cs="Arial"/>
          <w:bCs/>
          <w:kern w:val="32"/>
          <w:szCs w:val="24"/>
        </w:rPr>
      </w:pPr>
      <w:r w:rsidRPr="00DD76C8">
        <w:t>obvezatne kontrole, kontrole kvalitete, vještačenja, revizije, nadziranje pridržavanja propisa itd.,</w:t>
      </w:r>
    </w:p>
    <w:p w:rsidR="002D1DA9" w:rsidRPr="00DD76C8" w:rsidRDefault="002D1DA9" w:rsidP="00FD2C57">
      <w:pPr>
        <w:widowControl/>
        <w:numPr>
          <w:ilvl w:val="0"/>
          <w:numId w:val="12"/>
        </w:numPr>
        <w:spacing w:before="60" w:after="60"/>
        <w:ind w:left="0" w:firstLine="0"/>
        <w:jc w:val="both"/>
        <w:rPr>
          <w:rFonts w:cs="Arial"/>
          <w:bCs/>
          <w:kern w:val="32"/>
          <w:szCs w:val="24"/>
        </w:rPr>
      </w:pPr>
      <w:r w:rsidRPr="00DD76C8">
        <w:t>tehnička knjižnica,</w:t>
      </w:r>
    </w:p>
    <w:p w:rsidR="002D1DA9" w:rsidRPr="00DD76C8" w:rsidRDefault="002D1DA9" w:rsidP="00FD2C57">
      <w:pPr>
        <w:widowControl/>
        <w:numPr>
          <w:ilvl w:val="0"/>
          <w:numId w:val="12"/>
        </w:numPr>
        <w:spacing w:before="60" w:after="60"/>
        <w:ind w:left="0" w:firstLine="0"/>
        <w:jc w:val="both"/>
        <w:rPr>
          <w:rFonts w:cs="Arial"/>
          <w:bCs/>
          <w:kern w:val="32"/>
          <w:szCs w:val="24"/>
        </w:rPr>
      </w:pPr>
      <w:r w:rsidRPr="00DD76C8">
        <w:t>podrška u upravljanju zgradama (korisnička podrška za zgrade),</w:t>
      </w:r>
    </w:p>
    <w:p w:rsidR="002D1DA9" w:rsidRPr="00DD76C8" w:rsidRDefault="002D1DA9" w:rsidP="00FD2C57">
      <w:pPr>
        <w:widowControl/>
        <w:numPr>
          <w:ilvl w:val="0"/>
          <w:numId w:val="12"/>
        </w:numPr>
        <w:spacing w:before="60" w:after="60"/>
        <w:ind w:left="0" w:firstLine="0"/>
        <w:jc w:val="both"/>
        <w:rPr>
          <w:rFonts w:cs="Arial"/>
          <w:bCs/>
          <w:kern w:val="32"/>
          <w:szCs w:val="24"/>
        </w:rPr>
      </w:pPr>
      <w:r w:rsidRPr="00DD76C8">
        <w:t>upravljanje nacrtima zgrada i nosačima podataka,</w:t>
      </w:r>
    </w:p>
    <w:p w:rsidR="002D1DA9" w:rsidRPr="00DD76C8" w:rsidRDefault="002D1DA9" w:rsidP="00FD2C57">
      <w:pPr>
        <w:widowControl/>
        <w:numPr>
          <w:ilvl w:val="0"/>
          <w:numId w:val="12"/>
        </w:numPr>
        <w:spacing w:before="60" w:after="60"/>
        <w:ind w:left="0" w:firstLine="0"/>
        <w:jc w:val="both"/>
        <w:rPr>
          <w:rFonts w:cs="Arial"/>
          <w:bCs/>
          <w:kern w:val="32"/>
          <w:szCs w:val="24"/>
        </w:rPr>
      </w:pPr>
      <w:r w:rsidRPr="00DD76C8">
        <w:t>ostali izdatci.</w:t>
      </w:r>
    </w:p>
    <w:p w:rsidR="002D1DA9" w:rsidRPr="00DD76C8" w:rsidRDefault="002D1DA9" w:rsidP="00FD2C57">
      <w:pPr>
        <w:widowControl/>
        <w:jc w:val="both"/>
        <w:rPr>
          <w:rFonts w:cs="Arial"/>
          <w:bCs/>
          <w:kern w:val="32"/>
          <w:szCs w:val="24"/>
        </w:rPr>
      </w:pPr>
      <w:r w:rsidRPr="00DD76C8">
        <w:t>Iznos namjenskih prihoda u skladu s člankom 21. stavkom 3. Financijske uredbe procjenjuje se na 50 000 EUR.</w:t>
      </w:r>
    </w:p>
    <w:p w:rsidR="002D1DA9" w:rsidRPr="00DD76C8" w:rsidRDefault="002D1DA9" w:rsidP="00FD2C57">
      <w:pPr>
        <w:widowControl/>
        <w:autoSpaceDE w:val="0"/>
        <w:autoSpaceDN w:val="0"/>
        <w:spacing w:before="480" w:after="120"/>
        <w:outlineLvl w:val="3"/>
        <w:rPr>
          <w:b/>
          <w:bCs/>
          <w:i/>
          <w:iCs/>
          <w:szCs w:val="24"/>
        </w:rPr>
      </w:pPr>
      <w:r w:rsidRPr="00DD76C8">
        <w:rPr>
          <w:b/>
          <w:i/>
        </w:rPr>
        <w:t>Članak 2 0 2 — Rashodi za zgrade</w:t>
      </w:r>
    </w:p>
    <w:p w:rsidR="002D1DA9" w:rsidRPr="00DD76C8" w:rsidRDefault="002D1DA9" w:rsidP="00FD2C57">
      <w:pPr>
        <w:widowControl/>
        <w:autoSpaceDE w:val="0"/>
        <w:autoSpaceDN w:val="0"/>
        <w:spacing w:before="480" w:after="120"/>
        <w:outlineLvl w:val="4"/>
        <w:rPr>
          <w:sz w:val="22"/>
          <w:szCs w:val="22"/>
        </w:rPr>
      </w:pPr>
      <w:r w:rsidRPr="00DD76C8">
        <w:rPr>
          <w:sz w:val="22"/>
        </w:rPr>
        <w:t>Stavka 2 0 2 2 — Održavanje, upotreba i čišćenje zgrada</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Odobrena sredstva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60 950 000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59 440 000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51 216 628,33</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widowControl/>
        <w:jc w:val="both"/>
        <w:rPr>
          <w:rFonts w:cs="Arial"/>
          <w:bCs/>
          <w:kern w:val="32"/>
          <w:szCs w:val="24"/>
        </w:rPr>
      </w:pPr>
      <w:r w:rsidRPr="00DD76C8">
        <w:t>Ova sredstva namijenjena su financiranju izdataka za održavanje, upotrebu i čišćenje zgrada koje Europski parlament koristi kao najmoprimac ili vlasnik (prostorije i tehnička oprema) u skladu s važećim ugovorima.</w:t>
      </w:r>
    </w:p>
    <w:p w:rsidR="002D1DA9" w:rsidRPr="00DD76C8" w:rsidRDefault="002D1DA9" w:rsidP="00FD2C57">
      <w:pPr>
        <w:widowControl/>
        <w:jc w:val="both"/>
        <w:rPr>
          <w:rFonts w:cs="Arial"/>
          <w:bCs/>
          <w:kern w:val="32"/>
          <w:szCs w:val="24"/>
        </w:rPr>
      </w:pPr>
      <w:r w:rsidRPr="00DD76C8">
        <w:t>Prije produženja ili sklapanja ugovora institucija se s drugim institucijama dogovara o uvjetima koje su isposlovale (cijena, odabrana valuta, indeksacija, trajanje, ostale klauzule), pritom vodeći računa o članku 104. Financijske uredbe.</w:t>
      </w:r>
    </w:p>
    <w:p w:rsidR="002D1DA9" w:rsidRPr="00DD76C8" w:rsidRDefault="002D1DA9" w:rsidP="00FD2C57">
      <w:pPr>
        <w:widowControl/>
        <w:jc w:val="both"/>
        <w:rPr>
          <w:rFonts w:cs="Arial"/>
          <w:bCs/>
          <w:kern w:val="32"/>
          <w:szCs w:val="24"/>
        </w:rPr>
      </w:pPr>
      <w:r w:rsidRPr="00DD76C8">
        <w:t>Iznos namjenskih prihoda u skladu s člankom 21. stavkom 3. Financijske uredbe procjenjuje se na 200 000 EUR.</w:t>
      </w:r>
    </w:p>
    <w:p w:rsidR="002D1DA9" w:rsidRPr="00DD76C8" w:rsidRDefault="002D1DA9" w:rsidP="00FD2C57">
      <w:pPr>
        <w:widowControl/>
        <w:autoSpaceDE w:val="0"/>
        <w:autoSpaceDN w:val="0"/>
        <w:spacing w:before="480" w:after="120"/>
        <w:outlineLvl w:val="4"/>
        <w:rPr>
          <w:sz w:val="22"/>
          <w:szCs w:val="22"/>
        </w:rPr>
      </w:pPr>
      <w:r w:rsidRPr="00DD76C8">
        <w:rPr>
          <w:sz w:val="22"/>
        </w:rPr>
        <w:t>Stavka 2 0 2 4 — Potrošnja energije</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Odobrena sredstva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16 800 000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16 690 000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15 852 979,24</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widowControl/>
        <w:jc w:val="both"/>
        <w:rPr>
          <w:rFonts w:cs="Arial"/>
          <w:bCs/>
          <w:kern w:val="32"/>
          <w:szCs w:val="24"/>
        </w:rPr>
      </w:pPr>
      <w:r w:rsidRPr="00DD76C8">
        <w:t>Ova sredstva među ostalim služe za pokrivanje troškova potrošnje vode, plina, struje i grijanja.</w:t>
      </w:r>
    </w:p>
    <w:p w:rsidR="002D1DA9" w:rsidRPr="00DD76C8" w:rsidRDefault="002D1DA9" w:rsidP="00FD2C57">
      <w:pPr>
        <w:widowControl/>
        <w:jc w:val="both"/>
        <w:rPr>
          <w:rFonts w:cs="Arial"/>
          <w:bCs/>
          <w:kern w:val="32"/>
          <w:szCs w:val="24"/>
        </w:rPr>
      </w:pPr>
      <w:r w:rsidRPr="00DD76C8">
        <w:t>Iznos namjenskih prihoda u skladu s člankom 21. stavkom 3. Financijske uredbe procjenjuje se na 150 000 EUR.</w:t>
      </w:r>
    </w:p>
    <w:p w:rsidR="002D1DA9" w:rsidRPr="00DD76C8" w:rsidRDefault="002D1DA9" w:rsidP="00FD2C57">
      <w:pPr>
        <w:widowControl/>
        <w:autoSpaceDE w:val="0"/>
        <w:autoSpaceDN w:val="0"/>
        <w:spacing w:before="480" w:after="120"/>
        <w:outlineLvl w:val="4"/>
        <w:rPr>
          <w:sz w:val="22"/>
          <w:szCs w:val="22"/>
        </w:rPr>
      </w:pPr>
      <w:r w:rsidRPr="00DD76C8">
        <w:rPr>
          <w:sz w:val="22"/>
        </w:rPr>
        <w:t>Stavka 2 0 2 6 — Sigurnost i nadzor zgrada</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Odobrena sredstva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18 670 000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18 420 000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16 231 922,34</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widowControl/>
        <w:jc w:val="both"/>
        <w:rPr>
          <w:rFonts w:cs="Arial"/>
          <w:bCs/>
          <w:kern w:val="32"/>
          <w:szCs w:val="24"/>
        </w:rPr>
      </w:pPr>
      <w:r w:rsidRPr="00DD76C8">
        <w:t>Ova sredstva u suštini služe za pokrivanje troškova sigurnosti i nadzora nad zgradama Europskog parlamenta u njegova tri uobičajena mjesta rada, njegovim informacijskim uredima u Uniji i njegovim uredima u trećim zemljama.</w:t>
      </w:r>
    </w:p>
    <w:p w:rsidR="002D1DA9" w:rsidRPr="00DD76C8" w:rsidRDefault="002D1DA9" w:rsidP="00FD2C57">
      <w:pPr>
        <w:widowControl/>
        <w:jc w:val="both"/>
        <w:rPr>
          <w:rFonts w:cs="Arial"/>
          <w:bCs/>
          <w:kern w:val="32"/>
          <w:szCs w:val="24"/>
        </w:rPr>
      </w:pPr>
      <w:r w:rsidRPr="00DD76C8">
        <w:t>Prije produženja ili sklapanja ugovora institucija se s drugim institucijama dogovara o uvjetima koje su isposlovale (cijena, odabrana valuta, indeksacija, trajanje, ostale klauzule), pritom vodeći računa o članku 104. Financijske uredbe.</w:t>
      </w:r>
    </w:p>
    <w:p w:rsidR="002D1DA9" w:rsidRPr="00DD76C8" w:rsidRDefault="002D1DA9" w:rsidP="00FD2C57">
      <w:pPr>
        <w:widowControl/>
        <w:jc w:val="both"/>
        <w:rPr>
          <w:rFonts w:cs="Arial"/>
          <w:bCs/>
          <w:kern w:val="32"/>
          <w:szCs w:val="24"/>
        </w:rPr>
      </w:pPr>
      <w:r w:rsidRPr="00DD76C8">
        <w:t>Iznos namjenskih prihoda u skladu s člankom 21. stavkom 3. Financijske uredbe procjenjuje se na 120 000 EUR.</w:t>
      </w:r>
    </w:p>
    <w:p w:rsidR="002D1DA9" w:rsidRPr="00DD76C8" w:rsidRDefault="002D1DA9" w:rsidP="00FD2C57">
      <w:pPr>
        <w:widowControl/>
        <w:autoSpaceDE w:val="0"/>
        <w:autoSpaceDN w:val="0"/>
        <w:spacing w:before="480" w:after="120"/>
        <w:outlineLvl w:val="4"/>
        <w:rPr>
          <w:sz w:val="22"/>
          <w:szCs w:val="22"/>
        </w:rPr>
      </w:pPr>
      <w:r w:rsidRPr="00DD76C8">
        <w:rPr>
          <w:sz w:val="22"/>
        </w:rPr>
        <w:t>Stavka 2 0 2 8 — Osiguranja</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Odobrena sredstva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2 580 000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784 000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675 616,73</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widowControl/>
        <w:jc w:val="both"/>
        <w:rPr>
          <w:rFonts w:cs="Arial"/>
          <w:bCs/>
          <w:kern w:val="32"/>
          <w:szCs w:val="24"/>
        </w:rPr>
      </w:pPr>
      <w:r w:rsidRPr="00DD76C8">
        <w:t>Ova sredstva namijenjena su za pokrivanje premija osiguranja.</w:t>
      </w:r>
    </w:p>
    <w:p w:rsidR="002D1DA9" w:rsidRPr="00DD76C8" w:rsidRDefault="002D1DA9" w:rsidP="00FD2C57">
      <w:pPr>
        <w:widowControl/>
        <w:jc w:val="both"/>
        <w:rPr>
          <w:rFonts w:cs="Arial"/>
          <w:bCs/>
          <w:kern w:val="32"/>
          <w:szCs w:val="24"/>
        </w:rPr>
      </w:pPr>
      <w:r w:rsidRPr="00DD76C8">
        <w:t>Namjenski prihodi u skladu s člankom 21. stavkom 3. Financijske uredbe procjenjuju se na 5 000 EUR.</w:t>
      </w:r>
    </w:p>
    <w:p w:rsidR="002D1DA9" w:rsidRPr="00DD76C8" w:rsidRDefault="002D1DA9" w:rsidP="00FD2C57">
      <w:pPr>
        <w:widowControl/>
        <w:autoSpaceDE w:val="0"/>
        <w:autoSpaceDN w:val="0"/>
        <w:spacing w:before="480" w:after="120"/>
        <w:outlineLvl w:val="2"/>
        <w:rPr>
          <w:b/>
          <w:bCs/>
          <w:smallCaps/>
          <w:sz w:val="28"/>
          <w:szCs w:val="28"/>
        </w:rPr>
      </w:pPr>
      <w:r w:rsidRPr="00DD76C8">
        <w:rPr>
          <w:b/>
          <w:smallCaps/>
          <w:sz w:val="28"/>
        </w:rPr>
        <w:t>Poglavlje 2 1 — Obrada podataka, oprema i pokretnine</w:t>
      </w:r>
    </w:p>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widowControl/>
        <w:jc w:val="both"/>
        <w:rPr>
          <w:rFonts w:cs="Arial"/>
          <w:bCs/>
          <w:kern w:val="32"/>
          <w:szCs w:val="24"/>
        </w:rPr>
      </w:pPr>
      <w:r w:rsidRPr="00DD76C8">
        <w:t>Prilikom dodjele javnih ugovora institucija obavještava druge institucije o uvjetima koje je svaka od njih dogovorila.</w:t>
      </w:r>
    </w:p>
    <w:p w:rsidR="002D1DA9" w:rsidRPr="00DD76C8" w:rsidRDefault="002D1DA9" w:rsidP="00FD2C57">
      <w:pPr>
        <w:widowControl/>
        <w:autoSpaceDE w:val="0"/>
        <w:autoSpaceDN w:val="0"/>
        <w:spacing w:before="480" w:after="120"/>
        <w:outlineLvl w:val="3"/>
        <w:rPr>
          <w:b/>
          <w:bCs/>
          <w:i/>
          <w:iCs/>
          <w:szCs w:val="24"/>
        </w:rPr>
      </w:pPr>
      <w:r w:rsidRPr="00DD76C8">
        <w:rPr>
          <w:b/>
          <w:i/>
        </w:rPr>
        <w:t>Članak 2 1 0 — Obrada podataka i telekomunikacije</w:t>
      </w:r>
    </w:p>
    <w:p w:rsidR="002D1DA9" w:rsidRPr="00DD76C8" w:rsidRDefault="002D1DA9" w:rsidP="00FD2C57">
      <w:pPr>
        <w:widowControl/>
        <w:autoSpaceDE w:val="0"/>
        <w:autoSpaceDN w:val="0"/>
        <w:spacing w:before="480" w:after="120"/>
        <w:outlineLvl w:val="4"/>
        <w:rPr>
          <w:sz w:val="22"/>
          <w:szCs w:val="22"/>
        </w:rPr>
      </w:pPr>
      <w:r w:rsidRPr="00DD76C8">
        <w:rPr>
          <w:sz w:val="22"/>
        </w:rPr>
        <w:t>Stavka 2 1 0 0 — Obrada podataka i telekomunikacije ‒ Stalne aktivnosti povezane s poslovanjem – Aktivnosti</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Odobrena sredstva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27 112 000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24 920 000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25 283 869,50</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widowControl/>
        <w:jc w:val="both"/>
        <w:rPr>
          <w:rFonts w:cs="Arial"/>
          <w:bCs/>
          <w:kern w:val="32"/>
          <w:szCs w:val="24"/>
        </w:rPr>
      </w:pPr>
      <w:r w:rsidRPr="00DD76C8">
        <w:t>Ova sredstva namijenjena su pokrivanju izdataka za kupovinu, unajmljivanje, održavanje i popravak opreme i računalnih programa te za pokrivanje troškova ureda za podršku i konzultanata za stalne aktivnosti nužne za dobar rad informacijskih i telekomunikacijskih sustava Europskog parlamenta. Ti se rashodi osobito tiču sustava centra za obradu podataka i telekomunikacijskog centra, računalnog sustava na razini odjela i upravljanja mrežom.</w:t>
      </w:r>
    </w:p>
    <w:p w:rsidR="002D1DA9" w:rsidRPr="00DD76C8" w:rsidRDefault="002D1DA9" w:rsidP="00FD2C57">
      <w:pPr>
        <w:widowControl/>
        <w:jc w:val="both"/>
        <w:rPr>
          <w:rFonts w:cs="Arial"/>
          <w:bCs/>
          <w:kern w:val="32"/>
          <w:szCs w:val="24"/>
        </w:rPr>
      </w:pPr>
      <w:r w:rsidRPr="00DD76C8">
        <w:t>Iznos namjenskih prihoda u skladu s člankom 21. stavkom 3. Financijske uredbe procjenjuje se na 300 000 EUR.</w:t>
      </w:r>
    </w:p>
    <w:p w:rsidR="002D1DA9" w:rsidRPr="00DD76C8" w:rsidRDefault="002D1DA9" w:rsidP="00FD2C57">
      <w:pPr>
        <w:widowControl/>
        <w:autoSpaceDE w:val="0"/>
        <w:autoSpaceDN w:val="0"/>
        <w:spacing w:before="480" w:after="120"/>
        <w:outlineLvl w:val="4"/>
        <w:rPr>
          <w:sz w:val="22"/>
          <w:szCs w:val="22"/>
        </w:rPr>
      </w:pPr>
      <w:r w:rsidRPr="00DD76C8">
        <w:rPr>
          <w:sz w:val="22"/>
        </w:rPr>
        <w:t>Stavka 2 1 0 1 — Obrada podataka i telekomunikacije ‒ Stalne aktivnosti povezane s poslovanjem – Infrastruktura</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Odobrena sredstva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19 355 000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18 382 000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17 647 112,94</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widowControl/>
        <w:jc w:val="both"/>
        <w:rPr>
          <w:rFonts w:cs="Arial"/>
          <w:bCs/>
          <w:kern w:val="32"/>
          <w:szCs w:val="24"/>
        </w:rPr>
      </w:pPr>
      <w:r w:rsidRPr="00DD76C8">
        <w:t>Ova sredstva namijenjena su pokrivanju izdataka za kupovinu, unajmljivanje, održavanje i popravak opreme i računalnih programa te za pokrivanje troškova ureda za podršku i konzultanata za stalne aktivnosti upravljanja i održavanja infrastrukture informacijskih i telekomunikacijskih sustava Europskog parlamenta. Ti se rashodi osobito tiču infrastrukture mreža, kablova, telekomunikacija, pojedinačne opreme i sustava glasovanja.</w:t>
      </w:r>
    </w:p>
    <w:p w:rsidR="002D1DA9" w:rsidRPr="00DD76C8" w:rsidRDefault="002D1DA9" w:rsidP="00FD2C57">
      <w:pPr>
        <w:widowControl/>
        <w:jc w:val="both"/>
        <w:rPr>
          <w:rFonts w:cs="Arial"/>
          <w:bCs/>
          <w:kern w:val="32"/>
          <w:szCs w:val="24"/>
        </w:rPr>
      </w:pPr>
      <w:r w:rsidRPr="00DD76C8">
        <w:t>Iznos namjenskih prihoda u skladu s člankom 21. stavkom 3. Financijske uredbe procjenjuje se na 67 000 EUR.</w:t>
      </w:r>
    </w:p>
    <w:p w:rsidR="002D1DA9" w:rsidRPr="00DD76C8" w:rsidRDefault="002D1DA9" w:rsidP="00FD2C57">
      <w:pPr>
        <w:widowControl/>
        <w:autoSpaceDE w:val="0"/>
        <w:autoSpaceDN w:val="0"/>
        <w:spacing w:before="480" w:after="120"/>
        <w:outlineLvl w:val="4"/>
        <w:rPr>
          <w:sz w:val="22"/>
          <w:szCs w:val="22"/>
        </w:rPr>
      </w:pPr>
      <w:r w:rsidRPr="00DD76C8">
        <w:rPr>
          <w:sz w:val="22"/>
        </w:rPr>
        <w:t>Stavka 2 1 0 2 — Obrada podataka i telekomunikacije ‒ Stalne aktivnosti povezane s poslovanjem – Opća podrška korisnicima</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Odobrena sredstva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13 866 500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13 588 000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12 181 472,58</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widowControl/>
        <w:jc w:val="both"/>
        <w:rPr>
          <w:rFonts w:cs="Arial"/>
          <w:bCs/>
          <w:kern w:val="32"/>
          <w:szCs w:val="24"/>
        </w:rPr>
      </w:pPr>
      <w:r w:rsidRPr="00DD76C8">
        <w:t>Ova sredstva služe za pokrivanje izdataka za kupovinu, unajmljivanje, održavanje i popravak opreme i računalnih programa te za pokrivanje troškova ureda za podršku i konzultantskih tvrtki za stalne aktivnosti pomoći i podrške korisnicima u vezi korištenja informacijskih i telekomunikacijskih sustava Europskog parlamenta. Ta su sredstva namijenjena službama za podršku zastupnicima i drugim korisnicima, posebno za administrativne i zakonodavne aplikacije i one koje se odnose na komunikaciju.</w:t>
      </w:r>
    </w:p>
    <w:p w:rsidR="002D1DA9" w:rsidRPr="00DD76C8" w:rsidRDefault="002D1DA9" w:rsidP="00FD2C57">
      <w:pPr>
        <w:widowControl/>
        <w:jc w:val="both"/>
        <w:rPr>
          <w:rFonts w:cs="Arial"/>
          <w:bCs/>
          <w:kern w:val="32"/>
          <w:szCs w:val="24"/>
        </w:rPr>
      </w:pPr>
      <w:r w:rsidRPr="00DD76C8">
        <w:t>Namjenski prihodi u skladu s člankom 21. stavkom 3. Financijske uredbe procjenjuju se na 5 000 EUR.</w:t>
      </w:r>
    </w:p>
    <w:p w:rsidR="002D1DA9" w:rsidRPr="00DD76C8" w:rsidRDefault="002D1DA9" w:rsidP="00FD2C57">
      <w:pPr>
        <w:widowControl/>
        <w:autoSpaceDE w:val="0"/>
        <w:autoSpaceDN w:val="0"/>
        <w:spacing w:before="480" w:after="120"/>
        <w:outlineLvl w:val="4"/>
        <w:rPr>
          <w:sz w:val="22"/>
          <w:szCs w:val="22"/>
        </w:rPr>
      </w:pPr>
      <w:r w:rsidRPr="00DD76C8">
        <w:rPr>
          <w:sz w:val="22"/>
        </w:rPr>
        <w:t>Stavka 2 1 0 3 – Obrada podataka i telekomunikacije — Stalne aktivnosti povezane s poslovanjem – Upravljanje aplikacijama informacijskih i telekomunikacijskih tehnologija (IKT)</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Odobrena sredstva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23 865 500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23 139 400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19 340 522,94</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widowControl/>
        <w:jc w:val="both"/>
        <w:rPr>
          <w:rFonts w:cs="Arial"/>
          <w:bCs/>
          <w:kern w:val="32"/>
          <w:szCs w:val="24"/>
        </w:rPr>
      </w:pPr>
      <w:r w:rsidRPr="00DD76C8">
        <w:t>Ova odobrena sredstva namijenjena su pokrivanju rashoda za kupnju, najam, održavanje i popravak softvera i hardvera i s tim povezane radove te za pokrivanje troškova službi za pomoć i savjetovanje korisnika u vezi s redovitim aktivnostima upravljanja aplikacijama informacijskih i komunikacijskih tehnologija institucije. Ti se rashodi osobito odnose na aplikacije namijenjene zastupnicima i komunikacijskim aktivnostima te administrativne i zakonodavne aplikacije.</w:t>
      </w:r>
    </w:p>
    <w:p w:rsidR="002D1DA9" w:rsidRPr="00DD76C8" w:rsidRDefault="002D1DA9" w:rsidP="00FD2C57">
      <w:pPr>
        <w:widowControl/>
        <w:jc w:val="both"/>
        <w:rPr>
          <w:rFonts w:cs="Arial"/>
          <w:bCs/>
          <w:kern w:val="32"/>
          <w:szCs w:val="24"/>
        </w:rPr>
      </w:pPr>
      <w:r w:rsidRPr="00DD76C8">
        <w:t>Namijenjena su i pokrivanju troškova koji se odnose na sredstva informacijske i komunikacijske tehnologije koja se sufinanciraju u okviru međuinstitucijske suradnje na području jezikâ, u skladu s odlukama Međuinstitucijskog odbora za pismeno i usmeno prevođenje.</w:t>
      </w:r>
    </w:p>
    <w:p w:rsidR="002D1DA9" w:rsidRPr="00DD76C8" w:rsidRDefault="002D1DA9" w:rsidP="00FD2C57">
      <w:pPr>
        <w:widowControl/>
        <w:jc w:val="both"/>
        <w:rPr>
          <w:rFonts w:cs="Arial"/>
          <w:bCs/>
          <w:kern w:val="32"/>
          <w:szCs w:val="24"/>
        </w:rPr>
      </w:pPr>
      <w:r w:rsidRPr="00DD76C8">
        <w:t>Iznos namjenskih prihoda u skladu s člankom 21. stavkom 3. Financijske uredbe procjenjuje se na 32 000 EUR.</w:t>
      </w:r>
    </w:p>
    <w:p w:rsidR="002D1DA9" w:rsidRPr="00DD76C8" w:rsidRDefault="002D1DA9" w:rsidP="00FD2C57">
      <w:pPr>
        <w:widowControl/>
        <w:autoSpaceDE w:val="0"/>
        <w:autoSpaceDN w:val="0"/>
        <w:spacing w:before="480" w:after="120"/>
        <w:outlineLvl w:val="4"/>
        <w:rPr>
          <w:sz w:val="22"/>
          <w:szCs w:val="22"/>
        </w:rPr>
      </w:pPr>
      <w:r w:rsidRPr="00DD76C8">
        <w:rPr>
          <w:sz w:val="22"/>
        </w:rPr>
        <w:t>Stavak 2 1 0 4 — Obrada podataka i telekomunikacije ‒ Ulaganja u infrastrukturu</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Odobrena sredstva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20 615 000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22 023 500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20 450 327,81</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widowControl/>
        <w:jc w:val="both"/>
        <w:rPr>
          <w:rFonts w:cs="Arial"/>
          <w:bCs/>
          <w:kern w:val="32"/>
          <w:szCs w:val="24"/>
        </w:rPr>
      </w:pPr>
      <w:r w:rsidRPr="00DD76C8">
        <w:t>Ova sredstva namijenjena su pokrivanju izdataka kupovine opreme i računalnih programa te za pokrivanje troškova ureda za podršku i konzultanata s ciljem ulaganja u informacijsku i telekomunikacijsku sustavnu infrastrukturu Europskog parlamenta. Ulaganja se osobito odnose na sustav centra za obradu podataka i telekomunikacijskog centra, mreže, kablove te na sustav videokonferencije.</w:t>
      </w:r>
    </w:p>
    <w:p w:rsidR="002D1DA9" w:rsidRPr="00DD76C8" w:rsidRDefault="002D1DA9" w:rsidP="00FD2C57">
      <w:pPr>
        <w:widowControl/>
        <w:jc w:val="both"/>
        <w:rPr>
          <w:rFonts w:cs="Arial"/>
          <w:bCs/>
          <w:kern w:val="32"/>
          <w:szCs w:val="24"/>
        </w:rPr>
      </w:pPr>
      <w:r w:rsidRPr="00DD76C8">
        <w:t>Iznos namjenskih prihoda u skladu s člankom 21. stavkom 3. Financijske uredbe procjenjuje se na 75 000 EUR.</w:t>
      </w:r>
    </w:p>
    <w:p w:rsidR="002D1DA9" w:rsidRPr="00DD76C8" w:rsidRDefault="002D1DA9" w:rsidP="00FD2C57">
      <w:pPr>
        <w:widowControl/>
        <w:autoSpaceDE w:val="0"/>
        <w:autoSpaceDN w:val="0"/>
        <w:spacing w:before="480" w:after="120"/>
        <w:outlineLvl w:val="4"/>
        <w:rPr>
          <w:sz w:val="22"/>
          <w:szCs w:val="22"/>
        </w:rPr>
      </w:pPr>
      <w:r w:rsidRPr="00DD76C8">
        <w:rPr>
          <w:sz w:val="22"/>
        </w:rPr>
        <w:t>Stavak 2 1 0 5 — Obrada podataka i telekomunikacije ‒ Ulaganja u projekte</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Odobrena sredstva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34 868 000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28 086 500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23 512 236,53</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widowControl/>
        <w:jc w:val="both"/>
        <w:rPr>
          <w:rFonts w:cs="Arial"/>
          <w:bCs/>
          <w:kern w:val="32"/>
          <w:szCs w:val="24"/>
        </w:rPr>
      </w:pPr>
      <w:r w:rsidRPr="00DD76C8">
        <w:t>Ova sredstva služe za pokrivanje izdataka kupovine opreme i računalnih programa te za pokrivanje troškova ureda za podršku i informatičkih savjetnika u svezi ulaganja u nove ili postojeće projekte IKT-a. Ta se ulaganja osobito odnose na aplikacije namijenjene zastupnicima, na zakonodavne, administrativne i financijske aplikacije, kao i na aplikacije koje se odnose na komunikacije i koje su namijenjene upravljanju IKT-om.</w:t>
      </w:r>
    </w:p>
    <w:p w:rsidR="002D1DA9" w:rsidRPr="00DD76C8" w:rsidRDefault="002D1DA9" w:rsidP="00FD2C57">
      <w:pPr>
        <w:widowControl/>
        <w:jc w:val="both"/>
        <w:rPr>
          <w:rFonts w:cs="Arial"/>
          <w:bCs/>
          <w:kern w:val="32"/>
          <w:szCs w:val="24"/>
        </w:rPr>
      </w:pPr>
      <w:r w:rsidRPr="00DD76C8">
        <w:t>Iznos namjenskih prihoda u skladu s člankom 21. stavkom 3. Financijske uredbe procjenjuje se na 25 000 EUR.</w:t>
      </w:r>
    </w:p>
    <w:p w:rsidR="002D1DA9" w:rsidRPr="00DD76C8" w:rsidRDefault="002D1DA9" w:rsidP="00FD2C57">
      <w:pPr>
        <w:widowControl/>
        <w:autoSpaceDE w:val="0"/>
        <w:autoSpaceDN w:val="0"/>
        <w:spacing w:before="480" w:after="120"/>
        <w:outlineLvl w:val="3"/>
        <w:rPr>
          <w:b/>
          <w:bCs/>
          <w:i/>
          <w:iCs/>
          <w:szCs w:val="24"/>
        </w:rPr>
      </w:pPr>
      <w:r w:rsidRPr="00DD76C8">
        <w:rPr>
          <w:b/>
          <w:i/>
        </w:rPr>
        <w:t>Članak 2 1 2 — Pokretnine</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Odobrena sredstva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6 180 000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6 005 000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2 113 970,90</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widowControl/>
        <w:jc w:val="both"/>
        <w:rPr>
          <w:rFonts w:cs="Arial"/>
          <w:bCs/>
          <w:kern w:val="32"/>
          <w:szCs w:val="24"/>
        </w:rPr>
      </w:pPr>
      <w:r w:rsidRPr="00DD76C8">
        <w:t>Ova sredstva namijenjena su za kupovinu, iznajmljivanje, održavanje i popravak namještaja a posebno kupovinu ergonomskog uredskog namještaja te zamjenu zastarjelog i neupotrebljivog namještaja i uredskih uređaja. Također služe za financiranje različitih izdataka gospodarenja s namještajem Europskog parlamenta.</w:t>
      </w:r>
    </w:p>
    <w:p w:rsidR="002D1DA9" w:rsidRPr="00DD76C8" w:rsidRDefault="002D1DA9" w:rsidP="00FD2C57">
      <w:pPr>
        <w:widowControl/>
        <w:jc w:val="both"/>
        <w:rPr>
          <w:rFonts w:cs="Arial"/>
          <w:bCs/>
          <w:kern w:val="32"/>
          <w:szCs w:val="24"/>
        </w:rPr>
      </w:pPr>
      <w:r w:rsidRPr="00DD76C8">
        <w:t>U slučaju umjetničkih djela ovim sredstvima pokrivaju se kako izdatci stjecanja i kupovine posebnog materijala tako i s njima povezani tekući troškovi, kao na primjer troškovi vještačenja, konzerviranja, uokvirivanja, restauracije, čišćenja, osiguranja i pripadajući povremeni troškovi transporta.</w:t>
      </w:r>
    </w:p>
    <w:p w:rsidR="002D1DA9" w:rsidRPr="00DD76C8" w:rsidRDefault="002D1DA9" w:rsidP="00FD2C57">
      <w:pPr>
        <w:widowControl/>
        <w:jc w:val="both"/>
        <w:rPr>
          <w:rFonts w:cs="Arial"/>
          <w:bCs/>
          <w:kern w:val="32"/>
          <w:szCs w:val="24"/>
        </w:rPr>
      </w:pPr>
      <w:r w:rsidRPr="00DD76C8">
        <w:t>Namjenski prihodi u skladu s člankom 21. stavkom 3. Financijske uredbe procjenjuju se na 5 000 EUR.</w:t>
      </w:r>
    </w:p>
    <w:p w:rsidR="002D1DA9" w:rsidRPr="00DD76C8" w:rsidRDefault="002D1DA9" w:rsidP="00FD2C57">
      <w:pPr>
        <w:widowControl/>
        <w:autoSpaceDE w:val="0"/>
        <w:autoSpaceDN w:val="0"/>
        <w:spacing w:before="480" w:after="120"/>
        <w:outlineLvl w:val="3"/>
        <w:rPr>
          <w:b/>
          <w:bCs/>
          <w:i/>
          <w:iCs/>
          <w:szCs w:val="24"/>
        </w:rPr>
      </w:pPr>
      <w:r w:rsidRPr="00DD76C8">
        <w:rPr>
          <w:b/>
          <w:i/>
        </w:rPr>
        <w:t>Članak 2 1 4 — Tehnička oprema i instalacije</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Odobrena sredstva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33 453 500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29 356 100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27 969 260,66</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keepNext/>
        <w:widowControl/>
        <w:jc w:val="both"/>
        <w:rPr>
          <w:rFonts w:cs="Arial"/>
          <w:bCs/>
          <w:kern w:val="32"/>
          <w:szCs w:val="24"/>
        </w:rPr>
      </w:pPr>
      <w:r w:rsidRPr="00DD76C8">
        <w:t>Ovim sredstvima pokrivaju se troškovi za kupovinu, iznajmljivanje, održavanje i popravak tehničke opreme i instalaciju, a posebno:</w:t>
      </w:r>
    </w:p>
    <w:p w:rsidR="002D1DA9" w:rsidRPr="00DD76C8" w:rsidRDefault="002D1DA9" w:rsidP="00FD2C57">
      <w:pPr>
        <w:widowControl/>
        <w:numPr>
          <w:ilvl w:val="0"/>
          <w:numId w:val="13"/>
        </w:numPr>
        <w:spacing w:before="60" w:after="60"/>
        <w:ind w:left="0" w:firstLine="0"/>
        <w:jc w:val="both"/>
        <w:rPr>
          <w:rFonts w:cs="Arial"/>
          <w:bCs/>
          <w:kern w:val="32"/>
          <w:szCs w:val="24"/>
        </w:rPr>
      </w:pPr>
      <w:r w:rsidRPr="00DD76C8">
        <w:t>različitih materijala te fiksne i pomične tehničke opreme za objavljivanje, sigurnost (uključujući i računalne programe), kantine, zgrade, osposobljavanje osoblja, sportske centre institucije itd.,</w:t>
      </w:r>
    </w:p>
    <w:p w:rsidR="002D1DA9" w:rsidRPr="00DD76C8" w:rsidRDefault="002D1DA9" w:rsidP="00FD2C57">
      <w:pPr>
        <w:widowControl/>
        <w:numPr>
          <w:ilvl w:val="0"/>
          <w:numId w:val="13"/>
        </w:numPr>
        <w:spacing w:before="60" w:after="60"/>
        <w:ind w:left="0" w:firstLine="0"/>
        <w:jc w:val="both"/>
        <w:rPr>
          <w:rFonts w:cs="Arial"/>
          <w:bCs/>
          <w:kern w:val="32"/>
          <w:szCs w:val="24"/>
        </w:rPr>
      </w:pPr>
      <w:r w:rsidRPr="00DD76C8">
        <w:t>opreme, a posebno za tiskaru, telefonsku službu, kantine, trgovine, sigurnost, konferencijsku tehniku, audiovizualno područje itd.,</w:t>
      </w:r>
    </w:p>
    <w:p w:rsidR="002D1DA9" w:rsidRPr="00DD76C8" w:rsidRDefault="002D1DA9" w:rsidP="00FD2C57">
      <w:pPr>
        <w:widowControl/>
        <w:numPr>
          <w:ilvl w:val="0"/>
          <w:numId w:val="13"/>
        </w:numPr>
        <w:spacing w:before="60" w:after="60"/>
        <w:ind w:left="0" w:firstLine="0"/>
        <w:jc w:val="both"/>
        <w:rPr>
          <w:rFonts w:cs="Arial"/>
          <w:bCs/>
          <w:kern w:val="32"/>
          <w:szCs w:val="24"/>
        </w:rPr>
      </w:pPr>
      <w:r w:rsidRPr="00DD76C8">
        <w:t>specifičnog (elektroničkog, računalnog, električnog) materijala, uključujući s njim povezane vanjske usluge.</w:t>
      </w:r>
    </w:p>
    <w:p w:rsidR="002D1DA9" w:rsidRPr="00DD76C8" w:rsidRDefault="002D1DA9" w:rsidP="00FD2C57">
      <w:pPr>
        <w:widowControl/>
        <w:jc w:val="both"/>
        <w:rPr>
          <w:rFonts w:cs="Arial"/>
          <w:bCs/>
          <w:kern w:val="32"/>
          <w:szCs w:val="24"/>
        </w:rPr>
      </w:pPr>
      <w:r w:rsidRPr="00DD76C8">
        <w:t>Ovim se sredstvima pokrivaju i troškovi oglasa za daljnju prodaju ili uništavanje popisane opreme te troškovi vezani uz tehničku pomoć (savjetovanje) za predmete koji zahtijevaju usluge vanjskog stručnjaka.</w:t>
      </w:r>
    </w:p>
    <w:p w:rsidR="002D1DA9" w:rsidRPr="00DD76C8" w:rsidRDefault="002D1DA9" w:rsidP="00FD2C57">
      <w:pPr>
        <w:widowControl/>
        <w:jc w:val="both"/>
        <w:rPr>
          <w:rFonts w:cs="Arial"/>
          <w:bCs/>
          <w:kern w:val="32"/>
          <w:szCs w:val="24"/>
        </w:rPr>
      </w:pPr>
      <w:r w:rsidRPr="00DD76C8">
        <w:t>Iznos namjenskih prihoda u skladu s člankom 21. stavkom 3. Financijske uredbe procjenjuje se na 235 000 EUR.</w:t>
      </w:r>
    </w:p>
    <w:p w:rsidR="002D1DA9" w:rsidRPr="00DD76C8" w:rsidRDefault="002D1DA9" w:rsidP="00FD2C57">
      <w:pPr>
        <w:widowControl/>
        <w:autoSpaceDE w:val="0"/>
        <w:autoSpaceDN w:val="0"/>
        <w:spacing w:before="480" w:after="120"/>
        <w:outlineLvl w:val="3"/>
        <w:rPr>
          <w:b/>
          <w:bCs/>
          <w:i/>
          <w:iCs/>
          <w:szCs w:val="24"/>
        </w:rPr>
      </w:pPr>
      <w:r w:rsidRPr="00DD76C8">
        <w:rPr>
          <w:b/>
          <w:i/>
        </w:rPr>
        <w:t>Članak 2 1 6 — Prijevoz zastupnika, drugih osoba i robe</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Odobrena sredstva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3 728 000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4 534 000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5 651 673,50</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widowControl/>
        <w:jc w:val="both"/>
        <w:rPr>
          <w:rFonts w:cs="Arial"/>
          <w:bCs/>
          <w:kern w:val="32"/>
          <w:szCs w:val="24"/>
        </w:rPr>
      </w:pPr>
      <w:r w:rsidRPr="00DD76C8">
        <w:t>Ova sredstva namijenjena su za kupnju, održavanje, upotrebu i popravak vozila (vozni park motornih vozila i bicikala) te iznajmljivanje prijevoznih sredstava, taksija, autobusa i teretnih vozila s vozačem ili bez vozača, uključujući s time povezana osiguranja i druge administrativne izdatke. Pri zamjeni voznog parka motornih vozila ili kupovine ili iznajmljivanja prijevoznih sredstava daje se prednost motornim vozilima koja u što manjoj mjeri zagađuju okoliš, kao što su na primjer hibridna vozila.</w:t>
      </w:r>
    </w:p>
    <w:p w:rsidR="002D1DA9" w:rsidRPr="00DD76C8" w:rsidRDefault="002D1DA9" w:rsidP="00FD2C57">
      <w:pPr>
        <w:widowControl/>
        <w:jc w:val="both"/>
        <w:rPr>
          <w:rFonts w:cs="Arial"/>
          <w:bCs/>
          <w:kern w:val="32"/>
          <w:szCs w:val="24"/>
        </w:rPr>
      </w:pPr>
      <w:r w:rsidRPr="00DD76C8">
        <w:t>Iznos namjenskih prihoda u skladu s člankom 21. stavkom 3. Financijske uredbe procjenjuje se na 100 000 EUR.</w:t>
      </w:r>
    </w:p>
    <w:p w:rsidR="002D1DA9" w:rsidRPr="00DD76C8" w:rsidRDefault="002D1DA9" w:rsidP="00FD2C57">
      <w:pPr>
        <w:widowControl/>
        <w:autoSpaceDE w:val="0"/>
        <w:autoSpaceDN w:val="0"/>
        <w:spacing w:before="480" w:after="120"/>
        <w:outlineLvl w:val="2"/>
        <w:rPr>
          <w:b/>
          <w:bCs/>
          <w:smallCaps/>
          <w:sz w:val="28"/>
          <w:szCs w:val="28"/>
        </w:rPr>
      </w:pPr>
      <w:r w:rsidRPr="00DD76C8">
        <w:rPr>
          <w:b/>
          <w:smallCaps/>
          <w:sz w:val="28"/>
        </w:rPr>
        <w:t>Poglavlje 2 3 — Tekući administrativni rashodi</w:t>
      </w:r>
    </w:p>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widowControl/>
        <w:jc w:val="both"/>
        <w:rPr>
          <w:rFonts w:cs="Arial"/>
          <w:bCs/>
          <w:kern w:val="32"/>
          <w:szCs w:val="24"/>
        </w:rPr>
      </w:pPr>
      <w:r w:rsidRPr="00DD76C8">
        <w:t>Prilikom dodjele javnih ugovora institucija obavještava druge institucije o uvjetima koje je svaka od njih dogovorila.</w:t>
      </w:r>
    </w:p>
    <w:p w:rsidR="002D1DA9" w:rsidRPr="00DD76C8" w:rsidRDefault="002D1DA9" w:rsidP="00FD2C57">
      <w:pPr>
        <w:widowControl/>
        <w:autoSpaceDE w:val="0"/>
        <w:autoSpaceDN w:val="0"/>
        <w:spacing w:before="480" w:after="120"/>
        <w:outlineLvl w:val="3"/>
        <w:rPr>
          <w:b/>
          <w:bCs/>
          <w:i/>
          <w:iCs/>
          <w:szCs w:val="24"/>
        </w:rPr>
      </w:pPr>
      <w:r w:rsidRPr="00DD76C8">
        <w:rPr>
          <w:b/>
          <w:i/>
        </w:rPr>
        <w:t>Članak 2 3 0 — Uredski materijal i razni potrošni materijal</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Odobrena sredstva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1 449 500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1 440 500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1 370 433,69</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widowControl/>
        <w:jc w:val="both"/>
        <w:rPr>
          <w:rFonts w:cs="Arial"/>
          <w:bCs/>
          <w:kern w:val="32"/>
          <w:szCs w:val="24"/>
        </w:rPr>
      </w:pPr>
      <w:r w:rsidRPr="00DD76C8">
        <w:t>Ova sredstva namijenjena su za kupovinu papira, omotnica, uredskog materijala, proizvoda za tiskaru, umnožavanje itd. te s njima povezane administrativne izdatke.</w:t>
      </w:r>
    </w:p>
    <w:p w:rsidR="002D1DA9" w:rsidRPr="00DD76C8" w:rsidRDefault="002D1DA9" w:rsidP="00FD2C57">
      <w:pPr>
        <w:widowControl/>
        <w:jc w:val="both"/>
        <w:rPr>
          <w:rFonts w:cs="Arial"/>
          <w:bCs/>
          <w:kern w:val="32"/>
          <w:szCs w:val="24"/>
        </w:rPr>
      </w:pPr>
      <w:r w:rsidRPr="00DD76C8">
        <w:t>Iznos namjenskih prihoda u skladu s člankom 21. stavkom 3. Financijske uredbe procjenjuje se na 10 000 EUR.</w:t>
      </w:r>
    </w:p>
    <w:p w:rsidR="002D1DA9" w:rsidRPr="00DD76C8" w:rsidRDefault="002D1DA9" w:rsidP="00FD2C57">
      <w:pPr>
        <w:widowControl/>
        <w:autoSpaceDE w:val="0"/>
        <w:autoSpaceDN w:val="0"/>
        <w:spacing w:before="480" w:after="120"/>
        <w:outlineLvl w:val="3"/>
        <w:rPr>
          <w:b/>
          <w:bCs/>
          <w:i/>
          <w:iCs/>
          <w:szCs w:val="24"/>
        </w:rPr>
      </w:pPr>
      <w:r w:rsidRPr="00DD76C8">
        <w:rPr>
          <w:b/>
          <w:i/>
        </w:rPr>
        <w:t>Članak 2 3 1 — Financijski troškovi</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Odobrena sredstva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60 000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40 000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25 001,00</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widowControl/>
        <w:jc w:val="both"/>
        <w:rPr>
          <w:rFonts w:cs="Arial"/>
          <w:bCs/>
          <w:kern w:val="32"/>
          <w:szCs w:val="24"/>
        </w:rPr>
      </w:pPr>
      <w:r w:rsidRPr="00DD76C8">
        <w:t>Ova sredstva namijenjena su pokrivanju bankarskih troškova (naknade, ažio, različiti troškovi) i drugih financijskih troškova, uključujući dodatne troškove financiranja zgrada.</w:t>
      </w:r>
    </w:p>
    <w:p w:rsidR="002D1DA9" w:rsidRPr="00DD76C8" w:rsidRDefault="002D1DA9" w:rsidP="00FD2C57">
      <w:pPr>
        <w:widowControl/>
        <w:jc w:val="both"/>
        <w:rPr>
          <w:rFonts w:cs="Arial"/>
          <w:bCs/>
          <w:kern w:val="32"/>
          <w:szCs w:val="24"/>
        </w:rPr>
      </w:pPr>
      <w:r w:rsidRPr="00DD76C8">
        <w:t>Iznos dodijeljenih prihoda u skladu s člankom 21. stavkom 3. Financijske uredbe procjenjuje se na 100 EUR.</w:t>
      </w:r>
    </w:p>
    <w:p w:rsidR="002D1DA9" w:rsidRPr="00DD76C8" w:rsidRDefault="002D1DA9" w:rsidP="00FD2C57">
      <w:pPr>
        <w:widowControl/>
        <w:autoSpaceDE w:val="0"/>
        <w:autoSpaceDN w:val="0"/>
        <w:spacing w:before="480" w:after="120"/>
        <w:outlineLvl w:val="3"/>
        <w:rPr>
          <w:b/>
          <w:bCs/>
          <w:i/>
          <w:iCs/>
          <w:szCs w:val="24"/>
        </w:rPr>
      </w:pPr>
      <w:r w:rsidRPr="00DD76C8">
        <w:rPr>
          <w:b/>
          <w:i/>
        </w:rPr>
        <w:t>Članak 2 3 2 — Pravni troškovi i odštete</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Odobrena sredstva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1 010 000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1 110 000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520 518,18</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keepNext/>
        <w:widowControl/>
        <w:jc w:val="both"/>
        <w:rPr>
          <w:rFonts w:cs="Arial"/>
          <w:bCs/>
          <w:kern w:val="32"/>
          <w:szCs w:val="24"/>
        </w:rPr>
      </w:pPr>
      <w:r w:rsidRPr="00DD76C8">
        <w:t>Ova sredstva namijenjena su za pokrivanje:</w:t>
      </w:r>
    </w:p>
    <w:p w:rsidR="002D1DA9" w:rsidRPr="00DD76C8" w:rsidRDefault="002D1DA9" w:rsidP="00FD2C57">
      <w:pPr>
        <w:widowControl/>
        <w:numPr>
          <w:ilvl w:val="0"/>
          <w:numId w:val="14"/>
        </w:numPr>
        <w:spacing w:before="60" w:after="60"/>
        <w:ind w:left="0" w:firstLine="0"/>
        <w:jc w:val="both"/>
        <w:rPr>
          <w:rFonts w:cs="Arial"/>
          <w:bCs/>
          <w:kern w:val="32"/>
          <w:szCs w:val="24"/>
        </w:rPr>
      </w:pPr>
      <w:r w:rsidRPr="00DD76C8">
        <w:t>troškova nastalih kao posljedica eventualnih presuda Suda, Općeg suda i državnih sudova protiv Europskog parlamenta,</w:t>
      </w:r>
    </w:p>
    <w:p w:rsidR="002D1DA9" w:rsidRPr="00DD76C8" w:rsidRDefault="002D1DA9" w:rsidP="00FD2C57">
      <w:pPr>
        <w:widowControl/>
        <w:numPr>
          <w:ilvl w:val="0"/>
          <w:numId w:val="14"/>
        </w:numPr>
        <w:spacing w:before="60" w:after="60"/>
        <w:ind w:left="0" w:firstLine="0"/>
        <w:jc w:val="both"/>
        <w:rPr>
          <w:rFonts w:cs="Arial"/>
          <w:bCs/>
          <w:kern w:val="32"/>
          <w:szCs w:val="24"/>
        </w:rPr>
      </w:pPr>
      <w:r w:rsidRPr="00DD76C8">
        <w:t>troškova usluga vanjskih odvjetnika koji zastupaju Europski parlament pred sudovima Unije i državnim sudovima te pravnih savjetnika ili stručnjaka radi podrške pravnoj službi,</w:t>
      </w:r>
    </w:p>
    <w:p w:rsidR="002D1DA9" w:rsidRPr="00DD76C8" w:rsidRDefault="002D1DA9" w:rsidP="00FD2C57">
      <w:pPr>
        <w:widowControl/>
        <w:numPr>
          <w:ilvl w:val="0"/>
          <w:numId w:val="14"/>
        </w:numPr>
        <w:spacing w:before="60" w:after="60"/>
        <w:ind w:left="0" w:firstLine="0"/>
        <w:jc w:val="both"/>
        <w:rPr>
          <w:rFonts w:cs="Arial"/>
          <w:bCs/>
          <w:kern w:val="32"/>
          <w:szCs w:val="24"/>
        </w:rPr>
      </w:pPr>
      <w:r w:rsidRPr="00DD76C8">
        <w:t>povrata troškova usluga odvjetnika u vezi s disciplinskim i sličnim postupcima,</w:t>
      </w:r>
    </w:p>
    <w:p w:rsidR="002D1DA9" w:rsidRPr="00DD76C8" w:rsidRDefault="002D1DA9" w:rsidP="00FD2C57">
      <w:pPr>
        <w:widowControl/>
        <w:numPr>
          <w:ilvl w:val="0"/>
          <w:numId w:val="14"/>
        </w:numPr>
        <w:spacing w:before="60" w:after="60"/>
        <w:ind w:left="0" w:firstLine="0"/>
        <w:jc w:val="both"/>
        <w:rPr>
          <w:rFonts w:cs="Arial"/>
          <w:bCs/>
          <w:kern w:val="32"/>
          <w:szCs w:val="24"/>
        </w:rPr>
      </w:pPr>
      <w:r w:rsidRPr="00DD76C8">
        <w:t xml:space="preserve">izdataka za odštete, </w:t>
      </w:r>
    </w:p>
    <w:p w:rsidR="002D1DA9" w:rsidRPr="00DD76C8" w:rsidRDefault="002D1DA9" w:rsidP="00FD2C57">
      <w:pPr>
        <w:widowControl/>
        <w:numPr>
          <w:ilvl w:val="0"/>
          <w:numId w:val="14"/>
        </w:numPr>
        <w:spacing w:before="60" w:after="60"/>
        <w:ind w:left="0" w:firstLine="0"/>
        <w:jc w:val="both"/>
        <w:rPr>
          <w:rFonts w:cs="Arial"/>
          <w:bCs/>
          <w:kern w:val="32"/>
          <w:szCs w:val="24"/>
        </w:rPr>
      </w:pPr>
      <w:r w:rsidRPr="00DD76C8">
        <w:t>odšteta i naknada dogovorenih sporazumno u skladu s poglavljem 11.a Poslovnika Općeg suda.</w:t>
      </w:r>
    </w:p>
    <w:p w:rsidR="002D1DA9" w:rsidRPr="00DD76C8" w:rsidRDefault="002D1DA9" w:rsidP="00FD2C57">
      <w:pPr>
        <w:widowControl/>
        <w:jc w:val="both"/>
        <w:rPr>
          <w:rFonts w:cs="Arial"/>
          <w:bCs/>
          <w:kern w:val="32"/>
          <w:szCs w:val="24"/>
        </w:rPr>
      </w:pPr>
      <w:r w:rsidRPr="00DD76C8">
        <w:t>Namjenski prihodi u skladu s člankom 21. stavkom 3. Financijske uredbe procjenjuju se na 5 000 EUR.</w:t>
      </w:r>
    </w:p>
    <w:p w:rsidR="002D1DA9" w:rsidRPr="00DD76C8" w:rsidRDefault="002D1DA9" w:rsidP="00FD2C57">
      <w:pPr>
        <w:widowControl/>
        <w:autoSpaceDE w:val="0"/>
        <w:autoSpaceDN w:val="0"/>
        <w:spacing w:before="480" w:after="120"/>
        <w:outlineLvl w:val="3"/>
        <w:rPr>
          <w:b/>
          <w:bCs/>
          <w:i/>
          <w:iCs/>
          <w:szCs w:val="24"/>
        </w:rPr>
      </w:pPr>
      <w:r w:rsidRPr="00DD76C8">
        <w:rPr>
          <w:b/>
          <w:i/>
        </w:rPr>
        <w:t>Članak 2 3 6 — Poštarine i troškovi dostave</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Odobrena sredstva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271 000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271 000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193 486,81</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widowControl/>
        <w:jc w:val="both"/>
        <w:rPr>
          <w:rFonts w:cs="Arial"/>
          <w:bCs/>
          <w:kern w:val="32"/>
          <w:szCs w:val="24"/>
        </w:rPr>
      </w:pPr>
      <w:r w:rsidRPr="00DD76C8">
        <w:t>Ova sredstva namijenjena su pokrivanju troškova poštarina, usluga obrade i prijevoza koje pružaju nacionalne poštanske službe ili kurirske službe.</w:t>
      </w:r>
    </w:p>
    <w:p w:rsidR="002D1DA9" w:rsidRPr="00DD76C8" w:rsidRDefault="002D1DA9" w:rsidP="00FD2C57">
      <w:pPr>
        <w:widowControl/>
        <w:jc w:val="both"/>
        <w:rPr>
          <w:rFonts w:cs="Arial"/>
          <w:bCs/>
          <w:kern w:val="32"/>
          <w:szCs w:val="24"/>
        </w:rPr>
      </w:pPr>
      <w:r w:rsidRPr="00DD76C8">
        <w:t>Nadalje služe za pokrivanje troškova poštanskih usluga.</w:t>
      </w:r>
    </w:p>
    <w:p w:rsidR="002D1DA9" w:rsidRPr="00DD76C8" w:rsidRDefault="002D1DA9" w:rsidP="00FD2C57">
      <w:pPr>
        <w:widowControl/>
        <w:jc w:val="both"/>
        <w:rPr>
          <w:rFonts w:cs="Arial"/>
          <w:bCs/>
          <w:kern w:val="32"/>
          <w:szCs w:val="24"/>
        </w:rPr>
      </w:pPr>
      <w:r w:rsidRPr="00DD76C8">
        <w:t>Iznos namjenskih prihoda u skladu s člankom 21. stavkom 3. Financijske uredbe procjenjuje se na 25 000 EUR.</w:t>
      </w:r>
    </w:p>
    <w:p w:rsidR="002D1DA9" w:rsidRPr="00DD76C8" w:rsidRDefault="002D1DA9" w:rsidP="00FD2C57">
      <w:pPr>
        <w:widowControl/>
        <w:autoSpaceDE w:val="0"/>
        <w:autoSpaceDN w:val="0"/>
        <w:spacing w:before="480" w:after="120"/>
        <w:outlineLvl w:val="3"/>
        <w:rPr>
          <w:b/>
          <w:bCs/>
          <w:i/>
          <w:iCs/>
          <w:szCs w:val="24"/>
        </w:rPr>
      </w:pPr>
      <w:r w:rsidRPr="00DD76C8">
        <w:rPr>
          <w:b/>
          <w:i/>
        </w:rPr>
        <w:t>Članak 2 3 7 — Selidbe</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Odobrena sredstva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2 490 000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1 434 000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1 167 643,97</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widowControl/>
        <w:jc w:val="both"/>
        <w:rPr>
          <w:rFonts w:cs="Arial"/>
          <w:bCs/>
          <w:kern w:val="32"/>
          <w:szCs w:val="24"/>
        </w:rPr>
      </w:pPr>
      <w:r w:rsidRPr="00DD76C8">
        <w:t>Ova sredstva namijenjena su pokrivanju troškova usluga preseljenja i prijevoza koje pružaju poduzeća za preseljenje ili uz pomoć privremeno zaposlenih prijevoznika.</w:t>
      </w:r>
    </w:p>
    <w:p w:rsidR="002D1DA9" w:rsidRPr="00DD76C8" w:rsidRDefault="002D1DA9" w:rsidP="00FD2C57">
      <w:pPr>
        <w:widowControl/>
        <w:jc w:val="both"/>
        <w:rPr>
          <w:rFonts w:cs="Arial"/>
          <w:bCs/>
          <w:kern w:val="32"/>
          <w:szCs w:val="24"/>
        </w:rPr>
      </w:pPr>
      <w:r w:rsidRPr="00DD76C8">
        <w:t>Namjenski prihodi u skladu s člankom 21. stavkom 3. Financijske uredbe procjenjuju se na 5 000 EUR.</w:t>
      </w:r>
    </w:p>
    <w:p w:rsidR="002D1DA9" w:rsidRPr="00DD76C8" w:rsidRDefault="002D1DA9" w:rsidP="00FD2C57">
      <w:pPr>
        <w:widowControl/>
        <w:autoSpaceDE w:val="0"/>
        <w:autoSpaceDN w:val="0"/>
        <w:spacing w:before="480" w:after="120"/>
        <w:outlineLvl w:val="3"/>
        <w:rPr>
          <w:b/>
          <w:bCs/>
          <w:i/>
          <w:iCs/>
          <w:szCs w:val="24"/>
        </w:rPr>
      </w:pPr>
      <w:r w:rsidRPr="00DD76C8">
        <w:rPr>
          <w:b/>
          <w:i/>
        </w:rPr>
        <w:t>Članak 2 3 8 — Ostali administrativni rashodi</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Odobrena sredstva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1 560 000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1 161 000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1 039 958,96</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keepNext/>
        <w:widowControl/>
        <w:jc w:val="both"/>
        <w:rPr>
          <w:rFonts w:cs="Arial"/>
          <w:bCs/>
          <w:kern w:val="32"/>
          <w:szCs w:val="24"/>
        </w:rPr>
      </w:pPr>
      <w:r w:rsidRPr="00DD76C8">
        <w:t>Ova sredstva namijenjena su za pokrivanje:</w:t>
      </w:r>
    </w:p>
    <w:p w:rsidR="002D1DA9" w:rsidRPr="00DD76C8" w:rsidRDefault="002D1DA9" w:rsidP="00FD2C57">
      <w:pPr>
        <w:widowControl/>
        <w:numPr>
          <w:ilvl w:val="0"/>
          <w:numId w:val="15"/>
        </w:numPr>
        <w:spacing w:before="60" w:after="60"/>
        <w:ind w:left="0" w:firstLine="0"/>
        <w:jc w:val="both"/>
        <w:rPr>
          <w:rFonts w:cs="Arial"/>
          <w:bCs/>
          <w:kern w:val="32"/>
          <w:szCs w:val="24"/>
        </w:rPr>
      </w:pPr>
      <w:r w:rsidRPr="00DD76C8">
        <w:t>osiguranja koja nisu predviđena na nekoj drugoj stavci,</w:t>
      </w:r>
    </w:p>
    <w:p w:rsidR="002D1DA9" w:rsidRPr="00DD76C8" w:rsidRDefault="002D1DA9" w:rsidP="00FD2C57">
      <w:pPr>
        <w:widowControl/>
        <w:numPr>
          <w:ilvl w:val="0"/>
          <w:numId w:val="15"/>
        </w:numPr>
        <w:spacing w:before="60" w:after="60"/>
        <w:ind w:left="0" w:firstLine="0"/>
        <w:jc w:val="both"/>
        <w:rPr>
          <w:rFonts w:cs="Arial"/>
          <w:bCs/>
          <w:kern w:val="32"/>
          <w:szCs w:val="24"/>
        </w:rPr>
      </w:pPr>
      <w:r w:rsidRPr="00DD76C8">
        <w:t>kupovina i održavanja radne odjeće za podvornike, vozače, službenike na recepciji, skladištare, otpremnike, kao i za osoblje zaposleno u službi za posjete i seminare, službi Parlamentarija, zdravstvenoj službi, sigurnosnoj službi, službi za održavanje zgrada i raznim tehničkim službama,</w:t>
      </w:r>
    </w:p>
    <w:p w:rsidR="002D1DA9" w:rsidRPr="00DD76C8" w:rsidRDefault="002D1DA9" w:rsidP="00FD2C57">
      <w:pPr>
        <w:widowControl/>
        <w:numPr>
          <w:ilvl w:val="0"/>
          <w:numId w:val="15"/>
        </w:numPr>
        <w:spacing w:before="60" w:after="60"/>
        <w:ind w:left="0" w:firstLine="0"/>
        <w:jc w:val="both"/>
        <w:rPr>
          <w:rFonts w:cs="Arial"/>
          <w:bCs/>
          <w:kern w:val="32"/>
          <w:szCs w:val="24"/>
        </w:rPr>
      </w:pPr>
      <w:r w:rsidRPr="00DD76C8">
        <w:t>raznih troškova rada i upravljanja, uključujući troškove koji se plaćaju PMO-u za upravljanja mirovinama koje u skladu sa statutom primaju bivši zastupnici, troškove povezane sa sigurnosnom provjerom vanjskih osoba koje rade u prostorijama ili u sustavima Europskog parlamenta, nabavom robe ili usluga koje nisu posebno predviđene nekom drugom stavkom,</w:t>
      </w:r>
    </w:p>
    <w:p w:rsidR="002D1DA9" w:rsidRPr="00DD76C8" w:rsidRDefault="002D1DA9" w:rsidP="00FD2C57">
      <w:pPr>
        <w:widowControl/>
        <w:numPr>
          <w:ilvl w:val="0"/>
          <w:numId w:val="15"/>
        </w:numPr>
        <w:spacing w:before="60" w:after="60"/>
        <w:ind w:left="0" w:firstLine="0"/>
        <w:jc w:val="both"/>
        <w:rPr>
          <w:rFonts w:cs="Arial"/>
          <w:bCs/>
          <w:kern w:val="32"/>
          <w:szCs w:val="24"/>
        </w:rPr>
      </w:pPr>
      <w:r w:rsidRPr="00DD76C8">
        <w:t>raznih kupovina u vezi s aktivnostima u okviru Sustava ekološkog upravljanja i revizije EU-a (EMAS-a) (promidžbene kampanje, itd.).</w:t>
      </w:r>
    </w:p>
    <w:p w:rsidR="002D1DA9" w:rsidRPr="00DD76C8" w:rsidRDefault="002D1DA9" w:rsidP="00FD2C57">
      <w:pPr>
        <w:widowControl/>
        <w:jc w:val="both"/>
        <w:rPr>
          <w:rFonts w:cs="Arial"/>
          <w:bCs/>
          <w:kern w:val="32"/>
          <w:szCs w:val="24"/>
        </w:rPr>
      </w:pPr>
      <w:r w:rsidRPr="00DD76C8">
        <w:t>Namjenski prihodi u skladu s člankom 21. stavkom 3. Financijske uredbe procjenjuju se na 5 000 EUR.</w:t>
      </w:r>
    </w:p>
    <w:p w:rsidR="002D1DA9" w:rsidRPr="00DD76C8" w:rsidRDefault="002D1DA9" w:rsidP="00FD2C57">
      <w:pPr>
        <w:widowControl/>
        <w:autoSpaceDE w:val="0"/>
        <w:autoSpaceDN w:val="0"/>
        <w:spacing w:before="480" w:after="120"/>
        <w:outlineLvl w:val="3"/>
        <w:rPr>
          <w:b/>
          <w:bCs/>
          <w:i/>
          <w:iCs/>
          <w:szCs w:val="24"/>
        </w:rPr>
      </w:pPr>
      <w:r w:rsidRPr="00DD76C8">
        <w:rPr>
          <w:b/>
          <w:i/>
        </w:rPr>
        <w:t>Članak 2 3 9 — Aktivnosti EMAS-a, uključujući promidžbu i mehanizam Europskog parlamenta za smanjenje emisija ugljičnog dioksida</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Odobrena sredstva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262 500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262 500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104 374,20</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widowControl/>
        <w:jc w:val="both"/>
        <w:rPr>
          <w:rFonts w:cs="Arial"/>
          <w:bCs/>
          <w:kern w:val="32"/>
          <w:szCs w:val="24"/>
        </w:rPr>
      </w:pPr>
      <w:r w:rsidRPr="00DD76C8">
        <w:t>Ova sredstva namijenjena su pokrivanju troškova povezanih s aktivnostima EMAS-a čiji je cilj povećanje ekološke učinkovitosti Europskog parlamenta, uključujući i promidžbu tih aktivnosti, kao i s mehanizmom Europskog parlamenta za smanjenje emisija ugljičnog dioksida.</w:t>
      </w:r>
    </w:p>
    <w:p w:rsidR="002D1DA9" w:rsidRPr="00DD76C8" w:rsidRDefault="002D1DA9" w:rsidP="00FD2C57">
      <w:pPr>
        <w:widowControl/>
        <w:jc w:val="both"/>
        <w:rPr>
          <w:rFonts w:cs="Arial"/>
          <w:bCs/>
          <w:kern w:val="32"/>
          <w:szCs w:val="24"/>
        </w:rPr>
      </w:pPr>
      <w:r w:rsidRPr="00DD76C8">
        <w:t>Iznos dodijeljenih prihoda u skladu s člankom 21. stavkom 3. Financijske uredbe procjenjuje se na 100 EUR.</w:t>
      </w:r>
    </w:p>
    <w:p w:rsidR="002D1DA9" w:rsidRPr="00DD76C8" w:rsidRDefault="002D1DA9" w:rsidP="00FD2C57">
      <w:pPr>
        <w:keepNext/>
        <w:widowControl/>
        <w:spacing w:before="480" w:after="120"/>
        <w:outlineLvl w:val="1"/>
        <w:rPr>
          <w:b/>
          <w:bCs/>
          <w:smallCaps/>
          <w:sz w:val="32"/>
          <w:szCs w:val="32"/>
        </w:rPr>
      </w:pPr>
      <w:r w:rsidRPr="00DD76C8">
        <w:rPr>
          <w:b/>
          <w:smallCaps/>
          <w:sz w:val="32"/>
        </w:rPr>
        <w:t>Glava 3. — Rashodi vezani uz obavljanje redovne djelatnosti institucije</w:t>
      </w:r>
    </w:p>
    <w:p w:rsidR="002D1DA9" w:rsidRPr="00DD76C8" w:rsidRDefault="002D1DA9" w:rsidP="00FD2C57">
      <w:pPr>
        <w:widowControl/>
        <w:autoSpaceDE w:val="0"/>
        <w:autoSpaceDN w:val="0"/>
        <w:spacing w:before="480" w:after="120"/>
        <w:outlineLvl w:val="2"/>
        <w:rPr>
          <w:b/>
          <w:bCs/>
          <w:smallCaps/>
          <w:sz w:val="28"/>
          <w:szCs w:val="28"/>
        </w:rPr>
      </w:pPr>
      <w:r w:rsidRPr="00DD76C8">
        <w:rPr>
          <w:b/>
          <w:smallCaps/>
          <w:sz w:val="28"/>
        </w:rPr>
        <w:t>Poglavlje 3 0 — Sjednice i konferencije</w:t>
      </w:r>
    </w:p>
    <w:p w:rsidR="002D1DA9" w:rsidRPr="00DD76C8" w:rsidRDefault="002D1DA9" w:rsidP="00FD2C57">
      <w:pPr>
        <w:widowControl/>
        <w:autoSpaceDE w:val="0"/>
        <w:autoSpaceDN w:val="0"/>
        <w:spacing w:before="480" w:after="120"/>
        <w:outlineLvl w:val="3"/>
        <w:rPr>
          <w:b/>
          <w:bCs/>
          <w:i/>
          <w:iCs/>
          <w:szCs w:val="24"/>
        </w:rPr>
      </w:pPr>
      <w:r w:rsidRPr="00DD76C8">
        <w:rPr>
          <w:b/>
          <w:i/>
        </w:rPr>
        <w:t>Članak 3 0 0 — Putni troškovi osoblja za službena putovanja i putovanja između triju mjesta rada</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Odobrena sredstva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30 173 000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25 370 000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26 050 083,46</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widowControl/>
        <w:jc w:val="both"/>
        <w:rPr>
          <w:rFonts w:cs="Arial"/>
          <w:bCs/>
          <w:kern w:val="32"/>
          <w:szCs w:val="24"/>
        </w:rPr>
      </w:pPr>
      <w:r w:rsidRPr="00DD76C8">
        <w:t>Ova sredstva namijenjena su za pokrivanje izdataka povezanih s putovanjima osoblja institucije, upućenih nacionalnih stručnjaka, stažista i osoblja drugih europskih ili međunarodnih institucija koje pozove dotična institucija između mjesta zaposlenja i jednog od tri mjesta rada Europskog parlamenta (Bruxelles, Luxembourg i Strasbourg) te službena putovanja u mjesta koja nisu jedno od ta tri mjesta rada. Troškovi koji se pokrivaju su putni troškovi, dnevnice, troškovi smještaja i isplate naknada za pridržavanje određenog radnog vremena. Sredstva nadalje pokrivaju dodatne troškove, uključujući troškove otkazivanja putnih karata i hotelskih rezervacija, troškove povezane s elektroničkim sustavom fakturiranja i troškove osiguranja za službena putovanja.</w:t>
      </w:r>
    </w:p>
    <w:p w:rsidR="002D1DA9" w:rsidRPr="00DD76C8" w:rsidRDefault="002D1DA9" w:rsidP="00FD2C57">
      <w:pPr>
        <w:widowControl/>
        <w:jc w:val="both"/>
        <w:rPr>
          <w:rFonts w:cs="Arial"/>
          <w:bCs/>
          <w:kern w:val="32"/>
          <w:szCs w:val="24"/>
        </w:rPr>
      </w:pPr>
      <w:r w:rsidRPr="00DD76C8">
        <w:t>Ova su sredstva isto tako namijenjena pokrivanju troškova vezanih uz moguće isplate naknada za emisiju ugljičnog dioksida za službena putovanja osoblja.</w:t>
      </w:r>
    </w:p>
    <w:p w:rsidR="002D1DA9" w:rsidRPr="00DD76C8" w:rsidRDefault="002D1DA9" w:rsidP="00FD2C57">
      <w:pPr>
        <w:widowControl/>
        <w:jc w:val="both"/>
        <w:rPr>
          <w:rFonts w:cs="Arial"/>
          <w:bCs/>
          <w:kern w:val="32"/>
          <w:szCs w:val="24"/>
        </w:rPr>
      </w:pPr>
      <w:r w:rsidRPr="00DD76C8">
        <w:t>Iznos namjenskih prihoda u skladu s člankom 21. stavkom 3. Financijske uredbe procjenjuje se na 240 000 EUR.</w:t>
      </w:r>
    </w:p>
    <w:p w:rsidR="002D1DA9" w:rsidRPr="00DD76C8" w:rsidRDefault="002D1DA9" w:rsidP="00FD2C57">
      <w:pPr>
        <w:widowControl/>
        <w:autoSpaceDE w:val="0"/>
        <w:autoSpaceDN w:val="0"/>
        <w:spacing w:before="120" w:after="120"/>
        <w:rPr>
          <w:i/>
          <w:iCs/>
          <w:sz w:val="20"/>
        </w:rPr>
      </w:pPr>
      <w:r w:rsidRPr="00DD76C8">
        <w:rPr>
          <w:i/>
          <w:sz w:val="20"/>
        </w:rPr>
        <w:t>Pravna osnova</w:t>
      </w:r>
    </w:p>
    <w:p w:rsidR="002D1DA9" w:rsidRPr="00DD76C8" w:rsidRDefault="002D1DA9" w:rsidP="00FD2C57">
      <w:pPr>
        <w:widowControl/>
        <w:jc w:val="both"/>
        <w:rPr>
          <w:rFonts w:cs="Arial"/>
          <w:bCs/>
          <w:kern w:val="32"/>
          <w:szCs w:val="24"/>
        </w:rPr>
      </w:pPr>
      <w:r w:rsidRPr="00DD76C8">
        <w:t>Pravilnik o osoblju za dužnosnike Europske unije, a posebno njegov članak 71. i članci 11. 12. i 13. Priloga VII. Pravilniku.</w:t>
      </w:r>
    </w:p>
    <w:p w:rsidR="002D1DA9" w:rsidRPr="00DD76C8" w:rsidRDefault="002D1DA9" w:rsidP="00FD2C57">
      <w:pPr>
        <w:widowControl/>
        <w:autoSpaceDE w:val="0"/>
        <w:autoSpaceDN w:val="0"/>
        <w:spacing w:before="480" w:after="120"/>
        <w:outlineLvl w:val="3"/>
        <w:rPr>
          <w:b/>
          <w:bCs/>
          <w:i/>
          <w:iCs/>
          <w:szCs w:val="24"/>
        </w:rPr>
      </w:pPr>
      <w:r w:rsidRPr="00DD76C8">
        <w:rPr>
          <w:b/>
          <w:i/>
        </w:rPr>
        <w:t>Članak 3 0 2 — Rashodi za prijeme i reprezentaciju</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Odobrena sredstva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1 045 000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1 015 000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908 552,04</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keepNext/>
        <w:widowControl/>
        <w:jc w:val="both"/>
        <w:rPr>
          <w:rFonts w:cs="Arial"/>
          <w:bCs/>
          <w:kern w:val="32"/>
          <w:szCs w:val="24"/>
        </w:rPr>
      </w:pPr>
      <w:r w:rsidRPr="00DD76C8">
        <w:t>Ova sredstva namijenjena su za pokrivanje:</w:t>
      </w:r>
    </w:p>
    <w:p w:rsidR="002D1DA9" w:rsidRPr="00DD76C8" w:rsidRDefault="002D1DA9" w:rsidP="00FD2C57">
      <w:pPr>
        <w:widowControl/>
        <w:numPr>
          <w:ilvl w:val="0"/>
          <w:numId w:val="16"/>
        </w:numPr>
        <w:spacing w:before="60" w:after="60"/>
        <w:ind w:left="0" w:firstLine="0"/>
        <w:jc w:val="both"/>
        <w:rPr>
          <w:rFonts w:cs="Arial"/>
          <w:bCs/>
          <w:kern w:val="32"/>
          <w:szCs w:val="24"/>
        </w:rPr>
      </w:pPr>
      <w:r w:rsidRPr="00DD76C8">
        <w:t>izdataka vezanih uz obveze institucije u vezi s prijemima, uključujući prijeme vezane uz rad Odjela za ocjenjivanje znanstvenih i tehnoloških odabira (STOA) i drugim predviđenim aktivnostima te troškova reprezentacije za zastupnike u Europskom parlamentu,</w:t>
      </w:r>
    </w:p>
    <w:p w:rsidR="002D1DA9" w:rsidRPr="00DD76C8" w:rsidRDefault="002D1DA9" w:rsidP="00FD2C57">
      <w:pPr>
        <w:widowControl/>
        <w:numPr>
          <w:ilvl w:val="0"/>
          <w:numId w:val="16"/>
        </w:numPr>
        <w:spacing w:before="60" w:after="60"/>
        <w:ind w:left="0" w:firstLine="0"/>
        <w:jc w:val="both"/>
        <w:rPr>
          <w:rFonts w:cs="Arial"/>
          <w:bCs/>
          <w:kern w:val="32"/>
          <w:szCs w:val="24"/>
        </w:rPr>
      </w:pPr>
      <w:r w:rsidRPr="00DD76C8">
        <w:t>izdataka predsjednika u svrhu reprezentacije povodom njegovih putovanja izvan mjesta rada,</w:t>
      </w:r>
    </w:p>
    <w:p w:rsidR="002D1DA9" w:rsidRPr="00DD76C8" w:rsidRDefault="002D1DA9" w:rsidP="00FD2C57">
      <w:pPr>
        <w:widowControl/>
        <w:numPr>
          <w:ilvl w:val="0"/>
          <w:numId w:val="16"/>
        </w:numPr>
        <w:spacing w:before="60" w:after="60"/>
        <w:ind w:left="0" w:firstLine="0"/>
        <w:jc w:val="both"/>
        <w:rPr>
          <w:rFonts w:cs="Arial"/>
          <w:bCs/>
          <w:kern w:val="32"/>
          <w:szCs w:val="24"/>
        </w:rPr>
      </w:pPr>
      <w:r w:rsidRPr="00DD76C8">
        <w:t>troškova reprezentacije i sudjelovanja u troškovima tajništva Ureda predsjednika,</w:t>
      </w:r>
    </w:p>
    <w:p w:rsidR="002D1DA9" w:rsidRPr="00DD76C8" w:rsidRDefault="002D1DA9" w:rsidP="00FD2C57">
      <w:pPr>
        <w:widowControl/>
        <w:numPr>
          <w:ilvl w:val="0"/>
          <w:numId w:val="16"/>
        </w:numPr>
        <w:spacing w:before="60" w:after="60"/>
        <w:ind w:left="0" w:firstLine="0"/>
        <w:jc w:val="both"/>
        <w:rPr>
          <w:rFonts w:cs="Arial"/>
          <w:bCs/>
          <w:kern w:val="32"/>
          <w:szCs w:val="24"/>
        </w:rPr>
      </w:pPr>
      <w:r w:rsidRPr="00DD76C8">
        <w:t>izdataka za prijeme i reprezentaciju Glavnog tajništva, uključujući stjecanje artikala koji služe za reprezentaciju i odličja za dužnosnike s 15 odnosno 25 godina staža,</w:t>
      </w:r>
    </w:p>
    <w:p w:rsidR="002D1DA9" w:rsidRPr="00DD76C8" w:rsidRDefault="002D1DA9" w:rsidP="00FD2C57">
      <w:pPr>
        <w:widowControl/>
        <w:numPr>
          <w:ilvl w:val="0"/>
          <w:numId w:val="16"/>
        </w:numPr>
        <w:spacing w:before="60" w:after="60"/>
        <w:ind w:left="0" w:firstLine="0"/>
        <w:jc w:val="both"/>
        <w:rPr>
          <w:rFonts w:cs="Arial"/>
          <w:bCs/>
          <w:kern w:val="32"/>
          <w:szCs w:val="24"/>
        </w:rPr>
      </w:pPr>
      <w:r w:rsidRPr="00DD76C8">
        <w:t>raznih izdataka za protokol kao što su zastave, izložbeni stalci, pozivnice, tisak jelovnika itd.,</w:t>
      </w:r>
    </w:p>
    <w:p w:rsidR="002D1DA9" w:rsidRPr="00DD76C8" w:rsidRDefault="002D1DA9" w:rsidP="00FD2C57">
      <w:pPr>
        <w:widowControl/>
        <w:numPr>
          <w:ilvl w:val="0"/>
          <w:numId w:val="16"/>
        </w:numPr>
        <w:spacing w:before="60" w:after="60"/>
        <w:ind w:left="0" w:firstLine="0"/>
        <w:jc w:val="both"/>
        <w:rPr>
          <w:rFonts w:cs="Arial"/>
          <w:bCs/>
          <w:kern w:val="32"/>
          <w:szCs w:val="24"/>
        </w:rPr>
      </w:pPr>
      <w:r w:rsidRPr="00DD76C8">
        <w:t>putnih troškova i troškova smještaja osoba na visokom položaju koje su u posjetu instituciji,</w:t>
      </w:r>
    </w:p>
    <w:p w:rsidR="002D1DA9" w:rsidRPr="00DD76C8" w:rsidRDefault="002D1DA9" w:rsidP="00FD2C57">
      <w:pPr>
        <w:widowControl/>
        <w:numPr>
          <w:ilvl w:val="0"/>
          <w:numId w:val="16"/>
        </w:numPr>
        <w:spacing w:before="60" w:after="60"/>
        <w:ind w:left="0" w:firstLine="0"/>
        <w:jc w:val="both"/>
        <w:rPr>
          <w:rFonts w:cs="Arial"/>
          <w:bCs/>
          <w:kern w:val="32"/>
          <w:szCs w:val="24"/>
        </w:rPr>
      </w:pPr>
      <w:r w:rsidRPr="00DD76C8">
        <w:t xml:space="preserve">troškova izdavanja viza za zastupnike i osoblje Europskog parlamenta u vezi sa službenim putovanjima, </w:t>
      </w:r>
    </w:p>
    <w:p w:rsidR="002D1DA9" w:rsidRPr="00DD76C8" w:rsidRDefault="002D1DA9" w:rsidP="00FD2C57">
      <w:pPr>
        <w:widowControl/>
        <w:numPr>
          <w:ilvl w:val="0"/>
          <w:numId w:val="16"/>
        </w:numPr>
        <w:spacing w:before="60" w:after="60"/>
        <w:ind w:left="0" w:firstLine="0"/>
        <w:jc w:val="both"/>
        <w:rPr>
          <w:rFonts w:cs="Arial"/>
          <w:bCs/>
          <w:kern w:val="32"/>
          <w:szCs w:val="24"/>
        </w:rPr>
      </w:pPr>
      <w:r w:rsidRPr="00DD76C8">
        <w:t>izdataka za prijeme i reprezentaciju te ostalih posebnih izdataka zastupnika koji u Europskom parlamentu vrše službenu dužnost.</w:t>
      </w:r>
    </w:p>
    <w:p w:rsidR="002D1DA9" w:rsidRPr="00DD76C8" w:rsidRDefault="002D1DA9" w:rsidP="00FD2C57">
      <w:pPr>
        <w:widowControl/>
        <w:jc w:val="both"/>
        <w:rPr>
          <w:rFonts w:cs="Arial"/>
          <w:bCs/>
          <w:kern w:val="32"/>
          <w:szCs w:val="24"/>
        </w:rPr>
      </w:pPr>
      <w:r w:rsidRPr="00DD76C8">
        <w:t>Iznos dodijeljenih prihoda u skladu s člankom 21. stavkom 3. Financijske uredbe procjenjuje se na 100 EUR.</w:t>
      </w:r>
    </w:p>
    <w:p w:rsidR="002D1DA9" w:rsidRPr="00DD76C8" w:rsidRDefault="002D1DA9" w:rsidP="00FD2C57">
      <w:pPr>
        <w:widowControl/>
        <w:autoSpaceDE w:val="0"/>
        <w:autoSpaceDN w:val="0"/>
        <w:spacing w:before="480" w:after="120"/>
        <w:outlineLvl w:val="3"/>
        <w:rPr>
          <w:b/>
          <w:bCs/>
          <w:i/>
          <w:iCs/>
          <w:szCs w:val="24"/>
        </w:rPr>
      </w:pPr>
      <w:r w:rsidRPr="00DD76C8">
        <w:rPr>
          <w:b/>
          <w:i/>
        </w:rPr>
        <w:t>Članak 3 0 4 — Različiti izdaci za sjednice</w:t>
      </w:r>
    </w:p>
    <w:p w:rsidR="002D1DA9" w:rsidRPr="00DD76C8" w:rsidRDefault="002D1DA9" w:rsidP="00FD2C57">
      <w:pPr>
        <w:widowControl/>
        <w:autoSpaceDE w:val="0"/>
        <w:autoSpaceDN w:val="0"/>
        <w:spacing w:before="480" w:after="120"/>
        <w:outlineLvl w:val="4"/>
        <w:rPr>
          <w:sz w:val="22"/>
          <w:szCs w:val="22"/>
        </w:rPr>
      </w:pPr>
      <w:r w:rsidRPr="00DD76C8">
        <w:rPr>
          <w:sz w:val="22"/>
        </w:rPr>
        <w:t>Stavka 3 0 4 0 — Različiti izdaci za interne sjednice</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Odobrena sredstva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1 230 000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1 712 000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2 295 000,00</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widowControl/>
        <w:jc w:val="both"/>
        <w:rPr>
          <w:rFonts w:cs="Arial"/>
          <w:bCs/>
          <w:kern w:val="32"/>
          <w:szCs w:val="24"/>
        </w:rPr>
      </w:pPr>
      <w:r w:rsidRPr="00DD76C8">
        <w:t>Ova sredstva namijenjena su pokrivanju izdataka za sokove i druga pića te povremeno lagane obroke tijekom sjednica institucije ili međuinstitucijskih sastanaka organiziranih u prostorijama Europskog parlamenta, kao i za upravljanje tim uslugama.</w:t>
      </w:r>
    </w:p>
    <w:p w:rsidR="002D1DA9" w:rsidRPr="00DD76C8" w:rsidRDefault="002D1DA9" w:rsidP="00FD2C57">
      <w:pPr>
        <w:widowControl/>
        <w:jc w:val="both"/>
        <w:rPr>
          <w:rFonts w:cs="Arial"/>
          <w:bCs/>
          <w:kern w:val="32"/>
          <w:szCs w:val="24"/>
        </w:rPr>
      </w:pPr>
      <w:r w:rsidRPr="00DD76C8">
        <w:t>Namjenski prihodi u skladu s člankom 21. stavkom 3. Financijske uredbe procjenjuju se na 5 000 EUR.</w:t>
      </w:r>
    </w:p>
    <w:p w:rsidR="002D1DA9" w:rsidRPr="00DD76C8" w:rsidRDefault="002D1DA9" w:rsidP="00FD2C57">
      <w:pPr>
        <w:widowControl/>
        <w:autoSpaceDE w:val="0"/>
        <w:autoSpaceDN w:val="0"/>
        <w:spacing w:before="480" w:after="120"/>
        <w:outlineLvl w:val="4"/>
        <w:rPr>
          <w:sz w:val="22"/>
          <w:szCs w:val="22"/>
        </w:rPr>
      </w:pPr>
      <w:r w:rsidRPr="00DD76C8">
        <w:rPr>
          <w:sz w:val="22"/>
        </w:rPr>
        <w:t xml:space="preserve">Stavka 3 0 4 2 – Sjednice, kongresi, konferencije i izaslanstva </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Odobrena sredstva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2 515 000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2 570 000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1 745 262,16</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keepNext/>
        <w:widowControl/>
        <w:jc w:val="both"/>
        <w:rPr>
          <w:rFonts w:cs="Arial"/>
          <w:bCs/>
          <w:kern w:val="32"/>
          <w:szCs w:val="24"/>
        </w:rPr>
      </w:pPr>
      <w:r w:rsidRPr="00DD76C8">
        <w:t>Ova sredstva prije svega su namijenjena financiranju troškova koji nisu pokriveni poglavljem 1 0 i člankom 3 0 0, a povezani su s:</w:t>
      </w:r>
    </w:p>
    <w:p w:rsidR="002D1DA9" w:rsidRPr="00DD76C8" w:rsidRDefault="002D1DA9" w:rsidP="00FD2C57">
      <w:pPr>
        <w:widowControl/>
        <w:numPr>
          <w:ilvl w:val="0"/>
          <w:numId w:val="17"/>
        </w:numPr>
        <w:spacing w:before="60" w:after="60"/>
        <w:ind w:left="0" w:firstLine="0"/>
        <w:jc w:val="both"/>
        <w:rPr>
          <w:rFonts w:cs="Arial"/>
          <w:bCs/>
          <w:kern w:val="32"/>
          <w:szCs w:val="24"/>
        </w:rPr>
      </w:pPr>
      <w:r w:rsidRPr="00DD76C8">
        <w:t>organizacijom sjednica izvan mjesta rada (odbori ili izaslanstva odbora, klubovi zastupnika), po potrebi uključujući troškove reprezentacije,</w:t>
      </w:r>
    </w:p>
    <w:p w:rsidR="002D1DA9" w:rsidRPr="00DD76C8" w:rsidRDefault="002D1DA9" w:rsidP="00FD2C57">
      <w:pPr>
        <w:widowControl/>
        <w:numPr>
          <w:ilvl w:val="0"/>
          <w:numId w:val="17"/>
        </w:numPr>
        <w:spacing w:before="60" w:after="60"/>
        <w:ind w:left="0" w:firstLine="0"/>
        <w:jc w:val="both"/>
        <w:rPr>
          <w:rFonts w:cs="Arial"/>
          <w:bCs/>
          <w:kern w:val="32"/>
          <w:szCs w:val="24"/>
        </w:rPr>
      </w:pPr>
      <w:r w:rsidRPr="00DD76C8">
        <w:t>organizacijom međuparlamentarnih izaslanstava, ad hoc izaslanstava, zajedničkih parlamentarnih odbora, odbora za parlamentarnu suradnju te parlamentarnih izaslanstava pri Svjetskoj trgovinskoj organizaciji (WTO), kao i s organizacijom sjednica parlamentarne konferencije o WTO-u i njegovu upravljačkom odboru.</w:t>
      </w:r>
    </w:p>
    <w:p w:rsidR="002D1DA9" w:rsidRPr="00DD76C8" w:rsidRDefault="002D1DA9" w:rsidP="00FD2C57">
      <w:pPr>
        <w:widowControl/>
        <w:numPr>
          <w:ilvl w:val="0"/>
          <w:numId w:val="17"/>
        </w:numPr>
        <w:spacing w:before="60" w:after="60"/>
        <w:ind w:left="0" w:firstLine="0"/>
        <w:jc w:val="both"/>
        <w:rPr>
          <w:rFonts w:cs="Arial"/>
          <w:bCs/>
          <w:kern w:val="32"/>
          <w:szCs w:val="24"/>
        </w:rPr>
      </w:pPr>
      <w:r w:rsidRPr="00DD76C8">
        <w:t>organizacijom izaslanstava pri Zajedničkoj parlamentarnoj skupštini AKP-a i EU-a, Parlamentarne skupštine Eurolat, Parlamentarne skupštine Euronest te njihovih tijela,</w:t>
      </w:r>
    </w:p>
    <w:p w:rsidR="002D1DA9" w:rsidRPr="00DD76C8" w:rsidRDefault="002D1DA9" w:rsidP="00FD2C57">
      <w:pPr>
        <w:widowControl/>
        <w:numPr>
          <w:ilvl w:val="0"/>
          <w:numId w:val="17"/>
        </w:numPr>
        <w:spacing w:before="60" w:after="60"/>
        <w:ind w:left="0" w:firstLine="0"/>
        <w:jc w:val="both"/>
        <w:rPr>
          <w:rFonts w:cs="Arial"/>
          <w:bCs/>
          <w:kern w:val="32"/>
          <w:szCs w:val="24"/>
        </w:rPr>
      </w:pPr>
      <w:r w:rsidRPr="00DD76C8">
        <w:t>organizacijom Parlamentarne skupštine Unije za Mediteran (PSUzM), njezinih odbora i predsjedništva; ovi troškovi uključuju doprinos Europskog parlamenta proračunu samostalnog tajništva PSUzM-a ili izravno pokrivanje troškova u iznosu doprinosa Europskog parlamenta proračunu PSUzM-a,</w:t>
      </w:r>
    </w:p>
    <w:p w:rsidR="002D1DA9" w:rsidRPr="00DD76C8" w:rsidRDefault="002D1DA9" w:rsidP="00FD2C57">
      <w:pPr>
        <w:widowControl/>
        <w:numPr>
          <w:ilvl w:val="0"/>
          <w:numId w:val="17"/>
        </w:numPr>
        <w:spacing w:before="60" w:after="60"/>
        <w:ind w:left="0" w:firstLine="0"/>
        <w:jc w:val="both"/>
        <w:rPr>
          <w:rFonts w:cs="Arial"/>
          <w:bCs/>
          <w:kern w:val="32"/>
          <w:szCs w:val="24"/>
        </w:rPr>
      </w:pPr>
      <w:r w:rsidRPr="00DD76C8">
        <w:t>doprinosima za međunarodne organizacije kojima Europski parlament ili jedno od njegovih tijela pripada (Interparlamentarna unija, Udruženje glavnih tajnika parlamenata, Skupina 12+ Interparlamentarne unije),</w:t>
      </w:r>
    </w:p>
    <w:p w:rsidR="002D1DA9" w:rsidRPr="00DD76C8" w:rsidRDefault="002D1DA9" w:rsidP="00FD2C57">
      <w:pPr>
        <w:widowControl/>
        <w:numPr>
          <w:ilvl w:val="0"/>
          <w:numId w:val="17"/>
        </w:numPr>
        <w:spacing w:before="60" w:after="60"/>
        <w:ind w:left="0" w:firstLine="0"/>
        <w:jc w:val="both"/>
        <w:rPr>
          <w:rFonts w:cs="Arial"/>
          <w:bCs/>
          <w:kern w:val="32"/>
          <w:szCs w:val="24"/>
        </w:rPr>
      </w:pPr>
      <w:r w:rsidRPr="00DD76C8">
        <w:t xml:space="preserve">na osnovi sporazuma o usluzi koji su potpisali Europski parlament i Komisija, povratom troškova Komisiji za udio Europskog parlamenta u troškovima izrade propusnica EU-a (oprema, osoblje i roba), u skladu s Protokolom o povlasticama i imunitetima (članak 6.), člankom 23. Pravilnika o osoblju za dužnosnike Europske unije, člancima 11. i 81. Uvjeta zaposlenja ostalih službenika Europske unije i Uredbom Vijeća (EU) br. 1417/2013 od 17. prosinca 2013 o utvrđivanju obrasca za propusnicu koju izdaje Europska unija (SL L 353, 28.12.2013., str. 26.). </w:t>
      </w:r>
    </w:p>
    <w:p w:rsidR="002D1DA9" w:rsidRPr="00DD76C8" w:rsidRDefault="002D1DA9" w:rsidP="00FD2C57">
      <w:pPr>
        <w:widowControl/>
        <w:jc w:val="both"/>
        <w:rPr>
          <w:rFonts w:cs="Arial"/>
          <w:bCs/>
          <w:kern w:val="32"/>
          <w:szCs w:val="24"/>
        </w:rPr>
      </w:pPr>
      <w:r w:rsidRPr="00DD76C8">
        <w:t>Namjenski prihodi u skladu s člankom 21. stavkom 3. Financijske uredbe procjenjuju se na 5 000 EUR.</w:t>
      </w:r>
    </w:p>
    <w:p w:rsidR="002D1DA9" w:rsidRPr="00DD76C8" w:rsidRDefault="002D1DA9" w:rsidP="00FD2C57">
      <w:pPr>
        <w:widowControl/>
        <w:autoSpaceDE w:val="0"/>
        <w:autoSpaceDN w:val="0"/>
        <w:spacing w:before="480" w:after="120"/>
        <w:outlineLvl w:val="4"/>
        <w:rPr>
          <w:sz w:val="22"/>
          <w:szCs w:val="22"/>
        </w:rPr>
      </w:pPr>
      <w:r w:rsidRPr="00DD76C8">
        <w:rPr>
          <w:sz w:val="22"/>
        </w:rPr>
        <w:t>Stavka 3 0 4 9 — Troškovi usluga putničke agencije</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Odobrena sredstva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2 230 000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2 160 000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2 040 000,00</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widowControl/>
        <w:jc w:val="both"/>
        <w:rPr>
          <w:rFonts w:cs="Arial"/>
          <w:bCs/>
          <w:kern w:val="32"/>
          <w:szCs w:val="24"/>
        </w:rPr>
      </w:pPr>
      <w:r w:rsidRPr="00DD76C8">
        <w:t xml:space="preserve">Ova sredstva namijenjena su za pokrivanje izdataka za rad putničke agencije koja ima ugovor s Europskim parlamentom. </w:t>
      </w:r>
    </w:p>
    <w:p w:rsidR="002D1DA9" w:rsidRPr="00DD76C8" w:rsidRDefault="002D1DA9" w:rsidP="00FD2C57">
      <w:pPr>
        <w:widowControl/>
        <w:jc w:val="both"/>
        <w:rPr>
          <w:rFonts w:cs="Arial"/>
          <w:bCs/>
          <w:kern w:val="32"/>
          <w:szCs w:val="24"/>
        </w:rPr>
      </w:pPr>
      <w:r w:rsidRPr="00DD76C8">
        <w:t>Iznos namjenskih prihoda u skladu s člankom 21. stavkom 3. Financijske uredbe procjenjuje se na 100 000 EUR.</w:t>
      </w:r>
    </w:p>
    <w:p w:rsidR="002D1DA9" w:rsidRPr="00DD76C8" w:rsidRDefault="002D1DA9" w:rsidP="00FD2C57">
      <w:pPr>
        <w:widowControl/>
        <w:autoSpaceDE w:val="0"/>
        <w:autoSpaceDN w:val="0"/>
        <w:spacing w:before="480" w:after="120"/>
        <w:outlineLvl w:val="2"/>
        <w:rPr>
          <w:b/>
          <w:bCs/>
          <w:smallCaps/>
          <w:sz w:val="28"/>
          <w:szCs w:val="28"/>
        </w:rPr>
      </w:pPr>
      <w:r w:rsidRPr="00DD76C8">
        <w:rPr>
          <w:b/>
          <w:smallCaps/>
          <w:sz w:val="28"/>
        </w:rPr>
        <w:t>Poglavlje 3 2 — Stručna mišljenja i informacije: pribavljanje, arhiviranje, proizvodnja i distribucija</w:t>
      </w:r>
    </w:p>
    <w:p w:rsidR="002D1DA9" w:rsidRPr="00DD76C8" w:rsidRDefault="002D1DA9" w:rsidP="00FD2C57">
      <w:pPr>
        <w:widowControl/>
        <w:autoSpaceDE w:val="0"/>
        <w:autoSpaceDN w:val="0"/>
        <w:spacing w:before="480" w:after="120"/>
        <w:outlineLvl w:val="3"/>
        <w:rPr>
          <w:b/>
          <w:bCs/>
          <w:i/>
          <w:iCs/>
          <w:szCs w:val="24"/>
        </w:rPr>
      </w:pPr>
      <w:r w:rsidRPr="00DD76C8">
        <w:rPr>
          <w:b/>
          <w:i/>
        </w:rPr>
        <w:t>Članak 3 2 0 — Pribavljanje stručnog mišljenja</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Odobrena sredstva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9 200 350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9 211 500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6 461 534,48</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keepNext/>
        <w:widowControl/>
        <w:jc w:val="both"/>
        <w:rPr>
          <w:rFonts w:cs="Arial"/>
          <w:bCs/>
          <w:kern w:val="32"/>
          <w:szCs w:val="24"/>
        </w:rPr>
      </w:pPr>
      <w:r w:rsidRPr="00DD76C8">
        <w:t>Ova sredstva namijenjena su za pokrivanje:</w:t>
      </w:r>
    </w:p>
    <w:p w:rsidR="002D1DA9" w:rsidRPr="00DD76C8" w:rsidRDefault="002D1DA9" w:rsidP="00FD2C57">
      <w:pPr>
        <w:widowControl/>
        <w:numPr>
          <w:ilvl w:val="0"/>
          <w:numId w:val="18"/>
        </w:numPr>
        <w:spacing w:before="60" w:after="60"/>
        <w:ind w:left="0" w:firstLine="0"/>
        <w:jc w:val="both"/>
        <w:rPr>
          <w:rFonts w:cs="Arial"/>
          <w:bCs/>
          <w:kern w:val="32"/>
          <w:szCs w:val="24"/>
        </w:rPr>
      </w:pPr>
      <w:r w:rsidRPr="00DD76C8">
        <w:t xml:space="preserve">troškova ugovora s kvalificiranim stručnjacima i istraživačkim institutima zbog studija i drugih istraživačkih aktivnosti (radionice, okrugli stolovi, stručne skupine ili saslušanja stručnjaka, konferencije) koje se provode za tijela Europskog parlamenta, parlamentarne odbore i administraciju, </w:t>
      </w:r>
    </w:p>
    <w:p w:rsidR="002D1DA9" w:rsidRPr="00DD76C8" w:rsidRDefault="002D1DA9" w:rsidP="00FD2C57">
      <w:pPr>
        <w:widowControl/>
        <w:numPr>
          <w:ilvl w:val="0"/>
          <w:numId w:val="18"/>
        </w:numPr>
        <w:spacing w:before="60" w:after="60"/>
        <w:ind w:left="0" w:firstLine="0"/>
        <w:jc w:val="both"/>
        <w:rPr>
          <w:rFonts w:cs="Arial"/>
          <w:bCs/>
          <w:kern w:val="32"/>
          <w:szCs w:val="24"/>
        </w:rPr>
      </w:pPr>
      <w:r w:rsidRPr="00DD76C8">
        <w:t>kupnje ili unajmljivanja specijaliziranih izvora informacija kao što su specijalizirane baze podataka, literatura na zadanu temu ili tehnička potpora, kad je to potrebno da se dopune spomenuti ugovori s kvalificiranim stručnjacima,</w:t>
      </w:r>
    </w:p>
    <w:p w:rsidR="002D1DA9" w:rsidRPr="00DD76C8" w:rsidRDefault="002D1DA9" w:rsidP="00FD2C57">
      <w:pPr>
        <w:widowControl/>
        <w:numPr>
          <w:ilvl w:val="0"/>
          <w:numId w:val="18"/>
        </w:numPr>
        <w:spacing w:before="60" w:after="60"/>
        <w:ind w:left="0" w:firstLine="0"/>
        <w:jc w:val="both"/>
        <w:rPr>
          <w:rFonts w:cs="Arial"/>
          <w:bCs/>
          <w:kern w:val="32"/>
          <w:szCs w:val="24"/>
        </w:rPr>
      </w:pPr>
      <w:r w:rsidRPr="00DD76C8">
        <w:t>putnih troškova, dodatnih troškova i troškova smještaja stručnjaka i drugih osoba, uključujući osobe koje su Europskom parlamentu podnijele predstavku, koje su pozvane na sjednice odbora, izaslanstava te studijskih i radnih skupina te radionica,</w:t>
      </w:r>
    </w:p>
    <w:p w:rsidR="002D1DA9" w:rsidRPr="00DD76C8" w:rsidRDefault="002D1DA9" w:rsidP="00FD2C57">
      <w:pPr>
        <w:widowControl/>
        <w:numPr>
          <w:ilvl w:val="0"/>
          <w:numId w:val="18"/>
        </w:numPr>
        <w:spacing w:before="60" w:after="60"/>
        <w:ind w:left="0" w:firstLine="0"/>
        <w:jc w:val="both"/>
        <w:rPr>
          <w:rFonts w:cs="Arial"/>
          <w:bCs/>
          <w:kern w:val="32"/>
          <w:szCs w:val="24"/>
        </w:rPr>
      </w:pPr>
      <w:r w:rsidRPr="00DD76C8">
        <w:t>troškova distribucije proizvoda unutarnjeg ili vanjskog parlamentarnog istraživanja i ostalih relevantnih proizvoda, u korist institucije i javnosti (posebno objavama na internetu, u unutarnjim bazama podataka, brošurama i publikacijama),</w:t>
      </w:r>
    </w:p>
    <w:p w:rsidR="002D1DA9" w:rsidRPr="00DD76C8" w:rsidRDefault="002D1DA9" w:rsidP="00FD2C57">
      <w:pPr>
        <w:widowControl/>
        <w:numPr>
          <w:ilvl w:val="0"/>
          <w:numId w:val="18"/>
        </w:numPr>
        <w:spacing w:before="60" w:after="60"/>
        <w:ind w:left="0" w:firstLine="0"/>
        <w:jc w:val="both"/>
        <w:rPr>
          <w:rFonts w:cs="Arial"/>
          <w:bCs/>
          <w:kern w:val="32"/>
          <w:szCs w:val="24"/>
        </w:rPr>
      </w:pPr>
      <w:r w:rsidRPr="00DD76C8">
        <w:t>izdataka vezanih uz pozivanje osoba koje ne pripadaju instituciji na sudjelovanje u radu tijela kao što su disciplinska komisija ili Stručna skupina za financijske nepravilnosti.</w:t>
      </w:r>
    </w:p>
    <w:p w:rsidR="002D1DA9" w:rsidRPr="00DD76C8" w:rsidRDefault="002D1DA9" w:rsidP="00FD2C57">
      <w:pPr>
        <w:widowControl/>
        <w:jc w:val="both"/>
        <w:rPr>
          <w:rFonts w:cs="Arial"/>
          <w:bCs/>
          <w:kern w:val="32"/>
          <w:szCs w:val="24"/>
        </w:rPr>
      </w:pPr>
      <w:r w:rsidRPr="00DD76C8">
        <w:t>Iznos namjenskih prihoda u skladu s člankom 21. stavkom 3. Financijske uredbe procjenjuje se na 64 000 EUR.</w:t>
      </w:r>
    </w:p>
    <w:p w:rsidR="002D1DA9" w:rsidRPr="00DD76C8" w:rsidRDefault="002D1DA9" w:rsidP="00FD2C57">
      <w:pPr>
        <w:widowControl/>
        <w:autoSpaceDE w:val="0"/>
        <w:autoSpaceDN w:val="0"/>
        <w:spacing w:before="480" w:after="120"/>
        <w:outlineLvl w:val="3"/>
        <w:rPr>
          <w:b/>
          <w:bCs/>
          <w:i/>
          <w:iCs/>
          <w:szCs w:val="24"/>
        </w:rPr>
      </w:pPr>
      <w:r w:rsidRPr="00DD76C8">
        <w:rPr>
          <w:b/>
          <w:i/>
        </w:rPr>
        <w:t>Članak 3 2 1 – Rashodi za usluge parlamentarnih istraživanja, uključujući knjižnice i povijesnu arhivu</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Odobrena sredstva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7 603 800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8 314 000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7 273 588,77</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keepNext/>
        <w:widowControl/>
        <w:jc w:val="both"/>
        <w:rPr>
          <w:rFonts w:cs="Arial"/>
          <w:bCs/>
          <w:kern w:val="32"/>
          <w:szCs w:val="24"/>
        </w:rPr>
      </w:pPr>
      <w:r w:rsidRPr="00DD76C8">
        <w:t>Ta odobrena sredstva namijenjena su za rashode u vezi s aktivnostima Glavne uprave za usluge parlamentarnih istraživanja, posebno:</w:t>
      </w:r>
    </w:p>
    <w:p w:rsidR="002D1DA9" w:rsidRPr="00DD76C8" w:rsidRDefault="002D1DA9" w:rsidP="00FD2C57">
      <w:pPr>
        <w:widowControl/>
        <w:numPr>
          <w:ilvl w:val="0"/>
          <w:numId w:val="19"/>
        </w:numPr>
        <w:spacing w:before="60" w:after="60"/>
        <w:ind w:left="0" w:firstLine="0"/>
        <w:jc w:val="both"/>
        <w:rPr>
          <w:rFonts w:cs="Arial"/>
          <w:bCs/>
          <w:kern w:val="32"/>
          <w:szCs w:val="24"/>
        </w:rPr>
      </w:pPr>
      <w:r w:rsidRPr="00DD76C8">
        <w:t>pribavljanje posebnog stručnog mišljenja i potpore za istraživačke aktivnosti Europskog parlamenta (uključujući članke, studije, radionice, okrugle stolove, stručne skupine i konferencije) koje se po potrebi mogu organizirati u partnerstvu s drugim institucijama, međunarodnim organizacijama, istraživačkim odjelima i knjižnicama nacionalnih parlamenata, trustovima mozgova, istraživačkim tijelima i ostalim kvalificiranim stručnjacima,</w:t>
      </w:r>
    </w:p>
    <w:p w:rsidR="002D1DA9" w:rsidRPr="00DD76C8" w:rsidRDefault="002D1DA9" w:rsidP="00FD2C57">
      <w:pPr>
        <w:widowControl/>
        <w:numPr>
          <w:ilvl w:val="0"/>
          <w:numId w:val="19"/>
        </w:numPr>
        <w:spacing w:before="60" w:after="60"/>
        <w:ind w:left="0" w:firstLine="0"/>
        <w:jc w:val="both"/>
        <w:rPr>
          <w:rFonts w:cs="Arial"/>
          <w:bCs/>
          <w:kern w:val="32"/>
          <w:szCs w:val="24"/>
        </w:rPr>
      </w:pPr>
      <w:r w:rsidRPr="00DD76C8">
        <w:t>pribavljanje posebnog stručnog mišljenja na području proučavanja ex ante i ex post utjecaja/ocjenjivanja, europske dodane vrijednosti i ocjenjivanja znanstvenih i tehnoloških odabira (STOA),</w:t>
      </w:r>
    </w:p>
    <w:p w:rsidR="002D1DA9" w:rsidRPr="00DD76C8" w:rsidRDefault="002D1DA9" w:rsidP="00FD2C57">
      <w:pPr>
        <w:widowControl/>
        <w:numPr>
          <w:ilvl w:val="0"/>
          <w:numId w:val="19"/>
        </w:numPr>
        <w:spacing w:before="60" w:after="60"/>
        <w:ind w:left="0" w:firstLine="0"/>
        <w:jc w:val="both"/>
        <w:rPr>
          <w:rFonts w:cs="Arial"/>
          <w:bCs/>
          <w:kern w:val="32"/>
          <w:szCs w:val="24"/>
        </w:rPr>
      </w:pPr>
      <w:r w:rsidRPr="00DD76C8">
        <w:t>nabavu ili posuđivanje knjiga, časopisa, novina, bazi podataka, proizvoda novinskih agencija i svih ostalih informativnih medija namijenjenih knjižnici u različitim formatima, uključujući troškove zaštite autorskih prava, sustava upravljanja kvalitetom, materijala i rada uloženih u ponovno uvezivanje i čuvanje te ostalih povezanih usluga,</w:t>
      </w:r>
    </w:p>
    <w:p w:rsidR="002D1DA9" w:rsidRPr="00DD76C8" w:rsidRDefault="002D1DA9" w:rsidP="00FD2C57">
      <w:pPr>
        <w:widowControl/>
        <w:numPr>
          <w:ilvl w:val="0"/>
          <w:numId w:val="19"/>
        </w:numPr>
        <w:spacing w:before="60" w:after="60"/>
        <w:ind w:left="0" w:firstLine="0"/>
        <w:jc w:val="both"/>
        <w:rPr>
          <w:rFonts w:cs="Arial"/>
          <w:bCs/>
          <w:kern w:val="32"/>
          <w:szCs w:val="24"/>
        </w:rPr>
      </w:pPr>
      <w:r w:rsidRPr="00DD76C8">
        <w:t>trošak vanjskih usluga arhiviranja (organizacije, odabira, opisa, prenošenja na različite medije i dematerijalizaciju, nabavljanje primarnih arhivskih izvora),</w:t>
      </w:r>
    </w:p>
    <w:p w:rsidR="002D1DA9" w:rsidRPr="00DD76C8" w:rsidRDefault="002D1DA9" w:rsidP="00FD2C57">
      <w:pPr>
        <w:widowControl/>
        <w:numPr>
          <w:ilvl w:val="0"/>
          <w:numId w:val="19"/>
        </w:numPr>
        <w:spacing w:before="60" w:after="60"/>
        <w:ind w:left="0" w:firstLine="0"/>
        <w:jc w:val="both"/>
        <w:rPr>
          <w:rFonts w:cs="Arial"/>
          <w:bCs/>
          <w:kern w:val="32"/>
          <w:szCs w:val="24"/>
        </w:rPr>
      </w:pPr>
      <w:r w:rsidRPr="00DD76C8">
        <w:t>nabavu, razvoj, instalaciju, korištenje i održavanje posebne knjižnične i arhivske dokumentacije i posebnih materijala za medijateku, uključujući električne, elektroničke i računalne materijale i/ili sustave, te materijale za uvezivanje i čuvanje,</w:t>
      </w:r>
    </w:p>
    <w:p w:rsidR="002D1DA9" w:rsidRPr="00DD76C8" w:rsidRDefault="002D1DA9" w:rsidP="00FD2C57">
      <w:pPr>
        <w:widowControl/>
        <w:numPr>
          <w:ilvl w:val="0"/>
          <w:numId w:val="19"/>
        </w:numPr>
        <w:spacing w:before="60" w:after="60"/>
        <w:ind w:left="0" w:firstLine="0"/>
        <w:jc w:val="both"/>
        <w:rPr>
          <w:rFonts w:cs="Arial"/>
          <w:bCs/>
          <w:kern w:val="32"/>
          <w:szCs w:val="24"/>
        </w:rPr>
      </w:pPr>
      <w:r w:rsidRPr="00DD76C8">
        <w:t>troškove promicanja proizvoda unutarnjeg ili vanjskog parlamentarnog istraživanja i ostalih relevantnih proizvoda, u korist institucije i javnosti (posebno objavama na internetu, u unutarnjim bazama podataka, brošurama i u izdanjima),</w:t>
      </w:r>
    </w:p>
    <w:p w:rsidR="002D1DA9" w:rsidRPr="00DD76C8" w:rsidRDefault="002D1DA9" w:rsidP="00FD2C57">
      <w:pPr>
        <w:widowControl/>
        <w:numPr>
          <w:ilvl w:val="0"/>
          <w:numId w:val="19"/>
        </w:numPr>
        <w:spacing w:before="60" w:after="60"/>
        <w:ind w:left="0" w:firstLine="0"/>
        <w:jc w:val="both"/>
        <w:rPr>
          <w:rFonts w:cs="Arial"/>
          <w:bCs/>
          <w:kern w:val="32"/>
          <w:szCs w:val="24"/>
        </w:rPr>
      </w:pPr>
      <w:r w:rsidRPr="00DD76C8">
        <w:t>putne troškove, troškove boravka i dodatne troškove stručnjaka i autora pozvanih da sudjeluju na prezentacijama, seminarima, radionicama i ostalim aktivnostima ove vrste u organizaciji Glavne uprave službe Europskog parlamenta za istraživanja,</w:t>
      </w:r>
    </w:p>
    <w:p w:rsidR="002D1DA9" w:rsidRPr="00DD76C8" w:rsidRDefault="002D1DA9" w:rsidP="00FD2C57">
      <w:pPr>
        <w:widowControl/>
        <w:numPr>
          <w:ilvl w:val="0"/>
          <w:numId w:val="19"/>
        </w:numPr>
        <w:spacing w:before="60" w:after="60"/>
        <w:ind w:left="0" w:firstLine="0"/>
        <w:jc w:val="both"/>
        <w:rPr>
          <w:rFonts w:cs="Arial"/>
          <w:bCs/>
          <w:kern w:val="32"/>
          <w:szCs w:val="24"/>
        </w:rPr>
      </w:pPr>
      <w:r w:rsidRPr="00DD76C8">
        <w:t>sudjelovanje Odjela za ocjenjivanje znanstvenih i tehnoloških odabira (STOA) u aktivnostima europskih i međunarodnih znanstvenih ustanova,</w:t>
      </w:r>
    </w:p>
    <w:p w:rsidR="002D1DA9" w:rsidRPr="00DD76C8" w:rsidRDefault="002D1DA9" w:rsidP="00FD2C57">
      <w:pPr>
        <w:widowControl/>
        <w:numPr>
          <w:ilvl w:val="0"/>
          <w:numId w:val="19"/>
        </w:numPr>
        <w:spacing w:before="60" w:after="60"/>
        <w:ind w:left="0" w:firstLine="0"/>
        <w:jc w:val="both"/>
        <w:rPr>
          <w:rFonts w:cs="Arial"/>
          <w:bCs/>
          <w:kern w:val="32"/>
          <w:szCs w:val="24"/>
        </w:rPr>
      </w:pPr>
      <w:r w:rsidRPr="00DD76C8">
        <w:t>obveze Europskog parlamenta na temelju međunarodnih i/ili međuinstitucionalnih sporazuma o suradnji, uključujući doprinos Parlamenta u financijskim troškovima vezanima uz upravljanje povijesnom arhivom Unije u skladu s Uredbom Vijeća (EEZ, Euratom) br. 354/83.</w:t>
      </w:r>
    </w:p>
    <w:p w:rsidR="002D1DA9" w:rsidRPr="00DD76C8" w:rsidRDefault="002D1DA9" w:rsidP="00FD2C57">
      <w:pPr>
        <w:widowControl/>
        <w:jc w:val="both"/>
        <w:rPr>
          <w:rFonts w:cs="Arial"/>
          <w:bCs/>
          <w:kern w:val="32"/>
          <w:szCs w:val="24"/>
        </w:rPr>
      </w:pPr>
      <w:r w:rsidRPr="00DD76C8">
        <w:t>Iznos namjenskih prihoda u skladu s člankom 21. stavkom 3. Financijske uredbe procjenjuje se na 100 EUR.</w:t>
      </w:r>
    </w:p>
    <w:p w:rsidR="002D1DA9" w:rsidRPr="00DD76C8" w:rsidRDefault="002D1DA9" w:rsidP="00FD2C57">
      <w:pPr>
        <w:widowControl/>
        <w:autoSpaceDE w:val="0"/>
        <w:autoSpaceDN w:val="0"/>
        <w:spacing w:before="120" w:after="120"/>
        <w:rPr>
          <w:i/>
          <w:iCs/>
          <w:sz w:val="20"/>
        </w:rPr>
      </w:pPr>
      <w:r w:rsidRPr="00DD76C8">
        <w:rPr>
          <w:i/>
          <w:sz w:val="20"/>
        </w:rPr>
        <w:t>Pravna osnova</w:t>
      </w:r>
    </w:p>
    <w:p w:rsidR="002D1DA9" w:rsidRPr="00DD76C8" w:rsidRDefault="002D1DA9" w:rsidP="00FD2C57">
      <w:pPr>
        <w:widowControl/>
        <w:jc w:val="both"/>
        <w:rPr>
          <w:rFonts w:cs="Arial"/>
          <w:bCs/>
          <w:kern w:val="32"/>
          <w:szCs w:val="24"/>
        </w:rPr>
      </w:pPr>
      <w:r w:rsidRPr="00DD76C8">
        <w:t>Uredba Vijeća (EEZ, Euratom) br. 354/83 od 1. veljače 1983. o otvaranju povijesne arhive EEZ-a/Euratoma za javnost i naknadne izmjene (SL L 43, 15.12.1983., str. 1.).</w:t>
      </w:r>
    </w:p>
    <w:p w:rsidR="002D1DA9" w:rsidRPr="00DD76C8" w:rsidRDefault="002D1DA9" w:rsidP="00FD2C57">
      <w:pPr>
        <w:widowControl/>
        <w:jc w:val="both"/>
        <w:rPr>
          <w:rFonts w:cs="Arial"/>
          <w:bCs/>
          <w:kern w:val="32"/>
          <w:szCs w:val="24"/>
        </w:rPr>
      </w:pPr>
      <w:r w:rsidRPr="00DD76C8">
        <w:t>Uredba (EZ) br. 1049/2001 Europskog parlamenta i Vijeća od 30. svibnja 2001. o javnom pristupu dokumentima Europskog parlamenta, Vijeća i Komisije (SL L 145, 31.5.2001., str. 43.).</w:t>
      </w:r>
    </w:p>
    <w:p w:rsidR="002D1DA9" w:rsidRPr="00DD76C8" w:rsidRDefault="002D1DA9" w:rsidP="00FD2C57">
      <w:pPr>
        <w:widowControl/>
        <w:jc w:val="both"/>
        <w:rPr>
          <w:rFonts w:cs="Arial"/>
          <w:bCs/>
          <w:kern w:val="32"/>
          <w:szCs w:val="24"/>
        </w:rPr>
      </w:pPr>
      <w:r w:rsidRPr="00DD76C8">
        <w:t>Odluka Predsjedništva od 28. studenoga 2001. o pravilima o javnom pristupu dokumentima Europskog parlamenta, kako je zadnje izmijenjena 22. lipnja 2011. (SL C 216, 22.7.2011., str. 19.).</w:t>
      </w:r>
    </w:p>
    <w:p w:rsidR="002D1DA9" w:rsidRPr="00DD76C8" w:rsidRDefault="002D1DA9" w:rsidP="00FD2C57">
      <w:pPr>
        <w:widowControl/>
        <w:jc w:val="both"/>
        <w:rPr>
          <w:rFonts w:cs="Arial"/>
          <w:bCs/>
          <w:kern w:val="32"/>
          <w:szCs w:val="24"/>
        </w:rPr>
      </w:pPr>
      <w:r w:rsidRPr="00DD76C8">
        <w:t>Odluka Predsjedništva od 16. prosinca 2002. o unapređivanju informiranja i transparentnosti: arhivi Europskog parlamenta, pročišćena verzija od 3. svibnja 2004.</w:t>
      </w:r>
    </w:p>
    <w:p w:rsidR="002D1DA9" w:rsidRPr="00DD76C8" w:rsidRDefault="002D1DA9" w:rsidP="00FD2C57">
      <w:pPr>
        <w:widowControl/>
        <w:jc w:val="both"/>
        <w:rPr>
          <w:rFonts w:cs="Arial"/>
          <w:bCs/>
          <w:kern w:val="32"/>
          <w:szCs w:val="24"/>
        </w:rPr>
      </w:pPr>
      <w:r w:rsidRPr="00DD76C8">
        <w:t>Odluka Predsjedništva od 10. ožujka 2014. o pravilniku o obradi dokumenata zastupnika i bivših zastupnika u Europskom parlamentu.</w:t>
      </w:r>
    </w:p>
    <w:p w:rsidR="002D1DA9" w:rsidRPr="00DD76C8" w:rsidRDefault="002D1DA9" w:rsidP="00FD2C57">
      <w:pPr>
        <w:widowControl/>
        <w:autoSpaceDE w:val="0"/>
        <w:autoSpaceDN w:val="0"/>
        <w:spacing w:before="480" w:after="120"/>
        <w:outlineLvl w:val="3"/>
        <w:rPr>
          <w:b/>
          <w:bCs/>
          <w:i/>
          <w:iCs/>
          <w:szCs w:val="24"/>
        </w:rPr>
      </w:pPr>
      <w:r w:rsidRPr="00DD76C8">
        <w:rPr>
          <w:b/>
          <w:i/>
        </w:rPr>
        <w:t>Članak 3 2 2 — Troškovi dokumentacije</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Odobrena sredstva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2 231 500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2 044 000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1 953 971,90</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keepNext/>
        <w:widowControl/>
        <w:jc w:val="both"/>
        <w:rPr>
          <w:rFonts w:cs="Arial"/>
          <w:bCs/>
          <w:kern w:val="32"/>
          <w:szCs w:val="24"/>
        </w:rPr>
      </w:pPr>
      <w:r w:rsidRPr="00DD76C8">
        <w:t>Ova sredstva namijenjena su za pokrivanje:</w:t>
      </w:r>
    </w:p>
    <w:p w:rsidR="002D1DA9" w:rsidRPr="00DD76C8" w:rsidRDefault="002D1DA9" w:rsidP="00FD2C57">
      <w:pPr>
        <w:widowControl/>
        <w:numPr>
          <w:ilvl w:val="0"/>
          <w:numId w:val="20"/>
        </w:numPr>
        <w:spacing w:before="60" w:after="60"/>
        <w:ind w:left="0" w:firstLine="0"/>
        <w:jc w:val="both"/>
        <w:rPr>
          <w:rFonts w:cs="Arial"/>
          <w:bCs/>
          <w:kern w:val="32"/>
          <w:szCs w:val="24"/>
        </w:rPr>
      </w:pPr>
      <w:r w:rsidRPr="00DD76C8">
        <w:t>pretplata za novine i časopise te novinske agencije, pretplata za njihove internetske publikacije i internetske usluge, uključujući naknade za autorska prava za umnožavanje i distribucija tih pretplata u pisanom i/ili elektroničkom obliku te ugovora o pružanju usluga pregleda vijesti i novinskih izrezaka,</w:t>
      </w:r>
    </w:p>
    <w:p w:rsidR="002D1DA9" w:rsidRPr="00DD76C8" w:rsidRDefault="002D1DA9" w:rsidP="00FD2C57">
      <w:pPr>
        <w:widowControl/>
        <w:numPr>
          <w:ilvl w:val="0"/>
          <w:numId w:val="20"/>
        </w:numPr>
        <w:spacing w:before="60" w:after="60"/>
        <w:ind w:left="0" w:firstLine="0"/>
        <w:jc w:val="both"/>
        <w:rPr>
          <w:rFonts w:cs="Arial"/>
          <w:bCs/>
          <w:kern w:val="32"/>
          <w:szCs w:val="24"/>
        </w:rPr>
      </w:pPr>
      <w:r w:rsidRPr="00DD76C8">
        <w:t>pretplata ili ugovora o pružanju usluga za dostavu pregleda i analize sadržaja časopisa ili pohranjivanje članaka iz časopisa na optičke medije za pohranjivanje podataka,</w:t>
      </w:r>
    </w:p>
    <w:p w:rsidR="002D1DA9" w:rsidRPr="00DD76C8" w:rsidRDefault="002D1DA9" w:rsidP="00FD2C57">
      <w:pPr>
        <w:widowControl/>
        <w:numPr>
          <w:ilvl w:val="0"/>
          <w:numId w:val="20"/>
        </w:numPr>
        <w:spacing w:before="60" w:after="60"/>
        <w:ind w:left="0" w:firstLine="0"/>
        <w:jc w:val="both"/>
        <w:rPr>
          <w:rFonts w:cs="Arial"/>
          <w:bCs/>
          <w:kern w:val="32"/>
          <w:szCs w:val="24"/>
        </w:rPr>
      </w:pPr>
      <w:r w:rsidRPr="00DD76C8">
        <w:t>troškova korištenja vanjskih dokumentarnih i statističkih baza podataka (bez opreme za obradu podataka i troškova telekomunikacija),</w:t>
      </w:r>
    </w:p>
    <w:p w:rsidR="002D1DA9" w:rsidRPr="00DD76C8" w:rsidRDefault="002D1DA9" w:rsidP="00FD2C57">
      <w:pPr>
        <w:widowControl/>
        <w:numPr>
          <w:ilvl w:val="0"/>
          <w:numId w:val="20"/>
        </w:numPr>
        <w:spacing w:before="60" w:after="60"/>
        <w:ind w:left="0" w:firstLine="0"/>
        <w:jc w:val="both"/>
        <w:rPr>
          <w:rFonts w:cs="Arial"/>
          <w:bCs/>
          <w:kern w:val="32"/>
          <w:szCs w:val="24"/>
        </w:rPr>
      </w:pPr>
      <w:r w:rsidRPr="00DD76C8">
        <w:t>kupovine novih rječnika i referentnih djela, odnosno nabave novih izdanja tih djela na svim vrstama medija za pohranjivanje podataka, također za potrebe novih jezičnih odjela te drugih djela namijenjenih jezičnim službama i odjelima za kvalitetu zakonodavnih akata.</w:t>
      </w:r>
    </w:p>
    <w:p w:rsidR="002D1DA9" w:rsidRPr="00DD76C8" w:rsidRDefault="002D1DA9" w:rsidP="00FD2C57">
      <w:pPr>
        <w:widowControl/>
        <w:jc w:val="both"/>
        <w:rPr>
          <w:rFonts w:cs="Arial"/>
          <w:bCs/>
          <w:kern w:val="32"/>
          <w:szCs w:val="24"/>
        </w:rPr>
      </w:pPr>
      <w:r w:rsidRPr="00DD76C8">
        <w:t>Iznos dodijeljenih prihoda u skladu s člankom 21. stavkom 3. Financijske uredbe procjenjuje se na 100 EUR.</w:t>
      </w:r>
    </w:p>
    <w:p w:rsidR="002D1DA9" w:rsidRPr="00DD76C8" w:rsidRDefault="002D1DA9" w:rsidP="00FD2C57">
      <w:pPr>
        <w:widowControl/>
        <w:autoSpaceDE w:val="0"/>
        <w:autoSpaceDN w:val="0"/>
        <w:spacing w:before="480" w:after="120"/>
        <w:outlineLvl w:val="3"/>
        <w:rPr>
          <w:b/>
          <w:bCs/>
          <w:i/>
          <w:iCs/>
          <w:szCs w:val="24"/>
        </w:rPr>
      </w:pPr>
      <w:r w:rsidRPr="00DD76C8">
        <w:rPr>
          <w:b/>
          <w:i/>
        </w:rPr>
        <w:t>Članak 3 2 3 — Podupiranje demokracije i jačanje parlamentarnih sposobnosti parlamenata trećih zemalja</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Odobrena sredstva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1 230 000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1 175 000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667 638,48</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keepNext/>
        <w:widowControl/>
        <w:jc w:val="both"/>
        <w:rPr>
          <w:rFonts w:cs="Arial"/>
          <w:bCs/>
          <w:kern w:val="32"/>
          <w:szCs w:val="24"/>
        </w:rPr>
      </w:pPr>
      <w:r w:rsidRPr="00DD76C8">
        <w:t>Ova sredstva namijenjena su za pokrivanje:</w:t>
      </w:r>
    </w:p>
    <w:p w:rsidR="002D1DA9" w:rsidRPr="00DD76C8" w:rsidRDefault="002D1DA9" w:rsidP="00FD2C57">
      <w:pPr>
        <w:widowControl/>
        <w:numPr>
          <w:ilvl w:val="0"/>
          <w:numId w:val="21"/>
        </w:numPr>
        <w:spacing w:before="60" w:after="60"/>
        <w:ind w:left="0" w:firstLine="0"/>
        <w:jc w:val="both"/>
        <w:rPr>
          <w:rFonts w:cs="Arial"/>
          <w:bCs/>
          <w:kern w:val="32"/>
          <w:szCs w:val="24"/>
        </w:rPr>
      </w:pPr>
      <w:r w:rsidRPr="00DD76C8">
        <w:t>rashoda za programe razmjene informacija i suradnje između Europskog parlamenta i nacionalnih parlamenata zemalja u pretpristupnoj fazi, posebno zapadnog Balkana i Turske,</w:t>
      </w:r>
    </w:p>
    <w:p w:rsidR="002D1DA9" w:rsidRPr="00DD76C8" w:rsidRDefault="002D1DA9" w:rsidP="00FD2C57">
      <w:pPr>
        <w:widowControl/>
        <w:numPr>
          <w:ilvl w:val="0"/>
          <w:numId w:val="21"/>
        </w:numPr>
        <w:spacing w:before="60" w:after="60"/>
        <w:ind w:left="0" w:firstLine="0"/>
        <w:jc w:val="both"/>
        <w:rPr>
          <w:rFonts w:cs="Arial"/>
          <w:bCs/>
          <w:kern w:val="32"/>
          <w:szCs w:val="24"/>
        </w:rPr>
      </w:pPr>
      <w:r w:rsidRPr="00DD76C8">
        <w:t>izdataka za promicanje odnosa Europskog parlamenta s demokratski izabranim nacionalnim parlamentima u trećim zemljama (koje nisu navedene u prethodnoj točci) te s odgovarajućim regionalnim parlamentarnim organizacijama; konkretnije, aktivnosti namijenjenih jačanju parlamentarnih struktura u novim demokracijama i demokracijama u razvoju, posebno u europskom susjedstvu (južnom i istočnom),</w:t>
      </w:r>
    </w:p>
    <w:p w:rsidR="002D1DA9" w:rsidRPr="00DD76C8" w:rsidRDefault="002D1DA9" w:rsidP="00FD2C57">
      <w:pPr>
        <w:widowControl/>
        <w:numPr>
          <w:ilvl w:val="0"/>
          <w:numId w:val="21"/>
        </w:numPr>
        <w:spacing w:before="60" w:after="60"/>
        <w:ind w:left="0" w:firstLine="0"/>
        <w:jc w:val="both"/>
        <w:rPr>
          <w:rFonts w:cs="Arial"/>
          <w:bCs/>
          <w:kern w:val="32"/>
          <w:szCs w:val="24"/>
        </w:rPr>
      </w:pPr>
      <w:r w:rsidRPr="00DD76C8">
        <w:t>rashoda za promicanje aktivnosti potpore posredovanju i programa za mlade političke vođe iz Europske unije i zemalja u širem europskom susjedstvu: Magreb, istočna Europa i Rusija, izraelsko-palestinski dijalog i ostalih prioritetnih zemalja koje je izdvojila  Skupina za potporu demokraciji i koordinaciju izbora,</w:t>
      </w:r>
    </w:p>
    <w:p w:rsidR="002D1DA9" w:rsidRPr="00DD76C8" w:rsidRDefault="002D1DA9" w:rsidP="00FD2C57">
      <w:pPr>
        <w:widowControl/>
        <w:numPr>
          <w:ilvl w:val="0"/>
          <w:numId w:val="21"/>
        </w:numPr>
        <w:spacing w:before="60" w:after="60"/>
        <w:ind w:left="0" w:firstLine="0"/>
        <w:jc w:val="both"/>
        <w:rPr>
          <w:rFonts w:cs="Arial"/>
          <w:bCs/>
          <w:kern w:val="32"/>
          <w:szCs w:val="24"/>
        </w:rPr>
      </w:pPr>
      <w:r w:rsidRPr="00DD76C8">
        <w:t xml:space="preserve">izdataka za organizaciju nagrade Saharov (posebno iznosa nagrade, troškova putovanja i smještaja dobitnika nagrade i ostalih finalista, operativnih troškova mreže Saharov i troškova službenih putovanja članova mreže) te za aktivnosti čiji je cilj promicanje ljudskih prava. </w:t>
      </w:r>
    </w:p>
    <w:p w:rsidR="002D1DA9" w:rsidRPr="00DD76C8" w:rsidRDefault="002D1DA9" w:rsidP="00FD2C57">
      <w:pPr>
        <w:widowControl/>
        <w:jc w:val="both"/>
        <w:rPr>
          <w:rFonts w:cs="Arial"/>
          <w:bCs/>
          <w:kern w:val="32"/>
          <w:szCs w:val="24"/>
        </w:rPr>
      </w:pPr>
      <w:r w:rsidRPr="00DD76C8">
        <w:t>Ove aktivnosti uključuju informativne posjete Europskom parlamentu u Bruxellesu, Luxembourgu ili Strasbourgu, kao i posjete državama članicama i trećim zemljama, a sredstvima se u punom iznosu ili djelomično pokrivaju troškovi sudionika, a posebno putni troškovi i troškovi smještaja te dnevnice.</w:t>
      </w:r>
    </w:p>
    <w:p w:rsidR="002D1DA9" w:rsidRPr="00DD76C8" w:rsidRDefault="002D1DA9" w:rsidP="00FD2C57">
      <w:pPr>
        <w:widowControl/>
        <w:jc w:val="both"/>
        <w:rPr>
          <w:rFonts w:cs="Arial"/>
          <w:bCs/>
          <w:kern w:val="32"/>
          <w:szCs w:val="24"/>
        </w:rPr>
      </w:pPr>
      <w:r w:rsidRPr="00DD76C8">
        <w:t>Iznos dodijeljenih prihoda u skladu s člankom 21. stavkom 3. Financijske uredbe procjenjuje se na 100 EUR.</w:t>
      </w:r>
    </w:p>
    <w:p w:rsidR="002D1DA9" w:rsidRPr="00DD76C8" w:rsidRDefault="002D1DA9" w:rsidP="00FD2C57">
      <w:pPr>
        <w:widowControl/>
        <w:autoSpaceDE w:val="0"/>
        <w:autoSpaceDN w:val="0"/>
        <w:spacing w:before="120" w:after="120"/>
        <w:rPr>
          <w:i/>
          <w:iCs/>
          <w:sz w:val="20"/>
        </w:rPr>
      </w:pPr>
      <w:r w:rsidRPr="00DD76C8">
        <w:rPr>
          <w:i/>
          <w:sz w:val="20"/>
        </w:rPr>
        <w:t>Pravna osnova</w:t>
      </w:r>
    </w:p>
    <w:p w:rsidR="002D1DA9" w:rsidRPr="00DD76C8" w:rsidRDefault="002D1DA9" w:rsidP="00FD2C57">
      <w:pPr>
        <w:widowControl/>
        <w:jc w:val="both"/>
        <w:rPr>
          <w:rFonts w:cs="Arial"/>
          <w:bCs/>
          <w:kern w:val="32"/>
          <w:szCs w:val="24"/>
        </w:rPr>
      </w:pPr>
      <w:r w:rsidRPr="00DD76C8">
        <w:t>Odluka Predsjedništva od 12. prosinca 2011. o osnivanju Uprave za podršku demokraciji unutar Glavne uprave za vanjsku politiku Unije.</w:t>
      </w:r>
    </w:p>
    <w:p w:rsidR="002D1DA9" w:rsidRPr="00DD76C8" w:rsidRDefault="002D1DA9" w:rsidP="00FD2C57">
      <w:pPr>
        <w:widowControl/>
        <w:autoSpaceDE w:val="0"/>
        <w:autoSpaceDN w:val="0"/>
        <w:spacing w:before="480" w:after="120"/>
        <w:outlineLvl w:val="3"/>
        <w:rPr>
          <w:b/>
          <w:bCs/>
          <w:i/>
          <w:iCs/>
          <w:szCs w:val="24"/>
        </w:rPr>
      </w:pPr>
      <w:r w:rsidRPr="00DD76C8">
        <w:rPr>
          <w:b/>
          <w:i/>
        </w:rPr>
        <w:t>Članak 3 2 4 — Produkcija i distribucija</w:t>
      </w:r>
    </w:p>
    <w:p w:rsidR="002D1DA9" w:rsidRPr="00DD76C8" w:rsidRDefault="002D1DA9" w:rsidP="00FD2C57">
      <w:pPr>
        <w:widowControl/>
        <w:autoSpaceDE w:val="0"/>
        <w:autoSpaceDN w:val="0"/>
        <w:spacing w:before="480" w:after="120"/>
        <w:outlineLvl w:val="4"/>
        <w:rPr>
          <w:sz w:val="22"/>
          <w:szCs w:val="22"/>
        </w:rPr>
      </w:pPr>
      <w:r w:rsidRPr="00DD76C8">
        <w:rPr>
          <w:sz w:val="22"/>
        </w:rPr>
        <w:t>Stavka 3 2 4 0 — Službeni list</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Odobrena sredstva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830 000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4 500 000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4 771 838,68</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widowControl/>
        <w:jc w:val="both"/>
        <w:rPr>
          <w:rFonts w:cs="Arial"/>
          <w:bCs/>
          <w:kern w:val="32"/>
          <w:szCs w:val="24"/>
        </w:rPr>
      </w:pPr>
      <w:r w:rsidRPr="00DD76C8">
        <w:t xml:space="preserve">Ovim sredstvima pokriva se udio institucije u troškovima objavljivanja i distribucije te drugim dodatnim troškovima Ureda za publikacije u vezi s tekstovima koji se objavljuju u </w:t>
      </w:r>
      <w:r w:rsidRPr="00DD76C8">
        <w:rPr>
          <w:i/>
          <w:kern w:val="32"/>
        </w:rPr>
        <w:t>Službenom listu Europske unije</w:t>
      </w:r>
      <w:r w:rsidRPr="00DD76C8">
        <w:t>.</w:t>
      </w:r>
    </w:p>
    <w:p w:rsidR="002D1DA9" w:rsidRPr="00DD76C8" w:rsidRDefault="002D1DA9" w:rsidP="00FD2C57">
      <w:pPr>
        <w:widowControl/>
        <w:jc w:val="both"/>
        <w:rPr>
          <w:rFonts w:cs="Arial"/>
          <w:bCs/>
          <w:kern w:val="32"/>
          <w:szCs w:val="24"/>
        </w:rPr>
      </w:pPr>
      <w:r w:rsidRPr="00DD76C8">
        <w:t>Iznos namjenskih prihoda u skladu s člankom 21. stavkom 3. Financijske uredbe procjenjuje se na 5 000 EUR.</w:t>
      </w:r>
    </w:p>
    <w:p w:rsidR="002D1DA9" w:rsidRPr="00DD76C8" w:rsidRDefault="002D1DA9" w:rsidP="00FD2C57">
      <w:pPr>
        <w:widowControl/>
        <w:autoSpaceDE w:val="0"/>
        <w:autoSpaceDN w:val="0"/>
        <w:spacing w:before="480" w:after="120"/>
        <w:outlineLvl w:val="4"/>
        <w:rPr>
          <w:sz w:val="22"/>
          <w:szCs w:val="22"/>
        </w:rPr>
      </w:pPr>
      <w:r w:rsidRPr="00DD76C8">
        <w:rPr>
          <w:sz w:val="22"/>
        </w:rPr>
        <w:t>Stavka 3 2 4 1 — Publikacije u digitalnom i tradicionalnom obliku</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Odobrena sredstva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4 307 640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3 650 000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3 948 122,74</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keepNext/>
        <w:widowControl/>
        <w:jc w:val="both"/>
        <w:rPr>
          <w:rFonts w:cs="Arial"/>
          <w:bCs/>
          <w:kern w:val="32"/>
          <w:szCs w:val="24"/>
        </w:rPr>
      </w:pPr>
      <w:r w:rsidRPr="00DD76C8">
        <w:t>Ova sredstva namijenjena su za pokrivanje:</w:t>
      </w:r>
    </w:p>
    <w:p w:rsidR="002D1DA9" w:rsidRPr="00DD76C8" w:rsidRDefault="002D1DA9" w:rsidP="00FD2C57">
      <w:pPr>
        <w:widowControl/>
        <w:numPr>
          <w:ilvl w:val="0"/>
          <w:numId w:val="22"/>
        </w:numPr>
        <w:spacing w:before="60" w:after="60"/>
        <w:ind w:left="0" w:firstLine="0"/>
        <w:jc w:val="both"/>
        <w:rPr>
          <w:rFonts w:cs="Arial"/>
          <w:bCs/>
          <w:kern w:val="32"/>
          <w:szCs w:val="24"/>
        </w:rPr>
      </w:pPr>
      <w:r w:rsidRPr="00DD76C8">
        <w:t>svih troškova digitalnog objavljivanja (intranetske stranice) te publikacija u tradicionalnom obliku (dokumenti i različiti tiskani materijali čija se izrada povjerava trećim stranama), uključujući distribuciju,</w:t>
      </w:r>
    </w:p>
    <w:p w:rsidR="002D1DA9" w:rsidRPr="00DD76C8" w:rsidRDefault="002D1DA9" w:rsidP="00FD2C57">
      <w:pPr>
        <w:widowControl/>
        <w:numPr>
          <w:ilvl w:val="0"/>
          <w:numId w:val="22"/>
        </w:numPr>
        <w:spacing w:before="60" w:after="60"/>
        <w:ind w:left="0" w:firstLine="0"/>
        <w:jc w:val="both"/>
        <w:rPr>
          <w:rFonts w:cs="Arial"/>
          <w:bCs/>
          <w:kern w:val="32"/>
          <w:szCs w:val="24"/>
        </w:rPr>
      </w:pPr>
      <w:r w:rsidRPr="00DD76C8">
        <w:t>nadogradnje, razvoja i poboljšanja izdavačkih sustava.</w:t>
      </w:r>
    </w:p>
    <w:p w:rsidR="002D1DA9" w:rsidRPr="00DD76C8" w:rsidRDefault="002D1DA9" w:rsidP="00FD2C57">
      <w:pPr>
        <w:widowControl/>
        <w:jc w:val="both"/>
        <w:rPr>
          <w:rFonts w:cs="Arial"/>
          <w:bCs/>
          <w:kern w:val="32"/>
          <w:szCs w:val="24"/>
        </w:rPr>
      </w:pPr>
      <w:r w:rsidRPr="00DD76C8">
        <w:t>Iznos namjenskih prihoda u skladu s člankom 21. stavkom 3. Financijske uredbe procjenjuje se na 100 EUR.</w:t>
      </w:r>
    </w:p>
    <w:p w:rsidR="002D1DA9" w:rsidRPr="00DD76C8" w:rsidRDefault="002D1DA9" w:rsidP="00FD2C57">
      <w:pPr>
        <w:widowControl/>
        <w:autoSpaceDE w:val="0"/>
        <w:autoSpaceDN w:val="0"/>
        <w:spacing w:before="480" w:after="120"/>
        <w:outlineLvl w:val="4"/>
        <w:rPr>
          <w:sz w:val="22"/>
          <w:szCs w:val="22"/>
        </w:rPr>
      </w:pPr>
      <w:r w:rsidRPr="00DD76C8">
        <w:rPr>
          <w:sz w:val="22"/>
        </w:rPr>
        <w:t>Stavka 3 2 4 2 — Objavljivanje, informiranje javnosti i sudjelovanje u javnim događajima</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Odobrena sredstva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25 410 000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10 580 000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16 286 376,98</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widowControl/>
        <w:jc w:val="both"/>
        <w:rPr>
          <w:rFonts w:cs="Arial"/>
          <w:bCs/>
          <w:kern w:val="32"/>
          <w:szCs w:val="24"/>
        </w:rPr>
      </w:pPr>
      <w:r w:rsidRPr="00DD76C8">
        <w:t>Ovim sredstvima pokrivaju se izdatci za informativne publikacije, uključujući elektroničke publikacije, za informativne aktivnosti, odnose s javnošću i sudjelovanje u javnim događajima, izložbama i sajmovima u državama članicama, državama pristupnicama i državama u kojima Europski parlament ima ured za veze te za aktualiziranje Zakonodavnog opservatorija (OEIL), kao i za razvoj alata ili sredstava kojima se njegova dostupnost za javnost preko mobilnih uređaja nastoji povećati i olakšati.</w:t>
      </w:r>
    </w:p>
    <w:p w:rsidR="002D1DA9" w:rsidRPr="00DD76C8" w:rsidRDefault="002D1DA9" w:rsidP="00FD2C57">
      <w:pPr>
        <w:widowControl/>
        <w:jc w:val="both"/>
        <w:rPr>
          <w:rFonts w:cs="Arial"/>
          <w:bCs/>
          <w:kern w:val="32"/>
          <w:szCs w:val="24"/>
        </w:rPr>
      </w:pPr>
      <w:r w:rsidRPr="00DD76C8">
        <w:t>Iznos namjenskih prihoda u skladu s člankom 21. stavkom 3. Financijske uredbe procjenjuje se na 35 000 EUR.</w:t>
      </w:r>
    </w:p>
    <w:p w:rsidR="002D1DA9" w:rsidRPr="00DD76C8" w:rsidRDefault="002D1DA9" w:rsidP="00FD2C57">
      <w:pPr>
        <w:widowControl/>
        <w:autoSpaceDE w:val="0"/>
        <w:autoSpaceDN w:val="0"/>
        <w:spacing w:before="480" w:after="120"/>
        <w:outlineLvl w:val="4"/>
        <w:rPr>
          <w:sz w:val="22"/>
          <w:szCs w:val="22"/>
        </w:rPr>
      </w:pPr>
      <w:r w:rsidRPr="00DD76C8">
        <w:rPr>
          <w:sz w:val="22"/>
        </w:rPr>
        <w:t>Stavka 3 2 4 3 — Parlamentarij ‒ centar za posjetitelje Europskog parlamenta</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Odobrena sredstva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8 400 000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5 742 500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5 748 049,54</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widowControl/>
        <w:jc w:val="both"/>
        <w:rPr>
          <w:rFonts w:cs="Arial"/>
          <w:bCs/>
          <w:kern w:val="32"/>
          <w:szCs w:val="24"/>
        </w:rPr>
      </w:pPr>
      <w:r w:rsidRPr="00DD76C8">
        <w:t>Ovim se sredstvima financira Parlamentarij – centar za posjetitelje Europskog parlamenta u Bruxellesu te instalacije, izložbe i materijali koji su prilagođeni ili umnoženi u svrhu zasebnog korištenja izvan Bruxellesa.</w:t>
      </w:r>
    </w:p>
    <w:p w:rsidR="002D1DA9" w:rsidRPr="00DD76C8" w:rsidRDefault="002D1DA9" w:rsidP="00FD2C57">
      <w:pPr>
        <w:widowControl/>
        <w:jc w:val="both"/>
        <w:rPr>
          <w:rFonts w:cs="Arial"/>
          <w:bCs/>
          <w:kern w:val="32"/>
          <w:szCs w:val="24"/>
        </w:rPr>
      </w:pPr>
      <w:r w:rsidRPr="00DD76C8">
        <w:t>Iznos namjenskih prihoda u skladu s člankom 21. stavkom 3. Financijske uredbe procjenjuje se na 50 000 EUR.</w:t>
      </w:r>
    </w:p>
    <w:p w:rsidR="002D1DA9" w:rsidRPr="00DD76C8" w:rsidRDefault="002D1DA9" w:rsidP="00FD2C57">
      <w:pPr>
        <w:widowControl/>
        <w:autoSpaceDE w:val="0"/>
        <w:autoSpaceDN w:val="0"/>
        <w:spacing w:before="480" w:after="120"/>
        <w:outlineLvl w:val="4"/>
        <w:rPr>
          <w:sz w:val="22"/>
          <w:szCs w:val="22"/>
        </w:rPr>
      </w:pPr>
      <w:r w:rsidRPr="00DD76C8">
        <w:rPr>
          <w:sz w:val="22"/>
        </w:rPr>
        <w:t>Stavka 3 2 4 4 — Organizacija i primanje skupina posjetitelja, program Euroscola i pozivanje osoba s utjecajem na javno mnijenje iz trećih zemalja</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Odobrena sredstva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32 491 000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30 845 000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29 213 247,67</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widowControl/>
        <w:jc w:val="both"/>
        <w:rPr>
          <w:rFonts w:cs="Arial"/>
          <w:bCs/>
          <w:kern w:val="32"/>
          <w:szCs w:val="24"/>
        </w:rPr>
      </w:pPr>
      <w:r w:rsidRPr="00DD76C8">
        <w:t>Ovim sredstvima pokrivaju se izdatci za potpore skupinama posjetitelja te s njima povezane troškove pratnje i infrastrukture i financiranje stažiranja za osobe s utjecajem na javno mnijenje iz trećih zemalja (EUVP) te troškovi izvedbe programa Euroscole, Euromed-Scole i Euronest-Scole. Programi Euromed-Scola i Euronest-Scola održavaju se naizmjence svake godine u prostorima Europskog parlamenta u Strasbourgu ili Bruxellesu, osim u izbornim godinama.</w:t>
      </w:r>
    </w:p>
    <w:p w:rsidR="002D1DA9" w:rsidRPr="00DD76C8" w:rsidRDefault="002D1DA9" w:rsidP="00FD2C57">
      <w:pPr>
        <w:widowControl/>
        <w:jc w:val="both"/>
        <w:rPr>
          <w:rFonts w:cs="Arial"/>
          <w:bCs/>
          <w:kern w:val="32"/>
          <w:szCs w:val="24"/>
        </w:rPr>
      </w:pPr>
      <w:r w:rsidRPr="00DD76C8">
        <w:t xml:space="preserve">Ova se sredstva svake godine povećavaju u skladu s deflatorom u kojemu se uzimaju u obzir promjene bruto nacionalnog dohotka i cijena. </w:t>
      </w:r>
    </w:p>
    <w:p w:rsidR="002D1DA9" w:rsidRPr="00DD76C8" w:rsidRDefault="002D1DA9" w:rsidP="00FD2C57">
      <w:pPr>
        <w:widowControl/>
        <w:jc w:val="both"/>
        <w:rPr>
          <w:rFonts w:cs="Arial"/>
          <w:bCs/>
          <w:kern w:val="32"/>
          <w:szCs w:val="24"/>
        </w:rPr>
      </w:pPr>
      <w:r w:rsidRPr="00DD76C8">
        <w:t>Svaki zastupnik u Europskom parlamentu ima pravo u jednoj kalendarskoj godini pozvati najviše pet skupina i najviše 110 posjetitelja.</w:t>
      </w:r>
    </w:p>
    <w:p w:rsidR="002D1DA9" w:rsidRPr="00DD76C8" w:rsidRDefault="002D1DA9" w:rsidP="00FD2C57">
      <w:pPr>
        <w:widowControl/>
        <w:jc w:val="both"/>
        <w:rPr>
          <w:rFonts w:cs="Arial"/>
          <w:bCs/>
          <w:kern w:val="32"/>
          <w:szCs w:val="24"/>
        </w:rPr>
      </w:pPr>
      <w:r w:rsidRPr="00DD76C8">
        <w:t>Za posjetitelje s invaliditetom predviđen je prikladan iznos.</w:t>
      </w:r>
    </w:p>
    <w:p w:rsidR="002D1DA9" w:rsidRPr="00DD76C8" w:rsidRDefault="002D1DA9" w:rsidP="00FD2C57">
      <w:pPr>
        <w:widowControl/>
        <w:jc w:val="both"/>
        <w:rPr>
          <w:rFonts w:cs="Arial"/>
          <w:bCs/>
          <w:kern w:val="32"/>
          <w:szCs w:val="24"/>
        </w:rPr>
      </w:pPr>
      <w:r w:rsidRPr="00DD76C8">
        <w:t>Iznos namjenskih prihoda u skladu s člankom 21. stavkom 3. Financijske uredbe procjenjuje se na 200 000 EUR.</w:t>
      </w:r>
    </w:p>
    <w:p w:rsidR="002D1DA9" w:rsidRPr="00DD76C8" w:rsidRDefault="002D1DA9" w:rsidP="00FD2C57">
      <w:pPr>
        <w:widowControl/>
        <w:autoSpaceDE w:val="0"/>
        <w:autoSpaceDN w:val="0"/>
        <w:spacing w:before="120" w:after="120"/>
        <w:rPr>
          <w:i/>
          <w:iCs/>
          <w:sz w:val="20"/>
        </w:rPr>
      </w:pPr>
      <w:r w:rsidRPr="00DD76C8">
        <w:rPr>
          <w:i/>
          <w:sz w:val="20"/>
        </w:rPr>
        <w:t>Pravna osnova</w:t>
      </w:r>
    </w:p>
    <w:p w:rsidR="002D1DA9" w:rsidRPr="00DD76C8" w:rsidRDefault="002D1DA9" w:rsidP="00FD2C57">
      <w:pPr>
        <w:widowControl/>
        <w:jc w:val="both"/>
        <w:rPr>
          <w:rFonts w:cs="Arial"/>
          <w:bCs/>
          <w:kern w:val="32"/>
          <w:szCs w:val="24"/>
        </w:rPr>
      </w:pPr>
      <w:r w:rsidRPr="00DD76C8">
        <w:t>Odluka Predsjedništva Europskog parlamenta od 16. prosinca 2002. o pravilima za primanje skupina posjetitelja i o programima Euroscola, Euromed-Scola i Euronest-Scola, kako je zadnje izmijenjena 26. veljače 2013.</w:t>
      </w:r>
    </w:p>
    <w:p w:rsidR="002D1DA9" w:rsidRPr="00DD76C8" w:rsidRDefault="002D1DA9" w:rsidP="00FD2C57">
      <w:pPr>
        <w:widowControl/>
        <w:autoSpaceDE w:val="0"/>
        <w:autoSpaceDN w:val="0"/>
        <w:spacing w:before="480" w:after="120"/>
        <w:outlineLvl w:val="4"/>
        <w:rPr>
          <w:sz w:val="22"/>
          <w:szCs w:val="22"/>
        </w:rPr>
      </w:pPr>
      <w:r w:rsidRPr="00DD76C8">
        <w:rPr>
          <w:sz w:val="22"/>
        </w:rPr>
        <w:t>Stavka 3 2 4 5 — Održavanje seminara, simpozija i kulturnih aktivnosti</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Odobrena sredstva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3 649 100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4 466 000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4 958 082,37</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keepNext/>
        <w:widowControl/>
        <w:jc w:val="both"/>
        <w:rPr>
          <w:rFonts w:cs="Arial"/>
          <w:bCs/>
          <w:kern w:val="32"/>
          <w:szCs w:val="24"/>
        </w:rPr>
      </w:pPr>
      <w:r w:rsidRPr="00DD76C8">
        <w:t>Ova sredstva namijenjena su za pokrivanje:</w:t>
      </w:r>
    </w:p>
    <w:p w:rsidR="002D1DA9" w:rsidRPr="00DD76C8" w:rsidRDefault="002D1DA9" w:rsidP="00FD2C57">
      <w:pPr>
        <w:widowControl/>
        <w:numPr>
          <w:ilvl w:val="0"/>
          <w:numId w:val="23"/>
        </w:numPr>
        <w:spacing w:before="60" w:after="60"/>
        <w:ind w:left="0" w:firstLine="0"/>
        <w:jc w:val="both"/>
        <w:rPr>
          <w:rFonts w:cs="Arial"/>
          <w:bCs/>
          <w:kern w:val="32"/>
          <w:szCs w:val="24"/>
        </w:rPr>
      </w:pPr>
      <w:r w:rsidRPr="00DD76C8">
        <w:t xml:space="preserve">izdataka i subvencija povezanih s organizacijom nacionalnih ili međunarodnih simpozija i seminara te seminara za predvodnike javnog mnijenja iz država članica, država pristupnica i država u kojima Europski parlament ima ured za vezu, troškova organizacije parlamentarnih simpozija i seminara te financiranja kulturnih projekata od europskog interesa, kao što je Nagrada LUX za europsku kinematografiju koju dodjeljuje Europski parlament, </w:t>
      </w:r>
    </w:p>
    <w:p w:rsidR="002D1DA9" w:rsidRPr="00DD76C8" w:rsidRDefault="002D1DA9" w:rsidP="00FD2C57">
      <w:pPr>
        <w:widowControl/>
        <w:numPr>
          <w:ilvl w:val="0"/>
          <w:numId w:val="23"/>
        </w:numPr>
        <w:spacing w:before="60" w:after="60"/>
        <w:ind w:left="0" w:firstLine="0"/>
        <w:jc w:val="both"/>
        <w:rPr>
          <w:rFonts w:cs="Arial"/>
          <w:bCs/>
          <w:kern w:val="32"/>
          <w:szCs w:val="24"/>
        </w:rPr>
      </w:pPr>
      <w:r w:rsidRPr="00DD76C8">
        <w:t>izdataka vezanih uz održavanje posebnih događaja u vijećnicama u Strasbourgu i Bruxellesu u skladu s godišnjim programom koji je prihvatilo Predsjedništvo,</w:t>
      </w:r>
    </w:p>
    <w:p w:rsidR="002D1DA9" w:rsidRPr="00DD76C8" w:rsidRDefault="002D1DA9" w:rsidP="00FD2C57">
      <w:pPr>
        <w:widowControl/>
        <w:numPr>
          <w:ilvl w:val="0"/>
          <w:numId w:val="23"/>
        </w:numPr>
        <w:spacing w:before="60" w:after="60"/>
        <w:ind w:left="0" w:firstLine="0"/>
        <w:jc w:val="both"/>
        <w:rPr>
          <w:rFonts w:cs="Arial"/>
          <w:bCs/>
          <w:kern w:val="32"/>
          <w:szCs w:val="24"/>
        </w:rPr>
      </w:pPr>
      <w:r w:rsidRPr="00DD76C8">
        <w:t>mjera i alata za poticanje višejezičnosti kao što su seminari i konferencije, susreti s nadležnim obrazovnim institucijama za usmeno ili pismeno prevođenje, mjera i aktivnosti podizanja svijesti o višejezičnosti te promicanja zanimanja usmenog ili pismenog prevoditelja uključujući program subvencija za sveučilišta, škole i druge institucije koje organiziraju studije usmenog ili pismenog prevođenja, rješenja kojima se promiče virtualna komunikacija kao i sudjelovanja u sličnim aktivnostima koje se organiziraju u suradnji s drugim partnerima u okviru međuinstitucionalne i međunarodne suradnje,</w:t>
      </w:r>
    </w:p>
    <w:p w:rsidR="002D1DA9" w:rsidRPr="00DD76C8" w:rsidRDefault="002D1DA9" w:rsidP="00FD2C57">
      <w:pPr>
        <w:widowControl/>
        <w:numPr>
          <w:ilvl w:val="0"/>
          <w:numId w:val="23"/>
        </w:numPr>
        <w:spacing w:before="60" w:after="60"/>
        <w:ind w:left="0" w:firstLine="0"/>
        <w:jc w:val="both"/>
        <w:rPr>
          <w:rFonts w:cs="Arial"/>
          <w:bCs/>
          <w:kern w:val="32"/>
          <w:szCs w:val="24"/>
        </w:rPr>
      </w:pPr>
      <w:r w:rsidRPr="00DD76C8">
        <w:t>izdataka vezanih uz organizaciju simpozija i seminara iz područja IKT-a.</w:t>
      </w:r>
    </w:p>
    <w:p w:rsidR="002D1DA9" w:rsidRPr="00DD76C8" w:rsidRDefault="002D1DA9" w:rsidP="00FD2C57">
      <w:pPr>
        <w:widowControl/>
        <w:jc w:val="both"/>
        <w:rPr>
          <w:rFonts w:cs="Arial"/>
          <w:bCs/>
          <w:kern w:val="32"/>
          <w:szCs w:val="24"/>
        </w:rPr>
      </w:pPr>
      <w:r w:rsidRPr="00DD76C8">
        <w:t>Ova odobrena sredstva također pokrivaju trošak organizacije tih aktivnosti, uključujući trošak korištenja uslugama i troškove cateringa te troškove povezane s pozivanjem novinara radi praćenja spomenutih aktivnosti.</w:t>
      </w:r>
    </w:p>
    <w:p w:rsidR="002D1DA9" w:rsidRPr="00DD76C8" w:rsidRDefault="002D1DA9" w:rsidP="00FD2C57">
      <w:pPr>
        <w:widowControl/>
        <w:jc w:val="both"/>
        <w:rPr>
          <w:rFonts w:cs="Arial"/>
          <w:bCs/>
          <w:kern w:val="32"/>
          <w:szCs w:val="24"/>
        </w:rPr>
      </w:pPr>
      <w:r w:rsidRPr="00DD76C8">
        <w:t>Iznos namjenskih prihoda u skladu s člankom 21. stavkom 3. Financijske uredbe procjenjuje se na 25 000 EUR.</w:t>
      </w:r>
    </w:p>
    <w:p w:rsidR="002D1DA9" w:rsidRPr="00DD76C8" w:rsidRDefault="002D1DA9" w:rsidP="00FD2C57">
      <w:pPr>
        <w:widowControl/>
        <w:autoSpaceDE w:val="0"/>
        <w:autoSpaceDN w:val="0"/>
        <w:spacing w:before="480" w:after="120"/>
        <w:outlineLvl w:val="4"/>
        <w:rPr>
          <w:sz w:val="22"/>
          <w:szCs w:val="22"/>
        </w:rPr>
      </w:pPr>
      <w:r w:rsidRPr="00DD76C8">
        <w:rPr>
          <w:sz w:val="22"/>
        </w:rPr>
        <w:t>Stavka 3 2 4 6 —  Komunikacija videozapisom i multimedijska komunikacija Europskog parlamenta</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Odobrena sredstva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4 420 000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4 600 000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4 508 377,59</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widowControl/>
        <w:jc w:val="both"/>
        <w:rPr>
          <w:rFonts w:cs="Arial"/>
          <w:bCs/>
          <w:kern w:val="32"/>
          <w:szCs w:val="24"/>
        </w:rPr>
      </w:pPr>
      <w:r w:rsidRPr="00DD76C8">
        <w:t>Ova sredstva namijenjena su pokrivanju troškova vezanih uz produkciju, distribuciju i čuvanje internetskih snimki i drugog multimedijskog materijala spremnog za emitiranje na poslužitelju Europskog parlamenta, u skladu s komunikacijskom strategijom institucije.</w:t>
      </w:r>
    </w:p>
    <w:p w:rsidR="002D1DA9" w:rsidRPr="00DD76C8" w:rsidRDefault="002D1DA9" w:rsidP="00FD2C57">
      <w:pPr>
        <w:widowControl/>
        <w:jc w:val="both"/>
        <w:rPr>
          <w:rFonts w:cs="Arial"/>
          <w:bCs/>
          <w:kern w:val="32"/>
          <w:szCs w:val="24"/>
        </w:rPr>
      </w:pPr>
      <w:r w:rsidRPr="00DD76C8">
        <w:t>Iznos dodijeljenih prihoda u skladu s člankom 21. stavkom 3. Financijske uredbe procjenjuje se na 100 EUR.</w:t>
      </w:r>
    </w:p>
    <w:p w:rsidR="002D1DA9" w:rsidRPr="00DD76C8" w:rsidRDefault="002D1DA9" w:rsidP="00FD2C57">
      <w:pPr>
        <w:widowControl/>
        <w:autoSpaceDE w:val="0"/>
        <w:autoSpaceDN w:val="0"/>
        <w:spacing w:before="480" w:after="120"/>
        <w:outlineLvl w:val="4"/>
        <w:rPr>
          <w:sz w:val="22"/>
          <w:szCs w:val="22"/>
        </w:rPr>
      </w:pPr>
      <w:r w:rsidRPr="00DD76C8">
        <w:rPr>
          <w:sz w:val="22"/>
        </w:rPr>
        <w:t>Stavka 3 2 4 7 — Kuća europske povijesti</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Odobrena sredstva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6 000 000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7 470 000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4 923 830,38</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widowControl/>
        <w:jc w:val="both"/>
        <w:rPr>
          <w:rFonts w:cs="Arial"/>
          <w:bCs/>
          <w:kern w:val="32"/>
          <w:szCs w:val="24"/>
        </w:rPr>
      </w:pPr>
      <w:r w:rsidRPr="00DD76C8">
        <w:t>Ova sredstva namijenjena su financiranju aktivnosti Doma europske povijesti, na primjer posebnog unutarnjeg uređenja, kupovine zbirki, održavanja izložbi i troškova poslovanja, uključujući troškove kupovine knjiga, časopisa i ostalih publikacija u vezi s djelovanjem Kuće europske povijesti.</w:t>
      </w:r>
    </w:p>
    <w:p w:rsidR="002D1DA9" w:rsidRPr="00DD76C8" w:rsidRDefault="002D1DA9" w:rsidP="00FD2C57">
      <w:pPr>
        <w:widowControl/>
        <w:jc w:val="both"/>
        <w:rPr>
          <w:rFonts w:cs="Arial"/>
          <w:bCs/>
          <w:kern w:val="32"/>
          <w:szCs w:val="24"/>
        </w:rPr>
      </w:pPr>
      <w:r w:rsidRPr="00DD76C8">
        <w:t xml:space="preserve">Također služe za pokrivanje troškova ugovora s kvalificiranim stručnjacima i istraživačkim institutima radi studija i drugih istraživačkih aktivnosti (radionice, okrugli stolovi, skupine stručnjaka, konferencije) koje se provode za Kuću europske povijesti. </w:t>
      </w:r>
    </w:p>
    <w:p w:rsidR="002D1DA9" w:rsidRPr="00DD76C8" w:rsidRDefault="002D1DA9" w:rsidP="00FD2C57">
      <w:pPr>
        <w:widowControl/>
        <w:jc w:val="both"/>
        <w:rPr>
          <w:rFonts w:cs="Arial"/>
          <w:bCs/>
          <w:kern w:val="32"/>
          <w:szCs w:val="24"/>
        </w:rPr>
      </w:pPr>
      <w:r w:rsidRPr="00DD76C8">
        <w:t>Iznos namjenskih prihoda u skladu s člankom 21. stavkom 3. Financijske uredbe procjenjuje se na 3 000 000 EUR.</w:t>
      </w:r>
    </w:p>
    <w:p w:rsidR="002D1DA9" w:rsidRPr="00DD76C8" w:rsidRDefault="002D1DA9" w:rsidP="00FD2C57">
      <w:pPr>
        <w:widowControl/>
        <w:autoSpaceDE w:val="0"/>
        <w:autoSpaceDN w:val="0"/>
        <w:spacing w:before="480" w:after="120"/>
        <w:outlineLvl w:val="4"/>
        <w:rPr>
          <w:sz w:val="22"/>
          <w:szCs w:val="22"/>
        </w:rPr>
      </w:pPr>
      <w:r w:rsidRPr="00DD76C8">
        <w:rPr>
          <w:sz w:val="22"/>
        </w:rPr>
        <w:t>Stavka 3 2 4 8 — Rashodi za audiovizualne informacije</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Odobrena sredstva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17 920 000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14 490 000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15 019 157,40</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keepNext/>
        <w:widowControl/>
        <w:jc w:val="both"/>
        <w:rPr>
          <w:rFonts w:cs="Arial"/>
          <w:bCs/>
          <w:kern w:val="32"/>
          <w:szCs w:val="24"/>
        </w:rPr>
      </w:pPr>
      <w:r w:rsidRPr="00DD76C8">
        <w:t>Ova sredstva namijenjena su za pokrivanje:</w:t>
      </w:r>
    </w:p>
    <w:p w:rsidR="002D1DA9" w:rsidRPr="00DD76C8" w:rsidRDefault="002D1DA9" w:rsidP="00FD2C57">
      <w:pPr>
        <w:widowControl/>
        <w:numPr>
          <w:ilvl w:val="0"/>
          <w:numId w:val="24"/>
        </w:numPr>
        <w:spacing w:before="60" w:after="60"/>
        <w:ind w:left="0" w:firstLine="0"/>
        <w:jc w:val="both"/>
        <w:rPr>
          <w:rFonts w:cs="Arial"/>
          <w:bCs/>
          <w:kern w:val="32"/>
          <w:szCs w:val="24"/>
        </w:rPr>
      </w:pPr>
      <w:r w:rsidRPr="00DD76C8">
        <w:t>administrativnih rashoda na području audiovizualnih medija (vlastita proizvodnja i vanjska podrška, kao što su tehničke usluge za radio i televizijske stanice, produkcija, koprodukcija i distribucija audiovizualnih programa, najam kanala i prenošenje radio i televizijskih programa, daljnje mjere razvoja odnosa institucije s ponuditeljima audio i video sadržaja),</w:t>
      </w:r>
    </w:p>
    <w:p w:rsidR="002D1DA9" w:rsidRPr="00DD76C8" w:rsidRDefault="002D1DA9" w:rsidP="00FD2C57">
      <w:pPr>
        <w:widowControl/>
        <w:numPr>
          <w:ilvl w:val="0"/>
          <w:numId w:val="24"/>
        </w:numPr>
        <w:spacing w:before="60" w:after="60"/>
        <w:ind w:left="0" w:firstLine="0"/>
        <w:jc w:val="both"/>
        <w:rPr>
          <w:rFonts w:cs="Arial"/>
          <w:bCs/>
          <w:kern w:val="32"/>
          <w:szCs w:val="24"/>
        </w:rPr>
      </w:pPr>
      <w:r w:rsidRPr="00DD76C8">
        <w:t>izdataka za izravni internetski prijenos plenarnih sjednica i sjednica parlamentarnih odbora,</w:t>
      </w:r>
    </w:p>
    <w:p w:rsidR="002D1DA9" w:rsidRPr="00DD76C8" w:rsidRDefault="002D1DA9" w:rsidP="00FD2C57">
      <w:pPr>
        <w:widowControl/>
        <w:numPr>
          <w:ilvl w:val="0"/>
          <w:numId w:val="24"/>
        </w:numPr>
        <w:spacing w:before="60" w:after="60"/>
        <w:ind w:left="0" w:firstLine="0"/>
        <w:jc w:val="both"/>
        <w:rPr>
          <w:rFonts w:cs="Arial"/>
          <w:bCs/>
          <w:kern w:val="32"/>
          <w:szCs w:val="24"/>
        </w:rPr>
      </w:pPr>
      <w:r w:rsidRPr="00DD76C8">
        <w:t>osnivanja odgovarajućeg arhiva kako bi mediji i građani uvijek imali pristup tim informacijama.</w:t>
      </w:r>
    </w:p>
    <w:p w:rsidR="002D1DA9" w:rsidRPr="00DD76C8" w:rsidRDefault="002D1DA9" w:rsidP="00FD2C57">
      <w:pPr>
        <w:widowControl/>
        <w:jc w:val="both"/>
        <w:rPr>
          <w:rFonts w:cs="Arial"/>
          <w:bCs/>
          <w:kern w:val="32"/>
          <w:szCs w:val="24"/>
        </w:rPr>
      </w:pPr>
      <w:r w:rsidRPr="00DD76C8">
        <w:t>Namjenski prihodi u skladu s člankom 21. stavkom 3. Financijske uredbe procjenjuju se na 5 000 EUR.</w:t>
      </w:r>
    </w:p>
    <w:p w:rsidR="002D1DA9" w:rsidRPr="00DD76C8" w:rsidRDefault="002D1DA9" w:rsidP="00FD2C57">
      <w:pPr>
        <w:widowControl/>
        <w:autoSpaceDE w:val="0"/>
        <w:autoSpaceDN w:val="0"/>
        <w:spacing w:before="120" w:after="120"/>
        <w:rPr>
          <w:i/>
          <w:iCs/>
          <w:sz w:val="20"/>
        </w:rPr>
      </w:pPr>
      <w:r w:rsidRPr="00DD76C8">
        <w:rPr>
          <w:i/>
          <w:sz w:val="20"/>
        </w:rPr>
        <w:t>Pravna osnova</w:t>
      </w:r>
    </w:p>
    <w:p w:rsidR="002D1DA9" w:rsidRPr="00DD76C8" w:rsidRDefault="002D1DA9" w:rsidP="00FD2C57">
      <w:pPr>
        <w:widowControl/>
        <w:jc w:val="both"/>
        <w:rPr>
          <w:rFonts w:cs="Arial"/>
          <w:bCs/>
          <w:kern w:val="32"/>
          <w:szCs w:val="24"/>
        </w:rPr>
      </w:pPr>
      <w:r w:rsidRPr="00DD76C8">
        <w:t>Rezolucija Europskog parlamenta od 12. ožujka 2002. o smjernicama za proračunski postupak 2003. (SL C 47 E, 27.2.2003., str. 72.).</w:t>
      </w:r>
    </w:p>
    <w:p w:rsidR="002D1DA9" w:rsidRPr="00DD76C8" w:rsidRDefault="002D1DA9" w:rsidP="00FD2C57">
      <w:pPr>
        <w:widowControl/>
        <w:jc w:val="both"/>
        <w:rPr>
          <w:rFonts w:cs="Arial"/>
          <w:bCs/>
          <w:kern w:val="32"/>
          <w:szCs w:val="24"/>
        </w:rPr>
      </w:pPr>
      <w:r w:rsidRPr="00DD76C8">
        <w:t>Rezolucija Europskog parlamenta od 14. svibnja 2002. o procjeni prihoda i rashoda Parlamenta za financijsku godinu 2003. (SL C 180 E, 31.7.2003., str. 150.).</w:t>
      </w:r>
    </w:p>
    <w:p w:rsidR="002D1DA9" w:rsidRPr="00DD76C8" w:rsidRDefault="002D1DA9" w:rsidP="00FD2C57">
      <w:pPr>
        <w:widowControl/>
        <w:jc w:val="both"/>
        <w:rPr>
          <w:rFonts w:cs="Arial"/>
          <w:bCs/>
          <w:kern w:val="32"/>
          <w:szCs w:val="24"/>
        </w:rPr>
      </w:pPr>
      <w:r w:rsidRPr="00DD76C8">
        <w:t>Rezolucija Europskog parlamenta od 14. svibnja 2003. o procjeni prihoda i rashoda Europskog parlamenta za financijsku godinu 2004. (SL C 67 E, 17.3.2004., str. 179.).</w:t>
      </w:r>
    </w:p>
    <w:p w:rsidR="002D1DA9" w:rsidRPr="00DD76C8" w:rsidRDefault="002D1DA9" w:rsidP="00FD2C57">
      <w:pPr>
        <w:widowControl/>
        <w:autoSpaceDE w:val="0"/>
        <w:autoSpaceDN w:val="0"/>
        <w:spacing w:before="480" w:after="120"/>
        <w:outlineLvl w:val="4"/>
        <w:rPr>
          <w:sz w:val="22"/>
          <w:szCs w:val="22"/>
        </w:rPr>
      </w:pPr>
      <w:r w:rsidRPr="00DD76C8">
        <w:rPr>
          <w:sz w:val="22"/>
        </w:rPr>
        <w:t>Stavka 3 2 4 9 — Razmjena informacija s nacionalnim parlamentima</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Odobrena sredstva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205 000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250 000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111 423,44</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keepNext/>
        <w:widowControl/>
        <w:jc w:val="both"/>
        <w:rPr>
          <w:rFonts w:cs="Arial"/>
          <w:bCs/>
          <w:kern w:val="32"/>
          <w:szCs w:val="24"/>
        </w:rPr>
      </w:pPr>
      <w:r w:rsidRPr="00DD76C8">
        <w:t>Ova sredstva namijenjena su za pokrivanje:</w:t>
      </w:r>
    </w:p>
    <w:p w:rsidR="002D1DA9" w:rsidRPr="00DD76C8" w:rsidRDefault="002D1DA9" w:rsidP="00FD2C57">
      <w:pPr>
        <w:widowControl/>
        <w:numPr>
          <w:ilvl w:val="0"/>
          <w:numId w:val="25"/>
        </w:numPr>
        <w:spacing w:before="60" w:after="60"/>
        <w:ind w:left="0" w:firstLine="0"/>
        <w:jc w:val="both"/>
        <w:rPr>
          <w:rFonts w:cs="Arial"/>
          <w:bCs/>
          <w:kern w:val="32"/>
          <w:szCs w:val="24"/>
        </w:rPr>
      </w:pPr>
      <w:r w:rsidRPr="00DD76C8">
        <w:t>izdataka za unapređivanje odnosa Europskog parlamenta i nacionalnih parlamenata. Odnose se na parlamentarne odnose koji nisu obuhvaćeni poglavljima 1 0 i 3 0, razmjenu informacija i dokumentacije te podršku pri analizi tih informacija i upravljanju njima, uključujući razmjenu s Europskim centrom za parlamentarna istraživanja i dokumentaciju (ECPRD),</w:t>
      </w:r>
    </w:p>
    <w:p w:rsidR="002D1DA9" w:rsidRPr="00DD76C8" w:rsidRDefault="002D1DA9" w:rsidP="00FD2C57">
      <w:pPr>
        <w:widowControl/>
        <w:numPr>
          <w:ilvl w:val="0"/>
          <w:numId w:val="25"/>
        </w:numPr>
        <w:spacing w:before="60" w:after="60"/>
        <w:ind w:left="0" w:firstLine="0"/>
        <w:jc w:val="both"/>
        <w:rPr>
          <w:rFonts w:cs="Arial"/>
          <w:bCs/>
          <w:kern w:val="32"/>
          <w:szCs w:val="24"/>
        </w:rPr>
      </w:pPr>
      <w:r w:rsidRPr="00DD76C8">
        <w:t>financiranja programa suradnje te mjera za usavršavanje dužnosnika prethodno navedenih parlamenata i općenito aktivnosti za jačanje njihovih parlamentarnih struktura.</w:t>
      </w:r>
    </w:p>
    <w:p w:rsidR="002D1DA9" w:rsidRPr="00DD76C8" w:rsidRDefault="002D1DA9" w:rsidP="00FD2C57">
      <w:pPr>
        <w:keepNext/>
        <w:widowControl/>
        <w:jc w:val="both"/>
        <w:rPr>
          <w:rFonts w:cs="Arial"/>
          <w:bCs/>
          <w:kern w:val="32"/>
          <w:szCs w:val="24"/>
        </w:rPr>
      </w:pPr>
      <w:r w:rsidRPr="00DD76C8">
        <w:t>Te mjere obuhvaćaju informacijske posjete Europskom parlamentu u Bruxellesu, Luxembourgu i Strasbourgu. Sredstvima se u punom iznosu ili djelomično pokrivaju troškovi sudionika, a posebno putni troškovi i troškovi smještaja te dnevnice,</w:t>
      </w:r>
    </w:p>
    <w:p w:rsidR="002D1DA9" w:rsidRPr="00DD76C8" w:rsidRDefault="002D1DA9" w:rsidP="00FD2C57">
      <w:pPr>
        <w:widowControl/>
        <w:numPr>
          <w:ilvl w:val="0"/>
          <w:numId w:val="26"/>
        </w:numPr>
        <w:spacing w:before="60" w:after="60"/>
        <w:ind w:left="0" w:firstLine="0"/>
        <w:jc w:val="both"/>
        <w:rPr>
          <w:rFonts w:cs="Arial"/>
          <w:bCs/>
          <w:kern w:val="32"/>
          <w:szCs w:val="24"/>
        </w:rPr>
      </w:pPr>
      <w:r w:rsidRPr="00DD76C8">
        <w:t>mjera suradnje, a posebno mjera povezanih sa zakonodavnom djelatnošću, te mjera povezanih s dokumentiranjem, analizom i informacijama te osiguravanjem domene www.ipex.eu, između ostalog mjera ECPRD-a.</w:t>
      </w:r>
    </w:p>
    <w:p w:rsidR="002D1DA9" w:rsidRPr="00DD76C8" w:rsidRDefault="002D1DA9" w:rsidP="00FD2C57">
      <w:pPr>
        <w:widowControl/>
        <w:jc w:val="both"/>
        <w:rPr>
          <w:rFonts w:cs="Arial"/>
          <w:bCs/>
          <w:kern w:val="32"/>
          <w:szCs w:val="24"/>
        </w:rPr>
      </w:pPr>
      <w:r w:rsidRPr="00DD76C8">
        <w:t>Ova odobrena sredstva namijenjena su financiranju suradnje između Europskog parlamenta i nacionalnih parlamenata u sklopu parlamentarnog nadzora ZVSP-a/ZSOP-a u skladu s Ugovorom o Europskoj uniji i Ugovorom o funkcioniranju Europske unije, a posebno člancima 9. i 10. Protokola br. 1 o ulozi nacionalnih parlamenata u Europskoj uniji.</w:t>
      </w:r>
    </w:p>
    <w:p w:rsidR="002D1DA9" w:rsidRPr="00DD76C8" w:rsidRDefault="002D1DA9" w:rsidP="00FD2C57">
      <w:pPr>
        <w:widowControl/>
        <w:jc w:val="both"/>
        <w:rPr>
          <w:rFonts w:cs="Arial"/>
          <w:bCs/>
          <w:kern w:val="32"/>
          <w:szCs w:val="24"/>
        </w:rPr>
      </w:pPr>
      <w:r w:rsidRPr="00DD76C8">
        <w:t>Iznos dodijeljenih prihoda u skladu s člankom 21. stavkom 3. Financijske uredbe procjenjuje se na 100 EUR.</w:t>
      </w:r>
    </w:p>
    <w:p w:rsidR="002D1DA9" w:rsidRPr="00DD76C8" w:rsidRDefault="002D1DA9" w:rsidP="00FD2C57">
      <w:pPr>
        <w:widowControl/>
        <w:autoSpaceDE w:val="0"/>
        <w:autoSpaceDN w:val="0"/>
        <w:spacing w:before="120" w:after="120"/>
        <w:rPr>
          <w:i/>
          <w:iCs/>
          <w:sz w:val="20"/>
        </w:rPr>
      </w:pPr>
      <w:r w:rsidRPr="00DD76C8">
        <w:rPr>
          <w:i/>
          <w:sz w:val="20"/>
        </w:rPr>
        <w:t>Pravna osnova</w:t>
      </w:r>
    </w:p>
    <w:p w:rsidR="002D1DA9" w:rsidRPr="00DD76C8" w:rsidRDefault="002D1DA9" w:rsidP="00FD2C57">
      <w:pPr>
        <w:widowControl/>
        <w:jc w:val="both"/>
        <w:rPr>
          <w:rFonts w:cs="Arial"/>
          <w:bCs/>
          <w:kern w:val="32"/>
          <w:szCs w:val="24"/>
        </w:rPr>
      </w:pPr>
      <w:r w:rsidRPr="00DD76C8">
        <w:t>Konferencija predsjednika europskih parlamentarnih skupština (lipanj 1977.) i parlamenata Europske unije (rujan 2000, ožujak 2001.).</w:t>
      </w:r>
    </w:p>
    <w:p w:rsidR="002D1DA9" w:rsidRPr="00DD76C8" w:rsidRDefault="002D1DA9" w:rsidP="00FD2C57">
      <w:pPr>
        <w:widowControl/>
        <w:autoSpaceDE w:val="0"/>
        <w:autoSpaceDN w:val="0"/>
        <w:spacing w:before="480" w:after="120"/>
        <w:outlineLvl w:val="3"/>
        <w:rPr>
          <w:b/>
          <w:bCs/>
          <w:i/>
          <w:iCs/>
          <w:szCs w:val="24"/>
        </w:rPr>
      </w:pPr>
      <w:r w:rsidRPr="00DD76C8">
        <w:rPr>
          <w:b/>
          <w:i/>
        </w:rPr>
        <w:t>Članak 3 2 5 — Rashodi za informacijske urede</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Odobrena sredstva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7 800 000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900 000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831 104,62</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keepNext/>
        <w:widowControl/>
        <w:jc w:val="both"/>
        <w:rPr>
          <w:rFonts w:cs="Arial"/>
          <w:bCs/>
          <w:kern w:val="32"/>
          <w:szCs w:val="24"/>
        </w:rPr>
      </w:pPr>
      <w:r w:rsidRPr="00DD76C8">
        <w:t>Ovim sredstvima pokrivaju se izdatci informacijskih ureda Europskog parlamenta u državama članicama:</w:t>
      </w:r>
    </w:p>
    <w:p w:rsidR="002D1DA9" w:rsidRPr="00DD76C8" w:rsidRDefault="002D1DA9" w:rsidP="00FD2C57">
      <w:pPr>
        <w:widowControl/>
        <w:numPr>
          <w:ilvl w:val="0"/>
          <w:numId w:val="27"/>
        </w:numPr>
        <w:spacing w:before="60" w:after="60"/>
        <w:ind w:left="0" w:firstLine="0"/>
        <w:jc w:val="both"/>
        <w:rPr>
          <w:rFonts w:cs="Arial"/>
          <w:bCs/>
          <w:kern w:val="32"/>
          <w:szCs w:val="24"/>
        </w:rPr>
      </w:pPr>
      <w:r w:rsidRPr="00DD76C8">
        <w:t>izdatci za komunikacijske i informativne aktivnosti (informiranje i javna događanja; internet – produkcija, promidžba, savjetovanje; seminari; audiovizualna produkcija),</w:t>
      </w:r>
    </w:p>
    <w:p w:rsidR="002D1DA9" w:rsidRPr="00DD76C8" w:rsidRDefault="002D1DA9" w:rsidP="00FD2C57">
      <w:pPr>
        <w:widowControl/>
        <w:numPr>
          <w:ilvl w:val="0"/>
          <w:numId w:val="27"/>
        </w:numPr>
        <w:spacing w:before="60" w:after="60"/>
        <w:ind w:left="0" w:firstLine="0"/>
        <w:jc w:val="both"/>
        <w:rPr>
          <w:rFonts w:cs="Arial"/>
          <w:bCs/>
          <w:kern w:val="32"/>
          <w:szCs w:val="24"/>
        </w:rPr>
      </w:pPr>
      <w:r w:rsidRPr="00DD76C8">
        <w:t>opći troškovi i razni manji izdatci (uredski materijal, telekomunikacije, troškovi poštanskih usluga, manipulativni troškovi, prijevoz, skladištenje, osnovni promidžbeni materijali, baze podataka i pretplate na tiskovine itd.).</w:t>
      </w:r>
    </w:p>
    <w:p w:rsidR="002D1DA9" w:rsidRPr="00DD76C8" w:rsidRDefault="002D1DA9" w:rsidP="00FD2C57">
      <w:pPr>
        <w:widowControl/>
        <w:jc w:val="both"/>
        <w:rPr>
          <w:rFonts w:cs="Arial"/>
          <w:bCs/>
          <w:kern w:val="32"/>
          <w:szCs w:val="24"/>
        </w:rPr>
      </w:pPr>
      <w:r w:rsidRPr="00DD76C8">
        <w:t>Iznos dodijeljenih prihoda u skladu s člankom 21. stavkom 3. Financijske uredbe procjenjuje se na 100 EUR.</w:t>
      </w:r>
    </w:p>
    <w:p w:rsidR="002D1DA9" w:rsidRPr="00DD76C8" w:rsidRDefault="002D1DA9" w:rsidP="00FD2C57">
      <w:pPr>
        <w:widowControl/>
        <w:autoSpaceDE w:val="0"/>
        <w:autoSpaceDN w:val="0"/>
        <w:spacing w:before="480" w:after="120"/>
        <w:outlineLvl w:val="3"/>
        <w:rPr>
          <w:b/>
          <w:bCs/>
          <w:i/>
          <w:iCs/>
          <w:szCs w:val="24"/>
        </w:rPr>
      </w:pPr>
      <w:r w:rsidRPr="00DD76C8">
        <w:rPr>
          <w:b/>
          <w:i/>
        </w:rPr>
        <w:t>Članak 3 2 6 – Europsko medijsko čvorište</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Odobrena sredstva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E54DD6" w:rsidP="00FD2C57">
            <w:pPr>
              <w:widowControl/>
              <w:spacing w:before="30" w:after="30"/>
              <w:jc w:val="right"/>
              <w:rPr>
                <w:rFonts w:cs="Arial"/>
                <w:bCs/>
                <w:kern w:val="32"/>
                <w:sz w:val="16"/>
                <w:szCs w:val="16"/>
              </w:rPr>
            </w:pPr>
            <w:r w:rsidRPr="00DD76C8">
              <w:rPr>
                <w:sz w:val="16"/>
              </w:rPr>
              <w:t>800 000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p.m.</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widowControl/>
        <w:jc w:val="both"/>
        <w:rPr>
          <w:rFonts w:cs="Arial"/>
          <w:bCs/>
          <w:kern w:val="32"/>
          <w:szCs w:val="24"/>
        </w:rPr>
      </w:pPr>
      <w:r w:rsidRPr="00DD76C8">
        <w:t>Kako bi se ispunile potrebe zastupnika i osiguralo pravilno izvještavanja o radu Europskog parlamenta, potrebno je dobro opremljeno medijsko središte koje bi se, osim za plenarne sjednice, moglo koristiti i u druge svrhe. Sredstvima odobrenima u sklopu ove stavke želi se podržati nadogradnja tehničke opreme i medijskih prostorija s obzirom na veći interes medija, rastuću važnost društvenih mreža i dodatne potrebe zastupnika te dodatno razviti užu suradnju među Europskim parlamentom, kanalom ARTE, lokalnim sveučilištima i školama kako bi se uspostavilo europsko medijsko čvorište u kojem bi se mogli obučavati mladi novinari kada se ne održavaju redovna plenarna zasjedanja.</w:t>
      </w:r>
    </w:p>
    <w:p w:rsidR="002D1DA9" w:rsidRPr="00DD76C8" w:rsidRDefault="002D1DA9" w:rsidP="00FD2C57">
      <w:pPr>
        <w:widowControl/>
        <w:jc w:val="both"/>
        <w:rPr>
          <w:rFonts w:cs="Arial"/>
          <w:bCs/>
          <w:kern w:val="32"/>
          <w:szCs w:val="24"/>
        </w:rPr>
      </w:pPr>
      <w:r w:rsidRPr="00DD76C8">
        <w:t>Iznos dodijeljenih prihoda u skladu s člankom 21. stavkom 3. Financijske uredbe procjenjuje se na 100 EUR.</w:t>
      </w:r>
    </w:p>
    <w:p w:rsidR="002D1DA9" w:rsidRPr="00DD76C8" w:rsidRDefault="002D1DA9" w:rsidP="00FD2C57">
      <w:pPr>
        <w:widowControl/>
        <w:autoSpaceDE w:val="0"/>
        <w:autoSpaceDN w:val="0"/>
        <w:spacing w:before="120" w:after="120"/>
        <w:rPr>
          <w:i/>
          <w:iCs/>
          <w:sz w:val="20"/>
        </w:rPr>
      </w:pPr>
      <w:r w:rsidRPr="00DD76C8">
        <w:rPr>
          <w:i/>
          <w:sz w:val="20"/>
        </w:rPr>
        <w:t>Pravna osnova</w:t>
      </w:r>
    </w:p>
    <w:p w:rsidR="002D1DA9" w:rsidRPr="00DD76C8" w:rsidRDefault="002D1DA9" w:rsidP="00FD2C57">
      <w:pPr>
        <w:widowControl/>
        <w:jc w:val="both"/>
        <w:rPr>
          <w:rFonts w:cs="Arial"/>
          <w:bCs/>
          <w:kern w:val="32"/>
          <w:szCs w:val="24"/>
        </w:rPr>
      </w:pPr>
      <w:r w:rsidRPr="00DD76C8">
        <w:t>Stavak 30. Rezolucije Europskog parlamenta od 29. travnja 2015. o procjeni prihoda i rashoda Europskog parlamenta za financijsku godinu 2016. (SL C 346, 21.9.2016., str. 188.).</w:t>
      </w:r>
    </w:p>
    <w:p w:rsidR="002D1DA9" w:rsidRPr="00DD76C8" w:rsidRDefault="002D1DA9" w:rsidP="00FD2C57">
      <w:pPr>
        <w:widowControl/>
        <w:jc w:val="both"/>
        <w:rPr>
          <w:rFonts w:cs="Arial"/>
          <w:bCs/>
          <w:kern w:val="32"/>
          <w:szCs w:val="24"/>
        </w:rPr>
      </w:pPr>
      <w:r w:rsidRPr="00DD76C8">
        <w:t>Stavak 54. Rezolucije Europskog parlamenta od 14. travnja 2016. o procjeni prihoda i rashoda Europskog parlamenta za financijsku godinu 2017. (Usvojeni tekstovi, P8 TA(2016) 0132).</w:t>
      </w:r>
    </w:p>
    <w:p w:rsidR="002D1DA9" w:rsidRPr="00DD76C8" w:rsidRDefault="002D1DA9" w:rsidP="00FD2C57">
      <w:pPr>
        <w:keepNext/>
        <w:widowControl/>
        <w:spacing w:before="480" w:after="120"/>
        <w:outlineLvl w:val="1"/>
        <w:rPr>
          <w:b/>
          <w:bCs/>
          <w:smallCaps/>
          <w:sz w:val="32"/>
          <w:szCs w:val="32"/>
        </w:rPr>
      </w:pPr>
      <w:r w:rsidRPr="00DD76C8">
        <w:rPr>
          <w:b/>
          <w:smallCaps/>
          <w:sz w:val="32"/>
        </w:rPr>
        <w:t>Glava 4. — Rashodi povezani s obavljanjem posebnih zadataka institucije</w:t>
      </w:r>
    </w:p>
    <w:p w:rsidR="002D1DA9" w:rsidRPr="00DD76C8" w:rsidRDefault="002D1DA9" w:rsidP="00FD2C57">
      <w:pPr>
        <w:widowControl/>
        <w:autoSpaceDE w:val="0"/>
        <w:autoSpaceDN w:val="0"/>
        <w:spacing w:before="480" w:after="120"/>
        <w:outlineLvl w:val="2"/>
        <w:rPr>
          <w:b/>
          <w:bCs/>
          <w:smallCaps/>
          <w:sz w:val="28"/>
          <w:szCs w:val="28"/>
        </w:rPr>
      </w:pPr>
      <w:r w:rsidRPr="00DD76C8">
        <w:rPr>
          <w:b/>
          <w:smallCaps/>
          <w:sz w:val="28"/>
        </w:rPr>
        <w:t>Poglavlje 4 0 — Posebni rashodi nekih institucija i tijela</w:t>
      </w:r>
    </w:p>
    <w:p w:rsidR="002D1DA9" w:rsidRPr="00DD76C8" w:rsidRDefault="002D1DA9" w:rsidP="00FD2C57">
      <w:pPr>
        <w:widowControl/>
        <w:autoSpaceDE w:val="0"/>
        <w:autoSpaceDN w:val="0"/>
        <w:spacing w:before="480" w:after="120"/>
        <w:outlineLvl w:val="3"/>
        <w:rPr>
          <w:b/>
          <w:bCs/>
          <w:i/>
          <w:iCs/>
          <w:szCs w:val="24"/>
        </w:rPr>
      </w:pPr>
      <w:r w:rsidRPr="00DD76C8">
        <w:rPr>
          <w:b/>
          <w:i/>
        </w:rPr>
        <w:t>Članak 4 0 0 ‒ Tekući troškovi za poslovanje, političke i informacijske djelatnosti klubova zastupnika i nezavisnih zastupnika</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Odobrena sredstva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63 000 000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62 000 000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61 000 000,00</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keepNext/>
        <w:widowControl/>
        <w:jc w:val="both"/>
        <w:rPr>
          <w:rFonts w:cs="Arial"/>
          <w:bCs/>
          <w:kern w:val="32"/>
          <w:szCs w:val="24"/>
        </w:rPr>
      </w:pPr>
      <w:r w:rsidRPr="00DD76C8">
        <w:t>Ovim odobrenim sredstvima pokrivaju se sljedeći izdatci klubova zastupnika i nezavisnih zastupnika:</w:t>
      </w:r>
    </w:p>
    <w:p w:rsidR="002D1DA9" w:rsidRPr="00DD76C8" w:rsidRDefault="002D1DA9" w:rsidP="00FD2C57">
      <w:pPr>
        <w:widowControl/>
        <w:numPr>
          <w:ilvl w:val="0"/>
          <w:numId w:val="28"/>
        </w:numPr>
        <w:spacing w:before="60" w:after="60"/>
        <w:ind w:left="0" w:firstLine="0"/>
        <w:jc w:val="both"/>
        <w:rPr>
          <w:rFonts w:cs="Arial"/>
          <w:bCs/>
          <w:kern w:val="32"/>
          <w:szCs w:val="24"/>
        </w:rPr>
      </w:pPr>
      <w:r w:rsidRPr="00DD76C8">
        <w:t>troškovi tajništva i administrativni rashodi,</w:t>
      </w:r>
    </w:p>
    <w:p w:rsidR="002D1DA9" w:rsidRPr="00DD76C8" w:rsidRDefault="002D1DA9" w:rsidP="00FD2C57">
      <w:pPr>
        <w:widowControl/>
        <w:numPr>
          <w:ilvl w:val="0"/>
          <w:numId w:val="28"/>
        </w:numPr>
        <w:spacing w:before="60" w:after="60"/>
        <w:ind w:left="0" w:firstLine="0"/>
        <w:jc w:val="both"/>
        <w:rPr>
          <w:rFonts w:cs="Arial"/>
          <w:bCs/>
          <w:kern w:val="32"/>
          <w:szCs w:val="24"/>
        </w:rPr>
      </w:pPr>
      <w:r w:rsidRPr="00DD76C8">
        <w:t>izdatci vezani uz političke aktivnosti i aktivnosti informiranja u okviru političkih aktivnosti Unije.</w:t>
      </w:r>
    </w:p>
    <w:p w:rsidR="002D1DA9" w:rsidRPr="00DD76C8" w:rsidRDefault="002D1DA9" w:rsidP="00FD2C57">
      <w:pPr>
        <w:widowControl/>
        <w:jc w:val="both"/>
        <w:rPr>
          <w:rFonts w:cs="Arial"/>
          <w:bCs/>
          <w:kern w:val="32"/>
          <w:szCs w:val="24"/>
        </w:rPr>
      </w:pPr>
      <w:r w:rsidRPr="00DD76C8">
        <w:t>Iznos namjenskih prihoda u skladu s člankom 21. stavkom 3. Financijske uredbe procjenjuje se na 1 000 000 EUR.</w:t>
      </w:r>
    </w:p>
    <w:p w:rsidR="002D1DA9" w:rsidRPr="00DD76C8" w:rsidRDefault="002D1DA9" w:rsidP="00FD2C57">
      <w:pPr>
        <w:widowControl/>
        <w:autoSpaceDE w:val="0"/>
        <w:autoSpaceDN w:val="0"/>
        <w:spacing w:before="120" w:after="120"/>
        <w:rPr>
          <w:i/>
          <w:iCs/>
          <w:sz w:val="20"/>
        </w:rPr>
      </w:pPr>
      <w:r w:rsidRPr="00DD76C8">
        <w:rPr>
          <w:i/>
          <w:sz w:val="20"/>
        </w:rPr>
        <w:t>Pravna osnova</w:t>
      </w:r>
    </w:p>
    <w:p w:rsidR="002D1DA9" w:rsidRPr="00DD76C8" w:rsidRDefault="002D1DA9" w:rsidP="00FD2C57">
      <w:pPr>
        <w:widowControl/>
        <w:jc w:val="both"/>
        <w:rPr>
          <w:rFonts w:cs="Arial"/>
          <w:bCs/>
          <w:kern w:val="32"/>
          <w:szCs w:val="24"/>
        </w:rPr>
      </w:pPr>
      <w:r w:rsidRPr="00DD76C8">
        <w:t>Odluka Predsjedništva od 30. lipnja 2003. o pravilima o korištenju odobrenih sredstava s proračunske stavke 4 0 0, kako je zadnje izmijenjena 27. travnja 2015.</w:t>
      </w:r>
    </w:p>
    <w:p w:rsidR="002D1DA9" w:rsidRPr="00DD76C8" w:rsidRDefault="002D1DA9" w:rsidP="00FD2C57">
      <w:pPr>
        <w:widowControl/>
        <w:autoSpaceDE w:val="0"/>
        <w:autoSpaceDN w:val="0"/>
        <w:spacing w:before="480" w:after="120"/>
        <w:outlineLvl w:val="3"/>
        <w:rPr>
          <w:b/>
          <w:bCs/>
          <w:i/>
          <w:iCs/>
          <w:szCs w:val="24"/>
        </w:rPr>
      </w:pPr>
      <w:r w:rsidRPr="00DD76C8">
        <w:rPr>
          <w:b/>
          <w:i/>
        </w:rPr>
        <w:t>Članak 4 0 2 — Financiranje političkih stranaka na europskoj razini</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Odobrena sredstva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32 447 000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31 905 000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30 575 015,00</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widowControl/>
        <w:jc w:val="both"/>
        <w:rPr>
          <w:rFonts w:cs="Arial"/>
          <w:bCs/>
          <w:kern w:val="32"/>
          <w:szCs w:val="24"/>
        </w:rPr>
      </w:pPr>
      <w:r w:rsidRPr="00DD76C8">
        <w:t>Ova odobrena sredstva namijenjena su financiranju političkih stranaka na europskoj razini. Mora se osigurati dobro upravljanje i strog nadzor nad uporabom sredstava.</w:t>
      </w:r>
    </w:p>
    <w:p w:rsidR="002D1DA9" w:rsidRPr="00DD76C8" w:rsidRDefault="002D1DA9" w:rsidP="00FD2C57">
      <w:pPr>
        <w:widowControl/>
        <w:jc w:val="both"/>
        <w:rPr>
          <w:rFonts w:cs="Arial"/>
          <w:bCs/>
          <w:kern w:val="32"/>
          <w:szCs w:val="24"/>
        </w:rPr>
      </w:pPr>
      <w:r w:rsidRPr="00DD76C8">
        <w:t>Iznos dodijeljenih prihoda u skladu s člankom 21. stavkom 3. Financijske uredbe procjenjuje se na 100 EUR.</w:t>
      </w:r>
    </w:p>
    <w:p w:rsidR="002D1DA9" w:rsidRPr="00DD76C8" w:rsidRDefault="002D1DA9" w:rsidP="00FD2C57">
      <w:pPr>
        <w:widowControl/>
        <w:autoSpaceDE w:val="0"/>
        <w:autoSpaceDN w:val="0"/>
        <w:spacing w:before="120" w:after="120"/>
        <w:rPr>
          <w:i/>
          <w:iCs/>
          <w:sz w:val="20"/>
        </w:rPr>
      </w:pPr>
      <w:r w:rsidRPr="00DD76C8">
        <w:rPr>
          <w:i/>
          <w:sz w:val="20"/>
        </w:rPr>
        <w:t>Pravna osnova</w:t>
      </w:r>
    </w:p>
    <w:p w:rsidR="002D1DA9" w:rsidRPr="00DD76C8" w:rsidRDefault="002D1DA9" w:rsidP="00FD2C57">
      <w:pPr>
        <w:widowControl/>
        <w:jc w:val="both"/>
        <w:rPr>
          <w:rFonts w:cs="Arial"/>
          <w:bCs/>
          <w:kern w:val="32"/>
          <w:szCs w:val="24"/>
        </w:rPr>
      </w:pPr>
      <w:r w:rsidRPr="00DD76C8">
        <w:t>Ugovor o Europskoj uniji, a posebno članak 10. stavak 4.</w:t>
      </w:r>
    </w:p>
    <w:p w:rsidR="002D1DA9" w:rsidRPr="00DD76C8" w:rsidRDefault="002D1DA9" w:rsidP="00FD2C57">
      <w:pPr>
        <w:widowControl/>
        <w:jc w:val="both"/>
        <w:rPr>
          <w:rFonts w:cs="Arial"/>
          <w:bCs/>
          <w:kern w:val="32"/>
          <w:szCs w:val="24"/>
        </w:rPr>
      </w:pPr>
      <w:r w:rsidRPr="00DD76C8">
        <w:t>Ugovor o funkcioniranju Europske unije, a posebno članak 224.</w:t>
      </w:r>
    </w:p>
    <w:p w:rsidR="002D1DA9" w:rsidRPr="00DD76C8" w:rsidRDefault="002D1DA9" w:rsidP="00FD2C57">
      <w:pPr>
        <w:widowControl/>
        <w:jc w:val="both"/>
        <w:rPr>
          <w:rFonts w:cs="Arial"/>
          <w:bCs/>
          <w:kern w:val="32"/>
          <w:szCs w:val="24"/>
        </w:rPr>
      </w:pPr>
      <w:r w:rsidRPr="00DD76C8">
        <w:t>Uredba (EU, Euratom) br. 1141/2014 Europskog parlamenta i Vijeća od 22. listopada 2014. o statutu i financiranju europskih političkih stranaka i europskih političkih zaklada, SL L 317, 4.11.2014., str. 1.)</w:t>
      </w:r>
    </w:p>
    <w:p w:rsidR="002D1DA9" w:rsidRPr="00DD76C8" w:rsidRDefault="002D1DA9" w:rsidP="00FD2C57">
      <w:pPr>
        <w:widowControl/>
        <w:autoSpaceDE w:val="0"/>
        <w:autoSpaceDN w:val="0"/>
        <w:spacing w:before="480" w:after="120"/>
        <w:outlineLvl w:val="3"/>
        <w:rPr>
          <w:b/>
          <w:bCs/>
          <w:i/>
          <w:iCs/>
          <w:szCs w:val="24"/>
        </w:rPr>
      </w:pPr>
      <w:r w:rsidRPr="00DD76C8">
        <w:rPr>
          <w:b/>
          <w:i/>
        </w:rPr>
        <w:t>Članak 4 0 3 — Financiranje političkih zaklada na europskoj razini</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Odobrena sredstva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19 323 000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19 000 000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18 377 156,00</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widowControl/>
        <w:jc w:val="both"/>
        <w:rPr>
          <w:rFonts w:cs="Arial"/>
          <w:bCs/>
          <w:kern w:val="32"/>
          <w:szCs w:val="24"/>
        </w:rPr>
      </w:pPr>
      <w:r w:rsidRPr="00DD76C8">
        <w:t>Ova odobrena sredstva namijenjena su financiranju političkih fondova na europskoj razini. Mora se osigurati dobro upravljanje i strog nadzor nad uporabom sredstava.</w:t>
      </w:r>
    </w:p>
    <w:p w:rsidR="002D1DA9" w:rsidRPr="00DD76C8" w:rsidRDefault="002D1DA9" w:rsidP="00FD2C57">
      <w:pPr>
        <w:widowControl/>
        <w:jc w:val="both"/>
        <w:rPr>
          <w:rFonts w:cs="Arial"/>
          <w:bCs/>
          <w:kern w:val="32"/>
          <w:szCs w:val="24"/>
        </w:rPr>
      </w:pPr>
      <w:r w:rsidRPr="00DD76C8">
        <w:t>Iznos dodijeljenih prihoda u skladu s člankom 21. stavkom 3. Financijske uredbe procjenjuje se na 100 EUR.</w:t>
      </w:r>
    </w:p>
    <w:p w:rsidR="002D1DA9" w:rsidRPr="00DD76C8" w:rsidRDefault="002D1DA9" w:rsidP="00FD2C57">
      <w:pPr>
        <w:widowControl/>
        <w:autoSpaceDE w:val="0"/>
        <w:autoSpaceDN w:val="0"/>
        <w:spacing w:before="120" w:after="120"/>
        <w:rPr>
          <w:i/>
          <w:iCs/>
          <w:sz w:val="20"/>
        </w:rPr>
      </w:pPr>
      <w:r w:rsidRPr="00DD76C8">
        <w:rPr>
          <w:i/>
          <w:sz w:val="20"/>
        </w:rPr>
        <w:t>Pravna osnova</w:t>
      </w:r>
    </w:p>
    <w:p w:rsidR="002D1DA9" w:rsidRPr="00DD76C8" w:rsidRDefault="002D1DA9" w:rsidP="00FD2C57">
      <w:pPr>
        <w:widowControl/>
        <w:jc w:val="both"/>
        <w:rPr>
          <w:rFonts w:cs="Arial"/>
          <w:bCs/>
          <w:kern w:val="32"/>
          <w:szCs w:val="24"/>
        </w:rPr>
      </w:pPr>
      <w:r w:rsidRPr="00DD76C8">
        <w:t>Ugovor o Europskoj uniji, a posebno članak 10. stavak 4.</w:t>
      </w:r>
    </w:p>
    <w:p w:rsidR="002D1DA9" w:rsidRPr="00DD76C8" w:rsidRDefault="002D1DA9" w:rsidP="00FD2C57">
      <w:pPr>
        <w:widowControl/>
        <w:jc w:val="both"/>
        <w:rPr>
          <w:rFonts w:cs="Arial"/>
          <w:bCs/>
          <w:kern w:val="32"/>
          <w:szCs w:val="24"/>
        </w:rPr>
      </w:pPr>
      <w:r w:rsidRPr="00DD76C8">
        <w:t>Ugovor o funkcioniranju Europske unije, a posebno članak 224.</w:t>
      </w:r>
    </w:p>
    <w:p w:rsidR="002D1DA9" w:rsidRPr="00DD76C8" w:rsidRDefault="002D1DA9" w:rsidP="00FD2C57">
      <w:pPr>
        <w:widowControl/>
        <w:jc w:val="both"/>
        <w:rPr>
          <w:rFonts w:cs="Arial"/>
          <w:bCs/>
          <w:kern w:val="32"/>
          <w:szCs w:val="24"/>
        </w:rPr>
      </w:pPr>
      <w:r w:rsidRPr="00DD76C8">
        <w:t>Uredba (EU, Euratom) br. 1141/2014 Europskog parlamenta i Vijeća od 22. listopada 2014. o statutu i financiranju europskih političkih stranaka i europskih političkih zaklada (SL L 317, 4.11.2014, str.1.).</w:t>
      </w:r>
    </w:p>
    <w:p w:rsidR="002D1DA9" w:rsidRPr="00DD76C8" w:rsidRDefault="002D1DA9" w:rsidP="00FD2C57">
      <w:pPr>
        <w:widowControl/>
        <w:autoSpaceDE w:val="0"/>
        <w:autoSpaceDN w:val="0"/>
        <w:spacing w:before="480" w:after="120"/>
        <w:outlineLvl w:val="2"/>
        <w:rPr>
          <w:b/>
          <w:bCs/>
          <w:smallCaps/>
          <w:sz w:val="28"/>
          <w:szCs w:val="28"/>
        </w:rPr>
      </w:pPr>
      <w:r w:rsidRPr="00DD76C8">
        <w:rPr>
          <w:b/>
          <w:smallCaps/>
          <w:sz w:val="28"/>
        </w:rPr>
        <w:t>Poglavlje 4 2 — Rashodi za parlamentarnu pomoć</w:t>
      </w:r>
    </w:p>
    <w:p w:rsidR="002D1DA9" w:rsidRPr="00DD76C8" w:rsidRDefault="002D1DA9" w:rsidP="00FD2C57">
      <w:pPr>
        <w:widowControl/>
        <w:autoSpaceDE w:val="0"/>
        <w:autoSpaceDN w:val="0"/>
        <w:spacing w:before="480" w:after="120"/>
        <w:outlineLvl w:val="3"/>
        <w:rPr>
          <w:b/>
          <w:bCs/>
          <w:i/>
          <w:iCs/>
          <w:szCs w:val="24"/>
        </w:rPr>
      </w:pPr>
      <w:r w:rsidRPr="00DD76C8">
        <w:rPr>
          <w:b/>
          <w:i/>
        </w:rPr>
        <w:t>Članak 4 2 2 — Rashodi za parlamentarnu pomoć</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Odobrena sredstva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208 510 000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207 991 000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194 405 138,69</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widowControl/>
        <w:jc w:val="both"/>
        <w:rPr>
          <w:rFonts w:cs="Arial"/>
          <w:bCs/>
          <w:kern w:val="32"/>
          <w:szCs w:val="24"/>
        </w:rPr>
      </w:pPr>
      <w:r w:rsidRPr="00DD76C8">
        <w:t xml:space="preserve">Ova odobrena sredstva namijenjena su pokrivanju rashoda povezanih s osobljem i pružateljima usluga povezanima s parlamentarnom pomoći zastupnicima, kao i rashodima povezanima s platnim agentima. </w:t>
      </w:r>
    </w:p>
    <w:p w:rsidR="002D1DA9" w:rsidRPr="00DD76C8" w:rsidRDefault="002D1DA9" w:rsidP="00FD2C57">
      <w:pPr>
        <w:widowControl/>
        <w:jc w:val="both"/>
        <w:rPr>
          <w:rFonts w:cs="Arial"/>
          <w:bCs/>
          <w:kern w:val="32"/>
          <w:szCs w:val="24"/>
        </w:rPr>
      </w:pPr>
      <w:r w:rsidRPr="00DD76C8">
        <w:t>Ovim se sredstvima pokrivaju i troškovi službenih putovanja i osposobljavanja (vanjski tečajevi) akreditiranih parlamentarnih asistenata.</w:t>
      </w:r>
    </w:p>
    <w:p w:rsidR="002D1DA9" w:rsidRPr="00DD76C8" w:rsidRDefault="002D1DA9" w:rsidP="00FD2C57">
      <w:pPr>
        <w:widowControl/>
        <w:jc w:val="both"/>
        <w:rPr>
          <w:rFonts w:cs="Arial"/>
          <w:bCs/>
          <w:kern w:val="32"/>
          <w:szCs w:val="24"/>
        </w:rPr>
      </w:pPr>
      <w:r w:rsidRPr="00DD76C8">
        <w:t>Ovim sredstvima se u skladu s odredbama o povratu troškova parlamentarne pomoći također pokrivaju tečajne razlike na teret proračuna Europskog parlamenta, kao i troškovi povezani s pružanjem usluga potpore za upravljanje parlamentarnom pomoći.</w:t>
      </w:r>
    </w:p>
    <w:p w:rsidR="002D1DA9" w:rsidRPr="00DD76C8" w:rsidRDefault="002D1DA9" w:rsidP="00FD2C57">
      <w:pPr>
        <w:widowControl/>
        <w:jc w:val="both"/>
        <w:rPr>
          <w:rFonts w:cs="Arial"/>
          <w:bCs/>
          <w:kern w:val="32"/>
          <w:szCs w:val="24"/>
        </w:rPr>
      </w:pPr>
      <w:r w:rsidRPr="00DD76C8">
        <w:t>Iznos namjenskih prihoda u skladu s člankom 21. stavkom 3. Financijske uredbe procjenjuje se na 775 000 EUR.</w:t>
      </w:r>
    </w:p>
    <w:p w:rsidR="002D1DA9" w:rsidRPr="00DD76C8" w:rsidRDefault="002D1DA9" w:rsidP="00FD2C57">
      <w:pPr>
        <w:widowControl/>
        <w:autoSpaceDE w:val="0"/>
        <w:autoSpaceDN w:val="0"/>
        <w:spacing w:before="120" w:after="120"/>
        <w:rPr>
          <w:i/>
          <w:iCs/>
          <w:sz w:val="20"/>
        </w:rPr>
      </w:pPr>
      <w:r w:rsidRPr="00DD76C8">
        <w:rPr>
          <w:i/>
          <w:sz w:val="20"/>
        </w:rPr>
        <w:t>Pravna osnova</w:t>
      </w:r>
    </w:p>
    <w:p w:rsidR="002D1DA9" w:rsidRPr="00DD76C8" w:rsidRDefault="002D1DA9" w:rsidP="00FD2C57">
      <w:pPr>
        <w:widowControl/>
        <w:jc w:val="both"/>
        <w:rPr>
          <w:rFonts w:cs="Arial"/>
          <w:bCs/>
          <w:kern w:val="32"/>
          <w:szCs w:val="24"/>
        </w:rPr>
      </w:pPr>
      <w:r w:rsidRPr="00DD76C8">
        <w:t>Statut zastupnika u Europskom parlamentu, a posebno njegov članak 21.</w:t>
      </w:r>
    </w:p>
    <w:p w:rsidR="002D1DA9" w:rsidRPr="00DD76C8" w:rsidRDefault="002D1DA9" w:rsidP="00FD2C57">
      <w:pPr>
        <w:widowControl/>
        <w:jc w:val="both"/>
        <w:rPr>
          <w:rFonts w:cs="Arial"/>
          <w:bCs/>
          <w:kern w:val="32"/>
          <w:szCs w:val="24"/>
        </w:rPr>
      </w:pPr>
      <w:r w:rsidRPr="00DD76C8">
        <w:t>Provedbene mjere za Statut zastupnika u Europskom parlamentu, a posebno njihovi članci 33. do 44.</w:t>
      </w:r>
    </w:p>
    <w:p w:rsidR="002D1DA9" w:rsidRPr="00DD76C8" w:rsidRDefault="002D1DA9" w:rsidP="00FD2C57">
      <w:pPr>
        <w:widowControl/>
        <w:jc w:val="both"/>
        <w:rPr>
          <w:rFonts w:cs="Arial"/>
          <w:bCs/>
          <w:kern w:val="32"/>
          <w:szCs w:val="24"/>
        </w:rPr>
      </w:pPr>
      <w:r w:rsidRPr="00DD76C8">
        <w:t>Uvjeti zaposlenja ostalih službenika Europske unije, a posebno njihov članak 5.a i članci 125. do 139.</w:t>
      </w:r>
    </w:p>
    <w:p w:rsidR="002D1DA9" w:rsidRPr="00DD76C8" w:rsidRDefault="002D1DA9" w:rsidP="00FD2C57">
      <w:pPr>
        <w:widowControl/>
        <w:jc w:val="both"/>
        <w:rPr>
          <w:rFonts w:cs="Arial"/>
          <w:bCs/>
          <w:kern w:val="32"/>
          <w:szCs w:val="24"/>
        </w:rPr>
      </w:pPr>
      <w:r w:rsidRPr="00DD76C8">
        <w:t>Odluka Predsjedništva od 14. travnja 2014. o Provedbenim mjerama za glavu VII. Uvjeta zaposlenja ostalih službenika Europske unije.</w:t>
      </w:r>
    </w:p>
    <w:p w:rsidR="002D1DA9" w:rsidRPr="00DD76C8" w:rsidRDefault="002D1DA9" w:rsidP="00FD2C57">
      <w:pPr>
        <w:widowControl/>
        <w:autoSpaceDE w:val="0"/>
        <w:autoSpaceDN w:val="0"/>
        <w:spacing w:before="480" w:after="120"/>
        <w:outlineLvl w:val="2"/>
        <w:rPr>
          <w:b/>
          <w:bCs/>
          <w:smallCaps/>
          <w:sz w:val="28"/>
          <w:szCs w:val="28"/>
        </w:rPr>
      </w:pPr>
      <w:r w:rsidRPr="00DD76C8">
        <w:rPr>
          <w:b/>
          <w:smallCaps/>
          <w:sz w:val="28"/>
        </w:rPr>
        <w:t>Poglavlje 4 4 — Sjednice i druge aktivnosti sadašnjih i bivših zastupnika</w:t>
      </w:r>
    </w:p>
    <w:p w:rsidR="002D1DA9" w:rsidRPr="00DD76C8" w:rsidRDefault="002D1DA9" w:rsidP="00FD2C57">
      <w:pPr>
        <w:widowControl/>
        <w:autoSpaceDE w:val="0"/>
        <w:autoSpaceDN w:val="0"/>
        <w:spacing w:before="480" w:after="120"/>
        <w:outlineLvl w:val="3"/>
        <w:rPr>
          <w:b/>
          <w:bCs/>
          <w:i/>
          <w:iCs/>
          <w:szCs w:val="24"/>
        </w:rPr>
      </w:pPr>
      <w:r w:rsidRPr="00DD76C8">
        <w:rPr>
          <w:b/>
          <w:i/>
        </w:rPr>
        <w:t>Članak 4 4 0 — Troškovi sjednica i drugih aktivnosti bivših zastupnika</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Odobrena sredstva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220 000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210 000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210 000,00</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widowControl/>
        <w:jc w:val="both"/>
        <w:rPr>
          <w:rFonts w:cs="Arial"/>
          <w:bCs/>
          <w:kern w:val="32"/>
          <w:szCs w:val="24"/>
        </w:rPr>
      </w:pPr>
      <w:r w:rsidRPr="00DD76C8">
        <w:t>Ovim sredstvima pokrivaju se troškovi sjednica Udruge bivših zastupnika u Europskom parlamentu i po potrebi drugi s tim povezani troškovi.</w:t>
      </w:r>
    </w:p>
    <w:p w:rsidR="002D1DA9" w:rsidRPr="00DD76C8" w:rsidRDefault="002D1DA9" w:rsidP="00FD2C57">
      <w:pPr>
        <w:widowControl/>
        <w:jc w:val="both"/>
        <w:rPr>
          <w:rFonts w:cs="Arial"/>
          <w:bCs/>
          <w:kern w:val="32"/>
          <w:szCs w:val="24"/>
        </w:rPr>
      </w:pPr>
      <w:r w:rsidRPr="00DD76C8">
        <w:t>Iznos dodijeljenih prihoda u skladu s člankom 21. stavkom 3. Financijske uredbe procjenjuje se na 100 EUR.</w:t>
      </w:r>
    </w:p>
    <w:p w:rsidR="002D1DA9" w:rsidRPr="00DD76C8" w:rsidRDefault="002D1DA9" w:rsidP="00FD2C57">
      <w:pPr>
        <w:widowControl/>
        <w:autoSpaceDE w:val="0"/>
        <w:autoSpaceDN w:val="0"/>
        <w:spacing w:before="480" w:after="120"/>
        <w:outlineLvl w:val="3"/>
        <w:rPr>
          <w:b/>
          <w:bCs/>
          <w:i/>
          <w:iCs/>
          <w:szCs w:val="24"/>
        </w:rPr>
      </w:pPr>
      <w:r w:rsidRPr="00DD76C8">
        <w:rPr>
          <w:b/>
          <w:i/>
        </w:rPr>
        <w:t>Članak 4 4 2 — Troškovi sjednica i drugih aktivnosti Europskog parlamentarnog društva</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Odobrena sredstva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220 000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210 000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210 000,00</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widowControl/>
        <w:jc w:val="both"/>
        <w:rPr>
          <w:rFonts w:cs="Arial"/>
          <w:bCs/>
          <w:kern w:val="32"/>
          <w:szCs w:val="24"/>
        </w:rPr>
      </w:pPr>
      <w:r w:rsidRPr="00DD76C8">
        <w:t>Ovim sredstvima pokrivaju se troškovi sjednica Europskog parlamentarnog društva i po potrebi drugi s tim povezani troškovi.</w:t>
      </w:r>
    </w:p>
    <w:p w:rsidR="002D1DA9" w:rsidRPr="00DD76C8" w:rsidRDefault="002D1DA9" w:rsidP="00FD2C57">
      <w:pPr>
        <w:widowControl/>
        <w:jc w:val="both"/>
        <w:rPr>
          <w:rFonts w:cs="Arial"/>
          <w:bCs/>
          <w:kern w:val="32"/>
          <w:szCs w:val="24"/>
        </w:rPr>
      </w:pPr>
      <w:r w:rsidRPr="00DD76C8">
        <w:t>Iznos dodijeljenih prihoda u skladu s člankom 21. stavkom 3. Financijske uredbe procjenjuje se na 100 EUR.</w:t>
      </w:r>
    </w:p>
    <w:p w:rsidR="002D1DA9" w:rsidRPr="00DD76C8" w:rsidRDefault="002D1DA9" w:rsidP="00FD2C57">
      <w:pPr>
        <w:keepNext/>
        <w:widowControl/>
        <w:spacing w:before="480" w:after="120"/>
        <w:outlineLvl w:val="1"/>
        <w:rPr>
          <w:b/>
          <w:bCs/>
          <w:smallCaps/>
          <w:sz w:val="32"/>
          <w:szCs w:val="32"/>
        </w:rPr>
      </w:pPr>
      <w:r w:rsidRPr="00DD76C8">
        <w:rPr>
          <w:b/>
          <w:smallCaps/>
          <w:sz w:val="32"/>
        </w:rPr>
        <w:t>Glava 5. – Tijelo za europske političke stranke i europske političke zaklade i Odbor neovisnih uglednih osoba</w:t>
      </w:r>
    </w:p>
    <w:p w:rsidR="002D1DA9" w:rsidRPr="00DD76C8" w:rsidRDefault="002D1DA9" w:rsidP="00FD2C57">
      <w:pPr>
        <w:widowControl/>
        <w:autoSpaceDE w:val="0"/>
        <w:autoSpaceDN w:val="0"/>
        <w:spacing w:before="480" w:after="120"/>
        <w:outlineLvl w:val="2"/>
        <w:rPr>
          <w:b/>
          <w:bCs/>
          <w:smallCaps/>
          <w:sz w:val="28"/>
          <w:szCs w:val="28"/>
        </w:rPr>
      </w:pPr>
      <w:r w:rsidRPr="00DD76C8">
        <w:rPr>
          <w:b/>
          <w:smallCaps/>
          <w:sz w:val="28"/>
        </w:rPr>
        <w:t>Poglavlje 5 0 – Rashodi Tijela za europske političke stranke i europske političke zaklade i Odbora neovisnih uglednih osoba</w:t>
      </w:r>
    </w:p>
    <w:p w:rsidR="002D1DA9" w:rsidRPr="00DD76C8" w:rsidRDefault="002D1DA9" w:rsidP="00FD2C57">
      <w:pPr>
        <w:widowControl/>
        <w:autoSpaceDE w:val="0"/>
        <w:autoSpaceDN w:val="0"/>
        <w:spacing w:before="480" w:after="120"/>
        <w:outlineLvl w:val="3"/>
        <w:rPr>
          <w:b/>
          <w:bCs/>
          <w:i/>
          <w:iCs/>
          <w:szCs w:val="24"/>
        </w:rPr>
      </w:pPr>
      <w:r w:rsidRPr="00DD76C8">
        <w:rPr>
          <w:b/>
          <w:i/>
        </w:rPr>
        <w:t>Članak 5 0 0 – Operativni rashodi Tijela za europske političke stranke i europske političke zaklade</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Odobrena sredstva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p.m.</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p.m.</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0,—</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widowControl/>
        <w:jc w:val="both"/>
        <w:rPr>
          <w:rFonts w:cs="Arial"/>
          <w:bCs/>
          <w:kern w:val="32"/>
          <w:szCs w:val="24"/>
        </w:rPr>
      </w:pPr>
      <w:r w:rsidRPr="00DD76C8">
        <w:t>Ova odobrena sredstva namijenjena su pokrivanju rashoda Tijela za europske političke stranke i europske političke zaklade kako bi se zajamčilo njegovo puno i neovisno djelovanje.</w:t>
      </w:r>
    </w:p>
    <w:p w:rsidR="002D1DA9" w:rsidRPr="00DD76C8" w:rsidRDefault="002D1DA9" w:rsidP="00FD2C57">
      <w:pPr>
        <w:widowControl/>
        <w:jc w:val="both"/>
        <w:rPr>
          <w:rFonts w:cs="Arial"/>
          <w:bCs/>
          <w:kern w:val="32"/>
          <w:szCs w:val="24"/>
        </w:rPr>
      </w:pPr>
      <w:r w:rsidRPr="00DD76C8">
        <w:t>Iznos dodijeljenih prihoda u skladu s člankom 21. stavkom 3. Financijske uredbe procjenjuje se na 100 EUR.</w:t>
      </w:r>
    </w:p>
    <w:p w:rsidR="002D1DA9" w:rsidRPr="00DD76C8" w:rsidRDefault="002D1DA9" w:rsidP="00FD2C57">
      <w:pPr>
        <w:widowControl/>
        <w:autoSpaceDE w:val="0"/>
        <w:autoSpaceDN w:val="0"/>
        <w:spacing w:before="120" w:after="120"/>
        <w:rPr>
          <w:i/>
          <w:iCs/>
          <w:sz w:val="20"/>
        </w:rPr>
      </w:pPr>
      <w:r w:rsidRPr="00DD76C8">
        <w:rPr>
          <w:i/>
          <w:sz w:val="20"/>
        </w:rPr>
        <w:t>Pravna osnova</w:t>
      </w:r>
    </w:p>
    <w:p w:rsidR="002D1DA9" w:rsidRPr="00DD76C8" w:rsidRDefault="002D1DA9" w:rsidP="00FD2C57">
      <w:pPr>
        <w:widowControl/>
        <w:jc w:val="both"/>
        <w:rPr>
          <w:rFonts w:cs="Arial"/>
          <w:bCs/>
          <w:kern w:val="32"/>
          <w:szCs w:val="24"/>
        </w:rPr>
      </w:pPr>
      <w:r w:rsidRPr="00DD76C8">
        <w:t>Uredba (EU, Euratom) br. 1141/2014 Europskog parlamenta i Vijeća od 22. listopada 2014. o statutu i financiranju europskih političkih stranaka i europskih političkih zaklada (SL L 317, 4.11.2014., str. 1.), a posebno njezin članak 6. stavci 1. i 7.</w:t>
      </w:r>
    </w:p>
    <w:p w:rsidR="002D1DA9" w:rsidRPr="00DD76C8" w:rsidRDefault="002D1DA9" w:rsidP="00FD2C57">
      <w:pPr>
        <w:widowControl/>
        <w:autoSpaceDE w:val="0"/>
        <w:autoSpaceDN w:val="0"/>
        <w:spacing w:before="480" w:after="120"/>
        <w:outlineLvl w:val="3"/>
        <w:rPr>
          <w:b/>
          <w:bCs/>
          <w:i/>
          <w:iCs/>
          <w:szCs w:val="24"/>
        </w:rPr>
      </w:pPr>
      <w:r w:rsidRPr="00DD76C8">
        <w:rPr>
          <w:b/>
          <w:i/>
        </w:rPr>
        <w:t>Članak 5 0 1 – Rashodi povezani s Odborom neovisnih uglednih osoba</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Odobrena sredstva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p.m.</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p.m.</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0,—</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widowControl/>
        <w:jc w:val="both"/>
        <w:rPr>
          <w:rFonts w:cs="Arial"/>
          <w:bCs/>
          <w:kern w:val="32"/>
          <w:szCs w:val="24"/>
        </w:rPr>
      </w:pPr>
      <w:r w:rsidRPr="00DD76C8">
        <w:t>Tim se odobrenim sredstvima namjeravaju pokriti rashodi povezani s tajništvom i financiranjem Odbora neovisnih uglednih osoba.</w:t>
      </w:r>
    </w:p>
    <w:p w:rsidR="002D1DA9" w:rsidRPr="00DD76C8" w:rsidRDefault="002D1DA9" w:rsidP="00FD2C57">
      <w:pPr>
        <w:widowControl/>
        <w:jc w:val="both"/>
        <w:rPr>
          <w:rFonts w:cs="Arial"/>
          <w:bCs/>
          <w:kern w:val="32"/>
          <w:szCs w:val="24"/>
        </w:rPr>
      </w:pPr>
      <w:r w:rsidRPr="00DD76C8">
        <w:t>Iznos dodijeljenih prihoda u skladu s člankom 21. stavkom 3. Financijske uredbe procjenjuje se na 100 EUR.</w:t>
      </w:r>
    </w:p>
    <w:p w:rsidR="002D1DA9" w:rsidRPr="00DD76C8" w:rsidRDefault="002D1DA9" w:rsidP="00FD2C57">
      <w:pPr>
        <w:widowControl/>
        <w:autoSpaceDE w:val="0"/>
        <w:autoSpaceDN w:val="0"/>
        <w:spacing w:before="120" w:after="120"/>
        <w:rPr>
          <w:i/>
          <w:iCs/>
          <w:sz w:val="20"/>
        </w:rPr>
      </w:pPr>
      <w:r w:rsidRPr="00DD76C8">
        <w:rPr>
          <w:i/>
          <w:sz w:val="20"/>
        </w:rPr>
        <w:t>Pravna osnova</w:t>
      </w:r>
    </w:p>
    <w:p w:rsidR="002D1DA9" w:rsidRPr="00DD76C8" w:rsidRDefault="002D1DA9" w:rsidP="00FD2C57">
      <w:pPr>
        <w:widowControl/>
        <w:jc w:val="both"/>
        <w:rPr>
          <w:rFonts w:cs="Arial"/>
          <w:bCs/>
          <w:kern w:val="32"/>
          <w:szCs w:val="24"/>
        </w:rPr>
      </w:pPr>
      <w:r w:rsidRPr="00DD76C8">
        <w:t>Uredba (EU, Euratom) br. 1141/2014 Europskog parlamenta i Vijeća od 22. listopada 2014. o statutu i financiranju europskih političkih stranaka i europskih političkih zaklada (SL L 317, 4.11.2014., str. 1.), a posebno njezin članak 11. stavak 2.</w:t>
      </w:r>
    </w:p>
    <w:p w:rsidR="002D1DA9" w:rsidRPr="00DD76C8" w:rsidRDefault="002D1DA9" w:rsidP="00FD2C57">
      <w:pPr>
        <w:keepNext/>
        <w:widowControl/>
        <w:spacing w:before="480" w:after="120"/>
        <w:outlineLvl w:val="1"/>
        <w:rPr>
          <w:b/>
          <w:bCs/>
          <w:smallCaps/>
          <w:sz w:val="32"/>
          <w:szCs w:val="32"/>
        </w:rPr>
      </w:pPr>
      <w:r w:rsidRPr="00DD76C8">
        <w:rPr>
          <w:b/>
          <w:smallCaps/>
          <w:sz w:val="32"/>
        </w:rPr>
        <w:t>Glava 10.   — Ostali rashodi</w:t>
      </w:r>
    </w:p>
    <w:p w:rsidR="002D1DA9" w:rsidRPr="00DD76C8" w:rsidRDefault="002D1DA9" w:rsidP="00FD2C57">
      <w:pPr>
        <w:widowControl/>
        <w:autoSpaceDE w:val="0"/>
        <w:autoSpaceDN w:val="0"/>
        <w:spacing w:before="480" w:after="120"/>
        <w:outlineLvl w:val="2"/>
        <w:rPr>
          <w:b/>
          <w:bCs/>
          <w:smallCaps/>
          <w:sz w:val="28"/>
          <w:szCs w:val="28"/>
        </w:rPr>
      </w:pPr>
      <w:r w:rsidRPr="00DD76C8">
        <w:rPr>
          <w:b/>
          <w:smallCaps/>
          <w:sz w:val="28"/>
        </w:rPr>
        <w:t>Poglavlje 10 0 — Privremena sredstva</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Odobrena sredstva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p.m.</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p.m.</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0,—</w:t>
            </w:r>
          </w:p>
        </w:tc>
      </w:tr>
    </w:tbl>
    <w:p w:rsidR="002D1DA9" w:rsidRPr="00DD76C8" w:rsidRDefault="002D1DA9" w:rsidP="00FD2C57">
      <w:pPr>
        <w:widowControl/>
        <w:autoSpaceDE w:val="0"/>
        <w:autoSpaceDN w:val="0"/>
        <w:spacing w:before="480" w:after="120"/>
        <w:outlineLvl w:val="2"/>
        <w:rPr>
          <w:b/>
          <w:bCs/>
          <w:smallCaps/>
          <w:sz w:val="28"/>
          <w:szCs w:val="28"/>
        </w:rPr>
      </w:pPr>
      <w:r w:rsidRPr="00DD76C8">
        <w:rPr>
          <w:b/>
          <w:smallCaps/>
          <w:sz w:val="28"/>
        </w:rPr>
        <w:t>Poglavlje 10 1 — Pričuva za nepredviđene rashode</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Odobrena sredstva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5 000 000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864 300</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0,—</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widowControl/>
        <w:jc w:val="both"/>
        <w:rPr>
          <w:rFonts w:cs="Arial"/>
          <w:bCs/>
          <w:kern w:val="32"/>
          <w:szCs w:val="24"/>
        </w:rPr>
      </w:pPr>
      <w:r w:rsidRPr="00DD76C8">
        <w:t>Ova sredstva namijenjena su za pokrivanje nepredvidivih izdataka koji tijekom financijske godine nastaju radi proračunskih odluka.</w:t>
      </w:r>
    </w:p>
    <w:p w:rsidR="002D1DA9" w:rsidRPr="00DD76C8" w:rsidRDefault="002D1DA9" w:rsidP="00FD2C57">
      <w:pPr>
        <w:widowControl/>
        <w:autoSpaceDE w:val="0"/>
        <w:autoSpaceDN w:val="0"/>
        <w:spacing w:before="480" w:after="120"/>
        <w:outlineLvl w:val="2"/>
        <w:rPr>
          <w:b/>
          <w:bCs/>
          <w:smallCaps/>
          <w:sz w:val="28"/>
          <w:szCs w:val="28"/>
        </w:rPr>
      </w:pPr>
      <w:r w:rsidRPr="00DD76C8">
        <w:rPr>
          <w:b/>
          <w:smallCaps/>
          <w:sz w:val="28"/>
        </w:rPr>
        <w:t>Poglavlje 10 3 — Pričuva za proširenje</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Odobrena sredstva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p.m.</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p.m.</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0,—</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widowControl/>
        <w:jc w:val="both"/>
        <w:rPr>
          <w:rFonts w:cs="Arial"/>
          <w:bCs/>
          <w:kern w:val="32"/>
          <w:szCs w:val="24"/>
        </w:rPr>
      </w:pPr>
      <w:r w:rsidRPr="00DD76C8">
        <w:t>Ova odobrena sredstva namijenjena su za pokrivanje troškova pripreme institucije za proširenje.</w:t>
      </w:r>
    </w:p>
    <w:p w:rsidR="002D1DA9" w:rsidRPr="00DD76C8" w:rsidRDefault="002D1DA9" w:rsidP="00FD2C57">
      <w:pPr>
        <w:widowControl/>
        <w:autoSpaceDE w:val="0"/>
        <w:autoSpaceDN w:val="0"/>
        <w:spacing w:before="480" w:after="120"/>
        <w:outlineLvl w:val="2"/>
        <w:rPr>
          <w:b/>
          <w:bCs/>
          <w:smallCaps/>
          <w:sz w:val="28"/>
          <w:szCs w:val="28"/>
        </w:rPr>
      </w:pPr>
      <w:r w:rsidRPr="00DD76C8">
        <w:rPr>
          <w:b/>
          <w:smallCaps/>
          <w:sz w:val="28"/>
        </w:rPr>
        <w:t>Poglavlje 10 4 — Pričuva za politiku informiranja i komuniciranja</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Odobrena sredstva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p.m.</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p.m.</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0,—</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widowControl/>
        <w:jc w:val="both"/>
        <w:rPr>
          <w:rFonts w:cs="Arial"/>
          <w:bCs/>
          <w:kern w:val="32"/>
          <w:szCs w:val="24"/>
        </w:rPr>
      </w:pPr>
      <w:r w:rsidRPr="00DD76C8">
        <w:t>Ova odobrena sredstva namijenjena su za pokrivanje troškova politike informiranja i komuniciranja.</w:t>
      </w:r>
    </w:p>
    <w:p w:rsidR="002D1DA9" w:rsidRPr="00DD76C8" w:rsidRDefault="002D1DA9" w:rsidP="00FD2C57">
      <w:pPr>
        <w:widowControl/>
        <w:autoSpaceDE w:val="0"/>
        <w:autoSpaceDN w:val="0"/>
        <w:spacing w:before="480" w:after="120"/>
        <w:outlineLvl w:val="2"/>
        <w:rPr>
          <w:b/>
          <w:bCs/>
          <w:smallCaps/>
          <w:sz w:val="28"/>
          <w:szCs w:val="28"/>
        </w:rPr>
      </w:pPr>
      <w:r w:rsidRPr="00DD76C8">
        <w:rPr>
          <w:b/>
          <w:smallCaps/>
          <w:sz w:val="28"/>
        </w:rPr>
        <w:t>Poglavlje 10 5 — Privremena sredstva za zgrade</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Odobrena sredstva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p.m.</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p.m.</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0,—</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widowControl/>
        <w:jc w:val="both"/>
        <w:rPr>
          <w:rFonts w:cs="Arial"/>
          <w:bCs/>
          <w:kern w:val="32"/>
          <w:szCs w:val="24"/>
        </w:rPr>
      </w:pPr>
      <w:r w:rsidRPr="00DD76C8">
        <w:t>Ova odobrena sredstva namijenjena su za pokrivanje troškova institucije za ulaganje u nekretnine i njihovo opremanje. Od Predsjedništva Europskog parlamenta traži se da donese dosljednu i odgovornu dugoročnu strategiju na području nekretnina i zgrada u kojoj će se voditi računa o posebnom problemu rastućih troškova održavanja, rastuće potrebe za obnavljanjem i rastućih troškova sigurnosti te jamčiti održivost proračuna Europskog parlamenta.</w:t>
      </w:r>
    </w:p>
    <w:p w:rsidR="002D1DA9" w:rsidRPr="00DD76C8" w:rsidRDefault="002D1DA9" w:rsidP="00FD2C57">
      <w:pPr>
        <w:widowControl/>
        <w:autoSpaceDE w:val="0"/>
        <w:autoSpaceDN w:val="0"/>
        <w:spacing w:before="480" w:after="120"/>
        <w:outlineLvl w:val="2"/>
        <w:rPr>
          <w:b/>
          <w:bCs/>
          <w:smallCaps/>
          <w:sz w:val="28"/>
          <w:szCs w:val="28"/>
        </w:rPr>
      </w:pPr>
      <w:r w:rsidRPr="00DD76C8">
        <w:rPr>
          <w:b/>
          <w:smallCaps/>
          <w:sz w:val="28"/>
        </w:rPr>
        <w:t>Poglavlje 10 6 — Pričuva za prioritetne projekte u pripremi</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Odobrena sredstva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p.m.</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p.m.</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0,—</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widowControl/>
        <w:jc w:val="both"/>
        <w:rPr>
          <w:rFonts w:cs="Arial"/>
          <w:bCs/>
          <w:kern w:val="32"/>
          <w:szCs w:val="24"/>
        </w:rPr>
      </w:pPr>
      <w:r w:rsidRPr="00DD76C8">
        <w:t>Ova odobrena sredstva namijenjena su za pokrivanje izdataka za prioritetne projekte institucije koji se nalaze u razvojnoj fazi.</w:t>
      </w:r>
    </w:p>
    <w:p w:rsidR="002D1DA9" w:rsidRPr="00DD76C8" w:rsidRDefault="002D1DA9" w:rsidP="00FD2C57">
      <w:pPr>
        <w:widowControl/>
        <w:autoSpaceDE w:val="0"/>
        <w:autoSpaceDN w:val="0"/>
        <w:spacing w:before="480" w:after="120"/>
        <w:outlineLvl w:val="2"/>
        <w:rPr>
          <w:b/>
          <w:bCs/>
          <w:smallCaps/>
          <w:sz w:val="28"/>
          <w:szCs w:val="28"/>
        </w:rPr>
      </w:pPr>
      <w:r w:rsidRPr="00DD76C8">
        <w:rPr>
          <w:b/>
          <w:smallCaps/>
          <w:sz w:val="28"/>
        </w:rPr>
        <w:t>Poglavlje 10 8 — Pričuva za EMAS</w:t>
      </w:r>
    </w:p>
    <w:p w:rsidR="002D1DA9" w:rsidRPr="00DD76C8" w:rsidRDefault="002D1DA9" w:rsidP="00FD2C57">
      <w:pPr>
        <w:widowControl/>
        <w:autoSpaceDE w:val="0"/>
        <w:autoSpaceDN w:val="0"/>
        <w:spacing w:before="120" w:after="120"/>
        <w:rPr>
          <w:i/>
          <w:iCs/>
          <w:sz w:val="20"/>
        </w:rPr>
      </w:pPr>
      <w:r w:rsidRPr="00DD76C8">
        <w:rPr>
          <w:i/>
          <w:sz w:val="20"/>
        </w:rPr>
        <w:t>Iznosi</w:t>
      </w:r>
    </w:p>
    <w:tbl>
      <w:tblPr>
        <w:tblW w:w="10773" w:type="dxa"/>
        <w:tblLayout w:type="fixed"/>
        <w:tblCellMar>
          <w:left w:w="40" w:type="dxa"/>
          <w:right w:w="40" w:type="dxa"/>
        </w:tblCellMar>
        <w:tblLook w:val="0000" w:firstRow="0" w:lastRow="0" w:firstColumn="0" w:lastColumn="0" w:noHBand="0" w:noVBand="0"/>
      </w:tblPr>
      <w:tblGrid>
        <w:gridCol w:w="3591"/>
        <w:gridCol w:w="3591"/>
        <w:gridCol w:w="3591"/>
      </w:tblGrid>
      <w:tr w:rsidR="002D1DA9" w:rsidRPr="00DD76C8" w:rsidTr="00FD2C57">
        <w:trPr>
          <w:cantSplit/>
          <w:tblHeader/>
        </w:trPr>
        <w:tc>
          <w:tcPr>
            <w:tcW w:w="3591" w:type="dxa"/>
            <w:tcBorders>
              <w:top w:val="single" w:sz="4" w:space="0" w:color="auto"/>
              <w:left w:val="single" w:sz="4" w:space="0" w:color="auto"/>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Proračun za 2018.</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Odobrena sredstva za 2017.</w:t>
            </w:r>
          </w:p>
        </w:tc>
        <w:tc>
          <w:tcPr>
            <w:tcW w:w="3591" w:type="dxa"/>
            <w:tcBorders>
              <w:top w:val="single" w:sz="4" w:space="0" w:color="auto"/>
              <w:left w:val="nil"/>
              <w:bottom w:val="single" w:sz="4" w:space="0" w:color="auto"/>
              <w:right w:val="single" w:sz="4" w:space="0" w:color="auto"/>
            </w:tcBorders>
            <w:shd w:val="clear" w:color="auto" w:fill="E0E0E0"/>
            <w:vAlign w:val="center"/>
          </w:tcPr>
          <w:p w:rsidR="002D1DA9" w:rsidRPr="00DD76C8" w:rsidRDefault="002D1DA9" w:rsidP="00FD2C57">
            <w:pPr>
              <w:keepNext/>
              <w:widowControl/>
              <w:spacing w:before="30" w:after="30"/>
              <w:jc w:val="center"/>
              <w:rPr>
                <w:rFonts w:cs="Arial"/>
                <w:bCs/>
                <w:kern w:val="32"/>
                <w:sz w:val="16"/>
                <w:szCs w:val="16"/>
              </w:rPr>
            </w:pPr>
            <w:r w:rsidRPr="00DD76C8">
              <w:rPr>
                <w:kern w:val="32"/>
                <w:sz w:val="16"/>
              </w:rPr>
              <w:t>Izvršenje proračuna za 2016.</w:t>
            </w:r>
          </w:p>
        </w:tc>
      </w:tr>
      <w:tr w:rsidR="002D1DA9" w:rsidRPr="00DD76C8" w:rsidTr="00FD2C57">
        <w:trPr>
          <w:cantSplit/>
        </w:trPr>
        <w:tc>
          <w:tcPr>
            <w:tcW w:w="3591" w:type="dxa"/>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p.m.</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p.m.</w:t>
            </w:r>
          </w:p>
        </w:tc>
        <w:tc>
          <w:tcPr>
            <w:tcW w:w="3591" w:type="dxa"/>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right"/>
              <w:rPr>
                <w:rFonts w:cs="Arial"/>
                <w:bCs/>
                <w:kern w:val="32"/>
                <w:sz w:val="16"/>
                <w:szCs w:val="16"/>
              </w:rPr>
            </w:pPr>
            <w:r w:rsidRPr="00DD76C8">
              <w:rPr>
                <w:kern w:val="32"/>
                <w:sz w:val="16"/>
              </w:rPr>
              <w:t>0,—</w:t>
            </w:r>
          </w:p>
        </w:tc>
      </w:tr>
    </w:tbl>
    <w:p w:rsidR="002D1DA9" w:rsidRPr="00DD76C8" w:rsidRDefault="002D1DA9" w:rsidP="00FD2C57">
      <w:pPr>
        <w:widowControl/>
        <w:autoSpaceDE w:val="0"/>
        <w:autoSpaceDN w:val="0"/>
        <w:spacing w:before="120" w:after="120"/>
        <w:rPr>
          <w:i/>
          <w:iCs/>
          <w:sz w:val="20"/>
        </w:rPr>
      </w:pPr>
      <w:r w:rsidRPr="00DD76C8">
        <w:rPr>
          <w:i/>
          <w:sz w:val="20"/>
        </w:rPr>
        <w:t>Napomene</w:t>
      </w:r>
    </w:p>
    <w:p w:rsidR="002D1DA9" w:rsidRPr="00DD76C8" w:rsidRDefault="002D1DA9" w:rsidP="00FD2C57">
      <w:pPr>
        <w:widowControl/>
        <w:jc w:val="both"/>
        <w:rPr>
          <w:rFonts w:cs="Arial"/>
          <w:bCs/>
          <w:kern w:val="32"/>
          <w:szCs w:val="24"/>
        </w:rPr>
      </w:pPr>
      <w:r w:rsidRPr="00DD76C8">
        <w:t>Ova odobrena sredstva se u skladu s odlukama za provedbu plana djelovanja EMAS, koje će Predsjedništvo donijeti nakon izrade izvješća o emisiji ugljičnog dioksida Europskog parlamenta, knjiže u odgovarajuće operativne proračunske stavke.</w:t>
      </w:r>
    </w:p>
    <w:p w:rsidR="002D1DA9" w:rsidRPr="00DD76C8" w:rsidRDefault="002D1DA9" w:rsidP="00FD2C57">
      <w:pPr>
        <w:widowControl/>
        <w:rPr>
          <w:rFonts w:ascii="Arial" w:hAnsi="Arial" w:cs="Arial"/>
          <w:b/>
          <w:bCs/>
          <w:kern w:val="28"/>
          <w:sz w:val="28"/>
          <w:szCs w:val="28"/>
        </w:rPr>
      </w:pPr>
      <w:r w:rsidRPr="00DD76C8">
        <w:br w:type="page"/>
      </w:r>
    </w:p>
    <w:p w:rsidR="002D1DA9" w:rsidRPr="00DD76C8" w:rsidRDefault="002D1DA9" w:rsidP="00FD2C57">
      <w:pPr>
        <w:keepNext/>
        <w:widowControl/>
        <w:spacing w:before="480" w:after="120"/>
        <w:outlineLvl w:val="0"/>
        <w:rPr>
          <w:rFonts w:ascii="Arial" w:hAnsi="Arial" w:cs="Arial"/>
          <w:b/>
          <w:bCs/>
          <w:kern w:val="28"/>
          <w:sz w:val="28"/>
          <w:szCs w:val="28"/>
        </w:rPr>
      </w:pPr>
      <w:r w:rsidRPr="00DD76C8">
        <w:rPr>
          <w:rFonts w:ascii="Arial" w:hAnsi="Arial"/>
          <w:b/>
          <w:kern w:val="28"/>
          <w:sz w:val="28"/>
        </w:rPr>
        <w:t>OSOBLJE</w:t>
      </w:r>
    </w:p>
    <w:p w:rsidR="002D1DA9" w:rsidRPr="00DD76C8" w:rsidRDefault="002D1DA9" w:rsidP="00FD2C57">
      <w:pPr>
        <w:keepNext/>
        <w:widowControl/>
        <w:tabs>
          <w:tab w:val="left" w:pos="4260"/>
        </w:tabs>
        <w:spacing w:before="480" w:after="120"/>
        <w:outlineLvl w:val="1"/>
        <w:rPr>
          <w:rFonts w:ascii="Arial" w:hAnsi="Arial" w:cs="Arial"/>
          <w:b/>
          <w:bCs/>
          <w:i/>
          <w:iCs/>
          <w:szCs w:val="24"/>
        </w:rPr>
      </w:pPr>
      <w:r w:rsidRPr="00DD76C8">
        <w:rPr>
          <w:rFonts w:ascii="Arial" w:hAnsi="Arial"/>
          <w:b/>
          <w:i/>
        </w:rPr>
        <w:t>Dio I. — Europski parlament</w:t>
      </w:r>
    </w:p>
    <w:tbl>
      <w:tblPr>
        <w:tblW w:w="10773" w:type="dxa"/>
        <w:tblLayout w:type="fixed"/>
        <w:tblCellMar>
          <w:left w:w="40" w:type="dxa"/>
          <w:right w:w="40" w:type="dxa"/>
        </w:tblCellMar>
        <w:tblLook w:val="0000" w:firstRow="0" w:lastRow="0" w:firstColumn="0" w:lastColumn="0" w:noHBand="0" w:noVBand="0"/>
      </w:tblPr>
      <w:tblGrid>
        <w:gridCol w:w="1197"/>
        <w:gridCol w:w="1197"/>
        <w:gridCol w:w="1197"/>
        <w:gridCol w:w="1197"/>
        <w:gridCol w:w="1197"/>
        <w:gridCol w:w="1197"/>
        <w:gridCol w:w="1197"/>
        <w:gridCol w:w="1197"/>
        <w:gridCol w:w="1197"/>
      </w:tblGrid>
      <w:tr w:rsidR="002D1DA9" w:rsidRPr="00DD76C8" w:rsidTr="00FD2C57">
        <w:tc>
          <w:tcPr>
            <w:tcW w:w="1197" w:type="dxa"/>
            <w:vMerge w:val="restart"/>
            <w:tcBorders>
              <w:top w:val="single" w:sz="4" w:space="0" w:color="auto"/>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Funkcijska skupina i razred</w:t>
            </w:r>
          </w:p>
        </w:tc>
        <w:tc>
          <w:tcPr>
            <w:tcW w:w="9576" w:type="dxa"/>
            <w:gridSpan w:val="8"/>
            <w:tcBorders>
              <w:top w:val="single" w:sz="4" w:space="0" w:color="auto"/>
              <w:left w:val="nil"/>
              <w:bottom w:val="single" w:sz="4" w:space="0" w:color="auto"/>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r>
      <w:tr w:rsidR="002D1DA9" w:rsidRPr="00DD76C8" w:rsidTr="00FD2C57">
        <w:tc>
          <w:tcPr>
            <w:tcW w:w="1197" w:type="dxa"/>
            <w:vMerge/>
            <w:tcBorders>
              <w:top w:val="nil"/>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c>
          <w:tcPr>
            <w:tcW w:w="4788" w:type="dxa"/>
            <w:gridSpan w:val="4"/>
            <w:tcBorders>
              <w:top w:val="nil"/>
              <w:left w:val="nil"/>
              <w:bottom w:val="single" w:sz="4" w:space="0" w:color="auto"/>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2018.</w:t>
            </w:r>
          </w:p>
        </w:tc>
        <w:tc>
          <w:tcPr>
            <w:tcW w:w="4788" w:type="dxa"/>
            <w:gridSpan w:val="4"/>
            <w:tcBorders>
              <w:top w:val="nil"/>
              <w:left w:val="nil"/>
              <w:bottom w:val="single" w:sz="4" w:space="0" w:color="auto"/>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2017.</w:t>
            </w:r>
          </w:p>
        </w:tc>
      </w:tr>
      <w:tr w:rsidR="002D1DA9" w:rsidRPr="00DD76C8" w:rsidTr="00FD2C57">
        <w:tc>
          <w:tcPr>
            <w:tcW w:w="1197" w:type="dxa"/>
            <w:vMerge/>
            <w:tcBorders>
              <w:top w:val="nil"/>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c>
          <w:tcPr>
            <w:tcW w:w="2394" w:type="dxa"/>
            <w:gridSpan w:val="2"/>
            <w:vMerge w:val="restart"/>
            <w:tcBorders>
              <w:top w:val="nil"/>
              <w:left w:val="nil"/>
              <w:bottom w:val="single" w:sz="4" w:space="0" w:color="auto"/>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Stalna radna mjesta</w:t>
            </w:r>
          </w:p>
        </w:tc>
        <w:tc>
          <w:tcPr>
            <w:tcW w:w="2394" w:type="dxa"/>
            <w:gridSpan w:val="2"/>
            <w:tcBorders>
              <w:top w:val="nil"/>
              <w:left w:val="nil"/>
              <w:bottom w:val="single" w:sz="4" w:space="0" w:color="auto"/>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Privremena radna mjesta</w:t>
            </w:r>
          </w:p>
        </w:tc>
        <w:tc>
          <w:tcPr>
            <w:tcW w:w="2394" w:type="dxa"/>
            <w:gridSpan w:val="2"/>
            <w:vMerge w:val="restart"/>
            <w:tcBorders>
              <w:top w:val="nil"/>
              <w:left w:val="nil"/>
              <w:bottom w:val="single" w:sz="4" w:space="0" w:color="auto"/>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Stalna radna mjesta</w:t>
            </w:r>
          </w:p>
        </w:tc>
        <w:tc>
          <w:tcPr>
            <w:tcW w:w="2394" w:type="dxa"/>
            <w:gridSpan w:val="2"/>
            <w:tcBorders>
              <w:top w:val="nil"/>
              <w:left w:val="nil"/>
              <w:bottom w:val="single" w:sz="4" w:space="0" w:color="auto"/>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Privremena radna mjesta</w:t>
            </w:r>
          </w:p>
        </w:tc>
      </w:tr>
      <w:tr w:rsidR="002D1DA9" w:rsidRPr="00DD76C8" w:rsidTr="00FD2C57">
        <w:tc>
          <w:tcPr>
            <w:tcW w:w="1197" w:type="dxa"/>
            <w:vMerge/>
            <w:tcBorders>
              <w:top w:val="nil"/>
              <w:left w:val="single" w:sz="4" w:space="0" w:color="auto"/>
              <w:bottom w:val="single" w:sz="4" w:space="0" w:color="auto"/>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c>
          <w:tcPr>
            <w:tcW w:w="2394" w:type="dxa"/>
            <w:gridSpan w:val="2"/>
            <w:vMerge/>
            <w:tcBorders>
              <w:top w:val="nil"/>
              <w:left w:val="nil"/>
              <w:bottom w:val="single" w:sz="4" w:space="0" w:color="auto"/>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c>
          <w:tcPr>
            <w:tcW w:w="1197" w:type="dxa"/>
            <w:tcBorders>
              <w:top w:val="nil"/>
              <w:left w:val="nil"/>
              <w:bottom w:val="single" w:sz="4" w:space="0" w:color="auto"/>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Ostalo</w:t>
            </w:r>
          </w:p>
        </w:tc>
        <w:tc>
          <w:tcPr>
            <w:tcW w:w="1197" w:type="dxa"/>
            <w:tcBorders>
              <w:top w:val="nil"/>
              <w:left w:val="nil"/>
              <w:bottom w:val="single" w:sz="4" w:space="0" w:color="auto"/>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Klubovi zastupnika</w:t>
            </w:r>
          </w:p>
        </w:tc>
        <w:tc>
          <w:tcPr>
            <w:tcW w:w="2394" w:type="dxa"/>
            <w:gridSpan w:val="2"/>
            <w:vMerge/>
            <w:tcBorders>
              <w:top w:val="nil"/>
              <w:left w:val="nil"/>
              <w:bottom w:val="single" w:sz="4" w:space="0" w:color="auto"/>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c>
          <w:tcPr>
            <w:tcW w:w="1197" w:type="dxa"/>
            <w:tcBorders>
              <w:top w:val="nil"/>
              <w:left w:val="nil"/>
              <w:bottom w:val="single" w:sz="4" w:space="0" w:color="auto"/>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Ostalo</w:t>
            </w:r>
          </w:p>
        </w:tc>
        <w:tc>
          <w:tcPr>
            <w:tcW w:w="1197" w:type="dxa"/>
            <w:tcBorders>
              <w:top w:val="nil"/>
              <w:left w:val="nil"/>
              <w:bottom w:val="single" w:sz="4" w:space="0" w:color="auto"/>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Klubovi zastupnika</w:t>
            </w:r>
          </w:p>
        </w:tc>
      </w:tr>
      <w:tr w:rsidR="002D1DA9" w:rsidRPr="00DD76C8" w:rsidTr="00FD2C57">
        <w:tc>
          <w:tcPr>
            <w:tcW w:w="1197" w:type="dxa"/>
            <w:tcBorders>
              <w:top w:val="nil"/>
              <w:left w:val="single" w:sz="4" w:space="0" w:color="auto"/>
              <w:bottom w:val="single" w:sz="4" w:space="0" w:color="auto"/>
              <w:right w:val="single" w:sz="4" w:space="0" w:color="auto"/>
            </w:tcBorders>
          </w:tcPr>
          <w:p w:rsidR="002D1DA9" w:rsidRPr="00DD76C8" w:rsidRDefault="002D1DA9" w:rsidP="00FD2C57">
            <w:pPr>
              <w:widowControl/>
              <w:spacing w:before="30" w:after="30"/>
              <w:jc w:val="both"/>
              <w:rPr>
                <w:rFonts w:cs="Arial"/>
                <w:bCs/>
                <w:kern w:val="32"/>
                <w:sz w:val="16"/>
                <w:szCs w:val="16"/>
              </w:rPr>
            </w:pPr>
            <w:r w:rsidRPr="00DD76C8">
              <w:rPr>
                <w:kern w:val="32"/>
                <w:sz w:val="16"/>
              </w:rPr>
              <w:t>Posebni razred</w:t>
            </w:r>
          </w:p>
        </w:tc>
        <w:tc>
          <w:tcPr>
            <w:tcW w:w="1197" w:type="dxa"/>
            <w:tcBorders>
              <w:top w:val="nil"/>
              <w:left w:val="nil"/>
              <w:bottom w:val="single" w:sz="4" w:space="0" w:color="auto"/>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1</w:t>
            </w:r>
          </w:p>
        </w:tc>
        <w:tc>
          <w:tcPr>
            <w:tcW w:w="1197" w:type="dxa"/>
            <w:tcBorders>
              <w:top w:val="nil"/>
              <w:left w:val="nil"/>
              <w:bottom w:val="single" w:sz="4" w:space="0" w:color="auto"/>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c>
          <w:tcPr>
            <w:tcW w:w="1197" w:type="dxa"/>
            <w:tcBorders>
              <w:top w:val="nil"/>
              <w:left w:val="nil"/>
              <w:bottom w:val="single" w:sz="4" w:space="0" w:color="auto"/>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c>
          <w:tcPr>
            <w:tcW w:w="1197" w:type="dxa"/>
            <w:tcBorders>
              <w:top w:val="nil"/>
              <w:left w:val="nil"/>
              <w:bottom w:val="single" w:sz="4" w:space="0" w:color="auto"/>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c>
          <w:tcPr>
            <w:tcW w:w="1197" w:type="dxa"/>
            <w:tcBorders>
              <w:top w:val="nil"/>
              <w:left w:val="nil"/>
              <w:bottom w:val="single" w:sz="4" w:space="0" w:color="auto"/>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1</w:t>
            </w:r>
          </w:p>
        </w:tc>
        <w:tc>
          <w:tcPr>
            <w:tcW w:w="1197" w:type="dxa"/>
            <w:tcBorders>
              <w:top w:val="nil"/>
              <w:left w:val="nil"/>
              <w:bottom w:val="single" w:sz="4" w:space="0" w:color="auto"/>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c>
          <w:tcPr>
            <w:tcW w:w="1197" w:type="dxa"/>
            <w:tcBorders>
              <w:top w:val="nil"/>
              <w:left w:val="nil"/>
              <w:bottom w:val="single" w:sz="4" w:space="0" w:color="auto"/>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c>
          <w:tcPr>
            <w:tcW w:w="1197" w:type="dxa"/>
            <w:tcBorders>
              <w:top w:val="nil"/>
              <w:left w:val="nil"/>
              <w:bottom w:val="single" w:sz="4" w:space="0" w:color="auto"/>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r>
      <w:tr w:rsidR="002D1DA9" w:rsidRPr="00DD76C8" w:rsidTr="00FD2C57">
        <w:tc>
          <w:tcPr>
            <w:tcW w:w="1197" w:type="dxa"/>
            <w:tcBorders>
              <w:top w:val="nil"/>
              <w:left w:val="single" w:sz="4" w:space="0" w:color="auto"/>
              <w:bottom w:val="nil"/>
              <w:right w:val="single" w:sz="4" w:space="0" w:color="auto"/>
            </w:tcBorders>
          </w:tcPr>
          <w:p w:rsidR="002D1DA9" w:rsidRPr="00DD76C8" w:rsidRDefault="002D1DA9" w:rsidP="00FD2C57">
            <w:pPr>
              <w:widowControl/>
              <w:spacing w:before="30" w:after="30"/>
              <w:jc w:val="both"/>
              <w:rPr>
                <w:rFonts w:cs="Arial"/>
                <w:bCs/>
                <w:kern w:val="32"/>
                <w:sz w:val="16"/>
                <w:szCs w:val="16"/>
              </w:rPr>
            </w:pPr>
            <w:r w:rsidRPr="00DD76C8">
              <w:rPr>
                <w:kern w:val="32"/>
                <w:sz w:val="16"/>
              </w:rPr>
              <w:t>AD 16</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13</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1</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7</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13</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1</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7</w:t>
            </w:r>
          </w:p>
        </w:tc>
      </w:tr>
      <w:tr w:rsidR="002D1DA9" w:rsidRPr="00DD76C8" w:rsidTr="00FD2C57">
        <w:tc>
          <w:tcPr>
            <w:tcW w:w="1197" w:type="dxa"/>
            <w:tcBorders>
              <w:top w:val="nil"/>
              <w:left w:val="single" w:sz="4" w:space="0" w:color="auto"/>
              <w:bottom w:val="nil"/>
              <w:right w:val="single" w:sz="4" w:space="0" w:color="auto"/>
            </w:tcBorders>
          </w:tcPr>
          <w:p w:rsidR="002D1DA9" w:rsidRPr="00DD76C8" w:rsidRDefault="002D1DA9" w:rsidP="00FD2C57">
            <w:pPr>
              <w:widowControl/>
              <w:spacing w:before="30" w:after="30"/>
              <w:jc w:val="both"/>
              <w:rPr>
                <w:rFonts w:cs="Arial"/>
                <w:bCs/>
                <w:kern w:val="32"/>
                <w:sz w:val="16"/>
                <w:szCs w:val="16"/>
              </w:rPr>
            </w:pPr>
            <w:r w:rsidRPr="00DD76C8">
              <w:rPr>
                <w:kern w:val="32"/>
                <w:sz w:val="16"/>
              </w:rPr>
              <w:t>AD 15</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54</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1</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5</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54</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1</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5</w:t>
            </w:r>
          </w:p>
        </w:tc>
      </w:tr>
      <w:tr w:rsidR="002D1DA9" w:rsidRPr="00DD76C8" w:rsidTr="00FD2C57">
        <w:tc>
          <w:tcPr>
            <w:tcW w:w="1197" w:type="dxa"/>
            <w:tcBorders>
              <w:top w:val="nil"/>
              <w:left w:val="single" w:sz="4" w:space="0" w:color="auto"/>
              <w:bottom w:val="nil"/>
              <w:right w:val="single" w:sz="4" w:space="0" w:color="auto"/>
            </w:tcBorders>
          </w:tcPr>
          <w:p w:rsidR="002D1DA9" w:rsidRPr="00DD76C8" w:rsidRDefault="002D1DA9" w:rsidP="00FD2C57">
            <w:pPr>
              <w:widowControl/>
              <w:spacing w:before="30" w:after="30"/>
              <w:jc w:val="both"/>
              <w:rPr>
                <w:rFonts w:cs="Arial"/>
                <w:bCs/>
                <w:kern w:val="32"/>
                <w:sz w:val="16"/>
                <w:szCs w:val="16"/>
              </w:rPr>
            </w:pPr>
            <w:r w:rsidRPr="00DD76C8">
              <w:rPr>
                <w:kern w:val="32"/>
                <w:sz w:val="16"/>
              </w:rPr>
              <w:t>AD 14</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214</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2</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7</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36</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214</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2</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7</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36</w:t>
            </w:r>
          </w:p>
        </w:tc>
      </w:tr>
      <w:tr w:rsidR="002D1DA9" w:rsidRPr="00DD76C8" w:rsidTr="00FD2C57">
        <w:tc>
          <w:tcPr>
            <w:tcW w:w="1197" w:type="dxa"/>
            <w:tcBorders>
              <w:top w:val="nil"/>
              <w:left w:val="single" w:sz="4" w:space="0" w:color="auto"/>
              <w:bottom w:val="nil"/>
              <w:right w:val="single" w:sz="4" w:space="0" w:color="auto"/>
            </w:tcBorders>
          </w:tcPr>
          <w:p w:rsidR="002D1DA9" w:rsidRPr="00DD76C8" w:rsidRDefault="002D1DA9" w:rsidP="00FD2C57">
            <w:pPr>
              <w:widowControl/>
              <w:spacing w:before="30" w:after="30"/>
              <w:jc w:val="both"/>
              <w:rPr>
                <w:rFonts w:cs="Arial"/>
                <w:bCs/>
                <w:kern w:val="32"/>
                <w:sz w:val="16"/>
                <w:szCs w:val="16"/>
              </w:rPr>
            </w:pPr>
            <w:r w:rsidRPr="00DD76C8">
              <w:rPr>
                <w:kern w:val="32"/>
                <w:sz w:val="16"/>
              </w:rPr>
              <w:t>AD 13</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409</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8</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2</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38</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439</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8</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2</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38</w:t>
            </w:r>
          </w:p>
        </w:tc>
      </w:tr>
      <w:tr w:rsidR="002D1DA9" w:rsidRPr="00DD76C8" w:rsidTr="00FD2C57">
        <w:tc>
          <w:tcPr>
            <w:tcW w:w="1197" w:type="dxa"/>
            <w:tcBorders>
              <w:top w:val="nil"/>
              <w:left w:val="single" w:sz="4" w:space="0" w:color="auto"/>
              <w:bottom w:val="nil"/>
              <w:right w:val="single" w:sz="4" w:space="0" w:color="auto"/>
            </w:tcBorders>
          </w:tcPr>
          <w:p w:rsidR="002D1DA9" w:rsidRPr="00DD76C8" w:rsidRDefault="002D1DA9" w:rsidP="00FD2C57">
            <w:pPr>
              <w:widowControl/>
              <w:spacing w:before="30" w:after="30"/>
              <w:jc w:val="both"/>
              <w:rPr>
                <w:rFonts w:cs="Arial"/>
                <w:bCs/>
                <w:kern w:val="32"/>
                <w:sz w:val="16"/>
                <w:szCs w:val="16"/>
              </w:rPr>
            </w:pPr>
            <w:r w:rsidRPr="00DD76C8">
              <w:rPr>
                <w:kern w:val="32"/>
                <w:sz w:val="16"/>
              </w:rPr>
              <w:t>AD 12</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329</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13</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60</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294</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13</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60</w:t>
            </w:r>
          </w:p>
        </w:tc>
      </w:tr>
      <w:tr w:rsidR="002D1DA9" w:rsidRPr="00DD76C8" w:rsidTr="00FD2C57">
        <w:tc>
          <w:tcPr>
            <w:tcW w:w="1197" w:type="dxa"/>
            <w:tcBorders>
              <w:top w:val="nil"/>
              <w:left w:val="single" w:sz="4" w:space="0" w:color="auto"/>
              <w:bottom w:val="nil"/>
              <w:right w:val="single" w:sz="4" w:space="0" w:color="auto"/>
            </w:tcBorders>
          </w:tcPr>
          <w:p w:rsidR="002D1DA9" w:rsidRPr="00DD76C8" w:rsidRDefault="002D1DA9" w:rsidP="00FD2C57">
            <w:pPr>
              <w:widowControl/>
              <w:spacing w:before="30" w:after="30"/>
              <w:jc w:val="both"/>
              <w:rPr>
                <w:rFonts w:cs="Arial"/>
                <w:bCs/>
                <w:kern w:val="32"/>
                <w:sz w:val="16"/>
                <w:szCs w:val="16"/>
              </w:rPr>
            </w:pPr>
            <w:r w:rsidRPr="00DD76C8">
              <w:rPr>
                <w:kern w:val="32"/>
                <w:sz w:val="16"/>
              </w:rPr>
              <w:t>AD 11</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159</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8</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29</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154</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7</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29</w:t>
            </w:r>
          </w:p>
        </w:tc>
      </w:tr>
      <w:tr w:rsidR="002D1DA9" w:rsidRPr="00DD76C8" w:rsidTr="00FD2C57">
        <w:tc>
          <w:tcPr>
            <w:tcW w:w="1197" w:type="dxa"/>
            <w:tcBorders>
              <w:top w:val="nil"/>
              <w:left w:val="single" w:sz="4" w:space="0" w:color="auto"/>
              <w:bottom w:val="nil"/>
              <w:right w:val="single" w:sz="4" w:space="0" w:color="auto"/>
            </w:tcBorders>
          </w:tcPr>
          <w:p w:rsidR="002D1DA9" w:rsidRPr="00DD76C8" w:rsidRDefault="002D1DA9" w:rsidP="00FD2C57">
            <w:pPr>
              <w:widowControl/>
              <w:spacing w:before="30" w:after="30"/>
              <w:jc w:val="both"/>
              <w:rPr>
                <w:rFonts w:cs="Arial"/>
                <w:bCs/>
                <w:kern w:val="32"/>
                <w:sz w:val="16"/>
                <w:szCs w:val="16"/>
              </w:rPr>
            </w:pPr>
            <w:r w:rsidRPr="00DD76C8">
              <w:rPr>
                <w:kern w:val="32"/>
                <w:sz w:val="16"/>
              </w:rPr>
              <w:t>AD 10</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253</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8</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25</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213</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7</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25</w:t>
            </w:r>
          </w:p>
        </w:tc>
      </w:tr>
      <w:tr w:rsidR="002D1DA9" w:rsidRPr="00DD76C8" w:rsidTr="00FD2C57">
        <w:tc>
          <w:tcPr>
            <w:tcW w:w="1197" w:type="dxa"/>
            <w:tcBorders>
              <w:top w:val="nil"/>
              <w:left w:val="single" w:sz="4" w:space="0" w:color="auto"/>
              <w:bottom w:val="nil"/>
              <w:right w:val="single" w:sz="4" w:space="0" w:color="auto"/>
            </w:tcBorders>
          </w:tcPr>
          <w:p w:rsidR="002D1DA9" w:rsidRPr="00DD76C8" w:rsidRDefault="002D1DA9" w:rsidP="00FD2C57">
            <w:pPr>
              <w:widowControl/>
              <w:spacing w:before="30" w:after="30"/>
              <w:jc w:val="both"/>
              <w:rPr>
                <w:rFonts w:cs="Arial"/>
                <w:bCs/>
                <w:kern w:val="32"/>
                <w:sz w:val="16"/>
                <w:szCs w:val="16"/>
              </w:rPr>
            </w:pPr>
            <w:r w:rsidRPr="00DD76C8">
              <w:rPr>
                <w:kern w:val="32"/>
                <w:sz w:val="16"/>
              </w:rPr>
              <w:t>AD 9</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339</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5</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32</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149</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6</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32</w:t>
            </w:r>
          </w:p>
        </w:tc>
      </w:tr>
      <w:tr w:rsidR="002D1DA9" w:rsidRPr="00DD76C8" w:rsidTr="00FD2C57">
        <w:tc>
          <w:tcPr>
            <w:tcW w:w="1197" w:type="dxa"/>
            <w:tcBorders>
              <w:top w:val="nil"/>
              <w:left w:val="single" w:sz="4" w:space="0" w:color="auto"/>
              <w:bottom w:val="nil"/>
              <w:right w:val="single" w:sz="4" w:space="0" w:color="auto"/>
            </w:tcBorders>
          </w:tcPr>
          <w:p w:rsidR="002D1DA9" w:rsidRPr="00DD76C8" w:rsidRDefault="002D1DA9" w:rsidP="00FD2C57">
            <w:pPr>
              <w:widowControl/>
              <w:spacing w:before="30" w:after="30"/>
              <w:jc w:val="both"/>
              <w:rPr>
                <w:rFonts w:cs="Arial"/>
                <w:bCs/>
                <w:kern w:val="32"/>
                <w:sz w:val="16"/>
                <w:szCs w:val="16"/>
              </w:rPr>
            </w:pPr>
            <w:r w:rsidRPr="00DD76C8">
              <w:rPr>
                <w:kern w:val="32"/>
                <w:sz w:val="16"/>
              </w:rPr>
              <w:t>AD 8</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341</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8</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40</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446</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7</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40</w:t>
            </w:r>
          </w:p>
        </w:tc>
      </w:tr>
      <w:tr w:rsidR="002D1DA9" w:rsidRPr="00DD76C8" w:rsidTr="00FD2C57">
        <w:tc>
          <w:tcPr>
            <w:tcW w:w="1197" w:type="dxa"/>
            <w:tcBorders>
              <w:top w:val="nil"/>
              <w:left w:val="single" w:sz="4" w:space="0" w:color="auto"/>
              <w:bottom w:val="nil"/>
              <w:right w:val="single" w:sz="4" w:space="0" w:color="auto"/>
            </w:tcBorders>
          </w:tcPr>
          <w:p w:rsidR="002D1DA9" w:rsidRPr="00DD76C8" w:rsidRDefault="002D1DA9" w:rsidP="00FD2C57">
            <w:pPr>
              <w:widowControl/>
              <w:spacing w:before="30" w:after="30"/>
              <w:jc w:val="both"/>
              <w:rPr>
                <w:rFonts w:cs="Arial"/>
                <w:bCs/>
                <w:kern w:val="32"/>
                <w:sz w:val="16"/>
                <w:szCs w:val="16"/>
              </w:rPr>
            </w:pPr>
            <w:r w:rsidRPr="00DD76C8">
              <w:rPr>
                <w:kern w:val="32"/>
                <w:sz w:val="16"/>
              </w:rPr>
              <w:t>AD 7</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251</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3</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65</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311</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2</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65</w:t>
            </w:r>
          </w:p>
        </w:tc>
      </w:tr>
      <w:tr w:rsidR="002D1DA9" w:rsidRPr="00DD76C8" w:rsidTr="00FD2C57">
        <w:tc>
          <w:tcPr>
            <w:tcW w:w="1197" w:type="dxa"/>
            <w:tcBorders>
              <w:top w:val="nil"/>
              <w:left w:val="single" w:sz="4" w:space="0" w:color="auto"/>
              <w:bottom w:val="nil"/>
              <w:right w:val="single" w:sz="4" w:space="0" w:color="auto"/>
            </w:tcBorders>
          </w:tcPr>
          <w:p w:rsidR="002D1DA9" w:rsidRPr="00DD76C8" w:rsidRDefault="002D1DA9" w:rsidP="00FD2C57">
            <w:pPr>
              <w:widowControl/>
              <w:spacing w:before="30" w:after="30"/>
              <w:jc w:val="both"/>
              <w:rPr>
                <w:rFonts w:cs="Arial"/>
                <w:bCs/>
                <w:kern w:val="32"/>
                <w:sz w:val="16"/>
                <w:szCs w:val="16"/>
              </w:rPr>
            </w:pPr>
            <w:r w:rsidRPr="00DD76C8">
              <w:rPr>
                <w:kern w:val="32"/>
                <w:sz w:val="16"/>
              </w:rPr>
              <w:t>AD 6</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161</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9</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46</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181</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8</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46</w:t>
            </w:r>
          </w:p>
        </w:tc>
      </w:tr>
      <w:tr w:rsidR="002D1DA9" w:rsidRPr="00DD76C8" w:rsidTr="00FD2C57">
        <w:tc>
          <w:tcPr>
            <w:tcW w:w="1197" w:type="dxa"/>
            <w:tcBorders>
              <w:top w:val="nil"/>
              <w:left w:val="single" w:sz="4" w:space="0" w:color="auto"/>
              <w:bottom w:val="single" w:sz="4" w:space="0" w:color="auto"/>
              <w:right w:val="single" w:sz="4" w:space="0" w:color="auto"/>
            </w:tcBorders>
          </w:tcPr>
          <w:p w:rsidR="002D1DA9" w:rsidRPr="00DD76C8" w:rsidRDefault="002D1DA9" w:rsidP="00FD2C57">
            <w:pPr>
              <w:widowControl/>
              <w:spacing w:before="30" w:after="30"/>
              <w:jc w:val="both"/>
              <w:rPr>
                <w:rFonts w:cs="Arial"/>
                <w:bCs/>
                <w:kern w:val="32"/>
                <w:sz w:val="16"/>
                <w:szCs w:val="16"/>
              </w:rPr>
            </w:pPr>
            <w:r w:rsidRPr="00DD76C8">
              <w:rPr>
                <w:kern w:val="32"/>
                <w:sz w:val="16"/>
              </w:rPr>
              <w:t>AD 5</w:t>
            </w:r>
          </w:p>
        </w:tc>
        <w:tc>
          <w:tcPr>
            <w:tcW w:w="1197" w:type="dxa"/>
            <w:tcBorders>
              <w:top w:val="nil"/>
              <w:left w:val="nil"/>
              <w:bottom w:val="single" w:sz="4" w:space="0" w:color="auto"/>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108</w:t>
            </w:r>
          </w:p>
        </w:tc>
        <w:tc>
          <w:tcPr>
            <w:tcW w:w="1197" w:type="dxa"/>
            <w:tcBorders>
              <w:top w:val="nil"/>
              <w:left w:val="nil"/>
              <w:bottom w:val="single" w:sz="4" w:space="0" w:color="auto"/>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c>
          <w:tcPr>
            <w:tcW w:w="1197" w:type="dxa"/>
            <w:tcBorders>
              <w:top w:val="nil"/>
              <w:left w:val="nil"/>
              <w:bottom w:val="single" w:sz="4" w:space="0" w:color="auto"/>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4</w:t>
            </w:r>
          </w:p>
        </w:tc>
        <w:tc>
          <w:tcPr>
            <w:tcW w:w="1197" w:type="dxa"/>
            <w:tcBorders>
              <w:top w:val="nil"/>
              <w:left w:val="nil"/>
              <w:bottom w:val="single" w:sz="4" w:space="0" w:color="auto"/>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88</w:t>
            </w:r>
          </w:p>
        </w:tc>
        <w:tc>
          <w:tcPr>
            <w:tcW w:w="1197" w:type="dxa"/>
            <w:tcBorders>
              <w:top w:val="nil"/>
              <w:left w:val="nil"/>
              <w:bottom w:val="single" w:sz="4" w:space="0" w:color="auto"/>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143</w:t>
            </w:r>
          </w:p>
        </w:tc>
        <w:tc>
          <w:tcPr>
            <w:tcW w:w="1197" w:type="dxa"/>
            <w:tcBorders>
              <w:top w:val="nil"/>
              <w:left w:val="nil"/>
              <w:bottom w:val="single" w:sz="4" w:space="0" w:color="auto"/>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c>
          <w:tcPr>
            <w:tcW w:w="1197" w:type="dxa"/>
            <w:tcBorders>
              <w:top w:val="nil"/>
              <w:left w:val="nil"/>
              <w:bottom w:val="single" w:sz="4" w:space="0" w:color="auto"/>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5</w:t>
            </w:r>
          </w:p>
        </w:tc>
        <w:tc>
          <w:tcPr>
            <w:tcW w:w="1197" w:type="dxa"/>
            <w:tcBorders>
              <w:top w:val="nil"/>
              <w:left w:val="nil"/>
              <w:bottom w:val="single" w:sz="4" w:space="0" w:color="auto"/>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88</w:t>
            </w:r>
          </w:p>
        </w:tc>
      </w:tr>
      <w:tr w:rsidR="002D1DA9" w:rsidRPr="00DD76C8" w:rsidTr="00FD2C57">
        <w:tc>
          <w:tcPr>
            <w:tcW w:w="1197" w:type="dxa"/>
            <w:tcBorders>
              <w:top w:val="nil"/>
              <w:left w:val="single" w:sz="4" w:space="0" w:color="auto"/>
              <w:bottom w:val="single" w:sz="4" w:space="0" w:color="auto"/>
              <w:right w:val="single" w:sz="4" w:space="0" w:color="auto"/>
            </w:tcBorders>
          </w:tcPr>
          <w:p w:rsidR="002D1DA9" w:rsidRPr="00DD76C8" w:rsidRDefault="002D1DA9" w:rsidP="00FD2C57">
            <w:pPr>
              <w:widowControl/>
              <w:spacing w:before="30" w:after="30"/>
              <w:jc w:val="right"/>
              <w:rPr>
                <w:rFonts w:cs="Arial"/>
                <w:bCs/>
                <w:kern w:val="32"/>
                <w:sz w:val="16"/>
                <w:szCs w:val="16"/>
              </w:rPr>
            </w:pPr>
            <w:r w:rsidRPr="00DD76C8">
              <w:rPr>
                <w:i/>
                <w:kern w:val="32"/>
                <w:sz w:val="16"/>
              </w:rPr>
              <w:t>AD međuzbroj</w:t>
            </w:r>
          </w:p>
        </w:tc>
        <w:tc>
          <w:tcPr>
            <w:tcW w:w="1197" w:type="dxa"/>
            <w:tcBorders>
              <w:top w:val="nil"/>
              <w:left w:val="nil"/>
              <w:bottom w:val="single" w:sz="4" w:space="0" w:color="auto"/>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i/>
                <w:kern w:val="32"/>
                <w:sz w:val="16"/>
              </w:rPr>
              <w:t>2 631</w:t>
            </w:r>
          </w:p>
        </w:tc>
        <w:tc>
          <w:tcPr>
            <w:tcW w:w="1197" w:type="dxa"/>
            <w:tcBorders>
              <w:top w:val="nil"/>
              <w:left w:val="nil"/>
              <w:bottom w:val="single" w:sz="4" w:space="0" w:color="auto"/>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i/>
                <w:kern w:val="32"/>
                <w:sz w:val="16"/>
              </w:rPr>
              <w:t>10</w:t>
            </w:r>
          </w:p>
        </w:tc>
        <w:tc>
          <w:tcPr>
            <w:tcW w:w="1197" w:type="dxa"/>
            <w:tcBorders>
              <w:top w:val="nil"/>
              <w:left w:val="nil"/>
              <w:bottom w:val="single" w:sz="4" w:space="0" w:color="auto"/>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i/>
                <w:kern w:val="32"/>
                <w:sz w:val="16"/>
              </w:rPr>
              <w:t>69</w:t>
            </w:r>
          </w:p>
        </w:tc>
        <w:tc>
          <w:tcPr>
            <w:tcW w:w="1197" w:type="dxa"/>
            <w:tcBorders>
              <w:top w:val="nil"/>
              <w:left w:val="nil"/>
              <w:bottom w:val="single" w:sz="4" w:space="0" w:color="auto"/>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i/>
                <w:kern w:val="32"/>
                <w:sz w:val="16"/>
              </w:rPr>
              <w:t>471</w:t>
            </w:r>
          </w:p>
        </w:tc>
        <w:tc>
          <w:tcPr>
            <w:tcW w:w="1197" w:type="dxa"/>
            <w:tcBorders>
              <w:top w:val="nil"/>
              <w:left w:val="nil"/>
              <w:bottom w:val="single" w:sz="4" w:space="0" w:color="auto"/>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i/>
                <w:kern w:val="32"/>
                <w:sz w:val="16"/>
              </w:rPr>
              <w:t>2 611</w:t>
            </w:r>
          </w:p>
        </w:tc>
        <w:tc>
          <w:tcPr>
            <w:tcW w:w="1197" w:type="dxa"/>
            <w:tcBorders>
              <w:top w:val="nil"/>
              <w:left w:val="nil"/>
              <w:bottom w:val="single" w:sz="4" w:space="0" w:color="auto"/>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i/>
                <w:kern w:val="32"/>
                <w:sz w:val="16"/>
              </w:rPr>
              <w:t>10</w:t>
            </w:r>
          </w:p>
        </w:tc>
        <w:tc>
          <w:tcPr>
            <w:tcW w:w="1197" w:type="dxa"/>
            <w:tcBorders>
              <w:top w:val="nil"/>
              <w:left w:val="nil"/>
              <w:bottom w:val="single" w:sz="4" w:space="0" w:color="auto"/>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i/>
                <w:kern w:val="32"/>
                <w:sz w:val="16"/>
              </w:rPr>
              <w:t>66</w:t>
            </w:r>
          </w:p>
        </w:tc>
        <w:tc>
          <w:tcPr>
            <w:tcW w:w="1197" w:type="dxa"/>
            <w:tcBorders>
              <w:top w:val="nil"/>
              <w:left w:val="nil"/>
              <w:bottom w:val="single" w:sz="4" w:space="0" w:color="auto"/>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i/>
                <w:kern w:val="32"/>
                <w:sz w:val="16"/>
              </w:rPr>
              <w:t>471</w:t>
            </w:r>
          </w:p>
        </w:tc>
      </w:tr>
      <w:tr w:rsidR="002D1DA9" w:rsidRPr="00DD76C8" w:rsidTr="00FD2C57">
        <w:tc>
          <w:tcPr>
            <w:tcW w:w="1197" w:type="dxa"/>
            <w:tcBorders>
              <w:top w:val="nil"/>
              <w:left w:val="single" w:sz="4" w:space="0" w:color="auto"/>
              <w:bottom w:val="nil"/>
              <w:right w:val="single" w:sz="4" w:space="0" w:color="auto"/>
            </w:tcBorders>
          </w:tcPr>
          <w:p w:rsidR="002D1DA9" w:rsidRPr="00DD76C8" w:rsidRDefault="002D1DA9" w:rsidP="00FD2C57">
            <w:pPr>
              <w:widowControl/>
              <w:spacing w:before="30" w:after="30"/>
              <w:jc w:val="both"/>
              <w:rPr>
                <w:rFonts w:cs="Arial"/>
                <w:bCs/>
                <w:kern w:val="32"/>
                <w:sz w:val="16"/>
                <w:szCs w:val="16"/>
              </w:rPr>
            </w:pPr>
            <w:r w:rsidRPr="00DD76C8">
              <w:rPr>
                <w:kern w:val="32"/>
                <w:sz w:val="16"/>
              </w:rPr>
              <w:t>AST 11</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95</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10</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37</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120</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10</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37</w:t>
            </w:r>
          </w:p>
        </w:tc>
      </w:tr>
      <w:tr w:rsidR="002D1DA9" w:rsidRPr="00DD76C8" w:rsidTr="00FD2C57">
        <w:tc>
          <w:tcPr>
            <w:tcW w:w="1197" w:type="dxa"/>
            <w:tcBorders>
              <w:top w:val="nil"/>
              <w:left w:val="single" w:sz="4" w:space="0" w:color="auto"/>
              <w:bottom w:val="nil"/>
              <w:right w:val="single" w:sz="4" w:space="0" w:color="auto"/>
            </w:tcBorders>
          </w:tcPr>
          <w:p w:rsidR="002D1DA9" w:rsidRPr="00DD76C8" w:rsidRDefault="002D1DA9" w:rsidP="00FD2C57">
            <w:pPr>
              <w:widowControl/>
              <w:spacing w:before="30" w:after="30"/>
              <w:jc w:val="both"/>
              <w:rPr>
                <w:rFonts w:cs="Arial"/>
                <w:bCs/>
                <w:kern w:val="32"/>
                <w:sz w:val="16"/>
                <w:szCs w:val="16"/>
              </w:rPr>
            </w:pPr>
            <w:r w:rsidRPr="00DD76C8">
              <w:rPr>
                <w:kern w:val="32"/>
                <w:sz w:val="16"/>
              </w:rPr>
              <w:t>AST 10</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82</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19</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35</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82</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20</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35</w:t>
            </w:r>
          </w:p>
        </w:tc>
      </w:tr>
      <w:tr w:rsidR="002D1DA9" w:rsidRPr="00DD76C8" w:rsidTr="00FD2C57">
        <w:tc>
          <w:tcPr>
            <w:tcW w:w="1197" w:type="dxa"/>
            <w:tcBorders>
              <w:top w:val="nil"/>
              <w:left w:val="single" w:sz="4" w:space="0" w:color="auto"/>
              <w:bottom w:val="nil"/>
              <w:right w:val="single" w:sz="4" w:space="0" w:color="auto"/>
            </w:tcBorders>
          </w:tcPr>
          <w:p w:rsidR="002D1DA9" w:rsidRPr="00DD76C8" w:rsidRDefault="002D1DA9" w:rsidP="00FD2C57">
            <w:pPr>
              <w:widowControl/>
              <w:spacing w:before="30" w:after="30"/>
              <w:jc w:val="both"/>
              <w:rPr>
                <w:rFonts w:cs="Arial"/>
                <w:bCs/>
                <w:kern w:val="32"/>
                <w:sz w:val="16"/>
                <w:szCs w:val="16"/>
              </w:rPr>
            </w:pPr>
            <w:r w:rsidRPr="00DD76C8">
              <w:rPr>
                <w:kern w:val="32"/>
                <w:sz w:val="16"/>
              </w:rPr>
              <w:t>AST 9</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520</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4</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42</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570</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4</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42</w:t>
            </w:r>
          </w:p>
        </w:tc>
      </w:tr>
      <w:tr w:rsidR="002D1DA9" w:rsidRPr="00DD76C8" w:rsidTr="00FD2C57">
        <w:tc>
          <w:tcPr>
            <w:tcW w:w="1197" w:type="dxa"/>
            <w:tcBorders>
              <w:top w:val="nil"/>
              <w:left w:val="single" w:sz="4" w:space="0" w:color="auto"/>
              <w:bottom w:val="nil"/>
              <w:right w:val="single" w:sz="4" w:space="0" w:color="auto"/>
            </w:tcBorders>
          </w:tcPr>
          <w:p w:rsidR="002D1DA9" w:rsidRPr="00DD76C8" w:rsidRDefault="002D1DA9" w:rsidP="00FD2C57">
            <w:pPr>
              <w:widowControl/>
              <w:spacing w:before="30" w:after="30"/>
              <w:jc w:val="both"/>
              <w:rPr>
                <w:rFonts w:cs="Arial"/>
                <w:bCs/>
                <w:kern w:val="32"/>
                <w:sz w:val="16"/>
                <w:szCs w:val="16"/>
              </w:rPr>
            </w:pPr>
            <w:r w:rsidRPr="00DD76C8">
              <w:rPr>
                <w:kern w:val="32"/>
                <w:sz w:val="16"/>
              </w:rPr>
              <w:t>AST 8</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318</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6</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39</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288</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6</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39</w:t>
            </w:r>
          </w:p>
        </w:tc>
      </w:tr>
      <w:tr w:rsidR="002D1DA9" w:rsidRPr="00DD76C8" w:rsidTr="00FD2C57">
        <w:tc>
          <w:tcPr>
            <w:tcW w:w="1197" w:type="dxa"/>
            <w:tcBorders>
              <w:top w:val="nil"/>
              <w:left w:val="single" w:sz="4" w:space="0" w:color="auto"/>
              <w:bottom w:val="nil"/>
              <w:right w:val="single" w:sz="4" w:space="0" w:color="auto"/>
            </w:tcBorders>
          </w:tcPr>
          <w:p w:rsidR="002D1DA9" w:rsidRPr="00DD76C8" w:rsidRDefault="002D1DA9" w:rsidP="00FD2C57">
            <w:pPr>
              <w:widowControl/>
              <w:spacing w:before="30" w:after="30"/>
              <w:jc w:val="both"/>
              <w:rPr>
                <w:rFonts w:cs="Arial"/>
                <w:bCs/>
                <w:kern w:val="32"/>
                <w:sz w:val="16"/>
                <w:szCs w:val="16"/>
              </w:rPr>
            </w:pPr>
            <w:r w:rsidRPr="00DD76C8">
              <w:rPr>
                <w:kern w:val="32"/>
                <w:sz w:val="16"/>
              </w:rPr>
              <w:t>AST 7</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311</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2</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47</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321</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2</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47</w:t>
            </w:r>
          </w:p>
        </w:tc>
      </w:tr>
      <w:tr w:rsidR="002D1DA9" w:rsidRPr="00DD76C8" w:rsidTr="00FD2C57">
        <w:tc>
          <w:tcPr>
            <w:tcW w:w="1197" w:type="dxa"/>
            <w:tcBorders>
              <w:top w:val="nil"/>
              <w:left w:val="single" w:sz="4" w:space="0" w:color="auto"/>
              <w:bottom w:val="nil"/>
              <w:right w:val="single" w:sz="4" w:space="0" w:color="auto"/>
            </w:tcBorders>
          </w:tcPr>
          <w:p w:rsidR="002D1DA9" w:rsidRPr="00DD76C8" w:rsidRDefault="002D1DA9" w:rsidP="00FD2C57">
            <w:pPr>
              <w:widowControl/>
              <w:spacing w:before="30" w:after="30"/>
              <w:jc w:val="both"/>
              <w:rPr>
                <w:rFonts w:cs="Arial"/>
                <w:bCs/>
                <w:kern w:val="32"/>
                <w:sz w:val="16"/>
                <w:szCs w:val="16"/>
              </w:rPr>
            </w:pPr>
            <w:r w:rsidRPr="00DD76C8">
              <w:rPr>
                <w:kern w:val="32"/>
                <w:sz w:val="16"/>
              </w:rPr>
              <w:t>AST 6</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314</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5</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73</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304</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6</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73</w:t>
            </w:r>
          </w:p>
        </w:tc>
      </w:tr>
      <w:tr w:rsidR="002D1DA9" w:rsidRPr="00DD76C8" w:rsidTr="00FD2C57">
        <w:tc>
          <w:tcPr>
            <w:tcW w:w="1197" w:type="dxa"/>
            <w:tcBorders>
              <w:top w:val="nil"/>
              <w:left w:val="single" w:sz="4" w:space="0" w:color="auto"/>
              <w:bottom w:val="nil"/>
              <w:right w:val="single" w:sz="4" w:space="0" w:color="auto"/>
            </w:tcBorders>
          </w:tcPr>
          <w:p w:rsidR="002D1DA9" w:rsidRPr="00DD76C8" w:rsidRDefault="002D1DA9" w:rsidP="00FD2C57">
            <w:pPr>
              <w:widowControl/>
              <w:spacing w:before="30" w:after="30"/>
              <w:jc w:val="both"/>
              <w:rPr>
                <w:rFonts w:cs="Arial"/>
                <w:bCs/>
                <w:kern w:val="32"/>
                <w:sz w:val="16"/>
                <w:szCs w:val="16"/>
              </w:rPr>
            </w:pPr>
            <w:r w:rsidRPr="00DD76C8">
              <w:rPr>
                <w:kern w:val="32"/>
                <w:sz w:val="16"/>
              </w:rPr>
              <w:t>AST 5</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431</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18</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70</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376</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19</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70</w:t>
            </w:r>
          </w:p>
        </w:tc>
      </w:tr>
      <w:tr w:rsidR="002D1DA9" w:rsidRPr="00DD76C8" w:rsidTr="00FD2C57">
        <w:tc>
          <w:tcPr>
            <w:tcW w:w="1197" w:type="dxa"/>
            <w:tcBorders>
              <w:top w:val="nil"/>
              <w:left w:val="single" w:sz="4" w:space="0" w:color="auto"/>
              <w:bottom w:val="nil"/>
              <w:right w:val="single" w:sz="4" w:space="0" w:color="auto"/>
            </w:tcBorders>
          </w:tcPr>
          <w:p w:rsidR="002D1DA9" w:rsidRPr="00DD76C8" w:rsidRDefault="002D1DA9" w:rsidP="00FD2C57">
            <w:pPr>
              <w:widowControl/>
              <w:spacing w:before="30" w:after="30"/>
              <w:jc w:val="both"/>
              <w:rPr>
                <w:rFonts w:cs="Arial"/>
                <w:bCs/>
                <w:kern w:val="32"/>
                <w:sz w:val="16"/>
                <w:szCs w:val="16"/>
              </w:rPr>
            </w:pPr>
            <w:r w:rsidRPr="00DD76C8">
              <w:rPr>
                <w:kern w:val="32"/>
                <w:sz w:val="16"/>
              </w:rPr>
              <w:t>AST 4</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314</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4</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90</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354</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3</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90</w:t>
            </w:r>
          </w:p>
        </w:tc>
      </w:tr>
      <w:tr w:rsidR="002D1DA9" w:rsidRPr="00DD76C8" w:rsidTr="00FD2C57">
        <w:tc>
          <w:tcPr>
            <w:tcW w:w="1197" w:type="dxa"/>
            <w:tcBorders>
              <w:top w:val="nil"/>
              <w:left w:val="single" w:sz="4" w:space="0" w:color="auto"/>
              <w:bottom w:val="nil"/>
              <w:right w:val="single" w:sz="4" w:space="0" w:color="auto"/>
            </w:tcBorders>
          </w:tcPr>
          <w:p w:rsidR="002D1DA9" w:rsidRPr="00DD76C8" w:rsidRDefault="002D1DA9" w:rsidP="00FD2C57">
            <w:pPr>
              <w:widowControl/>
              <w:spacing w:before="30" w:after="30"/>
              <w:jc w:val="both"/>
              <w:rPr>
                <w:rFonts w:cs="Arial"/>
                <w:bCs/>
                <w:kern w:val="32"/>
                <w:sz w:val="16"/>
                <w:szCs w:val="16"/>
              </w:rPr>
            </w:pPr>
            <w:r w:rsidRPr="00DD76C8">
              <w:rPr>
                <w:kern w:val="32"/>
                <w:sz w:val="16"/>
              </w:rPr>
              <w:t>AST 3</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181</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14</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84</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216</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15</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84</w:t>
            </w:r>
          </w:p>
        </w:tc>
      </w:tr>
      <w:tr w:rsidR="002D1DA9" w:rsidRPr="00DD76C8" w:rsidTr="00FD2C57">
        <w:tc>
          <w:tcPr>
            <w:tcW w:w="1197" w:type="dxa"/>
            <w:tcBorders>
              <w:top w:val="nil"/>
              <w:left w:val="single" w:sz="4" w:space="0" w:color="auto"/>
              <w:bottom w:val="nil"/>
              <w:right w:val="single" w:sz="4" w:space="0" w:color="auto"/>
            </w:tcBorders>
          </w:tcPr>
          <w:p w:rsidR="002D1DA9" w:rsidRPr="00DD76C8" w:rsidRDefault="002D1DA9" w:rsidP="00FD2C57">
            <w:pPr>
              <w:widowControl/>
              <w:spacing w:before="30" w:after="30"/>
              <w:jc w:val="both"/>
              <w:rPr>
                <w:rFonts w:cs="Arial"/>
                <w:bCs/>
                <w:kern w:val="32"/>
                <w:sz w:val="16"/>
                <w:szCs w:val="16"/>
              </w:rPr>
            </w:pPr>
            <w:r w:rsidRPr="00DD76C8">
              <w:rPr>
                <w:kern w:val="32"/>
                <w:sz w:val="16"/>
              </w:rPr>
              <w:t>AST 2</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23</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53</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38</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53</w:t>
            </w:r>
          </w:p>
        </w:tc>
      </w:tr>
      <w:tr w:rsidR="002D1DA9" w:rsidRPr="00DD76C8" w:rsidTr="00FD2C57">
        <w:tc>
          <w:tcPr>
            <w:tcW w:w="1197" w:type="dxa"/>
            <w:tcBorders>
              <w:top w:val="nil"/>
              <w:left w:val="single" w:sz="4" w:space="0" w:color="auto"/>
              <w:bottom w:val="single" w:sz="4" w:space="0" w:color="auto"/>
              <w:right w:val="single" w:sz="4" w:space="0" w:color="auto"/>
            </w:tcBorders>
          </w:tcPr>
          <w:p w:rsidR="002D1DA9" w:rsidRPr="00DD76C8" w:rsidRDefault="002D1DA9" w:rsidP="00FD2C57">
            <w:pPr>
              <w:widowControl/>
              <w:spacing w:before="30" w:after="30"/>
              <w:jc w:val="both"/>
              <w:rPr>
                <w:rFonts w:cs="Arial"/>
                <w:bCs/>
                <w:kern w:val="32"/>
                <w:sz w:val="16"/>
                <w:szCs w:val="16"/>
              </w:rPr>
            </w:pPr>
            <w:r w:rsidRPr="00DD76C8">
              <w:rPr>
                <w:kern w:val="32"/>
                <w:sz w:val="16"/>
              </w:rPr>
              <w:t>AST 1</w:t>
            </w:r>
          </w:p>
        </w:tc>
        <w:tc>
          <w:tcPr>
            <w:tcW w:w="1197" w:type="dxa"/>
            <w:tcBorders>
              <w:top w:val="nil"/>
              <w:left w:val="nil"/>
              <w:bottom w:val="single" w:sz="4" w:space="0" w:color="auto"/>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2</w:t>
            </w:r>
          </w:p>
        </w:tc>
        <w:tc>
          <w:tcPr>
            <w:tcW w:w="1197" w:type="dxa"/>
            <w:tcBorders>
              <w:top w:val="nil"/>
              <w:left w:val="nil"/>
              <w:bottom w:val="single" w:sz="4" w:space="0" w:color="auto"/>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c>
          <w:tcPr>
            <w:tcW w:w="1197" w:type="dxa"/>
            <w:tcBorders>
              <w:top w:val="nil"/>
              <w:left w:val="nil"/>
              <w:bottom w:val="single" w:sz="4" w:space="0" w:color="auto"/>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c>
          <w:tcPr>
            <w:tcW w:w="1197" w:type="dxa"/>
            <w:tcBorders>
              <w:top w:val="nil"/>
              <w:left w:val="nil"/>
              <w:bottom w:val="single" w:sz="4" w:space="0" w:color="auto"/>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94</w:t>
            </w:r>
          </w:p>
        </w:tc>
        <w:tc>
          <w:tcPr>
            <w:tcW w:w="1197" w:type="dxa"/>
            <w:tcBorders>
              <w:top w:val="nil"/>
              <w:left w:val="nil"/>
              <w:bottom w:val="single" w:sz="4" w:space="0" w:color="auto"/>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2</w:t>
            </w:r>
          </w:p>
        </w:tc>
        <w:tc>
          <w:tcPr>
            <w:tcW w:w="1197" w:type="dxa"/>
            <w:tcBorders>
              <w:top w:val="nil"/>
              <w:left w:val="nil"/>
              <w:bottom w:val="single" w:sz="4" w:space="0" w:color="auto"/>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c>
          <w:tcPr>
            <w:tcW w:w="1197" w:type="dxa"/>
            <w:tcBorders>
              <w:top w:val="nil"/>
              <w:left w:val="nil"/>
              <w:bottom w:val="single" w:sz="4" w:space="0" w:color="auto"/>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c>
          <w:tcPr>
            <w:tcW w:w="1197" w:type="dxa"/>
            <w:tcBorders>
              <w:top w:val="nil"/>
              <w:left w:val="nil"/>
              <w:bottom w:val="single" w:sz="4" w:space="0" w:color="auto"/>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94</w:t>
            </w:r>
          </w:p>
        </w:tc>
      </w:tr>
      <w:tr w:rsidR="002D1DA9" w:rsidRPr="00DD76C8" w:rsidTr="00FD2C57">
        <w:tc>
          <w:tcPr>
            <w:tcW w:w="1197" w:type="dxa"/>
            <w:tcBorders>
              <w:top w:val="nil"/>
              <w:left w:val="single" w:sz="4" w:space="0" w:color="auto"/>
              <w:bottom w:val="single" w:sz="4" w:space="0" w:color="auto"/>
              <w:right w:val="single" w:sz="4" w:space="0" w:color="auto"/>
            </w:tcBorders>
          </w:tcPr>
          <w:p w:rsidR="002D1DA9" w:rsidRPr="00DD76C8" w:rsidRDefault="002D1DA9" w:rsidP="00FD2C57">
            <w:pPr>
              <w:widowControl/>
              <w:spacing w:before="30" w:after="30"/>
              <w:jc w:val="right"/>
              <w:rPr>
                <w:rFonts w:cs="Arial"/>
                <w:bCs/>
                <w:kern w:val="32"/>
                <w:sz w:val="16"/>
                <w:szCs w:val="16"/>
              </w:rPr>
            </w:pPr>
            <w:r w:rsidRPr="00DD76C8">
              <w:rPr>
                <w:i/>
                <w:kern w:val="32"/>
                <w:sz w:val="16"/>
              </w:rPr>
              <w:t>AST međuzbroj</w:t>
            </w:r>
          </w:p>
        </w:tc>
        <w:tc>
          <w:tcPr>
            <w:tcW w:w="1197" w:type="dxa"/>
            <w:tcBorders>
              <w:top w:val="nil"/>
              <w:left w:val="nil"/>
              <w:bottom w:val="single" w:sz="4" w:space="0" w:color="auto"/>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i/>
                <w:kern w:val="32"/>
                <w:sz w:val="16"/>
              </w:rPr>
              <w:t>2 591</w:t>
            </w:r>
          </w:p>
        </w:tc>
        <w:tc>
          <w:tcPr>
            <w:tcW w:w="1197" w:type="dxa"/>
            <w:tcBorders>
              <w:top w:val="nil"/>
              <w:left w:val="nil"/>
              <w:bottom w:val="single" w:sz="4" w:space="0" w:color="auto"/>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i/>
                <w:kern w:val="32"/>
                <w:sz w:val="16"/>
              </w:rPr>
              <w:t>10</w:t>
            </w:r>
          </w:p>
        </w:tc>
        <w:tc>
          <w:tcPr>
            <w:tcW w:w="1197" w:type="dxa"/>
            <w:tcBorders>
              <w:top w:val="nil"/>
              <w:left w:val="nil"/>
              <w:bottom w:val="single" w:sz="4" w:space="0" w:color="auto"/>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i/>
                <w:kern w:val="32"/>
                <w:sz w:val="16"/>
              </w:rPr>
              <w:t>72</w:t>
            </w:r>
          </w:p>
        </w:tc>
        <w:tc>
          <w:tcPr>
            <w:tcW w:w="1197" w:type="dxa"/>
            <w:tcBorders>
              <w:top w:val="nil"/>
              <w:left w:val="nil"/>
              <w:bottom w:val="single" w:sz="4" w:space="0" w:color="auto"/>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i/>
                <w:kern w:val="32"/>
                <w:sz w:val="16"/>
              </w:rPr>
              <w:t>664</w:t>
            </w:r>
          </w:p>
        </w:tc>
        <w:tc>
          <w:tcPr>
            <w:tcW w:w="1197" w:type="dxa"/>
            <w:tcBorders>
              <w:top w:val="nil"/>
              <w:left w:val="nil"/>
              <w:bottom w:val="single" w:sz="4" w:space="0" w:color="auto"/>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i/>
                <w:kern w:val="32"/>
                <w:sz w:val="16"/>
              </w:rPr>
              <w:t>2 671</w:t>
            </w:r>
          </w:p>
        </w:tc>
        <w:tc>
          <w:tcPr>
            <w:tcW w:w="1197" w:type="dxa"/>
            <w:tcBorders>
              <w:top w:val="nil"/>
              <w:left w:val="nil"/>
              <w:bottom w:val="single" w:sz="4" w:space="0" w:color="auto"/>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i/>
                <w:kern w:val="32"/>
                <w:sz w:val="16"/>
              </w:rPr>
              <w:t>10</w:t>
            </w:r>
          </w:p>
        </w:tc>
        <w:tc>
          <w:tcPr>
            <w:tcW w:w="1197" w:type="dxa"/>
            <w:tcBorders>
              <w:top w:val="nil"/>
              <w:left w:val="nil"/>
              <w:bottom w:val="single" w:sz="4" w:space="0" w:color="auto"/>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i/>
                <w:kern w:val="32"/>
                <w:sz w:val="16"/>
              </w:rPr>
              <w:t>75</w:t>
            </w:r>
          </w:p>
        </w:tc>
        <w:tc>
          <w:tcPr>
            <w:tcW w:w="1197" w:type="dxa"/>
            <w:tcBorders>
              <w:top w:val="nil"/>
              <w:left w:val="nil"/>
              <w:bottom w:val="single" w:sz="4" w:space="0" w:color="auto"/>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i/>
                <w:kern w:val="32"/>
                <w:sz w:val="16"/>
              </w:rPr>
              <w:t>664</w:t>
            </w:r>
          </w:p>
        </w:tc>
      </w:tr>
      <w:tr w:rsidR="002D1DA9" w:rsidRPr="00DD76C8" w:rsidTr="00FD2C57">
        <w:tc>
          <w:tcPr>
            <w:tcW w:w="1197" w:type="dxa"/>
            <w:tcBorders>
              <w:top w:val="nil"/>
              <w:left w:val="single" w:sz="4" w:space="0" w:color="auto"/>
              <w:bottom w:val="nil"/>
              <w:right w:val="single" w:sz="4" w:space="0" w:color="auto"/>
            </w:tcBorders>
          </w:tcPr>
          <w:p w:rsidR="002D1DA9" w:rsidRPr="00DD76C8" w:rsidRDefault="002D1DA9" w:rsidP="00FD2C57">
            <w:pPr>
              <w:widowControl/>
              <w:spacing w:before="30" w:after="30"/>
              <w:jc w:val="both"/>
              <w:rPr>
                <w:rFonts w:cs="Arial"/>
                <w:bCs/>
                <w:kern w:val="32"/>
                <w:sz w:val="16"/>
                <w:szCs w:val="16"/>
              </w:rPr>
            </w:pPr>
            <w:r w:rsidRPr="00DD76C8">
              <w:rPr>
                <w:kern w:val="32"/>
                <w:sz w:val="16"/>
              </w:rPr>
              <w:t>AST/SC 6</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r>
      <w:tr w:rsidR="002D1DA9" w:rsidRPr="00DD76C8" w:rsidTr="00FD2C57">
        <w:tc>
          <w:tcPr>
            <w:tcW w:w="1197" w:type="dxa"/>
            <w:tcBorders>
              <w:top w:val="nil"/>
              <w:left w:val="single" w:sz="4" w:space="0" w:color="auto"/>
              <w:bottom w:val="nil"/>
              <w:right w:val="single" w:sz="4" w:space="0" w:color="auto"/>
            </w:tcBorders>
          </w:tcPr>
          <w:p w:rsidR="002D1DA9" w:rsidRPr="00DD76C8" w:rsidRDefault="002D1DA9" w:rsidP="00FD2C57">
            <w:pPr>
              <w:widowControl/>
              <w:spacing w:before="30" w:after="30"/>
              <w:jc w:val="both"/>
              <w:rPr>
                <w:rFonts w:cs="Arial"/>
                <w:bCs/>
                <w:kern w:val="32"/>
                <w:sz w:val="16"/>
                <w:szCs w:val="16"/>
              </w:rPr>
            </w:pPr>
            <w:r w:rsidRPr="00DD76C8">
              <w:rPr>
                <w:kern w:val="32"/>
                <w:sz w:val="16"/>
              </w:rPr>
              <w:t>AST/SC 5</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r>
      <w:tr w:rsidR="002D1DA9" w:rsidRPr="00DD76C8" w:rsidTr="00FD2C57">
        <w:tc>
          <w:tcPr>
            <w:tcW w:w="1197" w:type="dxa"/>
            <w:tcBorders>
              <w:top w:val="nil"/>
              <w:left w:val="single" w:sz="4" w:space="0" w:color="auto"/>
              <w:bottom w:val="nil"/>
              <w:right w:val="single" w:sz="4" w:space="0" w:color="auto"/>
            </w:tcBorders>
          </w:tcPr>
          <w:p w:rsidR="002D1DA9" w:rsidRPr="00DD76C8" w:rsidRDefault="002D1DA9" w:rsidP="00FD2C57">
            <w:pPr>
              <w:widowControl/>
              <w:spacing w:before="30" w:after="30"/>
              <w:jc w:val="both"/>
              <w:rPr>
                <w:rFonts w:cs="Arial"/>
                <w:bCs/>
                <w:kern w:val="32"/>
                <w:sz w:val="16"/>
                <w:szCs w:val="16"/>
              </w:rPr>
            </w:pPr>
            <w:r w:rsidRPr="00DD76C8">
              <w:rPr>
                <w:kern w:val="32"/>
                <w:sz w:val="16"/>
              </w:rPr>
              <w:t>AST/SC 4</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r>
      <w:tr w:rsidR="002D1DA9" w:rsidRPr="00DD76C8" w:rsidTr="00FD2C57">
        <w:tc>
          <w:tcPr>
            <w:tcW w:w="1197" w:type="dxa"/>
            <w:tcBorders>
              <w:top w:val="nil"/>
              <w:left w:val="single" w:sz="4" w:space="0" w:color="auto"/>
              <w:bottom w:val="nil"/>
              <w:right w:val="single" w:sz="4" w:space="0" w:color="auto"/>
            </w:tcBorders>
          </w:tcPr>
          <w:p w:rsidR="002D1DA9" w:rsidRPr="00DD76C8" w:rsidRDefault="002D1DA9" w:rsidP="00FD2C57">
            <w:pPr>
              <w:widowControl/>
              <w:spacing w:before="30" w:after="30"/>
              <w:jc w:val="both"/>
              <w:rPr>
                <w:rFonts w:cs="Arial"/>
                <w:bCs/>
                <w:kern w:val="32"/>
                <w:sz w:val="16"/>
                <w:szCs w:val="16"/>
              </w:rPr>
            </w:pPr>
            <w:r w:rsidRPr="00DD76C8">
              <w:rPr>
                <w:kern w:val="32"/>
                <w:sz w:val="16"/>
              </w:rPr>
              <w:t>AST/SC 3</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r>
      <w:tr w:rsidR="002D1DA9" w:rsidRPr="00DD76C8" w:rsidTr="00FD2C57">
        <w:tc>
          <w:tcPr>
            <w:tcW w:w="1197" w:type="dxa"/>
            <w:tcBorders>
              <w:top w:val="nil"/>
              <w:left w:val="single" w:sz="4" w:space="0" w:color="auto"/>
              <w:bottom w:val="nil"/>
              <w:right w:val="single" w:sz="4" w:space="0" w:color="auto"/>
            </w:tcBorders>
          </w:tcPr>
          <w:p w:rsidR="002D1DA9" w:rsidRPr="00DD76C8" w:rsidRDefault="002D1DA9" w:rsidP="00FD2C57">
            <w:pPr>
              <w:widowControl/>
              <w:spacing w:before="30" w:after="30"/>
              <w:jc w:val="both"/>
              <w:rPr>
                <w:rFonts w:cs="Arial"/>
                <w:bCs/>
                <w:kern w:val="32"/>
                <w:sz w:val="16"/>
                <w:szCs w:val="16"/>
              </w:rPr>
            </w:pPr>
            <w:r w:rsidRPr="00DD76C8">
              <w:rPr>
                <w:kern w:val="32"/>
                <w:sz w:val="16"/>
              </w:rPr>
              <w:t>AST/SC 2</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50</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50</w:t>
            </w: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c>
          <w:tcPr>
            <w:tcW w:w="1197" w:type="dxa"/>
            <w:tcBorders>
              <w:top w:val="nil"/>
              <w:left w:val="nil"/>
              <w:bottom w:val="nil"/>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r>
      <w:tr w:rsidR="002D1DA9" w:rsidRPr="00DD76C8" w:rsidTr="00FD2C57">
        <w:tc>
          <w:tcPr>
            <w:tcW w:w="1197" w:type="dxa"/>
            <w:tcBorders>
              <w:top w:val="nil"/>
              <w:left w:val="single" w:sz="4" w:space="0" w:color="auto"/>
              <w:bottom w:val="single" w:sz="4" w:space="0" w:color="auto"/>
              <w:right w:val="single" w:sz="4" w:space="0" w:color="auto"/>
            </w:tcBorders>
          </w:tcPr>
          <w:p w:rsidR="002D1DA9" w:rsidRPr="00DD76C8" w:rsidRDefault="002D1DA9" w:rsidP="00FD2C57">
            <w:pPr>
              <w:widowControl/>
              <w:spacing w:before="30" w:after="30"/>
              <w:jc w:val="both"/>
              <w:rPr>
                <w:rFonts w:cs="Arial"/>
                <w:bCs/>
                <w:kern w:val="32"/>
                <w:sz w:val="16"/>
                <w:szCs w:val="16"/>
              </w:rPr>
            </w:pPr>
            <w:r w:rsidRPr="00DD76C8">
              <w:rPr>
                <w:kern w:val="32"/>
                <w:sz w:val="16"/>
              </w:rPr>
              <w:t>AST/SC 1</w:t>
            </w:r>
          </w:p>
        </w:tc>
        <w:tc>
          <w:tcPr>
            <w:tcW w:w="1197" w:type="dxa"/>
            <w:tcBorders>
              <w:top w:val="nil"/>
              <w:left w:val="nil"/>
              <w:bottom w:val="single" w:sz="4" w:space="0" w:color="auto"/>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134</w:t>
            </w:r>
          </w:p>
        </w:tc>
        <w:tc>
          <w:tcPr>
            <w:tcW w:w="1197" w:type="dxa"/>
            <w:tcBorders>
              <w:top w:val="nil"/>
              <w:left w:val="nil"/>
              <w:bottom w:val="single" w:sz="4" w:space="0" w:color="auto"/>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c>
          <w:tcPr>
            <w:tcW w:w="1197" w:type="dxa"/>
            <w:tcBorders>
              <w:top w:val="nil"/>
              <w:left w:val="nil"/>
              <w:bottom w:val="single" w:sz="4" w:space="0" w:color="auto"/>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c>
          <w:tcPr>
            <w:tcW w:w="1197" w:type="dxa"/>
            <w:tcBorders>
              <w:top w:val="nil"/>
              <w:left w:val="nil"/>
              <w:bottom w:val="single" w:sz="4" w:space="0" w:color="auto"/>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c>
          <w:tcPr>
            <w:tcW w:w="1197" w:type="dxa"/>
            <w:tcBorders>
              <w:top w:val="nil"/>
              <w:left w:val="nil"/>
              <w:bottom w:val="single" w:sz="4" w:space="0" w:color="auto"/>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kern w:val="32"/>
                <w:sz w:val="16"/>
              </w:rPr>
              <w:t>134</w:t>
            </w:r>
          </w:p>
        </w:tc>
        <w:tc>
          <w:tcPr>
            <w:tcW w:w="1197" w:type="dxa"/>
            <w:tcBorders>
              <w:top w:val="nil"/>
              <w:left w:val="nil"/>
              <w:bottom w:val="single" w:sz="4" w:space="0" w:color="auto"/>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c>
          <w:tcPr>
            <w:tcW w:w="1197" w:type="dxa"/>
            <w:tcBorders>
              <w:top w:val="nil"/>
              <w:left w:val="nil"/>
              <w:bottom w:val="single" w:sz="4" w:space="0" w:color="auto"/>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c>
          <w:tcPr>
            <w:tcW w:w="1197" w:type="dxa"/>
            <w:tcBorders>
              <w:top w:val="nil"/>
              <w:left w:val="nil"/>
              <w:bottom w:val="single" w:sz="4" w:space="0" w:color="auto"/>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r>
      <w:tr w:rsidR="002D1DA9" w:rsidRPr="00DD76C8" w:rsidTr="00FD2C57">
        <w:tc>
          <w:tcPr>
            <w:tcW w:w="1197" w:type="dxa"/>
            <w:tcBorders>
              <w:top w:val="nil"/>
              <w:left w:val="single" w:sz="4" w:space="0" w:color="auto"/>
              <w:bottom w:val="single" w:sz="4" w:space="0" w:color="auto"/>
              <w:right w:val="single" w:sz="4" w:space="0" w:color="auto"/>
            </w:tcBorders>
          </w:tcPr>
          <w:p w:rsidR="002D1DA9" w:rsidRPr="00DD76C8" w:rsidRDefault="002D1DA9" w:rsidP="00FD2C57">
            <w:pPr>
              <w:widowControl/>
              <w:spacing w:before="30" w:after="30"/>
              <w:jc w:val="right"/>
              <w:rPr>
                <w:rFonts w:cs="Arial"/>
                <w:bCs/>
                <w:kern w:val="32"/>
                <w:sz w:val="16"/>
                <w:szCs w:val="16"/>
              </w:rPr>
            </w:pPr>
            <w:r w:rsidRPr="00DD76C8">
              <w:rPr>
                <w:i/>
                <w:kern w:val="32"/>
                <w:sz w:val="16"/>
              </w:rPr>
              <w:t>AST/SC međuzbroj</w:t>
            </w:r>
          </w:p>
        </w:tc>
        <w:tc>
          <w:tcPr>
            <w:tcW w:w="1197" w:type="dxa"/>
            <w:tcBorders>
              <w:top w:val="nil"/>
              <w:left w:val="nil"/>
              <w:bottom w:val="single" w:sz="4" w:space="0" w:color="auto"/>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i/>
                <w:kern w:val="32"/>
                <w:sz w:val="16"/>
              </w:rPr>
              <w:t>184</w:t>
            </w:r>
          </w:p>
        </w:tc>
        <w:tc>
          <w:tcPr>
            <w:tcW w:w="1197" w:type="dxa"/>
            <w:tcBorders>
              <w:top w:val="nil"/>
              <w:left w:val="nil"/>
              <w:bottom w:val="single" w:sz="4" w:space="0" w:color="auto"/>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c>
          <w:tcPr>
            <w:tcW w:w="1197" w:type="dxa"/>
            <w:tcBorders>
              <w:top w:val="nil"/>
              <w:left w:val="nil"/>
              <w:bottom w:val="single" w:sz="4" w:space="0" w:color="auto"/>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c>
          <w:tcPr>
            <w:tcW w:w="1197" w:type="dxa"/>
            <w:tcBorders>
              <w:top w:val="nil"/>
              <w:left w:val="nil"/>
              <w:bottom w:val="single" w:sz="4" w:space="0" w:color="auto"/>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c>
          <w:tcPr>
            <w:tcW w:w="1197" w:type="dxa"/>
            <w:tcBorders>
              <w:top w:val="nil"/>
              <w:left w:val="nil"/>
              <w:bottom w:val="single" w:sz="4" w:space="0" w:color="auto"/>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i/>
                <w:kern w:val="32"/>
                <w:sz w:val="16"/>
              </w:rPr>
              <w:t>184</w:t>
            </w:r>
          </w:p>
        </w:tc>
        <w:tc>
          <w:tcPr>
            <w:tcW w:w="1197" w:type="dxa"/>
            <w:tcBorders>
              <w:top w:val="nil"/>
              <w:left w:val="nil"/>
              <w:bottom w:val="single" w:sz="4" w:space="0" w:color="auto"/>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c>
          <w:tcPr>
            <w:tcW w:w="1197" w:type="dxa"/>
            <w:tcBorders>
              <w:top w:val="nil"/>
              <w:left w:val="nil"/>
              <w:bottom w:val="single" w:sz="4" w:space="0" w:color="auto"/>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c>
          <w:tcPr>
            <w:tcW w:w="1197" w:type="dxa"/>
            <w:tcBorders>
              <w:top w:val="nil"/>
              <w:left w:val="nil"/>
              <w:bottom w:val="single" w:sz="4" w:space="0" w:color="auto"/>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p>
        </w:tc>
      </w:tr>
      <w:tr w:rsidR="002D1DA9" w:rsidRPr="00DD76C8" w:rsidTr="00FD2C57">
        <w:tc>
          <w:tcPr>
            <w:tcW w:w="1197" w:type="dxa"/>
            <w:tcBorders>
              <w:top w:val="nil"/>
              <w:left w:val="single" w:sz="4" w:space="0" w:color="auto"/>
              <w:bottom w:val="single" w:sz="4" w:space="0" w:color="auto"/>
              <w:right w:val="single" w:sz="4" w:space="0" w:color="auto"/>
            </w:tcBorders>
          </w:tcPr>
          <w:p w:rsidR="002D1DA9" w:rsidRPr="00DD76C8" w:rsidRDefault="002D1DA9" w:rsidP="00FD2C57">
            <w:pPr>
              <w:widowControl/>
              <w:spacing w:before="30" w:after="30"/>
              <w:jc w:val="right"/>
              <w:rPr>
                <w:rFonts w:cs="Arial"/>
                <w:bCs/>
                <w:kern w:val="32"/>
                <w:sz w:val="16"/>
                <w:szCs w:val="16"/>
              </w:rPr>
            </w:pPr>
            <w:r w:rsidRPr="00DD76C8">
              <w:rPr>
                <w:b/>
                <w:kern w:val="32"/>
                <w:sz w:val="16"/>
              </w:rPr>
              <w:t>Ukupno</w:t>
            </w:r>
          </w:p>
        </w:tc>
        <w:tc>
          <w:tcPr>
            <w:tcW w:w="1197" w:type="dxa"/>
            <w:tcBorders>
              <w:top w:val="nil"/>
              <w:left w:val="nil"/>
              <w:bottom w:val="single" w:sz="4" w:space="0" w:color="auto"/>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b/>
                <w:kern w:val="32"/>
                <w:sz w:val="16"/>
              </w:rPr>
              <w:t>5 407</w:t>
            </w:r>
            <w:r w:rsidRPr="00DD76C8">
              <w:rPr>
                <w:kern w:val="32"/>
                <w:sz w:val="16"/>
                <w:vertAlign w:val="superscript"/>
              </w:rPr>
              <w:footnoteReference w:id="20"/>
            </w:r>
          </w:p>
        </w:tc>
        <w:tc>
          <w:tcPr>
            <w:tcW w:w="1197" w:type="dxa"/>
            <w:tcBorders>
              <w:top w:val="nil"/>
              <w:left w:val="nil"/>
              <w:bottom w:val="single" w:sz="4" w:space="0" w:color="auto"/>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b/>
                <w:kern w:val="32"/>
                <w:sz w:val="16"/>
              </w:rPr>
              <w:t>20</w:t>
            </w:r>
            <w:r w:rsidRPr="00DD76C8">
              <w:rPr>
                <w:kern w:val="32"/>
                <w:sz w:val="16"/>
                <w:vertAlign w:val="superscript"/>
              </w:rPr>
              <w:footnoteReference w:id="21"/>
            </w:r>
          </w:p>
        </w:tc>
        <w:tc>
          <w:tcPr>
            <w:tcW w:w="1197" w:type="dxa"/>
            <w:tcBorders>
              <w:top w:val="nil"/>
              <w:left w:val="nil"/>
              <w:bottom w:val="single" w:sz="4" w:space="0" w:color="auto"/>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b/>
                <w:kern w:val="32"/>
                <w:sz w:val="16"/>
              </w:rPr>
              <w:t>141</w:t>
            </w:r>
            <w:r w:rsidRPr="00DD76C8">
              <w:rPr>
                <w:kern w:val="32"/>
                <w:sz w:val="16"/>
                <w:vertAlign w:val="superscript"/>
              </w:rPr>
              <w:footnoteReference w:id="22"/>
            </w:r>
          </w:p>
        </w:tc>
        <w:tc>
          <w:tcPr>
            <w:tcW w:w="1197" w:type="dxa"/>
            <w:tcBorders>
              <w:top w:val="nil"/>
              <w:left w:val="nil"/>
              <w:bottom w:val="single" w:sz="4" w:space="0" w:color="auto"/>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b/>
                <w:kern w:val="32"/>
                <w:sz w:val="16"/>
              </w:rPr>
              <w:t>1 135</w:t>
            </w:r>
          </w:p>
        </w:tc>
        <w:tc>
          <w:tcPr>
            <w:tcW w:w="1197" w:type="dxa"/>
            <w:tcBorders>
              <w:top w:val="nil"/>
              <w:left w:val="nil"/>
              <w:bottom w:val="single" w:sz="4" w:space="0" w:color="auto"/>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b/>
                <w:kern w:val="32"/>
                <w:sz w:val="16"/>
              </w:rPr>
              <w:t>5 467</w:t>
            </w:r>
            <w:r w:rsidRPr="00DD76C8">
              <w:rPr>
                <w:b/>
                <w:kern w:val="32"/>
                <w:sz w:val="16"/>
                <w:vertAlign w:val="superscript"/>
              </w:rPr>
              <w:footnoteReference w:id="23"/>
            </w:r>
          </w:p>
        </w:tc>
        <w:tc>
          <w:tcPr>
            <w:tcW w:w="1197" w:type="dxa"/>
            <w:tcBorders>
              <w:top w:val="nil"/>
              <w:left w:val="nil"/>
              <w:bottom w:val="single" w:sz="4" w:space="0" w:color="auto"/>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b/>
                <w:kern w:val="32"/>
                <w:sz w:val="16"/>
              </w:rPr>
              <w:t>20</w:t>
            </w:r>
            <w:r w:rsidRPr="00DD76C8">
              <w:rPr>
                <w:b/>
                <w:kern w:val="32"/>
                <w:sz w:val="16"/>
                <w:vertAlign w:val="superscript"/>
              </w:rPr>
              <w:footnoteReference w:id="24"/>
            </w:r>
          </w:p>
        </w:tc>
        <w:tc>
          <w:tcPr>
            <w:tcW w:w="1197" w:type="dxa"/>
            <w:tcBorders>
              <w:top w:val="nil"/>
              <w:left w:val="nil"/>
              <w:bottom w:val="single" w:sz="4" w:space="0" w:color="auto"/>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b/>
                <w:kern w:val="32"/>
                <w:sz w:val="16"/>
              </w:rPr>
              <w:t>141</w:t>
            </w:r>
            <w:r w:rsidRPr="00DD76C8">
              <w:rPr>
                <w:kern w:val="32"/>
                <w:sz w:val="20"/>
                <w:vertAlign w:val="superscript"/>
              </w:rPr>
              <w:t>6</w:t>
            </w:r>
          </w:p>
        </w:tc>
        <w:tc>
          <w:tcPr>
            <w:tcW w:w="1197" w:type="dxa"/>
            <w:tcBorders>
              <w:top w:val="nil"/>
              <w:left w:val="nil"/>
              <w:bottom w:val="single" w:sz="4" w:space="0" w:color="auto"/>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b/>
                <w:kern w:val="32"/>
                <w:sz w:val="16"/>
              </w:rPr>
              <w:t>1 135</w:t>
            </w:r>
          </w:p>
        </w:tc>
      </w:tr>
      <w:tr w:rsidR="002D1DA9" w:rsidRPr="00DD76C8" w:rsidTr="00FD2C57">
        <w:tc>
          <w:tcPr>
            <w:tcW w:w="1197" w:type="dxa"/>
            <w:tcBorders>
              <w:top w:val="nil"/>
              <w:left w:val="single" w:sz="4" w:space="0" w:color="auto"/>
              <w:bottom w:val="single" w:sz="4" w:space="0" w:color="auto"/>
              <w:right w:val="single" w:sz="4" w:space="0" w:color="auto"/>
            </w:tcBorders>
          </w:tcPr>
          <w:p w:rsidR="002D1DA9" w:rsidRPr="00DD76C8" w:rsidRDefault="002D1DA9" w:rsidP="00FD2C57">
            <w:pPr>
              <w:widowControl/>
              <w:spacing w:before="30" w:after="30"/>
              <w:jc w:val="right"/>
              <w:rPr>
                <w:rFonts w:cs="Arial"/>
                <w:bCs/>
                <w:kern w:val="32"/>
                <w:sz w:val="16"/>
                <w:szCs w:val="16"/>
              </w:rPr>
            </w:pPr>
            <w:r w:rsidRPr="00DD76C8">
              <w:rPr>
                <w:b/>
                <w:kern w:val="32"/>
                <w:sz w:val="16"/>
              </w:rPr>
              <w:t>Sveukupno</w:t>
            </w:r>
          </w:p>
        </w:tc>
        <w:tc>
          <w:tcPr>
            <w:tcW w:w="4788" w:type="dxa"/>
            <w:gridSpan w:val="4"/>
            <w:tcBorders>
              <w:top w:val="nil"/>
              <w:left w:val="nil"/>
              <w:bottom w:val="single" w:sz="4" w:space="0" w:color="auto"/>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b/>
                <w:kern w:val="32"/>
                <w:sz w:val="16"/>
              </w:rPr>
              <w:t>6 683</w:t>
            </w:r>
          </w:p>
        </w:tc>
        <w:tc>
          <w:tcPr>
            <w:tcW w:w="4788" w:type="dxa"/>
            <w:gridSpan w:val="4"/>
            <w:tcBorders>
              <w:top w:val="nil"/>
              <w:left w:val="nil"/>
              <w:bottom w:val="single" w:sz="4" w:space="0" w:color="auto"/>
              <w:right w:val="single" w:sz="4" w:space="0" w:color="auto"/>
            </w:tcBorders>
            <w:vAlign w:val="center"/>
          </w:tcPr>
          <w:p w:rsidR="002D1DA9" w:rsidRPr="00DD76C8" w:rsidRDefault="002D1DA9" w:rsidP="00FD2C57">
            <w:pPr>
              <w:widowControl/>
              <w:spacing w:before="30" w:after="30"/>
              <w:jc w:val="center"/>
              <w:rPr>
                <w:rFonts w:cs="Arial"/>
                <w:bCs/>
                <w:kern w:val="32"/>
                <w:sz w:val="16"/>
                <w:szCs w:val="16"/>
              </w:rPr>
            </w:pPr>
            <w:r w:rsidRPr="00DD76C8">
              <w:rPr>
                <w:b/>
                <w:kern w:val="32"/>
                <w:sz w:val="16"/>
              </w:rPr>
              <w:t>6 743</w:t>
            </w:r>
          </w:p>
        </w:tc>
      </w:tr>
    </w:tbl>
    <w:p w:rsidR="00FD2C57" w:rsidRPr="00DD76C8" w:rsidRDefault="00FD2C57" w:rsidP="002D1DA9">
      <w:pPr>
        <w:keepNext/>
        <w:widowControl/>
        <w:tabs>
          <w:tab w:val="left" w:pos="4260"/>
        </w:tabs>
        <w:spacing w:before="480" w:after="120"/>
        <w:ind w:left="576" w:hanging="576"/>
        <w:outlineLvl w:val="1"/>
        <w:rPr>
          <w:rFonts w:ascii="Arial" w:hAnsi="Arial" w:cs="Arial"/>
          <w:b/>
          <w:bCs/>
          <w:i/>
          <w:iCs/>
          <w:szCs w:val="24"/>
        </w:rPr>
        <w:sectPr w:rsidR="00FD2C57" w:rsidRPr="00DD76C8" w:rsidSect="00E55206">
          <w:footnotePr>
            <w:numRestart w:val="eachPage"/>
          </w:footnotePr>
          <w:endnotePr>
            <w:numFmt w:val="decimal"/>
          </w:endnotePr>
          <w:pgSz w:w="11906" w:h="16838" w:code="9"/>
          <w:pgMar w:top="720" w:right="720" w:bottom="720" w:left="720" w:header="567" w:footer="567" w:gutter="0"/>
          <w:cols w:space="720"/>
          <w:noEndnote/>
          <w:docGrid w:linePitch="326"/>
        </w:sectPr>
      </w:pPr>
    </w:p>
    <w:p w:rsidR="002D1DA9" w:rsidRPr="00DD76C8" w:rsidRDefault="002D1DA9" w:rsidP="002D1DA9">
      <w:pPr>
        <w:keepNext/>
        <w:widowControl/>
        <w:tabs>
          <w:tab w:val="left" w:pos="4260"/>
        </w:tabs>
        <w:spacing w:before="480" w:after="120"/>
        <w:ind w:left="576" w:hanging="576"/>
        <w:outlineLvl w:val="1"/>
        <w:rPr>
          <w:rFonts w:ascii="Arial" w:hAnsi="Arial" w:cs="Arial"/>
          <w:b/>
          <w:bCs/>
          <w:i/>
          <w:iCs/>
          <w:szCs w:val="24"/>
        </w:rPr>
      </w:pPr>
      <w:r w:rsidRPr="00DD76C8">
        <w:tab/>
      </w:r>
    </w:p>
    <w:p w:rsidR="002D1DA9" w:rsidRPr="00DD76C8" w:rsidRDefault="002D1DA9" w:rsidP="002D1DA9">
      <w:pPr>
        <w:widowControl/>
        <w:autoSpaceDE w:val="0"/>
        <w:autoSpaceDN w:val="0"/>
        <w:spacing w:before="480" w:after="120"/>
        <w:outlineLvl w:val="1"/>
        <w:rPr>
          <w:b/>
          <w:bCs/>
          <w:smallCaps/>
          <w:sz w:val="36"/>
          <w:szCs w:val="36"/>
        </w:rPr>
      </w:pPr>
      <w:r w:rsidRPr="00DD76C8">
        <w:rPr>
          <w:b/>
          <w:smallCaps/>
          <w:sz w:val="36"/>
        </w:rPr>
        <w:t>Prilog</w:t>
      </w:r>
    </w:p>
    <w:p w:rsidR="002D1DA9" w:rsidRPr="00DD76C8" w:rsidRDefault="002D1DA9" w:rsidP="002D1DA9">
      <w:pPr>
        <w:widowControl/>
        <w:jc w:val="center"/>
        <w:rPr>
          <w:b/>
          <w:kern w:val="32"/>
          <w:szCs w:val="24"/>
        </w:rPr>
      </w:pPr>
      <w:r w:rsidRPr="00DD76C8">
        <w:rPr>
          <w:b/>
          <w:kern w:val="32"/>
        </w:rPr>
        <w:t xml:space="preserve">NAMJENSKI PRIHODI </w:t>
      </w:r>
    </w:p>
    <w:p w:rsidR="002D1DA9" w:rsidRPr="00DD76C8" w:rsidRDefault="002D1DA9" w:rsidP="002D1DA9">
      <w:pPr>
        <w:widowControl/>
        <w:jc w:val="center"/>
        <w:rPr>
          <w:rFonts w:ascii="Arial" w:hAnsi="Arial" w:cs="Arial"/>
          <w:b/>
          <w:kern w:val="32"/>
          <w:szCs w:val="24"/>
        </w:rPr>
      </w:pPr>
    </w:p>
    <w:tbl>
      <w:tblPr>
        <w:tblW w:w="9180" w:type="dxa"/>
        <w:tblInd w:w="98" w:type="dxa"/>
        <w:tblLook w:val="04A0" w:firstRow="1" w:lastRow="0" w:firstColumn="1" w:lastColumn="0" w:noHBand="0" w:noVBand="1"/>
      </w:tblPr>
      <w:tblGrid>
        <w:gridCol w:w="1347"/>
        <w:gridCol w:w="4035"/>
        <w:gridCol w:w="1930"/>
        <w:gridCol w:w="1868"/>
      </w:tblGrid>
      <w:tr w:rsidR="002D1DA9" w:rsidRPr="00DD76C8" w:rsidTr="002D1DA9">
        <w:trPr>
          <w:trHeight w:val="315"/>
        </w:trPr>
        <w:tc>
          <w:tcPr>
            <w:tcW w:w="1237" w:type="dxa"/>
            <w:vMerge w:val="restart"/>
            <w:tcBorders>
              <w:top w:val="single" w:sz="8" w:space="0" w:color="auto"/>
              <w:left w:val="single" w:sz="8" w:space="0" w:color="auto"/>
              <w:bottom w:val="single" w:sz="8" w:space="0" w:color="000000"/>
              <w:right w:val="single" w:sz="8" w:space="0" w:color="auto"/>
            </w:tcBorders>
            <w:shd w:val="clear" w:color="000000" w:fill="99CCFF"/>
            <w:vAlign w:val="center"/>
            <w:hideMark/>
          </w:tcPr>
          <w:p w:rsidR="002D1DA9" w:rsidRPr="00DD76C8" w:rsidRDefault="002D1DA9" w:rsidP="002D1DA9">
            <w:pPr>
              <w:widowControl/>
              <w:jc w:val="center"/>
              <w:rPr>
                <w:b/>
                <w:bCs/>
                <w:color w:val="000000"/>
                <w:sz w:val="20"/>
              </w:rPr>
            </w:pPr>
            <w:r w:rsidRPr="00DD76C8">
              <w:rPr>
                <w:rFonts w:ascii="Calibri" w:hAnsi="Calibri"/>
                <w:b/>
                <w:color w:val="000000"/>
                <w:kern w:val="32"/>
                <w:sz w:val="22"/>
              </w:rPr>
              <w:t>Proračunska linija</w:t>
            </w:r>
          </w:p>
        </w:tc>
        <w:tc>
          <w:tcPr>
            <w:tcW w:w="4145" w:type="dxa"/>
            <w:vMerge w:val="restart"/>
            <w:tcBorders>
              <w:top w:val="single" w:sz="8" w:space="0" w:color="auto"/>
              <w:left w:val="single" w:sz="8" w:space="0" w:color="auto"/>
              <w:bottom w:val="single" w:sz="8" w:space="0" w:color="000000"/>
              <w:right w:val="single" w:sz="8" w:space="0" w:color="auto"/>
            </w:tcBorders>
            <w:shd w:val="clear" w:color="000000" w:fill="99CCFF"/>
            <w:vAlign w:val="center"/>
            <w:hideMark/>
          </w:tcPr>
          <w:p w:rsidR="002D1DA9" w:rsidRPr="00DD76C8" w:rsidRDefault="002D1DA9" w:rsidP="002D1DA9">
            <w:pPr>
              <w:widowControl/>
              <w:jc w:val="center"/>
              <w:rPr>
                <w:b/>
                <w:bCs/>
                <w:color w:val="000000"/>
                <w:sz w:val="20"/>
              </w:rPr>
            </w:pPr>
            <w:r w:rsidRPr="00DD76C8">
              <w:rPr>
                <w:rFonts w:ascii="Calibri" w:hAnsi="Calibri"/>
                <w:b/>
                <w:color w:val="000000"/>
                <w:kern w:val="32"/>
                <w:sz w:val="22"/>
              </w:rPr>
              <w:t>Naslov</w:t>
            </w:r>
          </w:p>
        </w:tc>
        <w:tc>
          <w:tcPr>
            <w:tcW w:w="1930" w:type="dxa"/>
            <w:tcBorders>
              <w:top w:val="single" w:sz="8" w:space="0" w:color="auto"/>
              <w:left w:val="nil"/>
              <w:right w:val="single" w:sz="8" w:space="0" w:color="auto"/>
            </w:tcBorders>
            <w:shd w:val="clear" w:color="000000" w:fill="99CCFF"/>
            <w:vAlign w:val="center"/>
            <w:hideMark/>
          </w:tcPr>
          <w:p w:rsidR="002D1DA9" w:rsidRPr="00DD76C8" w:rsidRDefault="002D1DA9" w:rsidP="002D1DA9">
            <w:pPr>
              <w:widowControl/>
              <w:jc w:val="center"/>
              <w:rPr>
                <w:b/>
                <w:bCs/>
                <w:color w:val="000000"/>
                <w:sz w:val="20"/>
              </w:rPr>
            </w:pPr>
            <w:r w:rsidRPr="00DD76C8">
              <w:rPr>
                <w:rFonts w:ascii="Calibri" w:hAnsi="Calibri"/>
                <w:b/>
                <w:color w:val="000000"/>
                <w:kern w:val="32"/>
                <w:sz w:val="22"/>
              </w:rPr>
              <w:t>Ostvareni prihodi</w:t>
            </w:r>
          </w:p>
        </w:tc>
        <w:tc>
          <w:tcPr>
            <w:tcW w:w="1868" w:type="dxa"/>
            <w:tcBorders>
              <w:top w:val="single" w:sz="8" w:space="0" w:color="auto"/>
              <w:left w:val="nil"/>
              <w:right w:val="single" w:sz="8" w:space="0" w:color="auto"/>
            </w:tcBorders>
            <w:shd w:val="clear" w:color="000000" w:fill="99CCFF"/>
            <w:vAlign w:val="center"/>
            <w:hideMark/>
          </w:tcPr>
          <w:p w:rsidR="002D1DA9" w:rsidRPr="00DD76C8" w:rsidRDefault="002D1DA9" w:rsidP="002D1DA9">
            <w:pPr>
              <w:widowControl/>
              <w:jc w:val="center"/>
              <w:rPr>
                <w:b/>
                <w:bCs/>
                <w:color w:val="000000"/>
                <w:sz w:val="20"/>
              </w:rPr>
            </w:pPr>
            <w:r w:rsidRPr="00DD76C8">
              <w:rPr>
                <w:rFonts w:ascii="Calibri" w:hAnsi="Calibri"/>
                <w:b/>
                <w:color w:val="000000"/>
                <w:kern w:val="32"/>
                <w:sz w:val="22"/>
              </w:rPr>
              <w:t>Plan</w:t>
            </w:r>
          </w:p>
        </w:tc>
      </w:tr>
      <w:tr w:rsidR="002D1DA9" w:rsidRPr="00DD76C8" w:rsidTr="002D1DA9">
        <w:trPr>
          <w:trHeight w:val="315"/>
        </w:trPr>
        <w:tc>
          <w:tcPr>
            <w:tcW w:w="1237" w:type="dxa"/>
            <w:vMerge/>
            <w:tcBorders>
              <w:top w:val="single" w:sz="8" w:space="0" w:color="auto"/>
              <w:left w:val="single" w:sz="8" w:space="0" w:color="auto"/>
              <w:bottom w:val="single" w:sz="8" w:space="0" w:color="000000"/>
              <w:right w:val="single" w:sz="8" w:space="0" w:color="auto"/>
            </w:tcBorders>
            <w:vAlign w:val="center"/>
            <w:hideMark/>
          </w:tcPr>
          <w:p w:rsidR="002D1DA9" w:rsidRPr="00DD76C8" w:rsidRDefault="002D1DA9" w:rsidP="002D1DA9">
            <w:pPr>
              <w:widowControl/>
              <w:rPr>
                <w:b/>
                <w:bCs/>
                <w:color w:val="000000"/>
                <w:sz w:val="20"/>
              </w:rPr>
            </w:pPr>
          </w:p>
        </w:tc>
        <w:tc>
          <w:tcPr>
            <w:tcW w:w="4145" w:type="dxa"/>
            <w:vMerge/>
            <w:tcBorders>
              <w:top w:val="single" w:sz="8" w:space="0" w:color="auto"/>
              <w:left w:val="single" w:sz="8" w:space="0" w:color="auto"/>
              <w:bottom w:val="single" w:sz="8" w:space="0" w:color="000000"/>
              <w:right w:val="single" w:sz="8" w:space="0" w:color="auto"/>
            </w:tcBorders>
            <w:vAlign w:val="center"/>
            <w:hideMark/>
          </w:tcPr>
          <w:p w:rsidR="002D1DA9" w:rsidRPr="00DD76C8" w:rsidRDefault="002D1DA9" w:rsidP="002D1DA9">
            <w:pPr>
              <w:widowControl/>
              <w:rPr>
                <w:b/>
                <w:bCs/>
                <w:color w:val="000000"/>
                <w:sz w:val="20"/>
              </w:rPr>
            </w:pPr>
          </w:p>
        </w:tc>
        <w:tc>
          <w:tcPr>
            <w:tcW w:w="1930" w:type="dxa"/>
            <w:tcBorders>
              <w:left w:val="nil"/>
              <w:bottom w:val="single" w:sz="8" w:space="0" w:color="auto"/>
              <w:right w:val="single" w:sz="8" w:space="0" w:color="auto"/>
            </w:tcBorders>
            <w:shd w:val="clear" w:color="000000" w:fill="99CCFF"/>
            <w:vAlign w:val="center"/>
            <w:hideMark/>
          </w:tcPr>
          <w:p w:rsidR="002D1DA9" w:rsidRPr="00DD76C8" w:rsidRDefault="002D1DA9" w:rsidP="002D1DA9">
            <w:pPr>
              <w:widowControl/>
              <w:jc w:val="center"/>
              <w:rPr>
                <w:b/>
                <w:bCs/>
                <w:color w:val="000000"/>
                <w:sz w:val="20"/>
              </w:rPr>
            </w:pPr>
            <w:r w:rsidRPr="00DD76C8">
              <w:rPr>
                <w:rFonts w:ascii="Calibri" w:hAnsi="Calibri"/>
                <w:b/>
                <w:color w:val="000000"/>
                <w:kern w:val="32"/>
                <w:sz w:val="22"/>
              </w:rPr>
              <w:t>2016.</w:t>
            </w:r>
          </w:p>
        </w:tc>
        <w:tc>
          <w:tcPr>
            <w:tcW w:w="1868" w:type="dxa"/>
            <w:tcBorders>
              <w:left w:val="nil"/>
              <w:bottom w:val="single" w:sz="8" w:space="0" w:color="auto"/>
              <w:right w:val="single" w:sz="8" w:space="0" w:color="auto"/>
            </w:tcBorders>
            <w:shd w:val="clear" w:color="000000" w:fill="99CCFF"/>
            <w:vAlign w:val="center"/>
            <w:hideMark/>
          </w:tcPr>
          <w:p w:rsidR="002D1DA9" w:rsidRPr="00DD76C8" w:rsidRDefault="002D1DA9" w:rsidP="002D1DA9">
            <w:pPr>
              <w:widowControl/>
              <w:jc w:val="center"/>
              <w:rPr>
                <w:b/>
                <w:bCs/>
                <w:color w:val="000000"/>
                <w:sz w:val="20"/>
              </w:rPr>
            </w:pPr>
            <w:r w:rsidRPr="00DD76C8">
              <w:rPr>
                <w:rFonts w:ascii="Calibri" w:hAnsi="Calibri"/>
                <w:b/>
                <w:color w:val="000000"/>
                <w:kern w:val="32"/>
                <w:sz w:val="22"/>
              </w:rPr>
              <w:t>2018.</w:t>
            </w:r>
          </w:p>
        </w:tc>
      </w:tr>
      <w:tr w:rsidR="002D1DA9" w:rsidRPr="00DD76C8" w:rsidTr="002D1DA9">
        <w:trPr>
          <w:trHeight w:val="615"/>
        </w:trPr>
        <w:tc>
          <w:tcPr>
            <w:tcW w:w="1237" w:type="dxa"/>
            <w:tcBorders>
              <w:top w:val="nil"/>
              <w:left w:val="single" w:sz="8" w:space="0" w:color="auto"/>
              <w:bottom w:val="single" w:sz="8" w:space="0" w:color="auto"/>
              <w:right w:val="single" w:sz="8" w:space="0" w:color="auto"/>
            </w:tcBorders>
            <w:shd w:val="clear" w:color="auto" w:fill="auto"/>
            <w:vAlign w:val="center"/>
            <w:hideMark/>
          </w:tcPr>
          <w:p w:rsidR="002D1DA9" w:rsidRPr="00DD76C8" w:rsidRDefault="002D1DA9" w:rsidP="002D1DA9">
            <w:pPr>
              <w:widowControl/>
              <w:jc w:val="center"/>
              <w:rPr>
                <w:color w:val="000000"/>
                <w:sz w:val="20"/>
              </w:rPr>
            </w:pPr>
            <w:r w:rsidRPr="00DD76C8">
              <w:rPr>
                <w:rFonts w:ascii="Calibri" w:hAnsi="Calibri"/>
                <w:color w:val="000000"/>
                <w:kern w:val="32"/>
                <w:sz w:val="22"/>
              </w:rPr>
              <w:t>5 0 0 0</w:t>
            </w:r>
          </w:p>
        </w:tc>
        <w:tc>
          <w:tcPr>
            <w:tcW w:w="4145" w:type="dxa"/>
            <w:tcBorders>
              <w:top w:val="nil"/>
              <w:left w:val="nil"/>
              <w:bottom w:val="single" w:sz="8" w:space="0" w:color="auto"/>
              <w:right w:val="single" w:sz="8" w:space="0" w:color="auto"/>
            </w:tcBorders>
            <w:shd w:val="clear" w:color="auto" w:fill="auto"/>
            <w:vAlign w:val="center"/>
            <w:hideMark/>
          </w:tcPr>
          <w:p w:rsidR="002D1DA9" w:rsidRPr="00DD76C8" w:rsidRDefault="002D1DA9" w:rsidP="002D1DA9">
            <w:pPr>
              <w:widowControl/>
              <w:rPr>
                <w:color w:val="000000"/>
                <w:sz w:val="20"/>
              </w:rPr>
            </w:pPr>
            <w:r w:rsidRPr="00DD76C8">
              <w:rPr>
                <w:rFonts w:ascii="Calibri" w:hAnsi="Calibri"/>
                <w:color w:val="000000"/>
                <w:kern w:val="32"/>
                <w:sz w:val="22"/>
              </w:rPr>
              <w:t xml:space="preserve">Prihod od prodaje prijevoznih sredstava </w:t>
            </w:r>
          </w:p>
        </w:tc>
        <w:tc>
          <w:tcPr>
            <w:tcW w:w="1930" w:type="dxa"/>
            <w:tcBorders>
              <w:top w:val="nil"/>
              <w:left w:val="nil"/>
              <w:bottom w:val="single" w:sz="8" w:space="0" w:color="auto"/>
              <w:right w:val="single" w:sz="8" w:space="0" w:color="auto"/>
            </w:tcBorders>
            <w:shd w:val="clear" w:color="auto" w:fill="auto"/>
            <w:vAlign w:val="center"/>
            <w:hideMark/>
          </w:tcPr>
          <w:p w:rsidR="002D1DA9" w:rsidRPr="00DD76C8" w:rsidRDefault="002D1DA9" w:rsidP="002D1DA9">
            <w:pPr>
              <w:widowControl/>
              <w:jc w:val="right"/>
              <w:rPr>
                <w:bCs/>
                <w:color w:val="000000"/>
                <w:sz w:val="20"/>
              </w:rPr>
            </w:pPr>
            <w:r w:rsidRPr="00DD76C8">
              <w:rPr>
                <w:rFonts w:ascii="Calibri" w:hAnsi="Calibri"/>
                <w:b/>
                <w:color w:val="000000"/>
                <w:kern w:val="32"/>
                <w:sz w:val="22"/>
              </w:rPr>
              <w:t xml:space="preserve"> - </w:t>
            </w:r>
          </w:p>
        </w:tc>
        <w:tc>
          <w:tcPr>
            <w:tcW w:w="1868" w:type="dxa"/>
            <w:tcBorders>
              <w:top w:val="nil"/>
              <w:left w:val="nil"/>
              <w:bottom w:val="single" w:sz="8" w:space="0" w:color="auto"/>
              <w:right w:val="single" w:sz="8" w:space="0" w:color="auto"/>
            </w:tcBorders>
            <w:shd w:val="clear" w:color="auto" w:fill="auto"/>
            <w:vAlign w:val="center"/>
            <w:hideMark/>
          </w:tcPr>
          <w:p w:rsidR="002D1DA9" w:rsidRPr="00DD76C8" w:rsidRDefault="002D1DA9" w:rsidP="002D1DA9">
            <w:pPr>
              <w:widowControl/>
              <w:jc w:val="right"/>
              <w:rPr>
                <w:bCs/>
                <w:color w:val="000000"/>
                <w:sz w:val="20"/>
              </w:rPr>
            </w:pPr>
            <w:r w:rsidRPr="00DD76C8">
              <w:rPr>
                <w:rFonts w:ascii="Calibri" w:hAnsi="Calibri"/>
                <w:b/>
                <w:color w:val="000000"/>
                <w:kern w:val="32"/>
                <w:sz w:val="22"/>
              </w:rPr>
              <w:t xml:space="preserve"> p.m. </w:t>
            </w:r>
          </w:p>
        </w:tc>
      </w:tr>
      <w:tr w:rsidR="002D1DA9" w:rsidRPr="00DD76C8" w:rsidTr="002D1DA9">
        <w:trPr>
          <w:trHeight w:val="615"/>
        </w:trPr>
        <w:tc>
          <w:tcPr>
            <w:tcW w:w="1237" w:type="dxa"/>
            <w:tcBorders>
              <w:top w:val="nil"/>
              <w:left w:val="single" w:sz="8" w:space="0" w:color="auto"/>
              <w:bottom w:val="single" w:sz="8" w:space="0" w:color="auto"/>
              <w:right w:val="single" w:sz="8" w:space="0" w:color="auto"/>
            </w:tcBorders>
            <w:shd w:val="clear" w:color="auto" w:fill="auto"/>
            <w:noWrap/>
            <w:vAlign w:val="center"/>
            <w:hideMark/>
          </w:tcPr>
          <w:p w:rsidR="002D1DA9" w:rsidRPr="00DD76C8" w:rsidRDefault="002D1DA9" w:rsidP="002D1DA9">
            <w:pPr>
              <w:widowControl/>
              <w:jc w:val="center"/>
              <w:rPr>
                <w:color w:val="000000"/>
                <w:sz w:val="20"/>
              </w:rPr>
            </w:pPr>
            <w:r w:rsidRPr="00DD76C8">
              <w:rPr>
                <w:rFonts w:ascii="Calibri" w:hAnsi="Calibri"/>
                <w:color w:val="000000"/>
                <w:kern w:val="32"/>
                <w:sz w:val="22"/>
              </w:rPr>
              <w:t>5 0 0 1</w:t>
            </w:r>
          </w:p>
        </w:tc>
        <w:tc>
          <w:tcPr>
            <w:tcW w:w="4145" w:type="dxa"/>
            <w:tcBorders>
              <w:top w:val="nil"/>
              <w:left w:val="nil"/>
              <w:bottom w:val="single" w:sz="8" w:space="0" w:color="auto"/>
              <w:right w:val="single" w:sz="8" w:space="0" w:color="auto"/>
            </w:tcBorders>
            <w:shd w:val="clear" w:color="auto" w:fill="auto"/>
            <w:vAlign w:val="center"/>
            <w:hideMark/>
          </w:tcPr>
          <w:p w:rsidR="002D1DA9" w:rsidRPr="00DD76C8" w:rsidRDefault="002D1DA9" w:rsidP="002D1DA9">
            <w:pPr>
              <w:widowControl/>
              <w:rPr>
                <w:color w:val="000000"/>
                <w:sz w:val="20"/>
              </w:rPr>
            </w:pPr>
            <w:r w:rsidRPr="00DD76C8">
              <w:rPr>
                <w:rFonts w:ascii="Calibri" w:hAnsi="Calibri"/>
                <w:color w:val="000000"/>
                <w:kern w:val="32"/>
                <w:sz w:val="22"/>
              </w:rPr>
              <w:t>Prihod od prodaje ostale pokretne imovine</w:t>
            </w:r>
          </w:p>
        </w:tc>
        <w:tc>
          <w:tcPr>
            <w:tcW w:w="1930" w:type="dxa"/>
            <w:tcBorders>
              <w:top w:val="nil"/>
              <w:left w:val="nil"/>
              <w:bottom w:val="single" w:sz="8" w:space="0" w:color="auto"/>
              <w:right w:val="single" w:sz="8" w:space="0" w:color="auto"/>
            </w:tcBorders>
            <w:shd w:val="clear" w:color="auto" w:fill="auto"/>
            <w:noWrap/>
            <w:vAlign w:val="center"/>
            <w:hideMark/>
          </w:tcPr>
          <w:p w:rsidR="002D1DA9" w:rsidRPr="00DD76C8" w:rsidRDefault="002D1DA9" w:rsidP="002D1DA9">
            <w:pPr>
              <w:widowControl/>
              <w:jc w:val="right"/>
              <w:rPr>
                <w:bCs/>
                <w:color w:val="000000"/>
                <w:sz w:val="20"/>
              </w:rPr>
            </w:pPr>
            <w:r w:rsidRPr="00DD76C8">
              <w:rPr>
                <w:rFonts w:ascii="Calibri" w:hAnsi="Calibri"/>
                <w:b/>
                <w:color w:val="000000"/>
                <w:kern w:val="32"/>
                <w:sz w:val="22"/>
              </w:rPr>
              <w:t xml:space="preserve">                                589 </w:t>
            </w:r>
          </w:p>
        </w:tc>
        <w:tc>
          <w:tcPr>
            <w:tcW w:w="1868" w:type="dxa"/>
            <w:tcBorders>
              <w:top w:val="nil"/>
              <w:left w:val="nil"/>
              <w:bottom w:val="single" w:sz="8" w:space="0" w:color="auto"/>
              <w:right w:val="single" w:sz="8" w:space="0" w:color="auto"/>
            </w:tcBorders>
            <w:shd w:val="clear" w:color="auto" w:fill="auto"/>
            <w:vAlign w:val="center"/>
            <w:hideMark/>
          </w:tcPr>
          <w:p w:rsidR="002D1DA9" w:rsidRPr="00DD76C8" w:rsidRDefault="002D1DA9" w:rsidP="002D1DA9">
            <w:pPr>
              <w:widowControl/>
              <w:jc w:val="right"/>
              <w:rPr>
                <w:bCs/>
                <w:color w:val="000000"/>
                <w:sz w:val="20"/>
              </w:rPr>
            </w:pPr>
            <w:r w:rsidRPr="00DD76C8">
              <w:rPr>
                <w:rFonts w:ascii="Calibri" w:hAnsi="Calibri"/>
                <w:b/>
                <w:color w:val="000000"/>
                <w:kern w:val="32"/>
                <w:sz w:val="22"/>
              </w:rPr>
              <w:t xml:space="preserve">                            5 000 </w:t>
            </w:r>
          </w:p>
        </w:tc>
      </w:tr>
      <w:tr w:rsidR="002D1DA9" w:rsidRPr="00DD76C8" w:rsidTr="002D1DA9">
        <w:trPr>
          <w:trHeight w:val="915"/>
        </w:trPr>
        <w:tc>
          <w:tcPr>
            <w:tcW w:w="1237" w:type="dxa"/>
            <w:tcBorders>
              <w:top w:val="nil"/>
              <w:left w:val="single" w:sz="8" w:space="0" w:color="auto"/>
              <w:bottom w:val="single" w:sz="8" w:space="0" w:color="auto"/>
              <w:right w:val="single" w:sz="8" w:space="0" w:color="auto"/>
            </w:tcBorders>
            <w:shd w:val="clear" w:color="auto" w:fill="auto"/>
            <w:noWrap/>
            <w:vAlign w:val="center"/>
            <w:hideMark/>
          </w:tcPr>
          <w:p w:rsidR="002D1DA9" w:rsidRPr="00DD76C8" w:rsidRDefault="002D1DA9" w:rsidP="002D1DA9">
            <w:pPr>
              <w:widowControl/>
              <w:jc w:val="center"/>
              <w:rPr>
                <w:color w:val="000000"/>
                <w:sz w:val="20"/>
              </w:rPr>
            </w:pPr>
            <w:r w:rsidRPr="00DD76C8">
              <w:rPr>
                <w:rFonts w:ascii="Calibri" w:hAnsi="Calibri"/>
                <w:color w:val="000000"/>
                <w:kern w:val="32"/>
                <w:sz w:val="22"/>
              </w:rPr>
              <w:t>5 0 0 2</w:t>
            </w:r>
          </w:p>
        </w:tc>
        <w:tc>
          <w:tcPr>
            <w:tcW w:w="4145" w:type="dxa"/>
            <w:tcBorders>
              <w:top w:val="nil"/>
              <w:left w:val="nil"/>
              <w:bottom w:val="single" w:sz="8" w:space="0" w:color="auto"/>
              <w:right w:val="single" w:sz="8" w:space="0" w:color="auto"/>
            </w:tcBorders>
            <w:shd w:val="clear" w:color="auto" w:fill="auto"/>
            <w:vAlign w:val="center"/>
            <w:hideMark/>
          </w:tcPr>
          <w:p w:rsidR="002D1DA9" w:rsidRPr="00DD76C8" w:rsidRDefault="002D1DA9" w:rsidP="002D1DA9">
            <w:pPr>
              <w:widowControl/>
              <w:rPr>
                <w:color w:val="000000"/>
                <w:sz w:val="20"/>
              </w:rPr>
            </w:pPr>
            <w:r w:rsidRPr="00DD76C8">
              <w:rPr>
                <w:rFonts w:ascii="Calibri" w:hAnsi="Calibri"/>
                <w:color w:val="000000"/>
                <w:kern w:val="32"/>
                <w:sz w:val="22"/>
              </w:rPr>
              <w:t>Prihodi od nabave robe za druge institucije ili tijela</w:t>
            </w:r>
          </w:p>
        </w:tc>
        <w:tc>
          <w:tcPr>
            <w:tcW w:w="1930" w:type="dxa"/>
            <w:tcBorders>
              <w:top w:val="nil"/>
              <w:left w:val="nil"/>
              <w:bottom w:val="single" w:sz="8" w:space="0" w:color="auto"/>
              <w:right w:val="single" w:sz="8" w:space="0" w:color="auto"/>
            </w:tcBorders>
            <w:shd w:val="clear" w:color="auto" w:fill="auto"/>
            <w:noWrap/>
            <w:vAlign w:val="center"/>
            <w:hideMark/>
          </w:tcPr>
          <w:p w:rsidR="002D1DA9" w:rsidRPr="00DD76C8" w:rsidRDefault="002D1DA9" w:rsidP="002D1DA9">
            <w:pPr>
              <w:widowControl/>
              <w:jc w:val="right"/>
              <w:rPr>
                <w:bCs/>
                <w:color w:val="000000"/>
                <w:sz w:val="20"/>
              </w:rPr>
            </w:pPr>
            <w:r w:rsidRPr="00DD76C8">
              <w:rPr>
                <w:rFonts w:ascii="Calibri" w:hAnsi="Calibri"/>
                <w:b/>
                <w:color w:val="000000"/>
                <w:kern w:val="32"/>
                <w:sz w:val="22"/>
              </w:rPr>
              <w:t xml:space="preserve">                       188 858 </w:t>
            </w:r>
          </w:p>
        </w:tc>
        <w:tc>
          <w:tcPr>
            <w:tcW w:w="1868" w:type="dxa"/>
            <w:tcBorders>
              <w:top w:val="nil"/>
              <w:left w:val="nil"/>
              <w:bottom w:val="single" w:sz="8" w:space="0" w:color="auto"/>
              <w:right w:val="single" w:sz="8" w:space="0" w:color="auto"/>
            </w:tcBorders>
            <w:shd w:val="clear" w:color="auto" w:fill="auto"/>
            <w:vAlign w:val="center"/>
            <w:hideMark/>
          </w:tcPr>
          <w:p w:rsidR="002D1DA9" w:rsidRPr="00DD76C8" w:rsidRDefault="002D1DA9" w:rsidP="002D1DA9">
            <w:pPr>
              <w:widowControl/>
              <w:jc w:val="right"/>
              <w:rPr>
                <w:bCs/>
                <w:color w:val="000000"/>
                <w:sz w:val="20"/>
              </w:rPr>
            </w:pPr>
            <w:r w:rsidRPr="00DD76C8">
              <w:rPr>
                <w:rFonts w:ascii="Calibri" w:hAnsi="Calibri"/>
                <w:b/>
                <w:color w:val="000000"/>
                <w:kern w:val="32"/>
                <w:sz w:val="22"/>
              </w:rPr>
              <w:t xml:space="preserve">                          10 000 </w:t>
            </w:r>
          </w:p>
        </w:tc>
      </w:tr>
      <w:tr w:rsidR="002D1DA9" w:rsidRPr="00DD76C8" w:rsidTr="002D1DA9">
        <w:trPr>
          <w:trHeight w:val="615"/>
        </w:trPr>
        <w:tc>
          <w:tcPr>
            <w:tcW w:w="1237" w:type="dxa"/>
            <w:tcBorders>
              <w:top w:val="nil"/>
              <w:left w:val="single" w:sz="8" w:space="0" w:color="auto"/>
              <w:bottom w:val="single" w:sz="8" w:space="0" w:color="auto"/>
              <w:right w:val="single" w:sz="8" w:space="0" w:color="auto"/>
            </w:tcBorders>
            <w:shd w:val="clear" w:color="auto" w:fill="auto"/>
            <w:noWrap/>
            <w:vAlign w:val="center"/>
            <w:hideMark/>
          </w:tcPr>
          <w:p w:rsidR="002D1DA9" w:rsidRPr="00DD76C8" w:rsidRDefault="002D1DA9" w:rsidP="002D1DA9">
            <w:pPr>
              <w:widowControl/>
              <w:jc w:val="center"/>
              <w:rPr>
                <w:color w:val="000000"/>
                <w:sz w:val="20"/>
              </w:rPr>
            </w:pPr>
            <w:r w:rsidRPr="00DD76C8">
              <w:rPr>
                <w:rFonts w:ascii="Calibri" w:hAnsi="Calibri"/>
                <w:color w:val="000000"/>
                <w:kern w:val="32"/>
                <w:sz w:val="22"/>
              </w:rPr>
              <w:t>5 0 2</w:t>
            </w:r>
          </w:p>
        </w:tc>
        <w:tc>
          <w:tcPr>
            <w:tcW w:w="4145" w:type="dxa"/>
            <w:tcBorders>
              <w:top w:val="nil"/>
              <w:left w:val="nil"/>
              <w:bottom w:val="single" w:sz="8" w:space="0" w:color="auto"/>
              <w:right w:val="single" w:sz="8" w:space="0" w:color="auto"/>
            </w:tcBorders>
            <w:shd w:val="clear" w:color="auto" w:fill="auto"/>
            <w:vAlign w:val="center"/>
            <w:hideMark/>
          </w:tcPr>
          <w:p w:rsidR="002D1DA9" w:rsidRPr="00DD76C8" w:rsidRDefault="002D1DA9" w:rsidP="002D1DA9">
            <w:pPr>
              <w:widowControl/>
              <w:rPr>
                <w:color w:val="000000"/>
                <w:sz w:val="20"/>
              </w:rPr>
            </w:pPr>
            <w:r w:rsidRPr="00DD76C8">
              <w:rPr>
                <w:rFonts w:ascii="Calibri" w:hAnsi="Calibri"/>
                <w:color w:val="000000"/>
                <w:kern w:val="32"/>
                <w:sz w:val="22"/>
              </w:rPr>
              <w:t>Prihod od prodaje publikacija, tiskanih materijala i filmova</w:t>
            </w:r>
          </w:p>
        </w:tc>
        <w:tc>
          <w:tcPr>
            <w:tcW w:w="1930" w:type="dxa"/>
            <w:tcBorders>
              <w:top w:val="nil"/>
              <w:left w:val="nil"/>
              <w:bottom w:val="single" w:sz="8" w:space="0" w:color="auto"/>
              <w:right w:val="single" w:sz="8" w:space="0" w:color="auto"/>
            </w:tcBorders>
            <w:shd w:val="clear" w:color="auto" w:fill="auto"/>
            <w:noWrap/>
            <w:vAlign w:val="center"/>
            <w:hideMark/>
          </w:tcPr>
          <w:p w:rsidR="002D1DA9" w:rsidRPr="00DD76C8" w:rsidRDefault="002D1DA9" w:rsidP="002D1DA9">
            <w:pPr>
              <w:widowControl/>
              <w:jc w:val="right"/>
              <w:rPr>
                <w:bCs/>
                <w:color w:val="000000"/>
                <w:sz w:val="20"/>
              </w:rPr>
            </w:pPr>
            <w:r w:rsidRPr="00DD76C8">
              <w:rPr>
                <w:rFonts w:ascii="Calibri" w:hAnsi="Calibri"/>
                <w:b/>
                <w:color w:val="000000"/>
                <w:kern w:val="32"/>
                <w:sz w:val="22"/>
              </w:rPr>
              <w:t xml:space="preserve"> - </w:t>
            </w:r>
          </w:p>
        </w:tc>
        <w:tc>
          <w:tcPr>
            <w:tcW w:w="1868" w:type="dxa"/>
            <w:tcBorders>
              <w:top w:val="nil"/>
              <w:left w:val="nil"/>
              <w:bottom w:val="single" w:sz="8" w:space="0" w:color="auto"/>
              <w:right w:val="single" w:sz="8" w:space="0" w:color="auto"/>
            </w:tcBorders>
            <w:shd w:val="clear" w:color="auto" w:fill="auto"/>
            <w:vAlign w:val="center"/>
            <w:hideMark/>
          </w:tcPr>
          <w:p w:rsidR="002D1DA9" w:rsidRPr="00DD76C8" w:rsidRDefault="002D1DA9" w:rsidP="002D1DA9">
            <w:pPr>
              <w:widowControl/>
              <w:jc w:val="right"/>
              <w:rPr>
                <w:bCs/>
                <w:color w:val="000000"/>
                <w:sz w:val="20"/>
              </w:rPr>
            </w:pPr>
            <w:r w:rsidRPr="00DD76C8">
              <w:rPr>
                <w:rFonts w:ascii="Calibri" w:hAnsi="Calibri"/>
                <w:b/>
                <w:color w:val="000000"/>
                <w:kern w:val="32"/>
                <w:sz w:val="22"/>
              </w:rPr>
              <w:t xml:space="preserve">                            1 000 </w:t>
            </w:r>
          </w:p>
        </w:tc>
      </w:tr>
      <w:tr w:rsidR="002D1DA9" w:rsidRPr="00DD76C8" w:rsidTr="002D1DA9">
        <w:trPr>
          <w:trHeight w:val="615"/>
        </w:trPr>
        <w:tc>
          <w:tcPr>
            <w:tcW w:w="1237" w:type="dxa"/>
            <w:tcBorders>
              <w:top w:val="nil"/>
              <w:left w:val="single" w:sz="8" w:space="0" w:color="auto"/>
              <w:bottom w:val="single" w:sz="8" w:space="0" w:color="auto"/>
              <w:right w:val="single" w:sz="8" w:space="0" w:color="auto"/>
            </w:tcBorders>
            <w:shd w:val="clear" w:color="auto" w:fill="auto"/>
            <w:noWrap/>
            <w:vAlign w:val="center"/>
            <w:hideMark/>
          </w:tcPr>
          <w:p w:rsidR="002D1DA9" w:rsidRPr="00DD76C8" w:rsidRDefault="002D1DA9" w:rsidP="002D1DA9">
            <w:pPr>
              <w:widowControl/>
              <w:jc w:val="center"/>
              <w:rPr>
                <w:color w:val="000000"/>
                <w:sz w:val="20"/>
              </w:rPr>
            </w:pPr>
            <w:r w:rsidRPr="00DD76C8">
              <w:rPr>
                <w:rFonts w:ascii="Calibri" w:hAnsi="Calibri"/>
                <w:color w:val="000000"/>
                <w:kern w:val="32"/>
                <w:sz w:val="22"/>
              </w:rPr>
              <w:t>5 1 1 0</w:t>
            </w:r>
          </w:p>
        </w:tc>
        <w:tc>
          <w:tcPr>
            <w:tcW w:w="4145" w:type="dxa"/>
            <w:tcBorders>
              <w:top w:val="nil"/>
              <w:left w:val="nil"/>
              <w:bottom w:val="single" w:sz="8" w:space="0" w:color="auto"/>
              <w:right w:val="single" w:sz="8" w:space="0" w:color="auto"/>
            </w:tcBorders>
            <w:shd w:val="clear" w:color="auto" w:fill="auto"/>
            <w:vAlign w:val="center"/>
            <w:hideMark/>
          </w:tcPr>
          <w:p w:rsidR="002D1DA9" w:rsidRPr="00DD76C8" w:rsidRDefault="002D1DA9" w:rsidP="002D1DA9">
            <w:pPr>
              <w:widowControl/>
              <w:rPr>
                <w:color w:val="000000"/>
                <w:sz w:val="20"/>
              </w:rPr>
            </w:pPr>
            <w:r w:rsidRPr="00DD76C8">
              <w:rPr>
                <w:rFonts w:ascii="Calibri" w:hAnsi="Calibri"/>
                <w:color w:val="000000"/>
                <w:kern w:val="32"/>
                <w:sz w:val="22"/>
              </w:rPr>
              <w:t xml:space="preserve">Prihodi od iznajmljivanja i davanja u podnajam građevinskih objekata </w:t>
            </w:r>
          </w:p>
        </w:tc>
        <w:tc>
          <w:tcPr>
            <w:tcW w:w="1930" w:type="dxa"/>
            <w:tcBorders>
              <w:top w:val="nil"/>
              <w:left w:val="nil"/>
              <w:bottom w:val="single" w:sz="8" w:space="0" w:color="auto"/>
              <w:right w:val="single" w:sz="8" w:space="0" w:color="auto"/>
            </w:tcBorders>
            <w:shd w:val="clear" w:color="auto" w:fill="auto"/>
            <w:noWrap/>
            <w:vAlign w:val="center"/>
            <w:hideMark/>
          </w:tcPr>
          <w:p w:rsidR="002D1DA9" w:rsidRPr="00DD76C8" w:rsidRDefault="002D1DA9" w:rsidP="002D1DA9">
            <w:pPr>
              <w:widowControl/>
              <w:jc w:val="right"/>
              <w:rPr>
                <w:bCs/>
                <w:color w:val="000000"/>
                <w:sz w:val="20"/>
              </w:rPr>
            </w:pPr>
            <w:r w:rsidRPr="00DD76C8">
              <w:rPr>
                <w:rFonts w:ascii="Calibri" w:hAnsi="Calibri"/>
                <w:b/>
                <w:color w:val="000000"/>
                <w:kern w:val="32"/>
                <w:sz w:val="22"/>
              </w:rPr>
              <w:t xml:space="preserve">                    2 859 618 </w:t>
            </w:r>
          </w:p>
        </w:tc>
        <w:tc>
          <w:tcPr>
            <w:tcW w:w="1868" w:type="dxa"/>
            <w:tcBorders>
              <w:top w:val="nil"/>
              <w:left w:val="nil"/>
              <w:bottom w:val="single" w:sz="8" w:space="0" w:color="auto"/>
              <w:right w:val="single" w:sz="8" w:space="0" w:color="auto"/>
            </w:tcBorders>
            <w:shd w:val="clear" w:color="auto" w:fill="auto"/>
            <w:vAlign w:val="center"/>
            <w:hideMark/>
          </w:tcPr>
          <w:p w:rsidR="002D1DA9" w:rsidRPr="00DD76C8" w:rsidRDefault="002D1DA9" w:rsidP="002D1DA9">
            <w:pPr>
              <w:widowControl/>
              <w:jc w:val="right"/>
              <w:rPr>
                <w:bCs/>
                <w:color w:val="000000"/>
                <w:sz w:val="20"/>
              </w:rPr>
            </w:pPr>
            <w:r w:rsidRPr="00DD76C8">
              <w:rPr>
                <w:rFonts w:ascii="Calibri" w:hAnsi="Calibri"/>
                <w:b/>
                <w:color w:val="000000"/>
                <w:kern w:val="32"/>
                <w:sz w:val="22"/>
              </w:rPr>
              <w:t xml:space="preserve">                    3 245 000 </w:t>
            </w:r>
          </w:p>
        </w:tc>
      </w:tr>
      <w:tr w:rsidR="002D1DA9" w:rsidRPr="00DD76C8" w:rsidTr="002D1DA9">
        <w:trPr>
          <w:trHeight w:val="315"/>
        </w:trPr>
        <w:tc>
          <w:tcPr>
            <w:tcW w:w="1237" w:type="dxa"/>
            <w:tcBorders>
              <w:top w:val="nil"/>
              <w:left w:val="single" w:sz="8" w:space="0" w:color="auto"/>
              <w:bottom w:val="single" w:sz="8" w:space="0" w:color="auto"/>
              <w:right w:val="single" w:sz="8" w:space="0" w:color="auto"/>
            </w:tcBorders>
            <w:shd w:val="clear" w:color="auto" w:fill="auto"/>
            <w:noWrap/>
            <w:vAlign w:val="center"/>
            <w:hideMark/>
          </w:tcPr>
          <w:p w:rsidR="002D1DA9" w:rsidRPr="00DD76C8" w:rsidRDefault="002D1DA9" w:rsidP="002D1DA9">
            <w:pPr>
              <w:widowControl/>
              <w:jc w:val="center"/>
              <w:rPr>
                <w:color w:val="000000"/>
                <w:sz w:val="20"/>
              </w:rPr>
            </w:pPr>
            <w:r w:rsidRPr="00DD76C8">
              <w:rPr>
                <w:rFonts w:ascii="Calibri" w:hAnsi="Calibri"/>
                <w:color w:val="000000"/>
                <w:kern w:val="32"/>
                <w:sz w:val="22"/>
              </w:rPr>
              <w:t>5 1 1 1</w:t>
            </w:r>
          </w:p>
        </w:tc>
        <w:tc>
          <w:tcPr>
            <w:tcW w:w="4145" w:type="dxa"/>
            <w:tcBorders>
              <w:top w:val="nil"/>
              <w:left w:val="nil"/>
              <w:bottom w:val="single" w:sz="8" w:space="0" w:color="auto"/>
              <w:right w:val="single" w:sz="8" w:space="0" w:color="auto"/>
            </w:tcBorders>
            <w:shd w:val="clear" w:color="auto" w:fill="auto"/>
            <w:vAlign w:val="center"/>
            <w:hideMark/>
          </w:tcPr>
          <w:p w:rsidR="002D1DA9" w:rsidRPr="00DD76C8" w:rsidRDefault="002D1DA9" w:rsidP="002D1DA9">
            <w:pPr>
              <w:widowControl/>
              <w:rPr>
                <w:color w:val="000000"/>
                <w:sz w:val="20"/>
              </w:rPr>
            </w:pPr>
            <w:r w:rsidRPr="00DD76C8">
              <w:rPr>
                <w:rFonts w:ascii="Calibri" w:hAnsi="Calibri"/>
                <w:color w:val="000000"/>
                <w:kern w:val="32"/>
                <w:sz w:val="22"/>
              </w:rPr>
              <w:t>Povrat dodatnih troškova najma</w:t>
            </w:r>
          </w:p>
        </w:tc>
        <w:tc>
          <w:tcPr>
            <w:tcW w:w="1930" w:type="dxa"/>
            <w:tcBorders>
              <w:top w:val="nil"/>
              <w:left w:val="nil"/>
              <w:bottom w:val="single" w:sz="8" w:space="0" w:color="auto"/>
              <w:right w:val="single" w:sz="8" w:space="0" w:color="auto"/>
            </w:tcBorders>
            <w:shd w:val="clear" w:color="auto" w:fill="auto"/>
            <w:noWrap/>
            <w:vAlign w:val="center"/>
            <w:hideMark/>
          </w:tcPr>
          <w:p w:rsidR="002D1DA9" w:rsidRPr="00DD76C8" w:rsidRDefault="002D1DA9" w:rsidP="002D1DA9">
            <w:pPr>
              <w:widowControl/>
              <w:jc w:val="right"/>
              <w:rPr>
                <w:bCs/>
                <w:color w:val="000000"/>
                <w:sz w:val="20"/>
              </w:rPr>
            </w:pPr>
            <w:r w:rsidRPr="00DD76C8">
              <w:rPr>
                <w:rFonts w:ascii="Calibri" w:hAnsi="Calibri"/>
                <w:b/>
                <w:color w:val="000000"/>
                <w:kern w:val="32"/>
                <w:sz w:val="22"/>
              </w:rPr>
              <w:t xml:space="preserve">                       129 706 </w:t>
            </w:r>
          </w:p>
        </w:tc>
        <w:tc>
          <w:tcPr>
            <w:tcW w:w="1868" w:type="dxa"/>
            <w:tcBorders>
              <w:top w:val="nil"/>
              <w:left w:val="nil"/>
              <w:bottom w:val="single" w:sz="8" w:space="0" w:color="auto"/>
              <w:right w:val="single" w:sz="8" w:space="0" w:color="auto"/>
            </w:tcBorders>
            <w:shd w:val="clear" w:color="auto" w:fill="auto"/>
            <w:vAlign w:val="center"/>
            <w:hideMark/>
          </w:tcPr>
          <w:p w:rsidR="002D1DA9" w:rsidRPr="00DD76C8" w:rsidRDefault="002D1DA9" w:rsidP="002D1DA9">
            <w:pPr>
              <w:widowControl/>
              <w:jc w:val="right"/>
              <w:rPr>
                <w:bCs/>
                <w:color w:val="000000"/>
                <w:sz w:val="20"/>
              </w:rPr>
            </w:pPr>
            <w:r w:rsidRPr="00DD76C8">
              <w:rPr>
                <w:rFonts w:ascii="Calibri" w:hAnsi="Calibri"/>
                <w:b/>
                <w:color w:val="000000"/>
                <w:kern w:val="32"/>
                <w:sz w:val="22"/>
              </w:rPr>
              <w:t xml:space="preserve">                       718 000 </w:t>
            </w:r>
          </w:p>
        </w:tc>
      </w:tr>
      <w:tr w:rsidR="002D1DA9" w:rsidRPr="00DD76C8" w:rsidTr="002D1DA9">
        <w:trPr>
          <w:trHeight w:val="2115"/>
        </w:trPr>
        <w:tc>
          <w:tcPr>
            <w:tcW w:w="1237" w:type="dxa"/>
            <w:tcBorders>
              <w:top w:val="nil"/>
              <w:left w:val="single" w:sz="8" w:space="0" w:color="auto"/>
              <w:bottom w:val="single" w:sz="8" w:space="0" w:color="auto"/>
              <w:right w:val="single" w:sz="8" w:space="0" w:color="auto"/>
            </w:tcBorders>
            <w:shd w:val="clear" w:color="auto" w:fill="auto"/>
            <w:noWrap/>
            <w:vAlign w:val="center"/>
            <w:hideMark/>
          </w:tcPr>
          <w:p w:rsidR="002D1DA9" w:rsidRPr="00DD76C8" w:rsidRDefault="002D1DA9" w:rsidP="002D1DA9">
            <w:pPr>
              <w:widowControl/>
              <w:jc w:val="center"/>
              <w:rPr>
                <w:color w:val="000000"/>
                <w:sz w:val="20"/>
              </w:rPr>
            </w:pPr>
            <w:r w:rsidRPr="00DD76C8">
              <w:rPr>
                <w:rFonts w:ascii="Calibri" w:hAnsi="Calibri"/>
                <w:color w:val="000000"/>
                <w:kern w:val="32"/>
                <w:sz w:val="22"/>
              </w:rPr>
              <w:t>5 5 0</w:t>
            </w:r>
          </w:p>
        </w:tc>
        <w:tc>
          <w:tcPr>
            <w:tcW w:w="4145" w:type="dxa"/>
            <w:tcBorders>
              <w:top w:val="nil"/>
              <w:left w:val="nil"/>
              <w:bottom w:val="single" w:sz="8" w:space="0" w:color="auto"/>
              <w:right w:val="single" w:sz="8" w:space="0" w:color="auto"/>
            </w:tcBorders>
            <w:shd w:val="clear" w:color="auto" w:fill="auto"/>
            <w:vAlign w:val="center"/>
            <w:hideMark/>
          </w:tcPr>
          <w:p w:rsidR="002D1DA9" w:rsidRPr="00DD76C8" w:rsidRDefault="002D1DA9" w:rsidP="002D1DA9">
            <w:pPr>
              <w:widowControl/>
              <w:rPr>
                <w:color w:val="000000"/>
                <w:sz w:val="20"/>
              </w:rPr>
            </w:pPr>
            <w:r w:rsidRPr="00DD76C8">
              <w:rPr>
                <w:rFonts w:ascii="Calibri" w:hAnsi="Calibri"/>
                <w:color w:val="000000"/>
                <w:kern w:val="32"/>
                <w:sz w:val="22"/>
              </w:rPr>
              <w:t>Prihodi od pruženih usluga i ostalih radova izvođenih za druge institucije i tijela, uključujući povrate dnevnica za službena putovanja koje su isplaćene u ime drugih institucija ili tijela</w:t>
            </w:r>
          </w:p>
        </w:tc>
        <w:tc>
          <w:tcPr>
            <w:tcW w:w="1930" w:type="dxa"/>
            <w:tcBorders>
              <w:top w:val="nil"/>
              <w:left w:val="nil"/>
              <w:bottom w:val="single" w:sz="8" w:space="0" w:color="auto"/>
              <w:right w:val="single" w:sz="8" w:space="0" w:color="auto"/>
            </w:tcBorders>
            <w:shd w:val="clear" w:color="auto" w:fill="auto"/>
            <w:noWrap/>
            <w:vAlign w:val="center"/>
            <w:hideMark/>
          </w:tcPr>
          <w:p w:rsidR="002D1DA9" w:rsidRPr="00DD76C8" w:rsidRDefault="002D1DA9" w:rsidP="002D1DA9">
            <w:pPr>
              <w:widowControl/>
              <w:jc w:val="right"/>
              <w:rPr>
                <w:bCs/>
                <w:color w:val="000000"/>
                <w:sz w:val="20"/>
              </w:rPr>
            </w:pPr>
            <w:r w:rsidRPr="00DD76C8">
              <w:rPr>
                <w:rFonts w:ascii="Calibri" w:hAnsi="Calibri"/>
                <w:b/>
                <w:color w:val="000000"/>
                <w:kern w:val="32"/>
                <w:sz w:val="22"/>
              </w:rPr>
              <w:t xml:space="preserve">                    4 958 708 </w:t>
            </w:r>
          </w:p>
        </w:tc>
        <w:tc>
          <w:tcPr>
            <w:tcW w:w="1868" w:type="dxa"/>
            <w:tcBorders>
              <w:top w:val="nil"/>
              <w:left w:val="nil"/>
              <w:bottom w:val="single" w:sz="8" w:space="0" w:color="auto"/>
              <w:right w:val="single" w:sz="8" w:space="0" w:color="auto"/>
            </w:tcBorders>
            <w:shd w:val="clear" w:color="auto" w:fill="auto"/>
            <w:vAlign w:val="center"/>
            <w:hideMark/>
          </w:tcPr>
          <w:p w:rsidR="002D1DA9" w:rsidRPr="00DD76C8" w:rsidRDefault="002D1DA9" w:rsidP="002D1DA9">
            <w:pPr>
              <w:widowControl/>
              <w:jc w:val="right"/>
              <w:rPr>
                <w:bCs/>
                <w:color w:val="000000"/>
                <w:sz w:val="20"/>
              </w:rPr>
            </w:pPr>
            <w:r w:rsidRPr="00DD76C8">
              <w:rPr>
                <w:rFonts w:ascii="Calibri" w:hAnsi="Calibri"/>
                <w:b/>
                <w:color w:val="000000"/>
                <w:kern w:val="32"/>
                <w:sz w:val="22"/>
              </w:rPr>
              <w:t xml:space="preserve">                    2 054 000 </w:t>
            </w:r>
          </w:p>
        </w:tc>
      </w:tr>
      <w:tr w:rsidR="002D1DA9" w:rsidRPr="00DD76C8" w:rsidTr="002D1DA9">
        <w:trPr>
          <w:trHeight w:val="915"/>
        </w:trPr>
        <w:tc>
          <w:tcPr>
            <w:tcW w:w="1237" w:type="dxa"/>
            <w:tcBorders>
              <w:top w:val="nil"/>
              <w:left w:val="single" w:sz="8" w:space="0" w:color="auto"/>
              <w:bottom w:val="single" w:sz="8" w:space="0" w:color="auto"/>
              <w:right w:val="single" w:sz="8" w:space="0" w:color="auto"/>
            </w:tcBorders>
            <w:shd w:val="clear" w:color="auto" w:fill="auto"/>
            <w:noWrap/>
            <w:vAlign w:val="center"/>
            <w:hideMark/>
          </w:tcPr>
          <w:p w:rsidR="002D1DA9" w:rsidRPr="00DD76C8" w:rsidRDefault="002D1DA9" w:rsidP="002D1DA9">
            <w:pPr>
              <w:widowControl/>
              <w:jc w:val="center"/>
              <w:rPr>
                <w:color w:val="000000"/>
                <w:sz w:val="20"/>
              </w:rPr>
            </w:pPr>
            <w:r w:rsidRPr="00DD76C8">
              <w:rPr>
                <w:rFonts w:ascii="Calibri" w:hAnsi="Calibri"/>
                <w:color w:val="000000"/>
                <w:kern w:val="32"/>
                <w:sz w:val="22"/>
              </w:rPr>
              <w:t>5 5 1</w:t>
            </w:r>
          </w:p>
        </w:tc>
        <w:tc>
          <w:tcPr>
            <w:tcW w:w="4145" w:type="dxa"/>
            <w:tcBorders>
              <w:top w:val="nil"/>
              <w:left w:val="nil"/>
              <w:bottom w:val="single" w:sz="8" w:space="0" w:color="auto"/>
              <w:right w:val="single" w:sz="8" w:space="0" w:color="auto"/>
            </w:tcBorders>
            <w:shd w:val="clear" w:color="auto" w:fill="auto"/>
            <w:vAlign w:val="center"/>
            <w:hideMark/>
          </w:tcPr>
          <w:p w:rsidR="002D1DA9" w:rsidRPr="00DD76C8" w:rsidRDefault="002D1DA9" w:rsidP="002D1DA9">
            <w:pPr>
              <w:widowControl/>
              <w:rPr>
                <w:color w:val="000000"/>
                <w:sz w:val="20"/>
              </w:rPr>
            </w:pPr>
            <w:r w:rsidRPr="00DD76C8">
              <w:rPr>
                <w:rFonts w:ascii="Calibri" w:hAnsi="Calibri"/>
                <w:color w:val="000000"/>
                <w:kern w:val="32"/>
                <w:sz w:val="22"/>
              </w:rPr>
              <w:t xml:space="preserve">Prihodi od trećih osoba za pružene usluge ili radove izvođene po njihovom nalogu </w:t>
            </w:r>
          </w:p>
        </w:tc>
        <w:tc>
          <w:tcPr>
            <w:tcW w:w="1930" w:type="dxa"/>
            <w:tcBorders>
              <w:top w:val="nil"/>
              <w:left w:val="nil"/>
              <w:bottom w:val="single" w:sz="8" w:space="0" w:color="auto"/>
              <w:right w:val="single" w:sz="8" w:space="0" w:color="auto"/>
            </w:tcBorders>
            <w:shd w:val="clear" w:color="auto" w:fill="auto"/>
            <w:noWrap/>
            <w:vAlign w:val="center"/>
            <w:hideMark/>
          </w:tcPr>
          <w:p w:rsidR="002D1DA9" w:rsidRPr="00DD76C8" w:rsidRDefault="002D1DA9" w:rsidP="002D1DA9">
            <w:pPr>
              <w:widowControl/>
              <w:jc w:val="right"/>
              <w:rPr>
                <w:bCs/>
                <w:color w:val="000000"/>
                <w:sz w:val="20"/>
              </w:rPr>
            </w:pPr>
            <w:r w:rsidRPr="00DD76C8">
              <w:rPr>
                <w:rFonts w:ascii="Calibri" w:hAnsi="Calibri"/>
                <w:b/>
                <w:color w:val="000000"/>
                <w:kern w:val="32"/>
                <w:sz w:val="22"/>
              </w:rPr>
              <w:t xml:space="preserve">                       583 648 </w:t>
            </w:r>
          </w:p>
        </w:tc>
        <w:tc>
          <w:tcPr>
            <w:tcW w:w="1868" w:type="dxa"/>
            <w:tcBorders>
              <w:top w:val="nil"/>
              <w:left w:val="nil"/>
              <w:bottom w:val="single" w:sz="8" w:space="0" w:color="auto"/>
              <w:right w:val="single" w:sz="8" w:space="0" w:color="auto"/>
            </w:tcBorders>
            <w:shd w:val="clear" w:color="auto" w:fill="auto"/>
            <w:vAlign w:val="center"/>
            <w:hideMark/>
          </w:tcPr>
          <w:p w:rsidR="002D1DA9" w:rsidRPr="00DD76C8" w:rsidRDefault="002D1DA9" w:rsidP="002D1DA9">
            <w:pPr>
              <w:widowControl/>
              <w:jc w:val="right"/>
              <w:rPr>
                <w:bCs/>
                <w:color w:val="000000"/>
                <w:sz w:val="20"/>
              </w:rPr>
            </w:pPr>
            <w:r w:rsidRPr="00DD76C8">
              <w:rPr>
                <w:rFonts w:ascii="Calibri" w:hAnsi="Calibri"/>
                <w:b/>
                <w:color w:val="000000"/>
                <w:kern w:val="32"/>
                <w:sz w:val="22"/>
              </w:rPr>
              <w:t xml:space="preserve"> p.m. </w:t>
            </w:r>
          </w:p>
        </w:tc>
      </w:tr>
      <w:tr w:rsidR="002D1DA9" w:rsidRPr="00DD76C8" w:rsidTr="002D1DA9">
        <w:trPr>
          <w:trHeight w:val="615"/>
        </w:trPr>
        <w:tc>
          <w:tcPr>
            <w:tcW w:w="1237" w:type="dxa"/>
            <w:tcBorders>
              <w:top w:val="nil"/>
              <w:left w:val="single" w:sz="8" w:space="0" w:color="auto"/>
              <w:bottom w:val="single" w:sz="8" w:space="0" w:color="auto"/>
              <w:right w:val="single" w:sz="8" w:space="0" w:color="auto"/>
            </w:tcBorders>
            <w:shd w:val="clear" w:color="auto" w:fill="auto"/>
            <w:noWrap/>
            <w:vAlign w:val="center"/>
            <w:hideMark/>
          </w:tcPr>
          <w:p w:rsidR="002D1DA9" w:rsidRPr="00DD76C8" w:rsidRDefault="002D1DA9" w:rsidP="002D1DA9">
            <w:pPr>
              <w:widowControl/>
              <w:jc w:val="center"/>
              <w:rPr>
                <w:color w:val="000000"/>
                <w:sz w:val="20"/>
              </w:rPr>
            </w:pPr>
            <w:r w:rsidRPr="00DD76C8">
              <w:rPr>
                <w:rFonts w:ascii="Calibri" w:hAnsi="Calibri"/>
                <w:color w:val="000000"/>
                <w:kern w:val="32"/>
                <w:sz w:val="22"/>
              </w:rPr>
              <w:t>5 7 0</w:t>
            </w:r>
          </w:p>
        </w:tc>
        <w:tc>
          <w:tcPr>
            <w:tcW w:w="4145" w:type="dxa"/>
            <w:tcBorders>
              <w:top w:val="nil"/>
              <w:left w:val="nil"/>
              <w:bottom w:val="single" w:sz="8" w:space="0" w:color="auto"/>
              <w:right w:val="single" w:sz="8" w:space="0" w:color="auto"/>
            </w:tcBorders>
            <w:shd w:val="clear" w:color="auto" w:fill="auto"/>
            <w:vAlign w:val="center"/>
            <w:hideMark/>
          </w:tcPr>
          <w:p w:rsidR="002D1DA9" w:rsidRPr="00DD76C8" w:rsidRDefault="002D1DA9" w:rsidP="002D1DA9">
            <w:pPr>
              <w:widowControl/>
              <w:rPr>
                <w:color w:val="000000"/>
                <w:sz w:val="20"/>
              </w:rPr>
            </w:pPr>
            <w:r w:rsidRPr="00DD76C8">
              <w:rPr>
                <w:rFonts w:ascii="Calibri" w:hAnsi="Calibri"/>
                <w:color w:val="000000"/>
                <w:kern w:val="32"/>
                <w:sz w:val="22"/>
              </w:rPr>
              <w:t>Prihodi od povrata pogrešno isplaćenih iznosa</w:t>
            </w:r>
          </w:p>
        </w:tc>
        <w:tc>
          <w:tcPr>
            <w:tcW w:w="1930" w:type="dxa"/>
            <w:tcBorders>
              <w:top w:val="nil"/>
              <w:left w:val="nil"/>
              <w:bottom w:val="single" w:sz="8" w:space="0" w:color="auto"/>
              <w:right w:val="single" w:sz="8" w:space="0" w:color="auto"/>
            </w:tcBorders>
            <w:shd w:val="clear" w:color="auto" w:fill="auto"/>
            <w:noWrap/>
            <w:vAlign w:val="center"/>
            <w:hideMark/>
          </w:tcPr>
          <w:p w:rsidR="002D1DA9" w:rsidRPr="00DD76C8" w:rsidRDefault="002D1DA9" w:rsidP="002D1DA9">
            <w:pPr>
              <w:widowControl/>
              <w:jc w:val="right"/>
              <w:rPr>
                <w:bCs/>
                <w:color w:val="000000"/>
                <w:sz w:val="20"/>
              </w:rPr>
            </w:pPr>
            <w:r w:rsidRPr="00DD76C8">
              <w:rPr>
                <w:rFonts w:ascii="Calibri" w:hAnsi="Calibri"/>
                <w:b/>
                <w:color w:val="000000"/>
                <w:kern w:val="32"/>
                <w:sz w:val="22"/>
              </w:rPr>
              <w:t xml:space="preserve">                    3 874 703 </w:t>
            </w:r>
          </w:p>
        </w:tc>
        <w:tc>
          <w:tcPr>
            <w:tcW w:w="1868" w:type="dxa"/>
            <w:tcBorders>
              <w:top w:val="nil"/>
              <w:left w:val="nil"/>
              <w:bottom w:val="single" w:sz="8" w:space="0" w:color="auto"/>
              <w:right w:val="single" w:sz="8" w:space="0" w:color="auto"/>
            </w:tcBorders>
            <w:shd w:val="clear" w:color="auto" w:fill="auto"/>
            <w:vAlign w:val="center"/>
            <w:hideMark/>
          </w:tcPr>
          <w:p w:rsidR="002D1DA9" w:rsidRPr="00DD76C8" w:rsidRDefault="002D1DA9" w:rsidP="002D1DA9">
            <w:pPr>
              <w:widowControl/>
              <w:jc w:val="right"/>
              <w:rPr>
                <w:bCs/>
                <w:color w:val="000000"/>
                <w:sz w:val="20"/>
              </w:rPr>
            </w:pPr>
            <w:r w:rsidRPr="00DD76C8">
              <w:rPr>
                <w:rFonts w:ascii="Calibri" w:hAnsi="Calibri"/>
                <w:b/>
                <w:color w:val="000000"/>
                <w:kern w:val="32"/>
                <w:sz w:val="22"/>
              </w:rPr>
              <w:t xml:space="preserve">                       226 000 </w:t>
            </w:r>
          </w:p>
        </w:tc>
      </w:tr>
      <w:tr w:rsidR="002D1DA9" w:rsidRPr="00DD76C8" w:rsidTr="002D1DA9">
        <w:trPr>
          <w:trHeight w:val="1515"/>
        </w:trPr>
        <w:tc>
          <w:tcPr>
            <w:tcW w:w="1237" w:type="dxa"/>
            <w:tcBorders>
              <w:top w:val="nil"/>
              <w:left w:val="single" w:sz="8" w:space="0" w:color="auto"/>
              <w:bottom w:val="single" w:sz="8" w:space="0" w:color="auto"/>
              <w:right w:val="single" w:sz="8" w:space="0" w:color="auto"/>
            </w:tcBorders>
            <w:shd w:val="clear" w:color="auto" w:fill="auto"/>
            <w:noWrap/>
            <w:vAlign w:val="center"/>
            <w:hideMark/>
          </w:tcPr>
          <w:p w:rsidR="002D1DA9" w:rsidRPr="00DD76C8" w:rsidRDefault="002D1DA9" w:rsidP="002D1DA9">
            <w:pPr>
              <w:widowControl/>
              <w:jc w:val="center"/>
              <w:rPr>
                <w:color w:val="000000"/>
                <w:sz w:val="20"/>
              </w:rPr>
            </w:pPr>
            <w:r w:rsidRPr="00DD76C8">
              <w:rPr>
                <w:rFonts w:ascii="Calibri" w:hAnsi="Calibri"/>
                <w:color w:val="000000"/>
                <w:kern w:val="32"/>
                <w:sz w:val="22"/>
              </w:rPr>
              <w:t>5 7 1</w:t>
            </w:r>
          </w:p>
        </w:tc>
        <w:tc>
          <w:tcPr>
            <w:tcW w:w="4145" w:type="dxa"/>
            <w:tcBorders>
              <w:top w:val="nil"/>
              <w:left w:val="nil"/>
              <w:bottom w:val="single" w:sz="8" w:space="0" w:color="auto"/>
              <w:right w:val="single" w:sz="8" w:space="0" w:color="auto"/>
            </w:tcBorders>
            <w:shd w:val="clear" w:color="auto" w:fill="auto"/>
            <w:vAlign w:val="center"/>
            <w:hideMark/>
          </w:tcPr>
          <w:p w:rsidR="002D1DA9" w:rsidRPr="00DD76C8" w:rsidRDefault="002D1DA9" w:rsidP="002D1DA9">
            <w:pPr>
              <w:widowControl/>
              <w:rPr>
                <w:color w:val="000000"/>
                <w:sz w:val="20"/>
              </w:rPr>
            </w:pPr>
            <w:r w:rsidRPr="00DD76C8">
              <w:rPr>
                <w:rFonts w:ascii="Calibri" w:hAnsi="Calibri"/>
                <w:color w:val="000000"/>
                <w:kern w:val="32"/>
                <w:sz w:val="22"/>
              </w:rPr>
              <w:t>Namjenski prihodi, primjerice od zaklada, donacija, darova i ostavina, uključujući vlastite prihode dodijeljene svakoj instituciji</w:t>
            </w:r>
          </w:p>
        </w:tc>
        <w:tc>
          <w:tcPr>
            <w:tcW w:w="1930" w:type="dxa"/>
            <w:tcBorders>
              <w:top w:val="nil"/>
              <w:left w:val="nil"/>
              <w:bottom w:val="single" w:sz="8" w:space="0" w:color="auto"/>
              <w:right w:val="single" w:sz="8" w:space="0" w:color="auto"/>
            </w:tcBorders>
            <w:shd w:val="clear" w:color="auto" w:fill="auto"/>
            <w:noWrap/>
            <w:vAlign w:val="center"/>
            <w:hideMark/>
          </w:tcPr>
          <w:p w:rsidR="002D1DA9" w:rsidRPr="00DD76C8" w:rsidRDefault="002D1DA9" w:rsidP="002D1DA9">
            <w:pPr>
              <w:widowControl/>
              <w:jc w:val="right"/>
              <w:rPr>
                <w:bCs/>
                <w:color w:val="000000"/>
                <w:sz w:val="20"/>
              </w:rPr>
            </w:pPr>
            <w:r w:rsidRPr="00DD76C8">
              <w:rPr>
                <w:rFonts w:ascii="Calibri" w:hAnsi="Calibri"/>
                <w:b/>
                <w:color w:val="000000"/>
                <w:kern w:val="32"/>
                <w:sz w:val="22"/>
              </w:rPr>
              <w:t xml:space="preserve"> - </w:t>
            </w:r>
          </w:p>
        </w:tc>
        <w:tc>
          <w:tcPr>
            <w:tcW w:w="1868" w:type="dxa"/>
            <w:tcBorders>
              <w:top w:val="nil"/>
              <w:left w:val="nil"/>
              <w:bottom w:val="single" w:sz="8" w:space="0" w:color="auto"/>
              <w:right w:val="single" w:sz="8" w:space="0" w:color="auto"/>
            </w:tcBorders>
            <w:shd w:val="clear" w:color="auto" w:fill="auto"/>
            <w:vAlign w:val="center"/>
            <w:hideMark/>
          </w:tcPr>
          <w:p w:rsidR="002D1DA9" w:rsidRPr="00DD76C8" w:rsidRDefault="002D1DA9" w:rsidP="002D1DA9">
            <w:pPr>
              <w:widowControl/>
              <w:jc w:val="right"/>
              <w:rPr>
                <w:bCs/>
                <w:color w:val="000000"/>
                <w:sz w:val="20"/>
              </w:rPr>
            </w:pPr>
            <w:r w:rsidRPr="00DD76C8">
              <w:rPr>
                <w:rFonts w:ascii="Calibri" w:hAnsi="Calibri"/>
                <w:b/>
                <w:color w:val="000000"/>
                <w:kern w:val="32"/>
                <w:sz w:val="22"/>
              </w:rPr>
              <w:t xml:space="preserve"> p.m. </w:t>
            </w:r>
          </w:p>
        </w:tc>
      </w:tr>
      <w:tr w:rsidR="002D1DA9" w:rsidRPr="00DD76C8" w:rsidTr="002D1DA9">
        <w:trPr>
          <w:trHeight w:val="915"/>
        </w:trPr>
        <w:tc>
          <w:tcPr>
            <w:tcW w:w="1237" w:type="dxa"/>
            <w:tcBorders>
              <w:top w:val="nil"/>
              <w:left w:val="single" w:sz="8" w:space="0" w:color="auto"/>
              <w:bottom w:val="single" w:sz="8" w:space="0" w:color="auto"/>
              <w:right w:val="single" w:sz="8" w:space="0" w:color="auto"/>
            </w:tcBorders>
            <w:shd w:val="clear" w:color="auto" w:fill="auto"/>
            <w:noWrap/>
            <w:vAlign w:val="center"/>
            <w:hideMark/>
          </w:tcPr>
          <w:p w:rsidR="002D1DA9" w:rsidRPr="00DD76C8" w:rsidRDefault="002D1DA9" w:rsidP="002D1DA9">
            <w:pPr>
              <w:widowControl/>
              <w:jc w:val="center"/>
              <w:rPr>
                <w:color w:val="000000"/>
                <w:sz w:val="20"/>
              </w:rPr>
            </w:pPr>
            <w:r w:rsidRPr="00DD76C8">
              <w:rPr>
                <w:rFonts w:ascii="Calibri" w:hAnsi="Calibri"/>
                <w:color w:val="000000"/>
                <w:kern w:val="32"/>
                <w:sz w:val="22"/>
              </w:rPr>
              <w:t>5 7 3</w:t>
            </w:r>
          </w:p>
        </w:tc>
        <w:tc>
          <w:tcPr>
            <w:tcW w:w="4145" w:type="dxa"/>
            <w:tcBorders>
              <w:top w:val="nil"/>
              <w:left w:val="nil"/>
              <w:bottom w:val="single" w:sz="8" w:space="0" w:color="auto"/>
              <w:right w:val="single" w:sz="8" w:space="0" w:color="auto"/>
            </w:tcBorders>
            <w:shd w:val="clear" w:color="auto" w:fill="auto"/>
            <w:vAlign w:val="center"/>
            <w:hideMark/>
          </w:tcPr>
          <w:p w:rsidR="002D1DA9" w:rsidRPr="00DD76C8" w:rsidRDefault="002D1DA9" w:rsidP="002D1DA9">
            <w:pPr>
              <w:widowControl/>
              <w:rPr>
                <w:color w:val="000000"/>
                <w:sz w:val="20"/>
              </w:rPr>
            </w:pPr>
            <w:r w:rsidRPr="00DD76C8">
              <w:rPr>
                <w:rFonts w:ascii="Calibri" w:hAnsi="Calibri"/>
                <w:color w:val="000000"/>
                <w:kern w:val="32"/>
                <w:sz w:val="22"/>
              </w:rPr>
              <w:t xml:space="preserve">Ostali doprinosi i povrati u vezi s administrativnim poslovanjem institucije </w:t>
            </w:r>
          </w:p>
        </w:tc>
        <w:tc>
          <w:tcPr>
            <w:tcW w:w="1930" w:type="dxa"/>
            <w:tcBorders>
              <w:top w:val="nil"/>
              <w:left w:val="nil"/>
              <w:bottom w:val="single" w:sz="8" w:space="0" w:color="auto"/>
              <w:right w:val="single" w:sz="8" w:space="0" w:color="auto"/>
            </w:tcBorders>
            <w:shd w:val="clear" w:color="auto" w:fill="auto"/>
            <w:noWrap/>
            <w:vAlign w:val="center"/>
            <w:hideMark/>
          </w:tcPr>
          <w:p w:rsidR="002D1DA9" w:rsidRPr="00DD76C8" w:rsidRDefault="002D1DA9" w:rsidP="002D1DA9">
            <w:pPr>
              <w:widowControl/>
              <w:jc w:val="right"/>
              <w:rPr>
                <w:bCs/>
                <w:color w:val="000000"/>
                <w:sz w:val="20"/>
              </w:rPr>
            </w:pPr>
            <w:r w:rsidRPr="00DD76C8">
              <w:rPr>
                <w:rFonts w:ascii="Calibri" w:hAnsi="Calibri"/>
                <w:b/>
                <w:color w:val="000000"/>
                <w:kern w:val="32"/>
                <w:sz w:val="22"/>
              </w:rPr>
              <w:t xml:space="preserve">                    3 298 878 </w:t>
            </w:r>
          </w:p>
        </w:tc>
        <w:tc>
          <w:tcPr>
            <w:tcW w:w="1868" w:type="dxa"/>
            <w:tcBorders>
              <w:top w:val="nil"/>
              <w:left w:val="nil"/>
              <w:bottom w:val="single" w:sz="8" w:space="0" w:color="auto"/>
              <w:right w:val="single" w:sz="8" w:space="0" w:color="auto"/>
            </w:tcBorders>
            <w:shd w:val="clear" w:color="auto" w:fill="auto"/>
            <w:vAlign w:val="center"/>
            <w:hideMark/>
          </w:tcPr>
          <w:p w:rsidR="002D1DA9" w:rsidRPr="00DD76C8" w:rsidRDefault="002D1DA9" w:rsidP="002D1DA9">
            <w:pPr>
              <w:widowControl/>
              <w:jc w:val="right"/>
              <w:rPr>
                <w:bCs/>
                <w:color w:val="000000"/>
                <w:sz w:val="20"/>
              </w:rPr>
            </w:pPr>
            <w:r w:rsidRPr="00DD76C8">
              <w:rPr>
                <w:rFonts w:ascii="Calibri" w:hAnsi="Calibri"/>
                <w:b/>
                <w:color w:val="000000"/>
                <w:kern w:val="32"/>
                <w:sz w:val="22"/>
              </w:rPr>
              <w:t xml:space="preserve">                            3 000 </w:t>
            </w:r>
          </w:p>
        </w:tc>
      </w:tr>
      <w:tr w:rsidR="002D1DA9" w:rsidRPr="00DD76C8" w:rsidTr="002D1DA9">
        <w:trPr>
          <w:trHeight w:val="615"/>
        </w:trPr>
        <w:tc>
          <w:tcPr>
            <w:tcW w:w="1237" w:type="dxa"/>
            <w:tcBorders>
              <w:top w:val="nil"/>
              <w:left w:val="single" w:sz="8" w:space="0" w:color="auto"/>
              <w:bottom w:val="single" w:sz="8" w:space="0" w:color="auto"/>
              <w:right w:val="single" w:sz="8" w:space="0" w:color="auto"/>
            </w:tcBorders>
            <w:shd w:val="clear" w:color="auto" w:fill="auto"/>
            <w:noWrap/>
            <w:vAlign w:val="center"/>
            <w:hideMark/>
          </w:tcPr>
          <w:p w:rsidR="002D1DA9" w:rsidRPr="00DD76C8" w:rsidRDefault="002D1DA9" w:rsidP="002D1DA9">
            <w:pPr>
              <w:widowControl/>
              <w:jc w:val="center"/>
              <w:rPr>
                <w:color w:val="000000"/>
                <w:sz w:val="20"/>
              </w:rPr>
            </w:pPr>
            <w:r w:rsidRPr="00DD76C8">
              <w:rPr>
                <w:rFonts w:ascii="Calibri" w:hAnsi="Calibri"/>
                <w:color w:val="000000"/>
                <w:kern w:val="32"/>
                <w:sz w:val="22"/>
              </w:rPr>
              <w:t>5 8 1</w:t>
            </w:r>
          </w:p>
        </w:tc>
        <w:tc>
          <w:tcPr>
            <w:tcW w:w="4145" w:type="dxa"/>
            <w:tcBorders>
              <w:top w:val="nil"/>
              <w:left w:val="nil"/>
              <w:bottom w:val="single" w:sz="8" w:space="0" w:color="auto"/>
              <w:right w:val="single" w:sz="8" w:space="0" w:color="auto"/>
            </w:tcBorders>
            <w:shd w:val="clear" w:color="auto" w:fill="auto"/>
            <w:vAlign w:val="center"/>
            <w:hideMark/>
          </w:tcPr>
          <w:p w:rsidR="002D1DA9" w:rsidRPr="00DD76C8" w:rsidRDefault="002D1DA9" w:rsidP="002D1DA9">
            <w:pPr>
              <w:widowControl/>
              <w:rPr>
                <w:color w:val="000000"/>
                <w:sz w:val="20"/>
              </w:rPr>
            </w:pPr>
            <w:r w:rsidRPr="00DD76C8">
              <w:rPr>
                <w:rFonts w:ascii="Calibri" w:hAnsi="Calibri"/>
                <w:color w:val="000000"/>
                <w:kern w:val="32"/>
                <w:sz w:val="22"/>
              </w:rPr>
              <w:t xml:space="preserve">Prihodi od isplate osigurnina </w:t>
            </w:r>
          </w:p>
        </w:tc>
        <w:tc>
          <w:tcPr>
            <w:tcW w:w="1930" w:type="dxa"/>
            <w:tcBorders>
              <w:top w:val="nil"/>
              <w:left w:val="nil"/>
              <w:bottom w:val="single" w:sz="8" w:space="0" w:color="auto"/>
              <w:right w:val="single" w:sz="8" w:space="0" w:color="auto"/>
            </w:tcBorders>
            <w:shd w:val="clear" w:color="auto" w:fill="auto"/>
            <w:noWrap/>
            <w:vAlign w:val="center"/>
            <w:hideMark/>
          </w:tcPr>
          <w:p w:rsidR="002D1DA9" w:rsidRPr="00DD76C8" w:rsidRDefault="002D1DA9" w:rsidP="002D1DA9">
            <w:pPr>
              <w:widowControl/>
              <w:jc w:val="right"/>
              <w:rPr>
                <w:bCs/>
                <w:color w:val="000000"/>
                <w:sz w:val="20"/>
              </w:rPr>
            </w:pPr>
            <w:r w:rsidRPr="00DD76C8">
              <w:rPr>
                <w:rFonts w:ascii="Calibri" w:hAnsi="Calibri"/>
                <w:b/>
                <w:color w:val="000000"/>
                <w:kern w:val="32"/>
                <w:sz w:val="22"/>
              </w:rPr>
              <w:t xml:space="preserve">                       217 498 </w:t>
            </w:r>
          </w:p>
        </w:tc>
        <w:tc>
          <w:tcPr>
            <w:tcW w:w="1868" w:type="dxa"/>
            <w:tcBorders>
              <w:top w:val="nil"/>
              <w:left w:val="nil"/>
              <w:bottom w:val="single" w:sz="8" w:space="0" w:color="auto"/>
              <w:right w:val="single" w:sz="8" w:space="0" w:color="auto"/>
            </w:tcBorders>
            <w:shd w:val="clear" w:color="auto" w:fill="auto"/>
            <w:vAlign w:val="center"/>
            <w:hideMark/>
          </w:tcPr>
          <w:p w:rsidR="002D1DA9" w:rsidRPr="00DD76C8" w:rsidRDefault="002D1DA9" w:rsidP="002D1DA9">
            <w:pPr>
              <w:widowControl/>
              <w:jc w:val="right"/>
              <w:rPr>
                <w:bCs/>
                <w:color w:val="000000"/>
                <w:sz w:val="20"/>
              </w:rPr>
            </w:pPr>
            <w:r w:rsidRPr="00DD76C8">
              <w:rPr>
                <w:rFonts w:ascii="Calibri" w:hAnsi="Calibri"/>
                <w:b/>
                <w:color w:val="000000"/>
                <w:kern w:val="32"/>
                <w:sz w:val="22"/>
              </w:rPr>
              <w:t xml:space="preserve"> p.m. </w:t>
            </w:r>
          </w:p>
        </w:tc>
      </w:tr>
      <w:tr w:rsidR="002D1DA9" w:rsidRPr="00DD76C8" w:rsidTr="002D1DA9">
        <w:trPr>
          <w:trHeight w:val="615"/>
        </w:trPr>
        <w:tc>
          <w:tcPr>
            <w:tcW w:w="1237" w:type="dxa"/>
            <w:tcBorders>
              <w:top w:val="nil"/>
              <w:left w:val="single" w:sz="8" w:space="0" w:color="auto"/>
              <w:bottom w:val="single" w:sz="8" w:space="0" w:color="auto"/>
              <w:right w:val="single" w:sz="8" w:space="0" w:color="auto"/>
            </w:tcBorders>
            <w:shd w:val="clear" w:color="auto" w:fill="auto"/>
            <w:noWrap/>
            <w:vAlign w:val="center"/>
            <w:hideMark/>
          </w:tcPr>
          <w:p w:rsidR="002D1DA9" w:rsidRPr="00DD76C8" w:rsidRDefault="002D1DA9" w:rsidP="002D1DA9">
            <w:pPr>
              <w:widowControl/>
              <w:jc w:val="center"/>
              <w:rPr>
                <w:color w:val="000000"/>
                <w:sz w:val="20"/>
              </w:rPr>
            </w:pPr>
          </w:p>
        </w:tc>
        <w:tc>
          <w:tcPr>
            <w:tcW w:w="4145" w:type="dxa"/>
            <w:tcBorders>
              <w:top w:val="nil"/>
              <w:left w:val="nil"/>
              <w:bottom w:val="single" w:sz="8" w:space="0" w:color="auto"/>
              <w:right w:val="single" w:sz="8" w:space="0" w:color="auto"/>
            </w:tcBorders>
            <w:shd w:val="clear" w:color="auto" w:fill="auto"/>
            <w:vAlign w:val="center"/>
            <w:hideMark/>
          </w:tcPr>
          <w:p w:rsidR="002D1DA9" w:rsidRPr="00DD76C8" w:rsidRDefault="002D1DA9" w:rsidP="002D1DA9">
            <w:pPr>
              <w:widowControl/>
              <w:rPr>
                <w:color w:val="000000"/>
                <w:sz w:val="20"/>
              </w:rPr>
            </w:pPr>
            <w:r w:rsidRPr="00DD76C8">
              <w:rPr>
                <w:rFonts w:ascii="Calibri" w:hAnsi="Calibri"/>
                <w:color w:val="000000"/>
                <w:kern w:val="32"/>
                <w:sz w:val="22"/>
              </w:rPr>
              <w:t>Ostali namjenski doprinosi i povrati</w:t>
            </w:r>
          </w:p>
        </w:tc>
        <w:tc>
          <w:tcPr>
            <w:tcW w:w="1930" w:type="dxa"/>
            <w:tcBorders>
              <w:top w:val="nil"/>
              <w:left w:val="nil"/>
              <w:bottom w:val="single" w:sz="8" w:space="0" w:color="auto"/>
              <w:right w:val="single" w:sz="8" w:space="0" w:color="auto"/>
            </w:tcBorders>
            <w:shd w:val="clear" w:color="auto" w:fill="auto"/>
            <w:noWrap/>
            <w:vAlign w:val="center"/>
            <w:hideMark/>
          </w:tcPr>
          <w:p w:rsidR="002D1DA9" w:rsidRPr="00DD76C8" w:rsidRDefault="002D1DA9" w:rsidP="002D1DA9">
            <w:pPr>
              <w:widowControl/>
              <w:jc w:val="right"/>
              <w:rPr>
                <w:bCs/>
                <w:color w:val="000000"/>
                <w:sz w:val="20"/>
              </w:rPr>
            </w:pPr>
            <w:r w:rsidRPr="00DD76C8">
              <w:rPr>
                <w:rFonts w:ascii="Calibri" w:hAnsi="Calibri"/>
                <w:b/>
                <w:color w:val="000000"/>
                <w:kern w:val="32"/>
                <w:sz w:val="22"/>
              </w:rPr>
              <w:t xml:space="preserve">                 14 477 581 </w:t>
            </w:r>
          </w:p>
        </w:tc>
        <w:tc>
          <w:tcPr>
            <w:tcW w:w="1868" w:type="dxa"/>
            <w:tcBorders>
              <w:top w:val="nil"/>
              <w:left w:val="nil"/>
              <w:bottom w:val="single" w:sz="8" w:space="0" w:color="auto"/>
              <w:right w:val="single" w:sz="8" w:space="0" w:color="auto"/>
            </w:tcBorders>
            <w:shd w:val="clear" w:color="auto" w:fill="auto"/>
            <w:vAlign w:val="center"/>
            <w:hideMark/>
          </w:tcPr>
          <w:p w:rsidR="002D1DA9" w:rsidRPr="00DD76C8" w:rsidRDefault="002D1DA9" w:rsidP="002D1DA9">
            <w:pPr>
              <w:widowControl/>
              <w:jc w:val="right"/>
              <w:rPr>
                <w:bCs/>
                <w:color w:val="000000"/>
                <w:sz w:val="20"/>
              </w:rPr>
            </w:pPr>
            <w:r w:rsidRPr="00DD76C8">
              <w:rPr>
                <w:rFonts w:ascii="Calibri" w:hAnsi="Calibri"/>
                <w:b/>
                <w:color w:val="000000"/>
                <w:kern w:val="32"/>
                <w:sz w:val="22"/>
              </w:rPr>
              <w:t xml:space="preserve">                       100 000 </w:t>
            </w:r>
          </w:p>
        </w:tc>
      </w:tr>
      <w:tr w:rsidR="002D1DA9" w:rsidRPr="00DD76C8" w:rsidTr="002D1DA9">
        <w:trPr>
          <w:trHeight w:val="315"/>
        </w:trPr>
        <w:tc>
          <w:tcPr>
            <w:tcW w:w="1237" w:type="dxa"/>
            <w:tcBorders>
              <w:top w:val="nil"/>
              <w:left w:val="single" w:sz="8" w:space="0" w:color="auto"/>
              <w:bottom w:val="single" w:sz="8" w:space="0" w:color="auto"/>
              <w:right w:val="single" w:sz="8" w:space="0" w:color="auto"/>
            </w:tcBorders>
            <w:shd w:val="clear" w:color="000000" w:fill="99CCFF"/>
            <w:noWrap/>
            <w:vAlign w:val="center"/>
            <w:hideMark/>
          </w:tcPr>
          <w:p w:rsidR="002D1DA9" w:rsidRPr="00DD76C8" w:rsidRDefault="002D1DA9" w:rsidP="002D1DA9">
            <w:pPr>
              <w:widowControl/>
              <w:jc w:val="center"/>
              <w:rPr>
                <w:b/>
                <w:bCs/>
                <w:color w:val="000000"/>
                <w:sz w:val="20"/>
              </w:rPr>
            </w:pPr>
            <w:r w:rsidRPr="00DD76C8">
              <w:rPr>
                <w:rFonts w:ascii="Calibri" w:hAnsi="Calibri"/>
                <w:b/>
                <w:color w:val="000000"/>
                <w:kern w:val="32"/>
                <w:sz w:val="22"/>
              </w:rPr>
              <w:t> </w:t>
            </w:r>
          </w:p>
        </w:tc>
        <w:tc>
          <w:tcPr>
            <w:tcW w:w="4145" w:type="dxa"/>
            <w:tcBorders>
              <w:top w:val="nil"/>
              <w:left w:val="nil"/>
              <w:bottom w:val="single" w:sz="8" w:space="0" w:color="auto"/>
              <w:right w:val="single" w:sz="8" w:space="0" w:color="auto"/>
            </w:tcBorders>
            <w:shd w:val="clear" w:color="000000" w:fill="99CCFF"/>
            <w:vAlign w:val="center"/>
            <w:hideMark/>
          </w:tcPr>
          <w:p w:rsidR="002D1DA9" w:rsidRPr="00DD76C8" w:rsidRDefault="002D1DA9" w:rsidP="002D1DA9">
            <w:pPr>
              <w:widowControl/>
              <w:jc w:val="right"/>
              <w:rPr>
                <w:b/>
                <w:bCs/>
                <w:color w:val="000000"/>
                <w:sz w:val="20"/>
              </w:rPr>
            </w:pPr>
            <w:r w:rsidRPr="00DD76C8">
              <w:rPr>
                <w:rFonts w:ascii="Calibri" w:hAnsi="Calibri"/>
                <w:b/>
                <w:color w:val="000000"/>
                <w:kern w:val="32"/>
                <w:sz w:val="22"/>
              </w:rPr>
              <w:t xml:space="preserve"> UKUPNO </w:t>
            </w:r>
          </w:p>
        </w:tc>
        <w:tc>
          <w:tcPr>
            <w:tcW w:w="1930" w:type="dxa"/>
            <w:tcBorders>
              <w:top w:val="nil"/>
              <w:left w:val="nil"/>
              <w:bottom w:val="single" w:sz="8" w:space="0" w:color="auto"/>
              <w:right w:val="single" w:sz="8" w:space="0" w:color="auto"/>
            </w:tcBorders>
            <w:shd w:val="clear" w:color="000000" w:fill="99CCFF"/>
            <w:noWrap/>
            <w:vAlign w:val="center"/>
            <w:hideMark/>
          </w:tcPr>
          <w:p w:rsidR="002D1DA9" w:rsidRPr="00DD76C8" w:rsidRDefault="002D1DA9" w:rsidP="002D1DA9">
            <w:pPr>
              <w:widowControl/>
              <w:jc w:val="right"/>
              <w:rPr>
                <w:b/>
                <w:bCs/>
                <w:color w:val="000000"/>
                <w:sz w:val="20"/>
              </w:rPr>
            </w:pPr>
            <w:r w:rsidRPr="00DD76C8">
              <w:rPr>
                <w:rFonts w:ascii="Calibri" w:hAnsi="Calibri"/>
                <w:b/>
                <w:color w:val="000000"/>
                <w:kern w:val="32"/>
                <w:sz w:val="22"/>
              </w:rPr>
              <w:t>30 589 787</w:t>
            </w:r>
          </w:p>
        </w:tc>
        <w:tc>
          <w:tcPr>
            <w:tcW w:w="1868" w:type="dxa"/>
            <w:tcBorders>
              <w:top w:val="nil"/>
              <w:left w:val="nil"/>
              <w:bottom w:val="single" w:sz="8" w:space="0" w:color="auto"/>
              <w:right w:val="single" w:sz="8" w:space="0" w:color="auto"/>
            </w:tcBorders>
            <w:shd w:val="clear" w:color="000000" w:fill="99CCFF"/>
            <w:noWrap/>
            <w:vAlign w:val="center"/>
            <w:hideMark/>
          </w:tcPr>
          <w:p w:rsidR="002D1DA9" w:rsidRPr="00DD76C8" w:rsidRDefault="002D1DA9" w:rsidP="002D1DA9">
            <w:pPr>
              <w:widowControl/>
              <w:jc w:val="right"/>
              <w:rPr>
                <w:b/>
                <w:bCs/>
                <w:color w:val="000000"/>
                <w:sz w:val="20"/>
              </w:rPr>
            </w:pPr>
            <w:r w:rsidRPr="00DD76C8">
              <w:rPr>
                <w:rFonts w:ascii="Calibri" w:hAnsi="Calibri"/>
                <w:b/>
                <w:color w:val="000000"/>
                <w:kern w:val="32"/>
                <w:sz w:val="22"/>
              </w:rPr>
              <w:t>6 367 000</w:t>
            </w:r>
          </w:p>
        </w:tc>
      </w:tr>
    </w:tbl>
    <w:p w:rsidR="002D1DA9" w:rsidRPr="00DD76C8" w:rsidRDefault="002D1DA9" w:rsidP="002D1DA9">
      <w:pPr>
        <w:widowControl/>
        <w:jc w:val="both"/>
        <w:rPr>
          <w:rFonts w:cs="Arial"/>
          <w:bCs/>
          <w:kern w:val="32"/>
          <w:szCs w:val="24"/>
        </w:rPr>
      </w:pPr>
    </w:p>
    <w:p w:rsidR="00082E33" w:rsidRPr="00DD76C8" w:rsidRDefault="00082E33" w:rsidP="002D1DA9">
      <w:pPr>
        <w:pStyle w:val="Normal12"/>
        <w:ind w:left="-567" w:firstLine="567"/>
      </w:pPr>
    </w:p>
    <w:p w:rsidR="000A7BE4" w:rsidRPr="00DD76C8" w:rsidRDefault="000A7BE4" w:rsidP="000A7BE4">
      <w:pPr>
        <w:pStyle w:val="PageHeading"/>
      </w:pPr>
      <w:r w:rsidRPr="00DD76C8">
        <w:br w:type="page"/>
      </w:r>
      <w:bookmarkStart w:id="4" w:name="_Toc479064337"/>
      <w:bookmarkStart w:id="5" w:name="ProcPageRR"/>
      <w:bookmarkStart w:id="6" w:name="_Toc479088913"/>
      <w:r w:rsidRPr="00DD76C8">
        <w:t>INFORMACIJE O USVAJANJU U NADLEŽNOM ODBORU</w:t>
      </w:r>
      <w:bookmarkEnd w:id="4"/>
      <w:bookmarkEnd w:id="6"/>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0A7BE4" w:rsidRPr="00DD76C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A7BE4" w:rsidRPr="00DD76C8" w:rsidRDefault="000A7BE4">
            <w:pPr>
              <w:autoSpaceDE w:val="0"/>
              <w:autoSpaceDN w:val="0"/>
              <w:adjustRightInd w:val="0"/>
              <w:rPr>
                <w:b/>
                <w:bCs/>
                <w:color w:val="000000"/>
                <w:sz w:val="20"/>
              </w:rPr>
            </w:pPr>
            <w:r w:rsidRPr="00DD76C8">
              <w:rPr>
                <w:b/>
                <w:color w:val="000000"/>
                <w:sz w:val="20"/>
              </w:rPr>
              <w:t>Datum usvajanja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A7BE4" w:rsidRPr="00DD76C8" w:rsidRDefault="000A7BE4">
            <w:pPr>
              <w:autoSpaceDE w:val="0"/>
              <w:autoSpaceDN w:val="0"/>
              <w:adjustRightInd w:val="0"/>
              <w:rPr>
                <w:color w:val="000000"/>
                <w:sz w:val="20"/>
              </w:rPr>
            </w:pPr>
            <w:r w:rsidRPr="00DD76C8">
              <w:rPr>
                <w:color w:val="000000"/>
                <w:sz w:val="20"/>
              </w:rPr>
              <w:t>3.4.2017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A7BE4" w:rsidRPr="00DD76C8" w:rsidRDefault="000A7BE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A7BE4" w:rsidRPr="00DD76C8" w:rsidRDefault="000A7BE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A7BE4" w:rsidRPr="00DD76C8" w:rsidRDefault="000A7BE4">
            <w:pPr>
              <w:autoSpaceDE w:val="0"/>
              <w:autoSpaceDN w:val="0"/>
              <w:adjustRightInd w:val="0"/>
              <w:rPr>
                <w:rFonts w:ascii="sans-serif" w:hAnsi="sans-serif" w:cs="sans-serif"/>
                <w:color w:val="000000"/>
                <w:szCs w:val="24"/>
              </w:rPr>
            </w:pPr>
          </w:p>
        </w:tc>
      </w:tr>
      <w:tr w:rsidR="000A7BE4" w:rsidRPr="00DD76C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A7BE4" w:rsidRPr="00DD76C8" w:rsidRDefault="000A7BE4">
            <w:pPr>
              <w:autoSpaceDE w:val="0"/>
              <w:autoSpaceDN w:val="0"/>
              <w:adjustRightInd w:val="0"/>
              <w:rPr>
                <w:b/>
                <w:bCs/>
                <w:color w:val="000000"/>
                <w:sz w:val="20"/>
              </w:rPr>
            </w:pPr>
            <w:r w:rsidRPr="00DD76C8">
              <w:rPr>
                <w:b/>
                <w:color w:val="000000"/>
                <w:sz w:val="20"/>
              </w:rPr>
              <w:t>Rezultat konačnog glasovanja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A7BE4" w:rsidRPr="00DD76C8" w:rsidRDefault="000A7BE4">
            <w:pPr>
              <w:autoSpaceDE w:val="0"/>
              <w:autoSpaceDN w:val="0"/>
              <w:adjustRightInd w:val="0"/>
              <w:rPr>
                <w:color w:val="000000"/>
                <w:sz w:val="20"/>
              </w:rPr>
            </w:pPr>
            <w:r w:rsidRPr="00DD76C8">
              <w:rPr>
                <w:color w:val="000000"/>
                <w:sz w:val="20"/>
              </w:rPr>
              <w:t>+:</w:t>
            </w:r>
          </w:p>
          <w:p w:rsidR="000A7BE4" w:rsidRPr="00DD76C8" w:rsidRDefault="000A7BE4">
            <w:pPr>
              <w:autoSpaceDE w:val="0"/>
              <w:autoSpaceDN w:val="0"/>
              <w:adjustRightInd w:val="0"/>
              <w:rPr>
                <w:color w:val="000000"/>
                <w:sz w:val="20"/>
              </w:rPr>
            </w:pPr>
            <w:r w:rsidRPr="00DD76C8">
              <w:rPr>
                <w:color w:val="000000"/>
                <w:sz w:val="20"/>
              </w:rPr>
              <w:t>–:</w:t>
            </w:r>
          </w:p>
          <w:p w:rsidR="000A7BE4" w:rsidRPr="00DD76C8" w:rsidRDefault="000A7BE4">
            <w:pPr>
              <w:autoSpaceDE w:val="0"/>
              <w:autoSpaceDN w:val="0"/>
              <w:adjustRightInd w:val="0"/>
              <w:rPr>
                <w:color w:val="000000"/>
                <w:sz w:val="20"/>
              </w:rPr>
            </w:pPr>
            <w:r w:rsidRPr="00DD76C8">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A7BE4" w:rsidRPr="00DD76C8" w:rsidRDefault="000A7BE4">
            <w:pPr>
              <w:autoSpaceDE w:val="0"/>
              <w:autoSpaceDN w:val="0"/>
              <w:adjustRightInd w:val="0"/>
              <w:rPr>
                <w:color w:val="000000"/>
                <w:sz w:val="20"/>
              </w:rPr>
            </w:pPr>
            <w:r w:rsidRPr="00DD76C8">
              <w:rPr>
                <w:color w:val="000000"/>
                <w:sz w:val="20"/>
              </w:rPr>
              <w:t>30</w:t>
            </w:r>
          </w:p>
          <w:p w:rsidR="000A7BE4" w:rsidRPr="00DD76C8" w:rsidRDefault="000A7BE4">
            <w:pPr>
              <w:autoSpaceDE w:val="0"/>
              <w:autoSpaceDN w:val="0"/>
              <w:adjustRightInd w:val="0"/>
              <w:rPr>
                <w:color w:val="000000"/>
                <w:sz w:val="20"/>
              </w:rPr>
            </w:pPr>
            <w:r w:rsidRPr="00DD76C8">
              <w:rPr>
                <w:color w:val="000000"/>
                <w:sz w:val="20"/>
              </w:rPr>
              <w:t>4</w:t>
            </w:r>
          </w:p>
          <w:p w:rsidR="000A7BE4" w:rsidRPr="00DD76C8" w:rsidRDefault="000A7BE4">
            <w:pPr>
              <w:autoSpaceDE w:val="0"/>
              <w:autoSpaceDN w:val="0"/>
              <w:adjustRightInd w:val="0"/>
              <w:rPr>
                <w:color w:val="000000"/>
                <w:sz w:val="20"/>
              </w:rPr>
            </w:pPr>
            <w:r w:rsidRPr="00DD76C8">
              <w:rPr>
                <w:color w:val="000000"/>
                <w:sz w:val="20"/>
              </w:rPr>
              <w:t>2</w:t>
            </w:r>
          </w:p>
        </w:tc>
      </w:tr>
      <w:tr w:rsidR="000A7BE4" w:rsidRPr="00DD76C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A7BE4" w:rsidRPr="00DD76C8" w:rsidRDefault="000A7BE4">
            <w:pPr>
              <w:autoSpaceDE w:val="0"/>
              <w:autoSpaceDN w:val="0"/>
              <w:adjustRightInd w:val="0"/>
              <w:rPr>
                <w:b/>
                <w:bCs/>
                <w:color w:val="000000"/>
                <w:sz w:val="20"/>
              </w:rPr>
            </w:pPr>
            <w:r w:rsidRPr="00DD76C8">
              <w:rPr>
                <w:b/>
                <w:color w:val="000000"/>
                <w:sz w:val="20"/>
              </w:rPr>
              <w:t>Zastupnici nazočni na konačnom glasovanju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A7BE4" w:rsidRPr="00DD76C8" w:rsidRDefault="000A7BE4">
            <w:pPr>
              <w:autoSpaceDE w:val="0"/>
              <w:autoSpaceDN w:val="0"/>
              <w:adjustRightInd w:val="0"/>
              <w:rPr>
                <w:color w:val="000000"/>
                <w:sz w:val="20"/>
              </w:rPr>
            </w:pPr>
            <w:r w:rsidRPr="00DD76C8">
              <w:rPr>
                <w:color w:val="000000"/>
                <w:sz w:val="20"/>
              </w:rPr>
              <w:t>Nedzhmi Ali, Jean Arthuis, Lefteris Christoforou, Gérard Deprez, Manuel dos Santos, José Manuel Fernandes, Eider Gardiazabal Rubial, Jens Geier, Ingeborg Gräßle, Iris Hoffmann, Bernd Kölmel, Zbigniew Kuźmiuk, Clare Moody, Siegfried Mureşan, Victor Negrescu, Liadh Ní Riada, Jan Olbrycht, Younous Omarjee, Pina Picierno, Paul Rübig, Petri Sarvamaa, Jordi Solé, Eleftherios Synadinos, Indrek Tarand, Isabelle Thomas, Monika Vana, Daniele Viotti, Marco Zanni, Stanisław Żółtek</w:t>
            </w:r>
          </w:p>
        </w:tc>
      </w:tr>
      <w:tr w:rsidR="000A7BE4" w:rsidRPr="00DD76C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A7BE4" w:rsidRPr="00DD76C8" w:rsidRDefault="000A7BE4">
            <w:pPr>
              <w:autoSpaceDE w:val="0"/>
              <w:autoSpaceDN w:val="0"/>
              <w:adjustRightInd w:val="0"/>
              <w:rPr>
                <w:b/>
                <w:bCs/>
                <w:color w:val="000000"/>
                <w:sz w:val="20"/>
              </w:rPr>
            </w:pPr>
            <w:r w:rsidRPr="00DD76C8">
              <w:rPr>
                <w:b/>
                <w:color w:val="000000"/>
                <w:sz w:val="20"/>
              </w:rPr>
              <w:t>Zamjenici nazočni na konačnom glasovanju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0A7BE4" w:rsidRPr="00DD76C8" w:rsidRDefault="000A7BE4">
            <w:pPr>
              <w:autoSpaceDE w:val="0"/>
              <w:autoSpaceDN w:val="0"/>
              <w:adjustRightInd w:val="0"/>
              <w:rPr>
                <w:color w:val="000000"/>
                <w:sz w:val="20"/>
              </w:rPr>
            </w:pPr>
            <w:r w:rsidRPr="00DD76C8">
              <w:rPr>
                <w:color w:val="000000"/>
                <w:sz w:val="20"/>
              </w:rPr>
              <w:t>Nicola Caputo, Ivana Maletić, Andrey Novakov, Marco Valli, Tomáš Zdechovský</w:t>
            </w:r>
          </w:p>
        </w:tc>
      </w:tr>
      <w:tr w:rsidR="000A7BE4" w:rsidRPr="00DD76C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A7BE4" w:rsidRPr="00DD76C8" w:rsidRDefault="000A7BE4">
            <w:pPr>
              <w:autoSpaceDE w:val="0"/>
              <w:autoSpaceDN w:val="0"/>
              <w:adjustRightInd w:val="0"/>
              <w:rPr>
                <w:b/>
                <w:bCs/>
                <w:color w:val="000000"/>
                <w:sz w:val="20"/>
              </w:rPr>
            </w:pPr>
            <w:r w:rsidRPr="00DD76C8">
              <w:rPr>
                <w:b/>
                <w:color w:val="000000"/>
                <w:sz w:val="20"/>
              </w:rPr>
              <w:t>Zamjenici nazočni na konačnom glasovanju prema čl. 200. st.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0A7BE4" w:rsidRPr="00DD76C8" w:rsidRDefault="000A7BE4">
            <w:pPr>
              <w:autoSpaceDE w:val="0"/>
              <w:autoSpaceDN w:val="0"/>
              <w:adjustRightInd w:val="0"/>
              <w:rPr>
                <w:color w:val="000000"/>
                <w:sz w:val="20"/>
              </w:rPr>
            </w:pPr>
            <w:r w:rsidRPr="00DD76C8">
              <w:rPr>
                <w:color w:val="000000"/>
                <w:sz w:val="20"/>
              </w:rPr>
              <w:t>Othmar Karas, Bernd Lucke</w:t>
            </w:r>
          </w:p>
        </w:tc>
      </w:tr>
    </w:tbl>
    <w:p w:rsidR="00FA3C44" w:rsidRPr="00DD76C8" w:rsidRDefault="00FA3C44">
      <w:pPr>
        <w:autoSpaceDE w:val="0"/>
        <w:autoSpaceDN w:val="0"/>
        <w:adjustRightInd w:val="0"/>
        <w:rPr>
          <w:rFonts w:ascii="Arial" w:hAnsi="Arial" w:cs="Arial"/>
          <w:szCs w:val="24"/>
        </w:rPr>
      </w:pPr>
    </w:p>
    <w:p w:rsidR="00FA3C44" w:rsidRPr="00DD76C8" w:rsidRDefault="00FA3C44" w:rsidP="00FA3C44">
      <w:pPr>
        <w:pStyle w:val="PageHeading"/>
      </w:pPr>
      <w:r w:rsidRPr="00DD76C8">
        <w:br w:type="page"/>
      </w:r>
      <w:bookmarkStart w:id="7" w:name="_Toc435433688"/>
      <w:bookmarkStart w:id="8" w:name="_Toc435512691"/>
      <w:bookmarkStart w:id="9" w:name="_Toc479064338"/>
      <w:bookmarkStart w:id="10" w:name="_Toc479088914"/>
      <w:r w:rsidRPr="00DD76C8">
        <w:t>KONAČNO GLASOVANJE POIMENIČNIM GLASOVANJEM U NADLEŽNOM ODBORU</w:t>
      </w:r>
      <w:bookmarkEnd w:id="7"/>
      <w:bookmarkEnd w:id="8"/>
      <w:bookmarkEnd w:id="9"/>
      <w:bookmarkEnd w:id="10"/>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A3C44" w:rsidRPr="00DD76C8" w:rsidTr="009C4453">
        <w:trPr>
          <w:cantSplit/>
        </w:trPr>
        <w:tc>
          <w:tcPr>
            <w:tcW w:w="1701" w:type="dxa"/>
            <w:shd w:val="pct10" w:color="000000" w:fill="FFFFFF"/>
            <w:vAlign w:val="center"/>
          </w:tcPr>
          <w:p w:rsidR="00FA3C44" w:rsidRPr="00DD76C8" w:rsidRDefault="00FA3C44" w:rsidP="009C4453">
            <w:pPr>
              <w:spacing w:before="120" w:after="120"/>
              <w:jc w:val="center"/>
              <w:rPr>
                <w:b/>
                <w:sz w:val="16"/>
              </w:rPr>
            </w:pPr>
            <w:r w:rsidRPr="00DD76C8">
              <w:rPr>
                <w:b/>
                <w:sz w:val="16"/>
              </w:rPr>
              <w:t>30</w:t>
            </w:r>
          </w:p>
        </w:tc>
        <w:tc>
          <w:tcPr>
            <w:tcW w:w="7371" w:type="dxa"/>
            <w:shd w:val="pct10" w:color="000000" w:fill="FFFFFF"/>
          </w:tcPr>
          <w:p w:rsidR="00FA3C44" w:rsidRPr="00DD76C8" w:rsidRDefault="00FA3C44" w:rsidP="009C4453">
            <w:pPr>
              <w:spacing w:before="120" w:after="120"/>
              <w:jc w:val="center"/>
              <w:rPr>
                <w:rFonts w:ascii="Arial" w:hAnsi="Arial" w:cs="Arial"/>
                <w:b/>
                <w:sz w:val="28"/>
                <w:szCs w:val="28"/>
              </w:rPr>
            </w:pPr>
            <w:r w:rsidRPr="00DD76C8">
              <w:rPr>
                <w:rFonts w:ascii="Arial" w:hAnsi="Arial"/>
                <w:b/>
                <w:sz w:val="28"/>
              </w:rPr>
              <w:t>+</w:t>
            </w:r>
          </w:p>
        </w:tc>
      </w:tr>
      <w:tr w:rsidR="00FA3C44" w:rsidRPr="00DD76C8" w:rsidTr="009C4453">
        <w:trPr>
          <w:cantSplit/>
        </w:trPr>
        <w:tc>
          <w:tcPr>
            <w:tcW w:w="1701" w:type="dxa"/>
            <w:shd w:val="clear" w:color="auto" w:fill="FFFFFF"/>
          </w:tcPr>
          <w:p w:rsidR="00FA3C44" w:rsidRPr="00DD76C8" w:rsidRDefault="00FA3C44" w:rsidP="009C4453">
            <w:pPr>
              <w:spacing w:before="120" w:after="120"/>
              <w:rPr>
                <w:sz w:val="16"/>
              </w:rPr>
            </w:pPr>
            <w:r w:rsidRPr="00DD76C8">
              <w:rPr>
                <w:sz w:val="16"/>
              </w:rPr>
              <w:t>ALDE</w:t>
            </w:r>
          </w:p>
        </w:tc>
        <w:tc>
          <w:tcPr>
            <w:tcW w:w="7371" w:type="dxa"/>
            <w:shd w:val="clear" w:color="auto" w:fill="FFFFFF"/>
          </w:tcPr>
          <w:p w:rsidR="00FA3C44" w:rsidRPr="00DD76C8" w:rsidRDefault="00FA3C44" w:rsidP="009C4453">
            <w:pPr>
              <w:spacing w:before="120" w:after="120"/>
              <w:rPr>
                <w:sz w:val="16"/>
              </w:rPr>
            </w:pPr>
            <w:r w:rsidRPr="00DD76C8">
              <w:rPr>
                <w:sz w:val="16"/>
              </w:rPr>
              <w:t>Nedzhmi Ali, Jean Arthuis, Gérard Deprez</w:t>
            </w:r>
          </w:p>
        </w:tc>
      </w:tr>
      <w:tr w:rsidR="00FA3C44" w:rsidRPr="00DD76C8" w:rsidTr="009C4453">
        <w:trPr>
          <w:cantSplit/>
        </w:trPr>
        <w:tc>
          <w:tcPr>
            <w:tcW w:w="1701" w:type="dxa"/>
            <w:shd w:val="clear" w:color="auto" w:fill="FFFFFF"/>
          </w:tcPr>
          <w:p w:rsidR="00FA3C44" w:rsidRPr="00DD76C8" w:rsidRDefault="00FA3C44" w:rsidP="009C4453">
            <w:pPr>
              <w:spacing w:before="120" w:after="120"/>
              <w:rPr>
                <w:sz w:val="16"/>
              </w:rPr>
            </w:pPr>
            <w:r w:rsidRPr="00DD76C8">
              <w:rPr>
                <w:sz w:val="16"/>
              </w:rPr>
              <w:t>ECR</w:t>
            </w:r>
          </w:p>
        </w:tc>
        <w:tc>
          <w:tcPr>
            <w:tcW w:w="7371" w:type="dxa"/>
            <w:shd w:val="clear" w:color="auto" w:fill="FFFFFF"/>
          </w:tcPr>
          <w:p w:rsidR="00FA3C44" w:rsidRPr="00DD76C8" w:rsidRDefault="00FA3C44" w:rsidP="009C4453">
            <w:pPr>
              <w:spacing w:before="120" w:after="120"/>
              <w:rPr>
                <w:sz w:val="16"/>
              </w:rPr>
            </w:pPr>
            <w:r w:rsidRPr="00DD76C8">
              <w:rPr>
                <w:sz w:val="16"/>
              </w:rPr>
              <w:t>Bernd Kölmel, Zbigniew Kuźmiuk, Bernd Lucke</w:t>
            </w:r>
          </w:p>
        </w:tc>
      </w:tr>
      <w:tr w:rsidR="00FA3C44" w:rsidRPr="00DD76C8" w:rsidTr="009C4453">
        <w:trPr>
          <w:cantSplit/>
        </w:trPr>
        <w:tc>
          <w:tcPr>
            <w:tcW w:w="1701" w:type="dxa"/>
            <w:shd w:val="clear" w:color="auto" w:fill="FFFFFF"/>
          </w:tcPr>
          <w:p w:rsidR="00FA3C44" w:rsidRPr="00DD76C8" w:rsidRDefault="00FA3C44" w:rsidP="009C4453">
            <w:pPr>
              <w:spacing w:before="120" w:after="120"/>
              <w:rPr>
                <w:sz w:val="16"/>
              </w:rPr>
            </w:pPr>
            <w:r w:rsidRPr="00DD76C8">
              <w:rPr>
                <w:sz w:val="16"/>
              </w:rPr>
              <w:t>PPE</w:t>
            </w:r>
          </w:p>
        </w:tc>
        <w:tc>
          <w:tcPr>
            <w:tcW w:w="7371" w:type="dxa"/>
            <w:shd w:val="clear" w:color="auto" w:fill="FFFFFF"/>
          </w:tcPr>
          <w:p w:rsidR="00FA3C44" w:rsidRPr="00DD76C8" w:rsidRDefault="00FA3C44" w:rsidP="009C4453">
            <w:pPr>
              <w:spacing w:before="120" w:after="120"/>
              <w:rPr>
                <w:sz w:val="16"/>
              </w:rPr>
            </w:pPr>
            <w:r w:rsidRPr="00DD76C8">
              <w:rPr>
                <w:sz w:val="16"/>
              </w:rPr>
              <w:t>Lefteris Christoforou, José Manuel Fernandes, Ingeborg Gräßle, Othmar Karas, Ivana Maletić, Siegfried Mureşan, Andrey Novakov, Jan Olbrycht, Paul Rübig, Petri Sarvamaa, Tomáš Zdechovský</w:t>
            </w:r>
          </w:p>
        </w:tc>
      </w:tr>
      <w:tr w:rsidR="00FA3C44" w:rsidRPr="00DD76C8" w:rsidTr="009C4453">
        <w:trPr>
          <w:cantSplit/>
        </w:trPr>
        <w:tc>
          <w:tcPr>
            <w:tcW w:w="1701" w:type="dxa"/>
            <w:shd w:val="clear" w:color="auto" w:fill="FFFFFF"/>
          </w:tcPr>
          <w:p w:rsidR="00FA3C44" w:rsidRPr="00DD76C8" w:rsidRDefault="00FA3C44" w:rsidP="009C4453">
            <w:pPr>
              <w:spacing w:before="120" w:after="120"/>
              <w:rPr>
                <w:sz w:val="16"/>
              </w:rPr>
            </w:pPr>
            <w:r w:rsidRPr="00DD76C8">
              <w:rPr>
                <w:sz w:val="16"/>
              </w:rPr>
              <w:t>S&amp;D</w:t>
            </w:r>
          </w:p>
        </w:tc>
        <w:tc>
          <w:tcPr>
            <w:tcW w:w="7371" w:type="dxa"/>
            <w:shd w:val="clear" w:color="auto" w:fill="FFFFFF"/>
          </w:tcPr>
          <w:p w:rsidR="00FA3C44" w:rsidRPr="00DD76C8" w:rsidRDefault="00FA3C44" w:rsidP="009C4453">
            <w:pPr>
              <w:spacing w:before="120" w:after="120"/>
              <w:rPr>
                <w:sz w:val="16"/>
              </w:rPr>
            </w:pPr>
            <w:r w:rsidRPr="00DD76C8">
              <w:rPr>
                <w:sz w:val="16"/>
              </w:rPr>
              <w:t>Nicola Caputo, Eider Gardiazabal Rubial, Jens Geier, Iris Hoffmann, Clare Moody, Victor Negrescu, Pina Picierno, Isabelle Thomas, Daniele Viotti, Manuel dos Santos</w:t>
            </w:r>
          </w:p>
        </w:tc>
      </w:tr>
      <w:tr w:rsidR="00FA3C44" w:rsidRPr="00DD76C8" w:rsidTr="009C4453">
        <w:trPr>
          <w:cantSplit/>
        </w:trPr>
        <w:tc>
          <w:tcPr>
            <w:tcW w:w="1701" w:type="dxa"/>
            <w:shd w:val="clear" w:color="auto" w:fill="FFFFFF"/>
          </w:tcPr>
          <w:p w:rsidR="00FA3C44" w:rsidRPr="00DD76C8" w:rsidRDefault="00FA3C44" w:rsidP="009C4453">
            <w:pPr>
              <w:spacing w:before="120" w:after="120"/>
              <w:rPr>
                <w:sz w:val="16"/>
              </w:rPr>
            </w:pPr>
            <w:r w:rsidRPr="00DD76C8">
              <w:rPr>
                <w:sz w:val="16"/>
              </w:rPr>
              <w:t>Verts/ALE</w:t>
            </w:r>
          </w:p>
        </w:tc>
        <w:tc>
          <w:tcPr>
            <w:tcW w:w="7371" w:type="dxa"/>
            <w:shd w:val="clear" w:color="auto" w:fill="FFFFFF"/>
          </w:tcPr>
          <w:p w:rsidR="00FA3C44" w:rsidRPr="00DD76C8" w:rsidRDefault="00FA3C44" w:rsidP="009C4453">
            <w:pPr>
              <w:spacing w:before="120" w:after="120"/>
              <w:rPr>
                <w:sz w:val="16"/>
              </w:rPr>
            </w:pPr>
            <w:r w:rsidRPr="00DD76C8">
              <w:rPr>
                <w:sz w:val="16"/>
              </w:rPr>
              <w:t>Jordi Solé, Indrek Tarand, Monika Vana</w:t>
            </w:r>
          </w:p>
        </w:tc>
      </w:tr>
    </w:tbl>
    <w:p w:rsidR="00FA3C44" w:rsidRPr="00DD76C8" w:rsidRDefault="00FA3C44" w:rsidP="00FA3C44"/>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A3C44" w:rsidRPr="00DD76C8" w:rsidTr="009C4453">
        <w:trPr>
          <w:cantSplit/>
        </w:trPr>
        <w:tc>
          <w:tcPr>
            <w:tcW w:w="1701" w:type="dxa"/>
            <w:shd w:val="pct10" w:color="000000" w:fill="FFFFFF"/>
            <w:vAlign w:val="center"/>
          </w:tcPr>
          <w:p w:rsidR="00FA3C44" w:rsidRPr="00DD76C8" w:rsidRDefault="00FA3C44" w:rsidP="009C4453">
            <w:pPr>
              <w:spacing w:before="120" w:after="120"/>
              <w:jc w:val="center"/>
              <w:rPr>
                <w:b/>
                <w:sz w:val="16"/>
              </w:rPr>
            </w:pPr>
            <w:r w:rsidRPr="00DD76C8">
              <w:rPr>
                <w:b/>
                <w:sz w:val="16"/>
              </w:rPr>
              <w:t>4</w:t>
            </w:r>
          </w:p>
        </w:tc>
        <w:tc>
          <w:tcPr>
            <w:tcW w:w="7371" w:type="dxa"/>
            <w:shd w:val="pct10" w:color="000000" w:fill="FFFFFF"/>
          </w:tcPr>
          <w:p w:rsidR="00FA3C44" w:rsidRPr="00DD76C8" w:rsidRDefault="00FA3C44" w:rsidP="009C4453">
            <w:pPr>
              <w:spacing w:before="120" w:after="120"/>
              <w:jc w:val="center"/>
              <w:rPr>
                <w:sz w:val="28"/>
                <w:szCs w:val="28"/>
              </w:rPr>
            </w:pPr>
            <w:r w:rsidRPr="00DD76C8">
              <w:rPr>
                <w:rFonts w:ascii="Arial" w:hAnsi="Arial"/>
                <w:b/>
                <w:sz w:val="28"/>
              </w:rPr>
              <w:t>-</w:t>
            </w:r>
          </w:p>
        </w:tc>
      </w:tr>
      <w:tr w:rsidR="00FA3C44" w:rsidRPr="00DD76C8" w:rsidTr="009C4453">
        <w:trPr>
          <w:cantSplit/>
        </w:trPr>
        <w:tc>
          <w:tcPr>
            <w:tcW w:w="1701" w:type="dxa"/>
            <w:shd w:val="clear" w:color="auto" w:fill="FFFFFF"/>
          </w:tcPr>
          <w:p w:rsidR="00FA3C44" w:rsidRPr="00DD76C8" w:rsidRDefault="00FA3C44" w:rsidP="009C4453">
            <w:pPr>
              <w:spacing w:before="120" w:after="120"/>
              <w:rPr>
                <w:sz w:val="16"/>
              </w:rPr>
            </w:pPr>
            <w:r w:rsidRPr="00DD76C8">
              <w:rPr>
                <w:sz w:val="16"/>
              </w:rPr>
              <w:t>EFDD</w:t>
            </w:r>
          </w:p>
        </w:tc>
        <w:tc>
          <w:tcPr>
            <w:tcW w:w="7371" w:type="dxa"/>
            <w:shd w:val="clear" w:color="auto" w:fill="FFFFFF"/>
          </w:tcPr>
          <w:p w:rsidR="00FA3C44" w:rsidRPr="00DD76C8" w:rsidRDefault="00FA3C44" w:rsidP="009C4453">
            <w:pPr>
              <w:spacing w:before="120" w:after="120"/>
              <w:rPr>
                <w:sz w:val="16"/>
              </w:rPr>
            </w:pPr>
            <w:r w:rsidRPr="00DD76C8">
              <w:rPr>
                <w:sz w:val="16"/>
              </w:rPr>
              <w:t>Marco Valli</w:t>
            </w:r>
          </w:p>
        </w:tc>
      </w:tr>
      <w:tr w:rsidR="00FA3C44" w:rsidRPr="00DD76C8" w:rsidTr="009C4453">
        <w:trPr>
          <w:cantSplit/>
        </w:trPr>
        <w:tc>
          <w:tcPr>
            <w:tcW w:w="1701" w:type="dxa"/>
            <w:shd w:val="clear" w:color="auto" w:fill="FFFFFF"/>
          </w:tcPr>
          <w:p w:rsidR="00FA3C44" w:rsidRPr="00DD76C8" w:rsidRDefault="00FA3C44" w:rsidP="009C4453">
            <w:pPr>
              <w:spacing w:before="120" w:after="120"/>
              <w:rPr>
                <w:sz w:val="16"/>
              </w:rPr>
            </w:pPr>
            <w:r w:rsidRPr="00DD76C8">
              <w:rPr>
                <w:sz w:val="16"/>
              </w:rPr>
              <w:t>ENF</w:t>
            </w:r>
          </w:p>
        </w:tc>
        <w:tc>
          <w:tcPr>
            <w:tcW w:w="7371" w:type="dxa"/>
            <w:shd w:val="clear" w:color="auto" w:fill="FFFFFF"/>
          </w:tcPr>
          <w:p w:rsidR="00FA3C44" w:rsidRPr="00DD76C8" w:rsidRDefault="00FA3C44" w:rsidP="009C4453">
            <w:pPr>
              <w:spacing w:before="120" w:after="120"/>
              <w:rPr>
                <w:sz w:val="16"/>
              </w:rPr>
            </w:pPr>
            <w:r w:rsidRPr="00DD76C8">
              <w:rPr>
                <w:sz w:val="16"/>
              </w:rPr>
              <w:t>Marco Zanni, Stanisław Żółtek</w:t>
            </w:r>
          </w:p>
        </w:tc>
      </w:tr>
      <w:tr w:rsidR="00FA3C44" w:rsidRPr="00DD76C8" w:rsidTr="009C4453">
        <w:trPr>
          <w:cantSplit/>
        </w:trPr>
        <w:tc>
          <w:tcPr>
            <w:tcW w:w="1701" w:type="dxa"/>
            <w:shd w:val="clear" w:color="auto" w:fill="FFFFFF"/>
          </w:tcPr>
          <w:p w:rsidR="00FA3C44" w:rsidRPr="00DD76C8" w:rsidRDefault="00FA3C44" w:rsidP="009C4453">
            <w:pPr>
              <w:spacing w:before="120" w:after="120"/>
              <w:rPr>
                <w:sz w:val="16"/>
              </w:rPr>
            </w:pPr>
            <w:r w:rsidRPr="00DD76C8">
              <w:rPr>
                <w:sz w:val="16"/>
              </w:rPr>
              <w:t>NI</w:t>
            </w:r>
          </w:p>
        </w:tc>
        <w:tc>
          <w:tcPr>
            <w:tcW w:w="7371" w:type="dxa"/>
            <w:shd w:val="clear" w:color="auto" w:fill="FFFFFF"/>
          </w:tcPr>
          <w:p w:rsidR="00FA3C44" w:rsidRPr="00DD76C8" w:rsidRDefault="00FA3C44" w:rsidP="009C4453">
            <w:pPr>
              <w:spacing w:before="120" w:after="120"/>
              <w:rPr>
                <w:sz w:val="16"/>
              </w:rPr>
            </w:pPr>
            <w:r w:rsidRPr="00DD76C8">
              <w:rPr>
                <w:sz w:val="16"/>
              </w:rPr>
              <w:t>Eleftherios Synadinos</w:t>
            </w:r>
          </w:p>
        </w:tc>
      </w:tr>
    </w:tbl>
    <w:p w:rsidR="00FA3C44" w:rsidRPr="00DD76C8" w:rsidRDefault="00FA3C44" w:rsidP="00FA3C44"/>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A3C44" w:rsidRPr="00DD76C8" w:rsidTr="009C4453">
        <w:trPr>
          <w:cantSplit/>
        </w:trPr>
        <w:tc>
          <w:tcPr>
            <w:tcW w:w="1701" w:type="dxa"/>
            <w:shd w:val="pct10" w:color="000000" w:fill="FFFFFF"/>
            <w:vAlign w:val="center"/>
          </w:tcPr>
          <w:p w:rsidR="00FA3C44" w:rsidRPr="00DD76C8" w:rsidRDefault="00FA3C44" w:rsidP="009C4453">
            <w:pPr>
              <w:spacing w:before="120" w:after="120"/>
              <w:jc w:val="center"/>
              <w:rPr>
                <w:b/>
                <w:sz w:val="16"/>
              </w:rPr>
            </w:pPr>
            <w:r w:rsidRPr="00DD76C8">
              <w:rPr>
                <w:b/>
                <w:sz w:val="16"/>
              </w:rPr>
              <w:t>2</w:t>
            </w:r>
          </w:p>
        </w:tc>
        <w:tc>
          <w:tcPr>
            <w:tcW w:w="7371" w:type="dxa"/>
            <w:shd w:val="pct10" w:color="000000" w:fill="FFFFFF"/>
          </w:tcPr>
          <w:p w:rsidR="00FA3C44" w:rsidRPr="00DD76C8" w:rsidRDefault="00FA3C44" w:rsidP="009C4453">
            <w:pPr>
              <w:spacing w:before="120" w:after="120"/>
              <w:jc w:val="center"/>
              <w:rPr>
                <w:sz w:val="28"/>
                <w:szCs w:val="28"/>
              </w:rPr>
            </w:pPr>
            <w:r w:rsidRPr="00DD76C8">
              <w:rPr>
                <w:rFonts w:ascii="Arial" w:hAnsi="Arial"/>
                <w:b/>
                <w:sz w:val="28"/>
              </w:rPr>
              <w:t>0</w:t>
            </w:r>
          </w:p>
        </w:tc>
      </w:tr>
      <w:tr w:rsidR="00FA3C44" w:rsidRPr="00DD76C8" w:rsidTr="009C4453">
        <w:trPr>
          <w:cantSplit/>
        </w:trPr>
        <w:tc>
          <w:tcPr>
            <w:tcW w:w="1701" w:type="dxa"/>
            <w:shd w:val="clear" w:color="auto" w:fill="FFFFFF"/>
          </w:tcPr>
          <w:p w:rsidR="00FA3C44" w:rsidRPr="00DD76C8" w:rsidRDefault="00FA3C44" w:rsidP="009C4453">
            <w:pPr>
              <w:spacing w:before="120" w:after="120"/>
              <w:rPr>
                <w:sz w:val="16"/>
              </w:rPr>
            </w:pPr>
            <w:r w:rsidRPr="00DD76C8">
              <w:rPr>
                <w:sz w:val="16"/>
              </w:rPr>
              <w:t>GUE/NGL</w:t>
            </w:r>
          </w:p>
        </w:tc>
        <w:tc>
          <w:tcPr>
            <w:tcW w:w="7371" w:type="dxa"/>
            <w:shd w:val="clear" w:color="auto" w:fill="FFFFFF"/>
          </w:tcPr>
          <w:p w:rsidR="00FA3C44" w:rsidRPr="00DD76C8" w:rsidRDefault="00FA3C44" w:rsidP="009C4453">
            <w:pPr>
              <w:spacing w:before="120" w:after="120"/>
              <w:rPr>
                <w:sz w:val="16"/>
              </w:rPr>
            </w:pPr>
            <w:r w:rsidRPr="00DD76C8">
              <w:rPr>
                <w:sz w:val="16"/>
              </w:rPr>
              <w:t>Liadh Ní Riada, Younous Omarjee</w:t>
            </w:r>
          </w:p>
        </w:tc>
      </w:tr>
    </w:tbl>
    <w:p w:rsidR="00FA3C44" w:rsidRPr="00DD76C8" w:rsidRDefault="00FA3C44" w:rsidP="00FA3C44">
      <w:pPr>
        <w:pStyle w:val="Normal12"/>
      </w:pPr>
    </w:p>
    <w:p w:rsidR="00FA3C44" w:rsidRPr="00DD76C8" w:rsidRDefault="00FA3C44" w:rsidP="00FA3C44">
      <w:r w:rsidRPr="00DD76C8">
        <w:t>Korišteni znakovi:</w:t>
      </w:r>
    </w:p>
    <w:p w:rsidR="00FA3C44" w:rsidRPr="00DD76C8" w:rsidRDefault="00FA3C44" w:rsidP="00FA3C44">
      <w:pPr>
        <w:pStyle w:val="NormalTabs"/>
      </w:pPr>
      <w:r w:rsidRPr="00DD76C8">
        <w:t>+</w:t>
      </w:r>
      <w:r w:rsidRPr="00DD76C8">
        <w:tab/>
        <w:t>:</w:t>
      </w:r>
      <w:r w:rsidRPr="00DD76C8">
        <w:tab/>
        <w:t>za</w:t>
      </w:r>
    </w:p>
    <w:p w:rsidR="00FA3C44" w:rsidRPr="00DD76C8" w:rsidRDefault="00FA3C44" w:rsidP="00FA3C44">
      <w:pPr>
        <w:pStyle w:val="NormalTabs"/>
      </w:pPr>
      <w:r w:rsidRPr="00DD76C8">
        <w:t>-</w:t>
      </w:r>
      <w:r w:rsidRPr="00DD76C8">
        <w:tab/>
        <w:t>:</w:t>
      </w:r>
      <w:r w:rsidRPr="00DD76C8">
        <w:tab/>
        <w:t>protiv</w:t>
      </w:r>
    </w:p>
    <w:p w:rsidR="00FA3C44" w:rsidRPr="00DD76C8" w:rsidRDefault="00FA3C44" w:rsidP="00FA3C44">
      <w:pPr>
        <w:pStyle w:val="NormalTabs"/>
      </w:pPr>
      <w:r w:rsidRPr="00DD76C8">
        <w:t>0</w:t>
      </w:r>
      <w:r w:rsidRPr="00DD76C8">
        <w:tab/>
        <w:t>:</w:t>
      </w:r>
      <w:r w:rsidRPr="00DD76C8">
        <w:tab/>
        <w:t>suzdržani</w:t>
      </w:r>
    </w:p>
    <w:p w:rsidR="000A7BE4" w:rsidRPr="00DD76C8" w:rsidRDefault="000A7BE4">
      <w:pPr>
        <w:autoSpaceDE w:val="0"/>
        <w:autoSpaceDN w:val="0"/>
        <w:adjustRightInd w:val="0"/>
        <w:rPr>
          <w:rFonts w:ascii="Arial" w:hAnsi="Arial" w:cs="Arial"/>
          <w:szCs w:val="24"/>
        </w:rPr>
      </w:pPr>
    </w:p>
    <w:bookmarkEnd w:id="5"/>
    <w:p w:rsidR="00E03803" w:rsidRPr="00DD76C8" w:rsidRDefault="00E03803" w:rsidP="000A7BE4"/>
    <w:sectPr w:rsidR="00E03803" w:rsidRPr="00DD76C8" w:rsidSect="00DD76C8">
      <w:footnotePr>
        <w:numRestart w:val="eachPage"/>
      </w:footnotePr>
      <w:endnotePr>
        <w:numFmt w:val="decimal"/>
      </w:endnotePr>
      <w:pgSz w:w="11906" w:h="16838" w:code="9"/>
      <w:pgMar w:top="1134" w:right="1418" w:bottom="1418" w:left="1418"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DA9" w:rsidRPr="00DD76C8" w:rsidRDefault="002D1DA9">
      <w:r w:rsidRPr="00DD76C8">
        <w:separator/>
      </w:r>
    </w:p>
  </w:endnote>
  <w:endnote w:type="continuationSeparator" w:id="0">
    <w:p w:rsidR="002D1DA9" w:rsidRPr="00DD76C8" w:rsidRDefault="002D1DA9">
      <w:r w:rsidRPr="00DD76C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6C8" w:rsidRPr="00DD76C8" w:rsidRDefault="00DD76C8" w:rsidP="00DD76C8">
    <w:pPr>
      <w:pStyle w:val="Footer"/>
    </w:pPr>
    <w:r w:rsidRPr="00DD76C8">
      <w:t>PE</w:t>
    </w:r>
    <w:r w:rsidRPr="00DD76C8">
      <w:rPr>
        <w:rStyle w:val="HideTWBExt"/>
        <w:noProof w:val="0"/>
      </w:rPr>
      <w:t>&lt;NoPE&gt;</w:t>
    </w:r>
    <w:r w:rsidRPr="00DD76C8">
      <w:t>599.828</w:t>
    </w:r>
    <w:r w:rsidRPr="00DD76C8">
      <w:rPr>
        <w:rStyle w:val="HideTWBExt"/>
        <w:noProof w:val="0"/>
      </w:rPr>
      <w:t>&lt;/NoPE&gt;&lt;Version&gt;</w:t>
    </w:r>
    <w:r w:rsidRPr="00DD76C8">
      <w:t>v02-00</w:t>
    </w:r>
    <w:r w:rsidRPr="00DD76C8">
      <w:rPr>
        <w:rStyle w:val="HideTWBExt"/>
        <w:noProof w:val="0"/>
      </w:rPr>
      <w:t>&lt;/Version&gt;</w:t>
    </w:r>
    <w:r w:rsidRPr="00DD76C8">
      <w:tab/>
    </w:r>
    <w:r w:rsidRPr="00DD76C8">
      <w:fldChar w:fldCharType="begin"/>
    </w:r>
    <w:r w:rsidRPr="00DD76C8">
      <w:instrText xml:space="preserve"> PAGE  \* MERGEFORMAT </w:instrText>
    </w:r>
    <w:r w:rsidRPr="00DD76C8">
      <w:fldChar w:fldCharType="separate"/>
    </w:r>
    <w:r w:rsidR="00AE1D4A">
      <w:rPr>
        <w:noProof/>
      </w:rPr>
      <w:t>2</w:t>
    </w:r>
    <w:r w:rsidRPr="00DD76C8">
      <w:fldChar w:fldCharType="end"/>
    </w:r>
    <w:r w:rsidRPr="00DD76C8">
      <w:t>/</w:t>
    </w:r>
    <w:r w:rsidR="00AE1D4A">
      <w:fldChar w:fldCharType="begin"/>
    </w:r>
    <w:r w:rsidR="00AE1D4A">
      <w:instrText xml:space="preserve"> NUMPAGES  \* MERGEFORMAT </w:instrText>
    </w:r>
    <w:r w:rsidR="00AE1D4A">
      <w:fldChar w:fldCharType="separate"/>
    </w:r>
    <w:r w:rsidR="00AE1D4A">
      <w:rPr>
        <w:noProof/>
      </w:rPr>
      <w:t>72</w:t>
    </w:r>
    <w:r w:rsidR="00AE1D4A">
      <w:rPr>
        <w:noProof/>
      </w:rPr>
      <w:fldChar w:fldCharType="end"/>
    </w:r>
    <w:r w:rsidRPr="00DD76C8">
      <w:tab/>
    </w:r>
    <w:r w:rsidRPr="00DD76C8">
      <w:rPr>
        <w:rStyle w:val="HideTWBExt"/>
        <w:noProof w:val="0"/>
      </w:rPr>
      <w:t>&lt;PathFdR&gt;</w:t>
    </w:r>
    <w:r w:rsidRPr="00DD76C8">
      <w:t>RR\1122588HR.docx</w:t>
    </w:r>
    <w:r w:rsidRPr="00DD76C8">
      <w:rPr>
        <w:rStyle w:val="HideTWBExt"/>
        <w:noProof w:val="0"/>
      </w:rPr>
      <w:t>&lt;/PathFdR&gt;</w:t>
    </w:r>
  </w:p>
  <w:p w:rsidR="002D1DA9" w:rsidRPr="00DD76C8" w:rsidRDefault="00DD76C8" w:rsidP="00DD76C8">
    <w:pPr>
      <w:pStyle w:val="Footer2"/>
    </w:pPr>
    <w:r w:rsidRPr="00DD76C8">
      <w:t>HR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6C8" w:rsidRPr="00DD76C8" w:rsidRDefault="00DD76C8" w:rsidP="00DD76C8">
    <w:pPr>
      <w:pStyle w:val="Footer"/>
    </w:pPr>
    <w:r w:rsidRPr="00DD76C8">
      <w:rPr>
        <w:rStyle w:val="HideTWBExt"/>
        <w:noProof w:val="0"/>
      </w:rPr>
      <w:t>&lt;PathFdR&gt;</w:t>
    </w:r>
    <w:r w:rsidRPr="00DD76C8">
      <w:t>RR\1122588HR.docx</w:t>
    </w:r>
    <w:r w:rsidRPr="00DD76C8">
      <w:rPr>
        <w:rStyle w:val="HideTWBExt"/>
        <w:noProof w:val="0"/>
      </w:rPr>
      <w:t>&lt;/PathFdR&gt;</w:t>
    </w:r>
    <w:r w:rsidRPr="00DD76C8">
      <w:tab/>
    </w:r>
    <w:r w:rsidRPr="00DD76C8">
      <w:fldChar w:fldCharType="begin"/>
    </w:r>
    <w:r w:rsidRPr="00DD76C8">
      <w:instrText xml:space="preserve"> PAGE  \* MERGEFORMAT </w:instrText>
    </w:r>
    <w:r w:rsidRPr="00DD76C8">
      <w:fldChar w:fldCharType="separate"/>
    </w:r>
    <w:r w:rsidR="00AE1D4A">
      <w:rPr>
        <w:noProof/>
      </w:rPr>
      <w:t>72</w:t>
    </w:r>
    <w:r w:rsidRPr="00DD76C8">
      <w:fldChar w:fldCharType="end"/>
    </w:r>
    <w:r w:rsidRPr="00DD76C8">
      <w:t>/</w:t>
    </w:r>
    <w:r w:rsidR="00AE1D4A">
      <w:fldChar w:fldCharType="begin"/>
    </w:r>
    <w:r w:rsidR="00AE1D4A">
      <w:instrText xml:space="preserve"> NUMPAGES  \* MERGEFORMAT </w:instrText>
    </w:r>
    <w:r w:rsidR="00AE1D4A">
      <w:fldChar w:fldCharType="separate"/>
    </w:r>
    <w:r w:rsidR="00AE1D4A">
      <w:rPr>
        <w:noProof/>
      </w:rPr>
      <w:t>72</w:t>
    </w:r>
    <w:r w:rsidR="00AE1D4A">
      <w:rPr>
        <w:noProof/>
      </w:rPr>
      <w:fldChar w:fldCharType="end"/>
    </w:r>
    <w:r w:rsidRPr="00DD76C8">
      <w:tab/>
      <w:t>PE</w:t>
    </w:r>
    <w:r w:rsidRPr="00DD76C8">
      <w:rPr>
        <w:rStyle w:val="HideTWBExt"/>
        <w:noProof w:val="0"/>
      </w:rPr>
      <w:t>&lt;NoPE&gt;</w:t>
    </w:r>
    <w:r w:rsidRPr="00DD76C8">
      <w:t>599.828</w:t>
    </w:r>
    <w:r w:rsidRPr="00DD76C8">
      <w:rPr>
        <w:rStyle w:val="HideTWBExt"/>
        <w:noProof w:val="0"/>
      </w:rPr>
      <w:t>&lt;/NoPE&gt;&lt;Version&gt;</w:t>
    </w:r>
    <w:r w:rsidRPr="00DD76C8">
      <w:t>v02-00</w:t>
    </w:r>
    <w:r w:rsidRPr="00DD76C8">
      <w:rPr>
        <w:rStyle w:val="HideTWBExt"/>
        <w:noProof w:val="0"/>
      </w:rPr>
      <w:t>&lt;/Version&gt;</w:t>
    </w:r>
  </w:p>
  <w:p w:rsidR="002D1DA9" w:rsidRPr="00DD76C8" w:rsidRDefault="00DD76C8" w:rsidP="00DD76C8">
    <w:pPr>
      <w:pStyle w:val="Footer2"/>
    </w:pPr>
    <w:r w:rsidRPr="00DD76C8">
      <w:tab/>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6C8" w:rsidRPr="00DD76C8" w:rsidRDefault="00DD76C8" w:rsidP="00DD76C8">
    <w:pPr>
      <w:pStyle w:val="Footer"/>
    </w:pPr>
    <w:r w:rsidRPr="00DD76C8">
      <w:rPr>
        <w:rStyle w:val="HideTWBExt"/>
        <w:noProof w:val="0"/>
      </w:rPr>
      <w:t>&lt;PathFdR&gt;</w:t>
    </w:r>
    <w:r w:rsidRPr="00DD76C8">
      <w:t>RR\1122588HR.docx</w:t>
    </w:r>
    <w:r w:rsidRPr="00DD76C8">
      <w:rPr>
        <w:rStyle w:val="HideTWBExt"/>
        <w:noProof w:val="0"/>
      </w:rPr>
      <w:t>&lt;/PathFdR&gt;</w:t>
    </w:r>
    <w:r w:rsidRPr="00DD76C8">
      <w:tab/>
    </w:r>
    <w:r w:rsidRPr="00DD76C8">
      <w:tab/>
      <w:t>PE</w:t>
    </w:r>
    <w:r w:rsidRPr="00DD76C8">
      <w:rPr>
        <w:rStyle w:val="HideTWBExt"/>
        <w:noProof w:val="0"/>
      </w:rPr>
      <w:t>&lt;NoPE&gt;</w:t>
    </w:r>
    <w:r w:rsidRPr="00DD76C8">
      <w:t>599.828</w:t>
    </w:r>
    <w:r w:rsidRPr="00DD76C8">
      <w:rPr>
        <w:rStyle w:val="HideTWBExt"/>
        <w:noProof w:val="0"/>
      </w:rPr>
      <w:t>&lt;/NoPE&gt;&lt;Version&gt;</w:t>
    </w:r>
    <w:r w:rsidRPr="00DD76C8">
      <w:t>v02-00</w:t>
    </w:r>
    <w:r w:rsidRPr="00DD76C8">
      <w:rPr>
        <w:rStyle w:val="HideTWBExt"/>
        <w:noProof w:val="0"/>
      </w:rPr>
      <w:t>&lt;/Version&gt;</w:t>
    </w:r>
  </w:p>
  <w:p w:rsidR="002D1DA9" w:rsidRPr="00DD76C8" w:rsidRDefault="00DD76C8" w:rsidP="00DD76C8">
    <w:pPr>
      <w:pStyle w:val="Footer2"/>
      <w:tabs>
        <w:tab w:val="center" w:pos="4535"/>
      </w:tabs>
    </w:pPr>
    <w:r w:rsidRPr="00DD76C8">
      <w:t>HR</w:t>
    </w:r>
    <w:r w:rsidRPr="00DD76C8">
      <w:tab/>
    </w:r>
    <w:r w:rsidRPr="00DD76C8">
      <w:rPr>
        <w:b w:val="0"/>
        <w:i/>
        <w:color w:val="C0C0C0"/>
        <w:sz w:val="22"/>
      </w:rPr>
      <w:t>Ujedinjena u raznolikosti</w:t>
    </w:r>
    <w:r w:rsidRPr="00DD76C8">
      <w:tab/>
      <w:t>HR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DA9" w:rsidRPr="00DD76C8" w:rsidRDefault="002D1DA9">
      <w:r w:rsidRPr="00DD76C8">
        <w:separator/>
      </w:r>
    </w:p>
  </w:footnote>
  <w:footnote w:type="continuationSeparator" w:id="0">
    <w:p w:rsidR="002D1DA9" w:rsidRPr="00DD76C8" w:rsidRDefault="002D1DA9">
      <w:r w:rsidRPr="00DD76C8">
        <w:continuationSeparator/>
      </w:r>
    </w:p>
  </w:footnote>
  <w:footnote w:id="1">
    <w:p w:rsidR="002D1DA9" w:rsidRPr="00DD76C8" w:rsidRDefault="002D1DA9">
      <w:pPr>
        <w:pStyle w:val="FootnoteText"/>
      </w:pPr>
      <w:r w:rsidRPr="00DD76C8">
        <w:rPr>
          <w:rStyle w:val="FootnoteReference"/>
        </w:rPr>
        <w:footnoteRef/>
      </w:r>
      <w:r w:rsidRPr="00DD76C8">
        <w:t xml:space="preserve"> SL L 298, 26.10.2012., str. 1.</w:t>
      </w:r>
    </w:p>
  </w:footnote>
  <w:footnote w:id="2">
    <w:p w:rsidR="002D1DA9" w:rsidRPr="00DD76C8" w:rsidRDefault="002D1DA9">
      <w:pPr>
        <w:pStyle w:val="FootnoteText"/>
      </w:pPr>
      <w:r w:rsidRPr="00DD76C8">
        <w:rPr>
          <w:rStyle w:val="FootnoteReference"/>
        </w:rPr>
        <w:footnoteRef/>
      </w:r>
      <w:r w:rsidRPr="00DD76C8">
        <w:t xml:space="preserve"> SL L 347, 20.12.2013., str. 884.</w:t>
      </w:r>
    </w:p>
  </w:footnote>
  <w:footnote w:id="3">
    <w:p w:rsidR="002D1DA9" w:rsidRPr="00DD76C8" w:rsidRDefault="002D1DA9">
      <w:pPr>
        <w:pStyle w:val="FootnoteText"/>
      </w:pPr>
      <w:r w:rsidRPr="00DD76C8">
        <w:rPr>
          <w:rStyle w:val="FootnoteReference"/>
        </w:rPr>
        <w:footnoteRef/>
      </w:r>
      <w:r w:rsidRPr="00DD76C8">
        <w:t xml:space="preserve"> SL C 373, 20.12.2013., str. 1.</w:t>
      </w:r>
    </w:p>
  </w:footnote>
  <w:footnote w:id="4">
    <w:p w:rsidR="002D1DA9" w:rsidRPr="00DD76C8" w:rsidRDefault="002D1DA9" w:rsidP="00EA23E7">
      <w:pPr>
        <w:pStyle w:val="FootnoteText"/>
        <w:rPr>
          <w:rFonts w:eastAsia="Calibri"/>
          <w:lang w:eastAsia="en-US"/>
        </w:rPr>
      </w:pPr>
      <w:r w:rsidRPr="00DD76C8">
        <w:rPr>
          <w:rStyle w:val="FootnoteReference"/>
        </w:rPr>
        <w:footnoteRef/>
      </w:r>
      <w:r w:rsidRPr="00DD76C8">
        <w:t xml:space="preserve"> SL L 287, 29.10.2013., str. 15.</w:t>
      </w:r>
    </w:p>
  </w:footnote>
  <w:footnote w:id="5">
    <w:p w:rsidR="002D1DA9" w:rsidRPr="00DD76C8" w:rsidRDefault="002D1DA9" w:rsidP="00902A6E">
      <w:pPr>
        <w:pStyle w:val="FootnoteText"/>
      </w:pPr>
      <w:r w:rsidRPr="00DD76C8">
        <w:rPr>
          <w:rStyle w:val="FootnoteReference"/>
        </w:rPr>
        <w:footnoteRef/>
      </w:r>
      <w:r w:rsidRPr="00DD76C8">
        <w:t xml:space="preserve"> Texts adopted, P8_TA(2016)0132.</w:t>
      </w:r>
    </w:p>
  </w:footnote>
  <w:footnote w:id="6">
    <w:p w:rsidR="002D1DA9" w:rsidRPr="00DD76C8" w:rsidRDefault="002D1DA9" w:rsidP="00EA23E7">
      <w:pPr>
        <w:pStyle w:val="FootnoteText"/>
        <w:rPr>
          <w:rFonts w:ascii="Calibri" w:eastAsia="Calibri" w:hAnsi="Calibri"/>
          <w:lang w:eastAsia="en-US"/>
        </w:rPr>
      </w:pPr>
      <w:r w:rsidRPr="00DD76C8">
        <w:rPr>
          <w:rStyle w:val="FootnoteReference"/>
        </w:rPr>
        <w:footnoteRef/>
      </w:r>
      <w:r w:rsidRPr="00DD76C8">
        <w:t xml:space="preserve"> Usvojeni tekstovi, P8_TA(2016)0411.</w:t>
      </w:r>
    </w:p>
  </w:footnote>
  <w:footnote w:id="7">
    <w:p w:rsidR="002D1DA9" w:rsidRPr="00DD76C8" w:rsidRDefault="002D1DA9" w:rsidP="00EA23E7">
      <w:pPr>
        <w:pStyle w:val="FootnoteText"/>
      </w:pPr>
      <w:r w:rsidRPr="00DD76C8">
        <w:rPr>
          <w:rStyle w:val="FootnoteReference"/>
        </w:rPr>
        <w:footnoteRef/>
      </w:r>
      <w:r w:rsidRPr="00DD76C8">
        <w:t xml:space="preserve"> Usvojeni tekstovi, P8_TA(2016)0475.</w:t>
      </w:r>
    </w:p>
  </w:footnote>
  <w:footnote w:id="8">
    <w:p w:rsidR="002D1DA9" w:rsidRPr="00DD76C8" w:rsidRDefault="002D1DA9" w:rsidP="00902A6E">
      <w:pPr>
        <w:pStyle w:val="FootnoteText"/>
      </w:pPr>
      <w:r w:rsidRPr="00DD76C8">
        <w:rPr>
          <w:rStyle w:val="FootnoteReference"/>
        </w:rPr>
        <w:footnoteRef/>
      </w:r>
      <w:r w:rsidRPr="00DD76C8">
        <w:t xml:space="preserve"> Usvojeni tekstovi, P8_TA(2015)0172.</w:t>
      </w:r>
    </w:p>
  </w:footnote>
  <w:footnote w:id="9">
    <w:p w:rsidR="002D1DA9" w:rsidRPr="00DD76C8" w:rsidRDefault="002D1DA9" w:rsidP="00902A6E">
      <w:pPr>
        <w:pStyle w:val="FootnoteText"/>
      </w:pPr>
      <w:r w:rsidRPr="00DD76C8">
        <w:rPr>
          <w:rStyle w:val="FootnoteReference"/>
        </w:rPr>
        <w:footnoteRef/>
      </w:r>
      <w:r w:rsidRPr="00DD76C8">
        <w:t xml:space="preserve"> Usvojeni tekstovi, P8_TA(2016)0132.</w:t>
      </w:r>
    </w:p>
  </w:footnote>
  <w:footnote w:id="10">
    <w:p w:rsidR="002D1DA9" w:rsidRPr="00DD76C8" w:rsidRDefault="002D1DA9" w:rsidP="00902A6E">
      <w:pPr>
        <w:pStyle w:val="FootnoteText"/>
      </w:pPr>
      <w:r w:rsidRPr="00DD76C8">
        <w:rPr>
          <w:rStyle w:val="FootnoteReference"/>
        </w:rPr>
        <w:footnoteRef/>
      </w:r>
      <w:r w:rsidRPr="00DD76C8">
        <w:t xml:space="preserve"> Usvojeni tekstovi, P8_TA(2016)0411.</w:t>
      </w:r>
    </w:p>
  </w:footnote>
  <w:footnote w:id="11">
    <w:p w:rsidR="002D1DA9" w:rsidRPr="00DD76C8" w:rsidRDefault="002D1DA9" w:rsidP="00902A6E">
      <w:pPr>
        <w:pStyle w:val="FootnoteText"/>
      </w:pPr>
      <w:r w:rsidRPr="00DD76C8">
        <w:rPr>
          <w:rStyle w:val="FootnoteReference"/>
        </w:rPr>
        <w:footnoteRef/>
      </w:r>
      <w:r w:rsidRPr="00DD76C8">
        <w:t xml:space="preserve"> Usvojeni tekstovi, P8_TA(2016)0484.</w:t>
      </w:r>
    </w:p>
  </w:footnote>
  <w:footnote w:id="12">
    <w:p w:rsidR="002D1DA9" w:rsidRPr="00DD76C8" w:rsidRDefault="002D1DA9" w:rsidP="00902A6E">
      <w:pPr>
        <w:pStyle w:val="FootnoteText"/>
      </w:pPr>
      <w:r w:rsidRPr="00DD76C8">
        <w:rPr>
          <w:rStyle w:val="FootnoteReference"/>
        </w:rPr>
        <w:footnoteRef/>
      </w:r>
      <w:r w:rsidRPr="00DD76C8">
        <w:t xml:space="preserve"> Deloitte, studija iz prosinca 2015.</w:t>
      </w:r>
    </w:p>
  </w:footnote>
  <w:footnote w:id="13">
    <w:p w:rsidR="002D1DA9" w:rsidRPr="00DD76C8" w:rsidRDefault="002D1DA9" w:rsidP="00902A6E">
      <w:pPr>
        <w:pStyle w:val="FootnoteText"/>
      </w:pPr>
      <w:r w:rsidRPr="00DD76C8">
        <w:rPr>
          <w:rStyle w:val="FootnoteReference"/>
        </w:rPr>
        <w:footnoteRef/>
      </w:r>
      <w:r w:rsidRPr="00DD76C8">
        <w:t xml:space="preserve"> Usvojeni tekstovi, P8_TA(2016)0484, članak 183. stavak 1.</w:t>
      </w:r>
    </w:p>
  </w:footnote>
  <w:footnote w:id="14">
    <w:p w:rsidR="002D1DA9" w:rsidRPr="00DD76C8" w:rsidRDefault="002D1DA9" w:rsidP="00902A6E">
      <w:pPr>
        <w:pStyle w:val="FootnoteText"/>
      </w:pPr>
      <w:r w:rsidRPr="00DD76C8">
        <w:rPr>
          <w:rStyle w:val="FootnoteReference"/>
        </w:rPr>
        <w:footnoteRef/>
      </w:r>
      <w:r w:rsidRPr="00DD76C8">
        <w:t xml:space="preserve"> Usvojeni tekstovi, P8_TA(2015)0407.</w:t>
      </w:r>
    </w:p>
  </w:footnote>
  <w:footnote w:id="15">
    <w:p w:rsidR="002D1DA9" w:rsidRPr="00DD76C8" w:rsidRDefault="002D1DA9" w:rsidP="00902A6E">
      <w:pPr>
        <w:pStyle w:val="FootnoteText"/>
      </w:pPr>
      <w:r w:rsidRPr="00DD76C8">
        <w:rPr>
          <w:rStyle w:val="FootnoteReference"/>
        </w:rPr>
        <w:footnoteRef/>
      </w:r>
      <w:r w:rsidRPr="00DD76C8">
        <w:t xml:space="preserve"> Usvojeni tekstovi P7_TA(2013)0437; Usvojeni tekstovi, P8_TA(2014)0036; Usvojeni tekstovi, P8_TA(2015)0376; Usvojeni tekstovi, P8_TA(2016)0411.</w:t>
      </w:r>
    </w:p>
  </w:footnote>
  <w:footnote w:id="16">
    <w:p w:rsidR="002D1DA9" w:rsidRPr="00DD76C8" w:rsidRDefault="002D1DA9" w:rsidP="00902A6E">
      <w:pPr>
        <w:pStyle w:val="FootnoteText"/>
      </w:pPr>
      <w:r w:rsidRPr="00DD76C8">
        <w:rPr>
          <w:rStyle w:val="FootnoteReference"/>
        </w:rPr>
        <w:footnoteRef/>
      </w:r>
      <w:r w:rsidRPr="00DD76C8">
        <w:t xml:space="preserve"> </w:t>
      </w:r>
      <w:r w:rsidRPr="00DD76C8">
        <w:rPr>
          <w:rStyle w:val="Strong"/>
          <w:color w:val="444444"/>
        </w:rPr>
        <w:t>Uredba (EU, Euratom) br. 1141/2014 Europskog parlamenta i Vijeća od 22. listopada 2014. o statutu i financiranju europskih političkih stranaka i europskih političkih zaklada (</w:t>
      </w:r>
      <w:r w:rsidRPr="00DD76C8">
        <w:t>SL L 317, 4.11.2014., str. 1.).</w:t>
      </w:r>
    </w:p>
  </w:footnote>
  <w:footnote w:id="17">
    <w:p w:rsidR="002D1DA9" w:rsidRPr="00DD76C8" w:rsidRDefault="002D1DA9" w:rsidP="00902A6E">
      <w:pPr>
        <w:pStyle w:val="FootnoteText"/>
      </w:pPr>
      <w:r w:rsidRPr="00DD76C8">
        <w:rPr>
          <w:rStyle w:val="FootnoteReference"/>
        </w:rPr>
        <w:footnoteRef/>
      </w:r>
      <w:r w:rsidRPr="00DD76C8">
        <w:t xml:space="preserve"> </w:t>
      </w:r>
      <w:r w:rsidRPr="00DD76C8">
        <w:rPr>
          <w:rStyle w:val="Strong"/>
          <w:color w:val="444444"/>
        </w:rPr>
        <w:t>Uredba (EU, Euratom) br. 1142/2014 Europskog parlamenta i Vijeća od 22. listopada 2014. o izmjeni Uredbe (EU, Euratom) br. 966/2012 o financiranju europskih političkih stranaka (</w:t>
      </w:r>
      <w:r w:rsidRPr="00DD76C8">
        <w:t>SL L 317, 4.11.2014., str. 1.).</w:t>
      </w:r>
    </w:p>
  </w:footnote>
  <w:footnote w:id="18">
    <w:p w:rsidR="002D1DA9" w:rsidRPr="00DD76C8" w:rsidRDefault="002D1DA9" w:rsidP="00902A6E">
      <w:pPr>
        <w:pStyle w:val="FootnoteText"/>
      </w:pPr>
      <w:r w:rsidRPr="00DD76C8">
        <w:rPr>
          <w:rStyle w:val="FootnoteReference"/>
        </w:rPr>
        <w:footnoteRef/>
      </w:r>
      <w:r w:rsidRPr="00DD76C8">
        <w:t xml:space="preserve"> Usvojeni tekstovi, P7_TA(2013)0498.</w:t>
      </w:r>
    </w:p>
  </w:footnote>
  <w:footnote w:id="19">
    <w:p w:rsidR="002D1DA9" w:rsidRPr="00DD76C8" w:rsidRDefault="002D1DA9" w:rsidP="00902A6E">
      <w:pPr>
        <w:pStyle w:val="FootnoteText"/>
      </w:pPr>
      <w:r w:rsidRPr="00DD76C8">
        <w:rPr>
          <w:rStyle w:val="FootnoteReference"/>
        </w:rPr>
        <w:footnoteRef/>
      </w:r>
      <w:r w:rsidRPr="00DD76C8">
        <w:t xml:space="preserve"> Usvojeni tekstovi, P8_TA-PROV(2016)0132.</w:t>
      </w:r>
    </w:p>
  </w:footnote>
  <w:footnote w:id="20">
    <w:p w:rsidR="002D1DA9" w:rsidRPr="00DD76C8" w:rsidRDefault="002D1DA9" w:rsidP="002D1DA9">
      <w:pPr>
        <w:rPr>
          <w:sz w:val="20"/>
        </w:rPr>
      </w:pPr>
      <w:r w:rsidRPr="00DD76C8">
        <w:rPr>
          <w:sz w:val="20"/>
          <w:vertAlign w:val="superscript"/>
        </w:rPr>
        <w:footnoteRef/>
      </w:r>
      <w:r w:rsidRPr="00DD76C8">
        <w:rPr>
          <w:sz w:val="20"/>
        </w:rPr>
        <w:t xml:space="preserve">Od čega tri </w:t>
      </w:r>
      <w:r w:rsidRPr="00DD76C8">
        <w:rPr>
          <w:i/>
          <w:sz w:val="20"/>
        </w:rPr>
        <w:t>ad personam</w:t>
      </w:r>
      <w:r w:rsidRPr="00DD76C8">
        <w:rPr>
          <w:sz w:val="20"/>
        </w:rPr>
        <w:t xml:space="preserve"> promaknuća (tri AD 14 u AD 15) dodijeljena u iznimnim slučajevima zaslužnim dužnosnicima. </w:t>
      </w:r>
    </w:p>
  </w:footnote>
  <w:footnote w:id="21">
    <w:p w:rsidR="002D1DA9" w:rsidRPr="00DD76C8" w:rsidRDefault="002D1DA9" w:rsidP="002D1DA9">
      <w:pPr>
        <w:rPr>
          <w:sz w:val="20"/>
        </w:rPr>
      </w:pPr>
      <w:r w:rsidRPr="00DD76C8">
        <w:rPr>
          <w:sz w:val="20"/>
          <w:vertAlign w:val="superscript"/>
        </w:rPr>
        <w:footnoteRef/>
      </w:r>
      <w:r w:rsidRPr="00DD76C8">
        <w:rPr>
          <w:sz w:val="20"/>
        </w:rPr>
        <w:t xml:space="preserve">Teoretski rezervni broj mjesta za upućene dužnosnike na radu u interesu službe koji nije uračunat u zbroj. </w:t>
      </w:r>
    </w:p>
  </w:footnote>
  <w:footnote w:id="22">
    <w:p w:rsidR="002D1DA9" w:rsidRPr="00DD76C8" w:rsidRDefault="002D1DA9" w:rsidP="002D1DA9">
      <w:pPr>
        <w:rPr>
          <w:sz w:val="20"/>
        </w:rPr>
      </w:pPr>
      <w:r w:rsidRPr="00DD76C8">
        <w:rPr>
          <w:sz w:val="20"/>
          <w:vertAlign w:val="superscript"/>
        </w:rPr>
        <w:footnoteRef/>
      </w:r>
      <w:r w:rsidRPr="00DD76C8">
        <w:rPr>
          <w:sz w:val="20"/>
        </w:rPr>
        <w:t xml:space="preserve">Uključujući jedno privremeno radno mjesto razreda AD 12 za direktora Tijela za europske političke stranke i europske političke zaklade. </w:t>
      </w:r>
    </w:p>
  </w:footnote>
  <w:footnote w:id="23">
    <w:p w:rsidR="002D1DA9" w:rsidRPr="00DD76C8" w:rsidRDefault="002D1DA9" w:rsidP="002D1DA9">
      <w:pPr>
        <w:pStyle w:val="FootnoteText"/>
      </w:pPr>
      <w:r w:rsidRPr="00DD76C8">
        <w:rPr>
          <w:rStyle w:val="FootnoteReference"/>
        </w:rPr>
        <w:footnoteRef/>
      </w:r>
      <w:r w:rsidRPr="00DD76C8">
        <w:t xml:space="preserve"> Od čega tri ad personam promaknuća (tri AD 14 u AD 15) dodijeljena u iznimnim slučajevima zaslužnim dužnosnicima.</w:t>
      </w:r>
    </w:p>
  </w:footnote>
  <w:footnote w:id="24">
    <w:p w:rsidR="002D1DA9" w:rsidRPr="00DD76C8" w:rsidRDefault="002D1DA9" w:rsidP="002D1DA9">
      <w:pPr>
        <w:rPr>
          <w:sz w:val="20"/>
        </w:rPr>
      </w:pPr>
      <w:r w:rsidRPr="00DD76C8">
        <w:rPr>
          <w:rStyle w:val="FootnoteReference"/>
          <w:sz w:val="20"/>
        </w:rPr>
        <w:footnoteRef/>
      </w:r>
      <w:r w:rsidRPr="00DD76C8">
        <w:rPr>
          <w:sz w:val="20"/>
        </w:rPr>
        <w:t xml:space="preserve"> Teoretski rezervni broj mjesta za upućene dužnosnike u interesu službe koji nije uračunat u zbroj.</w:t>
      </w:r>
    </w:p>
    <w:p w:rsidR="002D1DA9" w:rsidRPr="00DD76C8" w:rsidRDefault="002D1DA9" w:rsidP="002D1DA9">
      <w:pPr>
        <w:rPr>
          <w:sz w:val="20"/>
        </w:rPr>
      </w:pPr>
      <w:r w:rsidRPr="00DD76C8">
        <w:rPr>
          <w:sz w:val="20"/>
          <w:vertAlign w:val="superscript"/>
        </w:rPr>
        <w:t>6</w:t>
      </w:r>
      <w:r w:rsidRPr="00DD76C8">
        <w:rPr>
          <w:sz w:val="20"/>
        </w:rPr>
        <w:t xml:space="preserve"> Uključujući jedno privremeno radno mjesto razreda AD 12 za direktora Tijela za europske političke stranke i europske političke zaklade.</w:t>
      </w:r>
    </w:p>
    <w:p w:rsidR="002D1DA9" w:rsidRPr="00DD76C8" w:rsidRDefault="002D1DA9" w:rsidP="002D1DA9">
      <w:pPr>
        <w:rPr>
          <w:sz w:val="20"/>
        </w:rPr>
      </w:pPr>
    </w:p>
    <w:p w:rsidR="002D1DA9" w:rsidRPr="00DD76C8" w:rsidRDefault="002D1DA9" w:rsidP="002D1DA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206" w:rsidRDefault="00E552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206" w:rsidRDefault="00E552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206" w:rsidRDefault="00E552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C9"/>
    <w:multiLevelType w:val="singleLevel"/>
    <w:tmpl w:val="04090001"/>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 w15:restartNumberingAfterBreak="0">
    <w:nsid w:val="000000CA"/>
    <w:multiLevelType w:val="singleLevel"/>
    <w:tmpl w:val="04090001"/>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 w15:restartNumberingAfterBreak="0">
    <w:nsid w:val="000000CB"/>
    <w:multiLevelType w:val="singleLevel"/>
    <w:tmpl w:val="04090001"/>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 w15:restartNumberingAfterBreak="0">
    <w:nsid w:val="000000CC"/>
    <w:multiLevelType w:val="singleLevel"/>
    <w:tmpl w:val="04090001"/>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 w15:restartNumberingAfterBreak="0">
    <w:nsid w:val="000000CD"/>
    <w:multiLevelType w:val="singleLevel"/>
    <w:tmpl w:val="04090001"/>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5" w15:restartNumberingAfterBreak="0">
    <w:nsid w:val="000000CE"/>
    <w:multiLevelType w:val="singleLevel"/>
    <w:tmpl w:val="04090001"/>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6" w15:restartNumberingAfterBreak="0">
    <w:nsid w:val="000000CF"/>
    <w:multiLevelType w:val="singleLevel"/>
    <w:tmpl w:val="04090001"/>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7" w15:restartNumberingAfterBreak="0">
    <w:nsid w:val="000000D0"/>
    <w:multiLevelType w:val="singleLevel"/>
    <w:tmpl w:val="04090001"/>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8" w15:restartNumberingAfterBreak="0">
    <w:nsid w:val="000000D1"/>
    <w:multiLevelType w:val="singleLevel"/>
    <w:tmpl w:val="04090001"/>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9" w15:restartNumberingAfterBreak="0">
    <w:nsid w:val="000007DA"/>
    <w:multiLevelType w:val="singleLevel"/>
    <w:tmpl w:val="04090001"/>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0" w15:restartNumberingAfterBreak="0">
    <w:nsid w:val="000007DB"/>
    <w:multiLevelType w:val="singleLevel"/>
    <w:tmpl w:val="04090001"/>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1" w15:restartNumberingAfterBreak="0">
    <w:nsid w:val="000007DC"/>
    <w:multiLevelType w:val="singleLevel"/>
    <w:tmpl w:val="04090001"/>
    <w:name w:val="Tiret 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2" w15:restartNumberingAfterBreak="0">
    <w:nsid w:val="000007DD"/>
    <w:multiLevelType w:val="singleLevel"/>
    <w:tmpl w:val="04090001"/>
    <w:name w:val="Tiret 1"/>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3" w15:restartNumberingAfterBreak="0">
    <w:nsid w:val="000007DE"/>
    <w:multiLevelType w:val="singleLevel"/>
    <w:tmpl w:val="04090001"/>
    <w:name w:val="Tiret 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4" w15:restartNumberingAfterBreak="0">
    <w:nsid w:val="000007DF"/>
    <w:multiLevelType w:val="singleLevel"/>
    <w:tmpl w:val="04090001"/>
    <w:name w:val="Tiret 3"/>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5" w15:restartNumberingAfterBreak="0">
    <w:nsid w:val="000007E0"/>
    <w:multiLevelType w:val="singleLevel"/>
    <w:tmpl w:val="04090001"/>
    <w:name w:val="Tiret 4"/>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6" w15:restartNumberingAfterBreak="0">
    <w:nsid w:val="000007E1"/>
    <w:multiLevelType w:val="singleLevel"/>
    <w:tmpl w:val="04090001"/>
    <w:name w:val="Heading"/>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7" w15:restartNumberingAfterBreak="0">
    <w:nsid w:val="000007E2"/>
    <w:multiLevelType w:val="singleLevel"/>
    <w:tmpl w:val="04090001"/>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8" w15:restartNumberingAfterBreak="0">
    <w:nsid w:val="000007E3"/>
    <w:multiLevelType w:val="singleLevel"/>
    <w:tmpl w:val="04090001"/>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9" w15:restartNumberingAfterBreak="0">
    <w:nsid w:val="000007E4"/>
    <w:multiLevelType w:val="singleLevel"/>
    <w:tmpl w:val="04090001"/>
    <w:lvl w:ilvl="0">
      <w:start w:val="1"/>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000007E5"/>
    <w:multiLevelType w:val="singleLevel"/>
    <w:tmpl w:val="04090001"/>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1" w15:restartNumberingAfterBreak="0">
    <w:nsid w:val="000007E6"/>
    <w:multiLevelType w:val="singleLevel"/>
    <w:tmpl w:val="04090001"/>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2" w15:restartNumberingAfterBreak="0">
    <w:nsid w:val="000007E7"/>
    <w:multiLevelType w:val="singleLevel"/>
    <w:tmpl w:val="04090001"/>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3" w15:restartNumberingAfterBreak="0">
    <w:nsid w:val="000007E8"/>
    <w:multiLevelType w:val="singleLevel"/>
    <w:tmpl w:val="04090001"/>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4" w15:restartNumberingAfterBreak="0">
    <w:nsid w:val="000007E9"/>
    <w:multiLevelType w:val="singleLevel"/>
    <w:tmpl w:val="04090001"/>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5" w15:restartNumberingAfterBreak="0">
    <w:nsid w:val="000007EA"/>
    <w:multiLevelType w:val="singleLevel"/>
    <w:tmpl w:val="04090001"/>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6" w15:restartNumberingAfterBreak="0">
    <w:nsid w:val="000007EB"/>
    <w:multiLevelType w:val="singleLevel"/>
    <w:tmpl w:val="04090001"/>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7" w15:restartNumberingAfterBreak="0">
    <w:nsid w:val="000007EC"/>
    <w:multiLevelType w:val="singleLevel"/>
    <w:tmpl w:val="04090001"/>
    <w:lvl w:ilvl="0">
      <w:start w:val="1"/>
      <w:numFmt w:val="bullet"/>
      <w:lvlText w:val="—"/>
      <w:lvlJc w:val="left"/>
      <w:pPr>
        <w:tabs>
          <w:tab w:val="num" w:pos="360"/>
        </w:tabs>
        <w:ind w:left="360" w:hanging="360"/>
      </w:pPr>
      <w:rPr>
        <w:rFonts w:ascii="Times New Roman" w:hAnsi="Times New Roman"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HORMNU" w:val=" 1"/>
    <w:docVar w:name="CopyToNetwork" w:val="-1"/>
    <w:docVar w:name="LastEditedSection" w:val=" 1"/>
    <w:docVar w:name="strDocTypeID" w:val="PR_BUD_EstimEP"/>
    <w:docVar w:name="strSubDir" w:val="1122"/>
    <w:docVar w:name="TXTBUDYEAR" w:val="2018"/>
    <w:docVar w:name="TXTLANGUE" w:val="HR"/>
    <w:docVar w:name="TXTLANGUEMIN" w:val="hr"/>
    <w:docVar w:name="TXTNRA" w:val="0000/2017"/>
    <w:docVar w:name="TXTNRBUD" w:val="2017/2022"/>
    <w:docVar w:name="TXTNRPE" w:val="599.828"/>
    <w:docVar w:name="TXTPEorAP" w:val="PE"/>
    <w:docVar w:name="TXTROUTE" w:val="RR\1122588HR.docx"/>
    <w:docVar w:name="TXTVERSION" w:val="02-00"/>
  </w:docVars>
  <w:rsids>
    <w:rsidRoot w:val="002203D0"/>
    <w:rsid w:val="000703AE"/>
    <w:rsid w:val="00082E33"/>
    <w:rsid w:val="00084401"/>
    <w:rsid w:val="00095BF7"/>
    <w:rsid w:val="000A606F"/>
    <w:rsid w:val="000A7BE4"/>
    <w:rsid w:val="000F076C"/>
    <w:rsid w:val="001040AF"/>
    <w:rsid w:val="002203D0"/>
    <w:rsid w:val="00282DD0"/>
    <w:rsid w:val="002D1DA9"/>
    <w:rsid w:val="002E1ED2"/>
    <w:rsid w:val="00374ECB"/>
    <w:rsid w:val="0039590F"/>
    <w:rsid w:val="003C7498"/>
    <w:rsid w:val="004308FC"/>
    <w:rsid w:val="0043568C"/>
    <w:rsid w:val="00477577"/>
    <w:rsid w:val="0048158D"/>
    <w:rsid w:val="0048643F"/>
    <w:rsid w:val="004D0183"/>
    <w:rsid w:val="004E7DEB"/>
    <w:rsid w:val="00545DF9"/>
    <w:rsid w:val="00551222"/>
    <w:rsid w:val="005915F6"/>
    <w:rsid w:val="005C17A4"/>
    <w:rsid w:val="005F6B39"/>
    <w:rsid w:val="00611F90"/>
    <w:rsid w:val="00617F2A"/>
    <w:rsid w:val="00666017"/>
    <w:rsid w:val="00684A19"/>
    <w:rsid w:val="006A7760"/>
    <w:rsid w:val="007373E1"/>
    <w:rsid w:val="0074388F"/>
    <w:rsid w:val="00770877"/>
    <w:rsid w:val="00787CEB"/>
    <w:rsid w:val="007A7B60"/>
    <w:rsid w:val="007C11F6"/>
    <w:rsid w:val="007D6E3A"/>
    <w:rsid w:val="007E3184"/>
    <w:rsid w:val="00867023"/>
    <w:rsid w:val="008C61DD"/>
    <w:rsid w:val="008D5EF9"/>
    <w:rsid w:val="00902A6E"/>
    <w:rsid w:val="00902ADD"/>
    <w:rsid w:val="0091651A"/>
    <w:rsid w:val="009864F6"/>
    <w:rsid w:val="009D3829"/>
    <w:rsid w:val="00A46D0A"/>
    <w:rsid w:val="00A83529"/>
    <w:rsid w:val="00AE1D4A"/>
    <w:rsid w:val="00AE3270"/>
    <w:rsid w:val="00B84886"/>
    <w:rsid w:val="00C02392"/>
    <w:rsid w:val="00C41238"/>
    <w:rsid w:val="00CB3B7C"/>
    <w:rsid w:val="00D72B42"/>
    <w:rsid w:val="00DC398F"/>
    <w:rsid w:val="00DD76C8"/>
    <w:rsid w:val="00E03803"/>
    <w:rsid w:val="00E203D1"/>
    <w:rsid w:val="00E54DD6"/>
    <w:rsid w:val="00E55206"/>
    <w:rsid w:val="00EA23E7"/>
    <w:rsid w:val="00ED4FF9"/>
    <w:rsid w:val="00EF3098"/>
    <w:rsid w:val="00EF7862"/>
    <w:rsid w:val="00F778FA"/>
    <w:rsid w:val="00FA3C44"/>
    <w:rsid w:val="00FB27B6"/>
    <w:rsid w:val="00FD2C57"/>
    <w:rsid w:val="00FD6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92B5A6D5-0763-40E6-A475-A55A402EF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hr-HR"/>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annotation text" w:uiPriority="99"/>
    <w:lsdException w:name="caption" w:semiHidden="1" w:unhideWhenUsed="1" w:qFormat="1"/>
    <w:lsdException w:name="annotation reference" w:uiPriority="99"/>
    <w:lsdException w:name="Title" w:uiPriority="99"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link w:val="Heading1Char"/>
    <w:uiPriority w:val="99"/>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pPr>
      <w:keepNext/>
      <w:spacing w:before="240" w:after="60"/>
      <w:outlineLvl w:val="1"/>
    </w:pPr>
    <w:rPr>
      <w:rFonts w:ascii="Arial" w:hAnsi="Arial"/>
      <w:b/>
      <w:i/>
    </w:rPr>
  </w:style>
  <w:style w:type="paragraph" w:styleId="Heading3">
    <w:name w:val="heading 3"/>
    <w:basedOn w:val="Normal"/>
    <w:next w:val="Normal"/>
    <w:link w:val="Heading3Char"/>
    <w:uiPriority w:val="99"/>
    <w:qFormat/>
    <w:pPr>
      <w:keepNext/>
      <w:spacing w:before="240" w:after="60"/>
      <w:outlineLvl w:val="2"/>
    </w:pPr>
    <w:rPr>
      <w:rFonts w:ascii="Arial" w:hAnsi="Arial"/>
    </w:rPr>
  </w:style>
  <w:style w:type="paragraph" w:styleId="Heading4">
    <w:name w:val="heading 4"/>
    <w:basedOn w:val="Normal"/>
    <w:next w:val="Normal"/>
    <w:link w:val="Heading4Char"/>
    <w:uiPriority w:val="99"/>
    <w:qFormat/>
    <w:pPr>
      <w:keepNext/>
      <w:spacing w:before="240" w:after="60"/>
      <w:outlineLvl w:val="3"/>
    </w:pPr>
    <w:rPr>
      <w:rFonts w:ascii="Arial" w:hAnsi="Arial"/>
      <w:b/>
    </w:rPr>
  </w:style>
  <w:style w:type="paragraph" w:styleId="Heading5">
    <w:name w:val="heading 5"/>
    <w:basedOn w:val="Normal"/>
    <w:next w:val="Normal"/>
    <w:link w:val="Heading5Char"/>
    <w:uiPriority w:val="99"/>
    <w:qFormat/>
    <w:pPr>
      <w:spacing w:before="240" w:after="60"/>
      <w:outlineLvl w:val="4"/>
    </w:pPr>
    <w:rPr>
      <w:sz w:val="22"/>
    </w:rPr>
  </w:style>
  <w:style w:type="paragraph" w:styleId="Heading6">
    <w:name w:val="heading 6"/>
    <w:basedOn w:val="Normal"/>
    <w:next w:val="Normal"/>
    <w:link w:val="Heading6Char"/>
    <w:uiPriority w:val="99"/>
    <w:qFormat/>
    <w:pPr>
      <w:spacing w:before="240" w:after="60"/>
      <w:outlineLvl w:val="5"/>
    </w:pPr>
    <w:rPr>
      <w:i/>
      <w:sz w:val="22"/>
    </w:rPr>
  </w:style>
  <w:style w:type="paragraph" w:styleId="Heading7">
    <w:name w:val="heading 7"/>
    <w:basedOn w:val="Normal"/>
    <w:next w:val="Normal"/>
    <w:link w:val="Heading7Char"/>
    <w:uiPriority w:val="99"/>
    <w:qFormat/>
    <w:pPr>
      <w:spacing w:before="240" w:after="60"/>
      <w:outlineLvl w:val="6"/>
    </w:pPr>
    <w:rPr>
      <w:rFonts w:ascii="Arial" w:hAnsi="Arial"/>
    </w:rPr>
  </w:style>
  <w:style w:type="paragraph" w:styleId="Heading8">
    <w:name w:val="heading 8"/>
    <w:basedOn w:val="Normal"/>
    <w:next w:val="Normal"/>
    <w:link w:val="Heading8Char"/>
    <w:uiPriority w:val="99"/>
    <w:qFormat/>
    <w:pPr>
      <w:spacing w:before="240" w:after="60"/>
      <w:outlineLvl w:val="7"/>
    </w:pPr>
    <w:rPr>
      <w:rFonts w:ascii="Arial" w:hAnsi="Arial"/>
      <w:i/>
    </w:rPr>
  </w:style>
  <w:style w:type="paragraph" w:styleId="Heading9">
    <w:name w:val="heading 9"/>
    <w:basedOn w:val="Normal"/>
    <w:next w:val="Normal"/>
    <w:link w:val="Heading9Char"/>
    <w:uiPriority w:val="99"/>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5C17A4"/>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617F2A"/>
    <w:pPr>
      <w:tabs>
        <w:tab w:val="left" w:pos="567"/>
      </w:tabs>
    </w:pPr>
  </w:style>
  <w:style w:type="paragraph" w:customStyle="1" w:styleId="RefProc">
    <w:name w:val="RefProc"/>
    <w:basedOn w:val="Normal"/>
    <w:rsid w:val="00666017"/>
    <w:pPr>
      <w:spacing w:before="240" w:after="240"/>
      <w:jc w:val="right"/>
    </w:pPr>
    <w:rPr>
      <w:rFonts w:ascii="Arial" w:hAnsi="Arial"/>
      <w:b/>
      <w:caps/>
    </w:rPr>
  </w:style>
  <w:style w:type="paragraph" w:customStyle="1" w:styleId="TypeDoc">
    <w:name w:val="TypeDoc"/>
    <w:basedOn w:val="Normal24"/>
    <w:pPr>
      <w:spacing w:before="480"/>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Cover24Tab">
    <w:name w:val="Cover24Tab"/>
    <w:basedOn w:val="Normal24"/>
    <w:pPr>
      <w:tabs>
        <w:tab w:val="left" w:pos="3686"/>
        <w:tab w:val="left" w:pos="3969"/>
      </w:tabs>
      <w:ind w:left="1418"/>
    </w:pPr>
    <w:rPr>
      <w:snapToGrid w:val="0"/>
    </w:rPr>
  </w:style>
  <w:style w:type="paragraph" w:customStyle="1" w:styleId="Hanging12">
    <w:name w:val="Hanging12"/>
    <w:basedOn w:val="Normal12"/>
    <w:pPr>
      <w:widowControl/>
      <w:ind w:left="357" w:hanging="357"/>
    </w:pPr>
    <w:rPr>
      <w:snapToGrid w:val="0"/>
    </w:rPr>
  </w:style>
  <w:style w:type="paragraph" w:customStyle="1" w:styleId="SideHeading">
    <w:name w:val="SideHeading"/>
    <w:basedOn w:val="Normal12"/>
    <w:pPr>
      <w:spacing w:before="480"/>
    </w:pPr>
    <w:rPr>
      <w:b/>
      <w:snapToGrid w:val="0"/>
    </w:rPr>
  </w:style>
  <w:style w:type="paragraph" w:customStyle="1" w:styleId="Hanging12TabLeader">
    <w:name w:val="Hanging12TabLeader"/>
    <w:basedOn w:val="Normal12"/>
    <w:pPr>
      <w:tabs>
        <w:tab w:val="left" w:leader="dot" w:pos="5954"/>
      </w:tabs>
      <w:ind w:left="357" w:hanging="357"/>
    </w:pPr>
    <w:rPr>
      <w:snapToGrid w:val="0"/>
    </w:rPr>
  </w:style>
  <w:style w:type="paragraph" w:customStyle="1" w:styleId="EPTerm">
    <w:name w:val="EPTerm"/>
    <w:basedOn w:val="Normal"/>
    <w:next w:val="Normal"/>
    <w:rsid w:val="005C17A4"/>
    <w:pPr>
      <w:spacing w:after="80"/>
    </w:pPr>
    <w:rPr>
      <w:rFonts w:ascii="Arial" w:hAnsi="Arial" w:cs="Arial"/>
      <w:sz w:val="20"/>
      <w:szCs w:val="22"/>
    </w:rPr>
  </w:style>
  <w:style w:type="table" w:styleId="TableGrid">
    <w:name w:val="Table Grid"/>
    <w:basedOn w:val="TableNormal"/>
    <w:rsid w:val="00C02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Tabs">
    <w:name w:val="NormalBoldTabs"/>
    <w:basedOn w:val="Normal"/>
    <w:rsid w:val="00082E33"/>
    <w:pPr>
      <w:tabs>
        <w:tab w:val="right" w:pos="3686"/>
        <w:tab w:val="left" w:pos="3827"/>
      </w:tabs>
    </w:pPr>
    <w:rPr>
      <w:b/>
    </w:rPr>
  </w:style>
  <w:style w:type="paragraph" w:customStyle="1" w:styleId="NormalCentreBold12a12b">
    <w:name w:val="NormalCentreBold12a12b"/>
    <w:basedOn w:val="Normal"/>
    <w:rsid w:val="00082E33"/>
    <w:pPr>
      <w:spacing w:before="240" w:after="240"/>
      <w:jc w:val="center"/>
    </w:pPr>
    <w:rPr>
      <w:b/>
    </w:rPr>
  </w:style>
  <w:style w:type="paragraph" w:customStyle="1" w:styleId="NormalBold24b">
    <w:name w:val="NormalBold24b"/>
    <w:basedOn w:val="Normal"/>
    <w:rsid w:val="00082E33"/>
    <w:pPr>
      <w:spacing w:before="480"/>
    </w:pPr>
    <w:rPr>
      <w:b/>
    </w:rPr>
  </w:style>
  <w:style w:type="paragraph" w:customStyle="1" w:styleId="StyleAnnexRight">
    <w:name w:val="Style Annex + Right"/>
    <w:basedOn w:val="Normal"/>
    <w:rsid w:val="0043568C"/>
    <w:pPr>
      <w:spacing w:before="240" w:after="240"/>
      <w:jc w:val="right"/>
    </w:pPr>
    <w:rPr>
      <w:rFonts w:ascii="Arial" w:hAnsi="Arial"/>
      <w:b/>
    </w:rPr>
  </w:style>
  <w:style w:type="paragraph" w:customStyle="1" w:styleId="ZCommittee">
    <w:name w:val="ZCommittee"/>
    <w:basedOn w:val="Normal"/>
    <w:next w:val="Normal"/>
    <w:rsid w:val="00C02392"/>
    <w:pPr>
      <w:jc w:val="center"/>
    </w:pPr>
    <w:rPr>
      <w:rFonts w:ascii="Arial" w:hAnsi="Arial" w:cs="Arial"/>
      <w:i/>
      <w:sz w:val="22"/>
      <w:szCs w:val="22"/>
    </w:rPr>
  </w:style>
  <w:style w:type="paragraph" w:customStyle="1" w:styleId="LineTop">
    <w:name w:val="LineTop"/>
    <w:basedOn w:val="Normal"/>
    <w:next w:val="ZCommittee"/>
    <w:rsid w:val="00C02392"/>
    <w:pPr>
      <w:pBdr>
        <w:top w:val="single" w:sz="4" w:space="1" w:color="auto"/>
      </w:pBdr>
      <w:jc w:val="center"/>
    </w:pPr>
    <w:rPr>
      <w:rFonts w:ascii="Arial" w:hAnsi="Arial"/>
      <w:sz w:val="16"/>
      <w:szCs w:val="16"/>
    </w:rPr>
  </w:style>
  <w:style w:type="paragraph" w:customStyle="1" w:styleId="LineBottom">
    <w:name w:val="LineBottom"/>
    <w:basedOn w:val="Normal"/>
    <w:next w:val="Normal"/>
    <w:rsid w:val="00C02392"/>
    <w:pPr>
      <w:pBdr>
        <w:bottom w:val="single" w:sz="4" w:space="1" w:color="auto"/>
      </w:pBdr>
      <w:spacing w:after="840"/>
      <w:jc w:val="center"/>
    </w:pPr>
    <w:rPr>
      <w:rFonts w:ascii="Arial" w:hAnsi="Arial"/>
      <w:sz w:val="16"/>
      <w:szCs w:val="16"/>
    </w:rPr>
  </w:style>
  <w:style w:type="paragraph" w:customStyle="1" w:styleId="EPLogo">
    <w:name w:val="EPLogo"/>
    <w:basedOn w:val="Normal"/>
    <w:qFormat/>
    <w:rsid w:val="005C17A4"/>
    <w:pPr>
      <w:jc w:val="right"/>
    </w:pPr>
  </w:style>
  <w:style w:type="paragraph" w:styleId="FootnoteText">
    <w:name w:val="footnote text"/>
    <w:basedOn w:val="Normal"/>
    <w:link w:val="FootnoteTextChar"/>
    <w:rsid w:val="00EA23E7"/>
    <w:rPr>
      <w:sz w:val="20"/>
    </w:rPr>
  </w:style>
  <w:style w:type="character" w:customStyle="1" w:styleId="FootnoteTextChar">
    <w:name w:val="Footnote Text Char"/>
    <w:basedOn w:val="DefaultParagraphFont"/>
    <w:link w:val="FootnoteText"/>
    <w:rsid w:val="00EA23E7"/>
    <w:rPr>
      <w:lang w:val="hr-HR"/>
    </w:rPr>
  </w:style>
  <w:style w:type="character" w:styleId="FootnoteReference">
    <w:name w:val="footnote reference"/>
    <w:aliases w:val="BVI fnr,Footnote symbol,Footnote,Footnote Reference Number,Footnote Reference_LVL6,Footnote Reference_LVL61,Footnote Reference_LVL62,Footnote Reference_LVL63,Footnote Reference_LVL64,C26 Footnote Number,Footnote Reference_LVL65,16 Poi"/>
    <w:basedOn w:val="DefaultParagraphFont"/>
    <w:rsid w:val="00EA23E7"/>
    <w:rPr>
      <w:vertAlign w:val="superscript"/>
    </w:rPr>
  </w:style>
  <w:style w:type="character" w:styleId="Strong">
    <w:name w:val="Strong"/>
    <w:uiPriority w:val="22"/>
    <w:qFormat/>
    <w:rsid w:val="00EA23E7"/>
    <w:rPr>
      <w:b/>
      <w:bCs/>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 w:type="numbering" w:customStyle="1" w:styleId="NoList1">
    <w:name w:val="No List1"/>
    <w:next w:val="NoList"/>
    <w:uiPriority w:val="99"/>
    <w:semiHidden/>
    <w:unhideWhenUsed/>
    <w:rsid w:val="002D1DA9"/>
  </w:style>
  <w:style w:type="paragraph" w:customStyle="1" w:styleId="Style">
    <w:name w:val="Style"/>
    <w:basedOn w:val="EndnoteText"/>
    <w:rsid w:val="002D1DA9"/>
    <w:pPr>
      <w:ind w:left="170"/>
    </w:pPr>
  </w:style>
  <w:style w:type="paragraph" w:styleId="EndnoteText">
    <w:name w:val="endnote text"/>
    <w:basedOn w:val="Normal"/>
    <w:link w:val="EndnoteTextChar"/>
    <w:rsid w:val="002D1DA9"/>
    <w:pPr>
      <w:widowControl/>
      <w:jc w:val="both"/>
    </w:pPr>
    <w:rPr>
      <w:rFonts w:cs="Arial"/>
      <w:bCs/>
      <w:kern w:val="32"/>
      <w:sz w:val="20"/>
    </w:rPr>
  </w:style>
  <w:style w:type="character" w:customStyle="1" w:styleId="EndnoteTextChar">
    <w:name w:val="Endnote Text Char"/>
    <w:basedOn w:val="DefaultParagraphFont"/>
    <w:link w:val="EndnoteText"/>
    <w:rsid w:val="002D1DA9"/>
    <w:rPr>
      <w:rFonts w:cs="Arial"/>
      <w:bCs/>
      <w:kern w:val="32"/>
    </w:rPr>
  </w:style>
  <w:style w:type="character" w:styleId="PageNumber">
    <w:name w:val="page number"/>
    <w:rsid w:val="002D1DA9"/>
    <w:rPr>
      <w:rFonts w:cs="Times New Roman"/>
    </w:rPr>
  </w:style>
  <w:style w:type="paragraph" w:customStyle="1" w:styleId="Section">
    <w:name w:val="Section"/>
    <w:basedOn w:val="Normal"/>
    <w:next w:val="Normal"/>
    <w:uiPriority w:val="99"/>
    <w:rsid w:val="002D1DA9"/>
    <w:pPr>
      <w:widowControl/>
      <w:autoSpaceDE w:val="0"/>
      <w:autoSpaceDN w:val="0"/>
      <w:spacing w:before="480" w:after="120"/>
    </w:pPr>
    <w:rPr>
      <w:b/>
      <w:bCs/>
      <w:smallCaps/>
      <w:sz w:val="44"/>
      <w:szCs w:val="44"/>
    </w:rPr>
  </w:style>
  <w:style w:type="paragraph" w:styleId="BalloonText">
    <w:name w:val="Balloon Text"/>
    <w:basedOn w:val="Normal"/>
    <w:link w:val="BalloonTextChar"/>
    <w:uiPriority w:val="99"/>
    <w:rsid w:val="002D1DA9"/>
    <w:pPr>
      <w:widowControl/>
      <w:jc w:val="both"/>
    </w:pPr>
    <w:rPr>
      <w:rFonts w:ascii="Tahoma" w:hAnsi="Tahoma" w:cs="Tahoma"/>
      <w:bCs/>
      <w:kern w:val="32"/>
      <w:sz w:val="16"/>
      <w:szCs w:val="16"/>
    </w:rPr>
  </w:style>
  <w:style w:type="character" w:customStyle="1" w:styleId="BalloonTextChar">
    <w:name w:val="Balloon Text Char"/>
    <w:basedOn w:val="DefaultParagraphFont"/>
    <w:link w:val="BalloonText"/>
    <w:uiPriority w:val="99"/>
    <w:rsid w:val="002D1DA9"/>
    <w:rPr>
      <w:rFonts w:ascii="Tahoma" w:hAnsi="Tahoma" w:cs="Tahoma"/>
      <w:bCs/>
      <w:kern w:val="32"/>
      <w:sz w:val="16"/>
      <w:szCs w:val="16"/>
    </w:rPr>
  </w:style>
  <w:style w:type="paragraph" w:customStyle="1" w:styleId="Part">
    <w:name w:val="Part"/>
    <w:basedOn w:val="Normal"/>
    <w:next w:val="Revenue"/>
    <w:uiPriority w:val="99"/>
    <w:rsid w:val="002D1DA9"/>
    <w:pPr>
      <w:widowControl/>
      <w:autoSpaceDE w:val="0"/>
      <w:autoSpaceDN w:val="0"/>
      <w:spacing w:before="480" w:after="120"/>
    </w:pPr>
    <w:rPr>
      <w:b/>
      <w:bCs/>
      <w:smallCaps/>
      <w:sz w:val="40"/>
      <w:szCs w:val="40"/>
    </w:rPr>
  </w:style>
  <w:style w:type="paragraph" w:customStyle="1" w:styleId="Revenue">
    <w:name w:val="Revenue"/>
    <w:basedOn w:val="Normal"/>
    <w:next w:val="Title1"/>
    <w:uiPriority w:val="99"/>
    <w:rsid w:val="002D1DA9"/>
    <w:pPr>
      <w:widowControl/>
      <w:autoSpaceDE w:val="0"/>
      <w:autoSpaceDN w:val="0"/>
      <w:spacing w:before="480" w:after="120"/>
    </w:pPr>
    <w:rPr>
      <w:b/>
      <w:bCs/>
      <w:smallCaps/>
      <w:sz w:val="36"/>
      <w:szCs w:val="36"/>
    </w:rPr>
  </w:style>
  <w:style w:type="paragraph" w:customStyle="1" w:styleId="Expenditure">
    <w:name w:val="Expenditure"/>
    <w:basedOn w:val="Normal"/>
    <w:next w:val="Title1"/>
    <w:uiPriority w:val="99"/>
    <w:rsid w:val="002D1DA9"/>
    <w:pPr>
      <w:widowControl/>
      <w:autoSpaceDE w:val="0"/>
      <w:autoSpaceDN w:val="0"/>
      <w:spacing w:before="480" w:after="120"/>
    </w:pPr>
    <w:rPr>
      <w:b/>
      <w:bCs/>
      <w:smallCaps/>
      <w:sz w:val="36"/>
      <w:szCs w:val="36"/>
    </w:rPr>
  </w:style>
  <w:style w:type="paragraph" w:customStyle="1" w:styleId="Title1">
    <w:name w:val="Title1"/>
    <w:basedOn w:val="Normal"/>
    <w:next w:val="Chapter"/>
    <w:rsid w:val="002D1DA9"/>
    <w:pPr>
      <w:widowControl/>
      <w:autoSpaceDE w:val="0"/>
      <w:autoSpaceDN w:val="0"/>
      <w:spacing w:before="480" w:after="120"/>
    </w:pPr>
    <w:rPr>
      <w:b/>
      <w:bCs/>
      <w:smallCaps/>
      <w:sz w:val="32"/>
      <w:szCs w:val="32"/>
    </w:rPr>
  </w:style>
  <w:style w:type="paragraph" w:customStyle="1" w:styleId="Chapter">
    <w:name w:val="Chapter"/>
    <w:basedOn w:val="Normal"/>
    <w:next w:val="Article"/>
    <w:uiPriority w:val="99"/>
    <w:rsid w:val="002D1DA9"/>
    <w:pPr>
      <w:widowControl/>
      <w:autoSpaceDE w:val="0"/>
      <w:autoSpaceDN w:val="0"/>
      <w:spacing w:before="480" w:after="120"/>
    </w:pPr>
    <w:rPr>
      <w:b/>
      <w:bCs/>
      <w:smallCaps/>
      <w:sz w:val="28"/>
      <w:szCs w:val="28"/>
    </w:rPr>
  </w:style>
  <w:style w:type="paragraph" w:customStyle="1" w:styleId="Article">
    <w:name w:val="Article"/>
    <w:basedOn w:val="Normal"/>
    <w:next w:val="Item"/>
    <w:uiPriority w:val="99"/>
    <w:rsid w:val="002D1DA9"/>
    <w:pPr>
      <w:widowControl/>
      <w:autoSpaceDE w:val="0"/>
      <w:autoSpaceDN w:val="0"/>
      <w:spacing w:before="480" w:after="120"/>
    </w:pPr>
    <w:rPr>
      <w:b/>
      <w:bCs/>
      <w:i/>
      <w:iCs/>
      <w:szCs w:val="24"/>
    </w:rPr>
  </w:style>
  <w:style w:type="paragraph" w:customStyle="1" w:styleId="Item">
    <w:name w:val="Item"/>
    <w:basedOn w:val="Normal"/>
    <w:next w:val="Figures"/>
    <w:uiPriority w:val="99"/>
    <w:rsid w:val="002D1DA9"/>
    <w:pPr>
      <w:widowControl/>
      <w:autoSpaceDE w:val="0"/>
      <w:autoSpaceDN w:val="0"/>
      <w:spacing w:before="480" w:after="120"/>
    </w:pPr>
    <w:rPr>
      <w:sz w:val="22"/>
      <w:szCs w:val="22"/>
    </w:rPr>
  </w:style>
  <w:style w:type="paragraph" w:customStyle="1" w:styleId="SubItem">
    <w:name w:val="SubItem"/>
    <w:basedOn w:val="Normal"/>
    <w:next w:val="Figures"/>
    <w:uiPriority w:val="99"/>
    <w:rsid w:val="002D1DA9"/>
    <w:pPr>
      <w:widowControl/>
      <w:autoSpaceDE w:val="0"/>
      <w:autoSpaceDN w:val="0"/>
      <w:spacing w:before="480" w:after="120"/>
    </w:pPr>
    <w:rPr>
      <w:sz w:val="20"/>
    </w:rPr>
  </w:style>
  <w:style w:type="paragraph" w:customStyle="1" w:styleId="Annex">
    <w:name w:val="Annex"/>
    <w:basedOn w:val="Normal"/>
    <w:next w:val="Normal"/>
    <w:uiPriority w:val="99"/>
    <w:rsid w:val="002D1DA9"/>
    <w:pPr>
      <w:widowControl/>
      <w:autoSpaceDE w:val="0"/>
      <w:autoSpaceDN w:val="0"/>
      <w:spacing w:before="480" w:after="120"/>
    </w:pPr>
    <w:rPr>
      <w:b/>
      <w:bCs/>
      <w:sz w:val="32"/>
      <w:szCs w:val="32"/>
    </w:rPr>
  </w:style>
  <w:style w:type="paragraph" w:customStyle="1" w:styleId="EndofAnnex">
    <w:name w:val="End of Annex"/>
    <w:basedOn w:val="Normal"/>
    <w:next w:val="Normal"/>
    <w:uiPriority w:val="99"/>
    <w:rsid w:val="002D1DA9"/>
    <w:pPr>
      <w:widowControl/>
      <w:autoSpaceDE w:val="0"/>
      <w:autoSpaceDN w:val="0"/>
      <w:spacing w:before="120" w:after="120"/>
    </w:pPr>
    <w:rPr>
      <w:i/>
      <w:iCs/>
      <w:sz w:val="20"/>
    </w:rPr>
  </w:style>
  <w:style w:type="paragraph" w:customStyle="1" w:styleId="Objective">
    <w:name w:val="Objective"/>
    <w:basedOn w:val="Normal"/>
    <w:next w:val="Normal"/>
    <w:uiPriority w:val="99"/>
    <w:rsid w:val="002D1DA9"/>
    <w:pPr>
      <w:widowControl/>
      <w:autoSpaceDE w:val="0"/>
      <w:autoSpaceDN w:val="0"/>
      <w:spacing w:before="120" w:after="120"/>
    </w:pPr>
    <w:rPr>
      <w:i/>
      <w:iCs/>
      <w:sz w:val="20"/>
    </w:rPr>
  </w:style>
  <w:style w:type="paragraph" w:customStyle="1" w:styleId="Figures">
    <w:name w:val="Figures"/>
    <w:basedOn w:val="Normal"/>
    <w:next w:val="Normal"/>
    <w:uiPriority w:val="99"/>
    <w:rsid w:val="002D1DA9"/>
    <w:pPr>
      <w:widowControl/>
      <w:autoSpaceDE w:val="0"/>
      <w:autoSpaceDN w:val="0"/>
      <w:spacing w:before="120" w:after="120"/>
    </w:pPr>
    <w:rPr>
      <w:i/>
      <w:iCs/>
      <w:sz w:val="20"/>
    </w:rPr>
  </w:style>
  <w:style w:type="paragraph" w:customStyle="1" w:styleId="Remarks">
    <w:name w:val="Remarks"/>
    <w:basedOn w:val="Normal"/>
    <w:next w:val="Normal"/>
    <w:uiPriority w:val="99"/>
    <w:rsid w:val="002D1DA9"/>
    <w:pPr>
      <w:widowControl/>
      <w:autoSpaceDE w:val="0"/>
      <w:autoSpaceDN w:val="0"/>
      <w:spacing w:before="120" w:after="120"/>
    </w:pPr>
    <w:rPr>
      <w:i/>
      <w:iCs/>
      <w:sz w:val="20"/>
    </w:rPr>
  </w:style>
  <w:style w:type="paragraph" w:customStyle="1" w:styleId="Legalbasis">
    <w:name w:val="Legal basis"/>
    <w:basedOn w:val="Normal"/>
    <w:next w:val="Normal"/>
    <w:uiPriority w:val="99"/>
    <w:rsid w:val="002D1DA9"/>
    <w:pPr>
      <w:widowControl/>
      <w:autoSpaceDE w:val="0"/>
      <w:autoSpaceDN w:val="0"/>
      <w:spacing w:before="120" w:after="120"/>
    </w:pPr>
    <w:rPr>
      <w:i/>
      <w:iCs/>
      <w:sz w:val="20"/>
    </w:rPr>
  </w:style>
  <w:style w:type="paragraph" w:customStyle="1" w:styleId="Reference">
    <w:name w:val="Reference"/>
    <w:basedOn w:val="Normal"/>
    <w:next w:val="Normal"/>
    <w:uiPriority w:val="99"/>
    <w:rsid w:val="002D1DA9"/>
    <w:pPr>
      <w:widowControl/>
      <w:autoSpaceDE w:val="0"/>
      <w:autoSpaceDN w:val="0"/>
      <w:spacing w:before="120" w:after="120"/>
    </w:pPr>
    <w:rPr>
      <w:i/>
      <w:iCs/>
      <w:sz w:val="20"/>
    </w:rPr>
  </w:style>
  <w:style w:type="paragraph" w:customStyle="1" w:styleId="TableTitle">
    <w:name w:val="Table Title"/>
    <w:basedOn w:val="Normal"/>
    <w:next w:val="Tablesubtitle"/>
    <w:uiPriority w:val="99"/>
    <w:rsid w:val="002D1DA9"/>
    <w:pPr>
      <w:widowControl/>
      <w:autoSpaceDE w:val="0"/>
      <w:autoSpaceDN w:val="0"/>
      <w:spacing w:before="120" w:after="120"/>
    </w:pPr>
    <w:rPr>
      <w:sz w:val="20"/>
    </w:rPr>
  </w:style>
  <w:style w:type="paragraph" w:customStyle="1" w:styleId="Tablesubtitle">
    <w:name w:val="Table subtitle"/>
    <w:basedOn w:val="Normal"/>
    <w:next w:val="Normal"/>
    <w:uiPriority w:val="99"/>
    <w:rsid w:val="002D1DA9"/>
    <w:pPr>
      <w:widowControl/>
      <w:autoSpaceDE w:val="0"/>
      <w:autoSpaceDN w:val="0"/>
    </w:pPr>
    <w:rPr>
      <w:sz w:val="18"/>
      <w:szCs w:val="18"/>
    </w:rPr>
  </w:style>
  <w:style w:type="paragraph" w:customStyle="1" w:styleId="ReusedInfo">
    <w:name w:val="ReusedInfo"/>
    <w:next w:val="Normal"/>
    <w:uiPriority w:val="99"/>
    <w:rsid w:val="002D1DA9"/>
    <w:pPr>
      <w:shd w:val="clear" w:color="auto" w:fill="C0C0C0"/>
      <w:autoSpaceDE w:val="0"/>
      <w:autoSpaceDN w:val="0"/>
      <w:spacing w:before="60" w:after="60"/>
    </w:pPr>
  </w:style>
  <w:style w:type="paragraph" w:customStyle="1" w:styleId="FiguresEnlargement">
    <w:name w:val="Figures Enlargement"/>
    <w:basedOn w:val="Normal"/>
    <w:next w:val="Normal"/>
    <w:rsid w:val="002D1DA9"/>
    <w:pPr>
      <w:widowControl/>
      <w:autoSpaceDE w:val="0"/>
      <w:autoSpaceDN w:val="0"/>
      <w:spacing w:before="120" w:after="120"/>
    </w:pPr>
    <w:rPr>
      <w:sz w:val="20"/>
    </w:rPr>
  </w:style>
  <w:style w:type="character" w:customStyle="1" w:styleId="tw4winExternal">
    <w:name w:val="tw4winExternal"/>
    <w:uiPriority w:val="99"/>
    <w:rsid w:val="002D1DA9"/>
  </w:style>
  <w:style w:type="paragraph" w:customStyle="1" w:styleId="NormalRight">
    <w:name w:val="Normal Right"/>
    <w:basedOn w:val="Normal"/>
    <w:uiPriority w:val="99"/>
    <w:rsid w:val="002D1DA9"/>
    <w:pPr>
      <w:widowControl/>
      <w:autoSpaceDE w:val="0"/>
      <w:autoSpaceDN w:val="0"/>
      <w:spacing w:before="120" w:after="120"/>
      <w:jc w:val="right"/>
    </w:pPr>
    <w:rPr>
      <w:szCs w:val="24"/>
    </w:rPr>
  </w:style>
  <w:style w:type="table" w:customStyle="1" w:styleId="TableGrid1">
    <w:name w:val="Table Grid1"/>
    <w:basedOn w:val="TableNormal"/>
    <w:next w:val="TableGrid"/>
    <w:rsid w:val="002D1DA9"/>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erveCond">
    <w:name w:val="ReserveCond"/>
    <w:basedOn w:val="Normal"/>
    <w:next w:val="Normal"/>
    <w:uiPriority w:val="99"/>
    <w:rsid w:val="002D1DA9"/>
    <w:pPr>
      <w:keepNext/>
      <w:widowControl/>
      <w:spacing w:before="120" w:after="120"/>
    </w:pPr>
    <w:rPr>
      <w:i/>
      <w:iCs/>
      <w:sz w:val="20"/>
    </w:rPr>
  </w:style>
  <w:style w:type="character" w:customStyle="1" w:styleId="tw4winInternal">
    <w:name w:val="tw4winInternal"/>
    <w:uiPriority w:val="99"/>
    <w:rsid w:val="002D1DA9"/>
    <w:rPr>
      <w:sz w:val="16"/>
      <w:szCs w:val="16"/>
      <w:u w:val="dash"/>
      <w:shd w:val="clear" w:color="auto" w:fill="FFFF00"/>
    </w:rPr>
  </w:style>
  <w:style w:type="character" w:customStyle="1" w:styleId="ReusedInlineInfo">
    <w:name w:val="ReusedInlineInfo"/>
    <w:uiPriority w:val="99"/>
    <w:rsid w:val="002D1DA9"/>
    <w:rPr>
      <w:sz w:val="16"/>
      <w:szCs w:val="16"/>
      <w:u w:val="dash"/>
      <w:shd w:val="clear" w:color="auto" w:fill="FFFF00"/>
    </w:rPr>
  </w:style>
  <w:style w:type="paragraph" w:customStyle="1" w:styleId="ColHeading">
    <w:name w:val="ColHeading"/>
    <w:basedOn w:val="Normal"/>
    <w:rsid w:val="002D1DA9"/>
    <w:pPr>
      <w:spacing w:before="240" w:after="120"/>
      <w:jc w:val="center"/>
    </w:pPr>
  </w:style>
  <w:style w:type="character" w:customStyle="1" w:styleId="Heading1Char">
    <w:name w:val="Heading 1 Char"/>
    <w:link w:val="Heading1"/>
    <w:uiPriority w:val="99"/>
    <w:rsid w:val="002D1DA9"/>
    <w:rPr>
      <w:rFonts w:ascii="Arial" w:hAnsi="Arial"/>
      <w:b/>
      <w:kern w:val="28"/>
      <w:sz w:val="28"/>
    </w:rPr>
  </w:style>
  <w:style w:type="character" w:customStyle="1" w:styleId="Heading2Char">
    <w:name w:val="Heading 2 Char"/>
    <w:link w:val="Heading2"/>
    <w:uiPriority w:val="99"/>
    <w:rsid w:val="002D1DA9"/>
    <w:rPr>
      <w:rFonts w:ascii="Arial" w:hAnsi="Arial"/>
      <w:b/>
      <w:i/>
      <w:sz w:val="24"/>
    </w:rPr>
  </w:style>
  <w:style w:type="character" w:customStyle="1" w:styleId="Heading3Char">
    <w:name w:val="Heading 3 Char"/>
    <w:link w:val="Heading3"/>
    <w:uiPriority w:val="99"/>
    <w:rsid w:val="002D1DA9"/>
    <w:rPr>
      <w:rFonts w:ascii="Arial" w:hAnsi="Arial"/>
      <w:sz w:val="24"/>
    </w:rPr>
  </w:style>
  <w:style w:type="character" w:customStyle="1" w:styleId="Heading4Char">
    <w:name w:val="Heading 4 Char"/>
    <w:link w:val="Heading4"/>
    <w:uiPriority w:val="99"/>
    <w:rsid w:val="002D1DA9"/>
    <w:rPr>
      <w:rFonts w:ascii="Arial" w:hAnsi="Arial"/>
      <w:b/>
      <w:sz w:val="24"/>
    </w:rPr>
  </w:style>
  <w:style w:type="character" w:customStyle="1" w:styleId="Heading5Char">
    <w:name w:val="Heading 5 Char"/>
    <w:link w:val="Heading5"/>
    <w:uiPriority w:val="99"/>
    <w:rsid w:val="002D1DA9"/>
    <w:rPr>
      <w:sz w:val="22"/>
    </w:rPr>
  </w:style>
  <w:style w:type="character" w:customStyle="1" w:styleId="Heading6Char">
    <w:name w:val="Heading 6 Char"/>
    <w:link w:val="Heading6"/>
    <w:uiPriority w:val="99"/>
    <w:rsid w:val="002D1DA9"/>
    <w:rPr>
      <w:i/>
      <w:sz w:val="22"/>
    </w:rPr>
  </w:style>
  <w:style w:type="character" w:customStyle="1" w:styleId="Heading7Char">
    <w:name w:val="Heading 7 Char"/>
    <w:link w:val="Heading7"/>
    <w:uiPriority w:val="99"/>
    <w:rsid w:val="002D1DA9"/>
    <w:rPr>
      <w:rFonts w:ascii="Arial" w:hAnsi="Arial"/>
      <w:sz w:val="24"/>
    </w:rPr>
  </w:style>
  <w:style w:type="character" w:customStyle="1" w:styleId="Heading8Char">
    <w:name w:val="Heading 8 Char"/>
    <w:link w:val="Heading8"/>
    <w:uiPriority w:val="99"/>
    <w:rsid w:val="002D1DA9"/>
    <w:rPr>
      <w:rFonts w:ascii="Arial" w:hAnsi="Arial"/>
      <w:i/>
      <w:sz w:val="24"/>
    </w:rPr>
  </w:style>
  <w:style w:type="character" w:customStyle="1" w:styleId="Heading9Char">
    <w:name w:val="Heading 9 Char"/>
    <w:link w:val="Heading9"/>
    <w:uiPriority w:val="99"/>
    <w:rsid w:val="002D1DA9"/>
    <w:rPr>
      <w:rFonts w:ascii="Arial" w:hAnsi="Arial"/>
      <w:b/>
      <w:i/>
      <w:sz w:val="18"/>
    </w:rPr>
  </w:style>
  <w:style w:type="paragraph" w:styleId="Title">
    <w:name w:val="Title"/>
    <w:basedOn w:val="Normal"/>
    <w:next w:val="Normal"/>
    <w:link w:val="TitleChar"/>
    <w:uiPriority w:val="99"/>
    <w:qFormat/>
    <w:rsid w:val="002D1DA9"/>
    <w:pPr>
      <w:keepNext/>
      <w:widowControl/>
      <w:spacing w:before="480" w:after="120"/>
    </w:pPr>
    <w:rPr>
      <w:b/>
      <w:bCs/>
      <w:smallCaps/>
      <w:sz w:val="32"/>
      <w:szCs w:val="32"/>
    </w:rPr>
  </w:style>
  <w:style w:type="character" w:customStyle="1" w:styleId="TitleChar">
    <w:name w:val="Title Char"/>
    <w:basedOn w:val="DefaultParagraphFont"/>
    <w:link w:val="Title"/>
    <w:uiPriority w:val="99"/>
    <w:rsid w:val="002D1DA9"/>
    <w:rPr>
      <w:b/>
      <w:bCs/>
      <w:smallCaps/>
      <w:sz w:val="32"/>
      <w:szCs w:val="32"/>
    </w:rPr>
  </w:style>
  <w:style w:type="paragraph" w:customStyle="1" w:styleId="title2">
    <w:name w:val="title2"/>
    <w:basedOn w:val="Normal"/>
    <w:next w:val="Normal"/>
    <w:uiPriority w:val="99"/>
    <w:rsid w:val="002D1DA9"/>
    <w:pPr>
      <w:keepNext/>
      <w:widowControl/>
      <w:spacing w:before="480" w:after="120"/>
    </w:pPr>
    <w:rPr>
      <w:b/>
      <w:bCs/>
      <w:smallCaps/>
      <w:sz w:val="32"/>
      <w:szCs w:val="32"/>
    </w:rPr>
  </w:style>
  <w:style w:type="character" w:customStyle="1" w:styleId="Error">
    <w:name w:val="Error"/>
    <w:uiPriority w:val="99"/>
    <w:rsid w:val="002D1DA9"/>
    <w:rPr>
      <w:shd w:val="clear" w:color="auto" w:fill="FF0000"/>
    </w:rPr>
  </w:style>
  <w:style w:type="paragraph" w:styleId="NormalWeb">
    <w:name w:val="Normal (Web)"/>
    <w:basedOn w:val="Normal"/>
    <w:uiPriority w:val="99"/>
    <w:unhideWhenUsed/>
    <w:rsid w:val="00E54DD6"/>
    <w:pPr>
      <w:widowControl/>
      <w:spacing w:before="100" w:beforeAutospacing="1" w:after="100" w:afterAutospacing="1"/>
    </w:pPr>
    <w:rPr>
      <w:szCs w:val="24"/>
    </w:rPr>
  </w:style>
  <w:style w:type="paragraph" w:customStyle="1" w:styleId="NormalTabs">
    <w:name w:val="NormalTabs"/>
    <w:basedOn w:val="Normal"/>
    <w:qFormat/>
    <w:rsid w:val="00FA3C44"/>
    <w:pPr>
      <w:tabs>
        <w:tab w:val="center" w:pos="284"/>
        <w:tab w:val="left" w:pos="426"/>
      </w:tabs>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132086">
      <w:bodyDiv w:val="1"/>
      <w:marLeft w:val="0"/>
      <w:marRight w:val="0"/>
      <w:marTop w:val="0"/>
      <w:marBottom w:val="0"/>
      <w:divBdr>
        <w:top w:val="none" w:sz="0" w:space="0" w:color="auto"/>
        <w:left w:val="none" w:sz="0" w:space="0" w:color="auto"/>
        <w:bottom w:val="none" w:sz="0" w:space="0" w:color="auto"/>
        <w:right w:val="none" w:sz="0" w:space="0" w:color="auto"/>
      </w:divBdr>
      <w:divsChild>
        <w:div w:id="1044676283">
          <w:marLeft w:val="0"/>
          <w:marRight w:val="0"/>
          <w:marTop w:val="0"/>
          <w:marBottom w:val="0"/>
          <w:divBdr>
            <w:top w:val="none" w:sz="0" w:space="0" w:color="auto"/>
            <w:left w:val="none" w:sz="0" w:space="0" w:color="auto"/>
            <w:bottom w:val="none" w:sz="0" w:space="0" w:color="auto"/>
            <w:right w:val="none" w:sz="0" w:space="0" w:color="auto"/>
          </w:divBdr>
        </w:div>
        <w:div w:id="1337995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vkovic\AppData\Local\Temp\PR_BUD_Estim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E5E02-E5D5-4F8C-B60B-CE9CD8651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PR_BUD_EstimEP.dot</Template>
  <TotalTime>0</TotalTime>
  <Pages>72</Pages>
  <Words>21627</Words>
  <Characters>119382</Characters>
  <Application>Microsoft Office Word</Application>
  <DocSecurity>0</DocSecurity>
  <Lines>3730</Lines>
  <Paragraphs>2711</Paragraphs>
  <ScaleCrop>false</ScaleCrop>
  <HeadingPairs>
    <vt:vector size="2" baseType="variant">
      <vt:variant>
        <vt:lpstr>Title</vt:lpstr>
      </vt:variant>
      <vt:variant>
        <vt:i4>1</vt:i4>
      </vt:variant>
    </vt:vector>
  </HeadingPairs>
  <TitlesOfParts>
    <vt:vector size="1" baseType="lpstr">
      <vt:lpstr>PR_BUD_EstimEP</vt:lpstr>
    </vt:vector>
  </TitlesOfParts>
  <Company/>
  <LinksUpToDate>false</LinksUpToDate>
  <CharactersWithSpaces>138298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PR_BUD_EstimEP</dc:title>
  <dc:subject/>
  <dc:creator>IVKOVIC Natasa</dc:creator>
  <cp:keywords/>
  <dc:description/>
  <cp:lastModifiedBy>IVKOVIC Natasa</cp:lastModifiedBy>
  <cp:revision>2</cp:revision>
  <cp:lastPrinted>2004-12-08T15:27:00Z</cp:lastPrinted>
  <dcterms:created xsi:type="dcterms:W3CDTF">2017-04-04T15:06:00Z</dcterms:created>
  <dcterms:modified xsi:type="dcterms:W3CDTF">2017-04-04T15:06:00Z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[20170301]</vt:lpwstr>
  </property>
  <property fmtid="{D5CDD505-2E9C-101B-9397-08002B2CF9AE}" pid="3" name="LastEdited with">
    <vt:lpwstr>9.0.0 Build [20170325]</vt:lpwstr>
  </property>
  <property fmtid="{D5CDD505-2E9C-101B-9397-08002B2CF9AE}" pid="4" name="&lt;FdR&gt;">
    <vt:lpwstr>1122588</vt:lpwstr>
  </property>
  <property fmtid="{D5CDD505-2E9C-101B-9397-08002B2CF9AE}" pid="5" name="&lt;Type&gt;">
    <vt:lpwstr>RR</vt:lpwstr>
  </property>
  <property fmtid="{D5CDD505-2E9C-101B-9397-08002B2CF9AE}" pid="6" name="&lt;ModelCod&gt;">
    <vt:lpwstr>\\eiciLUXpr1\pdocep$\DocEP\DOCS\General\PR\PR_BUD\BUD\PR_BUD_EstimEP.dot(17/02/2016 10:44:25)</vt:lpwstr>
  </property>
  <property fmtid="{D5CDD505-2E9C-101B-9397-08002B2CF9AE}" pid="7" name="&lt;ModelTra&gt;">
    <vt:lpwstr>\\eiciLUXpr1\pdocep$\DocEP\TRANSFIL\HR\PR_BUD_EstimEP.HR(26/05/2015 06:28:57)</vt:lpwstr>
  </property>
  <property fmtid="{D5CDD505-2E9C-101B-9397-08002B2CF9AE}" pid="8" name="&lt;Model&gt;">
    <vt:lpwstr>PR_BUD_EstimEP</vt:lpwstr>
  </property>
  <property fmtid="{D5CDD505-2E9C-101B-9397-08002B2CF9AE}" pid="9" name="FooterPath">
    <vt:lpwstr>RR\1122588HR.docx</vt:lpwstr>
  </property>
  <property fmtid="{D5CDD505-2E9C-101B-9397-08002B2CF9AE}" pid="10" name="PE Number">
    <vt:lpwstr>599.828</vt:lpwstr>
  </property>
  <property fmtid="{D5CDD505-2E9C-101B-9397-08002B2CF9AE}" pid="11" name="Bookout">
    <vt:lpwstr>OK - 2017/04/04 17:05</vt:lpwstr>
  </property>
  <property fmtid="{D5CDD505-2E9C-101B-9397-08002B2CF9AE}" pid="12" name="SubscribeElise">
    <vt:lpwstr/>
  </property>
  <property fmtid="{D5CDD505-2E9C-101B-9397-08002B2CF9AE}" pid="13" name="SDLStudio">
    <vt:lpwstr/>
  </property>
  <property fmtid="{D5CDD505-2E9C-101B-9397-08002B2CF9AE}" pid="14" name="&lt;Extension&gt;">
    <vt:lpwstr>HR</vt:lpwstr>
  </property>
</Properties>
</file>