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E529B" w:rsidTr="006F7907">
        <w:trPr>
          <w:trHeight w:hRule="exact" w:val="1418"/>
        </w:trPr>
        <w:tc>
          <w:tcPr>
            <w:tcW w:w="6804" w:type="dxa"/>
            <w:shd w:val="clear" w:color="auto" w:fill="auto"/>
            <w:vAlign w:val="center"/>
          </w:tcPr>
          <w:p w:rsidR="006F7907" w:rsidRPr="009E529B" w:rsidRDefault="0087480C" w:rsidP="00FD1DEF">
            <w:pPr>
              <w:pStyle w:val="EPName"/>
              <w:rPr>
                <w:color w:val="auto"/>
              </w:rPr>
            </w:pPr>
            <w:r w:rsidRPr="009E529B">
              <w:rPr>
                <w:color w:val="auto"/>
              </w:rPr>
              <w:t>Eiropas Parlaments</w:t>
            </w:r>
          </w:p>
          <w:p w:rsidR="006F7907" w:rsidRPr="009E529B" w:rsidRDefault="009F2AAF" w:rsidP="009F2AAF">
            <w:pPr>
              <w:pStyle w:val="EPTerm"/>
              <w:rPr>
                <w:rStyle w:val="HideTWBExt"/>
                <w:noProof w:val="0"/>
                <w:vanish w:val="0"/>
                <w:color w:val="auto"/>
              </w:rPr>
            </w:pPr>
            <w:r w:rsidRPr="009E529B">
              <w:t>2014-2019</w:t>
            </w:r>
          </w:p>
        </w:tc>
        <w:tc>
          <w:tcPr>
            <w:tcW w:w="2268" w:type="dxa"/>
            <w:shd w:val="clear" w:color="auto" w:fill="auto"/>
          </w:tcPr>
          <w:p w:rsidR="006F7907" w:rsidRPr="009E529B" w:rsidRDefault="009E529B" w:rsidP="00896BB4">
            <w:pPr>
              <w:pStyle w:val="EPLogo"/>
            </w:pPr>
            <w:r w:rsidRPr="009E52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9E529B" w:rsidRDefault="00461601" w:rsidP="00461601">
      <w:pPr>
        <w:pStyle w:val="LineTop"/>
      </w:pPr>
    </w:p>
    <w:p w:rsidR="00461601" w:rsidRPr="009E529B" w:rsidRDefault="002919F6" w:rsidP="00461601">
      <w:pPr>
        <w:pStyle w:val="ZCommittee"/>
      </w:pPr>
      <w:r w:rsidRPr="009E529B">
        <w:t>Sesijas dokuments</w:t>
      </w:r>
    </w:p>
    <w:p w:rsidR="00461601" w:rsidRPr="009E529B" w:rsidRDefault="00461601" w:rsidP="00461601">
      <w:pPr>
        <w:pStyle w:val="LineBottom"/>
      </w:pPr>
    </w:p>
    <w:p w:rsidR="00793EA9" w:rsidRPr="009E529B" w:rsidRDefault="002919F6">
      <w:pPr>
        <w:pStyle w:val="RefProc"/>
      </w:pPr>
      <w:r w:rsidRPr="009E529B">
        <w:rPr>
          <w:rStyle w:val="HideTWBExt"/>
          <w:noProof w:val="0"/>
          <w:color w:val="auto"/>
        </w:rPr>
        <w:t>&lt;NoDocSe&gt;</w:t>
      </w:r>
      <w:r w:rsidRPr="009E529B">
        <w:t>A8-0228/2017</w:t>
      </w:r>
      <w:r w:rsidRPr="009E529B">
        <w:rPr>
          <w:rStyle w:val="HideTWBExt"/>
          <w:noProof w:val="0"/>
          <w:color w:val="auto"/>
        </w:rPr>
        <w:t>&lt;/NoDocSe&gt;</w:t>
      </w:r>
    </w:p>
    <w:p w:rsidR="00793EA9" w:rsidRPr="009E529B" w:rsidRDefault="00793EA9">
      <w:pPr>
        <w:pStyle w:val="ZDate"/>
      </w:pPr>
      <w:r w:rsidRPr="009E529B">
        <w:rPr>
          <w:rStyle w:val="HideTWBExt"/>
          <w:noProof w:val="0"/>
          <w:color w:val="auto"/>
        </w:rPr>
        <w:t>&lt;Date&gt;</w:t>
      </w:r>
      <w:r w:rsidRPr="009E529B">
        <w:rPr>
          <w:rStyle w:val="HideTWBInt"/>
          <w:color w:val="auto"/>
        </w:rPr>
        <w:t>{21/06/2017}</w:t>
      </w:r>
      <w:r w:rsidRPr="009E529B">
        <w:t>21.6.2017</w:t>
      </w:r>
      <w:r w:rsidRPr="009E529B">
        <w:rPr>
          <w:rStyle w:val="HideTWBExt"/>
          <w:noProof w:val="0"/>
          <w:color w:val="auto"/>
        </w:rPr>
        <w:t>&lt;/Date&gt;</w:t>
      </w:r>
    </w:p>
    <w:p w:rsidR="00793EA9" w:rsidRPr="009E529B" w:rsidRDefault="00793EA9">
      <w:pPr>
        <w:pStyle w:val="StarsAndIs"/>
      </w:pPr>
      <w:r w:rsidRPr="009E529B">
        <w:rPr>
          <w:rStyle w:val="HideTWBExt"/>
          <w:b w:val="0"/>
          <w:noProof w:val="0"/>
          <w:color w:val="auto"/>
        </w:rPr>
        <w:t>&lt;RefProcLect&gt;</w:t>
      </w:r>
      <w:r w:rsidRPr="009E529B">
        <w:t>***I</w:t>
      </w:r>
      <w:r w:rsidRPr="009E529B">
        <w:rPr>
          <w:rStyle w:val="HideTWBExt"/>
          <w:b w:val="0"/>
          <w:noProof w:val="0"/>
          <w:color w:val="auto"/>
        </w:rPr>
        <w:t>&lt;/RefProcLect&gt;</w:t>
      </w:r>
    </w:p>
    <w:p w:rsidR="00793EA9" w:rsidRPr="009E529B" w:rsidRDefault="00793EA9">
      <w:pPr>
        <w:pStyle w:val="TypeDoc"/>
      </w:pPr>
      <w:r w:rsidRPr="009E529B">
        <w:rPr>
          <w:rStyle w:val="HideTWBExt"/>
          <w:b w:val="0"/>
          <w:noProof w:val="0"/>
          <w:color w:val="auto"/>
        </w:rPr>
        <w:t>&lt;TitreType&gt;</w:t>
      </w:r>
      <w:r w:rsidRPr="009E529B">
        <w:t>ZIŅOJUMS</w:t>
      </w:r>
      <w:r w:rsidRPr="009E529B">
        <w:rPr>
          <w:rStyle w:val="HideTWBExt"/>
          <w:b w:val="0"/>
          <w:noProof w:val="0"/>
          <w:color w:val="auto"/>
        </w:rPr>
        <w:t>&lt;/TitreType&gt;</w:t>
      </w:r>
    </w:p>
    <w:p w:rsidR="00793EA9" w:rsidRPr="009E529B" w:rsidRDefault="00793EA9">
      <w:pPr>
        <w:pStyle w:val="CoverNormal"/>
      </w:pPr>
      <w:r w:rsidRPr="009E529B">
        <w:rPr>
          <w:rStyle w:val="HideTWBExt"/>
          <w:noProof w:val="0"/>
          <w:color w:val="auto"/>
        </w:rPr>
        <w:t>&lt;Titre&gt;</w:t>
      </w:r>
      <w:r w:rsidRPr="009E529B">
        <w:t>par priekšlikumu Eiropas Parlamenta un Padomes regulai, ar ko atceļ Padomes Regulu (EEK) Nr. 1101/89, Regulu (EK) Nr. 685/2001 un Regulu (EK) Nr. 2888/2000</w:t>
      </w:r>
      <w:r w:rsidRPr="009E529B">
        <w:rPr>
          <w:rStyle w:val="HideTWBExt"/>
          <w:noProof w:val="0"/>
          <w:color w:val="auto"/>
        </w:rPr>
        <w:t>&lt;/Titre&gt;</w:t>
      </w:r>
    </w:p>
    <w:p w:rsidR="00793EA9" w:rsidRPr="009E529B" w:rsidRDefault="00793EA9">
      <w:pPr>
        <w:pStyle w:val="Cover24"/>
      </w:pPr>
      <w:r w:rsidRPr="009E529B">
        <w:rPr>
          <w:rStyle w:val="HideTWBExt"/>
          <w:noProof w:val="0"/>
          <w:color w:val="auto"/>
        </w:rPr>
        <w:t>&lt;DocRef&gt;</w:t>
      </w:r>
      <w:r w:rsidRPr="009E529B">
        <w:t>(COM(2016)0745 – C8-0501/2016 – 2016/0368(COD))</w:t>
      </w:r>
      <w:r w:rsidRPr="009E529B">
        <w:rPr>
          <w:rStyle w:val="HideTWBExt"/>
          <w:noProof w:val="0"/>
          <w:color w:val="auto"/>
        </w:rPr>
        <w:t>&lt;/DocRef&gt;</w:t>
      </w:r>
    </w:p>
    <w:p w:rsidR="00793EA9" w:rsidRPr="009E529B" w:rsidRDefault="00793EA9">
      <w:pPr>
        <w:pStyle w:val="Cover24"/>
      </w:pPr>
      <w:r w:rsidRPr="009E529B">
        <w:rPr>
          <w:rStyle w:val="HideTWBExt"/>
          <w:noProof w:val="0"/>
          <w:color w:val="auto"/>
        </w:rPr>
        <w:t>&lt;Commission&gt;</w:t>
      </w:r>
      <w:r w:rsidRPr="009E529B">
        <w:rPr>
          <w:rStyle w:val="HideTWBInt"/>
          <w:color w:val="auto"/>
        </w:rPr>
        <w:t>{TRAN}</w:t>
      </w:r>
      <w:r w:rsidRPr="009E529B">
        <w:t>Transporta un tūrisma komiteja</w:t>
      </w:r>
      <w:r w:rsidRPr="009E529B">
        <w:rPr>
          <w:rStyle w:val="HideTWBExt"/>
          <w:noProof w:val="0"/>
          <w:color w:val="auto"/>
        </w:rPr>
        <w:t>&lt;/Commission&gt;</w:t>
      </w:r>
    </w:p>
    <w:p w:rsidR="00793EA9" w:rsidRPr="009E529B" w:rsidRDefault="009F2AAF">
      <w:pPr>
        <w:pStyle w:val="Cover24"/>
      </w:pPr>
      <w:r w:rsidRPr="009E529B">
        <w:t xml:space="preserve">Referente: </w:t>
      </w:r>
      <w:r w:rsidRPr="009E529B">
        <w:rPr>
          <w:rStyle w:val="HideTWBExt"/>
          <w:i/>
          <w:noProof w:val="0"/>
          <w:color w:val="auto"/>
        </w:rPr>
        <w:t>&lt;Depute&gt;</w:t>
      </w:r>
      <w:r w:rsidRPr="009E529B">
        <w:rPr>
          <w:i/>
        </w:rPr>
        <w:t>Karima Delli</w:t>
      </w:r>
      <w:r w:rsidRPr="009E529B">
        <w:rPr>
          <w:rStyle w:val="HideTWBExt"/>
          <w:noProof w:val="0"/>
          <w:color w:val="auto"/>
        </w:rPr>
        <w:t>&lt;/Depute&gt;</w:t>
      </w:r>
    </w:p>
    <w:p w:rsidR="001C5B44" w:rsidRPr="009E529B" w:rsidRDefault="001C5B44" w:rsidP="001C5B44">
      <w:pPr>
        <w:pStyle w:val="CoverNormal"/>
      </w:pPr>
    </w:p>
    <w:p w:rsidR="00793EA9" w:rsidRPr="009E529B" w:rsidRDefault="00793EA9" w:rsidP="00187008">
      <w:pPr>
        <w:widowControl/>
        <w:tabs>
          <w:tab w:val="center" w:pos="4677"/>
        </w:tabs>
      </w:pPr>
      <w:r w:rsidRPr="009E529B">
        <w:br w:type="page"/>
      </w:r>
      <w:bookmarkStart w:id="0" w:name="DocEPTmpStart"/>
      <w:bookmarkEnd w:id="0"/>
    </w:p>
    <w:p w:rsidR="009F2AAF" w:rsidRPr="009E529B" w:rsidRDefault="00543468">
      <w:fldSimple w:instr=" TITLE  \* MERGEFORMAT ">
        <w:r w:rsidR="009E529B">
          <w:t>PR_COD_1amCom</w:t>
        </w:r>
      </w:fldSimple>
    </w:p>
    <w:p w:rsidR="009F2AAF" w:rsidRPr="009E529B" w:rsidRDefault="009F2AAF"/>
    <w:p w:rsidR="009F2AAF" w:rsidRPr="009E529B" w:rsidRDefault="009F2AA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E529B" w:rsidRPr="009E529B" w:rsidTr="002905C0">
        <w:tc>
          <w:tcPr>
            <w:tcW w:w="5811" w:type="dxa"/>
            <w:tcBorders>
              <w:top w:val="single" w:sz="4" w:space="0" w:color="auto"/>
            </w:tcBorders>
          </w:tcPr>
          <w:p w:rsidR="009F2AAF" w:rsidRPr="009E529B" w:rsidRDefault="009F2AAF" w:rsidP="002905C0">
            <w:pPr>
              <w:pStyle w:val="Lgendetitre"/>
              <w:rPr>
                <w:szCs w:val="24"/>
              </w:rPr>
            </w:pPr>
            <w:r w:rsidRPr="009E529B">
              <w:t>Izmantoto apzīmējumu skaidrojums</w:t>
            </w:r>
          </w:p>
        </w:tc>
      </w:tr>
      <w:tr w:rsidR="009F2AAF" w:rsidRPr="009E529B" w:rsidTr="002905C0">
        <w:trPr>
          <w:cantSplit/>
          <w:trHeight w:val="1949"/>
        </w:trPr>
        <w:tc>
          <w:tcPr>
            <w:tcW w:w="5811" w:type="dxa"/>
            <w:tcBorders>
              <w:bottom w:val="single" w:sz="4" w:space="0" w:color="auto"/>
            </w:tcBorders>
          </w:tcPr>
          <w:p w:rsidR="009F2AAF" w:rsidRPr="009E529B" w:rsidRDefault="009F2AAF" w:rsidP="002905C0">
            <w:pPr>
              <w:pStyle w:val="Lgendesigne"/>
              <w:rPr>
                <w:szCs w:val="24"/>
              </w:rPr>
            </w:pPr>
            <w:r w:rsidRPr="009E529B">
              <w:tab/>
              <w:t>*</w:t>
            </w:r>
            <w:r w:rsidRPr="009E529B">
              <w:tab/>
              <w:t>Apspriežu procedūra</w:t>
            </w:r>
            <w:r w:rsidRPr="009E529B">
              <w:tab/>
            </w:r>
          </w:p>
          <w:p w:rsidR="009F2AAF" w:rsidRPr="009E529B" w:rsidRDefault="009F2AAF" w:rsidP="002905C0">
            <w:pPr>
              <w:pStyle w:val="Lgendesigne"/>
              <w:rPr>
                <w:szCs w:val="24"/>
              </w:rPr>
            </w:pPr>
            <w:r w:rsidRPr="009E529B">
              <w:tab/>
              <w:t>***</w:t>
            </w:r>
            <w:r w:rsidRPr="009E529B">
              <w:tab/>
              <w:t>Piekrišanas procedūra</w:t>
            </w:r>
          </w:p>
          <w:p w:rsidR="009F2AAF" w:rsidRPr="009E529B" w:rsidRDefault="009F2AAF" w:rsidP="002905C0">
            <w:pPr>
              <w:pStyle w:val="Lgendesigne"/>
              <w:rPr>
                <w:szCs w:val="24"/>
              </w:rPr>
            </w:pPr>
            <w:r w:rsidRPr="009E529B">
              <w:tab/>
              <w:t>***I</w:t>
            </w:r>
            <w:r w:rsidRPr="009E529B">
              <w:tab/>
              <w:t>Parastā likumdošanas procedūra (pirmais lasījums)</w:t>
            </w:r>
          </w:p>
          <w:p w:rsidR="009F2AAF" w:rsidRPr="009E529B" w:rsidRDefault="009F2AAF" w:rsidP="002905C0">
            <w:pPr>
              <w:pStyle w:val="Lgendesigne"/>
              <w:rPr>
                <w:szCs w:val="24"/>
              </w:rPr>
            </w:pPr>
            <w:r w:rsidRPr="009E529B">
              <w:tab/>
              <w:t>***II</w:t>
            </w:r>
            <w:r w:rsidRPr="009E529B">
              <w:tab/>
              <w:t>Parastā likumdošanas procedūra (otrais lasījums)</w:t>
            </w:r>
          </w:p>
          <w:p w:rsidR="009F2AAF" w:rsidRPr="009E529B" w:rsidRDefault="009F2AAF" w:rsidP="002905C0">
            <w:pPr>
              <w:pStyle w:val="Lgendesigne"/>
              <w:rPr>
                <w:szCs w:val="24"/>
              </w:rPr>
            </w:pPr>
            <w:r w:rsidRPr="009E529B">
              <w:tab/>
              <w:t>***III</w:t>
            </w:r>
            <w:r w:rsidRPr="009E529B">
              <w:tab/>
              <w:t>Parastā likumdošanas procedūra (trešais lasījums)</w:t>
            </w:r>
            <w:r w:rsidRPr="009E529B">
              <w:br/>
            </w:r>
          </w:p>
          <w:p w:rsidR="009F2AAF" w:rsidRPr="009E529B" w:rsidRDefault="009F2AAF" w:rsidP="002905C0">
            <w:pPr>
              <w:pStyle w:val="Lgendestandard"/>
              <w:rPr>
                <w:szCs w:val="24"/>
              </w:rPr>
            </w:pPr>
            <w:r w:rsidRPr="009E529B">
              <w:t>(Norādītā procedūra pamatojas uz akta projektā ierosināto juridisko pamatu.)</w:t>
            </w:r>
          </w:p>
          <w:p w:rsidR="009F2AAF" w:rsidRPr="009E529B" w:rsidRDefault="009F2AAF" w:rsidP="002905C0">
            <w:pPr>
              <w:pStyle w:val="Lgendestandard"/>
              <w:rPr>
                <w:szCs w:val="24"/>
              </w:rPr>
            </w:pPr>
          </w:p>
        </w:tc>
      </w:tr>
    </w:tbl>
    <w:p w:rsidR="009F2AAF" w:rsidRPr="009E529B" w:rsidRDefault="009F2AAF" w:rsidP="002905C0"/>
    <w:p w:rsidR="009F2AAF" w:rsidRPr="009E529B" w:rsidRDefault="009F2AAF" w:rsidP="002905C0"/>
    <w:p w:rsidR="009F2AAF" w:rsidRPr="009E529B" w:rsidRDefault="009F2AAF" w:rsidP="002905C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E529B" w:rsidRPr="009E529B" w:rsidTr="002905C0">
        <w:tc>
          <w:tcPr>
            <w:tcW w:w="5811" w:type="dxa"/>
            <w:tcBorders>
              <w:top w:val="single" w:sz="4" w:space="0" w:color="auto"/>
            </w:tcBorders>
          </w:tcPr>
          <w:p w:rsidR="009F2AAF" w:rsidRPr="009E529B" w:rsidRDefault="009F2AAF" w:rsidP="002905C0">
            <w:pPr>
              <w:pStyle w:val="Lgendetitre"/>
              <w:rPr>
                <w:szCs w:val="24"/>
              </w:rPr>
            </w:pPr>
            <w:bookmarkStart w:id="1" w:name="_GoBack" w:colFirst="0" w:colLast="0"/>
            <w:r w:rsidRPr="009E529B">
              <w:t>Grozījumi akta projektā</w:t>
            </w:r>
          </w:p>
        </w:tc>
      </w:tr>
      <w:tr w:rsidR="009F2AAF" w:rsidRPr="009E529B" w:rsidTr="002905C0">
        <w:tc>
          <w:tcPr>
            <w:tcW w:w="5811" w:type="dxa"/>
            <w:tcBorders>
              <w:bottom w:val="single" w:sz="4" w:space="0" w:color="auto"/>
            </w:tcBorders>
          </w:tcPr>
          <w:p w:rsidR="009F2AAF" w:rsidRPr="009E529B" w:rsidRDefault="009F2AAF" w:rsidP="002905C0">
            <w:pPr>
              <w:pStyle w:val="Lgendestandard"/>
              <w:rPr>
                <w:szCs w:val="24"/>
              </w:rPr>
            </w:pPr>
          </w:p>
          <w:p w:rsidR="009F2AAF" w:rsidRPr="009E529B" w:rsidRDefault="009F2AAF" w:rsidP="002905C0">
            <w:pPr>
              <w:pStyle w:val="Lgendestandard"/>
              <w:rPr>
                <w:szCs w:val="24"/>
              </w:rPr>
            </w:pPr>
            <w:r w:rsidRPr="009E529B">
              <w:rPr>
                <w:b/>
                <w:szCs w:val="24"/>
              </w:rPr>
              <w:t>Parlamenta grozījumi, kas sagatavoti divās slejās</w:t>
            </w:r>
          </w:p>
          <w:p w:rsidR="009F2AAF" w:rsidRPr="009E529B" w:rsidRDefault="009F2AAF" w:rsidP="002905C0">
            <w:pPr>
              <w:pStyle w:val="Lgendestandard"/>
              <w:rPr>
                <w:szCs w:val="24"/>
              </w:rPr>
            </w:pPr>
          </w:p>
          <w:p w:rsidR="009F2AAF" w:rsidRPr="009E529B" w:rsidRDefault="009F2AAF" w:rsidP="002905C0">
            <w:pPr>
              <w:pStyle w:val="Lgendestandard"/>
              <w:rPr>
                <w:szCs w:val="24"/>
              </w:rPr>
            </w:pPr>
            <w:r w:rsidRPr="009E529B">
              <w:t xml:space="preserve">Svītrotās teksta daļas iezīmē </w:t>
            </w:r>
            <w:r w:rsidRPr="009E529B">
              <w:rPr>
                <w:b/>
                <w:i/>
                <w:szCs w:val="24"/>
              </w:rPr>
              <w:t>treknā slīprakstā</w:t>
            </w:r>
            <w:r w:rsidRPr="009E529B">
              <w:t xml:space="preserve"> kreisajā slejā. Aizstātās teksta daļas iezīmē </w:t>
            </w:r>
            <w:r w:rsidRPr="009E529B">
              <w:rPr>
                <w:b/>
                <w:i/>
                <w:szCs w:val="24"/>
              </w:rPr>
              <w:t>treknā slīprakstā</w:t>
            </w:r>
            <w:r w:rsidRPr="009E529B">
              <w:t xml:space="preserve"> abās slejās. Jauno tekstu iezīmē </w:t>
            </w:r>
            <w:r w:rsidRPr="009E529B">
              <w:rPr>
                <w:b/>
                <w:i/>
                <w:szCs w:val="24"/>
              </w:rPr>
              <w:t>treknā slīprakstā</w:t>
            </w:r>
            <w:r w:rsidRPr="009E529B">
              <w:t xml:space="preserve"> labajā slejā.</w:t>
            </w:r>
          </w:p>
          <w:p w:rsidR="009F2AAF" w:rsidRPr="009E529B" w:rsidRDefault="009F2AAF" w:rsidP="002905C0">
            <w:pPr>
              <w:pStyle w:val="Lgendestandard"/>
              <w:rPr>
                <w:szCs w:val="24"/>
              </w:rPr>
            </w:pPr>
          </w:p>
          <w:p w:rsidR="009F2AAF" w:rsidRPr="009E529B" w:rsidRDefault="009F2AAF" w:rsidP="002905C0">
            <w:pPr>
              <w:pStyle w:val="Lgendestandard"/>
              <w:rPr>
                <w:szCs w:val="24"/>
              </w:rPr>
            </w:pPr>
            <w:r w:rsidRPr="009E529B">
              <w:t xml:space="preserve">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 </w:t>
            </w:r>
          </w:p>
          <w:p w:rsidR="009F2AAF" w:rsidRPr="009E529B" w:rsidRDefault="009F2AAF" w:rsidP="002905C0">
            <w:pPr>
              <w:pStyle w:val="Lgendestandard"/>
              <w:rPr>
                <w:szCs w:val="24"/>
              </w:rPr>
            </w:pPr>
          </w:p>
          <w:p w:rsidR="009F2AAF" w:rsidRPr="009E529B" w:rsidRDefault="009F2AAF" w:rsidP="002905C0">
            <w:pPr>
              <w:pStyle w:val="Lgendestandard"/>
              <w:rPr>
                <w:b/>
                <w:szCs w:val="24"/>
              </w:rPr>
            </w:pPr>
            <w:r w:rsidRPr="009E529B">
              <w:rPr>
                <w:b/>
                <w:szCs w:val="24"/>
              </w:rPr>
              <w:t>Parlamenta grozījumi, kas sagatavoti kā konsolidēts teksts.</w:t>
            </w:r>
          </w:p>
          <w:p w:rsidR="009F2AAF" w:rsidRPr="009E529B" w:rsidRDefault="009F2AAF" w:rsidP="002905C0">
            <w:pPr>
              <w:pStyle w:val="Lgendestandard"/>
              <w:rPr>
                <w:szCs w:val="24"/>
              </w:rPr>
            </w:pPr>
          </w:p>
          <w:p w:rsidR="009F2AAF" w:rsidRPr="009E529B" w:rsidRDefault="009F2AAF" w:rsidP="002905C0">
            <w:pPr>
              <w:pStyle w:val="Lgendestandard"/>
              <w:rPr>
                <w:szCs w:val="24"/>
              </w:rPr>
            </w:pPr>
            <w:r w:rsidRPr="009E529B">
              <w:t xml:space="preserve">Jaunās teksta daļas iezīmē </w:t>
            </w:r>
            <w:r w:rsidRPr="009E529B">
              <w:rPr>
                <w:b/>
                <w:i/>
                <w:szCs w:val="24"/>
              </w:rPr>
              <w:t>treknā slīprakstā</w:t>
            </w:r>
            <w:r w:rsidRPr="009E529B">
              <w:t xml:space="preserve">. Svītrotās teksta daļas iezīmē ar simbolu ▌ vai pārsvītro. Aizstātās teksta daļas iezīmē, ierakstot jauno tekstu </w:t>
            </w:r>
            <w:r w:rsidRPr="009E529B">
              <w:rPr>
                <w:b/>
                <w:i/>
                <w:szCs w:val="24"/>
              </w:rPr>
              <w:t>treknā slīprakstā</w:t>
            </w:r>
            <w:r w:rsidRPr="009E529B">
              <w:t xml:space="preserve"> un izdzēšot vai pārsvītrojot aizstāto tekstu. </w:t>
            </w:r>
          </w:p>
          <w:p w:rsidR="009F2AAF" w:rsidRPr="009E529B" w:rsidRDefault="009F2AAF" w:rsidP="002905C0">
            <w:pPr>
              <w:pStyle w:val="Lgendestandard"/>
              <w:rPr>
                <w:szCs w:val="24"/>
              </w:rPr>
            </w:pPr>
            <w:r w:rsidRPr="009E529B">
              <w:t>Tas neattiecas uz tīri tehniska rakstura grozījumiem, kurus izdara attiecīgie dienesti, gatavojot galīgo tekstu. Tie netiek iezīmēti.</w:t>
            </w:r>
          </w:p>
          <w:p w:rsidR="009F2AAF" w:rsidRPr="009E529B" w:rsidRDefault="009F2AAF" w:rsidP="002905C0">
            <w:pPr>
              <w:pStyle w:val="Lgendestandard"/>
              <w:rPr>
                <w:szCs w:val="24"/>
              </w:rPr>
            </w:pPr>
          </w:p>
        </w:tc>
      </w:tr>
      <w:bookmarkEnd w:id="1"/>
    </w:tbl>
    <w:p w:rsidR="009F2AAF" w:rsidRPr="009E529B" w:rsidRDefault="009F2AAF"/>
    <w:p w:rsidR="00793EA9" w:rsidRPr="009E529B" w:rsidRDefault="00793EA9" w:rsidP="00012351">
      <w:pPr>
        <w:widowControl/>
        <w:tabs>
          <w:tab w:val="center" w:pos="4677"/>
        </w:tabs>
      </w:pPr>
    </w:p>
    <w:p w:rsidR="00793EA9" w:rsidRPr="009E529B" w:rsidRDefault="00793EA9">
      <w:pPr>
        <w:pStyle w:val="TOCHeading"/>
      </w:pPr>
      <w:r w:rsidRPr="009E529B">
        <w:br w:type="page"/>
      </w:r>
      <w:r w:rsidRPr="009E529B">
        <w:lastRenderedPageBreak/>
        <w:t>SATURA RĀDĪTĀJS</w:t>
      </w:r>
    </w:p>
    <w:p w:rsidR="00793EA9" w:rsidRPr="009E529B" w:rsidRDefault="0087480C">
      <w:pPr>
        <w:pStyle w:val="TOCPage"/>
      </w:pPr>
      <w:r w:rsidRPr="009E529B">
        <w:t>Lpp.</w:t>
      </w:r>
    </w:p>
    <w:p w:rsidR="009E529B" w:rsidRDefault="001767E2">
      <w:pPr>
        <w:pStyle w:val="TOC1"/>
        <w:tabs>
          <w:tab w:val="right" w:leader="dot" w:pos="9060"/>
        </w:tabs>
        <w:rPr>
          <w:rFonts w:asciiTheme="minorHAnsi" w:eastAsiaTheme="minorEastAsia" w:hAnsiTheme="minorHAnsi" w:cstheme="minorBidi"/>
          <w:noProof/>
          <w:sz w:val="22"/>
          <w:szCs w:val="22"/>
          <w:lang w:val="en-GB"/>
        </w:rPr>
      </w:pPr>
      <w:r w:rsidRPr="009E529B">
        <w:rPr>
          <w:b/>
        </w:rPr>
        <w:fldChar w:fldCharType="begin"/>
      </w:r>
      <w:r w:rsidRPr="009E529B">
        <w:rPr>
          <w:b/>
        </w:rPr>
        <w:instrText xml:space="preserve"> TOC \t "PageHeading</w:instrText>
      </w:r>
      <w:r w:rsidR="002919F6" w:rsidRPr="009E529B">
        <w:rPr>
          <w:b/>
        </w:rPr>
        <w:instrText>;</w:instrText>
      </w:r>
      <w:r w:rsidRPr="009E529B">
        <w:rPr>
          <w:b/>
        </w:rPr>
        <w:instrText xml:space="preserve">1" </w:instrText>
      </w:r>
      <w:r w:rsidRPr="009E529B">
        <w:rPr>
          <w:b/>
        </w:rPr>
        <w:fldChar w:fldCharType="separate"/>
      </w:r>
      <w:r w:rsidR="009E529B">
        <w:rPr>
          <w:noProof/>
        </w:rPr>
        <w:t>EIROPAS PARLAMENTA NORMATĪVĀS REZOLŪCIJAS PROJEKTS</w:t>
      </w:r>
      <w:r w:rsidR="009E529B">
        <w:rPr>
          <w:noProof/>
        </w:rPr>
        <w:tab/>
      </w:r>
      <w:r w:rsidR="009E529B">
        <w:rPr>
          <w:noProof/>
        </w:rPr>
        <w:fldChar w:fldCharType="begin"/>
      </w:r>
      <w:r w:rsidR="009E529B">
        <w:rPr>
          <w:noProof/>
        </w:rPr>
        <w:instrText xml:space="preserve"> PAGEREF _Toc486851199 \h </w:instrText>
      </w:r>
      <w:r w:rsidR="009E529B">
        <w:rPr>
          <w:noProof/>
        </w:rPr>
      </w:r>
      <w:r w:rsidR="009E529B">
        <w:rPr>
          <w:noProof/>
        </w:rPr>
        <w:fldChar w:fldCharType="separate"/>
      </w:r>
      <w:r w:rsidR="009E529B">
        <w:rPr>
          <w:noProof/>
        </w:rPr>
        <w:t>5</w:t>
      </w:r>
      <w:r w:rsidR="009E529B">
        <w:rPr>
          <w:noProof/>
        </w:rPr>
        <w:fldChar w:fldCharType="end"/>
      </w:r>
    </w:p>
    <w:p w:rsidR="009E529B" w:rsidRDefault="009E529B">
      <w:pPr>
        <w:pStyle w:val="TOC1"/>
        <w:tabs>
          <w:tab w:val="right" w:leader="dot" w:pos="9060"/>
        </w:tabs>
        <w:rPr>
          <w:rFonts w:asciiTheme="minorHAnsi" w:eastAsiaTheme="minorEastAsia" w:hAnsiTheme="minorHAnsi" w:cstheme="minorBidi"/>
          <w:noProof/>
          <w:sz w:val="22"/>
          <w:szCs w:val="22"/>
          <w:lang w:val="en-GB"/>
        </w:rPr>
      </w:pPr>
      <w:r>
        <w:rPr>
          <w:noProof/>
        </w:rPr>
        <w:t>PASKAIDROJUMS</w:t>
      </w:r>
      <w:r>
        <w:rPr>
          <w:noProof/>
        </w:rPr>
        <w:tab/>
      </w:r>
      <w:r>
        <w:rPr>
          <w:noProof/>
        </w:rPr>
        <w:fldChar w:fldCharType="begin"/>
      </w:r>
      <w:r>
        <w:rPr>
          <w:noProof/>
        </w:rPr>
        <w:instrText xml:space="preserve"> PAGEREF _Toc486851200 \h </w:instrText>
      </w:r>
      <w:r>
        <w:rPr>
          <w:noProof/>
        </w:rPr>
      </w:r>
      <w:r>
        <w:rPr>
          <w:noProof/>
        </w:rPr>
        <w:fldChar w:fldCharType="separate"/>
      </w:r>
      <w:r>
        <w:rPr>
          <w:noProof/>
        </w:rPr>
        <w:t>7</w:t>
      </w:r>
      <w:r>
        <w:rPr>
          <w:noProof/>
        </w:rPr>
        <w:fldChar w:fldCharType="end"/>
      </w:r>
    </w:p>
    <w:p w:rsidR="009E529B" w:rsidRDefault="009E529B">
      <w:pPr>
        <w:pStyle w:val="TOC1"/>
        <w:tabs>
          <w:tab w:val="right" w:leader="dot" w:pos="9060"/>
        </w:tabs>
        <w:rPr>
          <w:rFonts w:asciiTheme="minorHAnsi" w:eastAsiaTheme="minorEastAsia" w:hAnsiTheme="minorHAnsi" w:cstheme="minorBidi"/>
          <w:noProof/>
          <w:sz w:val="22"/>
          <w:szCs w:val="22"/>
          <w:lang w:val="en-GB"/>
        </w:rPr>
      </w:pPr>
      <w:r>
        <w:rPr>
          <w:noProof/>
        </w:rPr>
        <w:t>ATBILDĪGĀS KOMITEJAS PROCEDŪRA</w:t>
      </w:r>
      <w:r>
        <w:rPr>
          <w:noProof/>
        </w:rPr>
        <w:tab/>
      </w:r>
      <w:r>
        <w:rPr>
          <w:noProof/>
        </w:rPr>
        <w:fldChar w:fldCharType="begin"/>
      </w:r>
      <w:r>
        <w:rPr>
          <w:noProof/>
        </w:rPr>
        <w:instrText xml:space="preserve"> PAGEREF _Toc486851201 \h </w:instrText>
      </w:r>
      <w:r>
        <w:rPr>
          <w:noProof/>
        </w:rPr>
      </w:r>
      <w:r>
        <w:rPr>
          <w:noProof/>
        </w:rPr>
        <w:fldChar w:fldCharType="separate"/>
      </w:r>
      <w:r>
        <w:rPr>
          <w:noProof/>
        </w:rPr>
        <w:t>8</w:t>
      </w:r>
      <w:r>
        <w:rPr>
          <w:noProof/>
        </w:rPr>
        <w:fldChar w:fldCharType="end"/>
      </w:r>
    </w:p>
    <w:p w:rsidR="009E529B" w:rsidRDefault="009E529B">
      <w:pPr>
        <w:pStyle w:val="TOC1"/>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_Toc486851202 \h </w:instrText>
      </w:r>
      <w:r>
        <w:rPr>
          <w:noProof/>
        </w:rPr>
      </w:r>
      <w:r>
        <w:rPr>
          <w:noProof/>
        </w:rPr>
        <w:fldChar w:fldCharType="separate"/>
      </w:r>
      <w:r>
        <w:rPr>
          <w:noProof/>
        </w:rPr>
        <w:t>9</w:t>
      </w:r>
      <w:r>
        <w:rPr>
          <w:noProof/>
        </w:rPr>
        <w:fldChar w:fldCharType="end"/>
      </w:r>
    </w:p>
    <w:p w:rsidR="00793EA9" w:rsidRPr="009E529B" w:rsidRDefault="001767E2" w:rsidP="002346B0">
      <w:r w:rsidRPr="009E529B">
        <w:rPr>
          <w:b/>
        </w:rPr>
        <w:fldChar w:fldCharType="end"/>
      </w:r>
    </w:p>
    <w:p w:rsidR="002346B0" w:rsidRPr="009E529B" w:rsidRDefault="002346B0" w:rsidP="002346B0"/>
    <w:p w:rsidR="002346B0" w:rsidRPr="009E529B" w:rsidRDefault="002346B0">
      <w:pPr>
        <w:pStyle w:val="PageHeading"/>
      </w:pPr>
    </w:p>
    <w:p w:rsidR="00793EA9" w:rsidRPr="009E529B" w:rsidRDefault="00793EA9">
      <w:pPr>
        <w:pStyle w:val="PageHeading"/>
      </w:pPr>
      <w:r w:rsidRPr="009E529B">
        <w:br w:type="page"/>
      </w:r>
      <w:r w:rsidRPr="009E529B">
        <w:lastRenderedPageBreak/>
        <w:br w:type="page"/>
      </w:r>
      <w:bookmarkStart w:id="2" w:name="_Toc486851199"/>
      <w:r w:rsidRPr="009E529B">
        <w:lastRenderedPageBreak/>
        <w:t>EIROPAS PARLAMENTA NORMATĪVĀS REZOLŪCIJAS PROJEKTS</w:t>
      </w:r>
      <w:bookmarkEnd w:id="2"/>
    </w:p>
    <w:p w:rsidR="00793EA9" w:rsidRPr="009E529B" w:rsidRDefault="0087480C">
      <w:pPr>
        <w:pStyle w:val="NormalBold"/>
      </w:pPr>
      <w:r w:rsidRPr="009E529B">
        <w:t>par priekšlikumu Eiropas Parlamenta un Padomes regulai, ar ko atceļ Padomes Regulu (EEK) Nr. 1101/89, Regulu (EK) Nr. 685/2001 un Regulu (EK) Nr. 2888/2000</w:t>
      </w:r>
    </w:p>
    <w:p w:rsidR="00793EA9" w:rsidRPr="009E529B" w:rsidRDefault="0087480C">
      <w:pPr>
        <w:pStyle w:val="Normal12Bold"/>
      </w:pPr>
      <w:r w:rsidRPr="009E529B">
        <w:t>(COM(2016)0745 – C8-0501/2016 – 2016/0368(COD))</w:t>
      </w:r>
    </w:p>
    <w:p w:rsidR="00793EA9" w:rsidRPr="009E529B" w:rsidRDefault="0087480C">
      <w:pPr>
        <w:pStyle w:val="Normal12Bold"/>
      </w:pPr>
      <w:r w:rsidRPr="009E529B">
        <w:t>(Parastā likumdošanas procedūra: pirmais lasījums)</w:t>
      </w:r>
    </w:p>
    <w:p w:rsidR="00793112" w:rsidRPr="009E529B" w:rsidRDefault="0087480C" w:rsidP="00793112">
      <w:pPr>
        <w:pStyle w:val="Normal12"/>
      </w:pPr>
      <w:r w:rsidRPr="009E529B">
        <w:rPr>
          <w:i/>
        </w:rPr>
        <w:t>Eiropas Parlaments</w:t>
      </w:r>
      <w:r w:rsidRPr="009E529B">
        <w:t>,</w:t>
      </w:r>
    </w:p>
    <w:p w:rsidR="00793112" w:rsidRPr="009E529B" w:rsidRDefault="00793112" w:rsidP="00793112">
      <w:pPr>
        <w:pStyle w:val="Normal12Hanging"/>
      </w:pPr>
      <w:r w:rsidRPr="009E529B">
        <w:t>–</w:t>
      </w:r>
      <w:r w:rsidRPr="009E529B">
        <w:tab/>
        <w:t>ņemot vērā Komisijas priekšlikumu Eiropas Parlamentam un Padomei (COM(2016)0745),</w:t>
      </w:r>
    </w:p>
    <w:p w:rsidR="00793112" w:rsidRPr="009E529B" w:rsidRDefault="00793112" w:rsidP="00793112">
      <w:pPr>
        <w:pStyle w:val="Normal12Hanging"/>
      </w:pPr>
      <w:r w:rsidRPr="009E529B">
        <w:t>–</w:t>
      </w:r>
      <w:r w:rsidRPr="009E529B">
        <w:tab/>
        <w:t>ņemot vērā Līguma par Eiropas Savienības darbību 294. panta 2. punktu un 91. pantu, saskaņā ar kuriem Komisija tam ir iesniegusi priekšlikumu (C8-0501/2016),</w:t>
      </w:r>
    </w:p>
    <w:p w:rsidR="00793112" w:rsidRPr="009E529B" w:rsidRDefault="00793112" w:rsidP="00793112">
      <w:pPr>
        <w:pStyle w:val="Normal12Hanging"/>
      </w:pPr>
      <w:r w:rsidRPr="009E529B">
        <w:t>–</w:t>
      </w:r>
      <w:r w:rsidRPr="009E529B">
        <w:tab/>
        <w:t>ņemot vērā Līguma par Eiropas Savienības darbību 294. panta 3. punktu,</w:t>
      </w:r>
    </w:p>
    <w:p w:rsidR="00793112" w:rsidRPr="009E529B" w:rsidRDefault="00793112" w:rsidP="00793112">
      <w:pPr>
        <w:pStyle w:val="Normal12Hanging"/>
      </w:pPr>
      <w:r w:rsidRPr="009E529B">
        <w:t>–</w:t>
      </w:r>
      <w:r w:rsidRPr="009E529B">
        <w:tab/>
        <w:t>ņemot vērā Eiropas Ekonomikas un sociālo lietu komitejas 2017. gada 29. marta atzinumu</w:t>
      </w:r>
      <w:r w:rsidRPr="009E529B">
        <w:rPr>
          <w:rStyle w:val="FootnoteReference"/>
        </w:rPr>
        <w:footnoteReference w:id="1"/>
      </w:r>
      <w:r w:rsidRPr="009E529B">
        <w:t>,</w:t>
      </w:r>
    </w:p>
    <w:p w:rsidR="00793112" w:rsidRPr="009E529B" w:rsidRDefault="00793112" w:rsidP="00793112">
      <w:pPr>
        <w:pStyle w:val="Normal12Hanging"/>
      </w:pPr>
      <w:r w:rsidRPr="009E529B">
        <w:t>–</w:t>
      </w:r>
      <w:r w:rsidRPr="009E529B">
        <w:tab/>
        <w:t>pēc apspriešanās ar Reģionu komiteju,</w:t>
      </w:r>
    </w:p>
    <w:p w:rsidR="00793112" w:rsidRPr="009E529B" w:rsidRDefault="00793112" w:rsidP="00793112">
      <w:pPr>
        <w:pStyle w:val="Normal12Hanging"/>
      </w:pPr>
      <w:r w:rsidRPr="009E529B">
        <w:t>–</w:t>
      </w:r>
      <w:r w:rsidRPr="009E529B">
        <w:tab/>
        <w:t>ņemot vērā Reglamenta 59. pantu,</w:t>
      </w:r>
    </w:p>
    <w:p w:rsidR="00793112" w:rsidRPr="009E529B" w:rsidRDefault="00793112" w:rsidP="00793112">
      <w:pPr>
        <w:pStyle w:val="Normal12Hanging"/>
      </w:pPr>
      <w:r w:rsidRPr="009E529B">
        <w:t>–</w:t>
      </w:r>
      <w:r w:rsidRPr="009E529B">
        <w:tab/>
        <w:t>ņemot vērā Transporta un tūrisma komitejas ziņojumu (A8-0228/2017),</w:t>
      </w:r>
    </w:p>
    <w:p w:rsidR="00793112" w:rsidRPr="009E529B" w:rsidRDefault="00793112" w:rsidP="00793112">
      <w:pPr>
        <w:pStyle w:val="Normal12Hanging"/>
      </w:pPr>
      <w:r w:rsidRPr="009E529B">
        <w:t>1.</w:t>
      </w:r>
      <w:r w:rsidRPr="009E529B">
        <w:tab/>
        <w:t>pieņem pirmajā lasījumā turpmāk izklāstīto nostāju;</w:t>
      </w:r>
    </w:p>
    <w:p w:rsidR="00793112" w:rsidRPr="009E529B" w:rsidRDefault="00793112" w:rsidP="00793112">
      <w:pPr>
        <w:pStyle w:val="Normal12Hanging"/>
      </w:pPr>
      <w:r w:rsidRPr="009E529B">
        <w:t>2.</w:t>
      </w:r>
      <w:r w:rsidRPr="009E529B">
        <w:tab/>
        <w:t>prasa Komisijai priekšlikumu iesniegt vēlreiz, ja tā šo priekšlikumu aizstāj ar citu tekstu, būtiski groza vai ir paredzējusi būtiski grozīt;</w:t>
      </w:r>
    </w:p>
    <w:p w:rsidR="00793112" w:rsidRPr="009E529B" w:rsidRDefault="00793112" w:rsidP="00793112">
      <w:pPr>
        <w:pStyle w:val="Normal12Hanging"/>
      </w:pPr>
      <w:r w:rsidRPr="009E529B">
        <w:t>3.</w:t>
      </w:r>
      <w:r w:rsidRPr="009E529B">
        <w:tab/>
      </w:r>
      <w:bookmarkStart w:id="3" w:name="restart"/>
      <w:r w:rsidRPr="009E529B">
        <w:t>uzdod priekšsēdētājam Parlamenta nostāju nosūtīt Padomei un Komisijai, kā arī dalībvalstu parlamentiem.</w:t>
      </w:r>
    </w:p>
    <w:p w:rsidR="002669B6" w:rsidRPr="009E529B" w:rsidRDefault="00793112" w:rsidP="00793112">
      <w:pPr>
        <w:pStyle w:val="Normal12"/>
      </w:pPr>
      <w:r w:rsidRPr="009E529B">
        <w:rPr>
          <w:rStyle w:val="HideTWBExt"/>
          <w:noProof w:val="0"/>
          <w:color w:val="auto"/>
        </w:rPr>
        <w:t>&lt;RepeatBlock-Amend&gt;&lt;Amend&gt;</w:t>
      </w:r>
      <w:r w:rsidRPr="009E529B">
        <w:rPr>
          <w:b/>
        </w:rPr>
        <w:t>Grozījums Nr.</w:t>
      </w:r>
      <w:r w:rsidRPr="009E529B">
        <w:tab/>
      </w:r>
      <w:r w:rsidRPr="009E529B">
        <w:tab/>
      </w:r>
      <w:r w:rsidRPr="009E529B">
        <w:rPr>
          <w:rStyle w:val="HideTWBExt"/>
          <w:noProof w:val="0"/>
          <w:color w:val="auto"/>
        </w:rPr>
        <w:t>&lt;NumAm&gt;</w:t>
      </w:r>
      <w:r w:rsidRPr="009E529B">
        <w:t>1</w:t>
      </w:r>
      <w:r w:rsidRPr="009E529B">
        <w:rPr>
          <w:rStyle w:val="HideTWBExt"/>
          <w:noProof w:val="0"/>
          <w:color w:val="auto"/>
        </w:rPr>
        <w:t>&lt;/NumAm&gt;</w:t>
      </w:r>
    </w:p>
    <w:p w:rsidR="002669B6" w:rsidRPr="009E529B" w:rsidRDefault="002669B6" w:rsidP="00212B84">
      <w:pPr>
        <w:pStyle w:val="NormalBold12b"/>
        <w:keepNext/>
      </w:pPr>
      <w:r w:rsidRPr="009E529B">
        <w:rPr>
          <w:rStyle w:val="HideTWBExt"/>
          <w:b w:val="0"/>
          <w:noProof w:val="0"/>
          <w:color w:val="auto"/>
        </w:rPr>
        <w:t>&lt;DocAmend&gt;</w:t>
      </w:r>
      <w:r w:rsidRPr="009E529B">
        <w:t>Regulas priekšlikums</w:t>
      </w:r>
      <w:r w:rsidRPr="009E529B">
        <w:rPr>
          <w:rStyle w:val="HideTWBExt"/>
          <w:b w:val="0"/>
          <w:noProof w:val="0"/>
          <w:color w:val="auto"/>
        </w:rPr>
        <w:t>&lt;/DocAmend&gt;</w:t>
      </w:r>
    </w:p>
    <w:p w:rsidR="002669B6" w:rsidRPr="009E529B" w:rsidRDefault="002669B6" w:rsidP="00DA6ED0">
      <w:pPr>
        <w:pStyle w:val="NormalBold"/>
        <w:keepNext/>
      </w:pPr>
      <w:r w:rsidRPr="009E529B">
        <w:rPr>
          <w:rStyle w:val="HideTWBExt"/>
          <w:b w:val="0"/>
          <w:noProof w:val="0"/>
          <w:color w:val="auto"/>
        </w:rPr>
        <w:t>&lt;Article&gt;</w:t>
      </w:r>
      <w:r w:rsidRPr="009E529B">
        <w:t>2. apsvērums</w:t>
      </w:r>
      <w:r w:rsidRPr="009E529B">
        <w:rPr>
          <w:rStyle w:val="HideTWBExt"/>
          <w:b w:val="0"/>
          <w:noProof w:val="0"/>
          <w:color w:val="auto"/>
        </w:rPr>
        <w:t>&lt;/Article&gt;</w:t>
      </w:r>
    </w:p>
    <w:p w:rsidR="002669B6" w:rsidRPr="009E529B" w:rsidRDefault="002669B6" w:rsidP="002669B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E529B" w:rsidRPr="009E529B" w:rsidTr="002669B6">
        <w:trPr>
          <w:jc w:val="center"/>
        </w:trPr>
        <w:tc>
          <w:tcPr>
            <w:tcW w:w="9752" w:type="dxa"/>
            <w:gridSpan w:val="2"/>
          </w:tcPr>
          <w:p w:rsidR="002669B6" w:rsidRPr="009E529B" w:rsidRDefault="002669B6" w:rsidP="00DA6ED0">
            <w:pPr>
              <w:keepNext/>
            </w:pPr>
          </w:p>
        </w:tc>
      </w:tr>
      <w:tr w:rsidR="009E529B" w:rsidRPr="009E529B" w:rsidTr="002669B6">
        <w:trPr>
          <w:jc w:val="center"/>
        </w:trPr>
        <w:tc>
          <w:tcPr>
            <w:tcW w:w="4876" w:type="dxa"/>
          </w:tcPr>
          <w:p w:rsidR="002669B6" w:rsidRPr="009E529B" w:rsidRDefault="009F2AAF" w:rsidP="00DA6ED0">
            <w:pPr>
              <w:pStyle w:val="ColumnHeading"/>
              <w:keepNext/>
            </w:pPr>
            <w:r w:rsidRPr="009E529B">
              <w:t>Komisijas ierosinātais teksts</w:t>
            </w:r>
          </w:p>
        </w:tc>
        <w:tc>
          <w:tcPr>
            <w:tcW w:w="4876" w:type="dxa"/>
          </w:tcPr>
          <w:p w:rsidR="002669B6" w:rsidRPr="009E529B" w:rsidRDefault="0087480C" w:rsidP="00DA6ED0">
            <w:pPr>
              <w:pStyle w:val="ColumnHeading"/>
              <w:keepNext/>
            </w:pPr>
            <w:r w:rsidRPr="009E529B">
              <w:t>Grozījums</w:t>
            </w:r>
          </w:p>
        </w:tc>
      </w:tr>
      <w:tr w:rsidR="009E529B" w:rsidRPr="009E529B" w:rsidTr="002669B6">
        <w:trPr>
          <w:jc w:val="center"/>
        </w:trPr>
        <w:tc>
          <w:tcPr>
            <w:tcW w:w="4876" w:type="dxa"/>
          </w:tcPr>
          <w:p w:rsidR="00793112" w:rsidRPr="009E529B" w:rsidRDefault="00793112" w:rsidP="00793112">
            <w:pPr>
              <w:pStyle w:val="Normal6"/>
            </w:pPr>
            <w:r w:rsidRPr="009E529B">
              <w:t>(2)</w:t>
            </w:r>
            <w:r w:rsidRPr="009E529B">
              <w:tab/>
              <w:t xml:space="preserve">Lai sakoptu tiesību aktu kopumu un mazinātu tā apjomu, jāveic tā regulāra analīze un jāapzina novecojušie tiesību akti. Novecojušo tiesību aktu atcelšana ir </w:t>
            </w:r>
            <w:r w:rsidRPr="009E529B">
              <w:lastRenderedPageBreak/>
              <w:t xml:space="preserve">lietderīga, jo tā gādā par tiesiskā regulējuma pārredzamību, skaidrību un to, lai dalībvalstīm un ieinteresētajām personām būtu vienkārši izmantot tiesību aktus, šajā gadījumā kravu autopārvadājumu </w:t>
            </w:r>
            <w:r w:rsidRPr="009E529B">
              <w:rPr>
                <w:b/>
                <w:i/>
              </w:rPr>
              <w:t>nozarē</w:t>
            </w:r>
            <w:r w:rsidRPr="009E529B">
              <w:t>.</w:t>
            </w:r>
          </w:p>
        </w:tc>
        <w:tc>
          <w:tcPr>
            <w:tcW w:w="4876" w:type="dxa"/>
          </w:tcPr>
          <w:p w:rsidR="00793112" w:rsidRPr="009E529B" w:rsidRDefault="00793112" w:rsidP="00793112">
            <w:pPr>
              <w:pStyle w:val="Normal6"/>
              <w:rPr>
                <w:szCs w:val="24"/>
              </w:rPr>
            </w:pPr>
            <w:r w:rsidRPr="009E529B">
              <w:lastRenderedPageBreak/>
              <w:t>(2)</w:t>
            </w:r>
            <w:r w:rsidRPr="009E529B">
              <w:tab/>
              <w:t xml:space="preserve">Lai sakoptu tiesību aktu kopumu un mazinātu tā apjomu, jāveic tā regulāra analīze un jāapzina novecojušie tiesību akti. Novecojušo tiesību aktu atcelšana ir </w:t>
            </w:r>
            <w:r w:rsidRPr="009E529B">
              <w:lastRenderedPageBreak/>
              <w:t xml:space="preserve">lietderīga, jo tā gādā par tiesiskā regulējuma pārredzamību, skaidrību un to, lai dalībvalstīm un ieinteresētajām personām būtu vienkārši izmantot tiesību aktus, šajā gadījumā </w:t>
            </w:r>
            <w:r w:rsidRPr="009E529B">
              <w:rPr>
                <w:b/>
                <w:i/>
              </w:rPr>
              <w:t xml:space="preserve">iekšējo ūdensceļu un </w:t>
            </w:r>
            <w:r w:rsidRPr="009E529B">
              <w:t xml:space="preserve">kravu autopārvadājumu </w:t>
            </w:r>
            <w:r w:rsidRPr="009E529B">
              <w:rPr>
                <w:b/>
                <w:i/>
              </w:rPr>
              <w:t>nozarēs</w:t>
            </w:r>
            <w:r w:rsidRPr="009E529B">
              <w:t>.</w:t>
            </w:r>
          </w:p>
        </w:tc>
      </w:tr>
    </w:tbl>
    <w:p w:rsidR="002669B6" w:rsidRPr="009E529B" w:rsidRDefault="002669B6" w:rsidP="002669B6">
      <w:pPr>
        <w:pStyle w:val="JustificationTitle"/>
      </w:pPr>
      <w:r w:rsidRPr="009E529B">
        <w:rPr>
          <w:rStyle w:val="HideTWBExt"/>
          <w:i w:val="0"/>
          <w:noProof w:val="0"/>
          <w:color w:val="auto"/>
        </w:rPr>
        <w:lastRenderedPageBreak/>
        <w:t>&lt;TitreJust&gt;</w:t>
      </w:r>
      <w:r w:rsidRPr="009E529B">
        <w:t>Pamatojums</w:t>
      </w:r>
      <w:r w:rsidRPr="009E529B">
        <w:rPr>
          <w:rStyle w:val="HideTWBExt"/>
          <w:i w:val="0"/>
          <w:noProof w:val="0"/>
          <w:color w:val="auto"/>
        </w:rPr>
        <w:t>&lt;/TitreJust&gt;</w:t>
      </w:r>
    </w:p>
    <w:p w:rsidR="002669B6" w:rsidRPr="009E529B" w:rsidRDefault="00793112" w:rsidP="002669B6">
      <w:pPr>
        <w:pStyle w:val="Normal12Italic"/>
      </w:pPr>
      <w:r w:rsidRPr="009E529B">
        <w:t>Ir ierosināts atcelt tiesību aktus gan iekšzemes ūdensceļu transporta, gan autopārvadājumu nozarē. Tas būtu jāatspoguļo apsvēruma tekstā.</w:t>
      </w:r>
    </w:p>
    <w:p w:rsidR="002669B6" w:rsidRPr="009E529B" w:rsidRDefault="002669B6" w:rsidP="002669B6">
      <w:r w:rsidRPr="009E529B">
        <w:rPr>
          <w:rStyle w:val="HideTWBExt"/>
          <w:noProof w:val="0"/>
          <w:color w:val="auto"/>
        </w:rPr>
        <w:t>&lt;/Amend&gt;</w:t>
      </w:r>
      <w:bookmarkEnd w:id="3"/>
    </w:p>
    <w:p w:rsidR="009F2AAF" w:rsidRPr="009E529B" w:rsidRDefault="009F2AAF" w:rsidP="00212B84">
      <w:pPr>
        <w:pStyle w:val="AMNumberTabs"/>
        <w:keepNext/>
      </w:pPr>
      <w:r w:rsidRPr="009E529B">
        <w:rPr>
          <w:rStyle w:val="HideTWBExt"/>
          <w:b w:val="0"/>
          <w:noProof w:val="0"/>
          <w:color w:val="auto"/>
        </w:rPr>
        <w:t>&lt;Amend&gt;</w:t>
      </w:r>
      <w:r w:rsidRPr="009E529B">
        <w:t>Grozījums Nr.</w:t>
      </w:r>
      <w:r w:rsidRPr="009E529B">
        <w:tab/>
      </w:r>
      <w:r w:rsidRPr="009E529B">
        <w:tab/>
      </w:r>
      <w:r w:rsidRPr="009E529B">
        <w:rPr>
          <w:rStyle w:val="HideTWBExt"/>
          <w:b w:val="0"/>
          <w:noProof w:val="0"/>
          <w:color w:val="auto"/>
        </w:rPr>
        <w:t>&lt;NumAm&gt;</w:t>
      </w:r>
      <w:r w:rsidRPr="009E529B">
        <w:t>2</w:t>
      </w:r>
      <w:r w:rsidRPr="009E529B">
        <w:rPr>
          <w:rStyle w:val="HideTWBExt"/>
          <w:b w:val="0"/>
          <w:noProof w:val="0"/>
          <w:color w:val="auto"/>
        </w:rPr>
        <w:t>&lt;/NumAm&gt;</w:t>
      </w:r>
    </w:p>
    <w:p w:rsidR="009F2AAF" w:rsidRPr="009E529B" w:rsidRDefault="009F2AAF" w:rsidP="00212B84">
      <w:pPr>
        <w:pStyle w:val="NormalBold12b"/>
        <w:keepNext/>
      </w:pPr>
      <w:r w:rsidRPr="009E529B">
        <w:rPr>
          <w:rStyle w:val="HideTWBExt"/>
          <w:b w:val="0"/>
          <w:noProof w:val="0"/>
          <w:color w:val="auto"/>
        </w:rPr>
        <w:t>&lt;DocAmend&gt;</w:t>
      </w:r>
      <w:r w:rsidRPr="009E529B">
        <w:t>Regulas priekšlikums</w:t>
      </w:r>
      <w:r w:rsidRPr="009E529B">
        <w:rPr>
          <w:rStyle w:val="HideTWBExt"/>
          <w:b w:val="0"/>
          <w:noProof w:val="0"/>
          <w:color w:val="auto"/>
        </w:rPr>
        <w:t>&lt;/DocAmend&gt;</w:t>
      </w:r>
    </w:p>
    <w:p w:rsidR="009F2AAF" w:rsidRPr="009E529B" w:rsidRDefault="009F2AAF" w:rsidP="00DA6ED0">
      <w:pPr>
        <w:pStyle w:val="NormalBold"/>
        <w:keepNext/>
      </w:pPr>
      <w:r w:rsidRPr="009E529B">
        <w:rPr>
          <w:rStyle w:val="HideTWBExt"/>
          <w:b w:val="0"/>
          <w:noProof w:val="0"/>
          <w:color w:val="auto"/>
        </w:rPr>
        <w:t>&lt;Article&gt;</w:t>
      </w:r>
      <w:r w:rsidRPr="009E529B">
        <w:t>3. apsvērums</w:t>
      </w:r>
      <w:r w:rsidRPr="009E529B">
        <w:rPr>
          <w:rStyle w:val="HideTWBExt"/>
          <w:b w:val="0"/>
          <w:noProof w:val="0"/>
          <w:color w:val="auto"/>
        </w:rPr>
        <w:t>&lt;/Article&gt;</w:t>
      </w:r>
    </w:p>
    <w:p w:rsidR="009F2AAF" w:rsidRPr="009E529B" w:rsidRDefault="009F2AAF" w:rsidP="002669B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E529B" w:rsidRPr="009E529B" w:rsidTr="002669B6">
        <w:trPr>
          <w:jc w:val="center"/>
        </w:trPr>
        <w:tc>
          <w:tcPr>
            <w:tcW w:w="9752" w:type="dxa"/>
            <w:gridSpan w:val="2"/>
          </w:tcPr>
          <w:p w:rsidR="009F2AAF" w:rsidRPr="009E529B" w:rsidRDefault="009F2AAF" w:rsidP="00DA6ED0">
            <w:pPr>
              <w:keepNext/>
            </w:pPr>
          </w:p>
        </w:tc>
      </w:tr>
      <w:tr w:rsidR="009E529B" w:rsidRPr="009E529B" w:rsidTr="002669B6">
        <w:trPr>
          <w:jc w:val="center"/>
        </w:trPr>
        <w:tc>
          <w:tcPr>
            <w:tcW w:w="4876" w:type="dxa"/>
          </w:tcPr>
          <w:p w:rsidR="009F2AAF" w:rsidRPr="009E529B" w:rsidRDefault="009F2AAF" w:rsidP="00DA6ED0">
            <w:pPr>
              <w:pStyle w:val="ColumnHeading"/>
              <w:keepNext/>
            </w:pPr>
            <w:r w:rsidRPr="009E529B">
              <w:t>Komisijas ierosinātais teksts</w:t>
            </w:r>
          </w:p>
        </w:tc>
        <w:tc>
          <w:tcPr>
            <w:tcW w:w="4876" w:type="dxa"/>
          </w:tcPr>
          <w:p w:rsidR="009F2AAF" w:rsidRPr="009E529B" w:rsidRDefault="009F2AAF" w:rsidP="00DA6ED0">
            <w:pPr>
              <w:pStyle w:val="ColumnHeading"/>
              <w:keepNext/>
            </w:pPr>
            <w:r w:rsidRPr="009E529B">
              <w:t>Grozījums</w:t>
            </w:r>
          </w:p>
        </w:tc>
      </w:tr>
      <w:tr w:rsidR="009E529B" w:rsidRPr="009E529B" w:rsidTr="00F976E9">
        <w:trPr>
          <w:jc w:val="center"/>
        </w:trPr>
        <w:tc>
          <w:tcPr>
            <w:tcW w:w="4876" w:type="dxa"/>
          </w:tcPr>
          <w:p w:rsidR="00793112" w:rsidRPr="009E529B" w:rsidRDefault="00793112" w:rsidP="00F976E9">
            <w:pPr>
              <w:pStyle w:val="Normal6"/>
            </w:pPr>
            <w:r w:rsidRPr="009E529B">
              <w:t>(3)</w:t>
            </w:r>
            <w:r w:rsidRPr="009E529B">
              <w:tab/>
              <w:t>Padome 1989. gadā pieņēma Regulu (EEK) Nr. 1101/89. Pēc desmit gadiem Padome pieņēma Regulu (EK) Nr.</w:t>
            </w:r>
            <w:r w:rsidRPr="009E529B">
              <w:rPr>
                <w:b/>
                <w:i/>
              </w:rPr>
              <w:t xml:space="preserve"> </w:t>
            </w:r>
            <w:r w:rsidRPr="009E529B">
              <w:t>718/1999, kuras mērķis bija nodrošināt, ka iekšējo ūdensceļu transporta nozarē joprojām ir pieejami atbilstīgi rīki, un pārvaldīt flotes jaudu. Minētā regula attiecās uz to pašu priekšmetu kā Regula (EEK) Nr. 1101/89, tomēr to neatceļot.</w:t>
            </w:r>
          </w:p>
        </w:tc>
        <w:tc>
          <w:tcPr>
            <w:tcW w:w="4876" w:type="dxa"/>
          </w:tcPr>
          <w:p w:rsidR="00793112" w:rsidRPr="009E529B" w:rsidRDefault="00793112" w:rsidP="00F976E9">
            <w:pPr>
              <w:pStyle w:val="Normal6"/>
              <w:rPr>
                <w:szCs w:val="24"/>
              </w:rPr>
            </w:pPr>
            <w:r w:rsidRPr="009E529B">
              <w:t>(3)</w:t>
            </w:r>
            <w:r w:rsidRPr="009E529B">
              <w:tab/>
              <w:t>Padome 1989. gadā pieņēma Regulu (EEK) Nr. 1101/89. Pēc desmit gadiem Padome pieņēma Regulu (EK) Nr.</w:t>
            </w:r>
            <w:r w:rsidRPr="009E529B">
              <w:rPr>
                <w:b/>
                <w:i/>
              </w:rPr>
              <w:t> </w:t>
            </w:r>
            <w:r w:rsidRPr="009E529B">
              <w:t>718/1999,</w:t>
            </w:r>
            <w:r w:rsidRPr="009E529B">
              <w:rPr>
                <w:b/>
                <w:i/>
              </w:rPr>
              <w:t xml:space="preserve"> kura grozīta ar Eiropas Parlamenta un Padomes Regulu (ES) Nr. 546/2014</w:t>
            </w:r>
            <w:r w:rsidRPr="009E529B">
              <w:rPr>
                <w:b/>
                <w:i/>
                <w:vertAlign w:val="superscript"/>
              </w:rPr>
              <w:t>1a</w:t>
            </w:r>
            <w:r w:rsidRPr="009E529B">
              <w:rPr>
                <w:b/>
                <w:i/>
              </w:rPr>
              <w:t xml:space="preserve"> un</w:t>
            </w:r>
            <w:r w:rsidRPr="009E529B">
              <w:t xml:space="preserve"> kuras mērķis bija nodrošināt, ka iekšējo ūdensceļu transporta nozarē joprojām ir pieejami atbilstīgi rīki, un pārvaldīt flotes jaudu. Minētā regula attiecās uz to pašu priekšmetu kā Regula (EEK) Nr. 1101/89, tomēr to neatceļot.</w:t>
            </w:r>
          </w:p>
        </w:tc>
      </w:tr>
      <w:tr w:rsidR="009E529B" w:rsidRPr="009E529B" w:rsidTr="00F976E9">
        <w:trPr>
          <w:jc w:val="center"/>
        </w:trPr>
        <w:tc>
          <w:tcPr>
            <w:tcW w:w="4876" w:type="dxa"/>
          </w:tcPr>
          <w:p w:rsidR="00793112" w:rsidRPr="009E529B" w:rsidRDefault="00793112" w:rsidP="00F976E9">
            <w:pPr>
              <w:pStyle w:val="Normal6"/>
            </w:pPr>
          </w:p>
        </w:tc>
        <w:tc>
          <w:tcPr>
            <w:tcW w:w="4876" w:type="dxa"/>
          </w:tcPr>
          <w:p w:rsidR="00793112" w:rsidRPr="009E529B" w:rsidRDefault="00793112" w:rsidP="00F976E9">
            <w:pPr>
              <w:pStyle w:val="Normal6"/>
            </w:pPr>
            <w:r w:rsidRPr="009E529B">
              <w:t>_______________</w:t>
            </w:r>
          </w:p>
        </w:tc>
      </w:tr>
      <w:tr w:rsidR="009E529B" w:rsidRPr="009E529B" w:rsidTr="00F976E9">
        <w:trPr>
          <w:jc w:val="center"/>
        </w:trPr>
        <w:tc>
          <w:tcPr>
            <w:tcW w:w="4876" w:type="dxa"/>
          </w:tcPr>
          <w:p w:rsidR="00793112" w:rsidRPr="009E529B" w:rsidRDefault="00793112" w:rsidP="00F976E9">
            <w:pPr>
              <w:pStyle w:val="Normal6"/>
            </w:pPr>
          </w:p>
        </w:tc>
        <w:tc>
          <w:tcPr>
            <w:tcW w:w="4876" w:type="dxa"/>
          </w:tcPr>
          <w:p w:rsidR="00793112" w:rsidRPr="009E529B" w:rsidRDefault="00793112" w:rsidP="00F976E9">
            <w:pPr>
              <w:pStyle w:val="Normal6"/>
            </w:pPr>
            <w:r w:rsidRPr="009E529B">
              <w:rPr>
                <w:b/>
                <w:bCs/>
                <w:i/>
                <w:vertAlign w:val="superscript"/>
              </w:rPr>
              <w:t>1a</w:t>
            </w:r>
            <w:r w:rsidRPr="009E529B">
              <w:rPr>
                <w:b/>
                <w:bCs/>
                <w:i/>
              </w:rPr>
              <w:t>Eiropas Parlamenta un Padomes Regula (ES) Nr. 546/2014 (2014. gada 15. maijs), ar ko groza Padomes Regulu (EK) Nr. 718/1999 par Kopienas flotes jaudas politiku iekšējo ūdensceļu pārvadājumu veicināšanai (OV L 163, 29.5.2014., 15. lpp.).</w:t>
            </w:r>
          </w:p>
        </w:tc>
      </w:tr>
    </w:tbl>
    <w:p w:rsidR="00793112" w:rsidRPr="009E529B" w:rsidRDefault="00793112" w:rsidP="00793112">
      <w:pPr>
        <w:pStyle w:val="JustificationTitle"/>
      </w:pPr>
      <w:r w:rsidRPr="009E529B">
        <w:rPr>
          <w:rStyle w:val="HideTWBExt"/>
          <w:i w:val="0"/>
          <w:noProof w:val="0"/>
          <w:color w:val="auto"/>
        </w:rPr>
        <w:t>&lt;TitreJust&gt;</w:t>
      </w:r>
      <w:r w:rsidRPr="009E529B">
        <w:t>Pamatojums</w:t>
      </w:r>
      <w:r w:rsidRPr="009E529B">
        <w:rPr>
          <w:rStyle w:val="HideTWBExt"/>
          <w:i w:val="0"/>
          <w:noProof w:val="0"/>
          <w:color w:val="auto"/>
        </w:rPr>
        <w:t>&lt;/TitreJust&gt;</w:t>
      </w:r>
    </w:p>
    <w:p w:rsidR="00793112" w:rsidRPr="009E529B" w:rsidRDefault="00793112" w:rsidP="00793112">
      <w:pPr>
        <w:pStyle w:val="Normal12Italic"/>
      </w:pPr>
      <w:r w:rsidRPr="009E529B">
        <w:t>Ar Regulu Nr. 546/2014 tika ieviests priekšmets, uz ko attiecas atceltā Regula Nr. 1101/89. Tādēļ apsvērumā ir vērts atsaukties uz Regulu Nr. 548/2011.</w:t>
      </w:r>
      <w:r w:rsidRPr="009E529B">
        <w:rPr>
          <w:rStyle w:val="HideTWBExt"/>
          <w:i w:val="0"/>
          <w:noProof w:val="0"/>
          <w:color w:val="auto"/>
        </w:rPr>
        <w:t>&lt;/Amend&gt;&lt;/RepeatBlock-Amend&gt;</w:t>
      </w:r>
    </w:p>
    <w:p w:rsidR="009F2AAF" w:rsidRPr="009E529B" w:rsidRDefault="009F2AAF" w:rsidP="009F2AAF">
      <w:pPr>
        <w:pStyle w:val="PageHeading"/>
      </w:pPr>
      <w:r w:rsidRPr="009E529B">
        <w:rPr>
          <w:rStyle w:val="HideTWBExt"/>
          <w:noProof w:val="0"/>
          <w:vanish w:val="0"/>
          <w:color w:val="auto"/>
          <w:sz w:val="24"/>
        </w:rPr>
        <w:br w:type="page"/>
      </w:r>
      <w:bookmarkStart w:id="4" w:name="_Toc486851200"/>
      <w:r w:rsidRPr="009E529B">
        <w:lastRenderedPageBreak/>
        <w:t>PASKAIDROJUMS</w:t>
      </w:r>
      <w:bookmarkEnd w:id="4"/>
    </w:p>
    <w:p w:rsidR="009F2AAF" w:rsidRPr="009E529B" w:rsidRDefault="009F2AAF" w:rsidP="009F2AAF">
      <w:pPr>
        <w:pStyle w:val="Normal12Italic"/>
        <w:rPr>
          <w:b/>
          <w:i w:val="0"/>
        </w:rPr>
      </w:pPr>
    </w:p>
    <w:p w:rsidR="009F2AAF" w:rsidRPr="009E529B" w:rsidRDefault="009F2AAF" w:rsidP="009F2AAF">
      <w:pPr>
        <w:pStyle w:val="Normal12Italic"/>
        <w:rPr>
          <w:b/>
          <w:i w:val="0"/>
        </w:rPr>
      </w:pPr>
      <w:r w:rsidRPr="009E529B">
        <w:rPr>
          <w:b/>
          <w:i w:val="0"/>
        </w:rPr>
        <w:t>Vispārīga sistēma</w:t>
      </w:r>
    </w:p>
    <w:p w:rsidR="00954644" w:rsidRPr="009E529B" w:rsidRDefault="00954644" w:rsidP="00954644">
      <w:pPr>
        <w:pStyle w:val="Normal12Italic"/>
        <w:rPr>
          <w:i w:val="0"/>
        </w:rPr>
      </w:pPr>
      <w:r w:rsidRPr="009E529B">
        <w:rPr>
          <w:i w:val="0"/>
        </w:rPr>
        <w:t>Eiropas Parlaments, Eiropas Savienības Padome un Eiropas Komisija 2016. gada 13. aprīļa Iestāžu nolīgumā par labāku likumdošanas procesu ir apstiprinājuši kopīgo apņemšanos atjaunināt un vienkāršot tiesību aktus.</w:t>
      </w:r>
    </w:p>
    <w:p w:rsidR="009F2AAF" w:rsidRPr="009E529B" w:rsidRDefault="00954644" w:rsidP="00954644">
      <w:pPr>
        <w:pStyle w:val="Normal12Italic"/>
        <w:rPr>
          <w:i w:val="0"/>
        </w:rPr>
      </w:pPr>
      <w:r w:rsidRPr="009E529B">
        <w:rPr>
          <w:i w:val="0"/>
        </w:rPr>
        <w:t>Lai sakoptu tiesību aktu kopumu un mazinātu tā apjomu, jāveic tā regulāra analīze un jāapzina novecojušie tiesību akti. Novecojušo tiesību aktu atcelšana ir lietderīga, jo tā gādā par tiesiskā regulējuma pārredzamību, skaidrību un to, lai dalībvalstīm un ieinteresētajām personām būtu vienkārši izmantot tiesību aktus, šajā gadījumā kravu autopārvadājumu nozarē.</w:t>
      </w:r>
    </w:p>
    <w:p w:rsidR="009F2AAF" w:rsidRPr="009E529B" w:rsidRDefault="009F2AAF" w:rsidP="009F2AAF">
      <w:pPr>
        <w:pStyle w:val="Normal12Italic"/>
        <w:rPr>
          <w:b/>
          <w:i w:val="0"/>
        </w:rPr>
      </w:pPr>
      <w:r w:rsidRPr="009E529B">
        <w:rPr>
          <w:b/>
          <w:i w:val="0"/>
        </w:rPr>
        <w:t>Priekšmets</w:t>
      </w:r>
    </w:p>
    <w:p w:rsidR="00954644" w:rsidRPr="009E529B" w:rsidRDefault="00954644" w:rsidP="00954644">
      <w:pPr>
        <w:pStyle w:val="Normal12Italic"/>
        <w:rPr>
          <w:i w:val="0"/>
        </w:rPr>
      </w:pPr>
      <w:r w:rsidRPr="009E529B">
        <w:rPr>
          <w:i w:val="0"/>
        </w:rPr>
        <w:t>Ar Regulu (EEK) Nr. 1101/89 tika ieviesti pasākumi strukturāliem uzlabojumiem iekšējo ūdensceļu transporta nozarē flotēm, kas tiek ekspluatētas savienotos Beļģijas, Vācijas, Francijas, Luksemburgas, Nīderlandes un Austrijas iekšējo ūdensceļu tīklos. Minētās regulas mērķis bija mazināt jaudas pārpalikumu iekšējo ūdensceļu flotēs, izmantojot sistēmas kuģu norakstīšanai lūžņos, kuras koordinē Kopienas līmenī. Šī regula zaudēja spēku 1999. gada 29. aprīlī, kad stājās spēkā Regula (EK) Nr. 718/1999.</w:t>
      </w:r>
    </w:p>
    <w:p w:rsidR="00954644" w:rsidRPr="009E529B" w:rsidRDefault="00954644" w:rsidP="00954644">
      <w:pPr>
        <w:pStyle w:val="Normal12Italic"/>
        <w:rPr>
          <w:i w:val="0"/>
        </w:rPr>
      </w:pPr>
      <w:r w:rsidRPr="009E529B">
        <w:rPr>
          <w:i w:val="0"/>
        </w:rPr>
        <w:t>Ar Regulu (EK) Nr. 2888/2000 starp Kopienas dalībvalstīm tika sadalītas kvotas smagajām kravas automašīnām 2001.–2004. gadam, kuras Kopiena bija saņēmusi no Šveices. Tā kā kopš 2005. gada vairs nav vajadzības sadalīt kvotas starp dalībvalstīm, Regula (EK) Nr. 2888/2000 ir novecojusi un būtu jāatceļ.</w:t>
      </w:r>
    </w:p>
    <w:p w:rsidR="00954644" w:rsidRPr="009E529B" w:rsidRDefault="00954644" w:rsidP="00954644">
      <w:pPr>
        <w:pStyle w:val="Normal12Italic"/>
        <w:rPr>
          <w:i w:val="0"/>
        </w:rPr>
      </w:pPr>
      <w:r w:rsidRPr="009E529B">
        <w:rPr>
          <w:i w:val="0"/>
        </w:rPr>
        <w:t>Regulā (EK) Nr. 685/2001 paredzēti noteikumi par to, kā dalībvalstu starpā sadalāmas atļaujas, kuras Kopienai pieejamas saskaņā ar Eiropas Kopienas un Bulgārijas Republikas un Eiropas Kopienas un Rumānijas nolīgumiem, ar ko paredz dažus nosacījumus kravu autopārvadājumiem un kombinēto pārvadājumu veicināšanai. Šī regula ir novecojusi, jo Bulgārija un Rumānija ir pievienojušās Eiropas Savienībai.</w:t>
      </w:r>
    </w:p>
    <w:p w:rsidR="00954644" w:rsidRPr="009E529B" w:rsidRDefault="00954644" w:rsidP="00954644">
      <w:pPr>
        <w:pStyle w:val="Normal12Italic"/>
        <w:rPr>
          <w:b/>
          <w:i w:val="0"/>
        </w:rPr>
      </w:pPr>
      <w:r w:rsidRPr="009E529B">
        <w:rPr>
          <w:b/>
          <w:i w:val="0"/>
        </w:rPr>
        <w:t xml:space="preserve">Referentes nostāja </w:t>
      </w:r>
    </w:p>
    <w:p w:rsidR="00954644" w:rsidRPr="009E529B" w:rsidRDefault="00954644" w:rsidP="00954644">
      <w:pPr>
        <w:pStyle w:val="Normal12Italic"/>
        <w:rPr>
          <w:i w:val="0"/>
        </w:rPr>
      </w:pPr>
      <w:r w:rsidRPr="009E529B">
        <w:rPr>
          <w:i w:val="0"/>
        </w:rPr>
        <w:t>Referente ir izvērtējusi priekšlikumu un ierosina atbalstīt Regulu (EEK) Nr. 1101/89, (EK) Nr. 2888/2000 un (EK) Nr. 685/2001 atcelšanu, kā to ierosinājusi Komisija.</w:t>
      </w:r>
    </w:p>
    <w:p w:rsidR="00954644" w:rsidRPr="009E529B" w:rsidRDefault="00954644" w:rsidP="002919F6">
      <w:pPr>
        <w:pStyle w:val="Normal12Italic"/>
      </w:pPr>
      <w:r w:rsidRPr="009E529B">
        <w:t>Padome arī ierosina pieņemt Komisijas priekšlikumu, taču ieviesa divas izmaiņas apsvērumā, kuras uzlabo tekstu. Referente ierosina šīs divas izmaiņas kā Eiropas Parlamenta grozījumus. Ja šīs izmaiņas pieņems Eiropas Parlaments, Padome varētu pieņemt EP nostāju pirmajā lasījumā bez grozījumiem. Tādējādi varētu izvairīties no trialogiem, pēc kuriem šajā jautājumā nav īstas nepieciešamības.</w:t>
      </w:r>
    </w:p>
    <w:p w:rsidR="002919F6" w:rsidRPr="009E529B" w:rsidRDefault="002919F6" w:rsidP="002919F6">
      <w:pPr>
        <w:pStyle w:val="PageHeading"/>
      </w:pPr>
      <w:r w:rsidRPr="009E529B">
        <w:br w:type="page"/>
      </w:r>
      <w:bookmarkStart w:id="5" w:name="ProcPageRR"/>
      <w:bookmarkStart w:id="6" w:name="_Toc486851201"/>
      <w:r w:rsidRPr="009E529B">
        <w:lastRenderedPageBreak/>
        <w:t>ATBILDĪGĀS KOMITEJAS PROCEDŪRA</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Priekšlikums Eiropas Parlamenta un Padomes regulai, ar ko atceļ Padomes Regulu (EEK) Nr. 1101/89, Regulu (EK) Nr. 685/2001 un Regulu (EK) Nr. 2888/2000</w:t>
            </w:r>
          </w:p>
        </w:tc>
      </w:tr>
      <w:tr w:rsidR="009E529B"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COM(2016)0745 – C8-0501/2016 – 2016/0368(COD)</w:t>
            </w:r>
          </w:p>
        </w:tc>
      </w:tr>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Datums, kad to iesniedza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Atbildīgā komiteja</w:t>
            </w:r>
          </w:p>
          <w:p w:rsidR="002919F6" w:rsidRPr="009E529B" w:rsidRDefault="002919F6">
            <w:pPr>
              <w:autoSpaceDE w:val="0"/>
              <w:autoSpaceDN w:val="0"/>
              <w:adjustRightInd w:val="0"/>
              <w:rPr>
                <w:sz w:val="20"/>
              </w:rPr>
            </w:pPr>
            <w:r w:rsidRPr="009E529B">
              <w:rPr>
                <w:sz w:val="20"/>
              </w:rPr>
              <w:t>       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TRAN</w:t>
            </w:r>
          </w:p>
          <w:p w:rsidR="002919F6" w:rsidRPr="009E529B" w:rsidRDefault="002919F6">
            <w:pPr>
              <w:autoSpaceDE w:val="0"/>
              <w:autoSpaceDN w:val="0"/>
              <w:adjustRightInd w:val="0"/>
              <w:rPr>
                <w:sz w:val="20"/>
              </w:rPr>
            </w:pPr>
            <w:r w:rsidRPr="009E529B">
              <w:rPr>
                <w:sz w:val="20"/>
              </w:rPr>
              <w:t>12.12.2016</w:t>
            </w:r>
          </w:p>
        </w:tc>
        <w:tc>
          <w:tcPr>
            <w:tcW w:w="1474"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Komitejas, kurām lūgts sniegt atzinumu</w:t>
            </w:r>
          </w:p>
          <w:p w:rsidR="002919F6" w:rsidRPr="009E529B" w:rsidRDefault="002919F6">
            <w:pPr>
              <w:autoSpaceDE w:val="0"/>
              <w:autoSpaceDN w:val="0"/>
              <w:adjustRightInd w:val="0"/>
              <w:rPr>
                <w:sz w:val="20"/>
              </w:rPr>
            </w:pPr>
            <w:r w:rsidRPr="009E529B">
              <w:rPr>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ITRE</w:t>
            </w:r>
          </w:p>
          <w:p w:rsidR="002919F6" w:rsidRPr="009E529B" w:rsidRDefault="002919F6">
            <w:pPr>
              <w:autoSpaceDE w:val="0"/>
              <w:autoSpaceDN w:val="0"/>
              <w:adjustRightInd w:val="0"/>
              <w:rPr>
                <w:sz w:val="20"/>
              </w:rPr>
            </w:pPr>
            <w:r w:rsidRPr="009E529B">
              <w:rPr>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Komitejas, kurām lūgts sniegt atzinumu</w:t>
            </w:r>
          </w:p>
          <w:p w:rsidR="002919F6" w:rsidRPr="009E529B" w:rsidRDefault="002919F6">
            <w:pPr>
              <w:autoSpaceDE w:val="0"/>
              <w:autoSpaceDN w:val="0"/>
              <w:adjustRightInd w:val="0"/>
              <w:rPr>
                <w:sz w:val="20"/>
              </w:rPr>
            </w:pPr>
            <w:r w:rsidRPr="009E529B">
              <w:rPr>
                <w:sz w:val="20"/>
              </w:rPr>
              <w:t>       Lēmuma datums</w:t>
            </w:r>
          </w:p>
        </w:tc>
        <w:tc>
          <w:tcPr>
            <w:tcW w:w="1530"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ITRE</w:t>
            </w:r>
          </w:p>
          <w:p w:rsidR="002919F6" w:rsidRPr="009E529B" w:rsidRDefault="002919F6">
            <w:pPr>
              <w:autoSpaceDE w:val="0"/>
              <w:autoSpaceDN w:val="0"/>
              <w:adjustRightInd w:val="0"/>
              <w:rPr>
                <w:sz w:val="20"/>
              </w:rPr>
            </w:pPr>
            <w:r w:rsidRPr="009E529B">
              <w:rPr>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Referenti</w:t>
            </w:r>
          </w:p>
          <w:p w:rsidR="002919F6" w:rsidRPr="009E529B" w:rsidRDefault="002919F6">
            <w:pPr>
              <w:autoSpaceDE w:val="0"/>
              <w:autoSpaceDN w:val="0"/>
              <w:adjustRightInd w:val="0"/>
              <w:rPr>
                <w:sz w:val="20"/>
              </w:rPr>
            </w:pPr>
            <w:r w:rsidRPr="009E529B">
              <w:rPr>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Karima Delli</w:t>
            </w:r>
          </w:p>
          <w:p w:rsidR="002919F6" w:rsidRPr="009E529B" w:rsidRDefault="002919F6">
            <w:pPr>
              <w:autoSpaceDE w:val="0"/>
              <w:autoSpaceDN w:val="0"/>
              <w:adjustRightInd w:val="0"/>
              <w:rPr>
                <w:sz w:val="20"/>
              </w:rPr>
            </w:pPr>
            <w:r w:rsidRPr="009E529B">
              <w:rPr>
                <w:sz w:val="20"/>
              </w:rPr>
              <w:t>12.4.2017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20.6.2017</w:t>
            </w:r>
          </w:p>
        </w:tc>
        <w:tc>
          <w:tcPr>
            <w:tcW w:w="1474"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rFonts w:ascii="sans-serif" w:hAnsi="sans-serif" w:cs="sans-serif"/>
                <w:szCs w:val="24"/>
              </w:rPr>
            </w:pPr>
          </w:p>
        </w:tc>
      </w:tr>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w:t>
            </w:r>
          </w:p>
          <w:p w:rsidR="002919F6" w:rsidRPr="009E529B" w:rsidRDefault="002919F6">
            <w:pPr>
              <w:autoSpaceDE w:val="0"/>
              <w:autoSpaceDN w:val="0"/>
              <w:adjustRightInd w:val="0"/>
              <w:rPr>
                <w:sz w:val="20"/>
              </w:rPr>
            </w:pPr>
            <w:r w:rsidRPr="009E529B">
              <w:rPr>
                <w:sz w:val="20"/>
              </w:rPr>
              <w:t>–:</w:t>
            </w:r>
          </w:p>
          <w:p w:rsidR="002919F6" w:rsidRPr="009E529B" w:rsidRDefault="002919F6">
            <w:pPr>
              <w:autoSpaceDE w:val="0"/>
              <w:autoSpaceDN w:val="0"/>
              <w:adjustRightInd w:val="0"/>
              <w:rPr>
                <w:sz w:val="20"/>
              </w:rPr>
            </w:pPr>
            <w:r w:rsidRPr="009E529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38</w:t>
            </w:r>
          </w:p>
          <w:p w:rsidR="002919F6" w:rsidRPr="009E529B" w:rsidRDefault="002919F6">
            <w:pPr>
              <w:autoSpaceDE w:val="0"/>
              <w:autoSpaceDN w:val="0"/>
              <w:adjustRightInd w:val="0"/>
              <w:rPr>
                <w:sz w:val="20"/>
              </w:rPr>
            </w:pPr>
            <w:r w:rsidRPr="009E529B">
              <w:rPr>
                <w:sz w:val="20"/>
              </w:rPr>
              <w:t>1</w:t>
            </w:r>
          </w:p>
          <w:p w:rsidR="002919F6" w:rsidRPr="009E529B" w:rsidRDefault="002919F6">
            <w:pPr>
              <w:autoSpaceDE w:val="0"/>
              <w:autoSpaceDN w:val="0"/>
              <w:adjustRightInd w:val="0"/>
              <w:rPr>
                <w:sz w:val="20"/>
              </w:rPr>
            </w:pPr>
            <w:r w:rsidRPr="009E529B">
              <w:rPr>
                <w:sz w:val="20"/>
              </w:rPr>
              <w:t>0</w:t>
            </w:r>
          </w:p>
        </w:tc>
      </w:tr>
      <w:tr w:rsidR="009E529B" w:rsidRPr="009E52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Daniela Aiuto, Lucy Anderson, Georges Bach, Izaskun Bilbao Barandica, Deirdre Clune, Michael Cramer, Andor Deli, Isabella De Monte, Ismail Ertug, Jacqueline Foster, Dieter-Lebrecht Koch, Merja Kyllönen, Miltiadis Kyrkos, Peter Lundgren, Marian-Jean Marinescu, Georg Mayer, Gesine Meissner, Cláudia Monteiro de Aguiar, Jens Nilsson, Markus Pieper, Tomasz Piotr Poręba, Dominique Riquet, Massimiliano Salini, Claudia Schmidt, Jill Seymour, Claudia Țapardel, Pavel Telička, Wim van de Camp, Janusz Zemke, Roberts Zīle, Kosma Złotowski</w:t>
            </w:r>
          </w:p>
        </w:tc>
      </w:tr>
      <w:tr w:rsidR="009E529B"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Jakop Dalunde, Bas Eickhout, Maria Grapini, Karoline Graswander-Hainz, Franck Proust, Evžen Tošenovský</w:t>
            </w:r>
          </w:p>
        </w:tc>
      </w:tr>
      <w:tr w:rsidR="009E529B"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Susanne Melior, Roberta Metsola</w:t>
            </w:r>
          </w:p>
        </w:tc>
      </w:tr>
      <w:tr w:rsidR="002919F6" w:rsidRPr="009E52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b/>
                <w:bCs/>
                <w:sz w:val="20"/>
              </w:rPr>
            </w:pPr>
            <w:r w:rsidRPr="009E529B">
              <w:rPr>
                <w:b/>
                <w:bCs/>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919F6" w:rsidRPr="009E529B" w:rsidRDefault="002919F6">
            <w:pPr>
              <w:autoSpaceDE w:val="0"/>
              <w:autoSpaceDN w:val="0"/>
              <w:adjustRightInd w:val="0"/>
              <w:rPr>
                <w:sz w:val="20"/>
              </w:rPr>
            </w:pPr>
            <w:r w:rsidRPr="009E529B">
              <w:rPr>
                <w:sz w:val="20"/>
              </w:rPr>
              <w:t>21.6.2017</w:t>
            </w:r>
          </w:p>
        </w:tc>
      </w:tr>
    </w:tbl>
    <w:p w:rsidR="002919F6" w:rsidRPr="009E529B" w:rsidRDefault="002919F6" w:rsidP="00793112"/>
    <w:bookmarkEnd w:id="5"/>
    <w:p w:rsidR="00793112" w:rsidRPr="009E529B" w:rsidRDefault="00793112" w:rsidP="00793112">
      <w:pPr>
        <w:pStyle w:val="PageHeading"/>
      </w:pPr>
      <w:r w:rsidRPr="009E529B">
        <w:br w:type="page"/>
      </w:r>
      <w:bookmarkStart w:id="7" w:name="RollCallPageRR"/>
      <w:bookmarkStart w:id="8" w:name="_Toc486851202"/>
      <w:r w:rsidRPr="009E529B">
        <w:lastRenderedPageBreak/>
        <w:t>ATBILDĪGĀS KOMITEJAS</w:t>
      </w:r>
      <w:r w:rsidRPr="009E529B">
        <w:br/>
        <w:t>GALĪGAIS BALSOJUMS PĒC SARAKSTA</w:t>
      </w:r>
      <w:bookmarkEnd w:id="7"/>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529B" w:rsidRPr="009E529B" w:rsidTr="00F976E9">
        <w:trPr>
          <w:cantSplit/>
        </w:trPr>
        <w:tc>
          <w:tcPr>
            <w:tcW w:w="1701" w:type="dxa"/>
            <w:shd w:val="pct10" w:color="000000" w:fill="FFFFFF"/>
            <w:vAlign w:val="center"/>
          </w:tcPr>
          <w:p w:rsidR="00793112" w:rsidRPr="009E529B" w:rsidRDefault="00793112" w:rsidP="00F976E9">
            <w:pPr>
              <w:spacing w:before="120" w:after="120"/>
              <w:jc w:val="center"/>
              <w:rPr>
                <w:b/>
                <w:sz w:val="20"/>
              </w:rPr>
            </w:pPr>
            <w:r w:rsidRPr="009E529B">
              <w:rPr>
                <w:b/>
                <w:sz w:val="20"/>
              </w:rPr>
              <w:t>38</w:t>
            </w:r>
          </w:p>
        </w:tc>
        <w:tc>
          <w:tcPr>
            <w:tcW w:w="7371" w:type="dxa"/>
            <w:shd w:val="pct10" w:color="000000" w:fill="FFFFFF"/>
          </w:tcPr>
          <w:p w:rsidR="00793112" w:rsidRPr="009E529B" w:rsidRDefault="00793112" w:rsidP="00F976E9">
            <w:pPr>
              <w:spacing w:before="120" w:after="120"/>
              <w:jc w:val="center"/>
              <w:rPr>
                <w:rFonts w:ascii="Arial" w:hAnsi="Arial" w:cs="Arial"/>
                <w:b/>
                <w:sz w:val="28"/>
                <w:szCs w:val="28"/>
              </w:rPr>
            </w:pPr>
            <w:r w:rsidRPr="009E529B">
              <w:rPr>
                <w:rFonts w:ascii="Arial" w:hAnsi="Arial"/>
                <w:b/>
                <w:sz w:val="28"/>
                <w:szCs w:val="28"/>
              </w:rPr>
              <w:t>+</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ALDE</w:t>
            </w:r>
          </w:p>
        </w:tc>
        <w:tc>
          <w:tcPr>
            <w:tcW w:w="7371" w:type="dxa"/>
            <w:shd w:val="clear" w:color="auto" w:fill="FFFFFF"/>
          </w:tcPr>
          <w:p w:rsidR="00793112" w:rsidRPr="009E529B" w:rsidRDefault="00793112" w:rsidP="00F976E9">
            <w:pPr>
              <w:spacing w:before="120" w:after="120"/>
              <w:rPr>
                <w:sz w:val="20"/>
              </w:rPr>
            </w:pPr>
            <w:r w:rsidRPr="009E529B">
              <w:rPr>
                <w:sz w:val="20"/>
              </w:rPr>
              <w:t>Izaskun Bilbao Barandica, Gesine Meissner, Dominique Riquet, Pavel Telička</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ECR</w:t>
            </w:r>
          </w:p>
        </w:tc>
        <w:tc>
          <w:tcPr>
            <w:tcW w:w="7371" w:type="dxa"/>
            <w:shd w:val="clear" w:color="auto" w:fill="FFFFFF"/>
          </w:tcPr>
          <w:p w:rsidR="00793112" w:rsidRPr="009E529B" w:rsidRDefault="00793112" w:rsidP="00F976E9">
            <w:pPr>
              <w:spacing w:before="120" w:after="120"/>
              <w:rPr>
                <w:sz w:val="20"/>
              </w:rPr>
            </w:pPr>
            <w:r w:rsidRPr="009E529B">
              <w:rPr>
                <w:sz w:val="20"/>
              </w:rPr>
              <w:t>Jacqueline Foster, Tomasz Piotr Poręba, Evžen Tošenovský, Roberts Zīle, Kosma Złotowski</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EFDD</w:t>
            </w:r>
          </w:p>
        </w:tc>
        <w:tc>
          <w:tcPr>
            <w:tcW w:w="7371" w:type="dxa"/>
            <w:shd w:val="clear" w:color="auto" w:fill="FFFFFF"/>
          </w:tcPr>
          <w:p w:rsidR="00793112" w:rsidRPr="009E529B" w:rsidRDefault="00793112" w:rsidP="00F976E9">
            <w:pPr>
              <w:spacing w:before="120" w:after="120"/>
              <w:rPr>
                <w:sz w:val="20"/>
              </w:rPr>
            </w:pPr>
            <w:r w:rsidRPr="009E529B">
              <w:rPr>
                <w:sz w:val="20"/>
              </w:rPr>
              <w:t>Daniela Aiuto, Peter Lundgren</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ENF</w:t>
            </w:r>
          </w:p>
        </w:tc>
        <w:tc>
          <w:tcPr>
            <w:tcW w:w="7371" w:type="dxa"/>
            <w:shd w:val="clear" w:color="auto" w:fill="FFFFFF"/>
          </w:tcPr>
          <w:p w:rsidR="00793112" w:rsidRPr="009E529B" w:rsidRDefault="00793112" w:rsidP="00F976E9">
            <w:pPr>
              <w:spacing w:before="120" w:after="120"/>
              <w:rPr>
                <w:sz w:val="20"/>
              </w:rPr>
            </w:pPr>
            <w:r w:rsidRPr="009E529B">
              <w:rPr>
                <w:sz w:val="20"/>
              </w:rPr>
              <w:t>Georg Mayer</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GUE/NGL</w:t>
            </w:r>
          </w:p>
        </w:tc>
        <w:tc>
          <w:tcPr>
            <w:tcW w:w="7371" w:type="dxa"/>
            <w:shd w:val="clear" w:color="auto" w:fill="FFFFFF"/>
          </w:tcPr>
          <w:p w:rsidR="00793112" w:rsidRPr="009E529B" w:rsidRDefault="00793112" w:rsidP="00F976E9">
            <w:pPr>
              <w:spacing w:before="120" w:after="120"/>
              <w:rPr>
                <w:sz w:val="20"/>
              </w:rPr>
            </w:pPr>
            <w:r w:rsidRPr="009E529B">
              <w:rPr>
                <w:sz w:val="20"/>
              </w:rPr>
              <w:t>Merja Kyllönen</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PPE</w:t>
            </w:r>
          </w:p>
        </w:tc>
        <w:tc>
          <w:tcPr>
            <w:tcW w:w="7371" w:type="dxa"/>
            <w:shd w:val="clear" w:color="auto" w:fill="FFFFFF"/>
          </w:tcPr>
          <w:p w:rsidR="00793112" w:rsidRPr="009E529B" w:rsidRDefault="00793112" w:rsidP="00F976E9">
            <w:pPr>
              <w:spacing w:before="120" w:after="120"/>
              <w:rPr>
                <w:sz w:val="20"/>
              </w:rPr>
            </w:pPr>
            <w:r w:rsidRPr="009E529B">
              <w:rPr>
                <w:sz w:val="20"/>
              </w:rPr>
              <w:t>Georges Bach, Deirdre Clune, Andor Deli, Dieter-Lebrecht Koch, Marian-Jean Marinescu, Roberta Metsola, Cláudia Monteiro de Aguiar, Markus Pieper, Franck Proust, Massimiliano Salini, Claudia Schmidt, Wim van de Camp</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S&amp;D</w:t>
            </w:r>
          </w:p>
        </w:tc>
        <w:tc>
          <w:tcPr>
            <w:tcW w:w="7371" w:type="dxa"/>
            <w:shd w:val="clear" w:color="auto" w:fill="FFFFFF"/>
          </w:tcPr>
          <w:p w:rsidR="00793112" w:rsidRPr="009E529B" w:rsidRDefault="00793112" w:rsidP="00F976E9">
            <w:pPr>
              <w:spacing w:before="120" w:after="120"/>
              <w:rPr>
                <w:sz w:val="20"/>
              </w:rPr>
            </w:pPr>
            <w:r w:rsidRPr="009E529B">
              <w:rPr>
                <w:sz w:val="20"/>
              </w:rPr>
              <w:t>Lucy Anderson, Isabella De Monte, Ismail Ertug, Maria Grapini, Karoline Graswander-Hainz, Miltiadis Kyrkos, Susanne Melior, Jens Nilsson, Janusz Zemke, Claudia Țapardel</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Verts/ALE</w:t>
            </w:r>
          </w:p>
        </w:tc>
        <w:tc>
          <w:tcPr>
            <w:tcW w:w="7371" w:type="dxa"/>
            <w:shd w:val="clear" w:color="auto" w:fill="FFFFFF"/>
          </w:tcPr>
          <w:p w:rsidR="00793112" w:rsidRPr="009E529B" w:rsidRDefault="00793112" w:rsidP="00F976E9">
            <w:pPr>
              <w:spacing w:before="120" w:after="120"/>
              <w:rPr>
                <w:sz w:val="20"/>
              </w:rPr>
            </w:pPr>
            <w:r w:rsidRPr="009E529B">
              <w:rPr>
                <w:sz w:val="20"/>
              </w:rPr>
              <w:t>Michael Cramer, Jakop Dalunde, Bas Eickhout</w:t>
            </w:r>
          </w:p>
        </w:tc>
      </w:tr>
    </w:tbl>
    <w:p w:rsidR="00793112" w:rsidRPr="009E529B" w:rsidRDefault="00793112" w:rsidP="0079311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529B" w:rsidRPr="009E529B" w:rsidTr="00F976E9">
        <w:trPr>
          <w:cantSplit/>
        </w:trPr>
        <w:tc>
          <w:tcPr>
            <w:tcW w:w="1701" w:type="dxa"/>
            <w:shd w:val="pct10" w:color="000000" w:fill="FFFFFF"/>
            <w:vAlign w:val="center"/>
          </w:tcPr>
          <w:p w:rsidR="00793112" w:rsidRPr="009E529B" w:rsidRDefault="00793112" w:rsidP="00F976E9">
            <w:pPr>
              <w:spacing w:before="120" w:after="120"/>
              <w:jc w:val="center"/>
              <w:rPr>
                <w:b/>
                <w:sz w:val="20"/>
              </w:rPr>
            </w:pPr>
            <w:r w:rsidRPr="009E529B">
              <w:rPr>
                <w:b/>
                <w:sz w:val="20"/>
              </w:rPr>
              <w:t>1</w:t>
            </w:r>
          </w:p>
        </w:tc>
        <w:tc>
          <w:tcPr>
            <w:tcW w:w="7371" w:type="dxa"/>
            <w:shd w:val="pct10" w:color="000000" w:fill="FFFFFF"/>
          </w:tcPr>
          <w:p w:rsidR="00793112" w:rsidRPr="009E529B" w:rsidRDefault="00793112" w:rsidP="00F976E9">
            <w:pPr>
              <w:spacing w:before="120" w:after="120"/>
              <w:jc w:val="center"/>
              <w:rPr>
                <w:sz w:val="28"/>
                <w:szCs w:val="28"/>
              </w:rPr>
            </w:pPr>
            <w:r w:rsidRPr="009E529B">
              <w:rPr>
                <w:rFonts w:ascii="Arial" w:hAnsi="Arial"/>
                <w:b/>
                <w:sz w:val="28"/>
                <w:szCs w:val="28"/>
              </w:rPr>
              <w:t>-</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r w:rsidRPr="009E529B">
              <w:rPr>
                <w:sz w:val="20"/>
              </w:rPr>
              <w:t>EFDD</w:t>
            </w:r>
          </w:p>
        </w:tc>
        <w:tc>
          <w:tcPr>
            <w:tcW w:w="7371" w:type="dxa"/>
            <w:shd w:val="clear" w:color="auto" w:fill="FFFFFF"/>
          </w:tcPr>
          <w:p w:rsidR="00793112" w:rsidRPr="009E529B" w:rsidRDefault="00793112" w:rsidP="00F976E9">
            <w:pPr>
              <w:spacing w:before="120" w:after="120"/>
              <w:rPr>
                <w:sz w:val="20"/>
              </w:rPr>
            </w:pPr>
            <w:r w:rsidRPr="009E529B">
              <w:rPr>
                <w:sz w:val="20"/>
              </w:rPr>
              <w:t>Jill Seymour</w:t>
            </w:r>
          </w:p>
        </w:tc>
      </w:tr>
    </w:tbl>
    <w:p w:rsidR="00793112" w:rsidRPr="009E529B" w:rsidRDefault="00793112" w:rsidP="0079311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529B" w:rsidRPr="009E529B" w:rsidTr="00F976E9">
        <w:trPr>
          <w:cantSplit/>
        </w:trPr>
        <w:tc>
          <w:tcPr>
            <w:tcW w:w="1701" w:type="dxa"/>
            <w:shd w:val="pct10" w:color="000000" w:fill="FFFFFF"/>
            <w:vAlign w:val="center"/>
          </w:tcPr>
          <w:p w:rsidR="00793112" w:rsidRPr="009E529B" w:rsidRDefault="00793112" w:rsidP="00F976E9">
            <w:pPr>
              <w:spacing w:before="120" w:after="120"/>
              <w:jc w:val="center"/>
              <w:rPr>
                <w:b/>
                <w:sz w:val="20"/>
              </w:rPr>
            </w:pPr>
            <w:r w:rsidRPr="009E529B">
              <w:rPr>
                <w:b/>
                <w:sz w:val="20"/>
              </w:rPr>
              <w:t>0</w:t>
            </w:r>
          </w:p>
        </w:tc>
        <w:tc>
          <w:tcPr>
            <w:tcW w:w="7371" w:type="dxa"/>
            <w:shd w:val="pct10" w:color="000000" w:fill="FFFFFF"/>
          </w:tcPr>
          <w:p w:rsidR="00793112" w:rsidRPr="009E529B" w:rsidRDefault="00793112" w:rsidP="00F976E9">
            <w:pPr>
              <w:spacing w:before="120" w:after="120"/>
              <w:jc w:val="center"/>
              <w:rPr>
                <w:sz w:val="28"/>
                <w:szCs w:val="28"/>
              </w:rPr>
            </w:pPr>
            <w:r w:rsidRPr="009E529B">
              <w:rPr>
                <w:rFonts w:ascii="Arial" w:hAnsi="Arial"/>
                <w:b/>
                <w:sz w:val="28"/>
                <w:szCs w:val="28"/>
              </w:rPr>
              <w:t>0</w:t>
            </w:r>
          </w:p>
        </w:tc>
      </w:tr>
      <w:tr w:rsidR="009E529B" w:rsidRPr="009E529B" w:rsidTr="00F976E9">
        <w:trPr>
          <w:cantSplit/>
        </w:trPr>
        <w:tc>
          <w:tcPr>
            <w:tcW w:w="1701" w:type="dxa"/>
            <w:shd w:val="clear" w:color="auto" w:fill="FFFFFF"/>
          </w:tcPr>
          <w:p w:rsidR="00793112" w:rsidRPr="009E529B" w:rsidRDefault="00793112" w:rsidP="00F976E9">
            <w:pPr>
              <w:spacing w:before="120" w:after="120"/>
              <w:rPr>
                <w:sz w:val="20"/>
              </w:rPr>
            </w:pPr>
          </w:p>
        </w:tc>
        <w:tc>
          <w:tcPr>
            <w:tcW w:w="7371" w:type="dxa"/>
            <w:shd w:val="clear" w:color="auto" w:fill="FFFFFF"/>
          </w:tcPr>
          <w:p w:rsidR="00793112" w:rsidRPr="009E529B" w:rsidRDefault="00793112" w:rsidP="00F976E9">
            <w:pPr>
              <w:spacing w:before="120" w:after="120"/>
              <w:rPr>
                <w:sz w:val="20"/>
              </w:rPr>
            </w:pPr>
          </w:p>
        </w:tc>
      </w:tr>
    </w:tbl>
    <w:p w:rsidR="00793112" w:rsidRPr="009E529B" w:rsidRDefault="00793112" w:rsidP="00793112">
      <w:pPr>
        <w:pStyle w:val="Normal12"/>
      </w:pPr>
    </w:p>
    <w:p w:rsidR="00793112" w:rsidRPr="009E529B" w:rsidRDefault="00793112" w:rsidP="00793112">
      <w:r w:rsidRPr="009E529B">
        <w:t>Izmantoto apzīmējumu skaidrojums:</w:t>
      </w:r>
    </w:p>
    <w:p w:rsidR="00793112" w:rsidRPr="009E529B" w:rsidRDefault="00793112" w:rsidP="00793112">
      <w:pPr>
        <w:pStyle w:val="NormalTabs"/>
      </w:pPr>
      <w:r w:rsidRPr="009E529B">
        <w:t>+</w:t>
      </w:r>
      <w:r w:rsidRPr="009E529B">
        <w:tab/>
        <w:t>:</w:t>
      </w:r>
      <w:r w:rsidRPr="009E529B">
        <w:tab/>
        <w:t>par</w:t>
      </w:r>
    </w:p>
    <w:p w:rsidR="00793112" w:rsidRPr="009E529B" w:rsidRDefault="00793112" w:rsidP="00793112">
      <w:pPr>
        <w:pStyle w:val="NormalTabs"/>
      </w:pPr>
      <w:r w:rsidRPr="009E529B">
        <w:t>-</w:t>
      </w:r>
      <w:r w:rsidRPr="009E529B">
        <w:tab/>
        <w:t>:</w:t>
      </w:r>
      <w:r w:rsidRPr="009E529B">
        <w:tab/>
        <w:t>pret</w:t>
      </w:r>
    </w:p>
    <w:p w:rsidR="00793112" w:rsidRPr="009E529B" w:rsidRDefault="00793112" w:rsidP="00793112">
      <w:pPr>
        <w:pStyle w:val="NormalTabs"/>
      </w:pPr>
      <w:r w:rsidRPr="009E529B">
        <w:t>0</w:t>
      </w:r>
      <w:r w:rsidRPr="009E529B">
        <w:tab/>
        <w:t>:</w:t>
      </w:r>
      <w:r w:rsidRPr="009E529B">
        <w:tab/>
        <w:t>atturas</w:t>
      </w:r>
    </w:p>
    <w:p w:rsidR="00793112" w:rsidRPr="009E529B" w:rsidRDefault="00793112" w:rsidP="00793112"/>
    <w:p w:rsidR="00793112" w:rsidRPr="009E529B" w:rsidRDefault="00793112" w:rsidP="00793112"/>
    <w:p w:rsidR="002669B6" w:rsidRPr="009E529B" w:rsidRDefault="002669B6" w:rsidP="00793112">
      <w:pPr>
        <w:pStyle w:val="PageHeading"/>
      </w:pPr>
    </w:p>
    <w:sectPr w:rsidR="002669B6" w:rsidRPr="009E529B" w:rsidSect="00D8313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0C" w:rsidRPr="00D8313A" w:rsidRDefault="0087480C">
      <w:r w:rsidRPr="00D8313A">
        <w:separator/>
      </w:r>
    </w:p>
  </w:endnote>
  <w:endnote w:type="continuationSeparator" w:id="0">
    <w:p w:rsidR="0087480C" w:rsidRPr="00D8313A" w:rsidRDefault="0087480C">
      <w:r w:rsidRPr="00D831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3A" w:rsidRPr="00D8313A" w:rsidRDefault="00D8313A" w:rsidP="00D8313A">
    <w:pPr>
      <w:pStyle w:val="Footer"/>
    </w:pPr>
    <w:r w:rsidRPr="00D8313A">
      <w:t>PE</w:t>
    </w:r>
    <w:r w:rsidRPr="00D8313A">
      <w:rPr>
        <w:rStyle w:val="HideTWBExt"/>
        <w:noProof w:val="0"/>
      </w:rPr>
      <w:t>&lt;NoPE&gt;</w:t>
    </w:r>
    <w:r w:rsidRPr="00D8313A">
      <w:t>604.644</w:t>
    </w:r>
    <w:r w:rsidRPr="00D8313A">
      <w:rPr>
        <w:rStyle w:val="HideTWBExt"/>
        <w:noProof w:val="0"/>
      </w:rPr>
      <w:t>&lt;/NoPE&gt;&lt;Version&gt;</w:t>
    </w:r>
    <w:r w:rsidRPr="00D8313A">
      <w:t>v02-00</w:t>
    </w:r>
    <w:r w:rsidRPr="00D8313A">
      <w:rPr>
        <w:rStyle w:val="HideTWBExt"/>
        <w:noProof w:val="0"/>
      </w:rPr>
      <w:t>&lt;/Version&gt;</w:t>
    </w:r>
    <w:r w:rsidRPr="00D8313A">
      <w:tab/>
    </w:r>
    <w:r w:rsidRPr="00D8313A">
      <w:fldChar w:fldCharType="begin"/>
    </w:r>
    <w:r w:rsidRPr="00D8313A">
      <w:instrText xml:space="preserve"> PAGE  \* MERGEFORMAT </w:instrText>
    </w:r>
    <w:r w:rsidRPr="00D8313A">
      <w:fldChar w:fldCharType="separate"/>
    </w:r>
    <w:r w:rsidR="009E529B">
      <w:rPr>
        <w:noProof/>
      </w:rPr>
      <w:t>6</w:t>
    </w:r>
    <w:r w:rsidRPr="00D8313A">
      <w:fldChar w:fldCharType="end"/>
    </w:r>
    <w:r w:rsidRPr="00D8313A">
      <w:t>/</w:t>
    </w:r>
    <w:r w:rsidR="009E529B">
      <w:fldChar w:fldCharType="begin"/>
    </w:r>
    <w:r w:rsidR="009E529B">
      <w:instrText xml:space="preserve"> NUMPAGES  \* MERGEFORMAT </w:instrText>
    </w:r>
    <w:r w:rsidR="009E529B">
      <w:fldChar w:fldCharType="separate"/>
    </w:r>
    <w:r w:rsidR="009E529B">
      <w:rPr>
        <w:noProof/>
      </w:rPr>
      <w:t>9</w:t>
    </w:r>
    <w:r w:rsidR="009E529B">
      <w:rPr>
        <w:noProof/>
      </w:rPr>
      <w:fldChar w:fldCharType="end"/>
    </w:r>
    <w:r w:rsidRPr="00D8313A">
      <w:tab/>
    </w:r>
    <w:r w:rsidRPr="00D8313A">
      <w:rPr>
        <w:rStyle w:val="HideTWBExt"/>
        <w:noProof w:val="0"/>
      </w:rPr>
      <w:t>&lt;PathFdR&gt;</w:t>
    </w:r>
    <w:r w:rsidRPr="00D8313A">
      <w:t>RR\1128850LV.docx</w:t>
    </w:r>
    <w:r w:rsidRPr="00D8313A">
      <w:rPr>
        <w:rStyle w:val="HideTWBExt"/>
        <w:noProof w:val="0"/>
      </w:rPr>
      <w:t>&lt;/PathFdR&gt;</w:t>
    </w:r>
  </w:p>
  <w:p w:rsidR="00FB52FE" w:rsidRPr="00D8313A" w:rsidRDefault="00D8313A" w:rsidP="00D8313A">
    <w:pPr>
      <w:pStyle w:val="Footer2"/>
    </w:pPr>
    <w:r w:rsidRPr="00D8313A">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3A" w:rsidRPr="00D8313A" w:rsidRDefault="00D8313A" w:rsidP="00D8313A">
    <w:pPr>
      <w:pStyle w:val="Footer"/>
    </w:pPr>
    <w:r w:rsidRPr="00D8313A">
      <w:rPr>
        <w:rStyle w:val="HideTWBExt"/>
        <w:noProof w:val="0"/>
      </w:rPr>
      <w:t>&lt;PathFdR&gt;</w:t>
    </w:r>
    <w:r w:rsidRPr="00D8313A">
      <w:t>RR\1128850LV.docx</w:t>
    </w:r>
    <w:r w:rsidRPr="00D8313A">
      <w:rPr>
        <w:rStyle w:val="HideTWBExt"/>
        <w:noProof w:val="0"/>
      </w:rPr>
      <w:t>&lt;/PathFdR&gt;</w:t>
    </w:r>
    <w:r w:rsidRPr="00D8313A">
      <w:tab/>
    </w:r>
    <w:r w:rsidRPr="00D8313A">
      <w:fldChar w:fldCharType="begin"/>
    </w:r>
    <w:r w:rsidRPr="00D8313A">
      <w:instrText xml:space="preserve"> PAGE  \* MERGEFORMAT </w:instrText>
    </w:r>
    <w:r w:rsidRPr="00D8313A">
      <w:fldChar w:fldCharType="separate"/>
    </w:r>
    <w:r w:rsidR="009E529B">
      <w:rPr>
        <w:noProof/>
      </w:rPr>
      <w:t>5</w:t>
    </w:r>
    <w:r w:rsidRPr="00D8313A">
      <w:fldChar w:fldCharType="end"/>
    </w:r>
    <w:r w:rsidRPr="00D8313A">
      <w:t>/</w:t>
    </w:r>
    <w:r w:rsidR="009E529B">
      <w:fldChar w:fldCharType="begin"/>
    </w:r>
    <w:r w:rsidR="009E529B">
      <w:instrText xml:space="preserve"> NUMPAGES  \* MERGEFORMAT </w:instrText>
    </w:r>
    <w:r w:rsidR="009E529B">
      <w:fldChar w:fldCharType="separate"/>
    </w:r>
    <w:r w:rsidR="009E529B">
      <w:rPr>
        <w:noProof/>
      </w:rPr>
      <w:t>9</w:t>
    </w:r>
    <w:r w:rsidR="009E529B">
      <w:rPr>
        <w:noProof/>
      </w:rPr>
      <w:fldChar w:fldCharType="end"/>
    </w:r>
    <w:r w:rsidRPr="00D8313A">
      <w:tab/>
      <w:t>PE</w:t>
    </w:r>
    <w:r w:rsidRPr="00D8313A">
      <w:rPr>
        <w:rStyle w:val="HideTWBExt"/>
        <w:noProof w:val="0"/>
      </w:rPr>
      <w:t>&lt;NoPE&gt;</w:t>
    </w:r>
    <w:r w:rsidRPr="00D8313A">
      <w:t>604.644</w:t>
    </w:r>
    <w:r w:rsidRPr="00D8313A">
      <w:rPr>
        <w:rStyle w:val="HideTWBExt"/>
        <w:noProof w:val="0"/>
      </w:rPr>
      <w:t>&lt;/NoPE&gt;&lt;Version&gt;</w:t>
    </w:r>
    <w:r w:rsidRPr="00D8313A">
      <w:t>v02-00</w:t>
    </w:r>
    <w:r w:rsidRPr="00D8313A">
      <w:rPr>
        <w:rStyle w:val="HideTWBExt"/>
        <w:noProof w:val="0"/>
      </w:rPr>
      <w:t>&lt;/Version&gt;</w:t>
    </w:r>
  </w:p>
  <w:p w:rsidR="00FB52FE" w:rsidRPr="00D8313A" w:rsidRDefault="00D8313A" w:rsidP="00D8313A">
    <w:pPr>
      <w:pStyle w:val="Footer2"/>
    </w:pPr>
    <w:r w:rsidRPr="00D8313A">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3A" w:rsidRPr="00D8313A" w:rsidRDefault="00D8313A" w:rsidP="00D8313A">
    <w:pPr>
      <w:pStyle w:val="Footer"/>
    </w:pPr>
    <w:r w:rsidRPr="00D8313A">
      <w:rPr>
        <w:rStyle w:val="HideTWBExt"/>
        <w:noProof w:val="0"/>
      </w:rPr>
      <w:t>&lt;PathFdR&gt;</w:t>
    </w:r>
    <w:r w:rsidRPr="00D8313A">
      <w:t>RR\1128850LV.docx</w:t>
    </w:r>
    <w:r w:rsidRPr="00D8313A">
      <w:rPr>
        <w:rStyle w:val="HideTWBExt"/>
        <w:noProof w:val="0"/>
      </w:rPr>
      <w:t>&lt;/PathFdR&gt;</w:t>
    </w:r>
    <w:r w:rsidRPr="00D8313A">
      <w:tab/>
    </w:r>
    <w:r w:rsidRPr="00D8313A">
      <w:tab/>
      <w:t>PE</w:t>
    </w:r>
    <w:r w:rsidRPr="00D8313A">
      <w:rPr>
        <w:rStyle w:val="HideTWBExt"/>
        <w:noProof w:val="0"/>
      </w:rPr>
      <w:t>&lt;NoPE&gt;</w:t>
    </w:r>
    <w:r w:rsidRPr="00D8313A">
      <w:t>604.644</w:t>
    </w:r>
    <w:r w:rsidRPr="00D8313A">
      <w:rPr>
        <w:rStyle w:val="HideTWBExt"/>
        <w:noProof w:val="0"/>
      </w:rPr>
      <w:t>&lt;/NoPE&gt;&lt;Version&gt;</w:t>
    </w:r>
    <w:r w:rsidRPr="00D8313A">
      <w:t>v02-00</w:t>
    </w:r>
    <w:r w:rsidRPr="00D8313A">
      <w:rPr>
        <w:rStyle w:val="HideTWBExt"/>
        <w:noProof w:val="0"/>
      </w:rPr>
      <w:t>&lt;/Version&gt;</w:t>
    </w:r>
  </w:p>
  <w:p w:rsidR="00FB52FE" w:rsidRPr="00D8313A" w:rsidRDefault="00D8313A" w:rsidP="00D8313A">
    <w:pPr>
      <w:pStyle w:val="Footer2"/>
      <w:tabs>
        <w:tab w:val="center" w:pos="4535"/>
      </w:tabs>
    </w:pPr>
    <w:r w:rsidRPr="00D8313A">
      <w:t>LV</w:t>
    </w:r>
    <w:r w:rsidRPr="00D8313A">
      <w:tab/>
    </w:r>
    <w:r w:rsidRPr="00D8313A">
      <w:rPr>
        <w:b w:val="0"/>
        <w:i/>
        <w:color w:val="C0C0C0"/>
        <w:sz w:val="22"/>
      </w:rPr>
      <w:t>Vienoti daudzveidībā</w:t>
    </w:r>
    <w:r w:rsidRPr="00D8313A">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0C" w:rsidRPr="00D8313A" w:rsidRDefault="0087480C">
      <w:r w:rsidRPr="00D8313A">
        <w:separator/>
      </w:r>
    </w:p>
  </w:footnote>
  <w:footnote w:type="continuationSeparator" w:id="0">
    <w:p w:rsidR="0087480C" w:rsidRPr="00D8313A" w:rsidRDefault="0087480C">
      <w:r w:rsidRPr="00D8313A">
        <w:continuationSeparator/>
      </w:r>
    </w:p>
  </w:footnote>
  <w:footnote w:id="1">
    <w:p w:rsidR="00793112" w:rsidRPr="00D8313A" w:rsidRDefault="00793112" w:rsidP="00793112">
      <w:pPr>
        <w:pStyle w:val="FootnoteText"/>
      </w:pPr>
      <w:r w:rsidRPr="00D8313A">
        <w:rPr>
          <w:rStyle w:val="FootnoteReference"/>
        </w:rPr>
        <w:footnoteRef/>
      </w:r>
      <w:r w:rsidRPr="00D8313A">
        <w:t xml:space="preserve"> OV C …/ Oficiālajā Vēstnesī vēl nav publicēts.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9B" w:rsidRDefault="009E5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9B" w:rsidRDefault="009E5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9B" w:rsidRDefault="009E5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TRAN"/>
    <w:docVar w:name="CopyToNetwork" w:val="-1"/>
    <w:docVar w:name="CVar" w:val="2"/>
    <w:docVar w:name="DOCMNU" w:val=" 1"/>
    <w:docVar w:name="EPSTATMNU" w:val=" 1"/>
    <w:docVar w:name="iNoAmend" w:val="2"/>
    <w:docVar w:name="INSTITUTIONSMNU" w:val=" 1"/>
    <w:docVar w:name="JURI1MNU" w:val=" 2"/>
    <w:docVar w:name="JURI2MNU" w:val=" 2"/>
    <w:docVar w:name="LastEditedSection" w:val=" 1"/>
    <w:docVar w:name="ORLANGKEY" w:val="EN"/>
    <w:docVar w:name="ORLANGMNU" w:val=" 1"/>
    <w:docVar w:name="OTHERSTATMNU" w:val=" 4"/>
    <w:docVar w:name="PARLIAMENTSMNU" w:val=" 2"/>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79747 HideTWBExt;}{\*\cs16 \additive \v\cf15 \spriority0 \styrsid7279747 HideTWBInt;}{\s17\ql \li0\ri0\sa120\nowidctlpar\wrapdefault\aspalpha\aspnum\faauto\adjustright\rin0\lin0\itap0 _x000d__x000a_\rtlch\fcs1 \af0\afs20\alang1025 \ltrch\fcs0 \fs24\lang1062\langfe2057\cgrid\langnp1062\langfenp2057 \sbasedon0 \snext17 \slink18 \spriority0 \styrsid7279747 Normal6;}{\*\cs18 \additive \fs24\lang1062\langfe0\langnp1062 _x000d__x000a_\slink17 \slocked \spriority0 \styrsid7279747 Normal6 Char;}{\s19\ql \li0\ri0\nowidctlpar\wrapdefault\aspalpha\aspnum\faauto\adjustright\rin0\lin0\itap0 \rtlch\fcs1 \af0\afs20\alang1025 \ltrch\fcs0 _x000d__x000a_\b\fs24\lang1062\langfe2057\cgrid\langnp1062\langfenp2057 \sbasedon0 \snext19 \slink20 \spriority0 \styrsid7279747 NormalBold;}{\*\cs20 \additive \b\fs24\lang1062\langfe0\langnp1062 \slink19 \slocked \spriority0 \styrsid7279747 NormalBold Char;}{_x000d__x000a_\s21\ql \li0\ri0\sb240\nowidctlpar\wrapdefault\aspalpha\aspnum\faauto\adjustright\rin0\lin0\itap0 \rtlch\fcs1 \af0\afs20\alang1025 \ltrch\fcs0 \i\fs24\lang1062\langfe2057\cgrid\langnp1062\langfenp2057 \sbasedon0 \snext21 \spriority0 \styrsid7279747 _x000d__x000a_Normal12Italic;}{\s22\qc \li0\ri0\sb240\nowidctlpar\wrapdefault\aspalpha\aspnum\faauto\adjustright\rin0\lin0\itap0 \rtlch\fcs1 \af0\afs20\alang1025 \ltrch\fcs0 \i\fs24\lang1062\langfe2057\cgrid\langnp1062\langfenp2057 _x000d__x000a_\sbasedon0 \snext22 \spriority0 \styrsid7279747 CrossRef;}{\s23\qc \li0\ri0\sb240\keepn\nowidctlpar\wrapdefault\aspalpha\aspnum\faauto\adjustright\rin0\lin0\itap0 \rtlch\fcs1 \af0\afs20\alang1025 \ltrch\fcs0 _x000d__x000a_\i\fs24\lang1062\langfe2057\cgrid\langnp1062\langfenp2057 \sbasedon0 \snext0 \spriority0 \styrsid7279747 JustificationTitle;}{\s24\qc \li0\ri0\sa240\nowidctlpar\wrapdefault\aspalpha\aspnum\faauto\adjustright\rin0\lin0\itap0 \rtlch\fcs1 _x000d__x000a_\af0\afs20\alang1025 \ltrch\fcs0 \i\fs24\lang1062\langfe2057\cgrid\langnp1062\langfenp2057 \sbasedon0 \snext24 \spriority0 \styrsid727974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5 \spriority0 \styrsid7279747 AMNumberTabs;}{\s26\ql \li0\ri0\sb240\nowidctlpar\wrapdefault\aspalpha\aspnum\faauto\adjustright\rin0\lin0\itap0 \rtlch\fcs1 _x000d__x000a_\af0\afs20\alang1025 \ltrch\fcs0 \b\fs24\lang1062\langfe2057\cgrid\langnp1062\langfenp2057 \sbasedon0 \snext26 \spriority0 \styrsid7279747 NormalBold12b;}}{\*\rsidtbl \rsid24658\rsid735077\rsid2892074\rsid4666813\rsid6641733\rsid7279747\rsid9636012_x000d__x000a_\rsid11215221\rsid12154954\rsid14106202\rsid14424199\rsid15204470\rsid15285974\rsid15950462\rsid16324206\rsid16662270}{\mmathPr\mmathFont34\mbrkBin0\mbrkBinSub0\msmallFrac0\mdispDef1\mlMargin0\mrMargin0\mdefJc1\mwrapIndent1440\mintLim0\mnaryLim1}{\info_x000d__x000a_{\author MACKOWSKI Agnija}{\operator MACKOWSKI Agnija}{\creatim\yr2017\mo6\dy22\hr9\min4}{\revtim\yr2017\mo6\dy22\hr9\min4}{\version1}{\edmins0}{\nofpages1}{\nofwords95}{\nofchars544}{\*\company European Parliament}{\nofcharsws63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79747\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14106202 \chftnsep _x000d__x000a_\par }}{\*\ftnsepc \ltrpar \pard\plain \ltrpar\ql \li0\ri0\widctlpar\wrapdefault\aspalpha\aspnum\faauto\adjustright\rin0\lin0\itap0 \rtlch\fcs1 \af0\afs20\alang1025 \ltrch\fcs0 \fs24\lang2057\langfe2057\cgrid\langnp2057\langfenp2057 {\rtlch\fcs1 \af0 _x000d__x000a_\ltrch\fcs0 \insrsid14106202 \chftnsepc _x000d__x000a_\par }}{\*\aftnsep \ltrpar \pard\plain \ltrpar\ql \li0\ri0\widctlpar\wrapdefault\aspalpha\aspnum\faauto\adjustright\rin0\lin0\itap0 \rtlch\fcs1 \af0\afs20\alang1025 \ltrch\fcs0 \fs24\lang2057\langfe2057\cgrid\langnp2057\langfenp2057 {\rtlch\fcs1 \af0 _x000d__x000a_\ltrch\fcs0 \insrsid14106202 \chftnsep _x000d__x000a_\par }}{\*\aftnsepc \ltrpar \pard\plain \ltrpar\ql \li0\ri0\widctlpar\wrapdefault\aspalpha\aspnum\faauto\adjustright\rin0\lin0\itap0 \rtlch\fcs1 \af0\afs20\alang1025 \ltrch\fcs0 \fs24\lang2057\langfe2057\cgrid\langnp2057\langfenp2057 {\rtlch\fcs1 \af0 _x000d__x000a_\ltrch\fcs0 \insrsid141062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62\langfe2057\cgrid\langnp1062\langfenp2057 {\rtlch\fcs1 \af0 \ltrch\fcs0 \cs15\b0\v\f1\fs20\cf9\insrsid7279747\charrsid8865804 {\*\bkmkstart restart}&lt;Amend&gt;}{_x000d__x000a_\rtlch\fcs1 \af318 \ltrch\fcs0 \f318\insrsid7279747\charrsid8865804 Groz\'ee}{\rtlch\fcs1 \af0 \ltrch\fcs0 \insrsid7279747\charrsid8865804 jums Nr.\tab \tab }{\rtlch\fcs1 \af0 \ltrch\fcs0 \cs15\b0\v\f1\fs20\cf9\insrsid7279747\charrsid8865804 &lt;NumAm&gt;}{_x000d__x000a_\rtlch\fcs1 \af0 \ltrch\fcs0 \insrsid7279747\charrsid8865804 #}{\rtlch\fcs1 \af0 \ltrch\fcs0 \cs16\v\cf15\insrsid7279747\charrsid8865804 ENMIENDA@NRAM@}{\rtlch\fcs1 \af0 \ltrch\fcs0 \insrsid7279747\charrsid8865804 #}{\rtlch\fcs1 \af0 \ltrch\fcs0 _x000d__x000a_\cs15\b0\v\f1\fs20\cf9\insrsid7279747\charrsid8865804 &lt;/NumAm&gt;}{\rtlch\fcs1 \af0 \ltrch\fcs0 \insrsid7279747\charrsid8865804 _x000d__x000a_\par }\pard\plain \ltrpar\s26\ql \li0\ri0\sb240\keepn\nowidctlpar\wrapdefault\aspalpha\aspnum\faauto\adjustright\rin0\lin0\itap0\pararsid2173828 \rtlch\fcs1 \af0\afs20\alang1025 \ltrch\fcs0 \b\fs24\lang1062\langfe2057\cgrid\langnp1062\langfenp2057 {_x000d__x000a_\rtlch\fcs1 \af0 \ltrch\fcs0 \cs15\b0\v\f1\fs20\cf9\insrsid7279747\charrsid8865804 &lt;DocAmend&gt;}{\rtlch\fcs1 \af0 \ltrch\fcs0 \insrsid7279747\charrsid8865804 #}{\rtlch\fcs1 \af0 \ltrch\fcs0 \cs16\v\cf15\insrsid7279747\charrsid8865804 _x000d__x000a_MNU[DOC1b][DOC2b][DOC3b][DOC4b]@DOCMSG@DOCMNU}{\rtlch\fcs1 \af0 \ltrch\fcs0 \insrsid7279747\charrsid8865804 # priek\'9alikums#}{\rtlch\fcs1 \af0 \ltrch\fcs0 \cs16\v\cf15\insrsid7279747\charrsid8865804 MNU[AMACTYES][NOTAPP]@CHOICE@AMACTMNU}{\rtlch\fcs1 _x000d__x000a_\af0 \ltrch\fcs0 \insrsid7279747\charrsid8865804 #}{\rtlch\fcs1 \af0 \ltrch\fcs0 \cs15\b0\v\f1\fs20\cf9\insrsid7279747\charrsid8865804 &lt;/DocAmend&gt;}{\rtlch\fcs1 \af0 \ltrch\fcs0 \insrsid7279747\charrsid8865804 _x000d__x000a_\par }\pard\plain \ltrpar\s19\ql \li0\ri0\keepn\nowidctlpar\wrapdefault\aspalpha\aspnum\faauto\adjustright\rin0\lin0\itap0\pararsid14315216 \rtlch\fcs1 \af0\afs20\alang1025 \ltrch\fcs0 \b\fs24\lang1062\langfe2057\cgrid\langnp1062\langfenp2057 {\rtlch\fcs1 _x000d__x000a_\af0 \ltrch\fcs0 \cs15\b0\v\f1\fs20\cf9\insrsid7279747\charrsid8865804 &lt;Article&gt;}{\rtlch\fcs1 \af0 \ltrch\fcs0 \insrsid7279747\charrsid8865804 #}{\rtlch\fcs1 \af0 \ltrch\fcs0 \cs16\v\cf15\insrsid7279747\charrsid8865804 _x000d__x000a_MNU[AMACTPARTYES][AMACTPARTNO]@CHOICE@AMACTMNU}{\rtlch\fcs1 \af0 \ltrch\fcs0 \insrsid7279747\charrsid8865804 #}{\rtlch\fcs1 \af0 \ltrch\fcs0 \cs15\b0\v\f1\fs20\cf9\insrsid7279747\charrsid8865804 &lt;/Article&gt;}{\rtlch\fcs1 \af0 \ltrch\fcs0 _x000d__x000a_\insrsid7279747\charrsid8865804 _x000d__x000a_\par }\pard\plain \ltrpar\ql \li0\ri0\keepn\widctlpar\wrapdefault\aspalpha\aspnum\faauto\adjustright\rin0\lin0\itap0\pararsid1856914 \rtlch\fcs1 \af0\afs20\alang1025 \ltrch\fcs0 \fs24\lang2057\langfe2057\cgrid\langnp2057\langfenp2057 {\rtlch\fcs1 \af0 _x000d__x000a_\ltrch\fcs0 \cs15\v\f1\fs20\cf9\lang1062\langfe2057\langnp1062\insrsid7279747\charrsid8865804 &lt;DocAmend2&gt;&lt;OptDel&gt;}{\rtlch\fcs1 \af0 \ltrch\fcs0 \lang1062\langfe2057\langnp1062\insrsid7279747\charrsid8865804 #}{\rtlch\fcs1 \af0 \ltrch\fcs0 _x000d__x000a_\cs16\v\cf15\lang1062\langfe2057\langnp1062\insrsid7279747\charrsid8865804 MNU[OPTNRACTYES][NOTAPP]@CHOICE@AMACTMNU}{\rtlch\fcs1 \af0 \ltrch\fcs0 \lang1062\langfe2057\langnp1062\insrsid7279747\charrsid8865804 #}{\rtlch\fcs1 \af0 \ltrch\fcs0 _x000d__x000a_\cs15\v\f1\fs20\cf9\lang1062\langfe2057\langnp1062\insrsid7279747\charrsid8865804 &lt;/OptDel&gt;&lt;/DocAmend2&gt;}{\rtlch\fcs1 \af0 \ltrch\fcs0 \lang1062\langfe2057\langnp1062\insrsid7279747\charrsid8865804 _x000d__x000a_\par }\pard \ltrpar\ql \li0\ri0\widctlpar\wrapdefault\aspalpha\aspnum\faauto\adjustright\rin0\lin0\itap0\pararsid2517430 {\rtlch\fcs1 \af0 \ltrch\fcs0 \cs15\v\f1\fs20\cf9\lang1062\langfe2057\langnp1062\insrsid7279747\charrsid8865804 &lt;Article2&gt;&lt;OptDel&gt;}{_x000d__x000a_\rtlch\fcs1 \af0 \ltrch\fcs0 \lang1062\langfe2057\langnp1062\insrsid7279747\charrsid8865804 #}{\rtlch\fcs1 \af0 \ltrch\fcs0 \cs16\v\cf15\lang1062\langfe2057\langnp1062\insrsid7279747\charrsid8865804 MNU[OPTACTPARTYES][NOTAPP]@CHOICE@AMACTMNU}{\rtlch\fcs1 _x000d__x000a_\af0 \ltrch\fcs0 \lang1062\langfe2057\langnp1062\insrsid7279747\charrsid8865804 #}{\rtlch\fcs1 \af0 \ltrch\fcs0 \cs15\v\f1\fs20\cf9\lang1062\langfe2057\langnp1062\insrsid7279747\charrsid8865804 &lt;/OptDel&gt;&lt;/Article2&gt;}{\rtlch\fcs1 \af0 \ltrch\fcs0 _x000d__x000a_\lang1062\langfe2057\langnp1062\insrsid7279747\charrsid886580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62\langfe2057\langnp1062\insrsid7279747\charrsid8865804 \cell }\pard \ltrpar\ql \li0\ri0\widctlpar\intbl\wrapdefault\aspalpha\aspnum\faauto\adjustright\rin0\lin0 {\rtlch\fcs1 \af0 \ltrch\fcs0 _x000d__x000a_\lang1062\langfe2057\langnp1062\insrsid7279747\charrsid8865804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62\langfe2057\cgrid\langnp1062\langfenp2057 {\rtlch\fcs1 \af0 \ltrch\fcs0 _x000d__x000a_\insrsid7279747\charrsid8865804 #}{\rtlch\fcs1 \af0 \ltrch\fcs0 \cs16\v\cf15\insrsid7279747\charrsid8865804 MNU[OPTLEFTAMACT][LEFTPROP]@CHOICE@AMACTMNU}{\rtlch\fcs1 \af0 \ltrch\fcs0 \insrsid7279747\charrsid8865804 #\cell }{\rtlch\fcs1 \af318 \ltrch\fcs0 _x000d__x000a_\f318\insrsid7279747\charrsid8865804 Groz\'eejums\cell }\pard\plain \ltrpar\ql \li0\ri0\widctlpar\intbl\wrapdefault\aspalpha\aspnum\faauto\adjustright\rin0\lin0 \rtlch\fcs1 \af0\afs20\alang1025 \ltrch\fcs0 _x000d__x000a_\fs24\lang2057\langfe2057\cgrid\langnp2057\langfenp2057 {\rtlch\fcs1 \af0 \ltrch\fcs0 \lang1062\langfe2057\langnp1062\insrsid7279747\charrsid8865804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62\langfe2057\cgrid\langnp1062\langfenp2057 {\rtlch\fcs1 \af0 \ltrch\fcs0 _x000d__x000a_\insrsid7279747\charrsid8865804 ##\cell ##}{\rtlch\fcs1 \af0\afs24 \ltrch\fcs0 \insrsid7279747\charrsid8865804 \cell }\pard\plain \ltrpar\ql \li0\ri0\widctlpar\intbl\wrapdefault\aspalpha\aspnum\faauto\adjustright\rin0\lin0 \rtlch\fcs1 _x000d__x000a_\af0\afs20\alang1025 \ltrch\fcs0 \fs24\lang2057\langfe2057\cgrid\langnp2057\langfenp2057 {\rtlch\fcs1 \af0 \ltrch\fcs0 \lang1062\langfe2057\langnp1062\insrsid7279747\charrsid886580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62\langfe2057\cgrid\langnp1062\langfenp2057 {\rtlch\fcs1 \af0 \ltrch\fcs0 _x000d__x000a_\cs15\i0\v\f1\fs20\cf9\insrsid7279747\charrsid8865804 &lt;OptDel&gt;}{\rtlch\fcs1 \af0 \ltrch\fcs0 \insrsid7279747\charrsid8865804 #}{\rtlch\fcs1 \af0 \ltrch\fcs0 \cs16\v\cf15\insrsid7279747\charrsid8865804 MNU[CROSSREFNO][CROSSREFYES]@CHOICE@}{\rtlch\fcs1 _x000d__x000a_\af0 \ltrch\fcs0 \insrsid7279747\charrsid8865804 #}{\rtlch\fcs1 \af0 \ltrch\fcs0 \cs15\i0\v\f1\fs20\cf9\insrsid7279747\charrsid8865804 &lt;/OptDel&gt;}{\rtlch\fcs1 \af0 \ltrch\fcs0 \insrsid7279747\charrsid8865804 _x000d__x000a_\par }\pard\plain \ltrpar\s23\qc \li0\ri0\sb240\keepn\nowidctlpar\wrapdefault\aspalpha\aspnum\faauto\adjustright\rin0\lin0\itap0\pararsid2517430 \rtlch\fcs1 \af0\afs20\alang1025 \ltrch\fcs0 \i\fs24\lang1062\langfe2057\cgrid\langnp1062\langfenp2057 {_x000d__x000a_\rtlch\fcs1 \af0 \ltrch\fcs0 \cs15\i0\v\f1\fs20\cf9\insrsid7279747\charrsid8865804 &lt;TitreJust&gt;}{\rtlch\fcs1 \af0 \ltrch\fcs0 \insrsid7279747\charrsid8865804 Pamatojums}{\rtlch\fcs1 \af0 \ltrch\fcs0 \cs15\i0\v\f1\fs20\cf9\insrsid7279747\charrsid8865804 _x000d__x000a_&lt;/TitreJust&gt;}{\rtlch\fcs1 \af0 \ltrch\fcs0 \insrsid7279747\charrsid8865804 _x000d__x000a_\par }\pard\plain \ltrpar\s21\ql \li0\ri0\sb240\nowidctlpar\wrapdefault\aspalpha\aspnum\faauto\adjustright\rin0\lin0\itap0\pararsid2517430 \rtlch\fcs1 \af0\afs20\alang1025 \ltrch\fcs0 \i\fs24\lang1062\langfe2057\cgrid\langnp1062\langfenp2057 {\rtlch\fcs1 \af0 _x000d__x000a_\ltrch\fcs0 \cs15\i0\v\f1\fs20\cf9\insrsid7279747\charrsid8865804 &lt;OptDelPrev&gt;}{\rtlch\fcs1 \af0 \ltrch\fcs0 \insrsid7279747\charrsid8865804 #}{\rtlch\fcs1 \af0 \ltrch\fcs0 \cs16\v\cf15\insrsid7279747\charrsid8865804 MNU[TEXTJUSTYES][TEXTJUSTNO]@CHOICE@}{_x000d__x000a_\rtlch\fcs1 \af0 \ltrch\fcs0 \insrsid7279747\charrsid8865804 #}{\rtlch\fcs1 \af0 \ltrch\fcs0 \cs15\i0\v\f1\fs20\cf9\insrsid7279747\charrsid8865804 &lt;/OptDelPrev&gt;}{\rtlch\fcs1 \af0 \ltrch\fcs0 \insrsid7279747\charrsid8865804 _x000d__x000a_\par }\pard\plain \ltrpar\ql \li0\ri0\widctlpar\wrapdefault\aspalpha\aspnum\faauto\adjustright\rin0\lin0\itap0\pararsid16324206 \rtlch\fcs1 \af0\afs20\alang1025 \ltrch\fcs0 \fs24\lang2057\langfe2057\cgrid\langnp2057\langfenp2057 {\rtlch\fcs1 \af0 \ltrch\fcs0 _x000d__x000a_\cs15\v\f1\fs20\cf9\lang1062\langfe2057\langnp1062\insrsid7279747\charrsid8865804 &lt;/Amend&gt;}{\rtlch\fcs1 \af0 \ltrch\fcs0 \insrsid7279747\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b_x000d__x000a_35d425e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83770 HideTWBExt;}{\s16\ql \li0\ri0\sa120\nowidctlpar\wrapdefault\aspalpha\aspnum\faauto\adjustright\rin0\lin0\itap0 \rtlch\fcs1 \af0\afs20\alang1025 \ltrch\fcs0 _x000d__x000a_\fs24\lang2057\langfe2057\cgrid\langnp2057\langfenp2057 \sbasedon0 \snext16 \slink17 \spriority0 \styrsid5583770 Normal6;}{\*\cs17 \additive \fs24 \slink16 \slocked \spriority0 \styrsid5583770 Normal6 Char;}{_x000d__x000a_\s18\ql \li0\ri0\nowidctlpar\wrapdefault\aspalpha\aspnum\faauto\adjustright\rin0\lin0\itap0 \rtlch\fcs1 \af0\afs20\alang1025 \ltrch\fcs0 \b\fs24\lang2057\langfe2057\cgrid\langnp2057\langfenp2057 \sbasedon0 \snext18 \slink19 \spriority0 \styrsid5583770 _x000d__x000a_NormalBold;}{\*\cs19 \additive \b\fs24 \slink18 \slocked \spriority0 \styrsid5583770 NormalBold Char;}{\s20\ql \li0\ri0\sb240\nowidctlpar\wrapdefault\aspalpha\aspnum\faauto\adjustright\rin0\lin0\itap0 \rtlch\fcs1 \af0\afs20\alang1025 \ltrch\fcs0 _x000d__x000a_\i\fs24\lang2057\langfe2057\cgrid\langnp2057\langfenp2057 \sbasedon0 \snext20 \spriority0 \styrsid5583770 Normal12Italic;}{\s21\qc \li0\ri0\sb240\nowidctlpar\wrapdefault\aspalpha\aspnum\faauto\adjustright\rin0\lin0\itap0 \rtlch\fcs1 \af0\afs20\alang1025 _x000d__x000a_\ltrch\fcs0 \i\fs24\lang2057\langfe2057\cgrid\langnp2057\langfenp2057 \sbasedon0 \snext21 \spriority0 \styrsid5583770 CrossRef;}{\s22\qc \li0\ri0\sb240\keepn\nowidctlpar\wrapdefault\aspalpha\aspnum\faauto\adjustright\rin0\lin0\itap0 \rtlch\fcs1 _x000d__x000a_\af0\afs20\alang1025 \ltrch\fcs0 \i\fs24\lang2057\langfe2057\cgrid\langnp2057\langfenp2057 \sbasedon0 \snext0 \spriority0 \styrsid5583770 JustificationTitle;}{_x000d__x000a_\s23\qc \li0\ri0\sa240\nowidctlpar\wrapdefault\aspalpha\aspnum\faauto\adjustright\rin0\lin0\itap0 \rtlch\fcs1 \af0\afs20\alang1025 \ltrch\fcs0 \i\fs24\lang2057\langfe2057\cgrid\langnp2057\langfenp2057 \sbasedon0 \snext23 \spriority0 \styrsid558377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583770 AMNumberTabs;}{_x000d__x000a_\s25\ql \li0\ri0\sb240\nowidctlpar\wrapdefault\aspalpha\aspnum\faauto\adjustright\rin0\lin0\itap0 \rtlch\fcs1 \af0\afs20\alang1025 \ltrch\fcs0 \b\fs24\lang2057\langfe2057\cgrid\langnp2057\langfenp2057 \sbasedon0 \snext25 \spriority0 \styrsid5583770 _x000d__x000a_NormalBold12b;}}{\*\rsidtbl \rsid24658\rsid532957\rsid735077\rsid2892074\rsid4666813\rsid5583770\rsid6641733\rsid9636012\rsid11215221\rsid12154954\rsid14424199\rsid15204470\rsid15285974\rsid15950462\rsid16324206\rsid16662270}{\mmathPr\mmathFont34\mbrkBin0_x000d__x000a_\mbrkBinSub0\msmallFrac0\mdispDef1\mlMargin0\mrMargin0\mdefJc1\mwrapIndent1440\mintLim0\mnaryLim1}{\info{\author MACKOWSKI Agnija}{\operator MACKOWSKI Agnija}{\creatim\yr2017\mo6\dy22\hr9\min4}{\revtim\yr2017\mo6\dy22\hr9\min4}{\version1}{\edmins0}_x000d__x000a_{\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83770\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532957 \chftnsep _x000d__x000a_\par }}{\*\ftnsepc \ltrpar \pard\plain \ltrpar\ql \li0\ri0\widctlpar\wrapdefault\aspalpha\aspnum\faauto\adjustright\rin0\lin0\itap0 \rtlch\fcs1 \af0\afs20\alang1025 \ltrch\fcs0 \fs24\lang2057\langfe2057\cgrid\langnp2057\langfenp2057 {\rtlch\fcs1 \af0 _x000d__x000a_\ltrch\fcs0 \insrsid532957 \chftnsepc _x000d__x000a_\par }}{\*\aftnsep \ltrpar \pard\plain \ltrpar\ql \li0\ri0\widctlpar\wrapdefault\aspalpha\aspnum\faauto\adjustright\rin0\lin0\itap0 \rtlch\fcs1 \af0\afs20\alang1025 \ltrch\fcs0 \fs24\lang2057\langfe2057\cgrid\langnp2057\langfenp2057 {\rtlch\fcs1 \af0 _x000d__x000a_\ltrch\fcs0 \insrsid532957 \chftnsep _x000d__x000a_\par }}{\*\aftnsepc \ltrpar \pard\plain \ltrpar\ql \li0\ri0\widctlpar\wrapdefault\aspalpha\aspnum\faauto\adjustright\rin0\lin0\itap0 \rtlch\fcs1 \af0\afs20\alang1025 \ltrch\fcs0 \fs24\lang2057\langfe2057\cgrid\langnp2057\langfenp2057 {\rtlch\fcs1 \af0 _x000d__x000a_\ltrch\fcs0 \insrsid5329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5583770\charrsid4593153 {\*\bkmkstart restart}&lt;Amend&gt;}{_x000d__x000a_\rtlch\fcs1 \af0 \ltrch\fcs0 \insrsid5583770\charrsid4593153 [ZAMENDMENT]\tab \tab }{\rtlch\fcs1 \af0 \ltrch\fcs0 \cs15\b0\v\f1\fs20\cf9\insrsid5583770\charrsid4593153 &lt;NumAm&gt;}{\rtlch\fcs1 \af0 \ltrch\fcs0 \insrsid5583770\charrsid4593153 [ZNRAM]}{_x000d__x000a_\rtlch\fcs1 \af0 \ltrch\fcs0 \cs15\b0\v\f1\fs20\cf9\insrsid5583770\charrsid4593153 &lt;/NumAm&gt;}{\rtlch\fcs1 \af0 \ltrch\fcs0 \insrsid5583770\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5583770\charrsid4593153 &lt;DocAmend&gt;}{\rtlch\fcs1 \af0 \ltrch\fcs0 \insrsid5583770\charrsid4593153 [ZPROPOSAL][ZAMACT]}{\rtlch\fcs1 \af0 \ltrch\fcs0 _x000d__x000a_\cs15\b0\v\f1\fs20\cf9\insrsid5583770\charrsid4593153 &lt;/DocAmend&gt;}{\rtlch\fcs1 \af0 \ltrch\fcs0 \insrsid5583770\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5583770\charrsid4593153 &lt;Article&gt;}{\rtlch\fcs1 \af0 \ltrch\fcs0 \insrsid5583770\charrsid4593153 [ZAMPART]}{\rtlch\fcs1 \af0 \ltrch\fcs0 \cs15\b0\v\f1\fs20\cf9\insrsid5583770\charrsid4593153 &lt;/Article&gt;}{_x000d__x000a_\rtlch\fcs1 \af0 \ltrch\fcs0 \insrsid5583770\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5583770\charrsid4593153 &lt;DocAmend2&gt;&lt;OptDel&gt;}{\rtlch\fcs1 \af0 \ltrch\fcs0 \insrsid5583770\charrsid4593153 [ZNRACT]}{\rtlch\fcs1 \af0 \ltrch\fcs0 \cs15\v\f1\fs20\cf9\insrsid5583770\charrsid4593153 _x000d__x000a_&lt;/OptDel&gt;&lt;/DocAmend2&gt;}{\rtlch\fcs1 \af0 \ltrch\fcs0 \insrsid5583770\charrsid4593153 _x000d__x000a_\par }\pard \ltrpar\ql \li0\ri0\widctlpar\wrapdefault\aspalpha\aspnum\faauto\adjustright\rin0\lin0\itap0\pararsid2517430 {\rtlch\fcs1 \af0 \ltrch\fcs0 \cs15\v\f1\fs20\cf9\insrsid5583770\charrsid4593153 &lt;Article2&gt;&lt;OptDel&gt;}{\rtlch\fcs1 \af0 \ltrch\fcs0 _x000d__x000a_\insrsid5583770\charrsid4593153 [ZACTPART]}{\rtlch\fcs1 \af0 \ltrch\fcs0 \cs15\v\f1\fs20\cf9\insrsid5583770\charrsid4593153 &lt;/OptDel&gt;&lt;/Article2&gt;}{\rtlch\fcs1 \af0 \ltrch\fcs0 \insrsid5583770\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5583770\charrsid4593153 _x000d__x000a_\cell }\pard \ltrpar\ql \li0\ri0\widctlpar\intbl\wrapdefault\aspalpha\aspnum\faauto\adjustright\rin0\lin0 {\rtlch\fcs1 \af0 \ltrch\fcs0 \insrsid558377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5583770\charrsid4593153 [ZLEFT]\cell [ZRIGHT]\cell }\pard\plain \ltrpar\ql \li0\ri0\widctlpar\intbl\wrapdefault\aspalpha\aspnum\faauto\adjustright\rin0\lin0 \rtlch\fcs1 \af0\afs20\alang1025 \ltrch\fcs0 _x000d__x000a_\fs24\lang2057\langfe2057\cgrid\langnp2057\langfenp2057 {\rtlch\fcs1 \af0 \ltrch\fcs0 \insrsid558377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5583770\charrsid4593153 [ZTEXTL]\cell [ZTEXTR]}{\rtlch\fcs1 \af0\afs24 \ltrch\fcs0 \insrsid5583770\charrsid4593153 \cell }\pard\plain \ltrpar\ql \li0\ri0\widctlpar\intbl\wrapdefault\aspalpha\aspnum\faauto\adjustright\rin0\lin0 \rtlch\fcs1 _x000d__x000a_\af0\afs20\alang1025 \ltrch\fcs0 \fs24\lang2057\langfe2057\cgrid\langnp2057\langfenp2057 {\rtlch\fcs1 \af0 \ltrch\fcs0 \insrsid5583770\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5583770\charrsid4593153 &lt;OptDel&gt;}{\rtlch\fcs1 \af0 \ltrch\fcs0 \insrsid5583770\charrsid4593153 [ZCROSSREF]}{\rtlch\fcs1 \af0 \ltrch\fcs0 \cs15\i0\v\f1\fs20\cf9\insrsid5583770\charrsid4593153 &lt;/OptDel&gt;}{\rtlch\fcs1 \af0 _x000d__x000a_\ltrch\fcs0 \insrsid5583770\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5583770\charrsid4593153 &lt;TitreJust&gt;}{\rtlch\fcs1 \af0 \ltrch\fcs0 \insrsid5583770\charrsid4593153 [ZJUSTIFICATION]}{\rtlch\fcs1 \af0 \ltrch\fcs0 _x000d__x000a_\cs15\i0\v\f1\fs20\cf9\insrsid5583770\charrsid4593153 &lt;/TitreJust&gt;}{\rtlch\fcs1 \af0 \ltrch\fcs0 \insrsid5583770\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5583770\charrsid4593153 &lt;OptDelPrev&gt;}{\rtlch\fcs1 \af0 \ltrch\fcs0 \insrsid5583770\charrsid4593153 [ZTEXTJUST]}{\rtlch\fcs1 \af0 \ltrch\fcs0 \cs15\i0\v\f1\fs20\cf9\insrsid5583770\charrsid4593153 &lt;/OptDelPrev&gt;}{_x000d__x000a_\rtlch\fcs1 \af0 \ltrch\fcs0 \insrsid5583770\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5583770\charrsid4593153 &lt;/Amend&gt;}{\rtlch\fcs1 \af0 \ltrch\fcs0 \insrsid5583770\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9_x000d__x000a_72d525e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28"/>
    <w:docVar w:name="TVTAMPART" w:val="3. apsvērums"/>
    <w:docVar w:name="TXTAUTHOR" w:val="Karima Delli"/>
    <w:docVar w:name="TXTLANGUE" w:val="LV"/>
    <w:docVar w:name="TXTLANGUEMIN" w:val="lv"/>
    <w:docVar w:name="TXTNRC" w:val="0501/2016"/>
    <w:docVar w:name="TXTNRCOD" w:val="2016/0368"/>
    <w:docVar w:name="TXTNRCOM" w:val="(2016)0745"/>
    <w:docVar w:name="TXTNRFIRSTAM" w:val="1"/>
    <w:docVar w:name="TXTNRLASTAM" w:val="2"/>
    <w:docVar w:name="TXTNRPE" w:val="604.644"/>
    <w:docVar w:name="TXTPEorAP" w:val="PE"/>
    <w:docVar w:name="TXTROUTE" w:val="RR\1128850LV.docx"/>
    <w:docVar w:name="TXTTITLE" w:val="ar ko atceļ Padomes Regulu (EEK) Nr. 1101/89, Regulu (EK) Nr. 685/2001 un Regulu (EK) Nr. 2888/2000"/>
    <w:docVar w:name="TXTVERSION" w:val="02-00"/>
  </w:docVars>
  <w:rsids>
    <w:rsidRoot w:val="0087480C"/>
    <w:rsid w:val="00011AAB"/>
    <w:rsid w:val="00012351"/>
    <w:rsid w:val="0004307E"/>
    <w:rsid w:val="00045D83"/>
    <w:rsid w:val="00063AF9"/>
    <w:rsid w:val="00084E89"/>
    <w:rsid w:val="000F1096"/>
    <w:rsid w:val="00142215"/>
    <w:rsid w:val="001767E2"/>
    <w:rsid w:val="00187008"/>
    <w:rsid w:val="001C5592"/>
    <w:rsid w:val="001C5B44"/>
    <w:rsid w:val="001C6FFC"/>
    <w:rsid w:val="00212B84"/>
    <w:rsid w:val="002346B0"/>
    <w:rsid w:val="002667C3"/>
    <w:rsid w:val="002669B6"/>
    <w:rsid w:val="00290BED"/>
    <w:rsid w:val="002919F6"/>
    <w:rsid w:val="002F40BB"/>
    <w:rsid w:val="002F4B02"/>
    <w:rsid w:val="00315CD0"/>
    <w:rsid w:val="00323EF8"/>
    <w:rsid w:val="00370AC3"/>
    <w:rsid w:val="003C2068"/>
    <w:rsid w:val="003C37CF"/>
    <w:rsid w:val="003F297F"/>
    <w:rsid w:val="004100B1"/>
    <w:rsid w:val="0042613F"/>
    <w:rsid w:val="00461601"/>
    <w:rsid w:val="004C0915"/>
    <w:rsid w:val="004D424E"/>
    <w:rsid w:val="004E42C8"/>
    <w:rsid w:val="0051271F"/>
    <w:rsid w:val="00521F46"/>
    <w:rsid w:val="00543468"/>
    <w:rsid w:val="00551123"/>
    <w:rsid w:val="00570A6A"/>
    <w:rsid w:val="00586E50"/>
    <w:rsid w:val="005A58C6"/>
    <w:rsid w:val="005D1A99"/>
    <w:rsid w:val="005D7609"/>
    <w:rsid w:val="005D7EE8"/>
    <w:rsid w:val="006C4394"/>
    <w:rsid w:val="006D5532"/>
    <w:rsid w:val="006F7907"/>
    <w:rsid w:val="00715EE1"/>
    <w:rsid w:val="00743189"/>
    <w:rsid w:val="0074489F"/>
    <w:rsid w:val="00793112"/>
    <w:rsid w:val="007932B3"/>
    <w:rsid w:val="00793EA9"/>
    <w:rsid w:val="007D6F68"/>
    <w:rsid w:val="0084486B"/>
    <w:rsid w:val="008633CC"/>
    <w:rsid w:val="00865190"/>
    <w:rsid w:val="008719B9"/>
    <w:rsid w:val="0087480C"/>
    <w:rsid w:val="00894ECE"/>
    <w:rsid w:val="00896BB4"/>
    <w:rsid w:val="008A7FB8"/>
    <w:rsid w:val="009022B8"/>
    <w:rsid w:val="00917CC4"/>
    <w:rsid w:val="00954644"/>
    <w:rsid w:val="009763DA"/>
    <w:rsid w:val="009B4B93"/>
    <w:rsid w:val="009E529B"/>
    <w:rsid w:val="009F24BE"/>
    <w:rsid w:val="009F2AAF"/>
    <w:rsid w:val="009F6C2F"/>
    <w:rsid w:val="00A22533"/>
    <w:rsid w:val="00A26F46"/>
    <w:rsid w:val="00A31958"/>
    <w:rsid w:val="00A34FD3"/>
    <w:rsid w:val="00A36929"/>
    <w:rsid w:val="00AA35B0"/>
    <w:rsid w:val="00AD18C8"/>
    <w:rsid w:val="00AD7FA6"/>
    <w:rsid w:val="00AE4643"/>
    <w:rsid w:val="00AF0416"/>
    <w:rsid w:val="00B10CB4"/>
    <w:rsid w:val="00B23B72"/>
    <w:rsid w:val="00B37A7A"/>
    <w:rsid w:val="00B42702"/>
    <w:rsid w:val="00B85407"/>
    <w:rsid w:val="00B95702"/>
    <w:rsid w:val="00BC6489"/>
    <w:rsid w:val="00BD480C"/>
    <w:rsid w:val="00C035D2"/>
    <w:rsid w:val="00C73602"/>
    <w:rsid w:val="00CF60C8"/>
    <w:rsid w:val="00D32924"/>
    <w:rsid w:val="00D503A3"/>
    <w:rsid w:val="00D8313A"/>
    <w:rsid w:val="00DA6ED0"/>
    <w:rsid w:val="00DC5011"/>
    <w:rsid w:val="00E171B6"/>
    <w:rsid w:val="00E57D74"/>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92F4425-741B-4DD9-A654-D66AD60F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v-LV"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v-LV"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F2AA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9F2AAF"/>
    <w:pPr>
      <w:spacing w:before="240" w:after="240"/>
    </w:pPr>
    <w:rPr>
      <w:b/>
      <w:i/>
      <w:snapToGrid w:val="0"/>
      <w:lang w:eastAsia="en-US"/>
    </w:rPr>
  </w:style>
  <w:style w:type="paragraph" w:customStyle="1" w:styleId="Lgendestandard">
    <w:name w:val="Légende standard"/>
    <w:basedOn w:val="Lgendesigne"/>
    <w:rsid w:val="009F2AAF"/>
    <w:pPr>
      <w:ind w:left="0" w:firstLine="0"/>
    </w:pPr>
  </w:style>
  <w:style w:type="paragraph" w:styleId="FootnoteText">
    <w:name w:val="footnote text"/>
    <w:basedOn w:val="Normal"/>
    <w:link w:val="FootnoteTextChar"/>
    <w:rsid w:val="009F2AAF"/>
    <w:rPr>
      <w:sz w:val="20"/>
    </w:rPr>
  </w:style>
  <w:style w:type="character" w:customStyle="1" w:styleId="FootnoteTextChar">
    <w:name w:val="Footnote Text Char"/>
    <w:basedOn w:val="DefaultParagraphFont"/>
    <w:link w:val="FootnoteText"/>
    <w:rsid w:val="009F2AAF"/>
    <w:rPr>
      <w:lang w:val="lv-LV"/>
    </w:rPr>
  </w:style>
  <w:style w:type="character" w:styleId="FootnoteReference">
    <w:name w:val="footnote reference"/>
    <w:basedOn w:val="DefaultParagraphFont"/>
    <w:rsid w:val="009F2AAF"/>
    <w:rPr>
      <w:vertAlign w:val="superscript"/>
    </w:rPr>
  </w:style>
  <w:style w:type="paragraph" w:styleId="BalloonText">
    <w:name w:val="Balloon Text"/>
    <w:basedOn w:val="Normal"/>
    <w:link w:val="BalloonTextChar"/>
    <w:rsid w:val="002919F6"/>
    <w:rPr>
      <w:rFonts w:ascii="Segoe UI" w:hAnsi="Segoe UI" w:cs="Segoe UI"/>
      <w:sz w:val="18"/>
      <w:szCs w:val="18"/>
    </w:rPr>
  </w:style>
  <w:style w:type="character" w:customStyle="1" w:styleId="BalloonTextChar">
    <w:name w:val="Balloon Text Char"/>
    <w:basedOn w:val="DefaultParagraphFont"/>
    <w:link w:val="BalloonText"/>
    <w:rsid w:val="002919F6"/>
    <w:rPr>
      <w:rFonts w:ascii="Segoe UI" w:hAnsi="Segoe UI" w:cs="Segoe UI"/>
      <w:sz w:val="18"/>
      <w:szCs w:val="18"/>
    </w:rPr>
  </w:style>
  <w:style w:type="paragraph" w:customStyle="1" w:styleId="NormalTabs">
    <w:name w:val="NormalTabs"/>
    <w:basedOn w:val="Normal"/>
    <w:qFormat/>
    <w:rsid w:val="0079311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574D-0D08-4D0D-93F6-034EAC8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76EFEA73.dotm</Template>
  <TotalTime>0</TotalTime>
  <Pages>9</Pages>
  <Words>1435</Words>
  <Characters>9361</Characters>
  <Application>Microsoft Office Word</Application>
  <DocSecurity>0</DocSecurity>
  <Lines>346</Lines>
  <Paragraphs>182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BUMANE Ieva</dc:creator>
  <cp:keywords/>
  <dc:description/>
  <cp:lastModifiedBy>STIGLICS Maris</cp:lastModifiedBy>
  <cp:revision>2</cp:revision>
  <cp:lastPrinted>2004-11-04T08:41:00Z</cp:lastPrinted>
  <dcterms:created xsi:type="dcterms:W3CDTF">2017-07-03T11:17:00Z</dcterms:created>
  <dcterms:modified xsi:type="dcterms:W3CDTF">2017-07-03T11:17:00Z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1128850</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\\eiciLUXpr1\pdocep$\DocEP\TRANSFIL\LV\PR_COD_1amCom.LV(14/10/2016 10:33:13)</vt:lpwstr>
  </property>
  <property fmtid="{D5CDD505-2E9C-101B-9397-08002B2CF9AE}" pid="8" name="&lt;Model&gt;">
    <vt:lpwstr>PR_COD_1amCom</vt:lpwstr>
  </property>
  <property fmtid="{D5CDD505-2E9C-101B-9397-08002B2CF9AE}" pid="9" name="FooterPath">
    <vt:lpwstr>RR\1128850LV.docx</vt:lpwstr>
  </property>
  <property fmtid="{D5CDD505-2E9C-101B-9397-08002B2CF9AE}" pid="10" name="PE Number">
    <vt:lpwstr>604.644</vt:lpwstr>
  </property>
  <property fmtid="{D5CDD505-2E9C-101B-9397-08002B2CF9AE}" pid="11" name="Bookout">
    <vt:lpwstr>OK - 2017/07/03 13:17</vt:lpwstr>
  </property>
  <property fmtid="{D5CDD505-2E9C-101B-9397-08002B2CF9AE}" pid="12" name="SDLStudio">
    <vt:lpwstr/>
  </property>
  <property fmtid="{D5CDD505-2E9C-101B-9397-08002B2CF9AE}" pid="13" name="&lt;Extension&gt;">
    <vt:lpwstr>LV</vt:lpwstr>
  </property>
</Properties>
</file>