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46D90" w:rsidRPr="0093569D" w:rsidTr="00846D90">
        <w:trPr>
          <w:trHeight w:hRule="exact" w:val="1418"/>
        </w:trPr>
        <w:tc>
          <w:tcPr>
            <w:tcW w:w="6804" w:type="dxa"/>
            <w:shd w:val="clear" w:color="auto" w:fill="auto"/>
            <w:vAlign w:val="center"/>
          </w:tcPr>
          <w:p w:rsidR="00846D90" w:rsidRPr="0093569D" w:rsidRDefault="00846D90" w:rsidP="00846D90">
            <w:pPr>
              <w:pStyle w:val="EPName"/>
            </w:pPr>
            <w:bookmarkStart w:id="0" w:name="_GoBack"/>
            <w:bookmarkEnd w:id="0"/>
            <w:r>
              <w:t>Ευρωπαϊκό Κοινοβούλιο</w:t>
            </w:r>
          </w:p>
          <w:p w:rsidR="00846D90" w:rsidRPr="0093569D" w:rsidRDefault="00846D90" w:rsidP="00846D90">
            <w:pPr>
              <w:pStyle w:val="EPTerm"/>
              <w:rPr>
                <w:rStyle w:val="HideTWBExt"/>
                <w:noProof w:val="0"/>
                <w:vanish w:val="0"/>
                <w:color w:val="auto"/>
              </w:rPr>
            </w:pPr>
            <w:r>
              <w:t>2014-2019</w:t>
            </w:r>
          </w:p>
        </w:tc>
        <w:tc>
          <w:tcPr>
            <w:tcW w:w="2268" w:type="dxa"/>
            <w:shd w:val="clear" w:color="auto" w:fill="auto"/>
          </w:tcPr>
          <w:p w:rsidR="00846D90" w:rsidRPr="0093569D" w:rsidRDefault="000A61DD" w:rsidP="00846D9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0.5pt">
                  <v:imagedata r:id="rId7" o:title="EP logo RGB_Mute"/>
                </v:shape>
              </w:pict>
            </w:r>
          </w:p>
        </w:tc>
      </w:tr>
    </w:tbl>
    <w:p w:rsidR="00461601" w:rsidRPr="0093569D" w:rsidRDefault="00461601" w:rsidP="00461601">
      <w:pPr>
        <w:pStyle w:val="LineTop"/>
      </w:pPr>
    </w:p>
    <w:p w:rsidR="00461601" w:rsidRPr="0093569D" w:rsidRDefault="008E153B" w:rsidP="00461601">
      <w:pPr>
        <w:pStyle w:val="ZCommittee"/>
      </w:pPr>
      <w:r>
        <w:t>Έγγραφο συνόδου</w:t>
      </w:r>
    </w:p>
    <w:p w:rsidR="00461601" w:rsidRPr="0093569D" w:rsidRDefault="00461601" w:rsidP="00461601">
      <w:pPr>
        <w:pStyle w:val="LineBottom"/>
      </w:pPr>
    </w:p>
    <w:p w:rsidR="00793EA9" w:rsidRPr="0093569D" w:rsidRDefault="008E153B">
      <w:pPr>
        <w:pStyle w:val="RefProc"/>
      </w:pPr>
      <w:r>
        <w:rPr>
          <w:rStyle w:val="HideTWBExt"/>
          <w:noProof w:val="0"/>
        </w:rPr>
        <w:t>&lt;NoDocSe&gt;</w:t>
      </w:r>
      <w:r w:rsidRPr="00AC4460">
        <w:t>A8-0270/2017</w:t>
      </w:r>
      <w:r>
        <w:rPr>
          <w:rStyle w:val="HideTWBExt"/>
          <w:noProof w:val="0"/>
        </w:rPr>
        <w:t>&lt;/NoDocSe&gt;</w:t>
      </w:r>
    </w:p>
    <w:p w:rsidR="00793EA9" w:rsidRPr="0093569D" w:rsidRDefault="00793EA9">
      <w:pPr>
        <w:pStyle w:val="ZDate"/>
      </w:pPr>
      <w:r>
        <w:rPr>
          <w:rStyle w:val="HideTWBExt"/>
          <w:noProof w:val="0"/>
        </w:rPr>
        <w:t>&lt;Date&gt;</w:t>
      </w:r>
      <w:r w:rsidRPr="00AC4460">
        <w:rPr>
          <w:rStyle w:val="HideTWBInt"/>
          <w:color w:val="auto"/>
        </w:rPr>
        <w:t>{25/07/2017}</w:t>
      </w:r>
      <w:r w:rsidRPr="00AC4460">
        <w:t>25.7.2017</w:t>
      </w:r>
      <w:r>
        <w:rPr>
          <w:rStyle w:val="HideTWBExt"/>
          <w:noProof w:val="0"/>
        </w:rPr>
        <w:t>&lt;/Date&gt;</w:t>
      </w:r>
    </w:p>
    <w:p w:rsidR="00793EA9" w:rsidRPr="0093569D" w:rsidRDefault="00793EA9">
      <w:pPr>
        <w:pStyle w:val="StarsAndIs"/>
      </w:pPr>
      <w:r>
        <w:rPr>
          <w:rStyle w:val="HideTWBExt"/>
          <w:b w:val="0"/>
          <w:noProof w:val="0"/>
        </w:rPr>
        <w:t>&lt;RefProcLect&gt;</w:t>
      </w:r>
      <w:r w:rsidRPr="00AC4460">
        <w:t>***I</w:t>
      </w:r>
      <w:r>
        <w:rPr>
          <w:rStyle w:val="HideTWBExt"/>
          <w:b w:val="0"/>
          <w:noProof w:val="0"/>
        </w:rPr>
        <w:t>&lt;/RefProcLect&gt;</w:t>
      </w:r>
    </w:p>
    <w:p w:rsidR="00793EA9" w:rsidRPr="0093569D" w:rsidRDefault="00793EA9">
      <w:pPr>
        <w:pStyle w:val="TypeDoc"/>
      </w:pPr>
      <w:r>
        <w:rPr>
          <w:rStyle w:val="HideTWBExt"/>
          <w:b w:val="0"/>
          <w:noProof w:val="0"/>
        </w:rPr>
        <w:t>&lt;TitreType&gt;</w:t>
      </w:r>
      <w:r w:rsidRPr="00AC4460">
        <w:t>ΕΚΘΕΣΗ</w:t>
      </w:r>
      <w:r>
        <w:rPr>
          <w:rStyle w:val="HideTWBExt"/>
          <w:b w:val="0"/>
          <w:noProof w:val="0"/>
        </w:rPr>
        <w:t>&lt;/TitreType&gt;</w:t>
      </w:r>
    </w:p>
    <w:p w:rsidR="00793EA9" w:rsidRPr="00E451E4" w:rsidRDefault="00793EA9">
      <w:pPr>
        <w:pStyle w:val="CoverNormal"/>
      </w:pPr>
      <w:r w:rsidRPr="00E45927">
        <w:rPr>
          <w:rStyle w:val="HideTWBExt"/>
          <w:noProof w:val="0"/>
        </w:rPr>
        <w:t>&lt;</w:t>
      </w:r>
      <w:r>
        <w:rPr>
          <w:rStyle w:val="HideTWBExt"/>
          <w:noProof w:val="0"/>
          <w:lang w:val="en-GB"/>
        </w:rPr>
        <w:t>Titre</w:t>
      </w:r>
      <w:r w:rsidRPr="00E45927">
        <w:rPr>
          <w:rStyle w:val="HideTWBExt"/>
          <w:noProof w:val="0"/>
        </w:rPr>
        <w:t>&gt;</w:t>
      </w:r>
      <w:r>
        <w:t xml:space="preserve"> σχετικά με πρόταση κανονισμού του Ευρωπαϊκού Κοινοβουλίου και του Συμβουλίου για τη θέσπιση κανόνων σχετικά με τη διάθεση προϊόντων λίπανσης με σήμανση CE στην αγορά και για την τροποποίηση των κανονισμών (ΕΚ) αριθ. 1069/2009 και (ΕΚ) αριθ. 1107/2009</w:t>
      </w:r>
      <w:r w:rsidRPr="00E45927">
        <w:rPr>
          <w:rStyle w:val="HideTWBExt"/>
          <w:noProof w:val="0"/>
        </w:rPr>
        <w:t>&lt;/</w:t>
      </w:r>
      <w:r>
        <w:rPr>
          <w:rStyle w:val="HideTWBExt"/>
          <w:noProof w:val="0"/>
          <w:lang w:val="en-GB"/>
        </w:rPr>
        <w:t>Titre</w:t>
      </w:r>
      <w:r w:rsidRPr="00E45927">
        <w:rPr>
          <w:rStyle w:val="HideTWBExt"/>
          <w:noProof w:val="0"/>
        </w:rPr>
        <w:t>&gt;</w:t>
      </w:r>
    </w:p>
    <w:p w:rsidR="00793EA9" w:rsidRPr="0093569D" w:rsidRDefault="00793EA9">
      <w:pPr>
        <w:pStyle w:val="Cover24"/>
      </w:pPr>
      <w:r>
        <w:rPr>
          <w:rStyle w:val="HideTWBExt"/>
          <w:noProof w:val="0"/>
        </w:rPr>
        <w:t>&lt;DocRef&gt;</w:t>
      </w:r>
      <w:r w:rsidRPr="00AC4460">
        <w:t>(COM(2016)0157 – C8-0123/2016 – 2016/0084(COD))</w:t>
      </w:r>
      <w:r>
        <w:rPr>
          <w:rStyle w:val="HideTWBExt"/>
          <w:noProof w:val="0"/>
        </w:rPr>
        <w:t>&lt;/DocRef&gt;</w:t>
      </w:r>
    </w:p>
    <w:p w:rsidR="00793EA9" w:rsidRPr="0093569D" w:rsidRDefault="00793EA9">
      <w:pPr>
        <w:pStyle w:val="Cover24"/>
      </w:pPr>
      <w:r>
        <w:rPr>
          <w:rStyle w:val="HideTWBExt"/>
          <w:noProof w:val="0"/>
        </w:rPr>
        <w:t>&lt;Commission&gt;</w:t>
      </w:r>
      <w:r w:rsidRPr="00AC4460">
        <w:rPr>
          <w:rStyle w:val="HideTWBInt"/>
          <w:color w:val="auto"/>
        </w:rPr>
        <w:t>{IMCO}</w:t>
      </w:r>
      <w:r w:rsidRPr="00AC4460">
        <w:t>Επιτροπή Εσωτερικής Αγοράς και Προστασίας των Καταναλωτών</w:t>
      </w:r>
      <w:r>
        <w:rPr>
          <w:rStyle w:val="HideTWBExt"/>
          <w:noProof w:val="0"/>
        </w:rPr>
        <w:t>&lt;/Commission&gt;</w:t>
      </w:r>
    </w:p>
    <w:p w:rsidR="009D0253" w:rsidRPr="004930D5" w:rsidRDefault="002856F0" w:rsidP="009D0253">
      <w:pPr>
        <w:pStyle w:val="Cover24"/>
      </w:pPr>
      <w:r w:rsidRPr="00AC4460">
        <w:t xml:space="preserve">Εισηγήτρια: </w:t>
      </w:r>
      <w:r>
        <w:rPr>
          <w:rStyle w:val="HideTWBExt"/>
          <w:noProof w:val="0"/>
        </w:rPr>
        <w:t>&lt;Depute&gt;</w:t>
      </w:r>
      <w:r w:rsidRPr="00AC4460">
        <w:t>Ildikó Gáll-Pelcz</w:t>
      </w:r>
      <w:r>
        <w:rPr>
          <w:rStyle w:val="HideTWBExt"/>
          <w:noProof w:val="0"/>
        </w:rPr>
        <w:t>&lt;/</w:t>
      </w:r>
      <w:r>
        <w:rPr>
          <w:rStyle w:val="HideTWBExt"/>
          <w:noProof w:val="0"/>
          <w:lang w:val="en-GB"/>
        </w:rPr>
        <w:t>Depute</w:t>
      </w:r>
      <w:r>
        <w:rPr>
          <w:rStyle w:val="HideTWBExt"/>
          <w:noProof w:val="0"/>
        </w:rPr>
        <w:t>&gt;</w:t>
      </w:r>
    </w:p>
    <w:p w:rsidR="009D0253" w:rsidRPr="00D95491" w:rsidRDefault="009D0253" w:rsidP="009D0253">
      <w:pPr>
        <w:pStyle w:val="CoverNormal"/>
        <w:rPr>
          <w:snapToGrid w:val="0"/>
          <w:szCs w:val="24"/>
        </w:rPr>
      </w:pPr>
      <w:r>
        <w:rPr>
          <w:snapToGrid w:val="0"/>
          <w:szCs w:val="24"/>
        </w:rPr>
        <w:t>Σ</w:t>
      </w:r>
      <w:r>
        <w:t>υντάκτες γνωμοδότησης (*):</w:t>
      </w:r>
    </w:p>
    <w:p w:rsidR="009D0253" w:rsidRPr="00D95491" w:rsidRDefault="009D0253" w:rsidP="009D0253">
      <w:pPr>
        <w:pStyle w:val="CoverNormal"/>
      </w:pPr>
      <w:r>
        <w:t>Elisabetta Gardini, Επιτροπή Περιβάλλοντος, Δημόσιας Υγείας και Ασφάλειας των Τροφίμων</w:t>
      </w:r>
    </w:p>
    <w:p w:rsidR="002856F0" w:rsidRDefault="009D0253" w:rsidP="009D0253">
      <w:pPr>
        <w:pStyle w:val="Cover24"/>
        <w:spacing w:after="0"/>
      </w:pPr>
      <w:r>
        <w:t>Jan Huitema, Επιτροπή Γεωργίας και Ανάπτυξης της Υπαίθρου</w:t>
      </w:r>
    </w:p>
    <w:p w:rsidR="009D0253" w:rsidRDefault="009D0253" w:rsidP="009D0253">
      <w:pPr>
        <w:pStyle w:val="Cover24"/>
        <w:spacing w:after="0"/>
      </w:pPr>
    </w:p>
    <w:p w:rsidR="009D0253" w:rsidRPr="0093569D" w:rsidRDefault="009D0253" w:rsidP="009D0253">
      <w:pPr>
        <w:pStyle w:val="Cover24"/>
        <w:spacing w:after="0"/>
      </w:pPr>
    </w:p>
    <w:p w:rsidR="009D0253" w:rsidRDefault="002856F0" w:rsidP="002856F0">
      <w:pPr>
        <w:pStyle w:val="CoverNormal"/>
      </w:pPr>
      <w:r>
        <w:t>(*)</w:t>
      </w:r>
      <w:r>
        <w:tab/>
        <w:t>Διαδικασία συνδεδεμένων επιτροπών – Άρθρο 54 του Κανονισμού</w:t>
      </w:r>
    </w:p>
    <w:p w:rsidR="002856F0" w:rsidRPr="0093569D" w:rsidRDefault="009D0253" w:rsidP="009D0253">
      <w:pPr>
        <w:pStyle w:val="CoverNormal"/>
        <w:ind w:hanging="1418"/>
      </w:pPr>
      <w:r>
        <w:br w:type="page"/>
      </w:r>
    </w:p>
    <w:p w:rsidR="00846D90" w:rsidRPr="0093569D" w:rsidRDefault="00AC4460" w:rsidP="00846D90">
      <w:fldSimple w:instr="TITLE \* MERGEFORMAT">
        <w:r w:rsidR="00754953">
          <w:t>PR_COD_1amCom</w:t>
        </w:r>
      </w:fldSimple>
    </w:p>
    <w:p w:rsidR="00846D90" w:rsidRPr="0093569D" w:rsidRDefault="00846D90" w:rsidP="00846D90"/>
    <w:p w:rsidR="002856F0" w:rsidRPr="0093569D" w:rsidRDefault="002856F0" w:rsidP="002856F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E43CD" w:rsidRPr="0093569D" w:rsidTr="009D0253">
        <w:tc>
          <w:tcPr>
            <w:tcW w:w="5811" w:type="dxa"/>
          </w:tcPr>
          <w:p w:rsidR="007E43CD" w:rsidRPr="0093569D" w:rsidRDefault="007E43CD" w:rsidP="009D0253">
            <w:pPr>
              <w:pStyle w:val="Lgendetitre"/>
            </w:pPr>
            <w:r>
              <w:t>Υπόμνημα για τα χρησιμοποιούμενα σύμβολα</w:t>
            </w:r>
          </w:p>
        </w:tc>
      </w:tr>
      <w:tr w:rsidR="007E43CD" w:rsidRPr="0093569D" w:rsidTr="009D0253">
        <w:trPr>
          <w:cantSplit/>
          <w:trHeight w:val="1949"/>
        </w:trPr>
        <w:tc>
          <w:tcPr>
            <w:tcW w:w="5811" w:type="dxa"/>
            <w:tcBorders>
              <w:bottom w:val="single" w:sz="4" w:space="0" w:color="auto"/>
            </w:tcBorders>
          </w:tcPr>
          <w:p w:rsidR="007E43CD" w:rsidRPr="0093569D" w:rsidRDefault="007E43CD" w:rsidP="009D0253">
            <w:pPr>
              <w:pStyle w:val="Lgendesigne"/>
            </w:pPr>
            <w:r>
              <w:tab/>
              <w:t>*</w:t>
            </w:r>
            <w:r>
              <w:tab/>
              <w:t>Διαδικασία διαβούλευσης</w:t>
            </w:r>
          </w:p>
          <w:p w:rsidR="007E43CD" w:rsidRPr="0093569D" w:rsidRDefault="007E43CD" w:rsidP="009D0253">
            <w:pPr>
              <w:pStyle w:val="Lgendesigne"/>
            </w:pPr>
            <w:r>
              <w:tab/>
              <w:t>***</w:t>
            </w:r>
            <w:r>
              <w:tab/>
              <w:t>Διαδικασία έγκρισης</w:t>
            </w:r>
          </w:p>
          <w:p w:rsidR="007E43CD" w:rsidRPr="0093569D" w:rsidRDefault="007E43CD" w:rsidP="009D0253">
            <w:pPr>
              <w:pStyle w:val="Lgendesigne"/>
            </w:pPr>
            <w:r>
              <w:tab/>
              <w:t>***I</w:t>
            </w:r>
            <w:r>
              <w:tab/>
              <w:t>Συνήθης νομοθετική διαδικασία (πρώτη ανάγνωση)</w:t>
            </w:r>
          </w:p>
          <w:p w:rsidR="007E43CD" w:rsidRPr="0093569D" w:rsidRDefault="007E43CD" w:rsidP="009D0253">
            <w:pPr>
              <w:pStyle w:val="Lgendesigne"/>
            </w:pPr>
            <w:r>
              <w:tab/>
              <w:t>***II</w:t>
            </w:r>
            <w:r>
              <w:tab/>
              <w:t>Συνήθης νομοθετική διαδικασία (δεύτερη ανάγνωση)</w:t>
            </w:r>
          </w:p>
          <w:p w:rsidR="007E43CD" w:rsidRPr="0093569D" w:rsidRDefault="007E43CD" w:rsidP="009D0253">
            <w:pPr>
              <w:pStyle w:val="Lgendesigne"/>
            </w:pPr>
            <w:r>
              <w:tab/>
              <w:t>***III</w:t>
            </w:r>
            <w:r>
              <w:tab/>
              <w:t>Συνήθης νομοθετική διαδικασία (τρίτη ανάγνωση)</w:t>
            </w:r>
            <w:r>
              <w:br/>
            </w:r>
          </w:p>
          <w:p w:rsidR="007E43CD" w:rsidRPr="0093569D" w:rsidRDefault="007E43CD" w:rsidP="009D0253">
            <w:pPr>
              <w:pStyle w:val="Lgendestandard"/>
            </w:pPr>
            <w:r>
              <w:t>(Η ενδεικνυόμενη διαδικασία στηρίζεται στη νομική βάση που προτείνεται στο σχέδιο πράξης.)</w:t>
            </w:r>
          </w:p>
          <w:p w:rsidR="007E43CD" w:rsidRPr="0093569D" w:rsidRDefault="007E43CD" w:rsidP="009D0253">
            <w:pPr>
              <w:pStyle w:val="Lgendestandard"/>
            </w:pPr>
          </w:p>
        </w:tc>
      </w:tr>
    </w:tbl>
    <w:p w:rsidR="007E43CD" w:rsidRPr="0093569D" w:rsidRDefault="007E43CD" w:rsidP="007E43CD"/>
    <w:p w:rsidR="007E43CD" w:rsidRPr="0093569D" w:rsidRDefault="007E43CD" w:rsidP="007E43CD"/>
    <w:p w:rsidR="007E43CD" w:rsidRPr="0093569D" w:rsidRDefault="007E43CD" w:rsidP="007E43CD"/>
    <w:p w:rsidR="007E43CD" w:rsidRPr="0093569D" w:rsidRDefault="007E43CD" w:rsidP="007E43CD"/>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E43CD" w:rsidRPr="0093569D" w:rsidTr="009D0253">
        <w:tc>
          <w:tcPr>
            <w:tcW w:w="5811" w:type="dxa"/>
          </w:tcPr>
          <w:p w:rsidR="007E43CD" w:rsidRPr="0093569D" w:rsidRDefault="007E43CD" w:rsidP="009D0253">
            <w:pPr>
              <w:pStyle w:val="Lgendetitre"/>
            </w:pPr>
            <w:r>
              <w:t>Τροπολογίες σε σχέδιο πράξης</w:t>
            </w:r>
          </w:p>
        </w:tc>
      </w:tr>
      <w:tr w:rsidR="007E43CD" w:rsidRPr="0093569D" w:rsidTr="009D0253">
        <w:tc>
          <w:tcPr>
            <w:tcW w:w="5811" w:type="dxa"/>
          </w:tcPr>
          <w:p w:rsidR="007E43CD" w:rsidRPr="0093569D" w:rsidRDefault="007E43CD" w:rsidP="009D0253">
            <w:pPr>
              <w:pStyle w:val="Lgendestandard"/>
            </w:pPr>
          </w:p>
          <w:p w:rsidR="007E43CD" w:rsidRPr="0093569D" w:rsidRDefault="007E43CD" w:rsidP="009D0253">
            <w:pPr>
              <w:pStyle w:val="Lgendestandard"/>
              <w:rPr>
                <w:szCs w:val="18"/>
              </w:rPr>
            </w:pPr>
            <w:r>
              <w:rPr>
                <w:b/>
              </w:rPr>
              <w:t>Τροπολογίες του Κοινοβουλίου σε δύο στήλες</w:t>
            </w:r>
          </w:p>
          <w:p w:rsidR="007E43CD" w:rsidRPr="0093569D" w:rsidRDefault="007E43CD" w:rsidP="009D0253">
            <w:pPr>
              <w:pStyle w:val="Lgendestandard"/>
              <w:rPr>
                <w:szCs w:val="18"/>
              </w:rPr>
            </w:pPr>
          </w:p>
          <w:p w:rsidR="007E43CD" w:rsidRPr="0093569D" w:rsidRDefault="007E43CD" w:rsidP="009D0253">
            <w:pPr>
              <w:pStyle w:val="Lgendestandard"/>
              <w:rPr>
                <w:szCs w:val="18"/>
              </w:rPr>
            </w:pPr>
            <w:r>
              <w:t xml:space="preserve">Η διαγραφή κειμένου σημαίνεται με </w:t>
            </w:r>
            <w:r>
              <w:rPr>
                <w:b/>
                <w:i/>
              </w:rPr>
              <w:t>πλάγιους έντονους χαρακτήρες</w:t>
            </w:r>
            <w:r>
              <w:t xml:space="preserve"> στην αριστερή στήλη. Η αντικατάσταση κειμένου σημαίνεται με </w:t>
            </w:r>
            <w:r>
              <w:rPr>
                <w:b/>
                <w:i/>
              </w:rPr>
              <w:t xml:space="preserve">πλάγιους έντονους χαρακτήρες </w:t>
            </w:r>
            <w:r>
              <w:t xml:space="preserve">και στις δύο στήλες. Το νέο κείμενο σημαίνεται με </w:t>
            </w:r>
            <w:r>
              <w:rPr>
                <w:b/>
                <w:i/>
              </w:rPr>
              <w:t xml:space="preserve">πλάγιους έντονους χαρακτήρες </w:t>
            </w:r>
            <w:r>
              <w:t>στη δεξιά στήλη.</w:t>
            </w:r>
          </w:p>
          <w:p w:rsidR="007E43CD" w:rsidRPr="0093569D" w:rsidRDefault="007E43CD" w:rsidP="009D0253">
            <w:pPr>
              <w:pStyle w:val="Lgendestandard"/>
            </w:pPr>
          </w:p>
          <w:p w:rsidR="007E43CD" w:rsidRPr="0093569D" w:rsidRDefault="007E43CD" w:rsidP="009D0253">
            <w:pPr>
              <w:pStyle w:val="Lgendestandard"/>
            </w:pPr>
            <w:r>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οποία αναφέρεται η τροπολογία.</w:t>
            </w:r>
          </w:p>
          <w:p w:rsidR="007E43CD" w:rsidRPr="0093569D" w:rsidRDefault="007E43CD" w:rsidP="009D0253">
            <w:pPr>
              <w:pStyle w:val="Lgendestandard"/>
            </w:pPr>
          </w:p>
          <w:p w:rsidR="007E43CD" w:rsidRPr="0093569D" w:rsidRDefault="007E43CD" w:rsidP="009D0253">
            <w:pPr>
              <w:pStyle w:val="Lgendestandard"/>
              <w:rPr>
                <w:b/>
                <w:szCs w:val="18"/>
              </w:rPr>
            </w:pPr>
            <w:r>
              <w:rPr>
                <w:b/>
              </w:rPr>
              <w:t>Τροπολογίες του Κοινοβουλίου με μορφή ενοποιημένου κειμένου</w:t>
            </w:r>
          </w:p>
          <w:p w:rsidR="007E43CD" w:rsidRPr="0093569D" w:rsidRDefault="007E43CD" w:rsidP="009D0253">
            <w:pPr>
              <w:pStyle w:val="Lgendestandard"/>
              <w:rPr>
                <w:szCs w:val="18"/>
              </w:rPr>
            </w:pPr>
          </w:p>
          <w:p w:rsidR="007E43CD" w:rsidRPr="0093569D" w:rsidRDefault="007E43CD" w:rsidP="009D0253">
            <w:pPr>
              <w:pStyle w:val="Lgendestandard"/>
              <w:rPr>
                <w:szCs w:val="18"/>
              </w:rPr>
            </w:pPr>
            <w:r>
              <w:rPr>
                <w:color w:val="000000"/>
              </w:rPr>
              <w:t xml:space="preserve">Τα νέα τμήματα του κειμένου σημαίνονται με </w:t>
            </w:r>
            <w:r>
              <w:rPr>
                <w:b/>
                <w:i/>
              </w:rPr>
              <w:t>πλάγιους έντονους χαρακτήρες</w:t>
            </w:r>
            <w:r>
              <w:t xml:space="preserve">. Τα τμήματα του κειμένου που απαλείφονται σημαίνονται με το σύμβολο ▌ ή με διαγραφή. Η αντικατάσταση κειμένου σημαίνεται με </w:t>
            </w:r>
            <w:r>
              <w:rPr>
                <w:b/>
                <w:i/>
              </w:rPr>
              <w:t>πλάγιους έντονους χαρακτήρες</w:t>
            </w:r>
            <w:r>
              <w:t xml:space="preserve"> που υποδηλώνουν το νέο κείμενο και με διαγραφή του κειμένου που αντικαθίσταται.</w:t>
            </w:r>
          </w:p>
          <w:p w:rsidR="007E43CD" w:rsidRPr="0093569D" w:rsidRDefault="007E43CD" w:rsidP="009D0253">
            <w:pPr>
              <w:pStyle w:val="Lgendestandard"/>
            </w:pPr>
            <w:r>
              <w:t>Κατ’ εξαίρεση, δεν σημαίνονται οι τροποποιήσεις αυστηρά τεχνικής φύσης που επιφέρουν οι υπηρεσίες κατά την επεξεργασία του τελικού κειμένου.</w:t>
            </w:r>
          </w:p>
        </w:tc>
      </w:tr>
    </w:tbl>
    <w:p w:rsidR="007E43CD" w:rsidRPr="0093569D" w:rsidRDefault="007E43CD" w:rsidP="007E43CD"/>
    <w:p w:rsidR="00793EA9" w:rsidRPr="0093569D" w:rsidRDefault="00793EA9">
      <w:pPr>
        <w:widowControl/>
        <w:tabs>
          <w:tab w:val="center" w:pos="4677"/>
        </w:tabs>
        <w:jc w:val="both"/>
      </w:pPr>
    </w:p>
    <w:p w:rsidR="00793EA9" w:rsidRPr="0093569D" w:rsidRDefault="00793EA9">
      <w:pPr>
        <w:pStyle w:val="TOCHeading"/>
      </w:pPr>
      <w:r>
        <w:br w:type="page"/>
      </w:r>
      <w:r>
        <w:lastRenderedPageBreak/>
        <w:t>ΠΕΡΙΕΧΟΜΕΝΑ</w:t>
      </w:r>
    </w:p>
    <w:p w:rsidR="00793EA9" w:rsidRPr="0093569D" w:rsidRDefault="0051759C">
      <w:pPr>
        <w:pStyle w:val="TOCPage"/>
      </w:pPr>
      <w:r>
        <w:t>Σελίδα</w:t>
      </w:r>
    </w:p>
    <w:p w:rsidR="00754953" w:rsidRDefault="00793EA9">
      <w:pPr>
        <w:pStyle w:val="TOC1"/>
        <w:tabs>
          <w:tab w:val="right" w:leader="dot" w:pos="9062"/>
        </w:tabs>
        <w:rPr>
          <w:rFonts w:asciiTheme="minorHAnsi" w:eastAsiaTheme="minorEastAsia" w:hAnsiTheme="minorHAnsi" w:cstheme="minorBidi"/>
          <w:noProof/>
          <w:sz w:val="22"/>
          <w:szCs w:val="22"/>
          <w:lang w:val="en-GB" w:eastAsia="en-GB" w:bidi="ar-SA"/>
        </w:rPr>
      </w:pPr>
      <w:r w:rsidRPr="0093569D">
        <w:rPr>
          <w:b/>
        </w:rPr>
        <w:fldChar w:fldCharType="begin"/>
      </w:r>
      <w:r w:rsidRPr="0093569D">
        <w:rPr>
          <w:b/>
        </w:rPr>
        <w:instrText xml:space="preserve"> TOC \t "PageHeading</w:instrText>
      </w:r>
      <w:r w:rsidR="000A61DD">
        <w:rPr>
          <w:b/>
        </w:rPr>
        <w:instrText>;</w:instrText>
      </w:r>
      <w:r w:rsidRPr="0093569D">
        <w:rPr>
          <w:b/>
        </w:rPr>
        <w:instrText xml:space="preserve">1" </w:instrText>
      </w:r>
      <w:r w:rsidRPr="0093569D">
        <w:rPr>
          <w:b/>
        </w:rPr>
        <w:fldChar w:fldCharType="separate"/>
      </w:r>
      <w:r w:rsidR="00754953">
        <w:rPr>
          <w:noProof/>
        </w:rPr>
        <w:t>ΣΧΕΔΙΟ ΝΟΜΟΘΕΤΙΚΟΥ ΨΗΦΙΣΜΑΤΟΣ ΤΟΥ ΕΥΡΩΠΑΪΚΟΥ ΚΟΙΝΟΒΟΥΛΙΟΥ</w:t>
      </w:r>
      <w:r w:rsidR="00754953">
        <w:rPr>
          <w:noProof/>
        </w:rPr>
        <w:tab/>
      </w:r>
      <w:r w:rsidR="00754953">
        <w:rPr>
          <w:noProof/>
        </w:rPr>
        <w:fldChar w:fldCharType="begin"/>
      </w:r>
      <w:r w:rsidR="00754953">
        <w:rPr>
          <w:noProof/>
        </w:rPr>
        <w:instrText xml:space="preserve"> PAGEREF _Toc492553363 \h </w:instrText>
      </w:r>
      <w:r w:rsidR="00754953">
        <w:rPr>
          <w:noProof/>
        </w:rPr>
      </w:r>
      <w:r w:rsidR="00754953">
        <w:rPr>
          <w:noProof/>
        </w:rPr>
        <w:fldChar w:fldCharType="separate"/>
      </w:r>
      <w:r w:rsidR="00754953">
        <w:rPr>
          <w:noProof/>
        </w:rPr>
        <w:t>5</w:t>
      </w:r>
      <w:r w:rsidR="00754953">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ΑΙΤΙΟΛΟΓΙΚΗ ΕΚΘΕΣΗ</w:t>
      </w:r>
      <w:r>
        <w:rPr>
          <w:noProof/>
        </w:rPr>
        <w:tab/>
      </w:r>
      <w:r>
        <w:rPr>
          <w:noProof/>
        </w:rPr>
        <w:fldChar w:fldCharType="begin"/>
      </w:r>
      <w:r>
        <w:rPr>
          <w:noProof/>
        </w:rPr>
        <w:instrText xml:space="preserve"> PAGEREF _Toc492553364 \h </w:instrText>
      </w:r>
      <w:r>
        <w:rPr>
          <w:noProof/>
        </w:rPr>
      </w:r>
      <w:r>
        <w:rPr>
          <w:noProof/>
        </w:rPr>
        <w:fldChar w:fldCharType="separate"/>
      </w:r>
      <w:r>
        <w:rPr>
          <w:noProof/>
        </w:rPr>
        <w:t>154</w:t>
      </w:r>
      <w:r>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ΠΑΡΑΡΤΗΜΑ: ΚΑΤΑΛΟΓΟΣ ΟΝΤΟΤΗΤΩΝ Ή ΠΡΟΣΩΠΩΝ ΠΟΥ ΕΧΟΥΝ ΚΑΤΑΘΕΣΕΙ ΤΙΣ ΑΠΟΨΕΙΣ ΤΟΥΣ ΣΤΗΝ ΕΙΣΗΓΗΤΡΙΑ</w:t>
      </w:r>
      <w:r>
        <w:rPr>
          <w:noProof/>
        </w:rPr>
        <w:tab/>
      </w:r>
      <w:r>
        <w:rPr>
          <w:noProof/>
        </w:rPr>
        <w:fldChar w:fldCharType="begin"/>
      </w:r>
      <w:r>
        <w:rPr>
          <w:noProof/>
        </w:rPr>
        <w:instrText xml:space="preserve"> PAGEREF _Toc492553365 \h </w:instrText>
      </w:r>
      <w:r>
        <w:rPr>
          <w:noProof/>
        </w:rPr>
      </w:r>
      <w:r>
        <w:rPr>
          <w:noProof/>
        </w:rPr>
        <w:fldChar w:fldCharType="separate"/>
      </w:r>
      <w:r>
        <w:rPr>
          <w:noProof/>
        </w:rPr>
        <w:t>158</w:t>
      </w:r>
      <w:r>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 xml:space="preserve">ΓΝΩΜΟΔΟΤΗΣΗ </w:t>
      </w:r>
      <w:r w:rsidRPr="00805505">
        <w:rPr>
          <w:caps/>
          <w:noProof/>
        </w:rPr>
        <w:t>της Επιτροπής Περιβάλλοντος, Δημόσιας Υγείας και Ασφάλειας των Τροφίμων</w:t>
      </w:r>
      <w:r>
        <w:rPr>
          <w:noProof/>
        </w:rPr>
        <w:tab/>
      </w:r>
      <w:r>
        <w:rPr>
          <w:noProof/>
        </w:rPr>
        <w:fldChar w:fldCharType="begin"/>
      </w:r>
      <w:r>
        <w:rPr>
          <w:noProof/>
        </w:rPr>
        <w:instrText xml:space="preserve"> PAGEREF _Toc492553366 \h </w:instrText>
      </w:r>
      <w:r>
        <w:rPr>
          <w:noProof/>
        </w:rPr>
      </w:r>
      <w:r>
        <w:rPr>
          <w:noProof/>
        </w:rPr>
        <w:fldChar w:fldCharType="separate"/>
      </w:r>
      <w:r>
        <w:rPr>
          <w:noProof/>
        </w:rPr>
        <w:t>159</w:t>
      </w:r>
      <w:r>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 xml:space="preserve">ΓΝΩΜΟΔΟΤΗΣΗ </w:t>
      </w:r>
      <w:r w:rsidRPr="00805505">
        <w:rPr>
          <w:caps/>
          <w:noProof/>
        </w:rPr>
        <w:t>της Επιτροπής Γεωργίας και Ανάπτυξης της Υπαίθρου</w:t>
      </w:r>
      <w:r>
        <w:rPr>
          <w:noProof/>
        </w:rPr>
        <w:tab/>
      </w:r>
      <w:r>
        <w:rPr>
          <w:noProof/>
        </w:rPr>
        <w:fldChar w:fldCharType="begin"/>
      </w:r>
      <w:r>
        <w:rPr>
          <w:noProof/>
        </w:rPr>
        <w:instrText xml:space="preserve"> PAGEREF _Toc492553367 \h </w:instrText>
      </w:r>
      <w:r>
        <w:rPr>
          <w:noProof/>
        </w:rPr>
      </w:r>
      <w:r>
        <w:rPr>
          <w:noProof/>
        </w:rPr>
        <w:fldChar w:fldCharType="separate"/>
      </w:r>
      <w:r>
        <w:rPr>
          <w:noProof/>
        </w:rPr>
        <w:t>230</w:t>
      </w:r>
      <w:r>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 xml:space="preserve">ΓΝΩΜΟΔΟΤΗΣΗ </w:t>
      </w:r>
      <w:r w:rsidRPr="00805505">
        <w:rPr>
          <w:caps/>
          <w:noProof/>
        </w:rPr>
        <w:t>της Επιτροπής Διεθνούς Εμπορίου</w:t>
      </w:r>
      <w:r>
        <w:rPr>
          <w:noProof/>
        </w:rPr>
        <w:tab/>
      </w:r>
      <w:r>
        <w:rPr>
          <w:noProof/>
        </w:rPr>
        <w:fldChar w:fldCharType="begin"/>
      </w:r>
      <w:r>
        <w:rPr>
          <w:noProof/>
        </w:rPr>
        <w:instrText xml:space="preserve"> PAGEREF _Toc492553368 \h </w:instrText>
      </w:r>
      <w:r>
        <w:rPr>
          <w:noProof/>
        </w:rPr>
      </w:r>
      <w:r>
        <w:rPr>
          <w:noProof/>
        </w:rPr>
        <w:fldChar w:fldCharType="separate"/>
      </w:r>
      <w:r>
        <w:rPr>
          <w:noProof/>
        </w:rPr>
        <w:t>338</w:t>
      </w:r>
      <w:r>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ΔΙΑΔΙΚΑΣΙΑ ΤΗΣ ΑΡΜΟΔΙΑΣ ΕΠΙ ΤΗΣ ΟΥΣΙΑΣ ΕΠΙΤΡΟΠΗΣ</w:t>
      </w:r>
      <w:r>
        <w:rPr>
          <w:noProof/>
        </w:rPr>
        <w:tab/>
      </w:r>
      <w:r>
        <w:rPr>
          <w:noProof/>
        </w:rPr>
        <w:fldChar w:fldCharType="begin"/>
      </w:r>
      <w:r>
        <w:rPr>
          <w:noProof/>
        </w:rPr>
        <w:instrText xml:space="preserve"> PAGEREF _Toc492553369 \h </w:instrText>
      </w:r>
      <w:r>
        <w:rPr>
          <w:noProof/>
        </w:rPr>
      </w:r>
      <w:r>
        <w:rPr>
          <w:noProof/>
        </w:rPr>
        <w:fldChar w:fldCharType="separate"/>
      </w:r>
      <w:r>
        <w:rPr>
          <w:noProof/>
        </w:rPr>
        <w:t>345</w:t>
      </w:r>
      <w:r>
        <w:rPr>
          <w:noProof/>
        </w:rPr>
        <w:fldChar w:fldCharType="end"/>
      </w:r>
    </w:p>
    <w:p w:rsidR="00754953" w:rsidRDefault="00754953">
      <w:pPr>
        <w:pStyle w:val="TOC1"/>
        <w:tabs>
          <w:tab w:val="right" w:leader="dot" w:pos="9062"/>
        </w:tabs>
        <w:rPr>
          <w:rFonts w:asciiTheme="minorHAnsi" w:eastAsiaTheme="minorEastAsia" w:hAnsiTheme="minorHAnsi" w:cstheme="minorBidi"/>
          <w:noProof/>
          <w:sz w:val="22"/>
          <w:szCs w:val="22"/>
          <w:lang w:val="en-GB" w:eastAsia="en-GB" w:bidi="ar-SA"/>
        </w:rPr>
      </w:pPr>
      <w:r>
        <w:rPr>
          <w:noProof/>
        </w:rPr>
        <w:t>ΤΕΛΙΚΗ ΨΗΦΟΦΟΡΙΑ ΜΕ ΟΝΟΜΑΣΤΙΚΗ ΚΛΗΣΗ ΣΤΗΝ ΑΡΜΟΔΙΑ ΕΠΙΤΡΟΠΗ</w:t>
      </w:r>
      <w:r>
        <w:rPr>
          <w:noProof/>
        </w:rPr>
        <w:tab/>
      </w:r>
      <w:r>
        <w:rPr>
          <w:noProof/>
        </w:rPr>
        <w:fldChar w:fldCharType="begin"/>
      </w:r>
      <w:r>
        <w:rPr>
          <w:noProof/>
        </w:rPr>
        <w:instrText xml:space="preserve"> PAGEREF _Toc492553370 \h </w:instrText>
      </w:r>
      <w:r>
        <w:rPr>
          <w:noProof/>
        </w:rPr>
      </w:r>
      <w:r>
        <w:rPr>
          <w:noProof/>
        </w:rPr>
        <w:fldChar w:fldCharType="separate"/>
      </w:r>
      <w:r>
        <w:rPr>
          <w:noProof/>
        </w:rPr>
        <w:t>346</w:t>
      </w:r>
      <w:r>
        <w:rPr>
          <w:noProof/>
        </w:rPr>
        <w:fldChar w:fldCharType="end"/>
      </w:r>
    </w:p>
    <w:p w:rsidR="00D46F8D" w:rsidRPr="0093569D" w:rsidRDefault="00793EA9">
      <w:pPr>
        <w:pStyle w:val="TOC1"/>
        <w:tabs>
          <w:tab w:val="right" w:leader="dot" w:pos="9062"/>
        </w:tabs>
        <w:rPr>
          <w:rFonts w:asciiTheme="minorHAnsi" w:eastAsiaTheme="minorEastAsia" w:hAnsiTheme="minorHAnsi" w:cstheme="minorBidi"/>
          <w:sz w:val="22"/>
          <w:szCs w:val="22"/>
        </w:rPr>
      </w:pPr>
      <w:r w:rsidRPr="0093569D">
        <w:fldChar w:fldCharType="end"/>
      </w:r>
    </w:p>
    <w:p w:rsidR="002346B0" w:rsidRPr="0093569D" w:rsidRDefault="002346B0" w:rsidP="002346B0"/>
    <w:p w:rsidR="002346B0" w:rsidRPr="0093569D" w:rsidRDefault="002346B0">
      <w:pPr>
        <w:pStyle w:val="PageHeading"/>
      </w:pPr>
    </w:p>
    <w:p w:rsidR="00793EA9" w:rsidRPr="0093569D" w:rsidRDefault="00793EA9">
      <w:pPr>
        <w:pStyle w:val="PageHeading"/>
      </w:pPr>
      <w:r>
        <w:br w:type="page"/>
      </w:r>
      <w:r>
        <w:br w:type="page"/>
      </w:r>
      <w:bookmarkStart w:id="1" w:name="_Toc475449309"/>
      <w:bookmarkStart w:id="2" w:name="_Toc492553363"/>
      <w:r>
        <w:t>ΣΧΕΔΙΟ ΝΟΜΟΘΕΤΙΚΟΥ ΨΗΦΙΣΜΑΤΟΣ ΤΟΥ ΕΥΡΩΠΑΪΚΟΥ ΚΟΙΝΟΒΟΥΛΙΟΥ</w:t>
      </w:r>
      <w:bookmarkEnd w:id="1"/>
      <w:bookmarkEnd w:id="2"/>
    </w:p>
    <w:p w:rsidR="00793EA9" w:rsidRPr="00E451E4" w:rsidRDefault="00E451E4">
      <w:pPr>
        <w:pStyle w:val="NormalBold"/>
      </w:pPr>
      <w:r>
        <w:t>σχετικά με πρόταση κανονισμού του Ευρωπαϊκού Κοινοβουλίου και του Συμβουλίου για τη θέσπιση κανόνων σχετικά με τη διάθεση προϊόντων λίπανσης με σήμανση CE στην αγορά και για την τροποποίηση των κανονισμών (ΕΚ) αριθ. 1069/2009 και (ΕΚ) αριθ. 1107/2009</w:t>
      </w:r>
    </w:p>
    <w:p w:rsidR="00793EA9" w:rsidRPr="0093569D" w:rsidRDefault="0051759C">
      <w:pPr>
        <w:pStyle w:val="Normal12Bold"/>
      </w:pPr>
      <w:r>
        <w:t>(COM(2016)0157 – C8-0123/2016 – 2016/0084(COD))</w:t>
      </w:r>
    </w:p>
    <w:p w:rsidR="00793EA9" w:rsidRPr="0093569D" w:rsidRDefault="0051759C">
      <w:pPr>
        <w:pStyle w:val="Normal12Bold"/>
      </w:pPr>
      <w:r>
        <w:t>(Συνήθης νομοθετική διαδικασία: πρώτη ανάγνωση)</w:t>
      </w:r>
    </w:p>
    <w:p w:rsidR="00793EA9" w:rsidRPr="0093569D" w:rsidRDefault="0051759C">
      <w:pPr>
        <w:pStyle w:val="Normal12"/>
      </w:pPr>
      <w:r>
        <w:rPr>
          <w:i/>
        </w:rPr>
        <w:t>Το Ευρωπαϊκό Κοινοβούλιο</w:t>
      </w:r>
      <w:r>
        <w:t>,</w:t>
      </w:r>
    </w:p>
    <w:p w:rsidR="00E451E4" w:rsidRPr="00E451E4" w:rsidRDefault="00E451E4" w:rsidP="00E451E4">
      <w:pPr>
        <w:pStyle w:val="Normal12Hanging"/>
      </w:pPr>
      <w:r>
        <w:t>–</w:t>
      </w:r>
      <w:r>
        <w:tab/>
        <w:t>έχοντας υπόψη την πρόταση της Επιτροπής προς το</w:t>
      </w:r>
      <w:r w:rsidR="000A61DD">
        <w:t xml:space="preserve"> </w:t>
      </w:r>
      <w:r>
        <w:t>Κοινοβούλιο και το Συμβούλιο (COM(2016)0157),</w:t>
      </w:r>
    </w:p>
    <w:p w:rsidR="00E451E4" w:rsidRPr="00E451E4" w:rsidRDefault="00E451E4" w:rsidP="00E451E4">
      <w:pPr>
        <w:pStyle w:val="Normal12Hanging"/>
      </w:pPr>
      <w:r>
        <w:t>–</w:t>
      </w:r>
      <w:r>
        <w:tab/>
        <w:t>έχοντας υπόψη το άρθρο 294 παράγραφος 2 και το άρθρο 114 της Συνθήκης για τη λειτουργία της Ευρωπαϊκής Ένωσης, σύμφωνα με τα οποία του υποβλήθηκε η πρόταση από την Επιτροπή (C8-0123/2016),</w:t>
      </w:r>
    </w:p>
    <w:p w:rsidR="00E451E4" w:rsidRPr="00E451E4" w:rsidRDefault="00E451E4" w:rsidP="00E451E4">
      <w:pPr>
        <w:pStyle w:val="Normal12Hanging"/>
      </w:pPr>
      <w:r>
        <w:t>–</w:t>
      </w:r>
      <w:r>
        <w:tab/>
        <w:t>έχοντας υπόψη το άρθρο 294 παράγραφος 3 της Συνθήκης για τη λειτουργία της Ευρωπαϊκής Ένωσης,</w:t>
      </w:r>
    </w:p>
    <w:p w:rsidR="00E451E4" w:rsidRPr="00E451E4" w:rsidRDefault="00E451E4" w:rsidP="00E451E4">
      <w:pPr>
        <w:pStyle w:val="Normal12Hanging"/>
        <w:rPr>
          <w:rFonts w:eastAsia="Calibri"/>
        </w:rPr>
      </w:pPr>
      <w:r>
        <w:t>–</w:t>
      </w:r>
      <w:r>
        <w:tab/>
      </w:r>
      <w:r>
        <w:rPr>
          <w:snapToGrid w:val="0"/>
        </w:rPr>
        <w:t>έχοντας υπόψη τη γνώμη</w:t>
      </w:r>
      <w:r>
        <w:t xml:space="preserve"> της Ευρωπαϊκής Οικονομικής και Κοινωνικής Επιτροπής</w:t>
      </w:r>
      <w:r w:rsidRPr="00B0345A">
        <w:rPr>
          <w:rFonts w:eastAsia="Calibri"/>
          <w:vertAlign w:val="superscript"/>
        </w:rPr>
        <w:footnoteReference w:id="1"/>
      </w:r>
      <w:r>
        <w:t>,</w:t>
      </w:r>
    </w:p>
    <w:p w:rsidR="00E451E4" w:rsidRPr="00E451E4" w:rsidRDefault="00E451E4" w:rsidP="00E451E4">
      <w:pPr>
        <w:pStyle w:val="Normal12Hanging"/>
      </w:pPr>
      <w:r>
        <w:t>–</w:t>
      </w:r>
      <w:r>
        <w:tab/>
        <w:t>έχοντας υπόψη το άρθρο 59 του Κανονισμού του,</w:t>
      </w:r>
    </w:p>
    <w:p w:rsidR="00E451E4" w:rsidRPr="00E451E4" w:rsidRDefault="00E451E4" w:rsidP="00E451E4">
      <w:pPr>
        <w:pStyle w:val="Normal12Hanging"/>
      </w:pPr>
      <w:r>
        <w:t>–</w:t>
      </w:r>
      <w:r>
        <w:tab/>
        <w:t>έχοντας υπόψη την έκθεση της Επιτροπής Εσωτερικής Αγοράς και Προστασίας των Καταναλωτών και τις γνωμοδοτήσεις της Επιτροπής Περιβάλλοντος, Δημόσιας Υγείας και Ασφάλειας των Τροφίμων, της Επιτροπής Γεωργίας και Ανάπτυξης της Υπαίθρου και της Επιτροπής Διεθνούς Εμπορίου (A8-0270/2017),</w:t>
      </w:r>
    </w:p>
    <w:p w:rsidR="00E451E4" w:rsidRPr="00E451E4" w:rsidRDefault="00E451E4" w:rsidP="00E451E4">
      <w:pPr>
        <w:pStyle w:val="Normal12Hanging"/>
      </w:pPr>
      <w:r>
        <w:t>1.</w:t>
      </w:r>
      <w:r>
        <w:tab/>
        <w:t>εγκρίνει τη θέση του σε πρώτη ανάγνωση όπως παρατίθεται κατωτέρω·</w:t>
      </w:r>
    </w:p>
    <w:p w:rsidR="00E451E4" w:rsidRPr="00E451E4" w:rsidRDefault="00E451E4" w:rsidP="00E451E4">
      <w:pPr>
        <w:pStyle w:val="Normal12Hanging"/>
      </w:pPr>
      <w:r>
        <w:t>2.</w:t>
      </w:r>
      <w:r>
        <w:ta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rsidR="00E451E4" w:rsidRPr="00E451E4" w:rsidRDefault="00E451E4" w:rsidP="00E451E4">
      <w:pPr>
        <w:pStyle w:val="Normal12Hanging"/>
      </w:pPr>
      <w:r>
        <w:t>3.</w:t>
      </w:r>
      <w:r>
        <w:tab/>
        <w:t>αναθέτει στον Πρόεδρό του να διαβιβάσει τη θέση του Κοινοβουλίου στο Συμβούλιο, στην Επιτροπή και στα εθνικά κοινοβούλια.</w:t>
      </w:r>
    </w:p>
    <w:p w:rsidR="00E451E4" w:rsidRPr="00E451E4" w:rsidRDefault="00E451E4" w:rsidP="00E451E4">
      <w:pPr>
        <w:pStyle w:val="Normal12Hanging"/>
      </w:pPr>
      <w:r>
        <w:br w:type="page"/>
      </w:r>
    </w:p>
    <w:p w:rsidR="00E451E4" w:rsidRPr="00E451E4" w:rsidRDefault="00E451E4" w:rsidP="00E451E4">
      <w:pPr>
        <w:pStyle w:val="AMNumberTabs"/>
        <w:keepNext/>
      </w:pPr>
      <w:r>
        <w:rPr>
          <w:rStyle w:val="HideTWBExt"/>
          <w:noProof w:val="0"/>
          <w:lang w:val="en-GB"/>
        </w:rPr>
        <w:t>&lt;RepeatBlock-Amend&gt;</w:t>
      </w: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Τίτλος</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r w:rsidRPr="00AC4460">
              <w:t xml:space="preserve">σχετικά με την πρόταση κανονισμού του Ευρωπαϊκού Κοινοβουλίου και του Συμβουλίου για τη θέσπιση κανόνων σχετικά με τη διάθεση προϊόντων </w:t>
            </w:r>
            <w:r w:rsidRPr="00AC4460">
              <w:rPr>
                <w:b/>
                <w:i/>
              </w:rPr>
              <w:t>λίπανσης</w:t>
            </w:r>
            <w:r w:rsidRPr="00AC4460">
              <w:t xml:space="preserve"> με σήμανση CE στην αγορά και για την τροποποίηση των κανονισμών (ΕΚ) αριθ. 1069/2009 και (ΕΚ) αριθ. 1107/2009 </w:t>
            </w:r>
          </w:p>
        </w:tc>
        <w:tc>
          <w:tcPr>
            <w:tcW w:w="4876" w:type="dxa"/>
          </w:tcPr>
          <w:p w:rsidR="00E451E4" w:rsidRPr="00AC4460" w:rsidRDefault="00E451E4" w:rsidP="000A61DD">
            <w:pPr>
              <w:pStyle w:val="Normal6"/>
              <w:rPr>
                <w:szCs w:val="24"/>
              </w:rPr>
            </w:pPr>
            <w:r w:rsidRPr="00AC4460">
              <w:t xml:space="preserve">σχετικά με την πρόταση κανονισμού του Ευρωπαϊκού Κοινοβουλίου και του Συμβουλίου για τη θέσπιση κανόνων σχετικά με τη διάθεση προϊόντων </w:t>
            </w:r>
            <w:r w:rsidRPr="00AC4460">
              <w:rPr>
                <w:b/>
                <w:i/>
              </w:rPr>
              <w:t>θρέψης φυτών</w:t>
            </w:r>
            <w:r w:rsidRPr="00AC4460">
              <w:t xml:space="preserve"> με σήμανση CE στην αγορά και για την τροποποίηση των κανονισμών (ΕΚ) αριθ. 1069/2009 και (ΕΚ) αριθ. 1107/2009 </w:t>
            </w:r>
          </w:p>
        </w:tc>
      </w:tr>
      <w:tr w:rsidR="00E451E4" w:rsidRPr="00E451E4" w:rsidTr="000A61DD">
        <w:trPr>
          <w:jc w:val="center"/>
        </w:trPr>
        <w:tc>
          <w:tcPr>
            <w:tcW w:w="4876" w:type="dxa"/>
          </w:tcPr>
          <w:p w:rsidR="00E451E4" w:rsidRPr="00AC4460" w:rsidRDefault="00E451E4" w:rsidP="000A61DD">
            <w:pPr>
              <w:pStyle w:val="Normal6"/>
              <w:rPr>
                <w:lang w:val="en-GB"/>
              </w:rPr>
            </w:pPr>
          </w:p>
        </w:tc>
        <w:tc>
          <w:tcPr>
            <w:tcW w:w="4876" w:type="dxa"/>
          </w:tcPr>
          <w:p w:rsidR="00E451E4" w:rsidRPr="00AC4460" w:rsidRDefault="00E451E4" w:rsidP="000A61DD">
            <w:pPr>
              <w:pStyle w:val="Normal6"/>
            </w:pPr>
            <w:r w:rsidRPr="00AC4460">
              <w:rPr>
                <w:i/>
              </w:rPr>
              <w:t>(Η παρούσα τροπολογία, που αλλάζει τον όρο «προϊόντα λίπανσης» σε «προϊόντα θρέψης φυτών», αφορά το σύνολο του κειμένου. Η έγκρισή της θα απαιτήσει αντίστοιχες προσαρμογές σε όλο το κείμενο και, κατά συνέπεια, στις εγκριθείσες τροπολογίες).</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2</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w:t>
      </w:r>
      <w:r>
        <w:rPr>
          <w:rStyle w:val="HideTWBExt"/>
          <w:b w:val="0"/>
          <w:noProof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E451E4" w:rsidRPr="00B0345A" w:rsidTr="000A61DD">
        <w:trPr>
          <w:gridAfter w:val="1"/>
          <w:wAfter w:w="340" w:type="dxa"/>
          <w:jc w:val="center"/>
        </w:trPr>
        <w:tc>
          <w:tcPr>
            <w:tcW w:w="9752" w:type="dxa"/>
            <w:gridSpan w:val="4"/>
          </w:tcPr>
          <w:p w:rsidR="00E451E4" w:rsidRPr="00B0345A" w:rsidRDefault="00E451E4" w:rsidP="000A61DD">
            <w:pPr>
              <w:keepNext/>
            </w:pPr>
          </w:p>
        </w:tc>
      </w:tr>
      <w:tr w:rsidR="00E451E4" w:rsidRPr="00B0345A" w:rsidTr="000A61DD">
        <w:trPr>
          <w:gridAfter w:val="1"/>
          <w:wAfter w:w="340" w:type="dxa"/>
          <w:jc w:val="center"/>
        </w:trPr>
        <w:tc>
          <w:tcPr>
            <w:tcW w:w="4876" w:type="dxa"/>
            <w:gridSpan w:val="2"/>
          </w:tcPr>
          <w:p w:rsidR="00E451E4" w:rsidRPr="00AC4460" w:rsidRDefault="00E451E4" w:rsidP="000A61DD">
            <w:pPr>
              <w:pStyle w:val="ColumnHeading"/>
              <w:keepNext/>
            </w:pPr>
            <w:r w:rsidRPr="00AC4460">
              <w:t>Κείμενο που προτείνει η Επιτροπή</w:t>
            </w:r>
          </w:p>
        </w:tc>
        <w:tc>
          <w:tcPr>
            <w:tcW w:w="4876" w:type="dxa"/>
            <w:gridSpan w:val="2"/>
          </w:tcPr>
          <w:p w:rsidR="00E451E4" w:rsidRPr="00AC4460" w:rsidRDefault="00E451E4" w:rsidP="000A61DD">
            <w:pPr>
              <w:pStyle w:val="ColumnHeading"/>
              <w:keepNext/>
            </w:pPr>
            <w:r w:rsidRPr="00AC4460">
              <w:t>Τροπολογία</w:t>
            </w:r>
          </w:p>
        </w:tc>
      </w:tr>
      <w:tr w:rsidR="00E451E4" w:rsidRPr="00E451E4" w:rsidTr="000A61DD">
        <w:trPr>
          <w:gridAfter w:val="1"/>
          <w:wAfter w:w="340" w:type="dxa"/>
          <w:jc w:val="center"/>
        </w:trPr>
        <w:tc>
          <w:tcPr>
            <w:tcW w:w="4876" w:type="dxa"/>
            <w:gridSpan w:val="2"/>
          </w:tcPr>
          <w:p w:rsidR="00E451E4" w:rsidRPr="00AC4460" w:rsidRDefault="00E451E4" w:rsidP="000A61DD">
            <w:pPr>
              <w:pStyle w:val="Normal6"/>
            </w:pPr>
            <w:r w:rsidRPr="00AC4460">
              <w:t>(1)</w:t>
            </w:r>
            <w:r w:rsidRPr="00AC4460">
              <w:tab/>
              <w:t>Οι όροι για τη διάθεση λιπασμάτων στην εσωτερική αγορά εναρμονίστηκαν μερικώς μέσω του κανονισμού (ΕΚ) αριθ. 2003/2003 του Ευρωπαϊκού Κοινοβουλίου και του Συμβουλίου</w:t>
            </w:r>
            <w:r w:rsidRPr="00AC4460">
              <w:rPr>
                <w:vertAlign w:val="superscript"/>
              </w:rPr>
              <w:t>15</w:t>
            </w:r>
            <w:r w:rsidRPr="00AC4460">
              <w:t xml:space="preserve">, ο οποίος καλύπτει σχεδόν αποκλειστικά τα λιπάσματα από ορυκτά ή από χημικώς παραγόμενα </w:t>
            </w:r>
            <w:r w:rsidRPr="00AC4460">
              <w:rPr>
                <w:b/>
                <w:i/>
              </w:rPr>
              <w:t>ανόργανα</w:t>
            </w:r>
            <w:r w:rsidRPr="00AC4460">
              <w:t xml:space="preserve"> υλικά. Υπάρχει επίσης ανάγκη να αξιοποιηθούν ανακυκλωμένα ή οργανικά υλικά για σκοπούς λίπανσης. Θα πρέπει να θεσπιστούν εναρμονισμένοι όροι για τη διάθεση λιπασμάτων παραγόμενων από τέτοια ανακυκλωμένα ή οργανικά υλικά σε ολόκληρη την εσωτερική αγορά προκειμένου να παρασχεθεί ένα σημαντικό κίνητρο για την περαιτέρω χρήση τους. Επομένως, το πεδίο εφαρμογής της εναρμόνισης θα πρέπει να διευρυνθεί ώστε να συμπεριλάβει ανακυκλωμένα και οργανικά υλικά.</w:t>
            </w:r>
          </w:p>
        </w:tc>
        <w:tc>
          <w:tcPr>
            <w:tcW w:w="4876" w:type="dxa"/>
            <w:gridSpan w:val="2"/>
          </w:tcPr>
          <w:p w:rsidR="00E451E4" w:rsidRPr="00AC4460" w:rsidRDefault="00E451E4" w:rsidP="000A61DD">
            <w:pPr>
              <w:pStyle w:val="Normal6"/>
              <w:rPr>
                <w:szCs w:val="24"/>
              </w:rPr>
            </w:pPr>
            <w:r w:rsidRPr="00AC4460">
              <w:t>(1)</w:t>
            </w:r>
            <w:r w:rsidRPr="00AC4460">
              <w:tab/>
              <w:t>Οι όροι για τη διάθεση λιπασμάτων στην εσωτερική αγορά εναρμονίστηκαν μερικώς μέσω του κανονισμού (ΕΚ) αριθ. 2003/2003 του Ευρωπαϊκού Κοινοβουλίου και του Συμβουλίου</w:t>
            </w:r>
            <w:r w:rsidRPr="00AC4460">
              <w:rPr>
                <w:vertAlign w:val="superscript"/>
              </w:rPr>
              <w:t>15</w:t>
            </w:r>
            <w:r w:rsidRPr="00AC4460">
              <w:t xml:space="preserve">, ο οποίος καλύπτει σχεδόν αποκλειστικά τα λιπάσματα από ορυκτά ή από χημικώς παραγόμενα </w:t>
            </w:r>
            <w:r w:rsidRPr="00AC4460">
              <w:rPr>
                <w:b/>
                <w:i/>
              </w:rPr>
              <w:t>ορυκτά</w:t>
            </w:r>
            <w:r w:rsidRPr="00AC4460">
              <w:t xml:space="preserve"> υλικά. Υπάρχει επίσης ανάγκη να αξιοποιηθούν ανακυκλωμένα ή οργανικά υλικά για σκοπούς λίπανσης. Θα πρέπει να θεσπιστούν εναρμονισμένοι όροι για τη διάθεση λιπασμάτων παραγόμενων από τέτοια ανακυκλωμένα ή οργανικά υλικά σε ολόκληρη την εσωτερική αγορά προκειμένου να παρασχεθεί ένα σημαντικό κίνητρο για την περαιτέρω χρήση τους</w:t>
            </w:r>
            <w:r w:rsidRPr="00AC4460">
              <w:rPr>
                <w:b/>
                <w:i/>
              </w:rPr>
              <w:t>. Η προώθηση της αυξημένης χρήσης ανακυκλωμένων θρεπτικών ουσιών θα συνέβαλλε περαιτέρω στην ανάπτυξη της κυκλικής οικονομίας και θα καθιστούσε δυνατή την πιο αποδοτική από άποψη πόρων γενική χρήση των θρεπτικών ουσιών, ενώ παράλληλα θα μείωνε την εξάρτηση της ΕΕ από θρεπτικές ουσίες προέλευσης τρίτων χωρών</w:t>
            </w:r>
            <w:r w:rsidRPr="00AC4460">
              <w:t>. Επομένως, το πεδίο εφαρμογής της εναρμόνισης θα πρέπει να διευρυνθεί ώστε να συμπεριλάβει ανακυκλωμένα και οργανικά υλικά.</w:t>
            </w:r>
          </w:p>
        </w:tc>
      </w:tr>
      <w:tr w:rsidR="00E451E4" w:rsidRPr="00B0345A" w:rsidTr="000A61DD">
        <w:trPr>
          <w:gridAfter w:val="1"/>
          <w:wAfter w:w="340" w:type="dxa"/>
          <w:jc w:val="center"/>
        </w:trPr>
        <w:tc>
          <w:tcPr>
            <w:tcW w:w="4876" w:type="dxa"/>
            <w:gridSpan w:val="2"/>
          </w:tcPr>
          <w:p w:rsidR="00E451E4" w:rsidRPr="00AC4460" w:rsidRDefault="00E451E4" w:rsidP="000A61DD">
            <w:pPr>
              <w:pStyle w:val="Normal6"/>
            </w:pPr>
            <w:r w:rsidRPr="00AC4460">
              <w:t>_________________</w:t>
            </w:r>
          </w:p>
        </w:tc>
        <w:tc>
          <w:tcPr>
            <w:tcW w:w="4876" w:type="dxa"/>
            <w:gridSpan w:val="2"/>
          </w:tcPr>
          <w:p w:rsidR="00E451E4" w:rsidRPr="00AC4460" w:rsidRDefault="00E451E4" w:rsidP="000A61DD">
            <w:pPr>
              <w:pStyle w:val="Normal6"/>
            </w:pPr>
            <w:r w:rsidRPr="00AC4460">
              <w:t>_________________</w:t>
            </w:r>
          </w:p>
        </w:tc>
      </w:tr>
      <w:tr w:rsidR="00E451E4" w:rsidRPr="00E451E4" w:rsidTr="000A61DD">
        <w:tblPrEx>
          <w:tblLook w:val="04A0" w:firstRow="1" w:lastRow="0" w:firstColumn="1" w:lastColumn="0" w:noHBand="0" w:noVBand="1"/>
        </w:tblPrEx>
        <w:trPr>
          <w:gridBefore w:val="1"/>
          <w:wBefore w:w="340" w:type="dxa"/>
          <w:jc w:val="center"/>
        </w:trPr>
        <w:tc>
          <w:tcPr>
            <w:tcW w:w="4876" w:type="dxa"/>
            <w:gridSpan w:val="2"/>
            <w:hideMark/>
          </w:tcPr>
          <w:p w:rsidR="00E451E4" w:rsidRPr="00AC4460" w:rsidRDefault="00E451E4" w:rsidP="000A61DD">
            <w:pPr>
              <w:pStyle w:val="Normal6"/>
            </w:pPr>
            <w:r w:rsidRPr="00AC4460">
              <w:rPr>
                <w:vertAlign w:val="superscript"/>
              </w:rPr>
              <w:t>15</w:t>
            </w:r>
            <w:r w:rsidR="000A61DD">
              <w:rPr>
                <w:vertAlign w:val="superscript"/>
                <w:lang w:val="en-GB"/>
              </w:rPr>
              <w:t xml:space="preserve"> </w:t>
            </w:r>
            <w:r w:rsidRPr="00AC4460">
              <w:t>Κανονισμός (ΕΚ) αριθ. 2003/2003 του Ευρωπαϊκού Κοινοβουλίου και του Συμβουλίου, της 13ης Οκτωβρίου 2003, σχετικά με τα λιπάσματα (ΕΕ L 304 της 21.11.2003, σ. 1).</w:t>
            </w:r>
          </w:p>
        </w:tc>
        <w:tc>
          <w:tcPr>
            <w:tcW w:w="4876" w:type="dxa"/>
            <w:gridSpan w:val="2"/>
            <w:hideMark/>
          </w:tcPr>
          <w:p w:rsidR="00E451E4" w:rsidRPr="00AC4460" w:rsidRDefault="00E451E4" w:rsidP="000A61DD">
            <w:pPr>
              <w:pStyle w:val="Normal6"/>
            </w:pPr>
            <w:r w:rsidRPr="00AC4460">
              <w:rPr>
                <w:vertAlign w:val="superscript"/>
              </w:rPr>
              <w:t>15</w:t>
            </w:r>
            <w:r w:rsidR="000A61DD">
              <w:rPr>
                <w:vertAlign w:val="superscript"/>
                <w:lang w:val="en-GB"/>
              </w:rPr>
              <w:t xml:space="preserve"> </w:t>
            </w:r>
            <w:r w:rsidRPr="00AC4460">
              <w:t>Κανονισμός (ΕΚ) αριθ. 2003/2003 του Ευρωπαϊκού Κοινοβουλίου και του Συμβουλίου, της 13ης Οκτωβρίου 2003, σχετικά με τα λιπάσματα (ΕΕ L 304 της 21.11.2003, σ. 1).</w:t>
            </w:r>
          </w:p>
        </w:tc>
      </w:tr>
      <w:tr w:rsidR="00E451E4" w:rsidRPr="00E451E4" w:rsidTr="000A61DD">
        <w:tblPrEx>
          <w:tblLook w:val="04A0" w:firstRow="1" w:lastRow="0" w:firstColumn="1" w:lastColumn="0" w:noHBand="0" w:noVBand="1"/>
        </w:tblPrEx>
        <w:trPr>
          <w:gridBefore w:val="1"/>
          <w:wBefore w:w="340" w:type="dxa"/>
          <w:jc w:val="center"/>
        </w:trPr>
        <w:tc>
          <w:tcPr>
            <w:tcW w:w="4876" w:type="dxa"/>
            <w:gridSpan w:val="2"/>
          </w:tcPr>
          <w:p w:rsidR="00E451E4" w:rsidRPr="00AC4460" w:rsidRDefault="00E451E4" w:rsidP="000A61DD">
            <w:pPr>
              <w:pStyle w:val="Normal6"/>
              <w:rPr>
                <w:rStyle w:val="Sup"/>
                <w:color w:val="auto"/>
                <w:lang w:val="en-GB"/>
              </w:rPr>
            </w:pPr>
          </w:p>
        </w:tc>
        <w:tc>
          <w:tcPr>
            <w:tcW w:w="4876" w:type="dxa"/>
            <w:gridSpan w:val="2"/>
          </w:tcPr>
          <w:p w:rsidR="00E451E4" w:rsidRPr="00AC4460" w:rsidRDefault="00E451E4" w:rsidP="000A61DD">
            <w:pPr>
              <w:pStyle w:val="Normal6"/>
              <w:rPr>
                <w:rStyle w:val="Sup"/>
                <w:color w:val="auto"/>
              </w:rPr>
            </w:pPr>
            <w:r w:rsidRPr="00AC4460">
              <w:rPr>
                <w:i/>
              </w:rPr>
              <w:t>(Η παρούσα τροπολογία καλύπτει επίσης μια οριζόντια τροποποίηση τεχνικού χαρακτήρα του όρου «ανόργανα» σε «ορυκτά»· Η έγκρισή της θα απαιτήσει αντίστοιχες προσαρμογές του όρου σε όλο το κείμενο και, κατά συνέπεια, στις εγκριθείσες τροπολογίες).</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3</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pPr>
      <w:r>
        <w:rPr>
          <w:rStyle w:val="HideTWBExt"/>
          <w:b w:val="0"/>
          <w:noProof w:val="0"/>
        </w:rPr>
        <w:t>&lt;Article&gt;</w:t>
      </w:r>
      <w:r w:rsidRPr="00AC4460">
        <w:t>Αιτιολογική σκέψη 2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(2α)</w:t>
            </w:r>
            <w:r w:rsidRPr="00AC4460">
              <w:rPr>
                <w:b/>
                <w:i/>
              </w:rPr>
              <w:tab/>
              <w:t>Τα θρεπτικά συστατικά των τροφίμων προέρχονται από το έδαφος· υγιές και πλούσιο σε θρεπτικά συστατικά έδαφος σημαίνει υγιείς και πλούσιες σε θρεπτικά συστατικά καλλιέργειες και τρόφιμα. Οι γεωργοί χρειάζεται να έχουν στη διάθεσή τους ένα ευρύ φάσμα λιπασμάτων, οργανικών και συνθετικών, για να μπορούν να ενισχύουν την ποιότητα των εδαφών τους. Όταν το έδαφος δεν διαθέτει ή διαθέτει ελάχιστα θρεπτικά συστατικά, τα φυτά θα έχουν ελλιπή θρέψη και μπορεί είτε να σταματήσουν να αναπτύσσονται ή να μην έχουν θρεπτική αξία για τον άνθρωπο.</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pPr>
      <w:r>
        <w:rPr>
          <w:rStyle w:val="HideTWBExt"/>
          <w:noProof w:val="0"/>
          <w:lang w:val="en-GB"/>
        </w:rPr>
        <w:t>&lt;Amend&gt;</w:t>
      </w:r>
      <w:r w:rsidRPr="00AC4460">
        <w:t xml:space="preserve">Τροπολογία </w:t>
      </w:r>
      <w:r w:rsidRPr="00AC4460">
        <w:tab/>
      </w:r>
      <w:r w:rsidRPr="00AC4460">
        <w:tab/>
      </w:r>
      <w:r>
        <w:rPr>
          <w:rStyle w:val="HideTWBExt"/>
          <w:noProof w:val="0"/>
          <w:lang w:val="en-GB"/>
        </w:rPr>
        <w:t>&lt;NumAm&gt;</w:t>
      </w:r>
      <w:r w:rsidRPr="00AC4460">
        <w:t>4</w:t>
      </w:r>
      <w:r>
        <w:rPr>
          <w:rStyle w:val="HideTWBExt"/>
          <w:noProof w:val="0"/>
          <w:lang w:val="en-GB"/>
        </w:rPr>
        <w:t>&lt;/NumAm&gt;</w:t>
      </w:r>
    </w:p>
    <w:p w:rsidR="00E451E4" w:rsidRPr="00E451E4" w:rsidRDefault="00E451E4" w:rsidP="00E451E4">
      <w:pPr>
        <w:pStyle w:val="NormalBold12b"/>
      </w:pPr>
      <w:r>
        <w:rPr>
          <w:rStyle w:val="HideTWBExt"/>
          <w:noProof w:val="0"/>
          <w:lang w:val="en-GB"/>
        </w:rPr>
        <w:t>&lt;DocAmend&gt;</w:t>
      </w:r>
      <w:r w:rsidRPr="00AC4460">
        <w:t>Πρόταση κανονισμού</w:t>
      </w:r>
      <w:r>
        <w:rPr>
          <w:rStyle w:val="HideTWBExt"/>
          <w:noProof w:val="0"/>
          <w:lang w:val="en-GB"/>
        </w:rPr>
        <w:t>&lt;/DocAmend&gt;</w:t>
      </w:r>
    </w:p>
    <w:p w:rsidR="00E451E4" w:rsidRPr="00B0345A" w:rsidRDefault="00E451E4" w:rsidP="00E451E4">
      <w:pPr>
        <w:pStyle w:val="NormalBold"/>
      </w:pPr>
      <w:r>
        <w:rPr>
          <w:rStyle w:val="HideTWBExt"/>
          <w:noProof w:val="0"/>
        </w:rPr>
        <w:t>&lt;Article&gt;</w:t>
      </w:r>
      <w:r w:rsidRPr="00AC4460">
        <w:t>Αιτιολογική σκέψη 5 α (νέα)</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(5α)</w:t>
            </w:r>
            <w:r w:rsidRPr="00AC4460">
              <w:tab/>
            </w:r>
            <w:r w:rsidRPr="00AC4460">
              <w:rPr>
                <w:b/>
                <w:i/>
              </w:rPr>
              <w:t>Για να εξασφαλιστεί η αποτελεσματική χρήση της ζωικής κόπρου και του κομπόστ στη γεωργική εκμετάλλευση, οι γεωργοί θα πρέπει να χρησιμοποιούν τα προϊόντα που ακολουθούν το πνεύμα της «υπεύθυνης γεωργίας», ευνοώντας τους τοπικούς διαύλους διανομής, τις ορθές αγρονομικές και περιβαλλοντικές πρακτικές και είναι σύμφωνα με το περιβαλλοντικό δίκαιο της ΕΕ, όπως η οδηγία για τη νιτρορύπανση ή η οδηγία πλαίσιο για τα ύδατα. Θα πρέπει να ενθαρρυνθεί η προτιμησιακή χρήση των λιπασμάτων που παράγονται επί τόπου και στις γειτονικές γεωργικές εκμεταλλεύσεις.</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5</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pPr>
      <w:r>
        <w:rPr>
          <w:rStyle w:val="HideTWBExt"/>
          <w:b w:val="0"/>
          <w:noProof w:val="0"/>
        </w:rPr>
        <w:t>&lt;Article&gt;</w:t>
      </w:r>
      <w:r w:rsidRPr="00AC4460">
        <w:t>Αιτιολογική σκέψη 6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(6α)</w:t>
            </w:r>
            <w:r w:rsidRPr="00AC4460">
              <w:rPr>
                <w:b/>
                <w:i/>
              </w:rPr>
              <w:tab/>
              <w:t>Ένα προϊόν λίπανσης με σήμανση CE μπορεί να έχει περισσότερες από μία από τις λειτουργίες που περιγράφονται στις κατηγορίες λειτουργίας προϊόντος του παρόντος κανονισμού. Όταν προβάλλεται ισχυρισμός για μία μόνον από αυτές τις λειτουργίες, θα πρέπει να αρκεί να συμμορφώνεται το προϊόν με τις απαιτήσεις της κατηγορίας λειτουργίας προϊόντος όπου περιγράφεται η εν λόγω λειτουργία. Αντιθέτως, όταν προβάλλεται ισχυρισμός για περισσότερες από μία από αυτές τις λειτουργίες, το προϊόν λίπανσης με σήμανση CE θα πρέπει να θεωρείται ως συνδυασμός δύο ή περισσότερων συστατικών προϊόντων λίπανσης και θα πρέπει να απαιτείται συμμόρφωση για καθένα από τα συστατικά προϊόντα λίπανσης σε σχέση με τη λειτουργία του. Ως εκ τούτου, θα πρέπει να υπάρχει ειδική κατηγορία λειτουργίας προϊόντος η οποία να καλύπτει αυτούς τους συνδυασμούς.</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6</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032852" w:rsidRDefault="00E451E4" w:rsidP="00E451E4">
      <w:pPr>
        <w:pStyle w:val="NormalBold"/>
      </w:pPr>
      <w:r>
        <w:rPr>
          <w:rStyle w:val="HideTWBExt"/>
          <w:b w:val="0"/>
          <w:noProof w:val="0"/>
          <w:lang w:val="fr-FR"/>
        </w:rPr>
        <w:t>&lt;Article&gt;</w:t>
      </w:r>
      <w:r w:rsidRPr="00AC4460">
        <w:t>Αιτιολογική σκέψη 6 β (νέα)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(6β)</w:t>
            </w:r>
            <w:r w:rsidRPr="00AC4460">
              <w:rPr>
                <w:b/>
                <w:i/>
              </w:rPr>
              <w:tab/>
              <w:t>Ο παρασκευαστής που χρησιμοποιεί ένα ή περισσότερα προϊόντα λίπανσης με σήμανση CE τα οποία έχουν ήδη υποβληθεί σε αξιολόγηση της συμμόρφωσης, από τον ίδιο τον παρασκευαστή ή άλλον παρασκευαστή, δύναται, εφόσον το επιθυμεί, να επικαλείται την εν λόγω αξιολόγηση της συμμόρφωσης. Για να μειωθεί όσο το δυνατόν περισσότερο η διοικητική επιβάρυνση, το προϊόν λίπανσης με σήμανση CE θα πρέπει επίσης να θεωρείται ως συνδυασμός δύο ή περισσότερων συστατικών προϊόντων λίπανσης και οι πρόσθετες απαιτήσεις συμμόρφωσης για τον συνδυασμό θα πρέπει να περιορίζονται στις πτυχές που συνδέονται με τη δραστηριότητα ανάμειξης.</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7</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pPr>
      <w:r>
        <w:rPr>
          <w:rStyle w:val="HideTWBExt"/>
          <w:b w:val="0"/>
          <w:noProof w:val="0"/>
        </w:rPr>
        <w:t>&lt;Article&gt;</w:t>
      </w:r>
      <w:r w:rsidRPr="00AC4460">
        <w:t>Αιτιολογική σκέψη 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hideMark/>
          </w:tcPr>
          <w:p w:rsidR="00E451E4" w:rsidRPr="00AC4460" w:rsidRDefault="00E451E4" w:rsidP="000A61DD">
            <w:pPr>
              <w:pStyle w:val="Normal6"/>
            </w:pPr>
            <w:r w:rsidRPr="00AC4460">
              <w:t>(8)</w:t>
            </w:r>
            <w:r w:rsidRPr="00AC4460">
              <w:tab/>
              <w:t>Οι προσμείξεις στα προϊόντα λίπανσης με σήμανση CE, όπως το κάδμιο, συνιστούν δυνητικούς κινδύνους για την υγεία των ανθρώπων και των ζώων και για το περιβάλλον, καθώς συσσωρεύονται στο περιβάλλον και εισέρχονται στην τροφική αλυσίδα. Ως εκ τούτου, η περιεκτικότητα αυτών των προϊόντων σε τέτοιες ουσίες θα πρέπει να περιορίζεται. Επιπλέον, η παρουσία προσμείξεων, ιδίως πολυμερών αλλά και μετάλλου και γυαλιού, στα προϊόντα λίπανσης με σήμανση CE που παράγονται από βιολογικά απόβλητα θα πρέπει είτε να αποτρέπεται είτε να περιορίζεται στον βαθμό που αυτό είναι τεχνικώς εφικτό, μέσω ανίχνευσης τέτοιων προσμείξεων στα χωριστά συλλεγόμενα βιολογικά απόβλητα πριν από την επεξεργασία.</w:t>
            </w:r>
          </w:p>
        </w:tc>
        <w:tc>
          <w:tcPr>
            <w:tcW w:w="4876" w:type="dxa"/>
            <w:hideMark/>
          </w:tcPr>
          <w:p w:rsidR="00E451E4" w:rsidRPr="00AC4460" w:rsidRDefault="00E451E4" w:rsidP="000A61DD">
            <w:pPr>
              <w:pStyle w:val="Normal6"/>
              <w:rPr>
                <w:szCs w:val="24"/>
              </w:rPr>
            </w:pPr>
            <w:r w:rsidRPr="00AC4460">
              <w:t>(8)</w:t>
            </w:r>
            <w:r w:rsidRPr="00AC4460">
              <w:tab/>
              <w:t xml:space="preserve">Οι προσμείξεις στα προϊόντα λίπανσης με σήμανση CE, </w:t>
            </w:r>
            <w:r w:rsidRPr="00AC4460">
              <w:rPr>
                <w:b/>
                <w:i/>
              </w:rPr>
              <w:t xml:space="preserve">εάν δεν χρησιμοποιούνται σωστά, </w:t>
            </w:r>
            <w:r w:rsidRPr="00AC4460">
              <w:t>όπως το κάδμιο, συνιστούν δυνητικούς κινδύνους για την υγεία των ανθρώπων και των ζώων και για το περιβάλλον, καθώς συσσωρεύονται στο περιβάλλον και εισέρχονται στην τροφική αλυσίδα. Ως εκ τούτου, η περιεκτικότητα αυτών των προϊόντων σε τέτοιες ουσίες θα πρέπει να περιορίζεται. Επιπλέον, η παρουσία προσμείξεων, ιδίως πολυμερών αλλά και μετάλλου και γυαλιού, στα προϊόντα λίπανσης με σήμανση CE που παράγονται από βιολογικά απόβλητα θα πρέπει είτε να αποτρέπεται είτε να περιορίζεται στον βαθμό που αυτό είναι τεχνικώς εφικτό, μέσω ανίχνευσης τέτοιων προσμείξεων στα χωριστά συλλεγόμενα βιολογικά απόβλητα πριν από την επεξεργασία.</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8</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rPr>
          <w:rStyle w:val="NormalBoldChar"/>
        </w:rPr>
      </w:pPr>
      <w:r>
        <w:rPr>
          <w:rStyle w:val="HideTWBExt"/>
          <w:noProof w:val="0"/>
        </w:rPr>
        <w:t>&lt;Article&gt;</w:t>
      </w:r>
      <w:r w:rsidRPr="00AC4460">
        <w:rPr>
          <w:rStyle w:val="NormalBoldChar"/>
        </w:rPr>
        <w:t>Αιτιολογική σκέψη 8 α (νέα)</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E451E4" w:rsidTr="000A61DD">
        <w:trPr>
          <w:jc w:val="center"/>
        </w:trPr>
        <w:tc>
          <w:tcPr>
            <w:tcW w:w="4876" w:type="dxa"/>
          </w:tcPr>
          <w:p w:rsidR="00E451E4" w:rsidRPr="00AC4460" w:rsidRDefault="00E451E4" w:rsidP="000A61DD">
            <w:pPr>
              <w:spacing w:after="120"/>
            </w:pPr>
          </w:p>
        </w:tc>
        <w:tc>
          <w:tcPr>
            <w:tcW w:w="4876" w:type="dxa"/>
            <w:hideMark/>
          </w:tcPr>
          <w:p w:rsidR="00E451E4" w:rsidRPr="00AC4460" w:rsidRDefault="00E451E4" w:rsidP="000A61DD">
            <w:pPr>
              <w:pStyle w:val="Normal6"/>
              <w:rPr>
                <w:b/>
                <w:bCs/>
                <w:i/>
                <w:iCs/>
              </w:rPr>
            </w:pPr>
            <w:r w:rsidRPr="00AC4460">
              <w:rPr>
                <w:b/>
                <w:bCs/>
                <w:i/>
                <w:iCs/>
              </w:rPr>
              <w:t>(8α)</w:t>
            </w:r>
            <w:r w:rsidRPr="00AC4460">
              <w:rPr>
                <w:b/>
                <w:bCs/>
                <w:i/>
                <w:iCs/>
              </w:rPr>
              <w:tab/>
              <w:t xml:space="preserve">Τα κράτη μέλη τα οποία έχουν ήδη ορίσει αυστηρότερες εθνικές οριακές τιμές για το κάδμιο στα λιπάσματα θα πρέπει να μπορούν να διατηρήσουν αυτές τις οριακές τιμές έως ότου τα υπόλοιπα κράτη μέλη της Ένωσης φτάσουν σε ισοδύναμο επίπεδο φιλοδοξίας. </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9</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032852" w:rsidRDefault="00E451E4" w:rsidP="00E451E4">
      <w:pPr>
        <w:pStyle w:val="NormalBold"/>
        <w:keepNext/>
      </w:pPr>
      <w:r>
        <w:rPr>
          <w:rStyle w:val="HideTWBExt"/>
          <w:b w:val="0"/>
          <w:noProof w:val="0"/>
          <w:lang w:val="fr-FR"/>
        </w:rPr>
        <w:t>&lt;Article&gt;</w:t>
      </w:r>
      <w:r w:rsidRPr="00AC4460">
        <w:t>Αιτιολογική σκέψη 8 β (νέα)</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(8β)</w:t>
            </w:r>
            <w:r w:rsidRPr="00AC4460">
              <w:tab/>
            </w:r>
            <w:r w:rsidRPr="00AC4460">
              <w:rPr>
                <w:b/>
                <w:i/>
              </w:rPr>
              <w:t>Για να διευκολυνθεί η συμμόρφωση των φωσφορικών προϊόντων λίπανσης με τις απαιτήσεις του παρόντος κανονισμού και να ενισχυθεί η καινοτομία, είναι αναγκαίο να παρασχεθούν επαρκή κίνητρα για την ανάπτυξη των σχετικών τεχνολογιών, ιδιαίτερα της τεχνολογίας αποκαδμίωσης, και για διαχείριση πλούσιων σε κάδμιο επικίνδυνων αποβλήτων μέσω των χρηματοδοτικών πόρων που διατίθενται στο πλαίσιο του προγράμματος «Ορίζοντας 2020», προγραμμάτων LIFE,</w:t>
            </w:r>
            <w:r w:rsidR="000A61DD">
              <w:rPr>
                <w:b/>
                <w:i/>
              </w:rPr>
              <w:t xml:space="preserve"> </w:t>
            </w:r>
            <w:r w:rsidRPr="00AC4460">
              <w:rPr>
                <w:b/>
                <w:i/>
              </w:rPr>
              <w:t>της πλατφόρμας χρηματοδοτικής στήριξης της κυκλικής οικονομίας, μέσω της Ευρωπαϊκής Τράπεζας Επενδύσεων (ΕΤΕπ) και, κατά περίπτωση, μέσω άλλων χρηματοδοτικών μέσων. Η Επιτροπή θα πρέπει να υποβάλλει ετησίως στο Ευρωπαϊκό Κοινοβούλιο και το Συμβούλιο έκθεση για τα κίνητρα και την ενωσιακή χρηματοδότηση</w:t>
            </w:r>
            <w:r w:rsidR="000A61DD">
              <w:rPr>
                <w:b/>
                <w:i/>
              </w:rPr>
              <w:t xml:space="preserve"> </w:t>
            </w:r>
            <w:r w:rsidRPr="00AC4460">
              <w:rPr>
                <w:b/>
                <w:i/>
              </w:rPr>
              <w:t>που προσφέρεται για αποκαδμίωση.</w:t>
            </w:r>
          </w:p>
        </w:tc>
      </w:tr>
    </w:tbl>
    <w:p w:rsidR="00E451E4" w:rsidRPr="00E451E4" w:rsidRDefault="00E451E4" w:rsidP="00E451E4">
      <w:r w:rsidRPr="000A61DD">
        <w:rPr>
          <w:rStyle w:val="HideTWBExt"/>
          <w:noProof w:val="0"/>
        </w:rPr>
        <w:t>&lt;/</w:t>
      </w:r>
      <w:r>
        <w:rPr>
          <w:rStyle w:val="HideTWBExt"/>
          <w:noProof w:val="0"/>
          <w:lang w:val="en-GB"/>
        </w:rPr>
        <w:t>Amend</w:t>
      </w:r>
      <w:r w:rsidRPr="000A61DD">
        <w:rPr>
          <w:rStyle w:val="HideTWBExt"/>
          <w:noProof w:val="0"/>
        </w:rPr>
        <w:t>&gt;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10</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9</w:t>
      </w:r>
      <w:r>
        <w:rPr>
          <w:rStyle w:val="HideTWBExt"/>
          <w:b w:val="0"/>
          <w:noProof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E451E4" w:rsidRPr="00B0345A" w:rsidTr="000A61DD">
        <w:trPr>
          <w:gridAfter w:val="1"/>
          <w:wAfter w:w="340" w:type="dxa"/>
          <w:jc w:val="center"/>
        </w:trPr>
        <w:tc>
          <w:tcPr>
            <w:tcW w:w="9752" w:type="dxa"/>
            <w:gridSpan w:val="4"/>
          </w:tcPr>
          <w:p w:rsidR="00E451E4" w:rsidRPr="00B0345A" w:rsidRDefault="00E451E4" w:rsidP="000A61DD">
            <w:pPr>
              <w:keepNext/>
            </w:pPr>
          </w:p>
        </w:tc>
      </w:tr>
      <w:tr w:rsidR="00E451E4" w:rsidRPr="00B0345A" w:rsidTr="000A61DD">
        <w:trPr>
          <w:gridAfter w:val="1"/>
          <w:wAfter w:w="340" w:type="dxa"/>
          <w:jc w:val="center"/>
        </w:trPr>
        <w:tc>
          <w:tcPr>
            <w:tcW w:w="4876" w:type="dxa"/>
            <w:gridSpan w:val="2"/>
          </w:tcPr>
          <w:p w:rsidR="00E451E4" w:rsidRPr="00AC4460" w:rsidRDefault="00E451E4" w:rsidP="000A61DD">
            <w:pPr>
              <w:pStyle w:val="ColumnHeading"/>
              <w:keepNext/>
            </w:pPr>
            <w:r w:rsidRPr="00AC4460">
              <w:t>Κείμενο που προτείνει η Επιτροπή</w:t>
            </w:r>
          </w:p>
        </w:tc>
        <w:tc>
          <w:tcPr>
            <w:tcW w:w="4876" w:type="dxa"/>
            <w:gridSpan w:val="2"/>
          </w:tcPr>
          <w:p w:rsidR="00E451E4" w:rsidRPr="00AC4460" w:rsidRDefault="00E451E4" w:rsidP="000A61DD">
            <w:pPr>
              <w:pStyle w:val="ColumnHeading"/>
              <w:keepNext/>
            </w:pPr>
            <w:r w:rsidRPr="00AC4460">
              <w:t>Τροπολογία</w:t>
            </w:r>
          </w:p>
        </w:tc>
      </w:tr>
      <w:tr w:rsidR="00E451E4" w:rsidRPr="00B0345A" w:rsidTr="000A61DD">
        <w:trPr>
          <w:gridAfter w:val="1"/>
          <w:wAfter w:w="340" w:type="dxa"/>
          <w:jc w:val="center"/>
        </w:trPr>
        <w:tc>
          <w:tcPr>
            <w:tcW w:w="4876" w:type="dxa"/>
            <w:gridSpan w:val="2"/>
          </w:tcPr>
          <w:p w:rsidR="00E451E4" w:rsidRPr="00AC4460" w:rsidRDefault="00E451E4" w:rsidP="000A61DD">
            <w:pPr>
              <w:pStyle w:val="Normal6"/>
            </w:pPr>
            <w:r w:rsidRPr="00AC4460">
              <w:t>(9)</w:t>
            </w:r>
            <w:r w:rsidRPr="00AC4460">
              <w:tab/>
              <w:t xml:space="preserve">Στα προϊόντα που πληρούν όλες τις απαιτήσεις του παρόντος κανονισμού θα πρέπει να επιτρέπεται η ελεύθερη κυκλοφορία στην εσωτερική αγορά. Όταν ένα ή περισσότερα από τα συστατικά υλικά </w:t>
            </w:r>
            <w:r w:rsidRPr="00AC4460">
              <w:rPr>
                <w:b/>
                <w:i/>
              </w:rPr>
              <w:t>ενός προϊόντος λίπανσης με σήμανση CE</w:t>
            </w:r>
            <w:r w:rsidRPr="00AC4460">
              <w:t xml:space="preserve"> εμπίπτουν στο πεδίο εφαρμογής του κανονισμού (ΕΚ) αριθ. 1069/2009 του Ευρωπαϊκού Κοινοβουλίου και του Συμβουλίου</w:t>
            </w:r>
            <w:r w:rsidRPr="00AC4460">
              <w:rPr>
                <w:vertAlign w:val="superscript"/>
              </w:rPr>
              <w:t>18</w:t>
            </w:r>
            <w:r w:rsidRPr="00AC4460">
              <w:t xml:space="preserve">, αλλά </w:t>
            </w:r>
            <w:r w:rsidRPr="00AC4460">
              <w:rPr>
                <w:b/>
                <w:i/>
              </w:rPr>
              <w:t>φθάνουν</w:t>
            </w:r>
            <w:r w:rsidRPr="00AC4460">
              <w:t xml:space="preserve"> μέχρι ένα σημείο της αλυσίδας παρασκευής πέραν του οποίου δεν συνιστούν </w:t>
            </w:r>
            <w:r w:rsidRPr="00AC4460">
              <w:rPr>
                <w:b/>
                <w:i/>
              </w:rPr>
              <w:t>σημαντικό</w:t>
            </w:r>
            <w:r w:rsidRPr="00AC4460">
              <w:t xml:space="preserve"> κίνδυνο για τη δημόσια υγεία ή την υγεία των ζώων (το «τελικό σημείο στην αλυσίδα παρασκευής»), τότε η συνεχιζόμενη υπαγωγή του προϊόντος στις διατάξεις του εν λόγω κανονισμού θα αποτελούσε άσκοπη διοικητική επιβάρυνση. Κατά συνέπεια, τέτοια προϊόντα λίπανσης θα πρέπει να αποκλείονται από τις απαιτήσεις του εν λόγω κανονισμού. Συνεπώς, ο κανονισμός (ΕΚ) αριθ. 1069/2009 θα πρέπει να τροποποιηθεί αναλόγως.</w:t>
            </w:r>
          </w:p>
        </w:tc>
        <w:tc>
          <w:tcPr>
            <w:tcW w:w="4876" w:type="dxa"/>
            <w:gridSpan w:val="2"/>
          </w:tcPr>
          <w:p w:rsidR="00E451E4" w:rsidRPr="00AC4460" w:rsidRDefault="00E451E4" w:rsidP="000A61DD">
            <w:pPr>
              <w:pStyle w:val="Normal6"/>
              <w:rPr>
                <w:szCs w:val="24"/>
              </w:rPr>
            </w:pPr>
            <w:r w:rsidRPr="00AC4460">
              <w:t>(9)</w:t>
            </w:r>
            <w:r w:rsidRPr="00AC4460">
              <w:tab/>
              <w:t xml:space="preserve">Στα προϊόντα </w:t>
            </w:r>
            <w:r w:rsidRPr="00AC4460">
              <w:rPr>
                <w:b/>
                <w:i/>
              </w:rPr>
              <w:t xml:space="preserve">λίπανσης με σήμανση CE </w:t>
            </w:r>
            <w:r w:rsidRPr="00AC4460">
              <w:t>που πληρούν όλες τις απαιτήσεις του παρόντος κανονισμού θα πρέπει να επιτρέπεται η ελεύθερη κυκλοφορία στην εσωτερική αγορά.</w:t>
            </w:r>
            <w:r w:rsidR="000A61DD">
              <w:t xml:space="preserve"> </w:t>
            </w:r>
            <w:r w:rsidRPr="00AC4460">
              <w:t xml:space="preserve">Όταν ένα ή περισσότερα από τα συστατικά υλικά </w:t>
            </w:r>
            <w:r w:rsidRPr="00AC4460">
              <w:rPr>
                <w:b/>
                <w:i/>
              </w:rPr>
              <w:t>είναι παράγωγα προϊόντα που</w:t>
            </w:r>
            <w:r w:rsidRPr="00AC4460">
              <w:t xml:space="preserve"> εμπίπτουν στο πεδίο εφαρμογής του κανονισμού (ΕΚ) αριθ. 1069/2009 του Ευρωπαϊκού Κοινοβουλίου και του Συμβουλίου</w:t>
            </w:r>
            <w:r w:rsidRPr="00AC4460">
              <w:rPr>
                <w:vertAlign w:val="superscript"/>
              </w:rPr>
              <w:t>18</w:t>
            </w:r>
            <w:r w:rsidRPr="00AC4460">
              <w:t xml:space="preserve">, αλλά </w:t>
            </w:r>
            <w:r w:rsidRPr="00AC4460">
              <w:rPr>
                <w:b/>
                <w:i/>
              </w:rPr>
              <w:t>έχουν φθάσει</w:t>
            </w:r>
            <w:r w:rsidRPr="00AC4460">
              <w:t xml:space="preserve"> μέχρι ένα σημείο της αλυσίδας παρασκευής πέραν του οποίου δεν συνιστούν </w:t>
            </w:r>
            <w:r w:rsidRPr="00AC4460">
              <w:rPr>
                <w:b/>
                <w:i/>
              </w:rPr>
              <w:t>πλέον</w:t>
            </w:r>
            <w:r w:rsidRPr="00AC4460">
              <w:t xml:space="preserve"> κίνδυνο για τη δημόσια υγεία ή την υγεία των ζώων (το «τελικό σημείο στην αλυσίδα παρασκευής»), τότε η συνεχιζόμενη υπαγωγή του προϊόντος στις διατάξεις του εν λόγω κανονισμού θα αποτελούσε άσκοπη διοικητική επιβάρυνση. Κατά συνέπεια, τέτοια προϊόντα λίπανσης θα πρέπει να αποκλείονται από τις απαιτήσεις του εν λόγω κανονισμού. Συνεπώς, ο κανονισμός (ΕΚ) αριθ. 1069/2009 θα πρέπει να τροποποιηθεί αναλόγως.</w:t>
            </w:r>
          </w:p>
        </w:tc>
      </w:tr>
      <w:tr w:rsidR="00E451E4" w:rsidRPr="00B0345A" w:rsidTr="000A61DD">
        <w:tblPrEx>
          <w:tblLook w:val="04A0" w:firstRow="1" w:lastRow="0" w:firstColumn="1" w:lastColumn="0" w:noHBand="0" w:noVBand="1"/>
        </w:tblPrEx>
        <w:trPr>
          <w:gridBefore w:val="1"/>
          <w:wBefore w:w="340" w:type="dxa"/>
          <w:jc w:val="center"/>
        </w:trPr>
        <w:tc>
          <w:tcPr>
            <w:tcW w:w="4876" w:type="dxa"/>
            <w:gridSpan w:val="2"/>
            <w:hideMark/>
          </w:tcPr>
          <w:p w:rsidR="00E451E4" w:rsidRPr="00AC4460" w:rsidRDefault="00E451E4" w:rsidP="000A61DD">
            <w:pPr>
              <w:pStyle w:val="Normal6"/>
            </w:pPr>
            <w:r w:rsidRPr="00AC4460">
              <w:t>_________________</w:t>
            </w:r>
          </w:p>
        </w:tc>
        <w:tc>
          <w:tcPr>
            <w:tcW w:w="4876" w:type="dxa"/>
            <w:gridSpan w:val="2"/>
            <w:hideMark/>
          </w:tcPr>
          <w:p w:rsidR="00E451E4" w:rsidRPr="00AC4460" w:rsidRDefault="00E451E4" w:rsidP="000A61DD">
            <w:pPr>
              <w:pStyle w:val="Normal6"/>
            </w:pPr>
            <w:r w:rsidRPr="00AC4460">
              <w:t>_________________</w:t>
            </w:r>
          </w:p>
        </w:tc>
      </w:tr>
      <w:tr w:rsidR="00E451E4" w:rsidRPr="00E451E4" w:rsidTr="000A61DD">
        <w:tblPrEx>
          <w:tblLook w:val="04A0" w:firstRow="1" w:lastRow="0" w:firstColumn="1" w:lastColumn="0" w:noHBand="0" w:noVBand="1"/>
        </w:tblPrEx>
        <w:trPr>
          <w:gridBefore w:val="1"/>
          <w:wBefore w:w="340" w:type="dxa"/>
          <w:jc w:val="center"/>
        </w:trPr>
        <w:tc>
          <w:tcPr>
            <w:tcW w:w="4876" w:type="dxa"/>
            <w:gridSpan w:val="2"/>
            <w:hideMark/>
          </w:tcPr>
          <w:p w:rsidR="00E451E4" w:rsidRPr="00AC4460" w:rsidRDefault="00E451E4" w:rsidP="000A61DD">
            <w:pPr>
              <w:pStyle w:val="Normal6"/>
            </w:pPr>
            <w:r w:rsidRPr="00AC4460">
              <w:rPr>
                <w:vertAlign w:val="superscript"/>
              </w:rPr>
              <w:t>18</w:t>
            </w:r>
            <w:r w:rsidRPr="00AC4460">
              <w:t xml:space="preserve"> Κανονισμός (ΕΚ) αριθ. 1069/2009 του Ευρωπαϊκού Κοινοβουλίου και του Συμβουλίου, της 21ης Οκτωβρίου 2009,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κανονισμού (ΕΚ) αριθ. 1774/2002 (κανονισμός για τα ζωικά υποπροϊόντα) (ΕΕ L 300 της 14.11.2009, σ. 1).</w:t>
            </w:r>
          </w:p>
        </w:tc>
        <w:tc>
          <w:tcPr>
            <w:tcW w:w="4876" w:type="dxa"/>
            <w:gridSpan w:val="2"/>
            <w:hideMark/>
          </w:tcPr>
          <w:p w:rsidR="00E451E4" w:rsidRPr="00AC4460" w:rsidRDefault="00E451E4" w:rsidP="000A61DD">
            <w:pPr>
              <w:pStyle w:val="Normal6"/>
            </w:pPr>
            <w:r w:rsidRPr="000A61DD">
              <w:rPr>
                <w:vertAlign w:val="superscript"/>
              </w:rPr>
              <w:t>18</w:t>
            </w:r>
            <w:r w:rsidRPr="00AC4460">
              <w:t xml:space="preserve"> Κανονισμός (ΕΚ) αριθ. 1069/2009 του Ευρωπαϊκού Κοινοβουλίου και του Συμβουλίου, της 21ης Οκτωβρίου 2009,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κανονισμού (ΕΚ) αριθ. 1774/2002 (κανονισμός για τα ζωικά υποπροϊόντα) (ΕΕ L 300 της 14.11.2009, σ. 1).</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11</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10</w:t>
      </w:r>
      <w:r>
        <w:rPr>
          <w:rStyle w:val="HideTWBExt"/>
          <w:b w:val="0"/>
          <w:noProof w:val="0"/>
        </w:rPr>
        <w:t>&lt;/Article&gt;</w:t>
      </w:r>
    </w:p>
    <w:p w:rsidR="00E451E4" w:rsidRPr="00B0345A" w:rsidRDefault="00E451E4" w:rsidP="00E451E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r w:rsidRPr="00AC4460">
              <w:t>(10)</w:t>
            </w:r>
            <w:r w:rsidRPr="00AC4460">
              <w:tab/>
            </w:r>
            <w:r w:rsidRPr="00AC4460">
              <w:rPr>
                <w:b/>
                <w:i/>
              </w:rPr>
              <w:t>Το</w:t>
            </w:r>
            <w:r w:rsidRPr="00AC4460">
              <w:t xml:space="preserve"> τελικό σημείο στην αλυσίδα παρασκευής θα πρέπει να προσδιορίζεται για κάθε σχετικό συστατικό υλικό το οποίο περιέχει ζωικά υποπροϊόντα σύμφωνα με τις διαδικασίες που καθορίζονται στον κανονισμό</w:t>
            </w:r>
            <w:r w:rsidRPr="00AC4460">
              <w:rPr>
                <w:b/>
                <w:i/>
              </w:rPr>
              <w:t xml:space="preserve"> (ΕΚ) αριθ. 1069/2009.</w:t>
            </w:r>
            <w:r w:rsidR="000A61DD">
              <w:rPr>
                <w:b/>
                <w:i/>
              </w:rPr>
              <w:t xml:space="preserve"> </w:t>
            </w:r>
            <w:r w:rsidRPr="00AC4460">
              <w:rPr>
                <w:b/>
                <w:i/>
              </w:rPr>
              <w:t>Όταν μια διαδικασία</w:t>
            </w:r>
            <w:r w:rsidRPr="00AC4460">
              <w:t xml:space="preserve"> παρασκευής που </w:t>
            </w:r>
            <w:r w:rsidRPr="00AC4460">
              <w:rPr>
                <w:b/>
                <w:i/>
              </w:rPr>
              <w:t>διέπεται</w:t>
            </w:r>
            <w:r w:rsidRPr="00AC4460">
              <w:t xml:space="preserve"> από </w:t>
            </w:r>
            <w:r w:rsidRPr="00AC4460">
              <w:rPr>
                <w:b/>
                <w:i/>
              </w:rPr>
              <w:t>τον παρόντα κανονισμό ξεκινά πριν από</w:t>
            </w:r>
            <w:r w:rsidRPr="00AC4460">
              <w:t xml:space="preserve"> το </w:t>
            </w:r>
            <w:r w:rsidRPr="00AC4460">
              <w:rPr>
                <w:b/>
                <w:i/>
              </w:rPr>
              <w:t>εν λόγω</w:t>
            </w:r>
            <w:r w:rsidRPr="00AC4460">
              <w:t xml:space="preserve"> τελικό σημείο, οι απαιτήσεις διεργασίας που ορίζει τόσο ο κανονισμός (ΕΚ) αριθ. 1069/2009 όσο και ο παρών κανονισμός θα πρέπει να εφαρμόζονται σωρευτικά στο προϊόν λίπανσης με σήμανση CE, γεγονός που σημαίνει πως όπου κάποια παράμετρος ρυθμίζεται και από τους δύο κανονισμούς θα ισχύει η αυστηρότερη από τις δύο απαιτήσεις.</w:t>
            </w:r>
          </w:p>
        </w:tc>
        <w:tc>
          <w:tcPr>
            <w:tcW w:w="4876" w:type="dxa"/>
          </w:tcPr>
          <w:p w:rsidR="00E451E4" w:rsidRPr="00AC4460" w:rsidRDefault="00E451E4" w:rsidP="000A61DD">
            <w:pPr>
              <w:pStyle w:val="Normal6"/>
              <w:rPr>
                <w:szCs w:val="24"/>
              </w:rPr>
            </w:pPr>
            <w:r w:rsidRPr="00AC4460">
              <w:t>(10)</w:t>
            </w:r>
            <w:r w:rsidRPr="00AC4460">
              <w:tab/>
            </w:r>
            <w:r w:rsidRPr="00AC4460">
              <w:rPr>
                <w:b/>
                <w:i/>
              </w:rPr>
              <w:t>Για κάθε κατηγορία συστατικού υλικού που περιλαμβάνει παράγωγα προϊόντα κατά την έννοια του κανονισμού (ΕΚ) αριθ. 1069/2009, το</w:t>
            </w:r>
            <w:r w:rsidRPr="00AC4460">
              <w:t xml:space="preserve"> τελικό σημείο στην αλυσίδα παρασκευής θα πρέπει να προσδιορίζεται για κάθε σχετικό συστατικό υλικό το οποίο περιέχει ζωικά υποπροϊόντα σύμφωνα με τις διαδικασίες που καθορίζονται στον </w:t>
            </w:r>
            <w:r w:rsidRPr="00AC4460">
              <w:rPr>
                <w:b/>
                <w:i/>
              </w:rPr>
              <w:t xml:space="preserve">εν λόγω </w:t>
            </w:r>
            <w:r w:rsidRPr="00AC4460">
              <w:t>κανονισμό</w:t>
            </w:r>
            <w:r w:rsidRPr="00AC4460">
              <w:rPr>
                <w:b/>
                <w:i/>
              </w:rPr>
              <w:t xml:space="preserve">. Προκειμένου να αξιοποιηθούν οι τεχνικές εξελίξεις, να δημιουργηθούν περισσότερες ευκαιρίες για τους παραγωγούς και τις επιχειρήσεις και να αξιοποιηθεί η δυνατότητα μεγαλύτερης χρήσης θρεπτικών ουσιών από ζωικά υποπροϊόντα όπως η ζωική κόπρος, η θέσπιση μεθόδων επεξεργασίας και κανόνων ανάκτησης για τα ζωικά υποπροϊόντα για τα οποία έχει καθοριστεί τελικό σημείο στην αλυσίδα παρασκευής θα πρέπει να αρχίσει αμέσως μετά την έναρξη ισχύος του παρόντος κανονισμού. </w:t>
            </w:r>
            <w:r w:rsidRPr="00AC4460">
              <w:rPr>
                <w:b/>
                <w:bCs/>
                <w:i/>
                <w:iCs/>
              </w:rPr>
              <w:t xml:space="preserve">Προκειμένου για προϊόντα λίπανσης που περιέχουν ή αποτελούνται από επεξεργασμένη ζωική κόπρο πρέπει να οριστούν κριτήρια για το τελικό σημείο της ζωικής κόπρου. </w:t>
            </w:r>
            <w:r w:rsidRPr="00AC4460">
              <w:rPr>
                <w:b/>
                <w:i/>
              </w:rPr>
              <w:t>Για την επέκταση ή την προσθήκη κατηγοριών συστατικών υλικών ώστε να συμπεριληφθούν περισσότερα ζωικά υποπροϊόντα, πρέπει να ανατεθεί στην Επιτροπή η εξουσία έκδοσης πράξεων σύμφωνα με το άρθρο 290 της Συνθήκης για τη λειτουργία της Ευρωπαϊκής Ένωσης.</w:t>
            </w:r>
            <w:r w:rsidRPr="00AC4460">
              <w:t xml:space="preserve"> </w:t>
            </w:r>
            <w:r w:rsidRPr="00AC4460">
              <w:rPr>
                <w:b/>
                <w:i/>
              </w:rPr>
              <w:t>Όταν το</w:t>
            </w:r>
            <w:r w:rsidRPr="00AC4460">
              <w:t xml:space="preserve"> τελικό </w:t>
            </w:r>
            <w:r w:rsidRPr="00AC4460">
              <w:rPr>
                <w:b/>
                <w:i/>
              </w:rPr>
              <w:t xml:space="preserve">αυτό </w:t>
            </w:r>
            <w:r w:rsidRPr="00AC4460">
              <w:t>σημείο</w:t>
            </w:r>
            <w:r w:rsidRPr="00AC4460">
              <w:rPr>
                <w:b/>
                <w:i/>
              </w:rPr>
              <w:t xml:space="preserve"> επιτυγχάνεται πριν τεθεί σε κυκλοφορία το προϊόν λίπανσης με σήμανση ΕΕ αλλά μετά την έναρξη της διαδικασίας παρασκευής που διέπεται από τον παρόντα κανονισμό</w:t>
            </w:r>
            <w:r w:rsidRPr="00AC4460">
              <w:t>, οι απαιτήσεις διεργασίας που ορίζει τόσο ο κανονισμός (ΕΚ) αριθ. 1069/2009 όσο και ο παρών κανονισμός θα πρέπει να εφαρμόζονται σωρευτικά στο προϊόν λίπανσης με σήμανση CE, γεγονός που σημαίνει πως όπου κάποια παράμετρος ρυθμίζεται και από τους δύο κανονισμούς θα ισχύει η αυστηρότερη από τις δύο απαιτήσεις.</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12</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10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(10α)</w:t>
            </w:r>
            <w:r w:rsidRPr="00AC4460">
              <w:tab/>
            </w:r>
            <w:r w:rsidRPr="00AC4460">
              <w:rPr>
                <w:b/>
                <w:i/>
              </w:rPr>
              <w:t>Για ζωικά υποπροϊόντα που ήδη χρησιμοποιούνται ευρέως στα κράτη μέλη για την παραγωγή λιπασμάτων το τελικό σημείο θα πρέπει να καθοριστεί χωρίς αδικαιολόγητη καθυστέρηση, και το αργότερο μέχρι ένα έτος μετά την ημερομηνία έναρξης ισχύος του παρόντος κανονισμού.</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13</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pPr>
      <w:r>
        <w:rPr>
          <w:rStyle w:val="HideTWBExt"/>
          <w:b w:val="0"/>
          <w:noProof w:val="0"/>
        </w:rPr>
        <w:t>&lt;Article&gt;</w:t>
      </w:r>
      <w:r w:rsidRPr="00AC4460">
        <w:t>Αιτιολογική σκέψη 12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r w:rsidRPr="00AC4460">
              <w:t>(12)</w:t>
            </w:r>
            <w:r w:rsidRPr="00AC4460">
              <w:tab/>
            </w:r>
            <w:r w:rsidRPr="00AC4460">
              <w:rPr>
                <w:b/>
                <w:i/>
              </w:rPr>
              <w:t>Όταν ένα</w:t>
            </w:r>
            <w:r w:rsidRPr="00AC4460">
              <w:t xml:space="preserve"> ή </w:t>
            </w:r>
            <w:r w:rsidRPr="00AC4460">
              <w:rPr>
                <w:b/>
                <w:i/>
              </w:rPr>
              <w:t>περισσότερα από τα συστατικά υλικά ενός προϊόντος λίπανσης με σήμανση CE εμπίπτουν στο πεδίο εφαρμογής</w:t>
            </w:r>
            <w:r w:rsidRPr="00AC4460">
              <w:t xml:space="preserve"> του κανονισμού (ΕΚ) αριθ. 1069/2009</w:t>
            </w:r>
            <w:r w:rsidRPr="00AC4460">
              <w:rPr>
                <w:b/>
                <w:i/>
              </w:rPr>
              <w:t xml:space="preserve"> και δεν φθάνουν σε τελικό σημείο στην αλυσίδα παρασκευής</w:t>
            </w:r>
            <w:r w:rsidRPr="00AC4460">
              <w:t>, θα ήταν παραπλανητικό να προβλέπεται η σήμανση CE του προϊόντος σύμφωνα με τον παρόντα κανονισμό</w:t>
            </w:r>
            <w:r w:rsidRPr="00AC4460">
              <w:rPr>
                <w:b/>
                <w:i/>
              </w:rPr>
              <w:t>, δεδομένου ότι η διάθεση τέτοιου προϊόντος στην αγορά υπόκειται στις απαιτήσεις του κανονισμού (ΕΚ) αριθ. 1069/2009.</w:t>
            </w:r>
            <w:r w:rsidRPr="00AC4460">
              <w:t xml:space="preserve"> </w:t>
            </w:r>
            <w:r w:rsidRPr="00AC4460">
              <w:rPr>
                <w:b/>
                <w:i/>
              </w:rPr>
              <w:t>Συνεπώς, τέτοια προϊόντα</w:t>
            </w:r>
            <w:r w:rsidRPr="00AC4460">
              <w:t xml:space="preserve"> θα πρέπει να </w:t>
            </w:r>
            <w:r w:rsidRPr="00AC4460">
              <w:rPr>
                <w:b/>
                <w:i/>
              </w:rPr>
              <w:t>εξαιρούνται</w:t>
            </w:r>
            <w:r w:rsidRPr="00AC4460">
              <w:t xml:space="preserve"> από το πεδίο εφαρμογής του παρόντος κανονισμού.</w:t>
            </w:r>
          </w:p>
        </w:tc>
        <w:tc>
          <w:tcPr>
            <w:tcW w:w="4876" w:type="dxa"/>
          </w:tcPr>
          <w:p w:rsidR="00E451E4" w:rsidRPr="00AC4460" w:rsidRDefault="00E451E4" w:rsidP="000A61DD">
            <w:pPr>
              <w:pStyle w:val="Normal6"/>
              <w:rPr>
                <w:szCs w:val="24"/>
              </w:rPr>
            </w:pPr>
            <w:r w:rsidRPr="00AC4460">
              <w:t>(12)</w:t>
            </w:r>
            <w:r w:rsidRPr="00AC4460">
              <w:tab/>
            </w:r>
            <w:r w:rsidRPr="00AC4460">
              <w:rPr>
                <w:b/>
                <w:i/>
              </w:rPr>
              <w:t>Η διάθεση στην αγορά ζωικού υποπροϊόντος</w:t>
            </w:r>
            <w:r w:rsidRPr="00AC4460">
              <w:t xml:space="preserve"> ή </w:t>
            </w:r>
            <w:r w:rsidRPr="00AC4460">
              <w:rPr>
                <w:b/>
                <w:i/>
              </w:rPr>
              <w:t>παράγωγου προϊόντος, για το οποίο δεν έχει καθοριστεί τελικό σημείο στην αλυσίδα παρασκευής ή για το οποίο δεν έχει επιτευχθεί το καθορισμένο τελικό σημείο κατά τον χρόνο της διάθεσης στην αγορά, υπόκειται στις απαιτήσεις</w:t>
            </w:r>
            <w:r w:rsidRPr="00AC4460">
              <w:t xml:space="preserve"> του κανονισμού (ΕΚ) αριθ. 1069/2009</w:t>
            </w:r>
            <w:r w:rsidRPr="00AC4460">
              <w:rPr>
                <w:b/>
                <w:i/>
              </w:rPr>
              <w:t>. Ως εκ τούτου</w:t>
            </w:r>
            <w:r w:rsidRPr="00AC4460">
              <w:t>, θα ήταν παραπλανητικό να προβλέπεται η σήμανση CE του προϊόντος σύμφωνα με τον παρόντα κανονισμό</w:t>
            </w:r>
            <w:r w:rsidRPr="00AC4460">
              <w:rPr>
                <w:b/>
                <w:i/>
              </w:rPr>
              <w:t>. Κάθε προϊόν το οποίο περιέχει ή αποτελείται από τέτοιο ζωικό υποπροϊόν ή παράγωγο προϊόν</w:t>
            </w:r>
            <w:r w:rsidRPr="00AC4460">
              <w:t xml:space="preserve"> θα πρέπει </w:t>
            </w:r>
            <w:r w:rsidRPr="00AC4460">
              <w:rPr>
                <w:b/>
                <w:i/>
              </w:rPr>
              <w:t xml:space="preserve">συνεπώς </w:t>
            </w:r>
            <w:r w:rsidRPr="00AC4460">
              <w:t xml:space="preserve">να </w:t>
            </w:r>
            <w:r w:rsidRPr="00AC4460">
              <w:rPr>
                <w:b/>
                <w:i/>
              </w:rPr>
              <w:t>εξαιρείται</w:t>
            </w:r>
            <w:r w:rsidRPr="00AC4460">
              <w:t xml:space="preserve"> από το πεδίο εφαρμογής του παρόντος κανονισμού.</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14</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13</w:t>
      </w:r>
      <w:r>
        <w:rPr>
          <w:rStyle w:val="HideTWBExt"/>
          <w:b w:val="0"/>
          <w:noProof w:val="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E451E4" w:rsidRPr="00B0345A" w:rsidTr="000A61DD">
        <w:trPr>
          <w:gridAfter w:val="1"/>
          <w:wAfter w:w="340" w:type="dxa"/>
          <w:jc w:val="center"/>
        </w:trPr>
        <w:tc>
          <w:tcPr>
            <w:tcW w:w="9752" w:type="dxa"/>
            <w:gridSpan w:val="4"/>
          </w:tcPr>
          <w:p w:rsidR="00E451E4" w:rsidRPr="00B0345A" w:rsidRDefault="00E451E4" w:rsidP="000A61DD">
            <w:pPr>
              <w:keepNext/>
            </w:pPr>
          </w:p>
        </w:tc>
      </w:tr>
      <w:tr w:rsidR="00E451E4" w:rsidRPr="00B0345A" w:rsidTr="000A61DD">
        <w:trPr>
          <w:gridAfter w:val="1"/>
          <w:wAfter w:w="340" w:type="dxa"/>
          <w:jc w:val="center"/>
        </w:trPr>
        <w:tc>
          <w:tcPr>
            <w:tcW w:w="4876" w:type="dxa"/>
            <w:gridSpan w:val="2"/>
          </w:tcPr>
          <w:p w:rsidR="00E451E4" w:rsidRPr="00AC4460" w:rsidRDefault="00E451E4" w:rsidP="000A61DD">
            <w:pPr>
              <w:pStyle w:val="ColumnHeading"/>
              <w:keepNext/>
            </w:pPr>
            <w:r w:rsidRPr="00AC4460">
              <w:t>Κείμενο που προτείνει η Επιτροπή</w:t>
            </w:r>
          </w:p>
        </w:tc>
        <w:tc>
          <w:tcPr>
            <w:tcW w:w="4876" w:type="dxa"/>
            <w:gridSpan w:val="2"/>
          </w:tcPr>
          <w:p w:rsidR="00E451E4" w:rsidRPr="00AC4460" w:rsidRDefault="00E451E4" w:rsidP="000A61DD">
            <w:pPr>
              <w:pStyle w:val="ColumnHeading"/>
              <w:keepNext/>
            </w:pPr>
            <w:r w:rsidRPr="00AC4460">
              <w:t>Τροπολογία</w:t>
            </w:r>
          </w:p>
        </w:tc>
      </w:tr>
      <w:tr w:rsidR="00E451E4" w:rsidRPr="00E451E4" w:rsidTr="000A61DD">
        <w:trPr>
          <w:gridAfter w:val="1"/>
          <w:wAfter w:w="340" w:type="dxa"/>
          <w:jc w:val="center"/>
        </w:trPr>
        <w:tc>
          <w:tcPr>
            <w:tcW w:w="4876" w:type="dxa"/>
            <w:gridSpan w:val="2"/>
          </w:tcPr>
          <w:p w:rsidR="00E451E4" w:rsidRPr="00AC4460" w:rsidRDefault="00E451E4" w:rsidP="000A61DD">
            <w:pPr>
              <w:pStyle w:val="Normal6"/>
            </w:pPr>
            <w:r w:rsidRPr="00AC4460">
              <w:t>(13)</w:t>
            </w:r>
            <w:r w:rsidRPr="00AC4460">
              <w:tab/>
              <w:t>Για ορισμένα ανακτηθέντα απόβλητα κατά την έννοια της οδηγίας 2008/98/ΕΚ του Ευρωπαϊκού Κοινοβουλίου και του Συμβουλίου</w:t>
            </w:r>
            <w:r w:rsidRPr="00AC4460">
              <w:rPr>
                <w:vertAlign w:val="superscript"/>
              </w:rPr>
              <w:t>20</w:t>
            </w:r>
            <w:r w:rsidRPr="00AC4460">
              <w:t>, έχει διαπιστωθεί ζήτηση στην αγορά για τη χρήση τους ως προϊόντα λίπανσης. Επιπλέον, θα πρέπει να ισχύουν ορισμένες απαιτήσεις για τα απόβλητα που χρησιμοποιούνται ως υλικά εισροής στις δραστηριότητες ανάκτησης, για τις διεργασίες και τεχνικές επεξεργασίας, και για τα προϊόντα λίπανσης που προκύπτουν από τη δραστηριότητα ανάκτησης, προκειμένου να διασφαλιστεί ότι η χρήση των προϊόντων αυτών δεν συνεπάγεται συνολικά δυσμενείς επιπτώσεις για το περιβάλλον ή την ανθρώπινη υγεία. Για τα προϊόντα λίπανσης με σήμανση CE, οι εν λόγω απαιτήσεις θα πρέπει να καθοριστούν στον παρόντα κανονισμό. Ως εκ τούτου, από τη στιγμή που τα εν λόγω προϊόντα συμμορφώνονται με όλες τις απαιτήσεις του παρόντος κανονισμού, θα πρέπει να παύουν να θεωρούνται απόβλητα κατά την έννοια της οδηγίας 2008/98/ΕΚ.</w:t>
            </w:r>
          </w:p>
        </w:tc>
        <w:tc>
          <w:tcPr>
            <w:tcW w:w="4876" w:type="dxa"/>
            <w:gridSpan w:val="2"/>
          </w:tcPr>
          <w:p w:rsidR="00E451E4" w:rsidRPr="00AC4460" w:rsidRDefault="00E451E4" w:rsidP="000A61DD">
            <w:pPr>
              <w:pStyle w:val="Normal6"/>
              <w:rPr>
                <w:szCs w:val="24"/>
              </w:rPr>
            </w:pPr>
            <w:r w:rsidRPr="00AC4460">
              <w:t>(13)</w:t>
            </w:r>
            <w:r w:rsidRPr="00AC4460">
              <w:tab/>
              <w:t xml:space="preserve">Για ορισμένα ανακτηθέντα απόβλητα </w:t>
            </w:r>
            <w:r w:rsidRPr="00AC4460">
              <w:rPr>
                <w:b/>
                <w:i/>
              </w:rPr>
              <w:t xml:space="preserve">όπως ο στρουβίτης, ο βιοξυλάνθρακας και οι τέφρες </w:t>
            </w:r>
            <w:r w:rsidRPr="00AC4460">
              <w:t>κατά την έννοια της οδηγίας 2008/98/ΕΚ του Ευρωπαϊκού Κοινοβουλίου και του Συμβουλίου</w:t>
            </w:r>
            <w:r w:rsidRPr="00AC4460">
              <w:rPr>
                <w:vertAlign w:val="superscript"/>
              </w:rPr>
              <w:t>20</w:t>
            </w:r>
            <w:r w:rsidRPr="00AC4460">
              <w:t>, έχει διαπιστωθεί ζήτηση στην αγορά για τη χρήση τους ως προϊόντα λίπανσης. Επιπλέον, θα πρέπει να ισχύουν ορισμένες απαιτήσεις για τα απόβλητα που χρησιμοποιούνται ως υλικά εισροής στις δραστηριότητες ανάκτησης, για τις διεργασίες και τεχνικές επεξεργασίας, και για τα προϊόντα λίπανσης που προκύπτουν από τη δραστηριότητα ανάκτησης, προκειμένου να διασφαλιστεί ότι η χρήση των προϊόντων αυτών δεν συνεπάγεται συνολικά δυσμενείς επιπτώσεις για το περιβάλλον ή την ανθρώπινη υγεία. Για τα προϊόντα λίπανσης με σήμανση CE, οι εν λόγω απαιτήσεις θα πρέπει να καθοριστούν στον παρόντα κανονισμό. Ως εκ τούτου, από τη στιγμή που τα εν λόγω προϊόντα συμμορφώνονται με όλες τις απαιτήσεις του παρόντος κανονισμού, θα πρέπει να παύουν να θεωρούνται απόβλητα</w:t>
            </w:r>
            <w:r w:rsidRPr="00AC4460">
              <w:rPr>
                <w:b/>
                <w:i/>
              </w:rPr>
              <w:t>,</w:t>
            </w:r>
            <w:r w:rsidRPr="00AC4460">
              <w:t xml:space="preserve"> κατά την έννοια της οδηγίας 2008/98/ΕΚ</w:t>
            </w:r>
            <w:r w:rsidRPr="00AC4460">
              <w:rPr>
                <w:b/>
                <w:i/>
              </w:rPr>
              <w:t>, και συνεπώς τα προϊόντα που περιέχουν ή που αποτελούνται από τέτοια ανακτηθέντα υλικά αποβλήτων θα πρέπει να μπορούν να έχουν πρόσβαση στην εσωτερική αγορά</w:t>
            </w:r>
            <w:r w:rsidRPr="00AC4460">
              <w:t>.</w:t>
            </w:r>
            <w:r w:rsidRPr="00AC4460">
              <w:rPr>
                <w:b/>
                <w:i/>
              </w:rPr>
              <w:t xml:space="preserve"> Προκειμένου να διασφαλιστεί ασφάλεια δικαίου, να αξιοποιηθούν οι τεχνικές εξελίξεις και να ενισχυθεί περαιτέρω το κίνητρο των παραγωγών για μεγαλύτερη χρήση πολύτιμων ροών αποβλήτων, η διενέργεια επιστημονικών αναλύσεων και ο καθορισμός απαιτήσεων ανάκτησης σε επίπεδο Ένωσης για τα προϊόντα αυτά θα πρέπει να ξεκινήσουν αμέσως μετά την έναρξη ισχύος του παρόντος κανονισμού. Κατά συνέπεια, θα πρέπει να ανατεθεί στην Επιτροπή η εξουσία έκδοσης πράξεων σύμφωνα με το άρθρο 290 της Συνθήκης για τη λειτουργία της Ευρωπαϊκής Ένωσης όσον αφορά τον καθορισμό, χωρίς περιττές καθυστερήσεις, μεγαλύτερων ή πρόσθετων κατηγοριών συστατικών υλικών κατάλληλων για χρήση στην παραγωγή προϊόντων λίπανσης με σήμανση CE.</w:t>
            </w:r>
            <w:r w:rsidRPr="00AC4460">
              <w:t xml:space="preserve"> </w:t>
            </w:r>
          </w:p>
        </w:tc>
      </w:tr>
      <w:tr w:rsidR="00E451E4" w:rsidRPr="00B0345A" w:rsidTr="000A61DD">
        <w:tblPrEx>
          <w:tblLook w:val="04A0" w:firstRow="1" w:lastRow="0" w:firstColumn="1" w:lastColumn="0" w:noHBand="0" w:noVBand="1"/>
        </w:tblPrEx>
        <w:trPr>
          <w:gridBefore w:val="1"/>
          <w:wBefore w:w="340" w:type="dxa"/>
          <w:jc w:val="center"/>
        </w:trPr>
        <w:tc>
          <w:tcPr>
            <w:tcW w:w="4876" w:type="dxa"/>
            <w:gridSpan w:val="2"/>
            <w:hideMark/>
          </w:tcPr>
          <w:p w:rsidR="00E451E4" w:rsidRPr="00AC4460" w:rsidRDefault="00E451E4" w:rsidP="000A61DD">
            <w:pPr>
              <w:pStyle w:val="Normal6"/>
            </w:pPr>
            <w:r w:rsidRPr="00AC4460">
              <w:t>_________________</w:t>
            </w:r>
          </w:p>
        </w:tc>
        <w:tc>
          <w:tcPr>
            <w:tcW w:w="4876" w:type="dxa"/>
            <w:gridSpan w:val="2"/>
            <w:hideMark/>
          </w:tcPr>
          <w:p w:rsidR="00E451E4" w:rsidRPr="00AC4460" w:rsidRDefault="00E451E4" w:rsidP="000A61DD">
            <w:pPr>
              <w:pStyle w:val="Normal6"/>
            </w:pPr>
            <w:r w:rsidRPr="00AC4460">
              <w:t>_________________</w:t>
            </w:r>
          </w:p>
        </w:tc>
      </w:tr>
      <w:tr w:rsidR="00E451E4" w:rsidRPr="00E451E4" w:rsidTr="000A61DD">
        <w:tblPrEx>
          <w:tblLook w:val="04A0" w:firstRow="1" w:lastRow="0" w:firstColumn="1" w:lastColumn="0" w:noHBand="0" w:noVBand="1"/>
        </w:tblPrEx>
        <w:trPr>
          <w:gridBefore w:val="1"/>
          <w:wBefore w:w="340" w:type="dxa"/>
          <w:jc w:val="center"/>
        </w:trPr>
        <w:tc>
          <w:tcPr>
            <w:tcW w:w="4876" w:type="dxa"/>
            <w:gridSpan w:val="2"/>
            <w:hideMark/>
          </w:tcPr>
          <w:p w:rsidR="00E451E4" w:rsidRPr="00AC4460" w:rsidRDefault="00E451E4" w:rsidP="000A61DD">
            <w:pPr>
              <w:pStyle w:val="Normal6"/>
            </w:pPr>
            <w:r w:rsidRPr="00AC4460">
              <w:rPr>
                <w:vertAlign w:val="superscript"/>
              </w:rPr>
              <w:t>20</w:t>
            </w:r>
            <w:r w:rsidRPr="00AC4460">
              <w:t xml:space="preserve"> Οδηγία 2008/98/ΕΚ του Ευρωπαϊκού Κοινοβουλίου και του Συμβουλίου για τα απόβλητα και την κατάργηση ορισμένων οδηγιών (ΕΕ L 312 της 22.11.2008, σ. 3).</w:t>
            </w:r>
          </w:p>
        </w:tc>
        <w:tc>
          <w:tcPr>
            <w:tcW w:w="4876" w:type="dxa"/>
            <w:gridSpan w:val="2"/>
            <w:hideMark/>
          </w:tcPr>
          <w:p w:rsidR="00E451E4" w:rsidRPr="00AC4460" w:rsidRDefault="00E451E4" w:rsidP="000A61DD">
            <w:pPr>
              <w:pStyle w:val="Normal6"/>
            </w:pPr>
            <w:r w:rsidRPr="00AC4460">
              <w:rPr>
                <w:vertAlign w:val="superscript"/>
              </w:rPr>
              <w:t>20</w:t>
            </w:r>
            <w:r w:rsidRPr="00AC4460">
              <w:t xml:space="preserve"> Οδηγία 2008/98/ΕΚ του Ευρωπαϊκού Κοινοβουλίου και του Συμβουλίου </w:t>
            </w:r>
            <w:r w:rsidRPr="00AC4460">
              <w:rPr>
                <w:b/>
                <w:i/>
              </w:rPr>
              <w:t xml:space="preserve">της 19ης Νοεμβρίου 2008 </w:t>
            </w:r>
            <w:r w:rsidRPr="00AC4460">
              <w:t>για τα απόβλητα και την κατάργηση ορισμένων οδηγιών (ΕΕ L 312 της 22.11.2008, σ. 3).</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15</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13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(13α)</w:t>
            </w:r>
            <w:r w:rsidRPr="00AC4460">
              <w:rPr>
                <w:b/>
                <w:i/>
              </w:rPr>
              <w:tab/>
              <w:t>Ορισμένα υποπροϊόντα, παραπροϊόντα ή ανακυκλωμένα προϊόντα της βιομηχανίας που προέρχονται από ειδικές βιομηχανικές διεργασίες χρησιμοποιούνται επί του παρόντος από τους παρασκευαστές ως συστατικό προϊόντων λίπανσης με σήμανση CE. Όσον αφορά τα συστατικά των προϊόντων λίπανσης με σήμανση CE, οι απαιτήσεις σχετικά με τις κατηγορίες συστατικών υλικών θα πρέπει να ορίζονται στον παρόντα κανονισμό. Όπου αρμόζει, από τη στιγμή που τα εν λόγω προϊόντα συμμορφώνονται με όλες τις απαιτήσεις του παρόντος κανονισμού, θα πρέπει να παύουν να θεωρούνται απόβλητα κατά την έννοια της οδηγίας 2008/98/ΕΚ.</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16</w:t>
      </w:r>
      <w:r>
        <w:rPr>
          <w:rStyle w:val="HideTWBExt"/>
          <w:b w:val="0"/>
          <w:noProof w:val="0"/>
          <w:lang w:val="en-GB"/>
        </w:rPr>
        <w:t>&lt;/NumAm&gt;</w:t>
      </w:r>
    </w:p>
    <w:p w:rsidR="00E451E4" w:rsidRPr="00E451E4" w:rsidRDefault="00E451E4" w:rsidP="00E451E4">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r w:rsidRPr="00AC4460">
              <w:t>(14)</w:t>
            </w:r>
            <w:r w:rsidRPr="00AC4460">
              <w:tab/>
              <w:t xml:space="preserve">Ορισμένες ουσίες και μείγματα, που </w:t>
            </w:r>
            <w:r w:rsidRPr="00AC4460">
              <w:rPr>
                <w:b/>
                <w:i/>
              </w:rPr>
              <w:t xml:space="preserve">κοινώς </w:t>
            </w:r>
            <w:r w:rsidRPr="00AC4460">
              <w:t>καλούνται γεωπονικά πρόσθετα, βελτιώνουν τον τρόπο απελευθέρωσης των θρεπτικών ουσιών από τα λιπάσματα. Οι ουσίες και τα μείγματα που διατίθενται στην αγορά προοριζόμενα να προστεθούν σε προϊόντα λίπανσης με σήμανση CE για τον σκοπό αυτόν θα πρέπει να πληρούν ορισμένα κριτήρια απόδοσης με ευθύνη του παρασκευαστή των εν λόγω ουσιών ή μειγμάτων, και ως εκ τούτου πρέπει να θεωρούνται προϊόντα λίπανσης με σήμανση CE βάσει του παρόντος κανονισμού. Επιπλέον, τα προϊόντα λίπανσης με σήμανση CE που περιέχουν τέτοιες ουσίες ή μείγματα πρέπει να υπόκεινται σε ορισμένα κριτήρια απόδοσης και ασφάλειας. Συνεπώς, οι εν λόγω ουσίες και μείγματα θα πρέπει να ρυθμίζονται ως συστατικά υλικά για προϊόντα λίπανσης με σήμανση CE.</w:t>
            </w:r>
          </w:p>
        </w:tc>
        <w:tc>
          <w:tcPr>
            <w:tcW w:w="4876" w:type="dxa"/>
          </w:tcPr>
          <w:p w:rsidR="00E451E4" w:rsidRPr="00AC4460" w:rsidRDefault="00E451E4" w:rsidP="000A61DD">
            <w:pPr>
              <w:pStyle w:val="Normal6"/>
              <w:rPr>
                <w:szCs w:val="24"/>
              </w:rPr>
            </w:pPr>
            <w:r w:rsidRPr="00AC4460">
              <w:t>(14)</w:t>
            </w:r>
            <w:r w:rsidRPr="00AC4460">
              <w:tab/>
              <w:t xml:space="preserve">Ορισμένες ουσίες και μείγματα, που καλούνται γεωπονικά πρόσθετα, βελτιώνουν τον τρόπο απελευθέρωσης των θρεπτικών ουσιών από τα λιπάσματα. Οι ουσίες και τα μείγματα που διατίθενται στην αγορά προοριζόμενα να προστεθούν σε προϊόντα λίπανσης με σήμανση CE για τον σκοπό αυτόν θα πρέπει να πληρούν ορισμένα κριτήρια απόδοσης </w:t>
            </w:r>
            <w:r w:rsidRPr="00AC4460">
              <w:rPr>
                <w:b/>
                <w:i/>
              </w:rPr>
              <w:t xml:space="preserve">και ασφάλειας, καθώς και ορισμένα περιβαλλοντικά κριτήρια </w:t>
            </w:r>
            <w:r w:rsidRPr="00AC4460">
              <w:t>με ευθύνη του παρασκευαστή των εν λόγω ουσιών ή μειγμάτων, και ως εκ τούτου πρέπει να θεωρούνται προϊόντα λίπανσης με σήμανση CE βάσει του παρόντος κανονισμού. Επιπλέον, τα προϊόντα λίπανσης με σήμανση CE που περιέχουν τέτοιες ουσίες ή μείγματα πρέπει να υπόκεινται σε ορισμένα κριτήρια απόδοσης και ασφάλειας</w:t>
            </w:r>
            <w:r w:rsidRPr="00AC4460">
              <w:rPr>
                <w:b/>
                <w:i/>
              </w:rPr>
              <w:t>, καθώς και ορισμένα περιβαλλοντικά κριτήρια</w:t>
            </w:r>
            <w:r w:rsidRPr="00AC4460">
              <w:t>. Συνεπώς, οι εν λόγω ουσίες και μείγματα θα πρέπει να ρυθμίζονται ως συστατικά υλικά για προϊόντα λίπανσης με σήμανση CE.</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pPr>
      <w:r>
        <w:rPr>
          <w:rStyle w:val="HideTWBExt"/>
          <w:noProof w:val="0"/>
          <w:lang w:val="en-GB"/>
        </w:rPr>
        <w:t>&lt;Amend&gt;</w:t>
      </w:r>
      <w:r w:rsidRPr="00AC4460">
        <w:t xml:space="preserve">Τροπολογία </w:t>
      </w:r>
      <w:r w:rsidRPr="00AC4460">
        <w:tab/>
      </w:r>
      <w:r w:rsidRPr="00AC4460">
        <w:tab/>
      </w:r>
      <w:r>
        <w:rPr>
          <w:rStyle w:val="HideTWBExt"/>
          <w:noProof w:val="0"/>
          <w:lang w:val="en-GB"/>
        </w:rPr>
        <w:t>&lt;NumAm&gt;</w:t>
      </w:r>
      <w:r w:rsidRPr="00AC4460">
        <w:t>17</w:t>
      </w:r>
      <w:r>
        <w:rPr>
          <w:rStyle w:val="HideTWBExt"/>
          <w:noProof w:val="0"/>
          <w:lang w:val="en-GB"/>
        </w:rPr>
        <w:t>&lt;/NumAm&gt;</w:t>
      </w:r>
    </w:p>
    <w:p w:rsidR="00E451E4" w:rsidRPr="00E451E4" w:rsidRDefault="00E451E4" w:rsidP="00E451E4">
      <w:pPr>
        <w:pStyle w:val="NormalBold12b"/>
      </w:pPr>
      <w:r>
        <w:rPr>
          <w:rStyle w:val="HideTWBExt"/>
          <w:noProof w:val="0"/>
          <w:lang w:val="en-GB"/>
        </w:rPr>
        <w:t>&lt;DocAmend&gt;</w:t>
      </w:r>
      <w:r w:rsidRPr="00AC4460">
        <w:t>Πρόταση κανονισμού</w:t>
      </w:r>
      <w:r>
        <w:rPr>
          <w:rStyle w:val="HideTWBExt"/>
          <w:noProof w:val="0"/>
          <w:lang w:val="en-GB"/>
        </w:rPr>
        <w:t>&lt;/DocAmend&gt;</w:t>
      </w:r>
    </w:p>
    <w:p w:rsidR="00E451E4" w:rsidRPr="00B0345A" w:rsidRDefault="00E451E4" w:rsidP="00E451E4">
      <w:pPr>
        <w:pStyle w:val="NormalBold"/>
      </w:pPr>
      <w:r>
        <w:rPr>
          <w:rStyle w:val="HideTWBExt"/>
          <w:noProof w:val="0"/>
        </w:rPr>
        <w:t>&lt;Article&gt;</w:t>
      </w:r>
      <w:r w:rsidRPr="00AC4460">
        <w:t>Αιτιολογική σκέψη 14 α (νέα)</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E451E4"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(14α)</w:t>
            </w:r>
            <w:r w:rsidRPr="00AC4460">
              <w:tab/>
            </w:r>
            <w:r w:rsidRPr="00AC4460">
              <w:rPr>
                <w:b/>
                <w:i/>
              </w:rPr>
              <w:t>Δεδομένου ότι τα προϊόντα που αποτελούνται, εκτός από λιπαντικά στοιχεία, από ουσίες και μείγματα προορίζονται να προστεθούν στο έδαφος και να απελευθερωθούν στο περιβάλλον, τα κριτήρια συμμόρφωσης πρέπει να εφαρμόζονται σε όλα τα υλικά του προϊόντος, ιδίως στα υλικά μικρού μεγέθους ή στα υλικά που διασπώνται σε μικρά θραύσματα δεδομένου ότι μπορούν να εισχωρήσουν στο έδαφος και στα συστήματα ύδρευσης και να μεταφερθούν στο ευρύτερο περιβάλλον. Ως εκ τούτου τα κριτήρια βιοαποδομησιμότητας και ο έλεγχος της συμμόρφωσης θα πρέπει επίσης να διενεργούνται υπό ρεαλιστικές in vivo συνθήκες λαμβάνοντας υπόψη τους διαφορετικούς βαθμούς αποσύνθεσης που ισχύουν υπό αναερόβιες συνθήκες, σε υδροβιότοπους ή κάτω από το νερό, σε συνθήκες πλημμύρας ή σε παγωμένα εδάφη.</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18</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(15)</w:t>
            </w:r>
            <w:r w:rsidRPr="00AC4460">
              <w:tab/>
              <w:t xml:space="preserve">Ορισμένες ουσίες, μείγματα και μικροοργανισμοί, που </w:t>
            </w:r>
            <w:r w:rsidRPr="00AC4460">
              <w:rPr>
                <w:b/>
                <w:i/>
              </w:rPr>
              <w:t xml:space="preserve">κοινώς </w:t>
            </w:r>
            <w:r w:rsidRPr="00AC4460">
              <w:t xml:space="preserve">καλούνται βιοδιεγέρτες φυτών, δεν είναι </w:t>
            </w:r>
            <w:r w:rsidRPr="00AC4460">
              <w:rPr>
                <w:b/>
                <w:i/>
              </w:rPr>
              <w:t>θρεπτικές ουσίες</w:t>
            </w:r>
            <w:r w:rsidRPr="00AC4460">
              <w:t xml:space="preserve"> τα ίδια αλλά διεγείρουν τις διεργασίες θρέψης των φυτών. Όταν τα προϊόντα αυτά αποσκοπούν αποκλειστικά στη βελτίωση της αποδοτικότητας της χρήσης των θρεπτικών ουσιών από τα φυτά, της αντοχής σε αβιοτικές καταπονήσεις</w:t>
            </w:r>
            <w:r w:rsidRPr="00AC4460">
              <w:rPr>
                <w:b/>
                <w:i/>
              </w:rPr>
              <w:t xml:space="preserve"> ή</w:t>
            </w:r>
            <w:r w:rsidRPr="00AC4460">
              <w:t xml:space="preserve"> των χαρακτηριστικών ποιότητας των καλλιεργειών, τότε είναι εκ της φύσεώς τους όμοια με προϊόντα λίπανσης μάλλον παρά με τις περισσότερες κατηγορίες φυτοπροστατευτικών προϊόντων. Τα προϊόντα αυτά θα πρέπει, συνεπώς, να είναι υποψήφια για σήμανση CE βάσει του παρόντος κανονισμού και να αποκλείονται από το πεδίο εφαρμογής του κανονισμού (ΕΚ) αριθ. 1107/2009 του Ευρωπαϊκού Κοινοβουλίου και του Συμβουλίου</w:t>
            </w:r>
            <w:r w:rsidRPr="00AC4460">
              <w:rPr>
                <w:vertAlign w:val="superscript"/>
              </w:rPr>
              <w:t>21</w:t>
            </w:r>
            <w:r w:rsidRPr="00AC4460">
              <w:t>. Συνεπώς, ο κανονισμός (ΕΚ) αριθ. 1107/2009 θα πρέπει να τροποποιηθεί αναλόγως.</w:t>
            </w:r>
          </w:p>
        </w:tc>
        <w:tc>
          <w:tcPr>
            <w:tcW w:w="4876" w:type="dxa"/>
          </w:tcPr>
          <w:p w:rsidR="00E451E4" w:rsidRPr="00AC4460" w:rsidRDefault="00E451E4" w:rsidP="000A61DD">
            <w:pPr>
              <w:pStyle w:val="Normal6"/>
              <w:rPr>
                <w:szCs w:val="24"/>
              </w:rPr>
            </w:pPr>
            <w:r w:rsidRPr="00AC4460">
              <w:t>(15)</w:t>
            </w:r>
            <w:r w:rsidRPr="00AC4460">
              <w:tab/>
              <w:t xml:space="preserve">Ορισμένες ουσίες, μείγματα και μικροοργανισμοί, που καλούνται βιοδιεγέρτες φυτών, δεν είναι </w:t>
            </w:r>
            <w:r w:rsidRPr="00AC4460">
              <w:rPr>
                <w:b/>
                <w:i/>
              </w:rPr>
              <w:t>εισροές θρεπτικών ουσιών</w:t>
            </w:r>
            <w:r w:rsidRPr="00AC4460">
              <w:t xml:space="preserve"> τα ίδια αλλά διεγείρουν τις</w:t>
            </w:r>
            <w:r w:rsidRPr="00AC4460">
              <w:rPr>
                <w:b/>
                <w:i/>
              </w:rPr>
              <w:t xml:space="preserve"> φυσικές</w:t>
            </w:r>
            <w:r w:rsidRPr="00AC4460">
              <w:t xml:space="preserve"> διεργασίες θρέψης των φυτών. Όταν τα προϊόντα αυτά αποσκοπούν αποκλειστικά στη βελτίωση της αποδοτικότητας της χρήσης των θρεπτικών ουσιών από τα φυτά, της αντοχής σε αβιοτικές καταπονήσεις</w:t>
            </w:r>
            <w:r w:rsidRPr="00AC4460">
              <w:rPr>
                <w:b/>
                <w:i/>
              </w:rPr>
              <w:t>,</w:t>
            </w:r>
            <w:r w:rsidRPr="00AC4460">
              <w:t xml:space="preserve"> των χαρακτηριστικών ποιότητας των καλλιεργειών, </w:t>
            </w:r>
            <w:r w:rsidRPr="00AC4460">
              <w:rPr>
                <w:b/>
                <w:i/>
              </w:rPr>
              <w:t xml:space="preserve">της αποδόμησης οργανικών ενώσεων στο έδαφος ή της αύξησης της διαθεσιμότητας των θρεπτικών ουσιών στο έδαφος και στη ριζόσφαιρα, </w:t>
            </w:r>
            <w:r w:rsidRPr="00AC4460">
              <w:t>τότε είναι εκ της φύσεώς τους όμοια με προϊόντα λίπανσης μάλλον παρά με τις περισσότερες κατηγορίες φυτοπροστατευτικών προϊόντων</w:t>
            </w:r>
            <w:r w:rsidRPr="00AC4460">
              <w:rPr>
                <w:b/>
                <w:i/>
              </w:rPr>
              <w:t>. Ως εκ τούτου, ενεργούν συμπληρωματικά προς τα λιπάσματα, με στόχο τη βελτιστοποίηση της αποτελεσματικότητάς τους και τη μείωση των χρησιμοποιούμενων όγκων</w:t>
            </w:r>
            <w:r w:rsidRPr="00AC4460">
              <w:t>. Τα προϊόντα αυτά θα πρέπει, συνεπώς, να είναι υποψήφια για σήμανση CE βάσει του παρόντος κανονισμού και να αποκλείονται από το πεδίο εφαρμογής του κανονισμού (ΕΚ) αριθ. 1107/2009 του Ευρωπαϊκού Κοινοβουλίου και του Συμβουλίου</w:t>
            </w:r>
            <w:r w:rsidRPr="00AC4460">
              <w:rPr>
                <w:vertAlign w:val="superscript"/>
              </w:rPr>
              <w:t>21</w:t>
            </w:r>
            <w:r w:rsidRPr="00AC4460">
              <w:t>. Συνεπώς, ο κανονισμός (ΕΚ) αριθ. 1107/2009 θα πρέπει να τροποποιηθεί αναλόγως.</w:t>
            </w:r>
          </w:p>
        </w:tc>
      </w:tr>
      <w:tr w:rsidR="00E451E4" w:rsidRPr="00B0345A" w:rsidTr="000A61DD">
        <w:trPr>
          <w:jc w:val="center"/>
        </w:trPr>
        <w:tc>
          <w:tcPr>
            <w:tcW w:w="4876" w:type="dxa"/>
          </w:tcPr>
          <w:p w:rsidR="00E451E4" w:rsidRPr="00AC4460" w:rsidRDefault="00E451E4" w:rsidP="000A61DD">
            <w:pPr>
              <w:pStyle w:val="Normal6"/>
            </w:pPr>
            <w:r w:rsidRPr="00AC4460">
              <w:t>_________________</w:t>
            </w:r>
          </w:p>
        </w:tc>
        <w:tc>
          <w:tcPr>
            <w:tcW w:w="4876" w:type="dxa"/>
          </w:tcPr>
          <w:p w:rsidR="00E451E4" w:rsidRPr="00AC4460" w:rsidRDefault="00E451E4" w:rsidP="000A61DD">
            <w:pPr>
              <w:pStyle w:val="Normal6"/>
            </w:pPr>
            <w:r w:rsidRPr="00AC4460">
              <w:t>_________________</w:t>
            </w:r>
          </w:p>
        </w:tc>
      </w:tr>
      <w:tr w:rsidR="00E451E4" w:rsidRPr="00E451E4" w:rsidTr="000A61DD">
        <w:trPr>
          <w:jc w:val="center"/>
        </w:trPr>
        <w:tc>
          <w:tcPr>
            <w:tcW w:w="4876" w:type="dxa"/>
          </w:tcPr>
          <w:p w:rsidR="00E451E4" w:rsidRPr="00AC4460" w:rsidRDefault="00E451E4" w:rsidP="000A61DD">
            <w:pPr>
              <w:pStyle w:val="Normal6"/>
            </w:pPr>
            <w:r w:rsidRPr="00AC4460">
              <w:rPr>
                <w:vertAlign w:val="superscript"/>
              </w:rPr>
              <w:t>21</w:t>
            </w:r>
            <w:r w:rsidRPr="00AC4460">
              <w:t xml:space="preserve">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tc>
        <w:tc>
          <w:tcPr>
            <w:tcW w:w="4876" w:type="dxa"/>
          </w:tcPr>
          <w:p w:rsidR="00E451E4" w:rsidRPr="00AC4460" w:rsidRDefault="00E451E4" w:rsidP="000A61DD">
            <w:pPr>
              <w:pStyle w:val="Normal6"/>
            </w:pPr>
            <w:r w:rsidRPr="000A61DD">
              <w:rPr>
                <w:vertAlign w:val="superscript"/>
              </w:rPr>
              <w:t>21</w:t>
            </w:r>
            <w:r w:rsidRPr="00AC4460">
              <w:t xml:space="preserve">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tc>
      </w:tr>
    </w:tbl>
    <w:p w:rsidR="00E451E4" w:rsidRPr="00E451E4" w:rsidRDefault="00E451E4" w:rsidP="00E451E4">
      <w:r>
        <w:rPr>
          <w:rStyle w:val="HideTWBExt"/>
          <w:noProof w:val="0"/>
          <w:lang w:val="en-GB"/>
        </w:rPr>
        <w:t>&lt;/Amend&gt;</w:t>
      </w:r>
    </w:p>
    <w:p w:rsidR="00E451E4" w:rsidRPr="00E451E4" w:rsidRDefault="00E451E4" w:rsidP="00E451E4">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19</w:t>
      </w:r>
      <w:r>
        <w:rPr>
          <w:rStyle w:val="HideTWBExt"/>
          <w:b w:val="0"/>
          <w:noProof w:val="0"/>
          <w:lang w:val="en-GB"/>
        </w:rPr>
        <w:t>&lt;/NumAm&gt;</w:t>
      </w:r>
    </w:p>
    <w:p w:rsidR="00E451E4" w:rsidRPr="00E451E4" w:rsidRDefault="00E451E4" w:rsidP="00E451E4">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15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(15α)</w:t>
            </w:r>
            <w:r w:rsidRPr="00AC4460">
              <w:rPr>
                <w:b/>
                <w:i/>
              </w:rPr>
              <w:tab/>
              <w:t>Για τους μικροοργανισμούς, οι κατηγορίες συστατικών υλικών θα πρέπει να διευρύνονται ή να προστίθενται προκειμένου να διασφαλιστεί και να ενισχυθεί το δυναμικό καινοτομίας όσον αφορά την ανάπτυξη και την ανακάλυψη νέων προϊόντων μικροβιακών φυτικών βιοδιεγερτών. Προκειμένου να τονωθεί η καινοτομία και να δημιουργηθεί ασφάλεια δικαίου για τους παραγωγούς όσον αφορά τις απαιτήσεις που πρέπει να πληρούνται για την χρήση νέων μικροοργανισμών ως συστατικών υλικών για τα προϊόντα λίπανσης με σήμανση CE, πρέπει να προσδιοριστούν με σαφήνεια εναρμονισμένες μέθοδοι για την αξιολόγηση της ασφάλειας των μικροοργανισμών. Οι προπαρασκευαστικές εργασίες για τον καθορισμό αυτών των μεθόδων αξιολόγησης της ασφάλειας θα πρέπει να ξεκινήσουν αμέσως μετά την έναρξη ισχύος του παρόντος κανονισμού. Θα πρέπει να εξουσιοδοτηθεί η Επιτροπή να εκδίδει κατ’ εξουσιοδότηση πράξεις σύμφωνα με το άρθρο 290 της Συνθήκης για τον καθορισμό, χωρίς περιττές καθυστερήσεις, των απαιτήσεων με τις οποίες θα πρέπει να συμμορφώνονται οι παραγωγοί όταν καταδεικνύουν την ασφάλεια των νέων μικροοργανισμών για τη χρήση τους στα προϊόντα λίπανσης με σήμανση CE.</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16</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(16)</w:t>
            </w:r>
            <w:r w:rsidRPr="00AC4460">
              <w:tab/>
              <w:t>Προϊόντα με μία ή περισσότερες λειτουργίες, μία από τις οποίες εμπίπτει στο πεδίο εφαρμογής του κανονισμού (ΕΚ) αριθ. 1107/2009, θα πρέπει να παραμένουν υπό καθεστώς ελέγχου ειδικά σχεδιασμένου για τέτοια προϊόντα όπως προβλέπεται από τον εν λόγω κανονισμό. Όταν ένα τέτοιο προϊόν λειτουργεί επιπλέον και ως προϊόν λίπανσης, θα ήταν παραπλανητικό να προβλέπεται η σήμανση CE του προϊόντος σύμφωνα με τον παρόντα κανονισμό, αφού η διάθεση ενός φυτοπροστατευτικού προϊόντος στην αγορά εξαρτάται από την ύπαρξη έγκυρης άδειας για το προϊόν στο εκάστοτε κράτος μέλος. Συνεπώς, τέτοια προϊόντα θα πρέπει να εξαιρούνται από το πεδίο εφαρμογής του παρόντος κανονισμού.</w:t>
            </w:r>
          </w:p>
        </w:tc>
        <w:tc>
          <w:tcPr>
            <w:tcW w:w="4876" w:type="dxa"/>
          </w:tcPr>
          <w:p w:rsidR="00E451E4" w:rsidRPr="00AC4460" w:rsidRDefault="00E451E4" w:rsidP="000A61DD">
            <w:pPr>
              <w:pStyle w:val="Normal6"/>
              <w:rPr>
                <w:szCs w:val="24"/>
              </w:rPr>
            </w:pPr>
            <w:r w:rsidRPr="00AC4460">
              <w:t>(16)</w:t>
            </w:r>
            <w:r w:rsidRPr="00AC4460">
              <w:tab/>
              <w:t xml:space="preserve">Προϊόντα με μία ή περισσότερες λειτουργίες, μία από τις οποίες εμπίπτει στο πεδίο εφαρμογής του κανονισμού (ΕΚ) αριθ. 1107/2009, </w:t>
            </w:r>
            <w:r w:rsidRPr="00AC4460">
              <w:rPr>
                <w:b/>
                <w:i/>
              </w:rPr>
              <w:t>αποτελούν φυτοπροστατευτικά προϊόντα που εμπίπτουν στο πεδίο εφαρμογής του εν λόγω κανονισμού.</w:t>
            </w:r>
            <w:r w:rsidRPr="00AC4460">
              <w:t xml:space="preserve"> </w:t>
            </w:r>
            <w:r w:rsidRPr="00AC4460">
              <w:rPr>
                <w:b/>
                <w:i/>
              </w:rPr>
              <w:t xml:space="preserve">Τα προϊόντα αυτά </w:t>
            </w:r>
            <w:r w:rsidRPr="00AC4460">
              <w:t>θα πρέπει να παραμένουν υπό καθεστώς ελέγχου ειδικά σχεδιασμένου για τέτοια προϊόντα όπως προβλέπεται από τον εν λόγω κανονισμό. Όταν ένα τέτοιο προϊόν λειτουργεί</w:t>
            </w:r>
            <w:r w:rsidRPr="00AC4460">
              <w:rPr>
                <w:b/>
                <w:i/>
              </w:rPr>
              <w:t xml:space="preserve"> ή δραστηριότητα</w:t>
            </w:r>
            <w:r w:rsidRPr="00AC4460">
              <w:t xml:space="preserve"> επιπλέον και ως προϊόν λίπανσης, θα ήταν παραπλανητικό να προβλέπεται η σήμανση CE του προϊόντος σύμφωνα με τον παρόντα κανονισμό, αφού η διάθεση ενός φυτοπροστατευτικού προϊόντος στην αγορά εξαρτάται από την ύπαρξη έγκυρης άδειας για το προϊόν στο εκάστοτε κράτος μέλος. Συνεπώς, τέτοια προϊόντα θα πρέπει να εξαιρούνται από το πεδίο εφαρμογής του παρόντος κανονισμού.</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17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(17)</w:t>
            </w:r>
            <w:r w:rsidRPr="00AC4460">
              <w:tab/>
            </w:r>
            <w:r w:rsidRPr="00AC4460">
              <w:rPr>
                <w:b/>
                <w:i/>
              </w:rPr>
              <w:t>Ο</w:t>
            </w:r>
            <w:r w:rsidRPr="00AC4460">
              <w:t xml:space="preserve"> παρών κανονισμός δεν θα πρέπει να εμποδίζει την εφαρμογή της υφιστάμενης ενωσιακής νομοθεσίας σχετικά με πτυχές της προστασίας της υγείας, της ασφάλειας και του περιβάλλοντος που δεν καλύπτονται από τον παρόντα κανονισμό. Ως εκ τούτου, ο παρών κανονισμός θα πρέπει να ισχύει με την επιφύλαξη της οδηγίας 86/278/ΕΟΚ του Συμβουλίου</w:t>
            </w:r>
            <w:r w:rsidRPr="00AC4460">
              <w:rPr>
                <w:vertAlign w:val="superscript"/>
              </w:rPr>
              <w:t>22</w:t>
            </w:r>
            <w:r w:rsidRPr="00AC4460">
              <w:t>, της οδηγίας 89/391/ΕΟΚ του Συμβουλίου</w:t>
            </w:r>
            <w:r w:rsidRPr="00AC4460">
              <w:rPr>
                <w:vertAlign w:val="superscript"/>
              </w:rPr>
              <w:t>23</w:t>
            </w:r>
            <w:r w:rsidRPr="00AC4460">
              <w:t>, του κανονισμού (ΕΚ) αριθ. 1907/2006 του Ευρωπαϊκού Κοινοβουλίου και του Συμβουλίου</w:t>
            </w:r>
            <w:r w:rsidRPr="00AC4460">
              <w:rPr>
                <w:vertAlign w:val="superscript"/>
              </w:rPr>
              <w:t>24</w:t>
            </w:r>
            <w:r w:rsidRPr="00AC4460">
              <w:t>, του κανονισμού (ΕΚ) αριθ. 1272/2008 του Ευρωπαϊκού Κοινοβουλίου και του Συμβουλίου</w:t>
            </w:r>
            <w:r w:rsidRPr="00AC4460">
              <w:rPr>
                <w:vertAlign w:val="superscript"/>
              </w:rPr>
              <w:t>25</w:t>
            </w:r>
            <w:r w:rsidRPr="00AC4460">
              <w:t>, του κανονισμού (ΕΚ) αριθ. 1881/2006 της Επιτροπής</w:t>
            </w:r>
            <w:r w:rsidRPr="00AC4460">
              <w:rPr>
                <w:vertAlign w:val="superscript"/>
              </w:rPr>
              <w:t>26</w:t>
            </w:r>
            <w:r w:rsidRPr="00AC4460">
              <w:t>, της οδηγίας 2000/29/ΕΚ του Συμβουλίου</w:t>
            </w:r>
            <w:r w:rsidRPr="00AC4460">
              <w:rPr>
                <w:vertAlign w:val="superscript"/>
              </w:rPr>
              <w:t>27</w:t>
            </w:r>
            <w:r w:rsidRPr="00AC4460">
              <w:t>, του κανονισμού (ΕΚ) αριθ. 98/2013 του Ευρωπαϊκού Κοινοβουλίου και του Συμβουλίου</w:t>
            </w:r>
            <w:r w:rsidRPr="00AC4460">
              <w:rPr>
                <w:vertAlign w:val="superscript"/>
              </w:rPr>
              <w:t>28</w:t>
            </w:r>
            <w:r w:rsidRPr="00AC4460">
              <w:t xml:space="preserve"> </w:t>
            </w:r>
            <w:r w:rsidRPr="00AC4460">
              <w:rPr>
                <w:b/>
                <w:i/>
              </w:rPr>
              <w:t>και</w:t>
            </w:r>
            <w:r w:rsidRPr="00AC4460">
              <w:t xml:space="preserve"> του κανονισμού (ΕΕ) αριθ. 1143/2014 του Ευρωπαϊκού Κοινοβουλίου και του Συμβουλίου</w:t>
            </w:r>
            <w:r w:rsidRPr="00AC4460">
              <w:rPr>
                <w:vertAlign w:val="superscript"/>
              </w:rPr>
              <w:t>29</w:t>
            </w:r>
            <w:r w:rsidRPr="00AC4460">
              <w:rPr>
                <w:b/>
                <w:i/>
              </w:rPr>
              <w:t>.</w:t>
            </w:r>
          </w:p>
        </w:tc>
        <w:tc>
          <w:tcPr>
            <w:tcW w:w="4876" w:type="dxa"/>
          </w:tcPr>
          <w:p w:rsidR="00E451E4" w:rsidRPr="00AC4460" w:rsidRDefault="00E451E4" w:rsidP="000A61DD">
            <w:pPr>
              <w:pStyle w:val="Normal6"/>
              <w:rPr>
                <w:szCs w:val="24"/>
              </w:rPr>
            </w:pPr>
            <w:r w:rsidRPr="00AC4460">
              <w:t>(17)</w:t>
            </w:r>
            <w:r w:rsidRPr="00AC4460">
              <w:tab/>
            </w:r>
            <w:r w:rsidRPr="00AC4460">
              <w:rPr>
                <w:b/>
                <w:i/>
              </w:rPr>
              <w:t>Ανεξάρτητα από τον τύπο του προϊόντος θρέψης φυτών με σήμανση CE, ο</w:t>
            </w:r>
            <w:r w:rsidRPr="00AC4460">
              <w:t xml:space="preserve"> παρών κανονισμός δεν θα πρέπει να εμποδίζει την εφαρμογή της υφιστάμενης ενωσιακής νομοθεσίας σχετικά με πτυχές της προστασίας της υγείας, της ασφάλειας και του περιβάλλοντος που δεν καλύπτονται από τον παρόντα κανονισμό. Ως εκ τούτου, ο παρών κανονισμός θα πρέπει να ισχύει με την επιφύλαξη της οδηγίας 86/278/ΕΟΚ του Συμβουλίου</w:t>
            </w:r>
            <w:r w:rsidRPr="00AC4460">
              <w:rPr>
                <w:vertAlign w:val="superscript"/>
              </w:rPr>
              <w:t>22</w:t>
            </w:r>
            <w:r w:rsidRPr="00AC4460">
              <w:t>, της οδηγίας 89/391/ΕΟΚ του Συμβουλίου</w:t>
            </w:r>
            <w:r w:rsidRPr="00AC4460">
              <w:rPr>
                <w:vertAlign w:val="superscript"/>
              </w:rPr>
              <w:t>23</w:t>
            </w:r>
            <w:r w:rsidRPr="00AC4460">
              <w:t>, του κανονισμού (ΕΚ) αριθ. 1907/2006 του Ευρωπαϊκού Κοινοβουλίου και του Συμβουλίου</w:t>
            </w:r>
            <w:r w:rsidRPr="00AC4460">
              <w:rPr>
                <w:vertAlign w:val="superscript"/>
              </w:rPr>
              <w:t>24</w:t>
            </w:r>
            <w:r w:rsidRPr="00AC4460">
              <w:t>, του κανονισμού (ΕΚ) αριθ. 1272/2008 του Ευρωπαϊκού Κοινοβουλίου και του Συμβουλίου</w:t>
            </w:r>
            <w:r w:rsidRPr="00AC4460">
              <w:rPr>
                <w:vertAlign w:val="superscript"/>
              </w:rPr>
              <w:t>25</w:t>
            </w:r>
            <w:r w:rsidRPr="00AC4460">
              <w:t>, του κανονισμού (ΕΚ) αριθ. 1881/2006 της Επιτροπής</w:t>
            </w:r>
            <w:r w:rsidRPr="00AC4460">
              <w:rPr>
                <w:vertAlign w:val="superscript"/>
              </w:rPr>
              <w:t>26</w:t>
            </w:r>
            <w:r w:rsidRPr="00AC4460">
              <w:t>, της οδηγίας 2000/29/ΕΚ του Συμβουλίου</w:t>
            </w:r>
            <w:r w:rsidRPr="00AC4460">
              <w:rPr>
                <w:vertAlign w:val="superscript"/>
              </w:rPr>
              <w:t>27</w:t>
            </w:r>
            <w:r w:rsidRPr="00AC4460">
              <w:t>, του κανονισμού (ΕΚ) αριθ. 98/2013 του Ευρωπαϊκού Κοινοβουλίου και του Συμβουλίου</w:t>
            </w:r>
            <w:r w:rsidRPr="00AC4460">
              <w:rPr>
                <w:vertAlign w:val="superscript"/>
              </w:rPr>
              <w:t>28</w:t>
            </w:r>
            <w:r w:rsidRPr="00AC4460">
              <w:rPr>
                <w:b/>
                <w:i/>
              </w:rPr>
              <w:t>,</w:t>
            </w:r>
            <w:r w:rsidRPr="00AC4460">
              <w:t xml:space="preserve"> του κανονισμού (ΕΕ) αριθ. 1143/2014 του Ευρωπαϊκού Κοινοβουλίου και του Συμβουλίου</w:t>
            </w:r>
            <w:r w:rsidRPr="00AC4460">
              <w:rPr>
                <w:vertAlign w:val="superscript"/>
              </w:rPr>
              <w:t>29</w:t>
            </w:r>
            <w:r w:rsidRPr="00AC4460">
              <w:rPr>
                <w:b/>
                <w:i/>
              </w:rPr>
              <w:t xml:space="preserve"> της οδηγίας 91/676/ΕΟΚ του Συμβουλίου</w:t>
            </w:r>
            <w:r w:rsidRPr="00AC4460">
              <w:rPr>
                <w:b/>
                <w:i/>
                <w:vertAlign w:val="superscript"/>
              </w:rPr>
              <w:t>29α</w:t>
            </w:r>
            <w:r w:rsidRPr="00AC4460">
              <w:rPr>
                <w:b/>
                <w:i/>
              </w:rPr>
              <w:t>, και της οδηγίας 2000/60/ΕΚ</w:t>
            </w:r>
            <w:r w:rsidRPr="00AC4460">
              <w:rPr>
                <w:b/>
                <w:i/>
                <w:vertAlign w:val="superscript"/>
              </w:rPr>
              <w:t>29β</w:t>
            </w:r>
            <w:r w:rsidR="000A61DD" w:rsidRPr="00AC4460">
              <w:rPr>
                <w:b/>
                <w:i/>
              </w:rPr>
              <w:t>.</w:t>
            </w:r>
          </w:p>
        </w:tc>
      </w:tr>
      <w:tr w:rsidR="00E451E4" w:rsidRPr="00B0345A" w:rsidTr="000A61DD">
        <w:trPr>
          <w:jc w:val="center"/>
        </w:trPr>
        <w:tc>
          <w:tcPr>
            <w:tcW w:w="4876" w:type="dxa"/>
          </w:tcPr>
          <w:p w:rsidR="00E451E4" w:rsidRPr="00AC4460" w:rsidRDefault="00E451E4" w:rsidP="000A61DD">
            <w:pPr>
              <w:pStyle w:val="Normal6"/>
            </w:pPr>
            <w:r w:rsidRPr="00AC4460">
              <w:t>_________________</w:t>
            </w:r>
          </w:p>
        </w:tc>
        <w:tc>
          <w:tcPr>
            <w:tcW w:w="4876" w:type="dxa"/>
          </w:tcPr>
          <w:p w:rsidR="00E451E4" w:rsidRPr="00AC4460" w:rsidRDefault="00E451E4" w:rsidP="000A61DD">
            <w:pPr>
              <w:pStyle w:val="Normal6"/>
            </w:pPr>
            <w:r w:rsidRPr="00AC4460">
              <w:t>_________________</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22</w:t>
            </w:r>
            <w:r w:rsidRPr="00AC4460">
              <w:t xml:space="preserve"> 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 (ΕΕ L 181 της 4.7.1986, σ. 6).</w:t>
            </w:r>
          </w:p>
        </w:tc>
        <w:tc>
          <w:tcPr>
            <w:tcW w:w="4876" w:type="dxa"/>
          </w:tcPr>
          <w:p w:rsidR="00E451E4" w:rsidRPr="00AC4460" w:rsidRDefault="00E451E4" w:rsidP="000A61DD">
            <w:pPr>
              <w:pStyle w:val="Normal6"/>
            </w:pPr>
            <w:r w:rsidRPr="00AC4460">
              <w:rPr>
                <w:vertAlign w:val="superscript"/>
              </w:rPr>
              <w:t>22</w:t>
            </w:r>
            <w:r w:rsidRPr="00AC4460">
              <w:t xml:space="preserve"> 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 (ΕΕ L 181 της 4.7.1986, σ. 6).</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23</w:t>
            </w:r>
            <w:r w:rsidRPr="00AC4460">
              <w:t xml:space="preserve"> 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w:t>
            </w:r>
          </w:p>
        </w:tc>
        <w:tc>
          <w:tcPr>
            <w:tcW w:w="4876" w:type="dxa"/>
          </w:tcPr>
          <w:p w:rsidR="00E451E4" w:rsidRPr="00AC4460" w:rsidRDefault="00E451E4" w:rsidP="000A61DD">
            <w:pPr>
              <w:pStyle w:val="Normal6"/>
            </w:pPr>
            <w:r w:rsidRPr="00AC4460">
              <w:rPr>
                <w:vertAlign w:val="superscript"/>
              </w:rPr>
              <w:t>23</w:t>
            </w:r>
            <w:r w:rsidRPr="00AC4460">
              <w:t xml:space="preserve"> 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24</w:t>
            </w:r>
            <w:r w:rsidRPr="00AC4460">
              <w:t xml:space="preserve">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w:t>
            </w:r>
          </w:p>
        </w:tc>
        <w:tc>
          <w:tcPr>
            <w:tcW w:w="4876" w:type="dxa"/>
          </w:tcPr>
          <w:p w:rsidR="00E451E4" w:rsidRPr="00AC4460" w:rsidRDefault="00E451E4" w:rsidP="000A61DD">
            <w:pPr>
              <w:pStyle w:val="Normal6"/>
            </w:pPr>
            <w:r w:rsidRPr="00AC4460">
              <w:rPr>
                <w:vertAlign w:val="superscript"/>
              </w:rPr>
              <w:t>24</w:t>
            </w:r>
            <w:r w:rsidRPr="00AC4460">
              <w:t xml:space="preserve">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25</w:t>
            </w:r>
            <w:r w:rsidRPr="00AC4460">
              <w:t xml:space="preserve"> 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tc>
        <w:tc>
          <w:tcPr>
            <w:tcW w:w="4876" w:type="dxa"/>
          </w:tcPr>
          <w:p w:rsidR="00E451E4" w:rsidRPr="00AC4460" w:rsidRDefault="00E451E4" w:rsidP="000A61DD">
            <w:pPr>
              <w:pStyle w:val="Normal6"/>
            </w:pPr>
            <w:r w:rsidRPr="00AC4460">
              <w:rPr>
                <w:vertAlign w:val="superscript"/>
              </w:rPr>
              <w:t>25</w:t>
            </w:r>
            <w:r w:rsidRPr="00AC4460">
              <w:t xml:space="preserve"> 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26</w:t>
            </w:r>
            <w:r w:rsidRPr="00AC4460">
              <w:t xml:space="preserve">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 (ΕΕ L 364 της 20.12.2006, σ. 5).</w:t>
            </w:r>
          </w:p>
        </w:tc>
        <w:tc>
          <w:tcPr>
            <w:tcW w:w="4876" w:type="dxa"/>
          </w:tcPr>
          <w:p w:rsidR="00E451E4" w:rsidRPr="00AC4460" w:rsidRDefault="00E451E4" w:rsidP="000A61DD">
            <w:pPr>
              <w:pStyle w:val="Normal6"/>
            </w:pPr>
            <w:r w:rsidRPr="00AC4460">
              <w:rPr>
                <w:vertAlign w:val="superscript"/>
              </w:rPr>
              <w:t>26</w:t>
            </w:r>
            <w:r w:rsidRPr="00AC4460">
              <w:t xml:space="preserve">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 (ΕΕ L 364 της 20.12.2006, σ. 5).</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27</w:t>
            </w:r>
            <w:r w:rsidRPr="00AC4460">
              <w:t xml:space="preserve"> Οδηγία 2000/29/ΕΚ του Συμβουλίου, της 8ης Μαΐου 2000, περί των μέτρων προστασίας κατά της εισαγωγής στην Κοινότητα οργανισμών επιβλαβών για τα φυτά ή τα φυτικά προϊόντα και κατά της εξάπλωσής τους στο εσωτερικό της Κοινότητας (ΕΕ L 169 της 10.7.2000, σ. 1).</w:t>
            </w:r>
          </w:p>
        </w:tc>
        <w:tc>
          <w:tcPr>
            <w:tcW w:w="4876" w:type="dxa"/>
          </w:tcPr>
          <w:p w:rsidR="00E451E4" w:rsidRPr="00AC4460" w:rsidRDefault="00E451E4" w:rsidP="000A61DD">
            <w:pPr>
              <w:pStyle w:val="Normal6"/>
            </w:pPr>
            <w:r w:rsidRPr="00AC4460">
              <w:rPr>
                <w:vertAlign w:val="superscript"/>
              </w:rPr>
              <w:t>27</w:t>
            </w:r>
            <w:r w:rsidRPr="00AC4460">
              <w:t xml:space="preserve"> Οδηγία 2000/29/ΕΚ του Συμβουλίου, της 8ης Μαΐου 2000, περί των μέτρων προστασίας κατά της εισαγωγής στην Κοινότητα οργανισμών επιβλαβών για τα φυτά ή τα φυτικά προϊόντα και κατά της εξάπλωσής τους στο εσωτερικό της Κοινότητας (ΕΕ L 169 της 10.7.2000, σ. 1).</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28</w:t>
            </w:r>
            <w:r w:rsidRPr="00AC4460">
              <w:t xml:space="preserve"> Κανονισμός (ΕΕ) αριθ. 98/2013 του Ευρωπαϊκού Κοινοβουλίου και του Συμβουλίου, της 15ης Ιανουαρίου 2013, σχετικά με την κυκλοφορία στην αγορά και τη χρήση πρόδρομων ουσιών εκρηκτικών υλών (ΕΕ L 39 της 9.2.2013, σ. 1).</w:t>
            </w:r>
          </w:p>
        </w:tc>
        <w:tc>
          <w:tcPr>
            <w:tcW w:w="4876" w:type="dxa"/>
          </w:tcPr>
          <w:p w:rsidR="00E451E4" w:rsidRPr="00AC4460" w:rsidRDefault="00E451E4" w:rsidP="000A61DD">
            <w:pPr>
              <w:pStyle w:val="Normal6"/>
            </w:pPr>
            <w:r w:rsidRPr="00AC4460">
              <w:rPr>
                <w:vertAlign w:val="superscript"/>
              </w:rPr>
              <w:t>28</w:t>
            </w:r>
            <w:r w:rsidRPr="00AC4460">
              <w:t xml:space="preserve"> Κανονισμός (ΕΕ) αριθ. 98/2013 του Ευρωπαϊκού Κοινοβουλίου και του Συμβουλίου, της 15ης Ιανουαρίου 2013, σχετικά με την κυκλοφορία στην αγορά και τη χρήση πρόδρομων ουσιών εκρηκτικών υλών (ΕΕ L 39 της 9.2.2013, σ. 1).</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29</w:t>
            </w:r>
            <w:r w:rsidRPr="00AC4460">
              <w:t xml:space="preserve">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tc>
        <w:tc>
          <w:tcPr>
            <w:tcW w:w="4876" w:type="dxa"/>
          </w:tcPr>
          <w:p w:rsidR="00E451E4" w:rsidRPr="00AC4460" w:rsidRDefault="00E451E4" w:rsidP="000A61DD">
            <w:pPr>
              <w:pStyle w:val="Normal6"/>
            </w:pPr>
            <w:r w:rsidRPr="00AC4460">
              <w:rPr>
                <w:vertAlign w:val="superscript"/>
              </w:rPr>
              <w:t>29</w:t>
            </w:r>
            <w:r w:rsidRPr="00AC4460">
              <w:t xml:space="preserve">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rStyle w:val="SupBoldItalic"/>
                <w:color w:val="auto"/>
              </w:rPr>
              <w:t>29a</w:t>
            </w:r>
            <w:r w:rsidRPr="00AC4460">
              <w:t xml:space="preserve"> </w:t>
            </w:r>
            <w:r w:rsidRPr="00AC4460">
              <w:rPr>
                <w:b/>
                <w:i/>
              </w:rPr>
              <w:t>Οδηγία 91/676/ΕΟΚ του Συμβουλίου, της 12ης Δεκεμβρίου 1991, για την προστασία των υδάτων από τη νιτρορύπανση γεωργικής προέλευσης (ΕΕ L 375 της 31.12.1991, σ. 1).</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vertAlign w:val="superscript"/>
              </w:rPr>
              <w:t>29β</w:t>
            </w:r>
            <w:r w:rsidRPr="00AC4460">
              <w:rPr>
                <w:b/>
                <w:i/>
              </w:rPr>
              <w:t xml:space="preserve"> Οδηγία 2000/60/ΕΚ του Ευρωπαϊκού Κοινοβουλίου και του Συμβουλίου της 23ης Οκτωβρίου 2000 για τη θέσπιση πλαισίου κοινοτικής δράσης στον τομέα της πολιτικής των υδάτων (ΕΕ L 327 της 22.12.2000, σ. 1).</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Αιτιολογική σκέψη 17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(17α)</w:t>
            </w:r>
            <w:r w:rsidRPr="00AC4460">
              <w:tab/>
            </w:r>
            <w:r w:rsidRPr="00AC4460">
              <w:rPr>
                <w:b/>
                <w:i/>
              </w:rPr>
              <w:t>Θα πρέπει να εξασφαλιστεί η ιχνηλασιμότητα προϊόντων ευάλωτων σε οργανικές προσμείξεις από συγκεκριμένες δυνητικές προβληματικές πηγές (ή που θεωρούνται τέτοιες), έως και την πηγή της οργανικής ύλης. Αυτό είναι αναγκαίο για την εξασφάλιση της εμπιστοσύνης των καταναλωτών και για τον περιορισμό των βλαβών, σε περίπτωση τοπικής μόλυνσης. Με τον τρόπο αυτό είναι εφικτός ο εντοπισμός των επιχειρήσεων που χρησιμοποιούν λιπάσματα που περιέχουν οργανικά υλικά εκροής από αυτές τις πηγές. Αυτό θα πρέπει να είναι υποχρεωτικό για τα προϊόντα, τα οποία περιέχουν υλικά από απόβλητα ή υποπροϊόντα που δεν έχουν υποβληθεί σε καμία διαδικασία για την καταστροφή οργανικών επιμείξεων, παθογόνων οργανισμών και γενετικού υλικού. Στόχος είναι όχι μόνον ο περιορισμός των κινδύνων για την υγεία και το περιβάλλον, αλλά και η ενημέρωση της κοινής γνώμης και η ευαισθητοποίηση των γεωργών σχετικά με τους παθογόνους οργανισμούς, τις οργανικές προσμείξεις και το γενετικό υλικό. Για την προστασία των ιδιοκτητών του εδάφους από προσμείξεις για τις οποίες δεν ευθύνονται οι ίδιοι, τα κράτη μέλη καλούνται να θεσπίσουν κατάλληλες ρυθμίσεις όσον αφορά την ευθύνη.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Αιτιολογική σκέψη 17 β (νέα)</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(17β)</w:t>
            </w:r>
            <w:r w:rsidRPr="00AC4460">
              <w:tab/>
            </w:r>
            <w:r w:rsidRPr="00AC4460">
              <w:rPr>
                <w:b/>
                <w:i/>
              </w:rPr>
              <w:t>Τα μη επεξεργασμένα υπολείμματα της ζωικής παραγωγής δεν θα πρέπει να υπάγονται στον κανονισμό.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Αιτιολογική σκέψη 19 α (νέα)</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A61DD">
        <w:trPr>
          <w:jc w:val="center"/>
        </w:trPr>
        <w:tc>
          <w:tcPr>
            <w:tcW w:w="9750" w:type="dxa"/>
            <w:gridSpan w:val="2"/>
          </w:tcPr>
          <w:p w:rsidR="00E451E4" w:rsidRPr="00B0345A" w:rsidRDefault="00E451E4" w:rsidP="000A61DD">
            <w:pPr>
              <w:keepNext/>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rPr>
                <w:lang w:eastAsia="en-US"/>
              </w:rPr>
            </w:pPr>
          </w:p>
        </w:tc>
        <w:tc>
          <w:tcPr>
            <w:tcW w:w="4875" w:type="dxa"/>
            <w:hideMark/>
          </w:tcPr>
          <w:p w:rsidR="00E451E4" w:rsidRPr="00AC4460" w:rsidRDefault="00E451E4" w:rsidP="000A61DD">
            <w:pPr>
              <w:pStyle w:val="Normal6"/>
              <w:rPr>
                <w:b/>
                <w:i/>
                <w:szCs w:val="24"/>
              </w:rPr>
            </w:pPr>
            <w:r w:rsidRPr="00AC4460">
              <w:rPr>
                <w:b/>
                <w:bCs/>
                <w:i/>
                <w:iCs/>
              </w:rPr>
              <w:t>(19α)</w:t>
            </w:r>
            <w:r w:rsidRPr="00AC4460">
              <w:tab/>
            </w:r>
            <w:r w:rsidRPr="00AC4460">
              <w:rPr>
                <w:b/>
                <w:i/>
                <w:szCs w:val="24"/>
              </w:rPr>
              <w:t xml:space="preserve">Σύμφωνα με την κυκλική οικονομία, ορισμένα υποπροϊόντα ή παραπροϊόντα που προέρχονται από ειδικές βιομηχανικές διεργασίες χρησιμοποιούνται ήδη από τους παρασκευαστές ως συστατικά προϊόντων λίπανσης με σήμανση CE. Οι απαιτήσεις σχετικά με τις κατηγορίες συστατικών υλικών θα πρέπει να ορίζονται στο παράρτημα ΙΙ. </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20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(20)</w:t>
            </w:r>
            <w:r w:rsidRPr="00AC4460">
              <w:tab/>
            </w:r>
            <w:r w:rsidRPr="00AC4460">
              <w:rPr>
                <w:b/>
                <w:i/>
              </w:rPr>
              <w:t>Ένα μείγμα διάφορων</w:t>
            </w:r>
            <w:r w:rsidRPr="00AC4460">
              <w:t xml:space="preserve"> προϊόντων </w:t>
            </w:r>
            <w:r w:rsidRPr="00AC4460">
              <w:rPr>
                <w:b/>
                <w:i/>
              </w:rPr>
              <w:t>λίπανσης με σήμανση CE</w:t>
            </w:r>
            <w:r w:rsidRPr="00AC4460">
              <w:t xml:space="preserve">, καθένα από τα οποία έχει υποβληθεί σε επιτυχή αξιολόγηση της συμμόρφωσης προς τις ισχύουσες απαιτήσεις για το συγκεκριμένο υλικό, αναμένεται να είναι κατάλληλο για χρήση ως προϊόν λίπανσης με σήμανση CE, μόνο με την επιφύλαξη ορισμένων πρόσθετων απαιτήσεων που επιβάλλονται από τη δραστηριότητα ανάμειξης. Ως εκ τούτου, προκειμένου να αποφευχθεί η άσκοπη διοικητική επιβάρυνση, </w:t>
            </w:r>
            <w:r w:rsidRPr="00AC4460">
              <w:rPr>
                <w:b/>
                <w:i/>
              </w:rPr>
              <w:t>τέτοια μείγματα</w:t>
            </w:r>
            <w:r w:rsidRPr="00AC4460">
              <w:t xml:space="preserve"> θα πρέπει να κατατάσσονται σε χωριστή κατηγορία, η αξιολόγηση συμμόρφωσης της οποίας θα πρέπει να περιορίζεται στις πρόσθετες απαιτήσεις που επιβάλλονται από τη δραστηριότητα ανάμειξης.</w:t>
            </w:r>
          </w:p>
        </w:tc>
        <w:tc>
          <w:tcPr>
            <w:tcW w:w="4876" w:type="dxa"/>
          </w:tcPr>
          <w:p w:rsidR="00E451E4" w:rsidRPr="00AC4460" w:rsidRDefault="00E451E4" w:rsidP="000A61DD">
            <w:pPr>
              <w:pStyle w:val="Normal6"/>
              <w:rPr>
                <w:szCs w:val="24"/>
              </w:rPr>
            </w:pPr>
            <w:r w:rsidRPr="00AC4460">
              <w:t>(20)</w:t>
            </w:r>
            <w:r w:rsidRPr="00AC4460">
              <w:tab/>
            </w:r>
            <w:r w:rsidRPr="00AC4460">
              <w:rPr>
                <w:b/>
                <w:i/>
              </w:rPr>
              <w:t>Ένας συνδυασμός</w:t>
            </w:r>
            <w:r w:rsidRPr="00AC4460">
              <w:t xml:space="preserve"> προϊόντων </w:t>
            </w:r>
            <w:r w:rsidRPr="00AC4460">
              <w:rPr>
                <w:b/>
                <w:i/>
              </w:rPr>
              <w:t>από διαφορετικές κατηγορίες λειτουργίας προϊόντος</w:t>
            </w:r>
            <w:r w:rsidRPr="00AC4460">
              <w:t xml:space="preserve">, καθένα από τα οποία έχει υποβληθεί σε επιτυχή αξιολόγηση της συμμόρφωσης προς τις ισχύουσες απαιτήσεις για το συγκεκριμένο υλικό, αναμένεται να είναι κατάλληλο για χρήση ως προϊόν λίπανσης με σήμανση CE, μόνο με την επιφύλαξη ορισμένων πρόσθετων απαιτήσεων που επιβάλλονται από τη δραστηριότητα ανάμειξης. Ως εκ τούτου, προκειμένου να αποφευχθεί η άσκοπη διοικητική επιβάρυνση, </w:t>
            </w:r>
            <w:r w:rsidRPr="00AC4460">
              <w:rPr>
                <w:b/>
                <w:i/>
              </w:rPr>
              <w:t>τέτοιοι συνδυασμοί</w:t>
            </w:r>
            <w:r w:rsidRPr="00AC4460">
              <w:t xml:space="preserve"> θα πρέπει να κατατάσσονται σε χωριστή κατηγορία, η αξιολόγηση συμμόρφωσης της οποίας θα πρέπει να περιορίζεται στις πρόσθετες απαιτήσεις που επιβάλλονται από τη δραστηριότητα ανάμειξης.</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i/>
              </w:rPr>
              <w:t>(Η παρούσα τροπολογία καλύπτει επίσης μια οριζόντια τροποποίηση του όρου «μείγμα» (στον ενικό ή τον πληθυντικό) σε «συνδυασμός» (στον ενικό ή τον πληθυντικό)· Η έγκρισή της θα απαιτήσει αντίστοιχες προσαρμογές των όρων αυτών σε όλο το κείμενο και, κατά συνέπεια, στις εγκριθείσες τροπολογίες).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25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(25)</w:t>
            </w:r>
            <w:r w:rsidRPr="00AC4460">
              <w:tab/>
              <w:t xml:space="preserve">Όταν θέτει σε κυκλοφορία ένα προϊόν </w:t>
            </w:r>
            <w:r w:rsidRPr="00AC4460">
              <w:rPr>
                <w:b/>
                <w:i/>
              </w:rPr>
              <w:t xml:space="preserve">λίπανσης </w:t>
            </w:r>
            <w:r w:rsidRPr="00AC4460">
              <w:t>με σήμανση CE, κάθε εισαγωγέας θα πρέπει να αναγράφει πάνω στη συσκευασία του προϊόντος</w:t>
            </w:r>
            <w:r w:rsidRPr="00AC4460">
              <w:rPr>
                <w:b/>
                <w:i/>
              </w:rPr>
              <w:t xml:space="preserve"> λίπανσης</w:t>
            </w:r>
            <w:r w:rsidRPr="00AC4460">
              <w:t xml:space="preserve"> το όνομά του, την καταχωρισμένη εμπορική επωνυμία ή το σήμα κατατεθέν και την ταχυδρομική διεύθυνση επικοινωνίας του, ούτως ώστε να καθίσταται εφικτή η εποπτεία της αγοράς.</w:t>
            </w:r>
          </w:p>
        </w:tc>
        <w:tc>
          <w:tcPr>
            <w:tcW w:w="4876" w:type="dxa"/>
          </w:tcPr>
          <w:p w:rsidR="00E451E4" w:rsidRPr="00AC4460" w:rsidRDefault="00E451E4" w:rsidP="000A61DD">
            <w:pPr>
              <w:pStyle w:val="Normal6"/>
              <w:rPr>
                <w:szCs w:val="24"/>
              </w:rPr>
            </w:pPr>
            <w:r w:rsidRPr="00AC4460">
              <w:t>(25)</w:t>
            </w:r>
            <w:r w:rsidRPr="00AC4460">
              <w:tab/>
              <w:t>Όταν θέτει σε κυκλοφορία ένα προϊόν με σήμανση CE, κάθε εισαγωγέας θα πρέπει να αναγράφει πάνω στη συσκευασία του προϊόντος το όνομά του, την καταχωρισμένη εμπορική επωνυμία ή το σήμα κατατεθέν και την ταχυδρομική διεύθυνση επικοινωνίας του</w:t>
            </w:r>
            <w:r w:rsidRPr="00AC4460">
              <w:rPr>
                <w:b/>
                <w:i/>
              </w:rPr>
              <w:t>, καθώς και τον παρασκευαστή τρίτης χώρας</w:t>
            </w:r>
            <w:r w:rsidRPr="00AC4460">
              <w:t>, ούτως ώστε να καθίσταται εφικτή η εποπτεία της αγοράς.</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27</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B0345A" w:rsidRDefault="00E451E4" w:rsidP="00E451E4">
      <w:pPr>
        <w:pStyle w:val="NormalBold"/>
      </w:pPr>
      <w:r>
        <w:rPr>
          <w:rStyle w:val="HideTWBExt"/>
          <w:noProof w:val="0"/>
        </w:rPr>
        <w:t>&lt;Article&gt;</w:t>
      </w:r>
      <w:r w:rsidRPr="00AC4460">
        <w:t>Αιτιολογική σκέψη 31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(31)</w:t>
            </w:r>
            <w:r w:rsidRPr="00AC4460">
              <w:tab/>
              <w:t>Στις περιπτώσεις όπου δεν έχουν εγκριθεί εναρμονισμένα πρότυπα ή τα εναρμονισμένα πρότυπα δεν καλύπτουν με αρκετές λεπτομέρειες όλα τα στοιχεία των απαιτήσεων ποιότητας και ασφάλειας που καθορίζει ο παρών κανονισμός, ενδέχεται να χρειάζονται ενιαίοι όροι για την υλοποίηση των απαιτήσεων αυτών. Επομένως, η Επιτροπή θα πρέπει να εξουσιοδοτηθεί να εκδίδει εκτελεστικές πράξεις που καθορίζουν τους όρους αυτούς με τη μορφή κοινών προδιαγραφών. Για λόγους ασφάλειας δικαίου, θα πρέπει να διευκρινιστεί ότι τα προϊόντα λίπανσης με σήμανση CE πρέπει να ικανοποιούν τις εν λόγω προδιαγραφές ακόμα κι αν θεωρείται ότι συμμορφώνονται με εναρμονισμένα πρότυπα.</w:t>
            </w:r>
          </w:p>
        </w:tc>
        <w:tc>
          <w:tcPr>
            <w:tcW w:w="4876" w:type="dxa"/>
          </w:tcPr>
          <w:p w:rsidR="00E451E4" w:rsidRPr="00AC4460" w:rsidRDefault="00E451E4" w:rsidP="000A61DD">
            <w:pPr>
              <w:pStyle w:val="Normal6"/>
            </w:pPr>
            <w:r w:rsidRPr="00AC4460">
              <w:t>(31)</w:t>
            </w:r>
            <w:r w:rsidRPr="00AC4460">
              <w:tab/>
              <w:t xml:space="preserve">Στις περιπτώσεις όπου δεν έχουν εγκριθεί εναρμονισμένα πρότυπα ή τα εναρμονισμένα πρότυπα δεν καλύπτουν με αρκετές λεπτομέρειες όλα τα στοιχεία των απαιτήσεων ποιότητας και ασφάλειας που καθορίζει ο παρών κανονισμός, </w:t>
            </w:r>
            <w:r w:rsidRPr="00AC4460">
              <w:rPr>
                <w:b/>
                <w:i/>
              </w:rPr>
              <w:t xml:space="preserve">και εάν υπάρχουν αδικαιολόγητες καθυστερήσεις στη διαδικασία έγκρισης ή επικαιροποίησης των προτύπων ώστε να αντικατοπτρίζουν αυτές τις απαιτήσεις, </w:t>
            </w:r>
            <w:r w:rsidRPr="00AC4460">
              <w:t>ενδέχεται να χρειάζονται</w:t>
            </w:r>
            <w:r w:rsidRPr="00AC4460">
              <w:rPr>
                <w:b/>
                <w:i/>
              </w:rPr>
              <w:t xml:space="preserve"> προσωρινά μέτρα για να καθοριστούν</w:t>
            </w:r>
            <w:r w:rsidRPr="00AC4460">
              <w:t xml:space="preserve"> ενιαίοι όροι για την υλοποίηση των απαιτήσεων αυτών. Επομένως, η Επιτροπή θα πρέπει να εξουσιοδοτηθεί να εκδίδει εκτελεστικές πράξεις που καθορίζουν τους όρους αυτούς με τη μορφή κοινών προδιαγραφών. Για λόγους ασφάλειας δικαίου, θα πρέπει να διευκρινιστεί ότι τα προϊόντα λίπανσης με σήμανση CE πρέπει να ικανοποιούν τις εν λόγω προδιαγραφές ακόμα κι αν θεωρείται ότι συμμορφώνονται με εναρμονισμένα πρότυπα.</w:t>
            </w:r>
          </w:p>
        </w:tc>
      </w:tr>
    </w:tbl>
    <w:p w:rsidR="00E451E4" w:rsidRPr="00B0345A" w:rsidRDefault="00E451E4" w:rsidP="00E451E4">
      <w:pPr>
        <w:pStyle w:val="AMNumberTabs"/>
        <w:keepNext/>
        <w:rPr>
          <w:color w:val="000000"/>
        </w:rPr>
      </w:pPr>
      <w:r>
        <w:rPr>
          <w:rStyle w:val="HideTWBExt"/>
          <w:noProof w:val="0"/>
        </w:rPr>
        <w:t>&lt;/Amend&gt;</w:t>
      </w: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47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(47)</w:t>
            </w:r>
            <w:r w:rsidRPr="00AC4460">
              <w:tab/>
              <w:t xml:space="preserve">Προϊόντα λίπανσης με σήμανση CE θα πρέπει να τίθενται σε κυκλοφορία μόνον εφόσον είναι επαρκώς αποτελεσματικά και δεν παρουσιάζουν </w:t>
            </w:r>
            <w:r w:rsidRPr="00AC4460">
              <w:rPr>
                <w:b/>
                <w:i/>
              </w:rPr>
              <w:t>απαράδεκτους κινδύνους</w:t>
            </w:r>
            <w:r w:rsidRPr="00AC4460">
              <w:t xml:space="preserve"> για την υγεία του ανθρώπου, των ζώων ή των φυτών, για την ασφάλεια ή για το περιβάλλον όταν έχουν αποθηκευτεί ορθά και χρησιμοποιούνται για τον σκοπό για τον οποίο προορίζονται και υπό εύλογα προβλέψιμες συνθήκες χρήσης, δηλαδή όταν η χρήση τους θα μπορούσε να είναι απόρροια νόμιμης και άμεσα προβλέψιμης ανθρώπινης συμπεριφοράς. Κατά συνέπεια, θα πρέπει να θεσπιστούν απαιτήσεις για την ασφάλεια και την ποιότητα, καθώς και κατάλληλοι μηχανισμοί ελέγχου. </w:t>
            </w:r>
            <w:r w:rsidRPr="00AC4460">
              <w:rPr>
                <w:b/>
                <w:i/>
              </w:rPr>
              <w:t>Επιπλέον, η προβλεπόμενη χρήση των προϊόντων λίπανσης με σήμανση CE δεν θα πρέπει να καθιστά τρόφιμα ή ζωοτροφές μη ασφαλή.</w:t>
            </w:r>
          </w:p>
        </w:tc>
        <w:tc>
          <w:tcPr>
            <w:tcW w:w="4876" w:type="dxa"/>
          </w:tcPr>
          <w:p w:rsidR="00E451E4" w:rsidRPr="00AC4460" w:rsidRDefault="00E451E4" w:rsidP="000A61DD">
            <w:pPr>
              <w:pStyle w:val="Normal6"/>
              <w:rPr>
                <w:szCs w:val="24"/>
              </w:rPr>
            </w:pPr>
            <w:r w:rsidRPr="00AC4460">
              <w:t>(47)</w:t>
            </w:r>
            <w:r w:rsidRPr="00AC4460">
              <w:tab/>
              <w:t xml:space="preserve">Προϊόντα λίπανσης με σήμανση CE θα πρέπει να τίθενται σε κυκλοφορία μόνον εφόσον είναι επαρκώς αποτελεσματικά και δεν παρουσιάζουν </w:t>
            </w:r>
            <w:r w:rsidRPr="00AC4460">
              <w:rPr>
                <w:b/>
                <w:i/>
              </w:rPr>
              <w:t>κίνδυνο</w:t>
            </w:r>
            <w:r w:rsidRPr="00AC4460">
              <w:t xml:space="preserve"> για την υγεία του ανθρώπου, των ζώων ή των φυτών, για την ασφάλεια ή για το περιβάλλον όταν έχουν αποθηκευτεί ορθά και χρησιμοποιούνται για τον σκοπό για τον οποίο προορίζονται και υπό εύλογα προβλέψιμες συνθήκες χρήσης, δηλαδή όταν η χρήση τους θα μπορούσε να είναι απόρροια νόμιμης και άμεσα προβλέψιμης ανθρώπινης συμπεριφοράς. Κατά συνέπεια, θα πρέπει να θεσπιστούν απαιτήσεις για την ασφάλεια και την ποιότητα, καθώς και κατάλληλοι μηχανισμοί ελέγχου.</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29</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B0345A" w:rsidRDefault="00E451E4" w:rsidP="00E451E4">
      <w:pPr>
        <w:pStyle w:val="NormalBold"/>
      </w:pPr>
      <w:r>
        <w:rPr>
          <w:rStyle w:val="HideTWBExt"/>
          <w:noProof w:val="0"/>
        </w:rPr>
        <w:t>&lt;Article&gt;</w:t>
      </w:r>
      <w:r w:rsidRPr="00AC4460">
        <w:t>Αιτιολογική σκέψη 49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(49)</w:t>
            </w:r>
            <w:r w:rsidRPr="00AC4460">
              <w:tab/>
              <w:t xml:space="preserve">Το υπάρχον σύστημα θα πρέπει να συμπληρωθεί με μια διαδικασία που θα δίνει </w:t>
            </w:r>
            <w:r w:rsidRPr="00AC4460">
              <w:rPr>
                <w:b/>
                <w:i/>
              </w:rPr>
              <w:t>στα</w:t>
            </w:r>
            <w:r w:rsidRPr="00AC4460">
              <w:t xml:space="preserve"> ενδιαφερόμενα μέρη τη δυνατότητα να ενημερώνονται για τα μέτρα που πρόκειται να ληφθούν σχετικά με τα προϊόντα λίπανσης με σήμανση CE που συνιστούν</w:t>
            </w:r>
            <w:r w:rsidRPr="00AC4460">
              <w:rPr>
                <w:b/>
                <w:i/>
              </w:rPr>
              <w:t xml:space="preserve"> απαράδεκτο</w:t>
            </w:r>
            <w:r w:rsidRPr="00AC4460">
              <w:t xml:space="preserve"> κίνδυνο για την υγεία του ανθρώπου, των ζώων ή των φυτών, για την ασφάλεια ή για το περιβάλλον. Θα πρέπει επίσης να δίνει τη δυνατότητα στις αρχές που είναι αρμόδιες για την εποπτεία της αγοράς, σε συνεργασία με τους σχετικούς οικονομικούς φορείς, να ενεργούν σε πρώιμο στάδιο σε σχέση με τέτοιου είδους προϊόντα λίπανσης.</w:t>
            </w:r>
          </w:p>
        </w:tc>
        <w:tc>
          <w:tcPr>
            <w:tcW w:w="4876" w:type="dxa"/>
          </w:tcPr>
          <w:p w:rsidR="00E451E4" w:rsidRPr="00AC4460" w:rsidRDefault="00E451E4" w:rsidP="000A61DD">
            <w:pPr>
              <w:pStyle w:val="Normal6"/>
            </w:pPr>
            <w:r w:rsidRPr="00AC4460">
              <w:t>(49)</w:t>
            </w:r>
            <w:r w:rsidRPr="00AC4460">
              <w:tab/>
              <w:t xml:space="preserve">Το υπάρχον σύστημα θα πρέπει να συμπληρωθεί με μια διαδικασία που θα δίνει </w:t>
            </w:r>
            <w:r w:rsidRPr="00AC4460">
              <w:rPr>
                <w:b/>
                <w:i/>
              </w:rPr>
              <w:t>σε όλα τα</w:t>
            </w:r>
            <w:r w:rsidRPr="00AC4460">
              <w:t xml:space="preserve"> ενδιαφερόμενα μέρη</w:t>
            </w:r>
            <w:r w:rsidRPr="00AC4460">
              <w:rPr>
                <w:b/>
                <w:i/>
              </w:rPr>
              <w:t>, συμπεριλαμβανομένων των ενδιαφερόμενων μερών στον τομέα της υγείας και των καταναλωτών,</w:t>
            </w:r>
            <w:r w:rsidRPr="00AC4460">
              <w:t xml:space="preserve"> τη δυνατότητα να ενημερώνονται για τα μέτρα που πρόκειται να ληφθούν σχετικά με τα προϊόντα λίπανσης με σήμανση CE που συνιστούν κίνδυνο για την υγεία του ανθρώπου, των ζώων ή των φυτών, για την ασφάλεια ή για το περιβάλλον. Θα πρέπει επίσης να δίνει τη δυνατότητα στις αρχές που είναι αρμόδιες για την εποπτεία της αγοράς, σε συνεργασία με τους σχετικούς οικονομικούς φορείς, να ενεργούν σε πρώιμο στάδιο σε σχέση με τέτοιου είδους προϊόντα λίπανσης.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rPr>
          <w:color w:val="000000"/>
        </w:rPr>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55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(55)</w:t>
            </w:r>
            <w:r w:rsidRPr="00AC4460">
              <w:tab/>
              <w:t xml:space="preserve">Σημειώνεται ελπιδοφόρος τεχνολογική πρόοδος στον τομέα της ανακύκλωσης των αποβλήτων, όπως η ανακύκλωση φωσφόρου από λυματολάσπη, </w:t>
            </w:r>
            <w:r w:rsidRPr="00AC4460">
              <w:rPr>
                <w:b/>
                <w:i/>
              </w:rPr>
              <w:t>και</w:t>
            </w:r>
            <w:r w:rsidRPr="00AC4460">
              <w:t xml:space="preserve"> της παραγωγής προϊόντων από ζωικά υποπροϊόντα, όπως ο βιοξυλάνθρακας. Τα προϊόντα που περιέχουν ή που αποτελούνται από τέτοια υλικά θα πρέπει να έχουν πρόσβαση στην εσωτερική αγορά χωρίς περιττή καθυστέρηση, όταν οι διαδικασίες παραγωγής έχουν αναλυθεί επιστημονικά και όταν έχουν καθοριστεί απαιτήσεις διεργασίας σε ενωσιακό επίπεδο. Για τον σκοπό αυτόν, πρέπει να εκχωρηθεί στην Επιτροπή η αρμοδιότητα να εκδίδει πράξεις σύμφωνα με το άρθρο 290 της Συνθήκης για τη λειτουργία της Ευρωπαϊκής Ένωσης όσον αφορά </w:t>
            </w:r>
            <w:r w:rsidRPr="00AC4460">
              <w:rPr>
                <w:b/>
                <w:i/>
              </w:rPr>
              <w:t>τον καθορισμό μεγαλύτερων ή πρόσθετων κατηγοριών προϊόντων λίπανσης με σήμανση CE ή συστατικών</w:t>
            </w:r>
            <w:r w:rsidRPr="00AC4460">
              <w:t xml:space="preserve"> υλικών </w:t>
            </w:r>
            <w:r w:rsidRPr="00AC4460">
              <w:rPr>
                <w:b/>
                <w:i/>
              </w:rPr>
              <w:t>κατάλληλων</w:t>
            </w:r>
            <w:r w:rsidRPr="00AC4460">
              <w:t xml:space="preserve"> για χρήση στην παραγωγή</w:t>
            </w:r>
            <w:r w:rsidRPr="00AC4460">
              <w:rPr>
                <w:b/>
                <w:i/>
              </w:rPr>
              <w:t xml:space="preserve"> τέτοιων προϊόντων. Για τα</w:t>
            </w:r>
            <w:r w:rsidRPr="00AC4460">
              <w:t xml:space="preserve"> ζωικά υποπροϊόντα, κατηγορίες συστατικών υλικών θα πρέπει να προστίθενται ή να διευρύνονται μόνο στον βαθμό που θα έχει προσδιοριστεί ένα τελικό σημείο στην αλυσίδα παρασκευής, σύμφωνα με τις διαδικασίες που καθορίζονται στον κανονισμό (ΕΚ) αριθ. 1069/2009</w:t>
            </w:r>
            <w:r w:rsidRPr="00AC4460">
              <w:rPr>
                <w:b/>
                <w:i/>
              </w:rPr>
              <w:t>, αφού τα ζωικά υποπροϊόντα για τα οποία δεν έχει προσδιοριστεί τέτοιο τελικό σημείο εξαιρούνται ούτως ή άλλως από το πεδίο εφαρμογής του παρόντος κανονισμού</w:t>
            </w:r>
            <w:r w:rsidRPr="00AC4460">
              <w:t>.</w:t>
            </w:r>
          </w:p>
        </w:tc>
        <w:tc>
          <w:tcPr>
            <w:tcW w:w="4876" w:type="dxa"/>
          </w:tcPr>
          <w:p w:rsidR="00E451E4" w:rsidRPr="00AC4460" w:rsidRDefault="00E451E4" w:rsidP="000A61DD">
            <w:pPr>
              <w:pStyle w:val="Normal6"/>
              <w:rPr>
                <w:szCs w:val="24"/>
              </w:rPr>
            </w:pPr>
            <w:r w:rsidRPr="00AC4460">
              <w:t>(55)</w:t>
            </w:r>
            <w:r w:rsidRPr="00AC4460">
              <w:tab/>
              <w:t xml:space="preserve">Σημειώνεται ελπιδοφόρος τεχνολογική πρόοδος στον τομέα της ανακύκλωσης των αποβλήτων, όπως η ανακύκλωση φωσφόρου από λυματολάσπη, </w:t>
            </w:r>
            <w:r w:rsidRPr="00AC4460">
              <w:rPr>
                <w:b/>
                <w:i/>
              </w:rPr>
              <w:t>όπως ο στρουβίτης,</w:t>
            </w:r>
            <w:r w:rsidRPr="00AC4460">
              <w:t xml:space="preserve"> της παραγωγής προϊόντων από ζωικά υποπροϊόντα, όπως ο βιοξυλάνθρακας</w:t>
            </w:r>
            <w:r w:rsidRPr="00AC4460">
              <w:rPr>
                <w:b/>
                <w:i/>
              </w:rPr>
              <w:t>, και της ανάκτησης φωσφόρου μετά την καύση, όπως προϊόντων με βάση τις τέφρες</w:t>
            </w:r>
            <w:r w:rsidRPr="00AC4460">
              <w:t xml:space="preserve">. Τα προϊόντα που περιέχουν ή που αποτελούνται από τέτοια υλικά θα πρέπει να έχουν πρόσβαση στην εσωτερική αγορά χωρίς περιττή καθυστέρηση, όταν οι διαδικασίες παραγωγής έχουν αναλυθεί επιστημονικά και όταν έχουν καθοριστεί απαιτήσεις διεργασίας σε ενωσιακό επίπεδο. Για τον σκοπό αυτόν, πρέπει να εκχωρηθεί στην Επιτροπή η αρμοδιότητα να εκδίδει πράξεις σύμφωνα με το άρθρο 290 της Συνθήκης για τη λειτουργία της Ευρωπαϊκής Ένωσης όσον αφορά </w:t>
            </w:r>
            <w:r w:rsidRPr="00AC4460">
              <w:rPr>
                <w:b/>
                <w:i/>
              </w:rPr>
              <w:t>την επιλεξιμότητα των</w:t>
            </w:r>
            <w:r w:rsidRPr="00AC4460">
              <w:t xml:space="preserve"> υλικών </w:t>
            </w:r>
            <w:r w:rsidRPr="00AC4460">
              <w:rPr>
                <w:b/>
                <w:i/>
              </w:rPr>
              <w:t>αυτών</w:t>
            </w:r>
            <w:r w:rsidRPr="00AC4460">
              <w:t xml:space="preserve"> για χρήση στην παραγωγή</w:t>
            </w:r>
            <w:r w:rsidRPr="00AC4460">
              <w:rPr>
                <w:b/>
                <w:i/>
              </w:rPr>
              <w:t>. Για προϊόντα που παράγονται από</w:t>
            </w:r>
            <w:r w:rsidRPr="00AC4460">
              <w:t xml:space="preserve"> ζωικά υποπροϊόντα, κατηγορίες συστατικών υλικών θα πρέπει να προστίθενται ή να διευρύνονται μόνο στον βαθμό που θα έχει προσδιοριστεί ένα τελικό σημείο στην αλυσίδα παρασκευής, σύμφωνα με τις διαδικασίες που καθορίζονται στον κανονισμό (ΕΚ) αριθ. 1069/2009.</w:t>
            </w:r>
          </w:p>
        </w:tc>
      </w:tr>
    </w:tbl>
    <w:p w:rsidR="00E451E4" w:rsidRPr="00B0345A" w:rsidRDefault="00E451E4" w:rsidP="00E451E4">
      <w:r>
        <w:rPr>
          <w:rStyle w:val="HideTWBExt"/>
          <w:noProof w:val="0"/>
        </w:rPr>
        <w:t>&lt;/Amend&gt;</w:t>
      </w:r>
    </w:p>
    <w:p w:rsidR="00E451E4" w:rsidRPr="00B0345A" w:rsidRDefault="00E451E4" w:rsidP="00E451E4">
      <w:pPr>
        <w:pStyle w:val="AMNumberTabs"/>
        <w:keepNext/>
        <w:rPr>
          <w:color w:val="000000"/>
        </w:rPr>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55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(55α)</w:t>
            </w:r>
            <w:r w:rsidRPr="00AC4460">
              <w:rPr>
                <w:b/>
                <w:i/>
              </w:rPr>
              <w:tab/>
              <w:t>Ένα προϊόν λίπανσης με σήμανση CE επιτρέπεται να περιέχει πολυμερή άλλα από πολυμερή θρεπτικών συστατικών, ωστόσο αυτό θα πρέπει να περιορίζεται στις περιπτώσεις όπου ο σκοπός του πολυμερισμού είναι ο έλεγχος της απελευθέρωσης θρεπτικών συστατικών ή η αύξηση της ικανότητας κατακράτησης ύδατος του προϊόντος λίπανσης με σήμανση CE. Καινοτόμα προϊόντα που περιέχουν τέτοια πολυμερή πρέπει να έχουν δυνατότητα πρόσβασης στην εσωτερική αγορά. Προκειμένου να ελαχιστοποιηθούν οι κίνδυνοι για την ανθρώπινη υγεία, την ασφάλεια ή το περιβάλλον που μπορεί να προκύψουν από πολυμερή άλλα από τα πολυμερή θρεπτικών συστατικών, πρέπει να καθοριστούν τα κριτήρια βιοδιασπασιμότητάς τους, ώστε να είναι σε θέση να υφίστανται φυσική και βιολογική αποσύνθεση.</w:t>
            </w:r>
            <w:r w:rsidRPr="00AC4460">
              <w:rPr>
                <w:b/>
                <w:bCs/>
                <w:i/>
                <w:iCs/>
              </w:rPr>
              <w:t xml:space="preserve"> Για τον σκοπό αυτόν, πρέπει να εκχωρηθεί στην Επιτροπή η αρμοδιότητα να εκδίδει πράξεις σύμφωνα με το άρθρο 290 της Συνθήκης για τη λειτουργία της Ευρωπαϊκής Ένωσης όσον αφορά τον ορισμό των κριτηρίων της μετατροπής του πολυμερικού άνθρακα σε διοξείδιο του άνθρακα (CO</w:t>
            </w:r>
            <w:r w:rsidRPr="00AC4460">
              <w:rPr>
                <w:b/>
                <w:bCs/>
                <w:i/>
                <w:iCs/>
                <w:vertAlign w:val="subscript"/>
              </w:rPr>
              <w:t>2</w:t>
            </w:r>
            <w:r w:rsidRPr="00AC4460">
              <w:rPr>
                <w:b/>
                <w:bCs/>
                <w:i/>
                <w:iCs/>
              </w:rPr>
              <w:t>) και μιας αντίστοιχης μεθόδου δοκιμής για τη βιοαποδόμηση.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Αιτιολογική σκέψη 56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(56)</w:t>
            </w:r>
            <w:r w:rsidRPr="00AC4460">
              <w:tab/>
              <w:t>Επιπλέον, θα πρέπει να υπάρχει η δυνατότητα άμεσης αντίδρασης σε νέα ευρήματα σχετικά με τις προϋποθέσεις που απαιτούνται ώστε τα προϊόντα λίπανσης με σήμανση CE να είναι επαρκώς αποτελεσματικά, καθώς και σε νέες αξιολογήσεις του κινδύνου για την υγεία του ανθρώπου, των ζώων ή των φυτών, για την ασφάλεια και για το περιβάλλον. Για τον σκοπό αυτόν, θα πρέπει να δοθεί στην Επιτροπή η αρμοδιότητα έκδοσης πράξεων σύμφωνα με το άρθρο 290 της Συνθήκης ώστε να τροποποιούνται οι απαιτήσεις που ισχύουν για τις διάφορες κατηγορίες προϊόντων λίπανσης με σήμανση CE.</w:t>
            </w:r>
          </w:p>
        </w:tc>
        <w:tc>
          <w:tcPr>
            <w:tcW w:w="4876" w:type="dxa"/>
            <w:hideMark/>
          </w:tcPr>
          <w:p w:rsidR="00E451E4" w:rsidRPr="00AC4460" w:rsidRDefault="00E451E4" w:rsidP="000A61DD">
            <w:pPr>
              <w:pStyle w:val="Normal6"/>
              <w:rPr>
                <w:szCs w:val="24"/>
              </w:rPr>
            </w:pPr>
            <w:r w:rsidRPr="00AC4460">
              <w:t>(56)</w:t>
            </w:r>
            <w:r w:rsidRPr="00AC4460">
              <w:tab/>
              <w:t>Επιπλέον, θα πρέπει να υπάρχει η δυνατότητα άμεσης αντίδρασης σε νέα ευρήματα σχετικά με τις προϋποθέσεις που απαιτούνται ώστε τα προϊόντα λίπανσης με σήμανση CE να είναι επαρκώς αποτελεσματικά, καθώς και σε νέες αξιολογήσεις του κινδύνου για την υγεία του ανθρώπου, των ζώων ή των φυτών, για την ασφάλεια και για το περιβάλλον</w:t>
            </w:r>
            <w:r w:rsidRPr="00AC4460">
              <w:rPr>
                <w:b/>
                <w:i/>
              </w:rPr>
              <w:t>, λαμβανομένων υπόψη των αξιολογήσεων που διενεργούνται από ή σε συνεργασία με αρχές στα κράτη μέλη</w:t>
            </w:r>
            <w:r w:rsidRPr="00AC4460">
              <w:t>. Για τον σκοπό αυτόν, θα πρέπει να δοθεί στην Επιτροπή η αρμοδιότητα έκδοσης πράξεων σύμφωνα με το άρθρο 290 της Συνθήκης ώστε να τροποποιούνται οι απαιτήσεις που ισχύουν για τις διάφορες κατηγορίες προϊόντων λίπανσης με σήμανση CE.</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Αιτιολογική σκέψη 57</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(57)</w:t>
            </w:r>
            <w:r w:rsidRPr="00AC4460">
              <w:tab/>
              <w:t xml:space="preserve">Κατά την </w:t>
            </w:r>
            <w:r w:rsidRPr="00AC4460">
              <w:rPr>
                <w:b/>
                <w:i/>
              </w:rPr>
              <w:t>άσκηση</w:t>
            </w:r>
            <w:r w:rsidRPr="00AC4460">
              <w:t xml:space="preserve"> των </w:t>
            </w:r>
            <w:r w:rsidRPr="00AC4460">
              <w:rPr>
                <w:b/>
                <w:i/>
              </w:rPr>
              <w:t>αρμοδιοτήτων αυτών</w:t>
            </w:r>
            <w:r w:rsidRPr="00AC4460">
              <w:t>, είναι ιδιαίτερα σημαντικό να διεξάγει η Επιτροπή τις κατάλληλες διαβουλεύσεις κατά τις προπαρασκευαστικές εργασίες της, και σε επίπεδο εμπειρογνωμόνων</w:t>
            </w:r>
            <w:r w:rsidRPr="00AC4460">
              <w:rPr>
                <w:b/>
                <w:i/>
              </w:rPr>
              <w:t>. Κατά την προετοιμασία και τη σύνταξη κατ’ εξουσιοδότηση πράξεων, η Επιτροπή θα πρέπει να διασφαλίζει την ταυτόχρονη</w:t>
            </w:r>
            <w:r w:rsidRPr="00AC4460">
              <w:t xml:space="preserve">, </w:t>
            </w:r>
            <w:r w:rsidRPr="00AC4460">
              <w:rPr>
                <w:b/>
                <w:i/>
              </w:rPr>
              <w:t>έγκαιρη και κατάλληλη διαβίβαση</w:t>
            </w:r>
            <w:r w:rsidRPr="00AC4460">
              <w:t xml:space="preserve"> των </w:t>
            </w:r>
            <w:r w:rsidRPr="00AC4460">
              <w:rPr>
                <w:b/>
                <w:i/>
              </w:rPr>
              <w:t>σχετικών εγγράφων στο</w:t>
            </w:r>
            <w:r w:rsidRPr="00AC4460">
              <w:t xml:space="preserve"> Ευρωπαϊκό Κοινοβούλιο και το Συμβούλιο.</w:t>
            </w:r>
          </w:p>
        </w:tc>
        <w:tc>
          <w:tcPr>
            <w:tcW w:w="4876" w:type="dxa"/>
          </w:tcPr>
          <w:p w:rsidR="00E451E4" w:rsidRPr="00AC4460" w:rsidRDefault="00E451E4" w:rsidP="000A61DD">
            <w:pPr>
              <w:pStyle w:val="Normal6"/>
              <w:rPr>
                <w:szCs w:val="24"/>
              </w:rPr>
            </w:pPr>
            <w:r w:rsidRPr="00AC4460">
              <w:t>(57)</w:t>
            </w:r>
            <w:r w:rsidRPr="00AC4460">
              <w:tab/>
              <w:t xml:space="preserve">Κατά την </w:t>
            </w:r>
            <w:r w:rsidRPr="00AC4460">
              <w:rPr>
                <w:b/>
                <w:i/>
              </w:rPr>
              <w:t>έκδοση</w:t>
            </w:r>
            <w:r w:rsidRPr="00AC4460">
              <w:t xml:space="preserve"> των </w:t>
            </w:r>
            <w:r w:rsidRPr="00AC4460">
              <w:rPr>
                <w:b/>
                <w:i/>
              </w:rPr>
              <w:t>κατ’ εξουσιοδότηση πράξεων που προβλέπονται στον παρόντα κανονισμό</w:t>
            </w:r>
            <w:r w:rsidRPr="00AC4460">
              <w:t>, είναι ιδιαίτερα σημαντικό να διεξάγει η Επιτροπή τις κατάλληλες διαβουλεύσεις κατά τις προπαρασκευαστικές εργασίες της, και σε επίπεδο εμπειρογνωμόνων</w:t>
            </w:r>
            <w:r w:rsidRPr="00AC4460">
              <w:rPr>
                <w:b/>
                <w:i/>
              </w:rPr>
              <w:t>, καθώς και να πραγματοποιούνται οι διαβουλεύσεις αυτές σύμφωνα με τις αρχές που ορίζονται στη διοργανική συμφωνία της 13ης Απριλίου 2016 για τη βελτίωση του νομοθετικού έργου. Πιο συγκεκριμένα</w:t>
            </w:r>
            <w:r w:rsidRPr="00AC4460">
              <w:t xml:space="preserve">, </w:t>
            </w:r>
            <w:r w:rsidRPr="00AC4460">
              <w:rPr>
                <w:b/>
                <w:i/>
              </w:rPr>
              <w:t>προκειμένου να εξασφαλιστεί η ίση συμμετοχή στην προετοιμασία</w:t>
            </w:r>
            <w:r w:rsidRPr="00AC4460">
              <w:t xml:space="preserve"> των </w:t>
            </w:r>
            <w:r w:rsidRPr="00AC4460">
              <w:rPr>
                <w:b/>
                <w:i/>
              </w:rPr>
              <w:t>κατ’ εξουσιοδότηση πράξεων, το</w:t>
            </w:r>
            <w:r w:rsidRPr="00AC4460">
              <w:t xml:space="preserve"> Ευρωπαϊκό Κοινοβούλιο και το Συμβούλιο</w:t>
            </w:r>
            <w:r w:rsidRPr="00AC4460">
              <w:rPr>
                <w:b/>
                <w:i/>
              </w:rPr>
              <w:t xml:space="preserve"> λαμβάνουν όλα τα έγγραφα ταυτόχρονα με τους εμπειρογνώμονες των κρατών μελών, και οι εμπειρογνώμονές τους έχουν συστηματική πρόσβαση στις συνεδριάσεις των ομάδων εμπειρογνωμόνων της Επιτροπής που ασχολούνται με την προετοιμασία κατ’ εξουσιοδότηση πράξεων</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34</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Αιτιολογική σκέψη 59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(59α)</w:t>
            </w:r>
            <w:r w:rsidRPr="00AC4460">
              <w:rPr>
                <w:b/>
                <w:bCs/>
                <w:i/>
                <w:iCs/>
              </w:rPr>
              <w:tab/>
              <w:t>Λόγω της μεγάλης εξάρτησης της Ένωσης από τις εισαγωγές φωσφορίτη, η Επιτροπή ταξινόμησε την ύλη αυτή ως κρίσιμη πρώτη ύλη. Συνεπώς, είναι απαραίτητο να παρακολουθείται ο αντίκτυπος του παρόντος κανονισμού όσον αφορά την πρόσβαση στα αποθέματα πρώτων υλών εν γένει, τη διαθεσιμότητα φωσφορίτη ειδικότερα και, ανά περίπτωση, τις τιμές. Μετά από αυτή την αξιολόγηση, και σε περίπτωση αρνητικού αντίκτυπου, η Επιτροπή θα πρέπει να λάβει τα μέτρα που θα κρίνει κατάλληλα για να αντιμετωπίσει αυτές τις αναταράξεις στο εμπόριο.</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35</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1 – παράγραφος 1 – εδάφιο 2 – στοιχείο 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α)</w:t>
            </w:r>
            <w:r w:rsidRPr="00AC4460">
              <w:tab/>
              <w:t xml:space="preserve">ζωικά υποπροϊόντα που </w:t>
            </w:r>
            <w:r w:rsidRPr="00AC4460">
              <w:rPr>
                <w:b/>
                <w:i/>
              </w:rPr>
              <w:t>υπόκεινται στις</w:t>
            </w:r>
            <w:r w:rsidRPr="00AC4460">
              <w:t xml:space="preserve"> απαιτήσεις του κανονισμού (ΕΚ) αριθ. 1069/2009,</w:t>
            </w:r>
          </w:p>
        </w:tc>
        <w:tc>
          <w:tcPr>
            <w:tcW w:w="4876" w:type="dxa"/>
          </w:tcPr>
          <w:p w:rsidR="00E451E4" w:rsidRPr="00AC4460" w:rsidRDefault="00E451E4" w:rsidP="000A61DD">
            <w:pPr>
              <w:pStyle w:val="Normal6"/>
              <w:rPr>
                <w:szCs w:val="24"/>
              </w:rPr>
            </w:pPr>
            <w:r w:rsidRPr="00AC4460">
              <w:t>α)</w:t>
            </w:r>
            <w:r w:rsidRPr="00AC4460">
              <w:tab/>
              <w:t xml:space="preserve">ζωικά υποπροϊόντα </w:t>
            </w:r>
            <w:r w:rsidRPr="00AC4460">
              <w:rPr>
                <w:b/>
                <w:i/>
              </w:rPr>
              <w:t xml:space="preserve">ή παράγωγα προϊόντα </w:t>
            </w:r>
            <w:r w:rsidRPr="00AC4460">
              <w:t xml:space="preserve">που </w:t>
            </w:r>
            <w:r w:rsidRPr="00AC4460">
              <w:rPr>
                <w:b/>
                <w:i/>
              </w:rPr>
              <w:t>διατίθενται στην αγορά σύμφωνα με τις</w:t>
            </w:r>
            <w:r w:rsidRPr="00AC4460">
              <w:t xml:space="preserve"> απαιτήσεις του κανονισμού (ΕΚ) αριθ. 1069/2009,</w:t>
            </w:r>
          </w:p>
        </w:tc>
      </w:tr>
    </w:tbl>
    <w:p w:rsidR="000A61DD" w:rsidRPr="000A61DD" w:rsidRDefault="000A61DD" w:rsidP="000A61DD">
      <w:pPr>
        <w:rPr>
          <w:lang w:val="pt-PT"/>
        </w:rPr>
      </w:pPr>
      <w:r w:rsidRPr="000A61DD">
        <w:rPr>
          <w:rStyle w:val="HideTWBExt"/>
          <w:noProof w:val="0"/>
          <w:lang w:val="pt-PT"/>
        </w:rPr>
        <w:t>&lt;/Amend&gt;</w:t>
      </w:r>
    </w:p>
    <w:p w:rsidR="000A61DD" w:rsidRPr="000A61DD" w:rsidRDefault="000A61DD" w:rsidP="000A61DD">
      <w:pPr>
        <w:pStyle w:val="AMNumberTabs"/>
        <w:keepNext/>
        <w:rPr>
          <w:lang w:val="pt-PT"/>
        </w:rPr>
      </w:pPr>
      <w:r w:rsidRPr="000A61DD">
        <w:rPr>
          <w:rStyle w:val="HideTWBExt"/>
          <w:b w:val="0"/>
          <w:noProof w:val="0"/>
          <w:lang w:val="pt-PT"/>
        </w:rPr>
        <w:t>&lt;Amend&gt;</w:t>
      </w:r>
      <w:r w:rsidRPr="00AC4460">
        <w:t>Τροπολογία</w:t>
      </w:r>
      <w:r w:rsidRPr="000A61DD">
        <w:rPr>
          <w:lang w:val="pt-PT"/>
        </w:rPr>
        <w:tab/>
      </w:r>
      <w:r w:rsidRPr="000A61DD">
        <w:rPr>
          <w:lang w:val="pt-PT"/>
        </w:rPr>
        <w:tab/>
      </w:r>
      <w:r w:rsidRPr="000A61DD">
        <w:rPr>
          <w:rStyle w:val="HideTWBExt"/>
          <w:b w:val="0"/>
          <w:noProof w:val="0"/>
          <w:lang w:val="pt-PT"/>
        </w:rPr>
        <w:t>&lt;NumAm&gt;</w:t>
      </w:r>
      <w:r w:rsidRPr="000A61DD">
        <w:rPr>
          <w:lang w:val="pt-PT"/>
        </w:rPr>
        <w:t>3</w:t>
      </w:r>
      <w:r>
        <w:rPr>
          <w:lang w:val="pt-PT"/>
        </w:rPr>
        <w:t>6</w:t>
      </w:r>
      <w:r w:rsidRPr="000A61DD">
        <w:rPr>
          <w:rStyle w:val="HideTWBExt"/>
          <w:b w:val="0"/>
          <w:noProof w:val="0"/>
          <w:lang w:val="pt-PT"/>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1 – παράγραφος 2 – στοιχείο β α (νέο)</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β α)</w:t>
            </w:r>
            <w:r w:rsidRPr="00AC4460">
              <w:tab/>
            </w:r>
            <w:r w:rsidR="000A61DD">
              <w:rPr>
                <w:b/>
                <w:i/>
              </w:rPr>
              <w:t>ο</w:t>
            </w:r>
            <w:r w:rsidRPr="00AC4460">
              <w:rPr>
                <w:b/>
                <w:i/>
              </w:rPr>
              <w:t>δηγία 91/676/ΕΟΚ·</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1 – παράγραφος 2 – στοιχείο β β (νέο)</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β β)</w:t>
            </w:r>
            <w:r w:rsidRPr="00AC4460">
              <w:rPr>
                <w:b/>
                <w:i/>
              </w:rPr>
              <w:tab/>
            </w:r>
            <w:r w:rsidR="000A61DD">
              <w:rPr>
                <w:b/>
                <w:i/>
              </w:rPr>
              <w:t>οδ</w:t>
            </w:r>
            <w:r w:rsidRPr="00AC4460">
              <w:rPr>
                <w:b/>
                <w:i/>
              </w:rPr>
              <w:t>ηγία 2000/60/ΕΚ·</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2 – παράγραφος 1 – σημείο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r>
            <w:r w:rsidRPr="00AC4460">
              <w:rPr>
                <w:szCs w:val="22"/>
              </w:rPr>
              <w:t xml:space="preserve">«προϊόν </w:t>
            </w:r>
            <w:r w:rsidRPr="00AC4460">
              <w:rPr>
                <w:b/>
                <w:i/>
                <w:szCs w:val="22"/>
              </w:rPr>
              <w:t>λίπανσης»</w:t>
            </w:r>
            <w:r w:rsidRPr="00AC4460">
              <w:rPr>
                <w:szCs w:val="22"/>
              </w:rPr>
              <w:t xml:space="preserve">: κάθε ουσία, μείγμα, μικροοργανισμός ή οποιοδήποτε άλλο υλικό που χορηγείται ή προορίζεται να χορηγηθεί, είτε σε καθαρή μορφή είτε αναμεμειγμένο με άλλο υλικό, σε </w:t>
            </w:r>
            <w:r w:rsidRPr="00AC4460">
              <w:rPr>
                <w:b/>
                <w:i/>
                <w:szCs w:val="22"/>
              </w:rPr>
              <w:t>φυτά</w:t>
            </w:r>
            <w:r w:rsidRPr="00AC4460">
              <w:rPr>
                <w:szCs w:val="22"/>
              </w:rPr>
              <w:t xml:space="preserve"> ή στη </w:t>
            </w:r>
            <w:r w:rsidRPr="00AC4460">
              <w:rPr>
                <w:b/>
                <w:i/>
                <w:szCs w:val="22"/>
              </w:rPr>
              <w:t>ριζόσφαιρα φυτών</w:t>
            </w:r>
            <w:r w:rsidRPr="00AC4460">
              <w:rPr>
                <w:szCs w:val="22"/>
              </w:rPr>
              <w:t xml:space="preserve"> με σκοπό να προσφέρει θρεπτικές ουσίες ή να βελτιώσει την </w:t>
            </w:r>
            <w:r w:rsidRPr="00AC4460">
              <w:rPr>
                <w:b/>
                <w:i/>
                <w:szCs w:val="22"/>
              </w:rPr>
              <w:t>αποδοτικότητα</w:t>
            </w:r>
            <w:r w:rsidRPr="00AC4460">
              <w:rPr>
                <w:szCs w:val="22"/>
              </w:rPr>
              <w:t xml:space="preserve"> της </w:t>
            </w:r>
            <w:r w:rsidRPr="00AC4460">
              <w:rPr>
                <w:b/>
                <w:i/>
                <w:szCs w:val="22"/>
              </w:rPr>
              <w:t>θρέψης των φυτών·</w:t>
            </w:r>
          </w:p>
        </w:tc>
        <w:tc>
          <w:tcPr>
            <w:tcW w:w="4876" w:type="dxa"/>
          </w:tcPr>
          <w:p w:rsidR="00E451E4" w:rsidRPr="00AC4460" w:rsidRDefault="00E451E4" w:rsidP="000A61DD">
            <w:pPr>
              <w:pStyle w:val="Normal6"/>
              <w:rPr>
                <w:szCs w:val="24"/>
              </w:rPr>
            </w:pPr>
            <w:r w:rsidRPr="00AC4460">
              <w:t>(1)</w:t>
            </w:r>
            <w:r w:rsidRPr="00AC4460">
              <w:tab/>
              <w:t xml:space="preserve">«προϊόν </w:t>
            </w:r>
            <w:r w:rsidRPr="00AC4460">
              <w:rPr>
                <w:b/>
                <w:i/>
              </w:rPr>
              <w:t>θρέψης φυτών»</w:t>
            </w:r>
            <w:r w:rsidRPr="00AC4460">
              <w:t xml:space="preserve">: κάθε ουσία, μείγμα, μικροοργανισμός ή οποιοδήποτε άλλο υλικό που χορηγείται ή προορίζεται να χορηγηθεί, είτε σε καθαρή μορφή είτε αναμεμειγμένο με άλλο υλικό, σε </w:t>
            </w:r>
            <w:r w:rsidRPr="00AC4460">
              <w:rPr>
                <w:b/>
                <w:i/>
              </w:rPr>
              <w:t>μύκητες</w:t>
            </w:r>
            <w:r w:rsidRPr="00AC4460">
              <w:t xml:space="preserve"> ή στη </w:t>
            </w:r>
            <w:r w:rsidRPr="00AC4460">
              <w:rPr>
                <w:b/>
                <w:i/>
              </w:rPr>
              <w:t>μυκητόσφαιρά τους ή σε φυτά σε οποιοδήποτε στάδιο ανάπτυξης, συμπεριλαμβανομένων των σπόρων, και/ή της ριζόσφαιρας,</w:t>
            </w:r>
            <w:r w:rsidRPr="00AC4460">
              <w:t xml:space="preserve"> με σκοπό να προσφέρει θρεπτικές ουσίες </w:t>
            </w:r>
            <w:r w:rsidRPr="00AC4460">
              <w:rPr>
                <w:b/>
                <w:i/>
              </w:rPr>
              <w:t xml:space="preserve">στα φυτά ή στους μύκητες </w:t>
            </w:r>
            <w:r w:rsidRPr="00AC4460">
              <w:t xml:space="preserve">ή να βελτιώσει </w:t>
            </w:r>
            <w:r w:rsidRPr="00AC4460">
              <w:rPr>
                <w:b/>
                <w:i/>
              </w:rPr>
              <w:t xml:space="preserve">τις συνθήκες φυσικής ή βιολογικής ανάπτυξής τους ή τη γενικότερη ευρωστία τους, τις αποδόσεις και </w:t>
            </w:r>
            <w:r w:rsidRPr="00AC4460">
              <w:t xml:space="preserve">την </w:t>
            </w:r>
            <w:r w:rsidRPr="00AC4460">
              <w:rPr>
                <w:b/>
                <w:i/>
              </w:rPr>
              <w:t>ποιότητα, μεταξύ άλλων με την ενίσχυση</w:t>
            </w:r>
            <w:r w:rsidRPr="00AC4460">
              <w:t xml:space="preserve"> της </w:t>
            </w:r>
            <w:r w:rsidRPr="00AC4460">
              <w:rPr>
                <w:b/>
                <w:i/>
              </w:rPr>
              <w:t>ικανότητας του φυτού όσον αφορά την πρόσληψη θρεπτικών ουσιών από τη φυλλόσφαιρα (με εξαίρεση τα φυτοπροστατευτικά προϊόντα που καλύπτονται από τον κανονισμό (ΕΚ) αριθ. 1107/2009).</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39</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2 – παράγραφος 1 – σημείο 3</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w:t>
            </w:r>
            <w:r w:rsidRPr="00AC4460">
              <w:tab/>
              <w:t xml:space="preserve">«ουσία»: κάθε </w:t>
            </w:r>
            <w:r w:rsidRPr="00AC4460">
              <w:rPr>
                <w:b/>
                <w:i/>
              </w:rPr>
              <w:t>ουσία κατά την έννοια</w:t>
            </w:r>
            <w:r w:rsidRPr="00AC4460">
              <w:t xml:space="preserve"> του </w:t>
            </w:r>
            <w:r w:rsidRPr="00AC4460">
              <w:rPr>
                <w:b/>
                <w:i/>
              </w:rPr>
              <w:t xml:space="preserve">άρθρου 3 σημείο 1 του κανονισμού (ΕΚ) αριθ. 1907/2006· </w:t>
            </w:r>
          </w:p>
        </w:tc>
        <w:tc>
          <w:tcPr>
            <w:tcW w:w="4876" w:type="dxa"/>
          </w:tcPr>
          <w:p w:rsidR="00E451E4" w:rsidRPr="00AC4460" w:rsidRDefault="00E451E4" w:rsidP="000A61DD">
            <w:pPr>
              <w:pStyle w:val="Normal6"/>
            </w:pPr>
            <w:r w:rsidRPr="00AC4460">
              <w:t>(3)</w:t>
            </w:r>
            <w:r w:rsidRPr="00AC4460">
              <w:tab/>
              <w:t xml:space="preserve">«ουσία»: κάθε </w:t>
            </w:r>
            <w:r w:rsidRPr="00AC4460">
              <w:rPr>
                <w:b/>
                <w:i/>
              </w:rPr>
              <w:t>χημικό στοιχείο και οι ενώσεις</w:t>
            </w:r>
            <w:r w:rsidRPr="00AC4460">
              <w:t xml:space="preserve"> του </w:t>
            </w:r>
            <w:r w:rsidRPr="00AC4460">
              <w:rPr>
                <w:b/>
                <w:i/>
              </w:rPr>
              <w:t>σε φυσική κατάσταση ή όπως λαμβάνονται από οιαδήποτε διεργασία παραγωγής, συμπεριλαμβανομένου κάθε προσθέτου που είναι απαραίτητο για τη διατήρηση της σταθερότητάς της και κάθε πρόσμειξης που προέρχεται από τη χρησιμοποιούμενη διεργασία, αλλά αποκλειόμενου κάθε διαλύτη που μπορεί να διαχωριστεί χωρίς να επηρεάσει τη σταθερότητα της ουσίας ή να μεταβάλει τη σύνθεσή της.</w:t>
            </w:r>
          </w:p>
        </w:tc>
      </w:tr>
    </w:tbl>
    <w:p w:rsidR="00E451E4" w:rsidRPr="00B0345A" w:rsidRDefault="00E451E4" w:rsidP="00E451E4">
      <w:r>
        <w:rPr>
          <w:rStyle w:val="HideTWBExt"/>
          <w:noProof w:val="0"/>
        </w:rPr>
        <w:t>&lt;/Amend&gt;</w:t>
      </w:r>
    </w:p>
    <w:p w:rsidR="00E451E4" w:rsidRPr="00B0345A" w:rsidRDefault="00E451E4" w:rsidP="00E451E4"/>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2 – παράγραφος 1 – σημείο 13</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(13)</w:t>
            </w:r>
            <w:r w:rsidRPr="00AC4460">
              <w:tab/>
              <w:t xml:space="preserve">«τεχνική προδιαγραφή»: έγγραφο με το οποίο ορίζονται οι τεχνικές απαιτήσεις που πρέπει να πληροί ένα προϊόν λίπανσης με σήμανση </w:t>
            </w:r>
            <w:r w:rsidRPr="00AC4460">
              <w:rPr>
                <w:b/>
                <w:i/>
              </w:rPr>
              <w:t xml:space="preserve">CE· </w:t>
            </w:r>
          </w:p>
        </w:tc>
        <w:tc>
          <w:tcPr>
            <w:tcW w:w="4876" w:type="dxa"/>
          </w:tcPr>
          <w:p w:rsidR="00E451E4" w:rsidRPr="00AC4460" w:rsidRDefault="00E451E4" w:rsidP="000A61DD">
            <w:pPr>
              <w:pStyle w:val="Normal6"/>
              <w:rPr>
                <w:szCs w:val="24"/>
              </w:rPr>
            </w:pPr>
            <w:r w:rsidRPr="00AC4460">
              <w:t>(13)</w:t>
            </w:r>
            <w:r w:rsidRPr="00AC4460">
              <w:tab/>
              <w:t xml:space="preserve">«τεχνική προδιαγραφή»: έγγραφο με το οποίο ορίζονται οι τεχνικές απαιτήσεις που πρέπει να πληροί ένα προϊόν λίπανσης με σήμανση </w:t>
            </w:r>
            <w:r w:rsidRPr="00AC4460">
              <w:rPr>
                <w:b/>
                <w:i/>
              </w:rPr>
              <w:t>CE ή η διαδικασία παραγωγής του·</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3 – παράγραφος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Τα κράτη μέλη δεν εμποδίζουν τη διάθεση στην αγορά όσων προϊόντων λίπανσης με σήμανση CE συμμορφώνονται με τον παρόντα κανονισμό.</w:t>
            </w:r>
          </w:p>
        </w:tc>
        <w:tc>
          <w:tcPr>
            <w:tcW w:w="4876" w:type="dxa"/>
          </w:tcPr>
          <w:p w:rsidR="00E451E4" w:rsidRPr="00AC4460" w:rsidRDefault="00E451E4" w:rsidP="000A61DD">
            <w:pPr>
              <w:pStyle w:val="Normal6"/>
              <w:rPr>
                <w:szCs w:val="24"/>
              </w:rPr>
            </w:pPr>
            <w:r w:rsidRPr="00AC4460">
              <w:t>Τα κράτη μέλη δεν εμποδίζουν</w:t>
            </w:r>
            <w:r w:rsidRPr="00AC4460">
              <w:rPr>
                <w:b/>
                <w:i/>
              </w:rPr>
              <w:t>, όσον αφορά τις πτυχές και τους κινδύνους που καλύπτονται από τον παρόντα κανονισμό,</w:t>
            </w:r>
            <w:r w:rsidRPr="00AC4460">
              <w:t xml:space="preserve"> τη διάθεση στην αγορά όσων προϊόντων λίπανσης με σήμανση CE συμμορφώνονται με τον παρόντα κανονισμό.</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42</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3 – παράγραφος 1 α (νέα)</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Ο παρών κανονισμός δεν εμποδίζει τα κράτη μέλη να διατηρούν ή να θεσπίζουν διατάξεις, οι οποίες είναι σύμφωνες με τις Συνθήκες, σχετικά με τη χρήση προϊόντων λίπανσης με σήμανση CE με σκοπό την προστασία της ανθρώπινης υγείας και του περιβάλλοντος, υπό την προϋπόθεση ότι οι διατάξεις αυτές δεν απαιτούν τροποποίηση των προϊόντων λίπανσης με σήμανση CE και είναι σύμφωνα με τον παρόντα κανονισμό και δεν επηρεάζουν τους όρους διάθεσης στην αγορά.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4 – παράγραφος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2.</w:t>
            </w:r>
            <w:r w:rsidRPr="00AC4460">
              <w:rPr>
                <w:b/>
                <w:i/>
              </w:rPr>
              <w:tab/>
              <w:t>Για τυχόν θέματα που δεν καλύπτονται από τα παραρτήματα Ι ή ΙΙ, τα προϊόντα λίπανσης με σήμανση CE ικανοποιούν την απαίτηση πως η χρήση τους, όπως αυτή περιγράφεται στις οδηγίες χρήσης, δεν καθιστά τρόφιμα ή ζωοτροφές φυτικής προέλευσης μη ασφαλή κατά την έννοια των άρθρων 14 και 15 αντίστοιχα του κανονισμού (ΕΚ) αριθ. 178/2002.</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44</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 – παράγραφος 2 α (νέα)</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2α.</w:t>
            </w:r>
            <w:r w:rsidRPr="00AC4460">
              <w:tab/>
            </w:r>
            <w:r w:rsidRPr="00AC4460">
              <w:rPr>
                <w:b/>
                <w:i/>
              </w:rPr>
              <w:t>Η Επιτροπή, ταυτόχρονα με τη δημοσίευση του παρόντος κανονισμού στην Επίσημη Εφημερίδα της Ευρωπαϊκής Ένωσης, δημοσιεύει έγγραφο καθοδήγησης με το οποίο παρέχονται σαφήνεια και παραδείγματα στους παρασκευαστές και τις αρχές εποπτείας της αγοράς σχετικά με τη μορφή που θα πρέπει να έχει η ετικέτα. Στο εν λόγω έγγραφο καθοδήγησης προσδιορίζονται επίσης άλλες συναφείς πληροφορίες, όπως αναφέρονται στο μέρος 1 παράγραφος 2 στοιχείο δ) του παραρτήματος ΙΙΙ.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6 – παράγραφος 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w:t>
            </w:r>
            <w:r w:rsidRPr="00AC4460">
              <w:tab/>
              <w:t xml:space="preserve">Οι παρασκευαστές φυλάσσουν τον τεχνικό φάκελο και τη δήλωση συμμόρφωσης ΕΕ για διάστημα </w:t>
            </w:r>
            <w:r w:rsidRPr="00AC4460">
              <w:rPr>
                <w:b/>
                <w:i/>
              </w:rPr>
              <w:t>10</w:t>
            </w:r>
            <w:r w:rsidRPr="00AC4460">
              <w:t xml:space="preserve"> ετών από την ημερομηνία που θα τεθεί σε κυκλοφορία το προϊόν λίπανσης με σήμανση CE που καλύπτεται από τα έγγραφα αυτά.</w:t>
            </w:r>
          </w:p>
        </w:tc>
        <w:tc>
          <w:tcPr>
            <w:tcW w:w="4876" w:type="dxa"/>
          </w:tcPr>
          <w:p w:rsidR="00E451E4" w:rsidRPr="00AC4460" w:rsidRDefault="00E451E4" w:rsidP="000A61DD">
            <w:pPr>
              <w:pStyle w:val="Normal6"/>
            </w:pPr>
            <w:r w:rsidRPr="00AC4460">
              <w:t>3.</w:t>
            </w:r>
            <w:r w:rsidRPr="00AC4460">
              <w:tab/>
              <w:t xml:space="preserve">Οι παρασκευαστές φυλάσσουν τον τεχνικό φάκελο και τη δήλωση συμμόρφωσης ΕΕ για διάστημα </w:t>
            </w:r>
            <w:r w:rsidRPr="00AC4460">
              <w:rPr>
                <w:b/>
                <w:i/>
              </w:rPr>
              <w:t>πέντε</w:t>
            </w:r>
            <w:r w:rsidRPr="00AC4460">
              <w:t xml:space="preserve"> ετών από την ημερομηνία που θα τεθεί σε κυκλοφορία το προϊόν λίπανσης με σήμανση CE που καλύπτεται από τα έγγραφα αυτά. </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i/>
              </w:rPr>
              <w:t>(Οριζόντια τροπολογία σχετικά με την προθεσμία φύλαξης όλων των τεχνικών εγγράφων· Η έγκρισή της θα απαιτήσει αντίστοιχες προσαρμογές σε όλο το κείμενο και, κατά συνέπεια, στις εγκριθείσες τροπολογίες).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46</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6 – παράγραφος 4 – εδάφιο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Οι παρασκευαστές διασφαλίζουν ότι εφαρμόζονται διαδικασίες ώστε τα προϊόντα λίπανσης με σήμανση CE που αποτελούν μέρος παραγωγής εν σειρά να συμμορφώνονται διαρκώς προς τον παρόντα κανονισμό. Οι αλλαγές </w:t>
            </w:r>
            <w:r w:rsidRPr="00AC4460">
              <w:rPr>
                <w:b/>
                <w:i/>
              </w:rPr>
              <w:t xml:space="preserve">στη μέθοδο παραγωγής ή </w:t>
            </w:r>
            <w:r w:rsidRPr="00AC4460">
              <w:t>στα χαρακτηριστικά τέτοιων προϊόντων λίπανσης και οι αλλαγές στα εναρμονισμένα πρότυπα, στις κοινές προδιαγραφές που αναφέρονται στο άρθρο 13 ή σε άλλες τεχνικές προδιαγραφές προς τις οποίες δηλώνεται η συμμόρφωση ενός προϊόντος λίπανσης με σήμανση CE λαμβάνονται δεόντως υπόψη.</w:t>
            </w:r>
          </w:p>
        </w:tc>
        <w:tc>
          <w:tcPr>
            <w:tcW w:w="4876" w:type="dxa"/>
          </w:tcPr>
          <w:p w:rsidR="00E451E4" w:rsidRPr="00AC4460" w:rsidRDefault="00E451E4" w:rsidP="000A61DD">
            <w:pPr>
              <w:pStyle w:val="Normal6"/>
              <w:rPr>
                <w:szCs w:val="24"/>
              </w:rPr>
            </w:pPr>
            <w:r w:rsidRPr="00AC4460">
              <w:t>Οι παρασκευαστές διασφαλίζουν ότι εφαρμόζονται διαδικασίες ώστε τα προϊόντα λίπανσης με σήμανση CE που αποτελούν μέρος παραγωγής εν σειρά να συμμορφώνονται διαρκώς προς τον παρόντα κανονισμό. Οι αλλαγές στα χαρακτηριστικά τέτοιων προϊόντων λίπανσης και οι αλλαγές στα εναρμονισμένα πρότυπα, στις κοινές προδιαγραφές που αναφέρονται στο άρθρο 13 ή σε άλλες τεχνικές προδιαγραφές προς τις οποίες δηλώνεται η συμμόρφωση ενός προϊόντος λίπανσης με σήμανση CE λαμβάνονται δεόντως υπόψη.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6 – παράγραφος 4 – εδάφιο 2</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Όταν κρίνεται σκόπιμο, όσον αφορά τις επιδόσεις ή τους κινδύνους ενός προϊόντος λίπανσης με σήμανση CE, οι παρασκευαστές διενεργούν δειγματοληπτικές δοκιμές σε τέτοια προϊόντα λίπανσης που διατίθενται στην αγορά, διερευνούν τις σχετικές καταγγελίες και</w:t>
            </w:r>
            <w:r w:rsidRPr="00AC4460">
              <w:rPr>
                <w:b/>
                <w:i/>
              </w:rPr>
              <w:t>, εφόσον απαιτείται,</w:t>
            </w:r>
            <w:r w:rsidRPr="00AC4460">
              <w:t xml:space="preserve"> διατηρούν αρχείο με τις καταγγελίες, με τα μη συμμορφούμενα προϊόντα λίπανσης με σήμανση CE και με τις ανακλήσεις τέτοιων προϊόντων, και τηρούν ενήμερους τους διανομείς για την εν λόγω παρακολούθηση.</w:t>
            </w:r>
          </w:p>
        </w:tc>
        <w:tc>
          <w:tcPr>
            <w:tcW w:w="4876" w:type="dxa"/>
          </w:tcPr>
          <w:p w:rsidR="00E451E4" w:rsidRPr="00AC4460" w:rsidRDefault="00E451E4" w:rsidP="000A61DD">
            <w:pPr>
              <w:pStyle w:val="Normal6"/>
            </w:pPr>
            <w:r w:rsidRPr="00AC4460">
              <w:t>Όταν κρίνεται σκόπιμο, όσον αφορά τις επιδόσεις ή τους κινδύνους ενός προϊόντος λίπανσης με σήμανση CE, οι παρασκευαστές</w:t>
            </w:r>
            <w:r w:rsidRPr="00AC4460">
              <w:rPr>
                <w:b/>
                <w:i/>
              </w:rPr>
              <w:t>, για να προστατεύσουν την υγεία και την ασφάλεια των καταναλωτών και του περιβάλλοντος,</w:t>
            </w:r>
            <w:r w:rsidRPr="00AC4460">
              <w:t xml:space="preserve"> διενεργούν δειγματοληπτικές δοκιμές σε τέτοια προϊόντα λίπανσης που διατίθενται στην αγορά, διερευνούν τις σχετικές καταγγελίες και διατηρούν αρχείο με τις καταγγελίες, με τα μη συμμορφούμενα προϊόντα λίπανσης με σήμανση CE και με τις ανακλήσεις τέτοιων προϊόντων, και τηρούν ενήμερους τους διανομείς</w:t>
            </w:r>
            <w:r w:rsidRPr="00AC4460">
              <w:rPr>
                <w:b/>
                <w:i/>
              </w:rPr>
              <w:t xml:space="preserve"> και τις αρχές εποπτείας της αγοράς</w:t>
            </w:r>
            <w:r w:rsidRPr="00AC4460">
              <w:t xml:space="preserve"> για την εν λόγω παρακολούθηση.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6 – παράγραφος 6</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6.</w:t>
            </w:r>
            <w:r w:rsidRPr="00AC4460">
              <w:tab/>
              <w:t xml:space="preserve">Οι παρασκευαστές αναγράφουν την ονομασία, την καταχωρισμένη εμπορική επωνυμία ή το σήμα κατατεθέν τους και την ταχυδρομική διεύθυνση επικοινωνίας τους πάνω στη συσκευασία του προϊόντος λίπανσης ή, όταν το προϊόν λίπανσης με σήμανση CE παρέχεται χωρίς συσκευασία, σε έγγραφο που συνοδεύει το προϊόν λίπανσης. Η ταχυδρομική διεύθυνση αντιστοιχεί σε ένα μοναδικό σημείο επικοινωνίας με τον παρασκευαστή. </w:t>
            </w:r>
            <w:r w:rsidRPr="00AC4460">
              <w:rPr>
                <w:b/>
                <w:i/>
              </w:rPr>
              <w:t>Τα στοιχεία επικοινωνίας</w:t>
            </w:r>
            <w:r w:rsidRPr="00AC4460">
              <w:t xml:space="preserve"> διατυπώνονται σε γλώσσα εύκολα κατανοητή από τους τελικούς χρήστες και τις αρχές εποπτείας της αγοράς.</w:t>
            </w:r>
          </w:p>
        </w:tc>
        <w:tc>
          <w:tcPr>
            <w:tcW w:w="4876" w:type="dxa"/>
          </w:tcPr>
          <w:p w:rsidR="00E451E4" w:rsidRPr="00AC4460" w:rsidRDefault="00E451E4" w:rsidP="000A61DD">
            <w:pPr>
              <w:pStyle w:val="Normal6"/>
            </w:pPr>
            <w:r w:rsidRPr="00AC4460">
              <w:t>6.</w:t>
            </w:r>
            <w:r w:rsidRPr="00AC4460">
              <w:tab/>
              <w:t xml:space="preserve">Οι παρασκευαστές αναγράφουν την ονομασία, την καταχωρισμένη εμπορική επωνυμία ή το σήμα κατατεθέν τους και την ταχυδρομική διεύθυνση επικοινωνίας τους πάνω στη συσκευασία του προϊόντος λίπανσης ή, όταν το προϊόν λίπανσης με σήμανση CE παρέχεται χωρίς συσκευασία, σε έγγραφο που συνοδεύει το προϊόν λίπανσης. Η ταχυδρομική διεύθυνση αντιστοιχεί σε ένα μοναδικό σημείο επικοινωνίας με τον παρασκευαστή. </w:t>
            </w:r>
            <w:r w:rsidRPr="00AC4460">
              <w:rPr>
                <w:b/>
                <w:i/>
              </w:rPr>
              <w:t>Οι προαναφερθείσες πληροφορίες</w:t>
            </w:r>
            <w:r w:rsidRPr="00AC4460">
              <w:t xml:space="preserve"> διατυπώνονται σε γλώσσα εύκολα κατανοητή από τους τελικούς χρήστες και τις αρχές εποπτείας της αγοράς</w:t>
            </w:r>
            <w:r w:rsidRPr="00AC4460">
              <w:rPr>
                <w:b/>
                <w:i/>
              </w:rPr>
              <w:t>, όπως αυτό αποφασίζεται από το οικείο κράτος μέλος, πρέπει δε να είναι σαφείς, κατανοητές και ευανάγνωστες</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6 – παράγραφος 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7.</w:t>
            </w:r>
            <w:r w:rsidRPr="00AC4460">
              <w:tab/>
              <w:t xml:space="preserve">Οι </w:t>
            </w:r>
            <w:r w:rsidRPr="00AC4460">
              <w:rPr>
                <w:b/>
                <w:i/>
              </w:rPr>
              <w:t>παρασκευαστές</w:t>
            </w:r>
            <w:r w:rsidRPr="00AC4460">
              <w:t xml:space="preserve"> διασφαλίζουν ότι το προϊόν λίπανσης με σήμανση CE επισημαίνεται σύμφωνα με το παράρτημα III ή, όταν το προϊόν λίπανσης παρέχεται χωρίς συσκευασία, ότι οι </w:t>
            </w:r>
            <w:r w:rsidRPr="00AC4460">
              <w:rPr>
                <w:b/>
                <w:i/>
              </w:rPr>
              <w:t>δηλώσεις επισήμανσης</w:t>
            </w:r>
            <w:r w:rsidRPr="00AC4460">
              <w:t xml:space="preserve"> περιλαμβάνονται σε έγγραφο που συνοδεύει το προϊόν λίπανσης </w:t>
            </w:r>
            <w:r w:rsidRPr="00AC4460">
              <w:rPr>
                <w:b/>
                <w:i/>
              </w:rPr>
              <w:t>και είναι προσβάσιμο για σκοπούς επιθεώρησης όταν το προϊόν τίθεται σε κυκλοφορία. Η δήλωση επισήμανσης διατυπώνεται</w:t>
            </w:r>
            <w:r w:rsidRPr="00AC4460">
              <w:t xml:space="preserve"> σε γλώσσα εύκολα κατανοητή από τους τελικούς χρήστες, όπως αυτό αποφασίζεται από το οικείο κράτος μέλος, και πρέπει να είναι </w:t>
            </w:r>
            <w:r w:rsidRPr="00AC4460">
              <w:rPr>
                <w:b/>
                <w:i/>
              </w:rPr>
              <w:t>σαφής</w:t>
            </w:r>
            <w:r w:rsidRPr="00AC4460">
              <w:t xml:space="preserve">, </w:t>
            </w:r>
            <w:r w:rsidRPr="00AC4460">
              <w:rPr>
                <w:b/>
                <w:i/>
              </w:rPr>
              <w:t>κατανοητή</w:t>
            </w:r>
            <w:r w:rsidRPr="00AC4460">
              <w:t xml:space="preserve"> και </w:t>
            </w:r>
            <w:r w:rsidRPr="00AC4460">
              <w:rPr>
                <w:b/>
                <w:i/>
              </w:rPr>
              <w:t>εύληπτη</w:t>
            </w:r>
            <w:r w:rsidRPr="00AC4460">
              <w:t>.</w:t>
            </w:r>
          </w:p>
        </w:tc>
        <w:tc>
          <w:tcPr>
            <w:tcW w:w="4876" w:type="dxa"/>
          </w:tcPr>
          <w:p w:rsidR="00E451E4" w:rsidRPr="00AC4460" w:rsidRDefault="00E451E4" w:rsidP="000A61DD">
            <w:pPr>
              <w:pStyle w:val="Normal6"/>
            </w:pPr>
            <w:r w:rsidRPr="00AC4460">
              <w:t>7.</w:t>
            </w:r>
            <w:r w:rsidRPr="00AC4460">
              <w:tab/>
              <w:t xml:space="preserve">Οι </w:t>
            </w:r>
            <w:r w:rsidRPr="00AC4460">
              <w:rPr>
                <w:b/>
                <w:i/>
              </w:rPr>
              <w:t>εισαγωγείς</w:t>
            </w:r>
            <w:r w:rsidRPr="00AC4460">
              <w:t xml:space="preserve"> διασφαλίζουν ότι το προϊόν λίπανσης με σήμανση CE επισημαίνεται σύμφωνα με το παράρτημα III ή, όταν </w:t>
            </w:r>
            <w:r w:rsidRPr="00AC4460">
              <w:rPr>
                <w:b/>
                <w:i/>
              </w:rPr>
              <w:t xml:space="preserve">η συσκευασία είναι τόσο μικρή που η ετικέτα δεν μπορεί να περιέχει όλες τις πληροφορίες ή όταν </w:t>
            </w:r>
            <w:r w:rsidRPr="00AC4460">
              <w:t xml:space="preserve">το προϊόν λίπανσης </w:t>
            </w:r>
            <w:r w:rsidRPr="00AC4460">
              <w:rPr>
                <w:b/>
                <w:i/>
              </w:rPr>
              <w:t xml:space="preserve">με σήμανση CE </w:t>
            </w:r>
            <w:r w:rsidRPr="00AC4460">
              <w:t xml:space="preserve">παρέχεται χωρίς συσκευασία, ότι οι </w:t>
            </w:r>
            <w:r w:rsidRPr="00AC4460">
              <w:rPr>
                <w:b/>
                <w:i/>
              </w:rPr>
              <w:t>απαιτούμενες πληροφορίες</w:t>
            </w:r>
            <w:r w:rsidRPr="00AC4460">
              <w:t xml:space="preserve"> περιλαμβάνονται σε έγγραφο που συνοδεύει το προϊόν λίπανσης </w:t>
            </w:r>
            <w:r w:rsidRPr="00AC4460">
              <w:rPr>
                <w:b/>
                <w:i/>
              </w:rPr>
              <w:t>με σήμανση CE. Οι πληροφορίες που απαιτούνται σύμφωνα με το παράρτημα ΙΙΙ διατυπώνονται</w:t>
            </w:r>
            <w:r w:rsidRPr="00AC4460">
              <w:t xml:space="preserve"> σε γλώσσα εύκολα κατανοητή από τους τελικούς χρήστες, όπως αυτό αποφασίζεται από το οικείο κράτος μέλος, και πρέπει να είναι </w:t>
            </w:r>
            <w:r w:rsidRPr="00AC4460">
              <w:rPr>
                <w:b/>
                <w:i/>
              </w:rPr>
              <w:t>σαφείς</w:t>
            </w:r>
            <w:r w:rsidRPr="00AC4460">
              <w:t xml:space="preserve">, </w:t>
            </w:r>
            <w:r w:rsidRPr="00AC4460">
              <w:rPr>
                <w:b/>
                <w:i/>
              </w:rPr>
              <w:t>κατανοητές</w:t>
            </w:r>
            <w:r w:rsidRPr="00AC4460">
              <w:t xml:space="preserve"> και </w:t>
            </w:r>
            <w:r w:rsidRPr="00AC4460">
              <w:rPr>
                <w:b/>
                <w:i/>
              </w:rPr>
              <w:t>εύληπτες</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6 – παράγραφος 10 – εισαγωγικό μέρος</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10.</w:t>
            </w:r>
            <w:r w:rsidRPr="00AC4460">
              <w:tab/>
              <w:t xml:space="preserve">Ο παρασκευαστής υποβάλλει στην αρμόδια αρχή του κράτους μέλους προορισμού έκθεση δοκιμής εκρηκτικότητας όπως καθορίζεται στο παράρτημα IV </w:t>
            </w:r>
            <w:r w:rsidRPr="00AC4460">
              <w:rPr>
                <w:b/>
                <w:i/>
              </w:rPr>
              <w:t>για</w:t>
            </w:r>
            <w:r w:rsidRPr="00AC4460">
              <w:t xml:space="preserve"> τα εξής προϊόντα λίπανσης με σήμανση CE:</w:t>
            </w:r>
          </w:p>
        </w:tc>
        <w:tc>
          <w:tcPr>
            <w:tcW w:w="4876" w:type="dxa"/>
          </w:tcPr>
          <w:p w:rsidR="00E451E4" w:rsidRPr="00AC4460" w:rsidRDefault="00E451E4" w:rsidP="000A61DD">
            <w:pPr>
              <w:pStyle w:val="Normal6"/>
              <w:rPr>
                <w:szCs w:val="24"/>
              </w:rPr>
            </w:pPr>
            <w:r w:rsidRPr="00AC4460">
              <w:t>10.</w:t>
            </w:r>
            <w:r w:rsidRPr="00AC4460">
              <w:tab/>
              <w:t xml:space="preserve">Ο παρασκευαστής υποβάλλει στην αρμόδια αρχή του κράτους μέλους προορισμού έκθεση δοκιμής εκρηκτικότητας όπως καθορίζεται στο παράρτημα IV </w:t>
            </w:r>
            <w:r w:rsidRPr="00AC4460">
              <w:rPr>
                <w:b/>
                <w:i/>
              </w:rPr>
              <w:t>και εγγυάται ότι</w:t>
            </w:r>
            <w:r w:rsidRPr="00AC4460">
              <w:t xml:space="preserve"> τα εξής προϊόντα λίπανσης με σήμανση CE</w:t>
            </w:r>
            <w:r w:rsidRPr="00AC4460">
              <w:rPr>
                <w:b/>
                <w:i/>
              </w:rPr>
              <w:t xml:space="preserve"> είναι ικανά να υποβληθούν με επιτυχία σε αυτή τη δοκιμή</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51</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6 – παράγραφος 10 – εδάφιο 1 – στοιχείο β</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r>
            <w:r w:rsidRPr="00AC4460">
              <w:rPr>
                <w:b/>
                <w:i/>
              </w:rPr>
              <w:t>σύμμεικτα προϊόντα λίπανσης</w:t>
            </w:r>
            <w:r w:rsidRPr="00AC4460">
              <w:t xml:space="preserve">, όπως καθορίζονται στην κατηγορία λειτουργίας προϊόντος 7 στο παράρτημα I, </w:t>
            </w:r>
            <w:r w:rsidRPr="00AC4460">
              <w:rPr>
                <w:b/>
                <w:i/>
              </w:rPr>
              <w:t>τα οποία</w:t>
            </w:r>
            <w:r w:rsidRPr="00AC4460">
              <w:t xml:space="preserve"> περιέχουν ένα από τα λιπάσματα που αναφέρονται στο στοιχείο α).</w:t>
            </w:r>
          </w:p>
        </w:tc>
        <w:tc>
          <w:tcPr>
            <w:tcW w:w="4876" w:type="dxa"/>
          </w:tcPr>
          <w:p w:rsidR="00E451E4" w:rsidRPr="00AC4460" w:rsidRDefault="00E451E4" w:rsidP="000A61DD">
            <w:pPr>
              <w:pStyle w:val="Normal6"/>
            </w:pPr>
            <w:r w:rsidRPr="00AC4460">
              <w:t>β)</w:t>
            </w:r>
            <w:r w:rsidRPr="00AC4460">
              <w:tab/>
            </w:r>
            <w:r w:rsidRPr="00AC4460">
              <w:rPr>
                <w:b/>
                <w:i/>
              </w:rPr>
              <w:t>συνδυασμοί από διαφορετικές κατηγορίες λειτουργίας προϊόντος</w:t>
            </w:r>
            <w:r w:rsidRPr="00AC4460">
              <w:t xml:space="preserve">, όπως καθορίζονται στην κατηγορία λειτουργίας προϊόντος 7 στο παράρτημα I, </w:t>
            </w:r>
            <w:r w:rsidRPr="00AC4460">
              <w:rPr>
                <w:b/>
                <w:i/>
              </w:rPr>
              <w:t>οι οποίοι</w:t>
            </w:r>
            <w:r w:rsidRPr="00AC4460">
              <w:t xml:space="preserve"> περιέχουν ένα από τα λιπάσματα που αναφέρονται στο στοιχείο 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6 – παράγραφος 10 – εδάφιο 2</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Η έκθεση υποβάλλεται τουλάχιστον πέντε ημέρες πριν από τη θέση των εν λόγω προϊόντων σε κυκλοφορία.</w:t>
            </w:r>
          </w:p>
        </w:tc>
        <w:tc>
          <w:tcPr>
            <w:tcW w:w="4876" w:type="dxa"/>
          </w:tcPr>
          <w:p w:rsidR="00E451E4" w:rsidRPr="00AC4460" w:rsidRDefault="00E451E4" w:rsidP="000A61DD">
            <w:pPr>
              <w:pStyle w:val="Normal6"/>
            </w:pPr>
            <w:r w:rsidRPr="00AC4460">
              <w:t xml:space="preserve">Η έκθεση υποβάλλεται τουλάχιστον πέντε </w:t>
            </w:r>
            <w:r w:rsidRPr="00AC4460">
              <w:rPr>
                <w:b/>
                <w:i/>
              </w:rPr>
              <w:t xml:space="preserve">εργάσιμες </w:t>
            </w:r>
            <w:r w:rsidRPr="00AC4460">
              <w:t xml:space="preserve">ημέρες πριν από τη θέση των εν λόγω προϊόντων σε κυκλοφορία. </w:t>
            </w:r>
            <w:r w:rsidRPr="00AC4460">
              <w:rPr>
                <w:b/>
                <w:i/>
              </w:rPr>
              <w:t>Κατάλογος των αρμόδιων αρχών των κρατών μελών παρέχεται από την Επιτροπή στον ιστότοπό της.</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53</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B0345A" w:rsidRDefault="00E451E4" w:rsidP="00E451E4">
      <w:pPr>
        <w:pStyle w:val="NormalBold"/>
      </w:pPr>
      <w:r>
        <w:rPr>
          <w:rStyle w:val="HideTWBExt"/>
          <w:noProof w:val="0"/>
        </w:rPr>
        <w:t>&lt;Article&gt;</w:t>
      </w:r>
      <w:r w:rsidRPr="00AC4460">
        <w:t>Άρθρο 8 – παράγραφος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r>
            <w:r w:rsidRPr="00AC4460">
              <w:rPr>
                <w:b/>
                <w:i/>
              </w:rPr>
              <w:t>Οι εισαγωγείς θέτουν σε κυκλοφορία μόνο συμμορφούμενα προϊόντα λίπανσης με σήμανση CE</w:t>
            </w:r>
            <w:r w:rsidRPr="00AC4460">
              <w:t>.</w:t>
            </w:r>
          </w:p>
        </w:tc>
        <w:tc>
          <w:tcPr>
            <w:tcW w:w="4876" w:type="dxa"/>
          </w:tcPr>
          <w:p w:rsidR="00E451E4" w:rsidRPr="00AC4460" w:rsidRDefault="00E451E4" w:rsidP="000A61DD">
            <w:pPr>
              <w:pStyle w:val="Normal6"/>
            </w:pPr>
            <w:r w:rsidRPr="00AC4460">
              <w:t>1.</w:t>
            </w:r>
            <w:r w:rsidRPr="00AC4460">
              <w:tab/>
            </w:r>
            <w:r w:rsidRPr="00AC4460">
              <w:rPr>
                <w:b/>
                <w:i/>
              </w:rPr>
              <w:t>Μόνο συμμορφούμενο λίπασμα με σήμανση CE μπορεί να εισαχθεί στην Ένωση και να διατεθεί στην ενωσιακή αγορά</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8 – παράγραφος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t xml:space="preserve">Προτού θέσουν σε κυκλοφορία προϊόν λίπανσης με σήμανση CE, οι εισαγωγείς διασφαλίζουν ότι ο παρασκευαστής έχει διενεργήσει την κατάλληλη διαδικασία αξιολόγησης της συμμόρφωσης που αναφέρεται στο άρθρο 14. Διασφαλίζουν ότι ο παρασκευαστής έχει καταρτίσει τον τεχνικό φάκελο, ότι το προϊόν λίπανσης με σήμανση CE συνοδεύεται από τη δήλωση συμμόρφωσης ΕΕ και τα απαιτούμενα έγγραφα και ότι ο παρασκευαστής έχει τηρήσει τις απαιτήσεις του άρθρου 6 παράγραφοι 5 και 6. Όταν ο εισαγωγέας θεωρεί ή έχει λόγους να πιστεύει ότι ένα προϊόν λίπανσης με σήμανση CE δεν συμμορφώνεται με τις ισχύουσες απαιτήσεις </w:t>
            </w:r>
            <w:r w:rsidRPr="00AC4460">
              <w:rPr>
                <w:b/>
                <w:i/>
              </w:rPr>
              <w:t>των παραρτημάτων Ι, ΙΙ ή III</w:t>
            </w:r>
            <w:r w:rsidRPr="00AC4460">
              <w:t>, τότε δεν θέτει το προϊόν λίπανσης σε κυκλοφορία έως ότου επιτευχθεί η συμμόρφωση του προϊόντος. Επιπλέον, όταν το προϊόν λίπανσης με σήμανση CE συνιστά απαράδεκτο κίνδυνο για την υγεία του ανθρώπου, των ζώων ή των φυτών, για την ασφάλεια ή για το περιβάλλον, ο εισαγωγέας ενημερώνει σχετικά τον παρασκευαστή και τις αρχές εποπτείας της αγοράς.</w:t>
            </w:r>
          </w:p>
        </w:tc>
        <w:tc>
          <w:tcPr>
            <w:tcW w:w="4876" w:type="dxa"/>
          </w:tcPr>
          <w:p w:rsidR="00E451E4" w:rsidRPr="00AC4460" w:rsidRDefault="00E451E4" w:rsidP="000A61DD">
            <w:pPr>
              <w:pStyle w:val="Normal6"/>
            </w:pPr>
            <w:r w:rsidRPr="00AC4460">
              <w:t>2.</w:t>
            </w:r>
            <w:r w:rsidRPr="00AC4460">
              <w:tab/>
              <w:t xml:space="preserve">Προτού θέσουν σε κυκλοφορία προϊόν λίπανσης με σήμανση CE, οι εισαγωγείς διασφαλίζουν ότι ο παρασκευαστής έχει διενεργήσει την κατάλληλη διαδικασία αξιολόγησης της συμμόρφωσης που αναφέρεται στο άρθρο 14. Διασφαλίζουν ότι ο παρασκευαστής έχει καταρτίσει τον τεχνικό φάκελο, ότι το προϊόν λίπανσης με σήμανση CE συνοδεύεται από τη δήλωση συμμόρφωσης ΕΕ και τα απαιτούμενα έγγραφα και ότι ο παρασκευαστής έχει τηρήσει τις απαιτήσεις του άρθρου 6 παράγραφοι 5 και 6. Όταν ο εισαγωγέας θεωρεί ή έχει λόγους να πιστεύει ότι ένα προϊόν λίπανσης με σήμανση CE δεν συμμορφώνεται με τις ισχύουσες απαιτήσεις </w:t>
            </w:r>
            <w:r w:rsidRPr="00AC4460">
              <w:rPr>
                <w:b/>
                <w:i/>
              </w:rPr>
              <w:t>του παρόντος κανονισμού</w:t>
            </w:r>
            <w:r w:rsidRPr="00AC4460">
              <w:t>, τότε δεν θέτει το προϊόν λίπανσης σε κυκλοφορία έως ότου επιτευχθεί η συμμόρφωση του προϊόντος. Επιπλέον, όταν το προϊόν λίπανσης με σήμανση CE συνιστά απαράδεκτο κίνδυνο για την υγεία του ανθρώπου, των ζώων ή των φυτών, για την ασφάλεια ή για το περιβάλλον, ο εισαγωγέας ενημερώνει σχετικά τον παρασκευαστή και τις αρχές εποπτείας της αγοράς.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8 – παράγραφος 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w:t>
            </w:r>
            <w:r w:rsidRPr="00AC4460">
              <w:tab/>
              <w:t>Οι εισαγωγείς αναγράφουν την ονομασία, την καταχωρισμένη εμπορική επωνυμία ή το σήμα κατατεθέν τους και την ταχυδρομική διεύθυνση επικοινωνίας τους πάνω στη συσκευασία του προϊόντος λίπανσης με σήμανση CE ή, όταν το προϊόν λίπανσης με σήμανση CE παρέχεται χωρίς συσκευασία, σε έγγραφο που συνοδεύει το προϊόν λίπανσης. Τα στοιχεία επικοινωνίας διατυπώνονται σε γλώσσα εύκολα κατανοητή από τους τελικούς χρήστες και τις αρχές εποπτείας της αγοράς.</w:t>
            </w:r>
          </w:p>
        </w:tc>
        <w:tc>
          <w:tcPr>
            <w:tcW w:w="4876" w:type="dxa"/>
          </w:tcPr>
          <w:p w:rsidR="00E451E4" w:rsidRPr="00AC4460" w:rsidRDefault="00E451E4" w:rsidP="000A61DD">
            <w:pPr>
              <w:pStyle w:val="Normal6"/>
            </w:pPr>
            <w:r w:rsidRPr="00AC4460">
              <w:t>3.</w:t>
            </w:r>
            <w:r w:rsidRPr="00AC4460">
              <w:tab/>
              <w:t>Οι εισαγωγείς αναγράφουν την ονομασία, την καταχωρισμένη εμπορική επωνυμία ή το σήμα κατατεθέν τους και την ταχυδρομική διεύθυνση επικοινωνίας τους</w:t>
            </w:r>
            <w:r w:rsidRPr="00AC4460">
              <w:rPr>
                <w:b/>
                <w:i/>
              </w:rPr>
              <w:t>, καθώς και των παρασκευαστών από τρίτες χώρες,</w:t>
            </w:r>
            <w:r w:rsidRPr="00AC4460">
              <w:t xml:space="preserve"> πάνω στη συσκευασία του προϊόντος λίπανσης με σήμανση CE ή, όταν το προϊόν λίπανσης με σήμανση CE παρέχεται χωρίς συσκευασία, σε έγγραφο που συνοδεύει το προϊόν λίπανσης. Τα στοιχεία επικοινωνίας διατυπώνονται σε γλώσσα εύκολα κατανοητή από τους τελικούς χρήστες και τις αρχές εποπτείας της αγοράς.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8 – παράγραφος 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4.</w:t>
            </w:r>
            <w:r w:rsidRPr="00AC4460">
              <w:tab/>
              <w:t>Οι εισαγωγείς διασφαλίζουν ότι το προϊόν λίπανσης με σήμανση CE επισημαίνεται σύμφωνα με το παράρτημα III, σε γλώσσα εύκολα κατανοητή από τους τελικούς χρήστες, όπως έχει αποφασίσει το οικείο κράτος μέλος.</w:t>
            </w:r>
          </w:p>
        </w:tc>
        <w:tc>
          <w:tcPr>
            <w:tcW w:w="4876" w:type="dxa"/>
          </w:tcPr>
          <w:p w:rsidR="00E451E4" w:rsidRPr="00AC4460" w:rsidRDefault="00E451E4" w:rsidP="000A61DD">
            <w:pPr>
              <w:pStyle w:val="Normal6"/>
            </w:pPr>
            <w:r w:rsidRPr="00AC4460">
              <w:t>4.</w:t>
            </w:r>
            <w:r w:rsidRPr="00AC4460">
              <w:tab/>
              <w:t>Οι εισαγωγείς διασφαλίζουν ότι το προϊόν λίπανσης με σήμανση CE επισημαίνεται σύμφωνα με το παράρτημα III</w:t>
            </w:r>
            <w:r w:rsidRPr="00AC4460">
              <w:rPr>
                <w:b/>
                <w:i/>
              </w:rPr>
              <w:t xml:space="preserve"> ή</w:t>
            </w:r>
            <w:r w:rsidRPr="00AC4460">
              <w:t>,</w:t>
            </w:r>
            <w:r w:rsidRPr="00AC4460">
              <w:rPr>
                <w:b/>
                <w:i/>
              </w:rPr>
              <w:t xml:space="preserve"> όταν η συσκευασία είναι τόσο μικρή που η ετικέτα δεν μπορεί να περιέχει όλες τις πληροφορίες ή όταν το προϊόν λίπανσης με σήμανση CE παρέχεται χωρίς συσκευασία, ότι οι απαιτούμενες πληροφορίες περιλαμβάνονται σε έγγραφο που συνοδεύει το προϊόν λίπανσης με σήμανση CE. Οι πληροφορίες που απαιτούνται δυνάμει του παραρτήματος ΙΙΙ είναι διατυπωμένες</w:t>
            </w:r>
            <w:r w:rsidRPr="00AC4460">
              <w:t xml:space="preserve"> σε γλώσσα εύκολα κατανοητή από τους τελικούς χρήστες, όπως έχει αποφασίσει το οικείο κράτος μέλος.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8 – παράγραφος 6</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6.</w:t>
            </w:r>
            <w:r w:rsidRPr="00AC4460">
              <w:tab/>
              <w:t>Όταν κρίνεται σκόπιμο, όσον αφορά τις επιδόσεις ή τους κινδύνους ενός προϊόντος λίπανσης με σήμανση CE, οι εισαγωγείς διενεργούν δειγματοληπτικές δοκιμές σε τέτοια προϊόντα λίπανσης που διατίθενται στην αγορά, διερευνούν τις σχετικές καταγγελίες και</w:t>
            </w:r>
            <w:r w:rsidRPr="00AC4460">
              <w:rPr>
                <w:b/>
                <w:i/>
              </w:rPr>
              <w:t>, εφόσον απαιτείται,</w:t>
            </w:r>
            <w:r w:rsidRPr="00AC4460">
              <w:t xml:space="preserve"> διατηρούν αρχείο με τις καταγγελίες, με τα μη συμμορφούμενα προϊόντα λίπανσης με σήμανση CE και με τις ανακλήσεις τέτοιων προϊόντων, και τηρούν ενήμερους τους διανομείς για την εν λόγω παρακολούθηση.</w:t>
            </w:r>
          </w:p>
        </w:tc>
        <w:tc>
          <w:tcPr>
            <w:tcW w:w="4876" w:type="dxa"/>
          </w:tcPr>
          <w:p w:rsidR="00E451E4" w:rsidRPr="00AC4460" w:rsidRDefault="00E451E4" w:rsidP="000A61DD">
            <w:pPr>
              <w:pStyle w:val="Normal6"/>
            </w:pPr>
            <w:r w:rsidRPr="00AC4460">
              <w:t>6.</w:t>
            </w:r>
            <w:r w:rsidRPr="00AC4460">
              <w:tab/>
              <w:t>Όταν κρίνεται σκόπιμο, όσον αφορά τις επιδόσεις ή τους κινδύνους ενός προϊόντος λίπανσης με σήμανση CE, οι εισαγωγείς</w:t>
            </w:r>
            <w:r w:rsidRPr="00AC4460">
              <w:rPr>
                <w:b/>
                <w:i/>
              </w:rPr>
              <w:t>, για να προστατεύσουν την υγεία και την ασφάλεια των καταναλωτών και του περιβάλλοντος,</w:t>
            </w:r>
            <w:r w:rsidRPr="00AC4460">
              <w:t xml:space="preserve"> διενεργούν δειγματοληπτικές δοκιμές σε τέτοια προϊόντα λίπανσης που διατίθενται στην αγορά, διερευνούν τις σχετικές καταγγελίες και διατηρούν αρχείο με τις καταγγελίες, με τα μη συμμορφούμενα προϊόντα λίπανσης με σήμανση CE και με τις ανακλήσεις τέτοιων προϊόντων, και τηρούν ενήμερους τους διανομείς για την εν λόγω παρακολούθηση.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58</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8 – παράγραφος 8</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8.</w:t>
            </w:r>
            <w:r w:rsidRPr="00AC4460">
              <w:tab/>
              <w:t xml:space="preserve">Οι εισαγωγείς διατηρούν αντίγραφο της δήλωσης συμμόρφωσης ΕΕ στη διάθεση των αρχών που είναι αρμόδιες για την εποπτεία της αγοράς, για περίοδο </w:t>
            </w:r>
            <w:r w:rsidRPr="00AC4460">
              <w:rPr>
                <w:b/>
                <w:i/>
              </w:rPr>
              <w:t>10</w:t>
            </w:r>
            <w:r w:rsidRPr="00AC4460">
              <w:t xml:space="preserve"> ετών από την ημερομηνία που θα τεθεί σε κυκλοφορία το προϊόν λίπανσης με σήμανση CE, και διασφαλίζουν ότι ο τεχνικός φάκελος μπορεί να τεθεί στη διάθεση των εν λόγω αρχών, κατόπιν αιτήματός τους.</w:t>
            </w:r>
          </w:p>
        </w:tc>
        <w:tc>
          <w:tcPr>
            <w:tcW w:w="4876" w:type="dxa"/>
          </w:tcPr>
          <w:p w:rsidR="00E451E4" w:rsidRPr="00AC4460" w:rsidRDefault="00E451E4" w:rsidP="000A61DD">
            <w:pPr>
              <w:pStyle w:val="Normal6"/>
              <w:rPr>
                <w:szCs w:val="24"/>
              </w:rPr>
            </w:pPr>
            <w:r w:rsidRPr="00AC4460">
              <w:t>8.</w:t>
            </w:r>
            <w:r w:rsidRPr="00AC4460">
              <w:tab/>
              <w:t xml:space="preserve">Οι εισαγωγείς διατηρούν αντίγραφο της δήλωσης συμμόρφωσης ΕΕ στη διάθεση των αρχών που είναι αρμόδιες για την εποπτεία της αγοράς, για περίοδο </w:t>
            </w:r>
            <w:r w:rsidRPr="00AC4460">
              <w:rPr>
                <w:b/>
                <w:i/>
              </w:rPr>
              <w:t>πέντε</w:t>
            </w:r>
            <w:r w:rsidRPr="00AC4460">
              <w:t xml:space="preserve"> ετών από την ημερομηνία που θα τεθεί σε κυκλοφορία το προϊόν λίπανσης με σήμανση CE, και διασφαλίζουν ότι ο τεχνικός φάκελος μπορεί να τεθεί στη διάθεση των εν λόγω αρχών, κατόπιν αιτήματός τους. </w:t>
            </w:r>
            <w:r w:rsidRPr="00AC4460">
              <w:rPr>
                <w:b/>
                <w:i/>
              </w:rPr>
              <w:t>Κατόπιν αιτήματος, οι εισαγωγείς παρέχουν αντίγραφο της δήλωσης συμμόρφωσης ΕΕ σε άλλους ενδιαφερόμενους οικονομικούς φορείς.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9 – παράγραφος 2 – εδάφιο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Οι διανομείς, προτού διαθέσουν προϊόν λίπανσης με σήμανση CE στην αγορά, επαληθεύουν ότι συνοδεύεται από </w:t>
            </w:r>
            <w:r w:rsidRPr="00AC4460">
              <w:rPr>
                <w:b/>
                <w:i/>
              </w:rPr>
              <w:t xml:space="preserve">τη δήλωση συμμόρφωσης ΕΕ και </w:t>
            </w:r>
            <w:r w:rsidRPr="00AC4460">
              <w:t>τα απαιτούμενα έγγραφα, ότι επισημαίνεται σύμφωνα με το παράρτημα III σε γλώσσα εύκολα κατανοητή από τους τελικούς χρήστες στο κράτος μέλος στην αγορά του οποίου πρόκειται να διατεθεί το προϊόν λίπανσης με σήμανση CE και ότι ο παρασκευαστής και ο εισαγωγέας έχουν τηρήσει τις απαιτήσεις του άρθρου 6 παράγραφοι 5 και 6 και του άρθρου 8 παράγραφος 3 αντιστοίχως.</w:t>
            </w:r>
          </w:p>
        </w:tc>
        <w:tc>
          <w:tcPr>
            <w:tcW w:w="4876" w:type="dxa"/>
          </w:tcPr>
          <w:p w:rsidR="00E451E4" w:rsidRPr="00AC4460" w:rsidRDefault="00E451E4" w:rsidP="000A61DD">
            <w:pPr>
              <w:pStyle w:val="Normal6"/>
            </w:pPr>
            <w:r w:rsidRPr="00AC4460">
              <w:t xml:space="preserve">Οι διανομείς, προτού διαθέσουν προϊόν λίπανσης με σήμανση CE στην αγορά, επαληθεύουν ότι συνοδεύεται από τα απαιτούμενα έγγραφα, ότι επισημαίνεται σύμφωνα με το παράρτημα III σε γλώσσα εύκολα κατανοητή από τους τελικούς χρήστες στο κράτος μέλος στην αγορά του οποίου πρόκειται να διατεθεί το προϊόν λίπανσης με σήμανση CE και ότι ο παρασκευαστής και ο εισαγωγέας έχουν τηρήσει τις απαιτήσεις του άρθρου 6 παράγραφοι 5 και 6 και του άρθρου 8 παράγραφος 3 αντιστοίχως. </w:t>
            </w:r>
            <w:r w:rsidRPr="00AC4460">
              <w:rPr>
                <w:b/>
                <w:i/>
              </w:rPr>
              <w:t>Όταν η συσκευασία είναι τόσο μικρή που η ετικέτα δεν μπορεί να περιέχει όλες τις πληροφορίες ή όταν το προϊόν λίπανσης με σήμανση CE παρέχεται χωρίς συσκευασία, οι διανομείς επαληθεύουν ότι οι απαιτούμενες πληροφορίες περιλαμβάνονται σε έγγραφο που συνοδεύει το προϊόν λίπανσης με σήμανση CE.</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9 – παράγραφος 2 – εδάφιο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Όταν ένας διανομέας θεωρεί ή έχει λόγους να πιστεύει ότι ένα προϊόν λίπανσης με σήμανση CE δεν συμμορφώνεται με τις ισχύουσες απαιτήσεις </w:t>
            </w:r>
            <w:r w:rsidRPr="00AC4460">
              <w:rPr>
                <w:b/>
                <w:i/>
              </w:rPr>
              <w:t>των παραρτημάτων Ι, ΙΙ ή III</w:t>
            </w:r>
            <w:r w:rsidRPr="00AC4460">
              <w:t>, τότε δεν διαθέτει το προϊόν λίπανσης στην αγορά έως ότου επιτευχθεί η συμμόρφωση του προϊόντος. Επιπλέον, όταν το προϊόν λίπανσης με σήμανση CE συνιστά απαράδεκτο κίνδυνο για την υγεία του ανθρώπου, των ζώων ή των φυτών, για την ασφάλεια ή για το περιβάλλον, ο διανομέας ενημερώνει σχετικά τον παρασκευαστή ή τον εισαγωγέα και τις αρχές εποπτείας της αγοράς.</w:t>
            </w:r>
          </w:p>
        </w:tc>
        <w:tc>
          <w:tcPr>
            <w:tcW w:w="4876" w:type="dxa"/>
          </w:tcPr>
          <w:p w:rsidR="00E451E4" w:rsidRPr="00AC4460" w:rsidRDefault="00E451E4" w:rsidP="000A61DD">
            <w:pPr>
              <w:pStyle w:val="Normal6"/>
              <w:rPr>
                <w:szCs w:val="24"/>
              </w:rPr>
            </w:pPr>
            <w:r w:rsidRPr="00AC4460">
              <w:t xml:space="preserve">Όταν ένας διανομέας θεωρεί ή έχει λόγους να πιστεύει ότι ένα προϊόν λίπανσης με σήμανση CE δεν συμμορφώνεται με τις ισχύουσες απαιτήσεις </w:t>
            </w:r>
            <w:r w:rsidRPr="00AC4460">
              <w:rPr>
                <w:b/>
                <w:i/>
              </w:rPr>
              <w:t>του παρόντος κανονισμού</w:t>
            </w:r>
            <w:r w:rsidRPr="00AC4460">
              <w:t>, τότε δεν διαθέτει το προϊόν λίπανσης στην αγορά έως ότου επιτευχθεί η συμμόρφωση του προϊόντος. Επιπλέον, όταν το προϊόν λίπανσης με σήμανση CE συνιστά απαράδεκτο κίνδυνο για την υγεία του ανθρώπου, των ζώων ή των φυτών, για την ασφάλεια ή για το περιβάλλον, ο διανομέας ενημερώνει σχετικά τον παρασκευαστή ή τον εισαγωγέα και τις αρχές εποπτείας της αγοράς.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12 – παράγραφος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 xml:space="preserve">Με την επιφύλαξη των κοινών προδιαγραφών που αναφέρονται στο άρθρο 13, </w:t>
            </w:r>
            <w:r w:rsidRPr="00AC4460">
              <w:t>τα προϊόντα λίπανσης με σήμανση CE που συμμορφώνονται με εναρμονισμένα πρότυπα ή με μέρη εναρμονισμένων προτύπων, τα στοιχεία αναφοράς των οποίων έχουν δημοσιευτεί στην Επίσημη Εφημερίδα της Ευρωπαϊκής Ένωσης, τεκμαίρεται ότι συμμορφώνονται με τις απαιτήσεις που καθορίζονται στα παραρτήματα I, II και III και οι οποίες καλύπτονται από τα εν λόγω πρότυπα ή μέρη προτύπων.</w:t>
            </w:r>
          </w:p>
        </w:tc>
        <w:tc>
          <w:tcPr>
            <w:tcW w:w="4876" w:type="dxa"/>
          </w:tcPr>
          <w:p w:rsidR="00E451E4" w:rsidRPr="00AC4460" w:rsidRDefault="00E451E4" w:rsidP="000A61DD">
            <w:pPr>
              <w:pStyle w:val="Normal6"/>
              <w:rPr>
                <w:szCs w:val="24"/>
              </w:rPr>
            </w:pPr>
            <w:r w:rsidRPr="00AC4460">
              <w:t>Τα προϊόντα λίπανσης με σήμανση CE που συμμορφώνονται</w:t>
            </w:r>
            <w:r w:rsidRPr="00AC4460">
              <w:rPr>
                <w:b/>
                <w:i/>
              </w:rPr>
              <w:t xml:space="preserve"> ή έχουν υποβληθεί σε δοκιμή σύμφωνα</w:t>
            </w:r>
            <w:r w:rsidRPr="00AC4460">
              <w:t xml:space="preserve"> με εναρμονισμένα πρότυπα ή με μέρη εναρμονισμένων προτύπων, τα στοιχεία αναφοράς των οποίων έχουν δημοσιευτεί στην Επίσημη Εφημερίδα της Ευρωπαϊκής Ένωσης, τεκμαίρεται ότι συμμορφώνονται με τις</w:t>
            </w:r>
            <w:r w:rsidRPr="00AC4460">
              <w:rPr>
                <w:b/>
                <w:i/>
              </w:rPr>
              <w:t xml:space="preserve"> αντίστοιχες</w:t>
            </w:r>
            <w:r w:rsidRPr="00AC4460">
              <w:t xml:space="preserve"> απαιτήσεις που καθορίζονται στα παραρτήματα I, II και III και οι οποίες καλύπτονται από τα εν λόγω πρότυπα ή μέρη προτύπων.</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62</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B0345A" w:rsidRDefault="00E451E4" w:rsidP="00E451E4">
      <w:pPr>
        <w:pStyle w:val="NormalBold"/>
      </w:pPr>
      <w:r>
        <w:rPr>
          <w:rStyle w:val="HideTWBExt"/>
          <w:noProof w:val="0"/>
        </w:rPr>
        <w:t>&lt;Article&gt;</w:t>
      </w:r>
      <w:r w:rsidRPr="00AC4460">
        <w:t>Άρθρο 13 – παράγραφος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Η Επιτροπή δύναται να εκδίδει εκτελεστικές πράξεις που θεσπίζουν κοινές προδιαγραφές</w:t>
            </w:r>
            <w:r w:rsidRPr="00AC4460">
              <w:t xml:space="preserve">, </w:t>
            </w:r>
            <w:r w:rsidRPr="00AC4460">
              <w:rPr>
                <w:b/>
                <w:i/>
              </w:rPr>
              <w:t>η συμμόρφωση με τις οποίες διασφαλίζει τη συμμόρφωση με τις απαιτήσεις που ορίζονται στα παραρτήματα Ι</w:t>
            </w:r>
            <w:r w:rsidRPr="00AC4460">
              <w:t xml:space="preserve">, </w:t>
            </w:r>
            <w:r w:rsidRPr="00AC4460">
              <w:rPr>
                <w:b/>
                <w:i/>
              </w:rPr>
              <w:t>ΙΙ και ΙΙΙ και οι οποίες καλύπτονται από τις</w:t>
            </w:r>
            <w:r w:rsidRPr="00AC4460">
              <w:t xml:space="preserve"> εν λόγω προδιαγραφές </w:t>
            </w:r>
            <w:r w:rsidRPr="00AC4460">
              <w:rPr>
                <w:b/>
                <w:i/>
              </w:rPr>
              <w:t>ή μέρη αυτών</w:t>
            </w:r>
            <w:r w:rsidRPr="00AC4460">
              <w:t>. Οι εν λόγω εκτελεστικές πράξεις εκδίδονται σύμφωνα με τη διαδικασία εξέτασης που αναφέρεται στο άρθρο 41 παράγραφος 3.</w:t>
            </w:r>
          </w:p>
        </w:tc>
        <w:tc>
          <w:tcPr>
            <w:tcW w:w="4876" w:type="dxa"/>
          </w:tcPr>
          <w:p w:rsidR="00E451E4" w:rsidRPr="00AC4460" w:rsidRDefault="00E451E4" w:rsidP="000A61DD">
            <w:pPr>
              <w:pStyle w:val="Normal6"/>
            </w:pPr>
            <w:r w:rsidRPr="00AC4460">
              <w:rPr>
                <w:b/>
                <w:i/>
              </w:rPr>
              <w:t>Όταν μια απαίτηση που καθορίζεται στα παραρτήματα I, II ή III δεν καλύπτεται από εναρμονισμένα πρότυπα ή μέρη προτύπων</w:t>
            </w:r>
            <w:r w:rsidRPr="00AC4460">
              <w:t xml:space="preserve">, </w:t>
            </w:r>
            <w:r w:rsidRPr="00AC4460">
              <w:rPr>
                <w:b/>
                <w:i/>
              </w:rPr>
              <w:t>τα στοιχεία αναφοράς των οποίων έχουν δημοσιευτεί στην Επίσημη Εφημερίδα της Ευρωπαϊκής Ένωσης και όταν, έπειτα από αίτηση προς έναν ή περισσότερους ευρωπαϊκούς οργανισμούς τυποποίησης να καταρτίσουν εναρμονισμένα πρότυπα για την απαίτηση αυτή</w:t>
            </w:r>
            <w:r w:rsidRPr="00AC4460">
              <w:t xml:space="preserve">, </w:t>
            </w:r>
            <w:r w:rsidRPr="00AC4460">
              <w:rPr>
                <w:b/>
                <w:i/>
              </w:rPr>
              <w:t>η Επιτροπή διαπιστώνει αδικαιολόγητες καθυστερήσεις στην υιοθέτηση του</w:t>
            </w:r>
            <w:r w:rsidRPr="00AC4460">
              <w:t xml:space="preserve"> εν λόγω </w:t>
            </w:r>
            <w:r w:rsidRPr="00AC4460">
              <w:rPr>
                <w:b/>
                <w:i/>
              </w:rPr>
              <w:t xml:space="preserve">προτύπου, η Επιτροπή δύναται να εκδίδει εκτελεστικές πράξεις που θεσπίζουν κοινές </w:t>
            </w:r>
            <w:r w:rsidRPr="00AC4460">
              <w:t xml:space="preserve">προδιαγραφές </w:t>
            </w:r>
            <w:r w:rsidRPr="00AC4460">
              <w:rPr>
                <w:b/>
                <w:i/>
              </w:rPr>
              <w:t>για την απαίτηση αυτή</w:t>
            </w:r>
            <w:r w:rsidRPr="00AC4460">
              <w:t>. Οι εν λόγω εκτελεστικές πράξεις εκδίδονται σύμφωνα με τη διαδικασία εξέτασης που αναφέρεται στο άρθρο 41 παράγραφος 3.</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17 –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Η σήμανση CE τοποθετείται κατά τρόπο εμφανή, ευανάγνωστο και ανεξίτηλο </w:t>
            </w:r>
            <w:r w:rsidRPr="00AC4460">
              <w:rPr>
                <w:b/>
                <w:i/>
              </w:rPr>
              <w:t>στα συνοδευτικά έγγραφα και</w:t>
            </w:r>
            <w:r w:rsidRPr="00AC4460">
              <w:t xml:space="preserve">, όταν το προϊόν λίπανσης </w:t>
            </w:r>
            <w:r w:rsidRPr="00AC4460">
              <w:rPr>
                <w:b/>
                <w:i/>
              </w:rPr>
              <w:t>με σήμανση CE</w:t>
            </w:r>
            <w:r w:rsidRPr="00AC4460">
              <w:t xml:space="preserve"> παρέχεται </w:t>
            </w:r>
            <w:r w:rsidRPr="00AC4460">
              <w:rPr>
                <w:b/>
                <w:i/>
              </w:rPr>
              <w:t>σε συσκευασμένη μορφή, επί της συσκευασίας</w:t>
            </w:r>
            <w:r w:rsidRPr="00AC4460">
              <w:t>.</w:t>
            </w:r>
          </w:p>
        </w:tc>
        <w:tc>
          <w:tcPr>
            <w:tcW w:w="4876" w:type="dxa"/>
          </w:tcPr>
          <w:p w:rsidR="00E451E4" w:rsidRPr="00AC4460" w:rsidRDefault="00E451E4" w:rsidP="000A61DD">
            <w:pPr>
              <w:pStyle w:val="Normal6"/>
            </w:pPr>
            <w:r w:rsidRPr="00AC4460">
              <w:t>1.</w:t>
            </w:r>
            <w:r w:rsidRPr="00AC4460">
              <w:tab/>
              <w:t xml:space="preserve">Η σήμανση CE τοποθετείται κατά τρόπο εμφανή, ευανάγνωστο και ανεξίτηλο </w:t>
            </w:r>
            <w:r w:rsidRPr="00AC4460">
              <w:rPr>
                <w:b/>
                <w:i/>
              </w:rPr>
              <w:t>επί της συσκευασίας του προϊόντος λίπανσης με σήμανση CE ή</w:t>
            </w:r>
            <w:r w:rsidRPr="00AC4460">
              <w:t xml:space="preserve">, όταν το προϊόν λίπανσης </w:t>
            </w:r>
            <w:r w:rsidRPr="00AC4460">
              <w:rPr>
                <w:b/>
                <w:i/>
              </w:rPr>
              <w:t>της ΕΕ</w:t>
            </w:r>
            <w:r w:rsidRPr="00AC4460">
              <w:t xml:space="preserve"> παρέχεται </w:t>
            </w:r>
            <w:r w:rsidRPr="00AC4460">
              <w:rPr>
                <w:b/>
                <w:i/>
              </w:rPr>
              <w:t>χωρίς συσκευασία, στα έγγραφα που συνοδεύουν το προϊόν λίπανσης με σήμανση CE</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64</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17 – παράγραφος 3 – εδάφιο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Τη σήμανση CE ακολουθεί ο αριθμός μητρώου του κοινοποιημένου οργανισμού</w:t>
            </w:r>
            <w:r w:rsidRPr="00AC4460">
              <w:rPr>
                <w:b/>
                <w:i/>
              </w:rPr>
              <w:t xml:space="preserve"> ο οποίος συμμετείχε στην αξιολόγηση συμμόρφωσης που αναφέρεται στην ενότητα Δ1 του παραρτήματος</w:t>
            </w:r>
            <w:r w:rsidRPr="00AC4460">
              <w:t xml:space="preserve"> IV.</w:t>
            </w:r>
          </w:p>
        </w:tc>
        <w:tc>
          <w:tcPr>
            <w:tcW w:w="4876" w:type="dxa"/>
          </w:tcPr>
          <w:p w:rsidR="00E451E4" w:rsidRPr="00AC4460" w:rsidRDefault="00E451E4" w:rsidP="000A61DD">
            <w:pPr>
              <w:pStyle w:val="Normal6"/>
              <w:rPr>
                <w:szCs w:val="24"/>
              </w:rPr>
            </w:pPr>
            <w:r w:rsidRPr="00AC4460">
              <w:t>Τη σήμανση CE ακολουθεί ο αριθμός μητρώου του κοινοποιημένου οργανισμού</w:t>
            </w:r>
            <w:r w:rsidRPr="00AC4460">
              <w:rPr>
                <w:b/>
                <w:i/>
              </w:rPr>
              <w:t>, εφόσον απαιτείται από το παράρτημα</w:t>
            </w:r>
            <w:r w:rsidRPr="00AC4460">
              <w:t xml:space="preserve"> IV.</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18 –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Προϊόν λίπανσης με σήμανση CE που</w:t>
            </w:r>
            <w:r w:rsidRPr="00AC4460">
              <w:t xml:space="preserve"> έχει υποβληθεί σε δραστηριότητα ανάκτησης και </w:t>
            </w:r>
            <w:r w:rsidRPr="00AC4460">
              <w:rPr>
                <w:b/>
                <w:i/>
              </w:rPr>
              <w:t>συμμορφώνεται</w:t>
            </w:r>
            <w:r w:rsidRPr="00AC4460">
              <w:t xml:space="preserve"> με </w:t>
            </w:r>
            <w:r w:rsidRPr="00AC4460">
              <w:rPr>
                <w:b/>
                <w:i/>
              </w:rPr>
              <w:t>τις απαιτήσεις του παρόντος κανονισμού</w:t>
            </w:r>
            <w:r w:rsidRPr="00AC4460">
              <w:t xml:space="preserve"> θεωρείται ότι συμμορφώνεται με τους όρους που καθορίζονται στο άρθρο 6 παράγραφος 1 της οδηγίας 2008/98/ΕΚ και θα πρέπει, επομένως, να θεωρείται ότι έχει παύσει να αποτελεί απόβλητο.</w:t>
            </w:r>
          </w:p>
        </w:tc>
        <w:tc>
          <w:tcPr>
            <w:tcW w:w="4876" w:type="dxa"/>
          </w:tcPr>
          <w:p w:rsidR="00E451E4" w:rsidRPr="00AC4460" w:rsidRDefault="00E451E4" w:rsidP="000A61DD">
            <w:pPr>
              <w:pStyle w:val="Normal6"/>
            </w:pPr>
            <w:r w:rsidRPr="00AC4460">
              <w:rPr>
                <w:b/>
                <w:i/>
              </w:rPr>
              <w:t>Όταν ένα υλικό που ήταν απόβλητο</w:t>
            </w:r>
            <w:r w:rsidRPr="00AC4460">
              <w:t xml:space="preserve"> έχει υποβληθεί σε δραστηριότητα ανάκτησης και </w:t>
            </w:r>
            <w:r w:rsidRPr="00AC4460">
              <w:rPr>
                <w:b/>
                <w:i/>
              </w:rPr>
              <w:t>ένα συμμορφούμενο προϊόν</w:t>
            </w:r>
            <w:r w:rsidRPr="00AC4460">
              <w:t xml:space="preserve"> με </w:t>
            </w:r>
            <w:r w:rsidRPr="00AC4460">
              <w:rPr>
                <w:b/>
                <w:i/>
              </w:rPr>
              <w:t>σήμανση CΕ περιέχει ή αποτελείται από το υλικό αυτό, το υλικό</w:t>
            </w:r>
            <w:r w:rsidRPr="00AC4460">
              <w:t xml:space="preserve"> θεωρείται ότι συμμορφώνεται με τους όρους που καθορίζονται στο άρθρο 6 παράγραφος 1 της οδηγίας 2008/98/ΕΚ και θα πρέπει, επομένως, να θεωρείται ότι έχει παύσει να αποτελεί απόβλητο</w:t>
            </w:r>
            <w:r w:rsidRPr="00AC4460">
              <w:rPr>
                <w:b/>
                <w:i/>
              </w:rPr>
              <w:t xml:space="preserve"> από τη στιγμή που συντάσσεται η δήλωση συμμόρφωσης ΕΕ</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66</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B0345A" w:rsidRDefault="00E451E4" w:rsidP="00E451E4">
      <w:pPr>
        <w:pStyle w:val="NormalBold"/>
      </w:pPr>
      <w:r>
        <w:rPr>
          <w:rStyle w:val="HideTWBExt"/>
          <w:noProof w:val="0"/>
        </w:rPr>
        <w:t>&lt;Article&gt;</w:t>
      </w:r>
      <w:r w:rsidRPr="00AC4460">
        <w:t>Άρθρο 30 – παράγραφος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r>
            <w:r w:rsidRPr="00AC4460">
              <w:rPr>
                <w:b/>
                <w:i/>
              </w:rPr>
              <w:t>Το κοινοποιούν κράτος μέλος παρέχει</w:t>
            </w:r>
            <w:r w:rsidRPr="00AC4460">
              <w:t xml:space="preserve"> στην Επιτροπή, εάν αυτή το ζητήσει, όλες τις πληροφορίες σχετικά με την αιτιολόγηση της κοινοποίησης ή την επιβεβαίωση της επάρκειας του εν λόγω κοινοποιημένου οργανισμού.</w:t>
            </w:r>
          </w:p>
        </w:tc>
        <w:tc>
          <w:tcPr>
            <w:tcW w:w="4876" w:type="dxa"/>
          </w:tcPr>
          <w:p w:rsidR="00E451E4" w:rsidRPr="00AC4460" w:rsidRDefault="00E451E4" w:rsidP="000A61DD">
            <w:pPr>
              <w:pStyle w:val="Normal6"/>
            </w:pPr>
            <w:r w:rsidRPr="00AC4460">
              <w:t>2.</w:t>
            </w:r>
            <w:r w:rsidRPr="00AC4460">
              <w:tab/>
            </w:r>
            <w:r w:rsidRPr="00AC4460">
              <w:rPr>
                <w:b/>
                <w:i/>
              </w:rPr>
              <w:t>Οι κοινοποιούσες αρχές παρέχουν</w:t>
            </w:r>
            <w:r w:rsidRPr="00AC4460">
              <w:t xml:space="preserve"> στην Επιτροπή, εάν αυτή το ζητήσει, όλες τις πληροφορίες σχετικά με την αιτιολόγηση της κοινοποίησης ή την επιβεβαίωση της επάρκειας του εν λόγω κοινοποιημένου οργανισμού.</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31 – παράγραφος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w:t>
            </w:r>
            <w:r w:rsidRPr="00AC4460">
              <w:tab/>
              <w:t>Όταν κοινοποιημένος οργανισμός διαπιστώσει ότι οι απαιτήσεις που καθορίζονται στα παραρτήματα Ι, ΙΙ ή III ή στα αντίστοιχα εναρμονισμένα πρότυπα, στις κοινές προδιαγραφές που αναφέρονται στο άρθρο 13</w:t>
            </w:r>
            <w:r w:rsidRPr="00AC4460">
              <w:rPr>
                <w:b/>
                <w:i/>
              </w:rPr>
              <w:t xml:space="preserve"> ή σε άλλες τεχνικές προδιαγραφές</w:t>
            </w:r>
            <w:r w:rsidRPr="00AC4460">
              <w:t xml:space="preserve"> δεν πληρούνται από τον παρασκευαστή, ζητεί από τον παρασκευαστή να λάβει τα ενδεδειγμένα διορθωτικά μέτρα και δεν εκδίδει πιστοποιητικό.</w:t>
            </w:r>
          </w:p>
        </w:tc>
        <w:tc>
          <w:tcPr>
            <w:tcW w:w="4876" w:type="dxa"/>
          </w:tcPr>
          <w:p w:rsidR="00E451E4" w:rsidRPr="00AC4460" w:rsidRDefault="00E451E4" w:rsidP="000A61DD">
            <w:pPr>
              <w:pStyle w:val="Normal6"/>
              <w:rPr>
                <w:szCs w:val="24"/>
              </w:rPr>
            </w:pPr>
            <w:r w:rsidRPr="00AC4460">
              <w:t>3.</w:t>
            </w:r>
            <w:r w:rsidRPr="00AC4460">
              <w:tab/>
              <w:t>Όταν κοινοποιημένος οργανισμός διαπιστώσει ότι οι απαιτήσεις που καθορίζονται στα παραρτήματα Ι, ΙΙ ή III</w:t>
            </w:r>
            <w:r w:rsidRPr="00AC4460">
              <w:rPr>
                <w:b/>
                <w:i/>
              </w:rPr>
              <w:t>,</w:t>
            </w:r>
            <w:r w:rsidRPr="00AC4460">
              <w:t xml:space="preserve"> ή στα αντίστοιχα εναρμονισμένα πρότυπα,</w:t>
            </w:r>
            <w:r w:rsidRPr="00AC4460">
              <w:rPr>
                <w:b/>
                <w:i/>
              </w:rPr>
              <w:t xml:space="preserve"> ή</w:t>
            </w:r>
            <w:r w:rsidRPr="00AC4460">
              <w:t xml:space="preserve"> στις κοινές προδιαγραφές που αναφέρονται στο άρθρο 13 δεν πληρούνται από τον παρασκευαστή, ζητεί από τον παρασκευαστή να λάβει τα ενδεδειγμένα διορθωτικά μέτρα και δεν εκδίδει πιστοποιητικό</w:t>
            </w:r>
            <w:r w:rsidRPr="00AC4460">
              <w:rPr>
                <w:b/>
                <w:i/>
              </w:rPr>
              <w:t xml:space="preserve"> συμμόρφωσης ούτε απόφαση έγκρισης</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68</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31 – παράγραφος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4.</w:t>
            </w:r>
            <w:r w:rsidRPr="00AC4460">
              <w:tab/>
              <w:t>Όταν, κατά την παρακολούθηση της συμμόρφωσης μετά την έκδοση του πιστοποιητικού, κοινοποιημένος οργανισμός διαπιστώσει ότι κάποιο προϊόν λίπανσης με σήμανση CE δεν συμμορφώνεται πλέον, τότε απαιτεί από τον παρασκευαστή να λάβει τα απαραίτητα διορθωτικά μέτρα και αναστέλλει ή ανακαλεί το πιστοποιητικό, εφόσον απαιτείται.</w:t>
            </w:r>
          </w:p>
        </w:tc>
        <w:tc>
          <w:tcPr>
            <w:tcW w:w="4876" w:type="dxa"/>
          </w:tcPr>
          <w:p w:rsidR="00E451E4" w:rsidRPr="00AC4460" w:rsidRDefault="00E451E4" w:rsidP="000A61DD">
            <w:pPr>
              <w:pStyle w:val="Normal6"/>
              <w:rPr>
                <w:szCs w:val="24"/>
              </w:rPr>
            </w:pPr>
            <w:r w:rsidRPr="00AC4460">
              <w:t>4.</w:t>
            </w:r>
            <w:r w:rsidRPr="00AC4460">
              <w:tab/>
              <w:t>Όταν, κατά την παρακολούθηση της συμμόρφωσης μετά την έκδοση του πιστοποιητικού</w:t>
            </w:r>
            <w:r w:rsidRPr="00AC4460">
              <w:rPr>
                <w:b/>
                <w:i/>
              </w:rPr>
              <w:t xml:space="preserve"> ή της απόφασης έγκρισης</w:t>
            </w:r>
            <w:r w:rsidRPr="00AC4460">
              <w:t>, κοινοποιημένος οργανισμός διαπιστώσει ότι κάποιο προϊόν λίπανσης με σήμανση CE δεν συμμορφώνεται πλέον, τότε απαιτεί από τον παρασκευαστή να λάβει τα απαραίτητα διορθωτικά μέτρα και αναστέλλει ή ανακαλεί το πιστοποιητικό</w:t>
            </w:r>
            <w:r w:rsidRPr="00AC4460">
              <w:rPr>
                <w:b/>
                <w:i/>
              </w:rPr>
              <w:t xml:space="preserve"> ή την απόφαση έγκρισης</w:t>
            </w:r>
            <w:r w:rsidRPr="00AC4460">
              <w:t>, εφόσον απαιτείται.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31 – παράγραφος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5.</w:t>
            </w:r>
            <w:r w:rsidRPr="00AC4460">
              <w:tab/>
              <w:t>Εάν δεν ληφθούν διορθωτικά μέτρα ή εάν αυτά δεν έχουν το απαιτούμενο αποτέλεσμα, ο κοινοποιημένος οργανισμός περιορίζει, αναστέλλει ή ανακαλεί τυχόν πιστοποιητικό, κατά περίπτωση.</w:t>
            </w:r>
          </w:p>
        </w:tc>
        <w:tc>
          <w:tcPr>
            <w:tcW w:w="4876" w:type="dxa"/>
          </w:tcPr>
          <w:p w:rsidR="00E451E4" w:rsidRPr="00AC4460" w:rsidRDefault="00E451E4" w:rsidP="000A61DD">
            <w:pPr>
              <w:pStyle w:val="Normal6"/>
              <w:rPr>
                <w:szCs w:val="24"/>
              </w:rPr>
            </w:pPr>
            <w:r w:rsidRPr="00AC4460">
              <w:t>5.</w:t>
            </w:r>
            <w:r w:rsidRPr="00AC4460">
              <w:tab/>
              <w:t>Εάν δεν ληφθούν διορθωτικά μέτρα ή εάν αυτά δεν έχουν το απαιτούμενο αποτέλεσμα</w:t>
            </w:r>
            <w:r w:rsidRPr="00AC4460">
              <w:rPr>
                <w:b/>
                <w:i/>
              </w:rPr>
              <w:t xml:space="preserve"> και ένα προϊόν λίπανσης με σήμανση CE εξακολουθεί, ως εκ τούτου, να μην συμμορφώνεται με τις απαιτήσεις του παρόντος κανονισμού</w:t>
            </w:r>
            <w:r w:rsidRPr="00AC4460">
              <w:t>, ο κοινοποιημένος οργανισμός περιορίζει, αναστέλλει ή ανακαλεί τυχόν πιστοποιητικό</w:t>
            </w:r>
            <w:r w:rsidRPr="00AC4460">
              <w:rPr>
                <w:b/>
                <w:i/>
              </w:rPr>
              <w:t xml:space="preserve"> ή απόφαση έγκρισης</w:t>
            </w:r>
            <w:r w:rsidRPr="00AC4460">
              <w:t>, κατά περίπτωση.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33 – παράγραφος 1 – στοιχείο 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α)</w:t>
            </w:r>
            <w:r w:rsidRPr="00AC4460">
              <w:tab/>
              <w:t xml:space="preserve">τυχόν άρνηση, περιορισμό, αναστολή ή ανάκληση </w:t>
            </w:r>
            <w:r w:rsidRPr="00AC4460">
              <w:rPr>
                <w:b/>
                <w:i/>
              </w:rPr>
              <w:t>πιστοποιητικού·</w:t>
            </w:r>
          </w:p>
        </w:tc>
        <w:tc>
          <w:tcPr>
            <w:tcW w:w="4876" w:type="dxa"/>
          </w:tcPr>
          <w:p w:rsidR="00E451E4" w:rsidRPr="00AC4460" w:rsidRDefault="00E451E4" w:rsidP="000A61DD">
            <w:pPr>
              <w:pStyle w:val="Normal6"/>
              <w:rPr>
                <w:szCs w:val="24"/>
              </w:rPr>
            </w:pPr>
            <w:r w:rsidRPr="00AC4460">
              <w:t>α)</w:t>
            </w:r>
            <w:r w:rsidRPr="00AC4460">
              <w:tab/>
              <w:t xml:space="preserve">τυχόν άρνηση, περιορισμό, αναστολή ή ανάκληση </w:t>
            </w:r>
            <w:r w:rsidRPr="00AC4460">
              <w:rPr>
                <w:b/>
                <w:i/>
              </w:rPr>
              <w:t>πιστοποιητικού ή απόφασης έγκρισης·</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71</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B0345A" w:rsidRDefault="00E451E4" w:rsidP="00E451E4">
      <w:pPr>
        <w:pStyle w:val="NormalBold"/>
      </w:pPr>
      <w:r>
        <w:rPr>
          <w:rStyle w:val="HideTWBExt"/>
          <w:noProof w:val="0"/>
        </w:rPr>
        <w:t>&lt;Article&gt;</w:t>
      </w:r>
      <w:r w:rsidRPr="00AC4460">
        <w:t>Άρθρο 37 – τίτλος</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trHeight w:hRule="exact" w:val="240"/>
          <w:jc w:val="center"/>
        </w:trPr>
        <w:tc>
          <w:tcPr>
            <w:tcW w:w="9752" w:type="dxa"/>
            <w:gridSpan w:val="2"/>
          </w:tcPr>
          <w:p w:rsidR="00E451E4" w:rsidRPr="00B0345A" w:rsidRDefault="00E451E4" w:rsidP="000A61DD"/>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Διαδικασία </w:t>
            </w:r>
            <w:r w:rsidRPr="00AC4460">
              <w:rPr>
                <w:b/>
                <w:i/>
              </w:rPr>
              <w:t>αντιμετώπισης</w:t>
            </w:r>
            <w:r w:rsidRPr="00AC4460">
              <w:t xml:space="preserve"> των προϊόντων λίπανσης </w:t>
            </w:r>
            <w:r w:rsidRPr="00AC4460">
              <w:rPr>
                <w:b/>
                <w:i/>
              </w:rPr>
              <w:t>με σήμανση CE</w:t>
            </w:r>
            <w:r w:rsidRPr="00AC4460">
              <w:t xml:space="preserve"> που παρουσιάζουν κίνδυνο</w:t>
            </w:r>
            <w:r w:rsidRPr="00AC4460">
              <w:rPr>
                <w:b/>
                <w:i/>
              </w:rPr>
              <w:t xml:space="preserve"> σε εθνικό επίπεδο</w:t>
            </w:r>
          </w:p>
        </w:tc>
        <w:tc>
          <w:tcPr>
            <w:tcW w:w="4876" w:type="dxa"/>
          </w:tcPr>
          <w:p w:rsidR="00E451E4" w:rsidRPr="00AC4460" w:rsidRDefault="00E451E4" w:rsidP="000A61DD">
            <w:pPr>
              <w:pStyle w:val="Normal6"/>
            </w:pPr>
            <w:r w:rsidRPr="00AC4460">
              <w:t xml:space="preserve">Διαδικασία </w:t>
            </w:r>
            <w:r w:rsidRPr="00AC4460">
              <w:rPr>
                <w:b/>
                <w:i/>
              </w:rPr>
              <w:t>σε εθνικό επίπεδο για την αντιμετώπιση</w:t>
            </w:r>
            <w:r w:rsidRPr="00AC4460">
              <w:t xml:space="preserve"> των προϊόντων λίπανσης </w:t>
            </w:r>
            <w:r w:rsidRPr="00AC4460">
              <w:rPr>
                <w:b/>
                <w:i/>
              </w:rPr>
              <w:t>της ΕΕ</w:t>
            </w:r>
            <w:r w:rsidRPr="00AC4460">
              <w:t xml:space="preserve"> που παρουσιάζουν κίνδυνο</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37 – παράγραφος 1 – εδάφιο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Εάν οι αρχές εποπτείας της αγοράς ενός κράτους μέλους έχουν επαρκείς λόγους να πιστεύουν ότι ένα προϊόν λίπανσης με σήμανση CE παρουσιάζει </w:t>
            </w:r>
            <w:r w:rsidRPr="00AC4460">
              <w:rPr>
                <w:b/>
                <w:i/>
              </w:rPr>
              <w:t xml:space="preserve">απαράδεκτο </w:t>
            </w:r>
            <w:r w:rsidRPr="00AC4460">
              <w:t>κίνδυνο για την υγεία του ανθρώπου, των ζώων ή των φυτών, για την ασφάλεια ή για το περιβάλλον, διενεργούν για το εν λόγω προϊόν λίπανσης αξιολόγηση που καλύπτει τις απαιτήσεις του παρόντος κανονισμού. Για τον σκοπό αυτό, οι ενδιαφερόμενοι οικονομικοί φορείς συνεργάζονται με τις αρχές εποπτείας της αγοράς όπως απαιτείται.</w:t>
            </w:r>
          </w:p>
        </w:tc>
        <w:tc>
          <w:tcPr>
            <w:tcW w:w="4876" w:type="dxa"/>
          </w:tcPr>
          <w:p w:rsidR="00E451E4" w:rsidRPr="00AC4460" w:rsidRDefault="00E451E4" w:rsidP="000A61DD">
            <w:pPr>
              <w:pStyle w:val="Normal6"/>
            </w:pPr>
            <w:r w:rsidRPr="00AC4460">
              <w:t xml:space="preserve">Εάν οι αρχές εποπτείας της αγοράς ενός κράτους μέλους έχουν επαρκείς λόγους να πιστεύουν ότι ένα προϊόν λίπανσης με σήμανση CE παρουσιάζει κίνδυνο για την υγεία του ανθρώπου, των ζώων ή των φυτών, για την ασφάλεια ή για το περιβάλλον, </w:t>
            </w:r>
            <w:r w:rsidRPr="00AC4460">
              <w:rPr>
                <w:b/>
                <w:i/>
              </w:rPr>
              <w:t xml:space="preserve">ή για άλλα ζητήματα προστασίας του δημόσιου συμφέροντος που εμπίπτουν στον παρόντα κανονισμό, </w:t>
            </w:r>
            <w:r w:rsidRPr="00AC4460">
              <w:t>διενεργούν για το εν λόγω προϊόν λίπανσης αξιολόγηση που καλύπτει</w:t>
            </w:r>
            <w:r w:rsidRPr="00AC4460">
              <w:rPr>
                <w:b/>
                <w:i/>
              </w:rPr>
              <w:t xml:space="preserve"> όλες</w:t>
            </w:r>
            <w:r w:rsidRPr="00AC4460">
              <w:t xml:space="preserve"> τις απαιτήσεις του παρόντος κανονισμού. Για τον σκοπό αυτό, οι ενδιαφερόμενοι οικονομικοί φορείς συνεργάζονται με τις αρχές εποπτείας της αγοράς όπως απαιτείται.</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i/>
              </w:rPr>
              <w:t>(Η παρούσα τροπολογία καλύπτει επίσης μια οριζόντια τροποποίηση του όρου «απαράδεκτος κίνδυνος» (στον ενικό ή στον πληθυντικό) σε «κίνδυνος» (στον ενικό ή στον πληθυντικό)· Η έγκρισή της θα απαιτήσει αντίστοιχες προσαρμογές των όρων αυτών σε όλο το κείμενο και, κατά συνέπεια, στις εγκριθείσες τροπολογίες).</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73</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37 – παράγραφος 1 – εδάφιο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Εάν, κατά την εν λόγω αξιολόγηση, οι αρχές εποπτείας της αγοράς διαπιστώσουν ότι το προϊόν λίπανσης με σήμανση CE δεν συμμορφώνεται προς τις απαιτήσεις του παρόντος κανονισμού, τότε ζητούν αμελλητί από τον οικονομικό φορέα να λάβει</w:t>
            </w:r>
            <w:r w:rsidRPr="00AC4460">
              <w:rPr>
                <w:b/>
                <w:i/>
              </w:rPr>
              <w:t xml:space="preserve"> εντός ευλόγου χρονικού διαστήματος</w:t>
            </w:r>
            <w:r w:rsidRPr="00AC4460">
              <w:t xml:space="preserve"> όλα τα αναγκαία διορθωτικά μέτρα για να επιτύχει τη συμμόρφωση του προϊόντος λίπανσης με τις απαιτήσεις αυτές, να αποσύρει το προϊόν λίπανσης από την αγορά</w:t>
            </w:r>
            <w:r w:rsidRPr="00AC4460">
              <w:rPr>
                <w:b/>
                <w:i/>
              </w:rPr>
              <w:t>,</w:t>
            </w:r>
            <w:r w:rsidRPr="00AC4460">
              <w:t xml:space="preserve"> να το ανακαλέσει </w:t>
            </w:r>
            <w:r w:rsidRPr="00AC4460">
              <w:rPr>
                <w:b/>
                <w:i/>
              </w:rPr>
              <w:t>ή</w:t>
            </w:r>
            <w:r w:rsidRPr="00AC4460">
              <w:t xml:space="preserve"> να αφαιρέσει τη σήμανση CE.</w:t>
            </w:r>
          </w:p>
        </w:tc>
        <w:tc>
          <w:tcPr>
            <w:tcW w:w="4876" w:type="dxa"/>
          </w:tcPr>
          <w:p w:rsidR="00E451E4" w:rsidRPr="00AC4460" w:rsidRDefault="00E451E4" w:rsidP="000A61DD">
            <w:pPr>
              <w:pStyle w:val="Normal6"/>
            </w:pPr>
            <w:r w:rsidRPr="00AC4460">
              <w:t>Εάν, κατά την εν λόγω αξιολόγηση, οι αρχές εποπτείας της αγοράς διαπιστώσουν ότι το προϊόν λίπανσης με σήμανση CE δεν συμμορφώνεται προς τις απαιτήσεις του παρόντος κανονισμού, τότε ζητούν αμελλητί από τον οικονομικό φορέα να λάβει όλα τα αναγκαία διορθωτικά μέτρα για να επιτύχει τη συμμόρφωση του προϊόντος λίπανσης με τις απαιτήσεις αυτές, να αποσύρει το προϊόν λίπανσης από την αγορά</w:t>
            </w:r>
            <w:r w:rsidRPr="00AC4460">
              <w:rPr>
                <w:b/>
                <w:i/>
              </w:rPr>
              <w:t xml:space="preserve"> ή</w:t>
            </w:r>
            <w:r w:rsidRPr="00AC4460">
              <w:t xml:space="preserve"> να το ανακαλέσει </w:t>
            </w:r>
            <w:r w:rsidRPr="00AC4460">
              <w:rPr>
                <w:b/>
                <w:i/>
              </w:rPr>
              <w:t>εντός ευλόγου χρονικού διαστήματος, αναλόγου προς τη φύση του κινδύνου, όπως αυτές ορίζουν και</w:t>
            </w:r>
            <w:r w:rsidRPr="00AC4460">
              <w:t xml:space="preserve"> να αφαιρέσει τη σήμανση CE.</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74</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37 – παράγραφος 4 – εδάφιο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Εάν ο σχετικός οικονομικός φορέας δεν λάβει τα αναγκαία διορθωτικά μέτρα εντός του χρονικού διαστήματος το οποίο αναφέρεται στο δεύτερο εδάφιο της παραγράφου 1, οι αρχές εποπτείας της αγοράς λαμβάνουν όλα τα κατάλληλα προσωρινά μέτρα για να απαγορεύσουν ή να περιορίσουν τη διάθεση του προϊόντος λίπανσης με σήμανση CE στην εθνική τους αγορά ή να αποσύρουν το προϊόν λίπανσης από την αγορά ή να το ανακαλέσουν.</w:t>
            </w:r>
          </w:p>
        </w:tc>
        <w:tc>
          <w:tcPr>
            <w:tcW w:w="4876" w:type="dxa"/>
          </w:tcPr>
          <w:p w:rsidR="00E451E4" w:rsidRPr="00AC4460" w:rsidRDefault="00E451E4" w:rsidP="000A61DD">
            <w:pPr>
              <w:pStyle w:val="Normal6"/>
            </w:pPr>
            <w:r w:rsidRPr="00AC4460">
              <w:t xml:space="preserve">Εάν ο σχετικός οικονομικός φορέας δεν λάβει τα αναγκαία διορθωτικά μέτρα εντός του χρονικού διαστήματος το οποίο αναφέρεται στο δεύτερο εδάφιο της παραγράφου 1, οι αρχές εποπτείας της αγοράς λαμβάνουν όλα τα κατάλληλα προσωρινά μέτρα για να απαγορεύσουν ή να περιορίσουν τη διάθεση του προϊόντος λίπανσης με σήμανση CE στην εθνική τους αγορά ή να αποσύρουν το προϊόν λίπανσης από την αγορά ή να το ανακαλέσουν. </w:t>
            </w:r>
            <w:r w:rsidRPr="00AC4460">
              <w:rPr>
                <w:b/>
                <w:i/>
              </w:rPr>
              <w:t>Οι υποχρεώσεις των αρχών εποπτείας της αγοράς εν προκειμένω δεν θίγουν τη δυνατότητα των κρατών μελών να ρυθμίζουν τα προϊόντα λίπανσης που δεν φέρουν σήμανση CE όταν διατίθενται στην αγορά.</w:t>
            </w:r>
          </w:p>
        </w:tc>
      </w:tr>
    </w:tbl>
    <w:p w:rsidR="000A61DD" w:rsidRPr="000A61DD" w:rsidRDefault="000A61DD" w:rsidP="000A61DD">
      <w:pPr>
        <w:rPr>
          <w:lang w:val="pt-PT"/>
        </w:rPr>
      </w:pPr>
      <w:r w:rsidRPr="000A61DD">
        <w:rPr>
          <w:rStyle w:val="HideTWBExt"/>
          <w:noProof w:val="0"/>
          <w:lang w:val="pt-PT"/>
        </w:rPr>
        <w:t>&lt;/Amend&gt;</w:t>
      </w:r>
    </w:p>
    <w:p w:rsidR="000A61DD" w:rsidRPr="000A61DD" w:rsidRDefault="000A61DD" w:rsidP="000A61DD">
      <w:pPr>
        <w:pStyle w:val="AMNumberTabs"/>
        <w:rPr>
          <w:lang w:val="pt-PT"/>
        </w:rPr>
      </w:pPr>
      <w:r w:rsidRPr="000A61DD">
        <w:rPr>
          <w:rStyle w:val="HideTWBExt"/>
          <w:noProof w:val="0"/>
          <w:lang w:val="pt-PT"/>
        </w:rPr>
        <w:t>&lt;Amend&gt;</w:t>
      </w:r>
      <w:r w:rsidRPr="00AC4460">
        <w:t>Τροπολογία</w:t>
      </w:r>
      <w:r w:rsidRPr="000A61DD">
        <w:rPr>
          <w:lang w:val="pt-PT"/>
        </w:rPr>
        <w:t xml:space="preserve"> </w:t>
      </w:r>
      <w:r w:rsidRPr="000A61DD">
        <w:rPr>
          <w:lang w:val="pt-PT"/>
        </w:rPr>
        <w:tab/>
      </w:r>
      <w:r w:rsidRPr="000A61DD">
        <w:rPr>
          <w:lang w:val="pt-PT"/>
        </w:rPr>
        <w:tab/>
      </w:r>
      <w:r w:rsidRPr="000A61DD">
        <w:rPr>
          <w:rStyle w:val="HideTWBExt"/>
          <w:noProof w:val="0"/>
          <w:lang w:val="pt-PT"/>
        </w:rPr>
        <w:t>&lt;NumAm&gt;</w:t>
      </w:r>
      <w:r w:rsidRPr="000A61DD">
        <w:rPr>
          <w:lang w:val="pt-PT"/>
        </w:rPr>
        <w:t>7</w:t>
      </w:r>
      <w:r>
        <w:t>5</w:t>
      </w:r>
      <w:r w:rsidRPr="000A61DD">
        <w:rPr>
          <w:rStyle w:val="HideTWBExt"/>
          <w:noProof w:val="0"/>
          <w:lang w:val="pt-PT"/>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37 – παράγραφος 5 – στοιχείο β</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ελλείψεις στα εναρμονισμένα πρότυπα που αναφέρονται στο άρθρο 12</w:t>
            </w:r>
            <w:r w:rsidRPr="00AC4460">
              <w:rPr>
                <w:b/>
                <w:i/>
              </w:rPr>
              <w:t xml:space="preserve"> και στα οποία βασίζεται το τεκμήριο της συμμόρφωσης.</w:t>
            </w:r>
          </w:p>
        </w:tc>
        <w:tc>
          <w:tcPr>
            <w:tcW w:w="4876" w:type="dxa"/>
          </w:tcPr>
          <w:p w:rsidR="00E451E4" w:rsidRPr="00AC4460" w:rsidRDefault="00E451E4" w:rsidP="000A61DD">
            <w:pPr>
              <w:pStyle w:val="Normal6"/>
            </w:pPr>
            <w:r w:rsidRPr="00AC4460">
              <w:t>β)</w:t>
            </w:r>
            <w:r w:rsidRPr="00AC4460">
              <w:tab/>
              <w:t>ελλείψεις στα εναρμονισμένα πρότυπα που αναφέρονται στο άρθρο 12</w:t>
            </w:r>
            <w:r w:rsidRPr="00AC4460">
              <w:rPr>
                <w:b/>
                <w:i/>
              </w:rPr>
              <w:t>·</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76</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37 – παράγραφος 5 – στοιχείο β α (νέο)</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β α)</w:t>
            </w:r>
            <w:r w:rsidRPr="00AC4460">
              <w:tab/>
            </w:r>
            <w:r w:rsidRPr="00AC4460">
              <w:rPr>
                <w:b/>
                <w:i/>
              </w:rPr>
              <w:t>ελλείψεις των κοινών προδιαγραφών που αναφέρονται στο άρθρο 13.</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38 – παράγραφος 2 α (νέα)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2a.</w:t>
            </w:r>
            <w:r w:rsidRPr="00AC4460">
              <w:rPr>
                <w:b/>
                <w:i/>
              </w:rPr>
              <w:tab/>
              <w:t>Εάν το εθνικό μέτρο θεωρηθεί δικαιολογημένο και η μη συμμόρφωση του προϊόντος λίπανσης με σήμανση CE αποδοθεί σε ελλείψεις των κοινών προδιαγραφών που αναφέρονται στο άρθρο 37 παράγραφος 5 στοιχείο γ), η Επιτροπή εκδίδει αμελλητί εκτελεστικές πράξεις που τροποποιούν ή καταργούν τη συγκεκριμένη κοινή προδιαγραφή. Οι εν λόγω εκτελεστικές πράξεις εκδίδονται σύμφωνα με τη διαδικασία εξέτασης που αναφέρεται στο άρθρο 41 παράγραφος 3.</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39 –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Όταν κράτος μέλος διαπιστώσει, αφού έχει διενεργήσει αξιολόγηση δυνάμει του άρθρου 37 παράγραφος 1, ότι ένα προϊόν λίπανσης με σήμανση CE συνιστά </w:t>
            </w:r>
            <w:r w:rsidRPr="00AC4460">
              <w:rPr>
                <w:b/>
                <w:i/>
              </w:rPr>
              <w:t xml:space="preserve">απαράδεκτο </w:t>
            </w:r>
            <w:r w:rsidRPr="00AC4460">
              <w:t xml:space="preserve">κίνδυνο για την υγεία του ανθρώπου, των ζώων ή των φυτών, για την ασφάλεια ή για το περιβάλλον, παρότι συμμορφώνεται με τον παρόντα κανονισμό, απαιτεί από τον σχετικό οικονομικό φορέα να λάβει εντός εύλογης χρονικής περιόδου όλα τα ενδεδειγμένα μέτρα για να διασφαλίσει ότι το συγκεκριμένο προϊόν λίπανσης, όταν </w:t>
            </w:r>
            <w:r w:rsidRPr="00AC4460">
              <w:rPr>
                <w:b/>
                <w:i/>
              </w:rPr>
              <w:t>τεθεί σε κυκλοφορία</w:t>
            </w:r>
            <w:r w:rsidRPr="00AC4460">
              <w:t>, δεν θα παρουσιάζει πλέον τον εν λόγω κίνδυνο, για να αποσύρει το προϊόν λίπανσης από την αγορά ή για να το ανακαλέσει.</w:t>
            </w:r>
          </w:p>
        </w:tc>
        <w:tc>
          <w:tcPr>
            <w:tcW w:w="4876" w:type="dxa"/>
          </w:tcPr>
          <w:p w:rsidR="00E451E4" w:rsidRPr="00AC4460" w:rsidRDefault="00E451E4" w:rsidP="000A61DD">
            <w:pPr>
              <w:pStyle w:val="Normal6"/>
            </w:pPr>
            <w:r w:rsidRPr="00AC4460">
              <w:t>1.</w:t>
            </w:r>
            <w:r w:rsidRPr="00AC4460">
              <w:tab/>
              <w:t>Όταν κράτος μέλος διαπιστώσει, αφού έχει διενεργήσει αξιολόγηση δυνάμει του άρθρου 37 παράγραφος 1, ότι ένα προϊόν λίπανσης με σήμανση CE συνιστά κίνδυνο για την υγεία του ανθρώπου, των ζώων ή των φυτών, για την ασφάλεια ή για το περιβάλλον</w:t>
            </w:r>
            <w:r w:rsidRPr="00AC4460">
              <w:rPr>
                <w:b/>
                <w:i/>
              </w:rPr>
              <w:t xml:space="preserve"> ή για άλλες πτυχές της προστασίας του δημοσίου συμφέροντος που καλύπτονται από τον παρόντα κανονισμό</w:t>
            </w:r>
            <w:r w:rsidRPr="00AC4460">
              <w:t xml:space="preserve">, παρότι συμμορφώνεται με τον παρόντα κανονισμό, απαιτεί </w:t>
            </w:r>
            <w:r w:rsidRPr="00AC4460">
              <w:rPr>
                <w:b/>
                <w:i/>
              </w:rPr>
              <w:t xml:space="preserve">αμελλητί </w:t>
            </w:r>
            <w:r w:rsidRPr="00AC4460">
              <w:t>από τον σχετικό οικονομικό φορέα να λάβει</w:t>
            </w:r>
            <w:r w:rsidRPr="00AC4460">
              <w:rPr>
                <w:b/>
                <w:i/>
              </w:rPr>
              <w:t>,</w:t>
            </w:r>
            <w:r w:rsidRPr="00AC4460">
              <w:t xml:space="preserve"> εντός εύλογης χρονικής περιόδου </w:t>
            </w:r>
            <w:r w:rsidRPr="00AC4460">
              <w:rPr>
                <w:b/>
                <w:i/>
              </w:rPr>
              <w:t xml:space="preserve">που προσδιορίζεται από την αρχή εποπτείας της αγοράς και είναι σύμμετρη με τον χαρακτήρα του κινδύνου, </w:t>
            </w:r>
            <w:r w:rsidRPr="00AC4460">
              <w:t xml:space="preserve">όλα τα ενδεδειγμένα μέτρα για να διασφαλίσει ότι το συγκεκριμένο προϊόν λίπανσης, όταν </w:t>
            </w:r>
            <w:r w:rsidRPr="00AC4460">
              <w:rPr>
                <w:b/>
                <w:i/>
              </w:rPr>
              <w:t>διατεθεί στην αγορά</w:t>
            </w:r>
            <w:r w:rsidRPr="00AC4460">
              <w:t>, δεν θα παρουσιάζει πλέον τον εν λόγω κίνδυνο, για να αποσύρει το προϊόν λίπανσης από την αγορά ή για να το ανακαλέσει.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40 – παράγραφος 1 – στοιχείο γ</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γ)</w:t>
            </w:r>
            <w:r w:rsidRPr="00AC4460">
              <w:tab/>
              <w:t xml:space="preserve">η δήλωση συμμόρφωσης ΕΕ δεν </w:t>
            </w:r>
            <w:r w:rsidRPr="00AC4460">
              <w:rPr>
                <w:b/>
                <w:i/>
              </w:rPr>
              <w:t>συνοδεύει το προϊόν λίπανσης με σήμανση CE·</w:t>
            </w:r>
          </w:p>
        </w:tc>
        <w:tc>
          <w:tcPr>
            <w:tcW w:w="4876" w:type="dxa"/>
          </w:tcPr>
          <w:p w:rsidR="00E451E4" w:rsidRPr="00AC4460" w:rsidRDefault="00E451E4" w:rsidP="000A61DD">
            <w:pPr>
              <w:pStyle w:val="Normal6"/>
              <w:rPr>
                <w:szCs w:val="24"/>
              </w:rPr>
            </w:pPr>
            <w:r w:rsidRPr="00AC4460">
              <w:t>γ)</w:t>
            </w:r>
            <w:r w:rsidRPr="00AC4460">
              <w:tab/>
              <w:t xml:space="preserve">η δήλωση συμμόρφωσης ΕΕ δεν </w:t>
            </w:r>
            <w:r w:rsidRPr="00AC4460">
              <w:rPr>
                <w:b/>
                <w:i/>
              </w:rPr>
              <w:t>έχει καταρτιστεί·</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Άρθρο 42 –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Η Επιτροπή εξουσιοδοτείται να εκδίδει κατ’ εξουσιοδότηση πράξεις σύμφωνα με το άρθρο 43 για την τροποποίηση των παραρτημάτων I έως IV, με σκοπό την προσαρμογή τους στην τεχνική πρόοδο και τη διευκόλυνση της πρόσβασης στην εσωτερική αγορά και της ελεύθερης κυκλοφορίας για τα προϊόντα λίπανσης με σήμανση CE</w:t>
            </w:r>
          </w:p>
        </w:tc>
        <w:tc>
          <w:tcPr>
            <w:tcW w:w="4876" w:type="dxa"/>
          </w:tcPr>
          <w:p w:rsidR="00E451E4" w:rsidRPr="00AC4460" w:rsidRDefault="00E451E4" w:rsidP="000A61DD">
            <w:pPr>
              <w:pStyle w:val="Normal6"/>
            </w:pPr>
            <w:r w:rsidRPr="00AC4460">
              <w:t>1.</w:t>
            </w:r>
            <w:r w:rsidRPr="00AC4460">
              <w:tab/>
              <w:t xml:space="preserve">Η Επιτροπή εξουσιοδοτείται να εκδίδει κατ’ εξουσιοδότηση πράξεις σύμφωνα με το άρθρο 43 για την τροποποίηση των παραρτημάτων I έως IV, </w:t>
            </w:r>
            <w:r w:rsidRPr="00AC4460">
              <w:rPr>
                <w:b/>
                <w:i/>
              </w:rPr>
              <w:t xml:space="preserve">λαμβάνοντας υπόψη τα προϊόντα και τα υλικά που έχουν ήδη εγκριθεί σε κράτη μέλη, ιδίως στους </w:t>
            </w:r>
            <w:r w:rsidRPr="00AC4460">
              <w:t>με σκοπό την προσαρμογή τους στην τεχνική πρόοδο</w:t>
            </w:r>
            <w:r w:rsidRPr="00AC4460">
              <w:rPr>
                <w:b/>
                <w:i/>
              </w:rPr>
              <w:t>, ιδίως στους τομείς της παραγωγής προϊόντων λίπανσης από ζωικά υποπροϊόντα</w:t>
            </w:r>
            <w:r w:rsidRPr="00AC4460">
              <w:t xml:space="preserve"> και</w:t>
            </w:r>
            <w:r w:rsidRPr="00AC4460">
              <w:rPr>
                <w:b/>
                <w:i/>
              </w:rPr>
              <w:t xml:space="preserve"> της ανάκτησης αποβλήτων, και με το σκοπό</w:t>
            </w:r>
            <w:r w:rsidRPr="00AC4460">
              <w:t xml:space="preserve"> τη διευκόλυνση της πρόσβασης στην εσωτερική αγορά και της ελεύθερης κυκλοφορίας για τα προϊόντα λίπανσης με σήμανση CE</w:t>
            </w:r>
            <w:r w:rsidRPr="00AC4460">
              <w:rPr>
                <w:b/>
                <w:i/>
              </w:rPr>
              <w:t>:</w:t>
            </w:r>
          </w:p>
        </w:tc>
      </w:tr>
      <w:tr w:rsidR="00E451E4" w:rsidRPr="00B0345A" w:rsidTr="000A61DD">
        <w:trPr>
          <w:jc w:val="center"/>
        </w:trPr>
        <w:tc>
          <w:tcPr>
            <w:tcW w:w="4876" w:type="dxa"/>
          </w:tcPr>
          <w:p w:rsidR="00E451E4" w:rsidRPr="00AC4460" w:rsidRDefault="00E451E4" w:rsidP="000A61DD">
            <w:pPr>
              <w:pStyle w:val="Normal6"/>
            </w:pPr>
            <w:r w:rsidRPr="00AC4460">
              <w:t>α)</w:t>
            </w:r>
            <w:r w:rsidRPr="00AC4460">
              <w:tab/>
              <w:t xml:space="preserve">τα οποία </w:t>
            </w:r>
            <w:r w:rsidRPr="00AC4460">
              <w:rPr>
                <w:b/>
                <w:i/>
              </w:rPr>
              <w:t>αναμένεται</w:t>
            </w:r>
            <w:r w:rsidRPr="00AC4460">
              <w:t xml:space="preserve"> να αποτελέσουν αντικείμενο</w:t>
            </w:r>
            <w:r w:rsidRPr="00AC4460">
              <w:rPr>
                <w:b/>
                <w:i/>
              </w:rPr>
              <w:t xml:space="preserve"> σημαντικών</w:t>
            </w:r>
            <w:r w:rsidRPr="00AC4460">
              <w:t xml:space="preserve"> εμπορικών συναλλαγών στην εσωτερική αγορά, και</w:t>
            </w:r>
          </w:p>
        </w:tc>
        <w:tc>
          <w:tcPr>
            <w:tcW w:w="4876" w:type="dxa"/>
          </w:tcPr>
          <w:p w:rsidR="00E451E4" w:rsidRPr="00AC4460" w:rsidRDefault="00E451E4" w:rsidP="000A61DD">
            <w:pPr>
              <w:pStyle w:val="Normal6"/>
            </w:pPr>
            <w:r w:rsidRPr="00AC4460">
              <w:t>α)</w:t>
            </w:r>
            <w:r w:rsidRPr="00AC4460">
              <w:tab/>
              <w:t xml:space="preserve">τα οποία </w:t>
            </w:r>
            <w:r w:rsidRPr="00AC4460">
              <w:rPr>
                <w:b/>
                <w:i/>
              </w:rPr>
              <w:t>έχουν δυναμικό</w:t>
            </w:r>
            <w:r w:rsidRPr="00AC4460">
              <w:t xml:space="preserve"> να αποτελέσουν αντικείμενο εμπορικών συναλλαγών στην εσωτερική αγορά, και</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 xml:space="preserve">τα οποία, σύμφωνα με τα διαθέσιμα επιστημονικά στοιχεία, δεν συνιστούν </w:t>
            </w:r>
            <w:r w:rsidRPr="00AC4460">
              <w:rPr>
                <w:b/>
                <w:i/>
              </w:rPr>
              <w:t xml:space="preserve">απαράδεκτο </w:t>
            </w:r>
            <w:r w:rsidRPr="00AC4460">
              <w:t>κίνδυνο για την υγεία του ανθρώπου, των ζώων ή των φυτών, για την ασφάλεια ή για το περιβάλλον, και είναι επαρκώς αποτελεσματικά.</w:t>
            </w:r>
          </w:p>
        </w:tc>
        <w:tc>
          <w:tcPr>
            <w:tcW w:w="4876" w:type="dxa"/>
          </w:tcPr>
          <w:p w:rsidR="00E451E4" w:rsidRPr="00AC4460" w:rsidRDefault="00E451E4" w:rsidP="000A61DD">
            <w:pPr>
              <w:pStyle w:val="Normal6"/>
            </w:pPr>
            <w:r w:rsidRPr="00AC4460">
              <w:t>β)</w:t>
            </w:r>
            <w:r w:rsidRPr="00AC4460">
              <w:tab/>
              <w:t>τα οποία, σύμφωνα με τα διαθέσιμα επιστημονικά στοιχεία, δεν συνιστούν κίνδυνο για την υγεία του ανθρώπου, των ζώων ή των φυτών, για την ασφάλεια ή για το περιβάλλον, και είναι επαρκώς αποτελεσματικά.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42 – παράγραφος 1 α (νέα)</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Χωρίς αδικαιολόγητη καθυστέρηση μετά την... [ημερομηνία έναρξης ισχύος του παρόντος κανονισμού], η Επιτροπή εκδίδει κατ’ εξουσιοδότηση πράξη, σύμφωνα με την παράγραφο 1, για την τροποποίηση των κατηγοριών συστατικών υλικών που καθορίζονται στο παράρτημα ΙΙ, με σκοπό ιδίως την προσθήκη των ζωικών υποπροϊόντων για τα οποία έχει καθοριστεί το τελικό σημείο, του στρουβίτη, του βιοξυλάνθρακα και των προϊόντων με βάση τις τέφρες σε αυτές τις κατηγορίες συστατικών υλικών, καθώς και τον καθορισμό των απαιτήσεων για τη συμπερίληψη αυτών των προϊόντων στις εν λόγω κατηγορίες.</w:t>
            </w:r>
            <w:r w:rsidR="000A61DD">
              <w:rPr>
                <w:b/>
                <w:i/>
              </w:rPr>
              <w:t xml:space="preserve"> </w:t>
            </w:r>
            <w:r w:rsidRPr="00AC4460">
              <w:rPr>
                <w:b/>
                <w:i/>
              </w:rPr>
              <w:t>Όταν εγκρίνει αυτές τις κατ’ εξουσιοδότηση πράξεις, η Επιτροπή λαμβάνει ειδικά υπόψη την τεχνολογική πρόοδο όσον αφορά την ανάκτηση θρεπτικών συστατικών.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42 – παράγραφος 2 – εισαγωγικό μέρος</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t xml:space="preserve">Εάν η Επιτροπή τροποποιήσει το παράρτημα II προκειμένου να προστεθούν </w:t>
            </w:r>
            <w:r w:rsidRPr="00AC4460">
              <w:rPr>
                <w:b/>
                <w:i/>
              </w:rPr>
              <w:t>νέοι μικροοργανισμοί</w:t>
            </w:r>
            <w:r w:rsidRPr="00AC4460">
              <w:t xml:space="preserve"> στην κατηγορία συστατικών υλικών για τέτοιους οργανισμούς</w:t>
            </w:r>
            <w:r w:rsidRPr="00AC4460">
              <w:rPr>
                <w:b/>
                <w:i/>
              </w:rPr>
              <w:t xml:space="preserve"> σύμφωνα</w:t>
            </w:r>
            <w:r w:rsidRPr="00AC4460">
              <w:t xml:space="preserve"> με </w:t>
            </w:r>
            <w:r w:rsidRPr="00AC4460">
              <w:rPr>
                <w:b/>
                <w:i/>
              </w:rPr>
              <w:t>την παράγραφο</w:t>
            </w:r>
            <w:r w:rsidRPr="00AC4460">
              <w:t xml:space="preserve"> 1</w:t>
            </w:r>
            <w:r w:rsidRPr="00AC4460">
              <w:rPr>
                <w:b/>
                <w:i/>
              </w:rPr>
              <w:t>, το πράττει</w:t>
            </w:r>
            <w:r w:rsidRPr="00AC4460">
              <w:t xml:space="preserve"> με βάση τα ακόλουθα στοιχεία:</w:t>
            </w:r>
          </w:p>
        </w:tc>
        <w:tc>
          <w:tcPr>
            <w:tcW w:w="4876" w:type="dxa"/>
          </w:tcPr>
          <w:p w:rsidR="00E451E4" w:rsidRPr="00AC4460" w:rsidRDefault="00E451E4" w:rsidP="000A61DD">
            <w:pPr>
              <w:pStyle w:val="Normal6"/>
            </w:pPr>
            <w:r w:rsidRPr="00AC4460">
              <w:t>2.</w:t>
            </w:r>
            <w:r w:rsidRPr="00AC4460">
              <w:tab/>
              <w:t xml:space="preserve">Εάν η Επιτροπή τροποποιήσει το παράρτημα II προκειμένου να προστεθούν </w:t>
            </w:r>
            <w:r w:rsidRPr="00AC4460">
              <w:rPr>
                <w:b/>
                <w:i/>
              </w:rPr>
              <w:t>νέα στελέχη μικροοργανισμών</w:t>
            </w:r>
            <w:r w:rsidRPr="00AC4460">
              <w:t xml:space="preserve"> στην κατηγορία συστατικών υλικών για τέτοιους οργανισμούς</w:t>
            </w:r>
            <w:r w:rsidRPr="00AC4460">
              <w:rPr>
                <w:b/>
                <w:i/>
              </w:rPr>
              <w:t>, το πράττει αφού επαληθεύσει ότι όλα τα σχετικά στελέχη του πρόσθετου μικροοργανισμού συμμορφώνονται</w:t>
            </w:r>
            <w:r w:rsidRPr="00AC4460">
              <w:t xml:space="preserve"> με </w:t>
            </w:r>
            <w:r w:rsidRPr="00AC4460">
              <w:rPr>
                <w:b/>
                <w:i/>
              </w:rPr>
              <w:t>τις απαιτήσεις της παραγράφου</w:t>
            </w:r>
            <w:r w:rsidRPr="00AC4460">
              <w:t xml:space="preserve"> 1</w:t>
            </w:r>
            <w:r w:rsidRPr="00AC4460">
              <w:rPr>
                <w:b/>
                <w:i/>
              </w:rPr>
              <w:t xml:space="preserve"> στοιχείο β) του παρόντος άρθρου,</w:t>
            </w:r>
            <w:r w:rsidRPr="00AC4460">
              <w:t xml:space="preserve"> με βάση τα ακόλουθα στοιχεία: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42 – παράγραφος 2 – στοιχείο α</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α)</w:t>
            </w:r>
            <w:r w:rsidRPr="00AC4460">
              <w:tab/>
              <w:t xml:space="preserve">ονομασία του </w:t>
            </w:r>
            <w:r w:rsidRPr="00AC4460">
              <w:rPr>
                <w:b/>
                <w:i/>
              </w:rPr>
              <w:t>μικροοργανισμού·</w:t>
            </w:r>
          </w:p>
        </w:tc>
        <w:tc>
          <w:tcPr>
            <w:tcW w:w="4876" w:type="dxa"/>
          </w:tcPr>
          <w:p w:rsidR="00E451E4" w:rsidRPr="00AC4460" w:rsidRDefault="00E451E4" w:rsidP="000A61DD">
            <w:pPr>
              <w:pStyle w:val="Normal6"/>
            </w:pPr>
            <w:r w:rsidRPr="00AC4460">
              <w:t>α)</w:t>
            </w:r>
            <w:r w:rsidRPr="00AC4460">
              <w:tab/>
              <w:t xml:space="preserve">ονομασία του </w:t>
            </w:r>
            <w:r w:rsidRPr="00AC4460">
              <w:rPr>
                <w:b/>
                <w:i/>
              </w:rPr>
              <w:t>μικροοργανισμού σε επίπεδο στελέχους·</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84</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42 – παράγραφος 2 – στοιχείο γ</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γ)</w:t>
            </w:r>
            <w:r w:rsidRPr="00AC4460">
              <w:tab/>
            </w:r>
            <w:r w:rsidRPr="00AC4460">
              <w:rPr>
                <w:b/>
                <w:i/>
              </w:rPr>
              <w:t>ιστορικά δεδομένα για την ασφαλή</w:t>
            </w:r>
            <w:r w:rsidRPr="00AC4460">
              <w:t xml:space="preserve"> παραγωγή και χρήση του μικροοργανισμού·</w:t>
            </w:r>
          </w:p>
        </w:tc>
        <w:tc>
          <w:tcPr>
            <w:tcW w:w="4876" w:type="dxa"/>
          </w:tcPr>
          <w:p w:rsidR="00E451E4" w:rsidRPr="00AC4460" w:rsidRDefault="00E451E4" w:rsidP="000A61DD">
            <w:pPr>
              <w:pStyle w:val="Normal6"/>
            </w:pPr>
            <w:r w:rsidRPr="00AC4460">
              <w:t>γ)</w:t>
            </w:r>
            <w:r w:rsidRPr="00AC4460">
              <w:tab/>
            </w:r>
            <w:r w:rsidRPr="00AC4460">
              <w:rPr>
                <w:b/>
                <w:i/>
              </w:rPr>
              <w:t>επιστημονική βιβλιογραφία στην οποία αναφέρεται η ασφαλής</w:t>
            </w:r>
            <w:r w:rsidRPr="00AC4460">
              <w:t xml:space="preserve"> παραγωγή και χρήση του μικροοργανισμού·</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42 – παράγραφος 2 – στοιχείο δ</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δ)</w:t>
            </w:r>
            <w:r w:rsidRPr="00AC4460">
              <w:tab/>
              <w:t xml:space="preserve">ταξινομική σχέση με είδη μικροοργανισμών που πληρούν τις απαιτήσεις για τεκμήριο αναγνωρισμένης ασφάλειας, όπως αυτό έχει προσδιοριστεί από την Ευρωπαϊκή Αρχή για την Ασφάλεια των </w:t>
            </w:r>
            <w:r w:rsidRPr="00AC4460">
              <w:rPr>
                <w:b/>
                <w:i/>
              </w:rPr>
              <w:t>Τροφίμων·</w:t>
            </w:r>
          </w:p>
        </w:tc>
        <w:tc>
          <w:tcPr>
            <w:tcW w:w="4876" w:type="dxa"/>
            <w:hideMark/>
          </w:tcPr>
          <w:p w:rsidR="00E451E4" w:rsidRPr="00AC4460" w:rsidRDefault="00E451E4" w:rsidP="000A61DD">
            <w:pPr>
              <w:pStyle w:val="Normal6"/>
              <w:rPr>
                <w:szCs w:val="24"/>
              </w:rPr>
            </w:pPr>
            <w:r w:rsidRPr="00AC4460">
              <w:t>δ)</w:t>
            </w:r>
            <w:r w:rsidRPr="00AC4460">
              <w:tab/>
              <w:t xml:space="preserve">ταξινομική σχέση με είδη μικροοργανισμών που πληρούν τις απαιτήσεις για τεκμήριο αναγνωρισμένης ασφάλειας, όπως αυτό έχει προσδιοριστεί από την Ευρωπαϊκή Αρχή για την Ασφάλεια των </w:t>
            </w:r>
            <w:r w:rsidRPr="00AC4460">
              <w:rPr>
                <w:b/>
                <w:i/>
              </w:rPr>
              <w:t>Τροφίμων, ή αναφορά δηλωθείσας συμμόρφωσης με τα ανάλογα εναρμονισμένα πρότυπα για την ασφάλεια των μικροοργανισμών που χρησιμοποιούνται και έχουν δημοσιευθεί στην Επίσημη Εφημερίδα της Ευρωπαϊκής Ένωσης, ή συμμόρφωση με τις απαιτήσεις για την αξιολόγηση της ασφάλειας των νέων μικροοργανισμών που έχει εγκρίνει η Επιτροπή, όταν δεν εφαρμόζονται τέτοια εναρμονισμένα πρότυπα·</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86</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42 – παράγραφος 2 – εδάφιο 1 α (νέο)</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Για να ανταποκριθεί στην ταχεία τεχνολογική πρόοδο στον εν λόγω τομέα, η Επιτροπή έως …</w:t>
            </w:r>
            <w:r w:rsidR="000A61DD">
              <w:rPr>
                <w:b/>
                <w:i/>
              </w:rPr>
              <w:t xml:space="preserve"> </w:t>
            </w:r>
            <w:r w:rsidRPr="00AC4460">
              <w:rPr>
                <w:b/>
                <w:i/>
              </w:rPr>
              <w:t>[ένα έτος από την έναρξη ισχύος του παρόντος κανονισμού], θεσπίζει κατ’ εξουσιοδότηση πράξεις σύμφωνα με το άρθρο 43 της Συνθήκης, για τον καθορισμό κριτηρίων για την αξιολόγηση νέων μικροοργανισμών που μπορούν να χρησιμοποιούνται στα προϊόντα θρέψης των φυτών χωρίς να είναι εγγεγραμμένα ονομαστικά σε θετικό κατάλογο.</w:t>
            </w:r>
          </w:p>
        </w:tc>
      </w:tr>
    </w:tbl>
    <w:p w:rsidR="00E451E4" w:rsidRPr="00B0345A" w:rsidRDefault="00E451E4" w:rsidP="00E451E4">
      <w:pPr>
        <w:pStyle w:val="AMNumberTabs"/>
        <w:keepNext/>
        <w:rPr>
          <w:rStyle w:val="HideTWBExt"/>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42 – παράγραφος 3 – εδάφιο 1 α (νέο)</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bCs/>
                <w:i/>
                <w:iCs/>
              </w:rPr>
              <w:t>Έως …</w:t>
            </w:r>
            <w:r w:rsidR="000A61DD">
              <w:rPr>
                <w:b/>
                <w:bCs/>
                <w:i/>
                <w:iCs/>
              </w:rPr>
              <w:t xml:space="preserve"> </w:t>
            </w:r>
            <w:r w:rsidRPr="00AC4460">
              <w:rPr>
                <w:b/>
                <w:bCs/>
                <w:i/>
                <w:iCs/>
              </w:rPr>
              <w:t>[έξι μήνες από την έναρξη ισχύος του παρόντος κανονισμού], η Επιτροπή τροποποιεί το παράρτημα II, προκειμένου να εισαχθούν τα τελικά σημεία στην αλυσίδα παρασκευής που έχουν καθοριστεί σύμφωνα με το δεύτερο εδάφιο του άρθρου 5 παράγραφος 2 του κανονισμού (ΕΚ) αριθ. 1069/2009, όσον αφορά τα ζωικά υποπροϊόντα που απαριθμούνται στην ΚΣΥ 11 Παραρτήματος ΙΙ.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88</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42 – παράγραφος 3 α (νέα)</w:t>
      </w:r>
      <w:r>
        <w:rPr>
          <w:rStyle w:val="HideTWBExt"/>
          <w:b w:val="0"/>
          <w:noProof w:val="0"/>
          <w:lang w:val="fr-FR"/>
        </w:rPr>
        <w:t>&lt;/Article&gt;</w:t>
      </w:r>
    </w:p>
    <w:p w:rsidR="00E451E4" w:rsidRPr="00032852" w:rsidRDefault="00E451E4" w:rsidP="00E451E4">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3α.</w:t>
            </w:r>
            <w:r w:rsidRPr="00AC4460">
              <w:tab/>
            </w:r>
            <w:r w:rsidRPr="00AC4460">
              <w:rPr>
                <w:b/>
                <w:i/>
                <w:szCs w:val="22"/>
              </w:rPr>
              <w:t>Κατά την έκδοση κατ’ εξουσιοδότηση πράξεων σύμφωνα με την παράγραφο 1, η Επιτροπή τροποποιεί την κατηγορία συστατικών υλικών όπου καθορίζεται η απαίτηση για πολυμερή άλλα από τα πολυμερή θρεπτικών συστατικών που προβλέπονται στο παράρτημα ΙΙ, προκειμένου να ληφθούν υπόψη τα πλέον πρόσφατα επιστημονικά δεδομένα και οι τεχνολογικές εξελίξεις, και έως τις... [τρία έτη μετά την ημερομηνία έναρξης της εφαρμογής του παρόντος κανονισμού], ορίζει τα κριτήρια για τη μετατροπή του πολυμερικού άνθρακα που πρόκειται να μετατραπεί σε διοξείδιο του άνθρακα (CO</w:t>
            </w:r>
            <w:r w:rsidRPr="00AC4460">
              <w:rPr>
                <w:b/>
                <w:i/>
                <w:szCs w:val="22"/>
                <w:vertAlign w:val="subscript"/>
              </w:rPr>
              <w:t>2</w:t>
            </w:r>
            <w:r w:rsidRPr="00AC4460">
              <w:rPr>
                <w:b/>
                <w:i/>
                <w:szCs w:val="22"/>
              </w:rPr>
              <w:t>) και την αντίστοιχη μέθοδο δοκιμής για τη βιοαποικοδόμηση.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Άρθρο 42 – παράγραφος 3 β (νέα)</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spacing w:line="256" w:lineRule="auto"/>
              <w:rPr>
                <w:b/>
                <w:i/>
                <w:sz w:val="22"/>
                <w:szCs w:val="22"/>
              </w:rPr>
            </w:pPr>
            <w:r w:rsidRPr="00AC4460">
              <w:rPr>
                <w:b/>
                <w:i/>
              </w:rPr>
              <w:t>3β.</w:t>
            </w:r>
            <w:r w:rsidRPr="00AC4460">
              <w:rPr>
                <w:b/>
                <w:i/>
              </w:rPr>
              <w:tab/>
              <w:t>Κατά την έκδοση κατ’ εξουσιοδότηση πράξεων σύμφωνα με την παράγραφο 1, η Επιτροπή τροποποιεί την κατηγορία συστατικών υλικών όπου καθορίζονται τα κριτήρια για άλλα βιομηχανικά υποπροϊόντα που προβλέπονται στο παράρτημα ΙΙ, προκειμένου να ληφθούν υπόψη οι τρέχουσες πρακτικές παρασκευής προϊόντων, οι τεχνολογικές εξελίξεις και τα πλέον πρόσφατα επιστημονικά δεδομένα, και έως τις... [ένα έτος μετά την ημερομηνία έναρξης της εφαρμογής του παρόντος κανονισμού], ορίζει τα κριτήρια που πρέπει να πληρούν τα βιομηχανικά υποπροϊόντα προκειμένου να περιληφθούν στην κατηγορία συστατικών υλικών.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rPr>
          <w:szCs w:val="24"/>
        </w:rPr>
        <w:t>Άρθρο 42 – παράγραφος 4 α (νέα)</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4α.</w:t>
            </w:r>
            <w:r w:rsidRPr="00AC4460">
              <w:rPr>
                <w:b/>
                <w:i/>
                <w:szCs w:val="24"/>
              </w:rPr>
              <w:tab/>
              <w:t>Όσον αφορά το μέρος II του παραρτήματος I, η εξουσιοδότηση έκδοσης κατ’ εξουσιοδότηση πράξεων σύμφωνα με τις παραγράφους 1 και 4 του παρόντος άρθρου δεν καλύπτει προσαρμογές στα όρια προσμείξεων που καθορίζονται, εκτός εάν απαιτούνται νέα όρια προσμείξεων συνεπεία της προσθήκης νέων συστατικών υλικών σύμφωνα με το παράρτημα II. Όταν καθορίζονται νέα όρια προσμείξεων, τα όρια αυτά εφαρμόζονται μόνο για τα νέα συστατικά υλικά που προστίθενται.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43 – παράγραφος 3 α (νέα)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3α.</w:t>
            </w:r>
            <w:r w:rsidRPr="00AC4460">
              <w:rPr>
                <w:b/>
                <w:i/>
              </w:rPr>
              <w:tab/>
              <w:t>Πριν από την έκδοση μιας κατ’ εξουσιοδότηση πράξης, η Επιτροπή διεξάγει διαβουλεύσεις με εμπειρογνώμονες που ορίζει κάθε κράτος μέλος σύμφωνα με τις αρχές της διοργανικής συμφωνίας της 13ης Απριλίου 2016 για τη βελτίωση του νομοθετικού έργου.</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92</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44 – παράγραφος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Τα κράτη μέλη θεσπίζουν κανόνες σχετικά με τις κυρώσεις που επιβάλλονται για τις παραβιάσεις του παρόντος κανονισμού και λαμβάνουν όλα τα αναγκαία μέτρα για να διασφαλίζουν την επιβολή τους. Οι προβλεπόμενες κυρώσεις είναι αποτελεσματικές, αναλογικές και αποτρεπτικές. Τα κράτη μέλη κοινοποιούν χωρίς καθυστέρηση στην Επιτροπή τους εν λόγω κανόνες και μέτρα και την ενημερώνουν χωρίς καθυστέρηση σχετικά με κάθε μεταγενέστερη τροποποίησή τους.</w:t>
            </w:r>
          </w:p>
        </w:tc>
        <w:tc>
          <w:tcPr>
            <w:tcW w:w="4876" w:type="dxa"/>
          </w:tcPr>
          <w:p w:rsidR="00E451E4" w:rsidRPr="00AC4460" w:rsidRDefault="00E451E4" w:rsidP="000A61DD">
            <w:pPr>
              <w:pStyle w:val="Normal6"/>
              <w:rPr>
                <w:szCs w:val="24"/>
              </w:rPr>
            </w:pPr>
            <w:r w:rsidRPr="00AC4460">
              <w:t xml:space="preserve">Τα κράτη μέλη θεσπίζουν κανόνες σχετικά με τις κυρώσεις που επιβάλλονται για τις παραβιάσεις του παρόντος κανονισμού και λαμβάνουν όλα τα αναγκαία μέτρα για να διασφαλίζουν την επιβολή τους. Οι προβλεπόμενες κυρώσεις είναι αποτελεσματικές, αναλογικές και αποτρεπτικές. Τα κράτη μέλη κοινοποιούν χωρίς καθυστέρηση στην Επιτροπή τους εν λόγω κανόνες και μέτρα και την ενημερώνουν χωρίς καθυστέρηση σχετικά με κάθε μεταγενέστερη τροποποίησή τους. </w:t>
            </w:r>
            <w:r w:rsidRPr="00AC4460">
              <w:rPr>
                <w:b/>
                <w:i/>
              </w:rPr>
              <w:t>Τα κράτη μέλη λαμβάνουν όλα τα αναγκαία μέτρα για να εξασφαλίζουν την επιβολή των κανόνων τους που αφορούν τις κυρώσεις.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rPr>
          <w:szCs w:val="24"/>
        </w:rPr>
        <w:t>Άρθρο 45 – παράγραφος 1 – σημείο 1 α (νέο)</w:t>
      </w:r>
      <w:r>
        <w:rPr>
          <w:rStyle w:val="HideTWBExt"/>
          <w:b w:val="0"/>
          <w:noProof w:val="0"/>
          <w:lang w:val="fr-FR"/>
        </w:rPr>
        <w:t>&lt;/Article&gt;</w:t>
      </w:r>
    </w:p>
    <w:p w:rsidR="00E451E4" w:rsidRPr="00B0345A" w:rsidRDefault="00E451E4" w:rsidP="00E451E4">
      <w:pPr>
        <w:keepNext/>
      </w:pPr>
      <w:r>
        <w:rPr>
          <w:rStyle w:val="HideTWBExt"/>
          <w:noProof w:val="0"/>
        </w:rPr>
        <w:t>&lt;DocAmend2&gt;</w:t>
      </w:r>
      <w:r w:rsidRPr="00AC4460">
        <w:t>Κανονισμός (ΕΚ) αριθ. 1069/2009</w:t>
      </w:r>
      <w:r>
        <w:rPr>
          <w:rStyle w:val="HideTWBExt"/>
          <w:noProof w:val="0"/>
        </w:rPr>
        <w:t>&lt;/DocAmend2&gt;</w:t>
      </w:r>
    </w:p>
    <w:p w:rsidR="00E451E4" w:rsidRPr="00032852" w:rsidRDefault="00E451E4" w:rsidP="00E451E4">
      <w:pPr>
        <w:keepNext/>
      </w:pPr>
      <w:r>
        <w:rPr>
          <w:rStyle w:val="HideTWBExt"/>
          <w:noProof w:val="0"/>
          <w:lang w:val="fr-FR"/>
        </w:rPr>
        <w:t>&lt;Article2&gt;</w:t>
      </w:r>
      <w:r w:rsidRPr="00AC4460">
        <w:t>Άρθρο 5 – παράγραφος 2 – εδάφιο 1 α (νέο)</w:t>
      </w:r>
      <w:r>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(1α) </w:t>
            </w:r>
            <w:r w:rsidRPr="00AC4460">
              <w:rPr>
                <w:b/>
                <w:bCs/>
                <w:i/>
                <w:iCs/>
              </w:rPr>
              <w:tab/>
              <w:t>Στην παράγραφο 2, παρεμβάλλεται το ακόλουθο εδάφιο μετά το πρώτο εδάφιο:</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bCs/>
                <w:i/>
              </w:rPr>
              <w:t>«Για παράγωγα προϊόντα που εμπίπτουν στο πεδίο εφαρμογής του άρθρου 32 και ήδη χρησιμοποιούνται ευρέως στα κράτη μέλη για την παραγωγή λιπασμάτων, η Επιτροπή καθορίζει ένα τέτοιο τελικό σημείο έως τις... [έξι μήνες από την ημερομηνία έναρξης ισχύος του κανονισμού για τα λιπάσματα]».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Άρθρο 46 – παράγραφος 1 – σημείο 2</w:t>
      </w:r>
      <w:r>
        <w:rPr>
          <w:rStyle w:val="HideTWBExt"/>
          <w:noProof w:val="0"/>
          <w:lang w:val="fr-FR"/>
        </w:rPr>
        <w:t>&lt;/Article&gt;</w:t>
      </w:r>
    </w:p>
    <w:p w:rsidR="00E451E4" w:rsidRPr="00FA3492" w:rsidRDefault="00E451E4" w:rsidP="00E451E4">
      <w:r>
        <w:rPr>
          <w:rStyle w:val="HideTWBExt"/>
          <w:noProof w:val="0"/>
          <w:lang w:val="fr-FR"/>
        </w:rPr>
        <w:t>&lt;DocAmend2&gt;</w:t>
      </w:r>
      <w:r w:rsidRPr="00AC4460">
        <w:t>Κανονισμός (ΕΚ) αριθ. 1107/2009</w:t>
      </w:r>
      <w:r>
        <w:rPr>
          <w:rStyle w:val="HideTWBExt"/>
          <w:noProof w:val="0"/>
          <w:lang w:val="fr-FR"/>
        </w:rPr>
        <w:t>&lt;/DocAmend2&gt;</w:t>
      </w:r>
    </w:p>
    <w:p w:rsidR="00E451E4" w:rsidRPr="00B0345A" w:rsidRDefault="00E451E4" w:rsidP="00E451E4">
      <w:pPr>
        <w:keepNext/>
      </w:pPr>
      <w:r>
        <w:rPr>
          <w:rStyle w:val="HideTWBExt"/>
          <w:noProof w:val="0"/>
        </w:rPr>
        <w:t>&lt;Article2&gt;</w:t>
      </w:r>
      <w:r w:rsidRPr="00AC4460">
        <w:t>Άρθρο 3 – σημείο 34 – εισαγωγικό μέρος</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bookmarkStart w:id="3" w:name="_Hlk485570978"/>
            <w:r w:rsidRPr="00AC4460">
              <w:rPr>
                <w:b/>
                <w:i/>
              </w:rPr>
              <w:t>(3)</w:t>
            </w:r>
            <w:r w:rsidRPr="00AC4460">
              <w:tab/>
            </w:r>
            <w:r w:rsidRPr="00AC4460">
              <w:rPr>
                <w:b/>
                <w:i/>
              </w:rPr>
              <w:t>«</w:t>
            </w:r>
            <w:r w:rsidRPr="00AC4460">
              <w:t xml:space="preserve">34. «βιοδιεγέρτης φυτών»: προϊόν που διεγείρει τις διαδικασίες θρέψης των φυτών ανεξάρτητα από την </w:t>
            </w:r>
            <w:r w:rsidRPr="00AC4460">
              <w:rPr>
                <w:b/>
                <w:i/>
              </w:rPr>
              <w:t>περιεκτικότητα</w:t>
            </w:r>
            <w:r w:rsidRPr="00AC4460">
              <w:t xml:space="preserve"> του</w:t>
            </w:r>
            <w:r w:rsidRPr="00AC4460">
              <w:rPr>
                <w:b/>
                <w:i/>
              </w:rPr>
              <w:t xml:space="preserve"> προϊόντος</w:t>
            </w:r>
            <w:r w:rsidRPr="00AC4460">
              <w:t xml:space="preserve"> σε θρεπτικά στοιχεία, με μοναδικό σκοπό τη βελτίωση ενός ή περισσοτέρων από τα ακόλουθα χαρακτηριστικά του φυτού:</w:t>
            </w:r>
            <w:bookmarkEnd w:id="3"/>
          </w:p>
        </w:tc>
        <w:tc>
          <w:tcPr>
            <w:tcW w:w="4876" w:type="dxa"/>
          </w:tcPr>
          <w:p w:rsidR="00E451E4" w:rsidRPr="00AC4460" w:rsidRDefault="00E451E4" w:rsidP="000A61DD">
            <w:pPr>
              <w:pStyle w:val="Normal6"/>
            </w:pPr>
            <w:r w:rsidRPr="00AC4460">
              <w:rPr>
                <w:b/>
                <w:i/>
              </w:rPr>
              <w:t>«</w:t>
            </w:r>
            <w:r w:rsidRPr="00AC4460">
              <w:t xml:space="preserve">34. «βιοδιεγέρτης φυτών»: προϊόν </w:t>
            </w:r>
            <w:r w:rsidRPr="00AC4460">
              <w:rPr>
                <w:b/>
                <w:i/>
              </w:rPr>
              <w:t xml:space="preserve">το οποίο περιέχει οποιαδήποτε ουσία ή μικροοργανισμό </w:t>
            </w:r>
            <w:r w:rsidRPr="00AC4460">
              <w:t xml:space="preserve">που διεγείρει τις διαδικασίες θρέψης των φυτών ανεξάρτητα από την </w:t>
            </w:r>
            <w:r w:rsidRPr="00AC4460">
              <w:rPr>
                <w:b/>
                <w:i/>
              </w:rPr>
              <w:t>περιεκτικότητά</w:t>
            </w:r>
            <w:r w:rsidRPr="00AC4460">
              <w:t xml:space="preserve"> του σε θρεπτικά στοιχεία, </w:t>
            </w:r>
            <w:r w:rsidRPr="00AC4460">
              <w:rPr>
                <w:b/>
                <w:i/>
              </w:rPr>
              <w:t xml:space="preserve">ή οποιονδήποτε συνδυασμό τέτοιων ουσιών και/ή μικροοργανισμών, </w:t>
            </w:r>
            <w:r w:rsidRPr="00AC4460">
              <w:t>με μοναδικό σκοπό τη βελτίωση ενός ή περισσοτέρων από τα ακόλουθα χαρακτηριστικά του φυτού</w:t>
            </w:r>
            <w:r w:rsidRPr="00AC4460">
              <w:rPr>
                <w:b/>
                <w:i/>
              </w:rPr>
              <w:t xml:space="preserve"> ή της ριζόσφαιρας του φυτού</w:t>
            </w:r>
            <w:r w:rsidRPr="00AC4460">
              <w:t>:</w:t>
            </w:r>
            <w:r w:rsidR="000A61DD">
              <w:t xml:space="preserve"> </w:t>
            </w:r>
          </w:p>
        </w:tc>
      </w:tr>
    </w:tbl>
    <w:p w:rsidR="000A61DD" w:rsidRPr="000A61DD" w:rsidRDefault="000A61DD" w:rsidP="000A61DD">
      <w:pPr>
        <w:rPr>
          <w:lang w:val="pt-PT"/>
        </w:rPr>
      </w:pPr>
      <w:r w:rsidRPr="000A61DD">
        <w:rPr>
          <w:rStyle w:val="HideTWBExt"/>
          <w:noProof w:val="0"/>
          <w:lang w:val="pt-PT"/>
        </w:rPr>
        <w:t>&lt;/Amend&gt;</w:t>
      </w:r>
    </w:p>
    <w:p w:rsidR="000A61DD" w:rsidRPr="000A61DD" w:rsidRDefault="000A61DD" w:rsidP="000A61DD">
      <w:pPr>
        <w:pStyle w:val="AMNumberTabs"/>
        <w:rPr>
          <w:lang w:val="pt-PT"/>
        </w:rPr>
      </w:pPr>
      <w:r w:rsidRPr="000A61DD">
        <w:rPr>
          <w:rStyle w:val="HideTWBExt"/>
          <w:noProof w:val="0"/>
          <w:lang w:val="pt-PT"/>
        </w:rPr>
        <w:t>&lt;Amend&gt;</w:t>
      </w:r>
      <w:r w:rsidRPr="00AC4460">
        <w:t>Τροπολογία</w:t>
      </w:r>
      <w:r w:rsidRPr="000A61DD">
        <w:rPr>
          <w:lang w:val="pt-PT"/>
        </w:rPr>
        <w:t xml:space="preserve"> </w:t>
      </w:r>
      <w:r w:rsidRPr="000A61DD">
        <w:rPr>
          <w:lang w:val="pt-PT"/>
        </w:rPr>
        <w:tab/>
      </w:r>
      <w:r w:rsidRPr="000A61DD">
        <w:rPr>
          <w:lang w:val="pt-PT"/>
        </w:rPr>
        <w:tab/>
      </w:r>
      <w:r w:rsidRPr="000A61DD">
        <w:rPr>
          <w:rStyle w:val="HideTWBExt"/>
          <w:noProof w:val="0"/>
          <w:lang w:val="pt-PT"/>
        </w:rPr>
        <w:t>&lt;NumAm&gt;</w:t>
      </w:r>
      <w:r w:rsidRPr="000A61DD">
        <w:rPr>
          <w:lang w:val="pt-PT"/>
        </w:rPr>
        <w:t>9</w:t>
      </w:r>
      <w:r>
        <w:t>5</w:t>
      </w:r>
      <w:r w:rsidR="000E6C72">
        <w:t xml:space="preserve"> </w:t>
      </w:r>
      <w:r w:rsidRPr="000A61DD">
        <w:rPr>
          <w:rStyle w:val="HideTWBExt"/>
          <w:noProof w:val="0"/>
          <w:lang w:val="pt-PT"/>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46 – παράγραφος 1 – σημείο 2</w:t>
      </w:r>
      <w:r>
        <w:rPr>
          <w:rStyle w:val="HideTWBExt"/>
          <w:noProof w:val="0"/>
          <w:lang w:val="fr-FR"/>
        </w:rPr>
        <w:t>&lt;/Article&gt;</w:t>
      </w:r>
    </w:p>
    <w:p w:rsidR="00E451E4" w:rsidRPr="00032852" w:rsidRDefault="00E451E4" w:rsidP="00E451E4">
      <w:r>
        <w:rPr>
          <w:rStyle w:val="HideTWBExt"/>
          <w:noProof w:val="0"/>
          <w:lang w:val="fr-FR"/>
        </w:rPr>
        <w:t>&lt;DocAmend2&gt;</w:t>
      </w:r>
      <w:r w:rsidRPr="00AC4460">
        <w:t>Κανονισμός (ΕΚ) αριθ. 1107/2009</w:t>
      </w:r>
      <w:r>
        <w:rPr>
          <w:rStyle w:val="HideTWBExt"/>
          <w:noProof w:val="0"/>
          <w:lang w:val="fr-FR"/>
        </w:rPr>
        <w:t>&lt;/DocAmend2&gt;</w:t>
      </w:r>
    </w:p>
    <w:p w:rsidR="00E451E4" w:rsidRPr="00032852" w:rsidRDefault="00E451E4" w:rsidP="00E451E4">
      <w:r>
        <w:rPr>
          <w:rStyle w:val="HideTWBExt"/>
          <w:noProof w:val="0"/>
          <w:lang w:val="fr-FR"/>
        </w:rPr>
        <w:t>&lt;Article2&gt;</w:t>
      </w:r>
      <w:r w:rsidRPr="00AC4460">
        <w:t>Άρθρο 3 – παράγραφος 34 – στοιχείο γ</w:t>
      </w:r>
      <w:r>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γ)</w:t>
            </w:r>
            <w:r w:rsidRPr="00AC4460">
              <w:tab/>
            </w:r>
            <w:r w:rsidRPr="00AC4460">
              <w:rPr>
                <w:b/>
                <w:i/>
              </w:rPr>
              <w:t>χαρακτηριστικά ποιότητας</w:t>
            </w:r>
            <w:r w:rsidRPr="00AC4460">
              <w:t xml:space="preserve"> της καλλιέργειας.</w:t>
            </w:r>
          </w:p>
        </w:tc>
        <w:tc>
          <w:tcPr>
            <w:tcW w:w="4876" w:type="dxa"/>
          </w:tcPr>
          <w:p w:rsidR="00E451E4" w:rsidRPr="00AC4460" w:rsidRDefault="00E451E4" w:rsidP="000A61DD">
            <w:pPr>
              <w:pStyle w:val="Normal6"/>
            </w:pPr>
            <w:r w:rsidRPr="00AC4460">
              <w:t>γ)</w:t>
            </w:r>
            <w:r w:rsidRPr="00AC4460">
              <w:tab/>
            </w:r>
            <w:r w:rsidRPr="00AC4460">
              <w:rPr>
                <w:b/>
                <w:i/>
              </w:rPr>
              <w:t>ποιότητα</w:t>
            </w:r>
            <w:r w:rsidRPr="00AC4460">
              <w:t xml:space="preserve"> της καλλιέργειας.</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96</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46 – παράγραφος 1 – σημείο 2</w:t>
      </w:r>
      <w:r>
        <w:rPr>
          <w:rStyle w:val="HideTWBExt"/>
          <w:noProof w:val="0"/>
          <w:lang w:val="fr-FR"/>
        </w:rPr>
        <w:t>&lt;/Article&gt;</w:t>
      </w:r>
    </w:p>
    <w:p w:rsidR="00E451E4" w:rsidRPr="00B0345A" w:rsidRDefault="00E451E4" w:rsidP="00E451E4">
      <w:r>
        <w:rPr>
          <w:rStyle w:val="HideTWBExt"/>
          <w:noProof w:val="0"/>
        </w:rPr>
        <w:t>&lt;DocAmend2&gt;</w:t>
      </w:r>
      <w:r w:rsidRPr="00AC4460">
        <w:t>Κανονισμός (ΕΚ) αριθ. 1107/2009</w:t>
      </w:r>
      <w:r>
        <w:rPr>
          <w:rStyle w:val="HideTWBExt"/>
          <w:noProof w:val="0"/>
        </w:rPr>
        <w:t>&lt;/DocAmend2&gt;</w:t>
      </w:r>
    </w:p>
    <w:p w:rsidR="00E451E4" w:rsidRPr="00FA3492" w:rsidRDefault="00E451E4" w:rsidP="00E451E4">
      <w:r>
        <w:rPr>
          <w:rStyle w:val="HideTWBExt"/>
          <w:noProof w:val="0"/>
          <w:lang w:val="fr-FR"/>
        </w:rPr>
        <w:t>&lt;Article2&gt;</w:t>
      </w:r>
      <w:r w:rsidRPr="00AC4460">
        <w:t>Άρθρο 3 – παράγραφος 34 – στοιχείο γ α (νέο)</w:t>
      </w:r>
      <w:r>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trHeight w:hRule="exact" w:val="240"/>
          <w:jc w:val="center"/>
        </w:trPr>
        <w:tc>
          <w:tcPr>
            <w:tcW w:w="9752" w:type="dxa"/>
            <w:gridSpan w:val="2"/>
          </w:tcPr>
          <w:p w:rsidR="00E451E4" w:rsidRPr="00FA349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γ α)</w:t>
            </w:r>
            <w:r w:rsidRPr="00AC4460">
              <w:tab/>
            </w:r>
            <w:r w:rsidRPr="00AC4460">
              <w:rPr>
                <w:b/>
                <w:i/>
              </w:rPr>
              <w:t>διαθεσιμότητα των θρεπτικών στοιχείων που συγκρατούνται στο έδαφος, στη ριζόσφαιρα ή στη φυλλόσφαιρα·</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97</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46 – παράγραφος 1 – σημείο 2</w:t>
      </w:r>
      <w:r>
        <w:rPr>
          <w:rStyle w:val="HideTWBExt"/>
          <w:noProof w:val="0"/>
          <w:lang w:val="fr-FR"/>
        </w:rPr>
        <w:t>&lt;/Article&gt;</w:t>
      </w:r>
    </w:p>
    <w:p w:rsidR="00E451E4" w:rsidRPr="00FA3492" w:rsidRDefault="00E451E4" w:rsidP="00E451E4">
      <w:r>
        <w:rPr>
          <w:rStyle w:val="HideTWBExt"/>
          <w:noProof w:val="0"/>
          <w:lang w:val="fr-FR"/>
        </w:rPr>
        <w:t>&lt;DocAmend2&gt;</w:t>
      </w:r>
      <w:r w:rsidRPr="00AC4460">
        <w:t>Κανονισμός (ΕΚ) αριθ. 1107/2009</w:t>
      </w:r>
      <w:r>
        <w:rPr>
          <w:rStyle w:val="HideTWBExt"/>
          <w:noProof w:val="0"/>
          <w:lang w:val="fr-FR"/>
        </w:rPr>
        <w:t>&lt;/DocAmend2&gt;</w:t>
      </w:r>
    </w:p>
    <w:p w:rsidR="00E451E4" w:rsidRPr="00FA3492" w:rsidRDefault="00E451E4" w:rsidP="00E451E4">
      <w:r>
        <w:rPr>
          <w:rStyle w:val="HideTWBExt"/>
          <w:noProof w:val="0"/>
          <w:lang w:val="fr-FR"/>
        </w:rPr>
        <w:t>&lt;Article2&gt;</w:t>
      </w:r>
      <w:r w:rsidRPr="00AC4460">
        <w:t>Άρθρο 3 – παράγραφος 34 – στοιχείο γ β (νέο)</w:t>
      </w:r>
      <w:r>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trHeight w:hRule="exact" w:val="240"/>
          <w:jc w:val="center"/>
        </w:trPr>
        <w:tc>
          <w:tcPr>
            <w:tcW w:w="9752" w:type="dxa"/>
            <w:gridSpan w:val="2"/>
          </w:tcPr>
          <w:p w:rsidR="00E451E4" w:rsidRPr="00FA349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γ β)</w:t>
            </w:r>
            <w:r w:rsidRPr="00AC4460">
              <w:tab/>
            </w:r>
            <w:r w:rsidRPr="00AC4460">
              <w:rPr>
                <w:b/>
                <w:i/>
              </w:rPr>
              <w:t>αποδόμηση οργανικών ενώσεων στο έδαφος.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98</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Άρθρο 46 – παράγραφος 1 – σημείο 2</w:t>
      </w:r>
      <w:r>
        <w:rPr>
          <w:rStyle w:val="HideTWBExt"/>
          <w:b w:val="0"/>
          <w:noProof w:val="0"/>
          <w:lang w:val="fr-FR"/>
        </w:rPr>
        <w:t>&lt;/Article&gt;</w:t>
      </w:r>
    </w:p>
    <w:p w:rsidR="00E451E4" w:rsidRPr="00FA3492" w:rsidRDefault="00E451E4" w:rsidP="00E451E4">
      <w:pPr>
        <w:keepNext/>
      </w:pPr>
      <w:r>
        <w:rPr>
          <w:rStyle w:val="HideTWBExt"/>
          <w:noProof w:val="0"/>
          <w:lang w:val="fr-FR"/>
        </w:rPr>
        <w:t>&lt;DocAmend2&gt;</w:t>
      </w:r>
      <w:r w:rsidRPr="00AC4460">
        <w:t>Κανονισμός (ΕΚ) αριθ. 1107/2009</w:t>
      </w:r>
      <w:r>
        <w:rPr>
          <w:rStyle w:val="HideTWBExt"/>
          <w:noProof w:val="0"/>
          <w:lang w:val="fr-FR"/>
        </w:rPr>
        <w:t>&lt;/DocAmend2&gt;</w:t>
      </w:r>
    </w:p>
    <w:p w:rsidR="00E451E4" w:rsidRPr="00FA3492" w:rsidRDefault="00E451E4" w:rsidP="00E451E4">
      <w:r>
        <w:rPr>
          <w:rStyle w:val="HideTWBExt"/>
          <w:noProof w:val="0"/>
          <w:lang w:val="fr-FR"/>
        </w:rPr>
        <w:t>&lt;Article2&gt;</w:t>
      </w:r>
      <w:r w:rsidRPr="00AC4460">
        <w:t>Άρθρο 3 – παράγραφος 34 – στοιχείο γ γ (νέο)</w:t>
      </w:r>
      <w:r>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FA349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γ)</w:t>
            </w:r>
            <w:r w:rsidRPr="00AC4460">
              <w:rPr>
                <w:b/>
                <w:i/>
              </w:rPr>
              <w:tab/>
              <w:t>χουμοποίηση·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48 – τίτλος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Μεταβατικές διατάξεις</w:t>
            </w:r>
          </w:p>
        </w:tc>
        <w:tc>
          <w:tcPr>
            <w:tcW w:w="4876" w:type="dxa"/>
          </w:tcPr>
          <w:p w:rsidR="00E451E4" w:rsidRPr="00AC4460" w:rsidRDefault="00E451E4" w:rsidP="000A61DD">
            <w:pPr>
              <w:pStyle w:val="Normal6"/>
              <w:rPr>
                <w:szCs w:val="24"/>
              </w:rPr>
            </w:pPr>
            <w:r w:rsidRPr="00AC4460">
              <w:t>Μεταβατικές διατάξεις</w:t>
            </w:r>
            <w:r w:rsidRPr="00AC4460">
              <w:rPr>
                <w:b/>
                <w:i/>
              </w:rPr>
              <w:t>, επανεξέταση και υποβολή εκθέσεων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Άρθρο 48 – παράγραφος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Τα κράτη μέλη δεν εμποδίζουν τη διάθεση στην αγορά όσων προϊόντων είχαν τεθεί σε κυκλοφορία ως λιπάσματα με την ένδειξη «λίπασμα ΕΚ» σύμφωνα με τον κανονισμό (ΕΚ) αριθ. 2003/2003 πριν από</w:t>
            </w:r>
            <w:r w:rsidRPr="00AC4460">
              <w:rPr>
                <w:b/>
                <w:i/>
              </w:rPr>
              <w:t xml:space="preserve"> την [Publications office, please insert the date of application of this Regulation]</w:t>
            </w:r>
            <w:r w:rsidRPr="00AC4460">
              <w:t>. Ωστόσο, οι διατάξεις του κεφαλαίου 5 εφαρμόζονται στα προϊόντα αυτά, mutatis mutandis.</w:t>
            </w:r>
          </w:p>
        </w:tc>
        <w:tc>
          <w:tcPr>
            <w:tcW w:w="4876" w:type="dxa"/>
            <w:hideMark/>
          </w:tcPr>
          <w:p w:rsidR="00E451E4" w:rsidRPr="00AC4460" w:rsidRDefault="00E451E4" w:rsidP="000A61DD">
            <w:pPr>
              <w:pStyle w:val="Normal6"/>
              <w:rPr>
                <w:szCs w:val="24"/>
              </w:rPr>
            </w:pPr>
            <w:r w:rsidRPr="00AC4460">
              <w:t>Τα κράτη μέλη δεν εμποδίζουν τη διάθεση στην αγορά όσων προϊόντων είχαν τεθεί σε κυκλοφορία ως λιπάσματα με την ένδειξη «λίπασμα ΕΚ» σύμφωνα με τον κανονισμό (ΕΚ) αριθ. 2003/2003 πριν από</w:t>
            </w:r>
            <w:r w:rsidRPr="00AC4460">
              <w:rPr>
                <w:b/>
                <w:i/>
              </w:rPr>
              <w:t>... [δώδεκα μήνες μετά την ημερομηνία εφαρμογής του παρόντος κανονισμού]</w:t>
            </w:r>
            <w:r w:rsidRPr="00AC4460">
              <w:t>. Ωστόσο, οι διατάξεις του κεφαλαίου 5 εφαρμόζονται στα προϊόντα αυτά, mutatis mutandis.</w:t>
            </w:r>
          </w:p>
        </w:tc>
      </w:tr>
    </w:tbl>
    <w:p w:rsidR="00E451E4" w:rsidRPr="00B0345A" w:rsidRDefault="00E451E4" w:rsidP="00E451E4">
      <w:r>
        <w:rPr>
          <w:rStyle w:val="HideTWBExt"/>
          <w:noProof w:val="0"/>
        </w:rPr>
        <w:t>&lt;/Amend&gt;</w:t>
      </w:r>
    </w:p>
    <w:p w:rsidR="00E451E4" w:rsidRPr="00B0345A" w:rsidRDefault="00E451E4" w:rsidP="00E451E4"/>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Άρθρο 48 - παράγραφος 1 α (νέα)</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1α. </w:t>
            </w:r>
            <w:r w:rsidRPr="00AC4460">
              <w:rPr>
                <w:b/>
                <w:i/>
              </w:rPr>
              <w:tab/>
              <w:t>Τα κράτη μέλη που έχουν ήδη εφαρμόσει χαμηλότερο όριο για το κάδμιο (Cd) στα οργανοανόργανα και στα ανόργανα λιπάσματα, σύμφωνα με τις ΚΛΠ 1 (Β)(3)(a) και ΚΛΠ 1 (Γ)(I)(2)(a) στο παράρτημα Ι μέρος ΙΙ, μπορούν να διατηρήσουν αυτό το αυστηρότερο όριο έως ότου το όριο που προβλέπεται στον παρόντα κανονισμό γίνει ίσο ή χαμηλότερο. Τα κράτη μέλη κοινοποιούν τέτοια υφιστάμενα εθνικά μέτρα στην Επιτροπή μέχρι ... [έξι μήνες μετά την ημερομηνία έναρξης ισχύος του παρόντος κανονισμού].</w:t>
            </w:r>
          </w:p>
        </w:tc>
      </w:tr>
    </w:tbl>
    <w:p w:rsidR="00E451E4" w:rsidRPr="00B0345A" w:rsidRDefault="00E451E4" w:rsidP="00E451E4">
      <w:pPr>
        <w:pStyle w:val="Normal12Italic"/>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rPr>
          <w:szCs w:val="24"/>
        </w:rPr>
      </w:pPr>
      <w:r>
        <w:rPr>
          <w:rStyle w:val="HideTWBExt"/>
          <w:noProof w:val="0"/>
          <w:lang w:val="fr-FR"/>
        </w:rPr>
        <w:t>&lt;Article&gt;</w:t>
      </w:r>
      <w:r w:rsidRPr="00AC4460">
        <w:rPr>
          <w:szCs w:val="24"/>
        </w:rPr>
        <w:t>Άρθρο 48 – παράγραφος 1 β (νέα)</w:t>
      </w:r>
      <w:r>
        <w:rPr>
          <w:rStyle w:val="HideTWBExt"/>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1β.</w:t>
            </w:r>
            <w:r w:rsidRPr="00AC4460">
              <w:rPr>
                <w:b/>
                <w:i/>
              </w:rPr>
              <w:tab/>
              <w:t>Έως ... [42 μήνες μετά την ημερομηνία εφαρμογής του παρόντος κανονισμού], η Επιτροπή υποβάλλει στο Ευρωπαϊκό Κοινοβούλιο και στο Συμβούλιο έκθεση αξιολόγησης της εφαρμογής του παρόντος κανονισμού και του συνολικού αντικτύπου του ως προς την επίτευξη των στόχων του, συμπεριλαμβανομένου του αντικτύπου στις ΜΜΕ· Η εν λόγω έκθεση περιλαμβάνει ιδίως:</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α)</w:t>
            </w:r>
            <w:r w:rsidRPr="00AC4460">
              <w:rPr>
                <w:b/>
                <w:i/>
              </w:rPr>
              <w:tab/>
              <w:t>αξιολόγηση της λειτουργίας της εσωτερικής αγοράς για τα προϊόντα λίπανσης, συμπεριλαμβανομένης της εκτίμησης συμμόρφωσης και της αποτελεσματικότητας της εποπτείας της αγοράς, ανάλυση των επιπτώσεων της μερικής εναρμόνισης στην παραγωγή, στα πρότυπα χρήσης και στις εμπορικές ροές των προϊόντων λίπανσης με σήμανση CE και των προϊόντων λίπανσης που διατίθενται στην αγορά σύμφωνα με εθνικούς κανόνες·</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β)</w:t>
            </w:r>
            <w:r w:rsidRPr="00AC4460">
              <w:rPr>
                <w:b/>
                <w:i/>
              </w:rPr>
              <w:tab/>
              <w:t>αξιολόγηση της εφαρμογής των περιορισμών για τα επίπεδα προσμείξεων, όπως προβλέπεται στο παράρτημα Ι του παρόντος κανονισμού, οιαδήποτε νέα σχετικά επιστημονικά στοιχεία όσον αφορά την τοξικότητα και ικανότητα καρκινογένεσης των προσμείξεων, εάν καθίσταται διαθέσιμη, συμπεριλαμβανομένων των κινδύνων μόλυνσης από ουράνιο σε προϊόντα λίπανσης·</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γ)</w:t>
            </w:r>
            <w:r w:rsidRPr="00AC4460">
              <w:rPr>
                <w:b/>
                <w:i/>
              </w:rPr>
              <w:tab/>
              <w:t>αξιολόγηση των εξελίξεων στις τεχνολογίες αποκαδμίωσης και του αντίκτυπου, της κλίμακας και του κόστους των τεχνολογιών αυτών κατά μήκος της αλυσίδας αξίας, καθώς και της συναφούς διαχείρισης αποβλήτων καδμίου· και</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δ)</w:t>
            </w:r>
            <w:r w:rsidRPr="00AC4460">
              <w:rPr>
                <w:b/>
                <w:i/>
              </w:rPr>
              <w:tab/>
              <w:t>αξιολόγηση των επιπτώσεων στο εμπόριο πρώτων υλών, συμπεριλαμβανομένης της διαθεσιμότητας φωσφορίτη.</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Η έκθεση λαμβάνει δεόντως υπόψη την τεχνολογική πρόοδο και την καινοτομία, καθώς και τις διαδικασίες τυποποίησης που επηρεάζουν την παραγωγή και τη χρήση προϊόντων λίπανσης Συνοδεύεται, εάν παραστεί ανάγκη, από νομοθετική πρόταση έως τις...</w:t>
            </w:r>
            <w:r w:rsidR="000A61DD">
              <w:rPr>
                <w:b/>
                <w:i/>
              </w:rPr>
              <w:t xml:space="preserve"> </w:t>
            </w:r>
            <w:r w:rsidRPr="00AC4460">
              <w:rPr>
                <w:b/>
                <w:i/>
              </w:rPr>
              <w:t>[πέντε έτη μετά την ημερομηνία εφαρμογής του</w:t>
            </w:r>
            <w:r w:rsidR="000A61DD">
              <w:rPr>
                <w:b/>
                <w:i/>
              </w:rPr>
              <w:t xml:space="preserve"> </w:t>
            </w:r>
            <w:r w:rsidRPr="00AC4460">
              <w:rPr>
                <w:b/>
                <w:i/>
              </w:rPr>
              <w:t>παρόντος κανονισμού],</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Έως τις [12 μήνες μετά την έναρξη ισχύος του παρόντος κανονισμού] η Επιτροπή υποβάλλει αξιολόγηση των επιστημονικών δεδομένων για τον καθορισμό των αγρονομικών και περιβαλλοντικών κριτηρίων για τον ορισμό των</w:t>
            </w:r>
            <w:r w:rsidR="000A61DD">
              <w:rPr>
                <w:b/>
                <w:i/>
              </w:rPr>
              <w:t xml:space="preserve"> </w:t>
            </w:r>
            <w:r w:rsidRPr="00AC4460">
              <w:rPr>
                <w:b/>
                <w:i/>
              </w:rPr>
              <w:t>κριτηρίων για το τελικό σημείο της ζωικής κόπρου για τον χαρακτηρισμό της απόδοσης των προϊόντων που περιέχουν ή συνίστανται σε επεξεργασμένα κτηνοτροφικά απόβλητα·</w:t>
            </w:r>
          </w:p>
        </w:tc>
      </w:tr>
    </w:tbl>
    <w:p w:rsidR="00E451E4" w:rsidRPr="00B0345A" w:rsidRDefault="00E451E4" w:rsidP="00E451E4">
      <w:r>
        <w:rPr>
          <w:rStyle w:val="HideTWBExt"/>
          <w:noProof w:val="0"/>
        </w:rPr>
        <w:t>&lt;/Amend&gt;</w:t>
      </w:r>
    </w:p>
    <w:p w:rsidR="00E451E4" w:rsidRPr="00B0345A" w:rsidRDefault="00E451E4" w:rsidP="00E451E4">
      <w:pPr>
        <w:pStyle w:val="AMNumberTabs"/>
      </w:pPr>
      <w:r>
        <w:rPr>
          <w:rStyle w:val="HideTWBExt"/>
          <w:noProof w:val="0"/>
        </w:rPr>
        <w:t>&lt;Amend&gt;</w:t>
      </w:r>
      <w:r w:rsidRPr="00AC4460">
        <w:t xml:space="preserve">Τροπολογία </w:t>
      </w:r>
      <w:r w:rsidRPr="00AC4460">
        <w:tab/>
      </w:r>
      <w:r w:rsidRPr="00AC4460">
        <w:tab/>
      </w:r>
      <w:r>
        <w:rPr>
          <w:rStyle w:val="HideTWBExt"/>
          <w:noProof w:val="0"/>
        </w:rPr>
        <w:t>&lt;NumAm&gt;</w:t>
      </w:r>
      <w:r w:rsidRPr="00AC4460">
        <w:t>103</w:t>
      </w:r>
      <w:r>
        <w:rPr>
          <w:rStyle w:val="HideTWBExt"/>
          <w:noProof w:val="0"/>
        </w:rPr>
        <w:t>&lt;/NumAm&gt;</w:t>
      </w:r>
    </w:p>
    <w:p w:rsidR="00E451E4" w:rsidRPr="00B0345A" w:rsidRDefault="00E451E4" w:rsidP="00E451E4">
      <w:pPr>
        <w:pStyle w:val="NormalBold12b"/>
      </w:pPr>
      <w:r>
        <w:rPr>
          <w:rStyle w:val="HideTWBExt"/>
          <w:noProof w:val="0"/>
        </w:rPr>
        <w:t>&lt;DocAmend&gt;</w:t>
      </w:r>
      <w:r w:rsidRPr="00AC4460">
        <w:t>Πρόταση κανονισμού</w:t>
      </w:r>
      <w:r>
        <w:rPr>
          <w:rStyle w:val="HideTWBExt"/>
          <w:noProof w:val="0"/>
        </w:rPr>
        <w:t>&lt;/DocAmend&gt;</w:t>
      </w:r>
    </w:p>
    <w:p w:rsidR="00E451E4" w:rsidRPr="00032852" w:rsidRDefault="00E451E4" w:rsidP="00E451E4">
      <w:pPr>
        <w:pStyle w:val="NormalBold"/>
      </w:pPr>
      <w:r>
        <w:rPr>
          <w:rStyle w:val="HideTWBExt"/>
          <w:noProof w:val="0"/>
          <w:lang w:val="fr-FR"/>
        </w:rPr>
        <w:t>&lt;Article&gt;</w:t>
      </w:r>
      <w:r w:rsidRPr="00AC4460">
        <w:t>Άρθρο 48 – παράγραφος 1 γ (νέα)</w:t>
      </w:r>
      <w:r>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trHeight w:hRule="exact" w:val="240"/>
          <w:jc w:val="center"/>
        </w:trPr>
        <w:tc>
          <w:tcPr>
            <w:tcW w:w="9752" w:type="dxa"/>
            <w:gridSpan w:val="2"/>
          </w:tcPr>
          <w:p w:rsidR="00E451E4" w:rsidRPr="00032852" w:rsidRDefault="00E451E4" w:rsidP="000A61DD">
            <w:pPr>
              <w:rPr>
                <w:lang w:val="fr-FR"/>
              </w:rPr>
            </w:pPr>
          </w:p>
        </w:tc>
      </w:tr>
      <w:tr w:rsidR="00E451E4" w:rsidRPr="00B0345A" w:rsidTr="000A61DD">
        <w:trPr>
          <w:trHeight w:val="240"/>
          <w:jc w:val="center"/>
        </w:trPr>
        <w:tc>
          <w:tcPr>
            <w:tcW w:w="4876" w:type="dxa"/>
          </w:tcPr>
          <w:p w:rsidR="00E451E4" w:rsidRPr="00AC4460" w:rsidRDefault="00E451E4" w:rsidP="000A61DD">
            <w:pPr>
              <w:pStyle w:val="ColumnHeading"/>
            </w:pPr>
            <w:r w:rsidRPr="00AC4460">
              <w:t>Κείμενο που προτείνει η Επιτροπή</w:t>
            </w:r>
          </w:p>
        </w:tc>
        <w:tc>
          <w:tcPr>
            <w:tcW w:w="4876" w:type="dxa"/>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1γ.</w:t>
            </w:r>
            <w:r w:rsidRPr="00AC4460">
              <w:rPr>
                <w:b/>
                <w:i/>
              </w:rPr>
              <w:tab/>
              <w:t>Έως τις [5 έτη μετά την έναρξη ισχύος του παρόντος κανονισμού] η Επιτροπή προβαίνει σε αναθεώρηση της διαδικασίας αξιολόγησης της συμμόρφωσης των μικροοργανισμών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Άρθρο 49 – παράγραφος 2</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Εφαρμόζεται από την </w:t>
            </w:r>
            <w:r w:rsidRPr="00AC4460">
              <w:rPr>
                <w:b/>
                <w:i/>
              </w:rPr>
              <w:t>1η Ιανουαρίου 2018</w:t>
            </w:r>
            <w:r w:rsidRPr="00AC4460">
              <w:t>.</w:t>
            </w:r>
          </w:p>
        </w:tc>
        <w:tc>
          <w:tcPr>
            <w:tcW w:w="4876" w:type="dxa"/>
          </w:tcPr>
          <w:p w:rsidR="00E451E4" w:rsidRPr="00AC4460" w:rsidRDefault="00E451E4" w:rsidP="000A61DD">
            <w:pPr>
              <w:pStyle w:val="Normal6"/>
            </w:pPr>
            <w:r w:rsidRPr="00AC4460">
              <w:t xml:space="preserve">Εφαρμόζεται από </w:t>
            </w:r>
            <w:r w:rsidRPr="00AC4460">
              <w:rPr>
                <w:b/>
                <w:i/>
              </w:rPr>
              <w:t xml:space="preserve">… [δύο έτη μετά </w:t>
            </w:r>
            <w:r w:rsidRPr="00AC4460">
              <w:t xml:space="preserve">την </w:t>
            </w:r>
            <w:r w:rsidRPr="00AC4460">
              <w:rPr>
                <w:b/>
                <w:i/>
              </w:rPr>
              <w:t>ημερομηνία έναρξης ισχύος του παρόντος κανονισμού], εκτός από τα άρθρα 19 έως 35, τα οποία τίθενται σε εφαρμογή στις ... [ένα έτος μετά την ημερομηνία έναρξης ισχύος του παρόντος κανονισμού], και τα άρθρα 13, 41, 42, 43 και 45, τα οποία τίθενται σε εφαρμογή στις ... [την ημερομηνία έναρξης ισχύος του παρόντος κανονισμού]</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Παράρτημα I – μέρος 1 –</w:t>
      </w:r>
      <w:r w:rsidR="000A61DD">
        <w:t xml:space="preserve"> </w:t>
      </w:r>
      <w:r w:rsidRPr="00AC4460">
        <w:t>παράγραφος 1 – στοιχείο Γ α (νέο)</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rPr>
                <w:b/>
                <w:bCs/>
                <w:i/>
                <w:iCs/>
              </w:rPr>
            </w:pPr>
            <w:r w:rsidRPr="00AC4460">
              <w:rPr>
                <w:b/>
                <w:bCs/>
                <w:i/>
                <w:iCs/>
              </w:rPr>
              <w:t>Γ α.</w:t>
            </w:r>
            <w:r w:rsidRPr="00AC4460">
              <w:rPr>
                <w:b/>
                <w:bCs/>
                <w:i/>
                <w:iCs/>
              </w:rPr>
              <w:tab/>
              <w:t>Λίπασμα χαμηλής περιεκτικότητας σε άνθρακα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106</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I – σημείο 5 – στοιχείο Α – σημείο I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Θ α.</w:t>
            </w:r>
            <w:r w:rsidRPr="00AC4460">
              <w:rPr>
                <w:b/>
                <w:i/>
              </w:rPr>
              <w:tab/>
              <w:t>Αναστολέας απονίτρωσης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σημείο 4</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4.</w:t>
            </w:r>
            <w:r w:rsidRPr="00AC4460">
              <w:rPr>
                <w:b/>
                <w:i/>
              </w:rPr>
              <w:tab/>
              <w:t>Όταν το προϊόν λίπανσης με σήμανση CE περιέχει μια ουσία για την οποία έχουν θεσπιστεί ανώτατα όρια καταλοίπων για τα τρόφιμα και τις ζωοτροφές σύμφωνα με</w:t>
            </w:r>
          </w:p>
        </w:tc>
        <w:tc>
          <w:tcPr>
            <w:tcW w:w="4876" w:type="dxa"/>
          </w:tcPr>
          <w:p w:rsidR="00E451E4" w:rsidRPr="00AC4460" w:rsidRDefault="00E451E4" w:rsidP="000A61DD">
            <w:pPr>
              <w:pStyle w:val="Normal6"/>
              <w:rPr>
                <w:szCs w:val="24"/>
              </w:rPr>
            </w:pPr>
            <w:r w:rsidRPr="00AC4460">
              <w:rPr>
                <w:b/>
                <w:i/>
              </w:rPr>
              <w:t>διαγράφεται</w:t>
            </w:r>
          </w:p>
        </w:tc>
      </w:tr>
      <w:tr w:rsidR="00E451E4" w:rsidRPr="00B0345A" w:rsidTr="000A61DD">
        <w:trPr>
          <w:jc w:val="center"/>
        </w:trPr>
        <w:tc>
          <w:tcPr>
            <w:tcW w:w="4876" w:type="dxa"/>
          </w:tcPr>
          <w:p w:rsidR="00E451E4" w:rsidRPr="00AC4460" w:rsidRDefault="00E451E4" w:rsidP="000A61DD">
            <w:pPr>
              <w:pStyle w:val="Normal6"/>
            </w:pPr>
            <w:r w:rsidRPr="00AC4460">
              <w:rPr>
                <w:b/>
                <w:i/>
              </w:rPr>
              <w:t xml:space="preserve">α) </w:t>
            </w:r>
            <w:r w:rsidRPr="00AC4460">
              <w:rPr>
                <w:b/>
                <w:i/>
              </w:rPr>
              <w:tab/>
              <w:t>τον κανονισμό (ΕΟΚ) αριθ. 315/93 του Συμβουλίου</w:t>
            </w:r>
            <w:r w:rsidRPr="00AC4460">
              <w:rPr>
                <w:b/>
                <w:i/>
                <w:vertAlign w:val="superscript"/>
              </w:rPr>
              <w:t>32</w:t>
            </w:r>
            <w:r w:rsidRPr="00AC4460">
              <w:rPr>
                <w:b/>
                <w:i/>
              </w:rPr>
              <w:t>,</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rPr>
              <w:t xml:space="preserve">β) </w:t>
            </w:r>
            <w:r w:rsidRPr="00AC4460">
              <w:rPr>
                <w:b/>
                <w:i/>
              </w:rPr>
              <w:tab/>
              <w:t>τον κανονισμό (ΕΚ) αριθ. 396/2005 του Ευρωπαϊκού Κοινοβουλίου και του Συμβουλίου</w:t>
            </w:r>
            <w:r w:rsidRPr="00AC4460">
              <w:rPr>
                <w:b/>
                <w:i/>
                <w:vertAlign w:val="superscript"/>
              </w:rPr>
              <w:t>33</w:t>
            </w:r>
            <w:r w:rsidRPr="00AC4460">
              <w:rPr>
                <w:b/>
                <w:i/>
              </w:rPr>
              <w:t xml:space="preserve"> ,</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rPr>
              <w:t xml:space="preserve">γ) </w:t>
            </w:r>
            <w:r w:rsidRPr="00AC4460">
              <w:rPr>
                <w:b/>
                <w:i/>
              </w:rPr>
              <w:tab/>
              <w:t>τον κανονισμό (ΕΚ) αριθ. 470/2009 του Ευρωπαϊκού Κοινοβουλίου και του Συμβουλίου</w:t>
            </w:r>
            <w:r w:rsidRPr="00AC4460">
              <w:rPr>
                <w:b/>
                <w:i/>
                <w:vertAlign w:val="superscript"/>
              </w:rPr>
              <w:t>34</w:t>
            </w:r>
            <w:r w:rsidR="000A61DD">
              <w:rPr>
                <w:b/>
                <w:i/>
              </w:rPr>
              <w:t xml:space="preserve"> </w:t>
            </w:r>
            <w:r w:rsidRPr="00AC4460">
              <w:rPr>
                <w:b/>
                <w:i/>
              </w:rPr>
              <w:t>ή</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E6C72">
            <w:pPr>
              <w:pStyle w:val="Normal6"/>
            </w:pPr>
            <w:r w:rsidRPr="00AC4460">
              <w:rPr>
                <w:b/>
                <w:i/>
              </w:rPr>
              <w:t xml:space="preserve">δ) </w:t>
            </w:r>
            <w:r w:rsidRPr="00AC4460">
              <w:rPr>
                <w:b/>
                <w:i/>
              </w:rPr>
              <w:tab/>
              <w:t>την οδηγία 2002/73/ΕΚ του Ευρωπαϊκού Κοινοβουλίου και του Συμβουλίου</w:t>
            </w:r>
            <w:r w:rsidRPr="00AC4460">
              <w:rPr>
                <w:b/>
                <w:i/>
                <w:vertAlign w:val="superscript"/>
              </w:rPr>
              <w:t>35</w:t>
            </w:r>
            <w:r w:rsidRPr="00AC4460">
              <w:rPr>
                <w:b/>
                <w:i/>
              </w:rPr>
              <w:t>,</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rPr>
              <w:t>τότε η χρήση του προϊόντος λίπανσης με σήμανση CE, όπως περιγράφεται στις οδηγίες χρήσης, δεν πρέπει να οδηγεί στην υπέρβαση των εν λόγω ορίων σε τρόφιμα ή ζωοτροφές.</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rPr>
              <w:t>__________________</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vertAlign w:val="superscript"/>
              </w:rPr>
              <w:t>32</w:t>
            </w:r>
            <w:r w:rsidRPr="00AC4460">
              <w:t xml:space="preserve"> </w:t>
            </w:r>
            <w:r w:rsidRPr="00AC4460">
              <w:rPr>
                <w:b/>
                <w:i/>
              </w:rPr>
              <w:t>Κανονισμός (ΕΟΚ) αριθ. 315/93 του Συμβουλίου, της 8ης Φεβρουαρίου 1993, για τη θέσπιση κοινοτικών διαδικασιών για τις προσμείξεις των τροφίμων (ΕΕ L 37 της 13.2.1993, σ. 1).</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vertAlign w:val="superscript"/>
              </w:rPr>
              <w:t>33</w:t>
            </w:r>
            <w:r w:rsidRPr="00AC4460">
              <w:t xml:space="preserve"> </w:t>
            </w:r>
            <w:r w:rsidRPr="00AC4460">
              <w:rPr>
                <w:b/>
                <w:i/>
              </w:rPr>
              <w:t>Κανονισμός (ΕΚ) αριθ. 396/2005 του Ευρωπαϊκού Κοινοβουλίου και του Συμβουλίου, της 23ης Φεβρουαρίου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 (ΕΕ L 70 της 16.3.2005, σ. 1).</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vertAlign w:val="superscript"/>
              </w:rPr>
              <w:t>34</w:t>
            </w:r>
            <w:r w:rsidRPr="00AC4460">
              <w:t xml:space="preserve"> </w:t>
            </w:r>
            <w:r w:rsidRPr="00AC4460">
              <w:rPr>
                <w:b/>
                <w:i/>
              </w:rPr>
              <w:t>Κανονισμός (ΕΚ) αριθ. 470/2009 του Ευρωπαϊκού Κοινοβουλίου και του Συμβουλίου, της 6ης Μαΐου 2009, για θέσπιση κοινοτικών διαδικασιών για τον καθορισμό ορίων καταλοίπων των φαρμακολογικά δραστικών ουσιών στα τρόφιμα ζωικής προέλευσης, για την κατάργηση του κανονισμού (ΕΟΚ) αριθ. 2377/90 του Συμβουλίου και τροποποίηση της οδηγίας 2001/82/ΕΚ του Ευρωπαϊκού Κοινοβουλίου και του Συμβουλίου και του κανονισμού (ΕΚ) αριθ. 726/2004 του Ευρωπαϊκού Κοινοβουλίου και του Συμβουλίου (ΕΕ L 152 της 16.6.2009, σ. 11).</w:t>
            </w:r>
          </w:p>
        </w:tc>
        <w:tc>
          <w:tcPr>
            <w:tcW w:w="4876" w:type="dxa"/>
          </w:tcPr>
          <w:p w:rsidR="00E451E4" w:rsidRPr="00AC4460" w:rsidRDefault="00E451E4" w:rsidP="000A61DD">
            <w:pPr>
              <w:pStyle w:val="Normal6"/>
              <w:rPr>
                <w:szCs w:val="24"/>
              </w:rPr>
            </w:pPr>
          </w:p>
        </w:tc>
      </w:tr>
      <w:tr w:rsidR="00E451E4" w:rsidRPr="00B0345A" w:rsidTr="000A61DD">
        <w:trPr>
          <w:jc w:val="center"/>
        </w:trPr>
        <w:tc>
          <w:tcPr>
            <w:tcW w:w="4876" w:type="dxa"/>
          </w:tcPr>
          <w:p w:rsidR="00E451E4" w:rsidRPr="00AC4460" w:rsidRDefault="00E451E4" w:rsidP="000A61DD">
            <w:pPr>
              <w:pStyle w:val="Normal6"/>
            </w:pPr>
            <w:r w:rsidRPr="00AC4460">
              <w:rPr>
                <w:b/>
                <w:i/>
                <w:vertAlign w:val="superscript"/>
              </w:rPr>
              <w:t>35</w:t>
            </w:r>
            <w:r w:rsidRPr="00AC4460">
              <w:t xml:space="preserve"> </w:t>
            </w:r>
            <w:r w:rsidRPr="00AC4460">
              <w:rPr>
                <w:b/>
                <w:i/>
              </w:rPr>
              <w:t>Οδηγία 2002/32/ΕΚ του Ευρωπαϊκού Κοινοβουλίου και του Συμβουλίου, της 7ης Μαΐου 2002, σχετικά με τις ανεπιθύμητες ουσίες στις ζωοτροφές (ΕΕ L 140 της 30.5.2002, σ. 10).</w:t>
            </w:r>
          </w:p>
        </w:tc>
        <w:tc>
          <w:tcPr>
            <w:tcW w:w="4876" w:type="dxa"/>
          </w:tcPr>
          <w:p w:rsidR="00E451E4" w:rsidRPr="00AC4460" w:rsidRDefault="00E451E4" w:rsidP="000A61DD">
            <w:pPr>
              <w:pStyle w:val="Normal6"/>
              <w:rPr>
                <w:szCs w:val="24"/>
              </w:rPr>
            </w:pP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σημείο 4 – παράγραφος 1 α (νέα)</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Συστατικά που υποβάλλονται για έγκριση ή εκ νέου έγκριση δυνάμει του κανονισμού (ΕΚ) αριθ. 1107/2009, αλλά δεν περιλαμβάνονται στον εκτελεστικό κανονισμό (ΕΕ) αριθ. 540/2011 της Επιτροπής, δεν χρησιμοποιούνται σε προϊόντα λίπανσης όταν η μη συμπερίληψή τους δικαιολογείται δυνάμει της παραγράφου 4 του άρθρου 1 του κανονισμού (ΕΚ) αριθ. 1107/2009.</w:t>
            </w:r>
          </w:p>
        </w:tc>
      </w:tr>
    </w:tbl>
    <w:p w:rsidR="000E6C72" w:rsidRPr="000E6C72" w:rsidRDefault="000E6C72" w:rsidP="000E6C72">
      <w:pPr>
        <w:rPr>
          <w:lang w:val="pt-PT"/>
        </w:rPr>
      </w:pPr>
      <w:r w:rsidRPr="000E6C72">
        <w:rPr>
          <w:rStyle w:val="HideTWBExt"/>
          <w:noProof w:val="0"/>
          <w:lang w:val="pt-PT"/>
        </w:rPr>
        <w:t>&lt;/Amend&gt;</w:t>
      </w:r>
    </w:p>
    <w:p w:rsidR="000E6C72" w:rsidRPr="000E6C72" w:rsidRDefault="000E6C72" w:rsidP="000E6C72">
      <w:pPr>
        <w:pStyle w:val="AMNumberTabs"/>
        <w:keepNext/>
        <w:rPr>
          <w:lang w:val="pt-PT"/>
        </w:rPr>
      </w:pPr>
      <w:r w:rsidRPr="000E6C72">
        <w:rPr>
          <w:rStyle w:val="HideTWBExt"/>
          <w:b w:val="0"/>
          <w:noProof w:val="0"/>
          <w:lang w:val="pt-PT"/>
        </w:rPr>
        <w:t>&lt;Amend&gt;</w:t>
      </w:r>
      <w:r w:rsidRPr="00AC4460">
        <w:t>Τροπολογία</w:t>
      </w:r>
      <w:r w:rsidRPr="000E6C72">
        <w:rPr>
          <w:lang w:val="pt-PT"/>
        </w:rPr>
        <w:tab/>
      </w:r>
      <w:r w:rsidRPr="000E6C72">
        <w:rPr>
          <w:lang w:val="pt-PT"/>
        </w:rPr>
        <w:tab/>
      </w:r>
      <w:r w:rsidRPr="000E6C72">
        <w:rPr>
          <w:rStyle w:val="HideTWBExt"/>
          <w:b w:val="0"/>
          <w:noProof w:val="0"/>
          <w:lang w:val="pt-PT"/>
        </w:rPr>
        <w:t>&lt;NumAm&gt;</w:t>
      </w:r>
      <w:r w:rsidRPr="000E6C72">
        <w:rPr>
          <w:lang w:val="pt-PT"/>
        </w:rPr>
        <w:t>1</w:t>
      </w:r>
      <w:r>
        <w:t>09</w:t>
      </w:r>
      <w:r w:rsidRPr="000E6C72">
        <w:rPr>
          <w:rStyle w:val="HideTWBExt"/>
          <w:b w:val="0"/>
          <w:noProof w:val="0"/>
          <w:lang w:val="pt-PT"/>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keepNext/>
      </w:pPr>
      <w:r>
        <w:rPr>
          <w:rStyle w:val="HideTWBExt"/>
          <w:b w:val="0"/>
          <w:noProof w:val="0"/>
          <w:lang w:val="en-GB"/>
        </w:rPr>
        <w:t>&lt;Article&gt;</w:t>
      </w:r>
      <w:r w:rsidRPr="00AC4460">
        <w:t>Παράρτημα Ι – μέρος ΙΙ – ΚΛΠ 1(Α) – σημείο 1</w:t>
      </w:r>
      <w:r>
        <w:rPr>
          <w:rStyle w:val="HideTWBExt"/>
          <w:b w:val="0"/>
          <w:noProof w:val="0"/>
          <w:lang w:val="en-GB"/>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1. Ένα οργανικό λίπασμα περιέχει </w:t>
            </w:r>
          </w:p>
        </w:tc>
        <w:tc>
          <w:tcPr>
            <w:tcW w:w="4876" w:type="dxa"/>
          </w:tcPr>
          <w:p w:rsidR="00E451E4" w:rsidRPr="00AC4460" w:rsidRDefault="00E451E4" w:rsidP="000A61DD">
            <w:pPr>
              <w:pStyle w:val="Normal6"/>
            </w:pPr>
            <w:r w:rsidRPr="00AC4460">
              <w:t xml:space="preserve">1. Ένα οργανικό λίπασμα περιέχει </w:t>
            </w:r>
          </w:p>
        </w:tc>
      </w:tr>
      <w:tr w:rsidR="00E451E4" w:rsidRPr="00B0345A" w:rsidTr="000A61DD">
        <w:trPr>
          <w:jc w:val="center"/>
        </w:trPr>
        <w:tc>
          <w:tcPr>
            <w:tcW w:w="4876" w:type="dxa"/>
          </w:tcPr>
          <w:p w:rsidR="00E451E4" w:rsidRPr="00AC4460" w:rsidRDefault="00E451E4" w:rsidP="000A61DD">
            <w:pPr>
              <w:pStyle w:val="Normal6"/>
              <w:rPr>
                <w:rFonts w:eastAsia="Calibri"/>
              </w:rPr>
            </w:pPr>
            <w:r w:rsidRPr="00AC4460">
              <w:t>-</w:t>
            </w:r>
            <w:r w:rsidRPr="00AC4460">
              <w:tab/>
            </w:r>
            <w:r w:rsidRPr="00AC4460">
              <w:rPr>
                <w:b/>
                <w:i/>
              </w:rPr>
              <w:t>άνθρακα</w:t>
            </w:r>
            <w:r w:rsidRPr="00AC4460">
              <w:t xml:space="preserve"> (</w:t>
            </w:r>
            <w:r w:rsidRPr="00AC4460">
              <w:rPr>
                <w:b/>
                <w:i/>
              </w:rPr>
              <w:t>C</w:t>
            </w:r>
            <w:r w:rsidRPr="00AC4460">
              <w:t>) και</w:t>
            </w:r>
          </w:p>
        </w:tc>
        <w:tc>
          <w:tcPr>
            <w:tcW w:w="4876" w:type="dxa"/>
          </w:tcPr>
          <w:p w:rsidR="00E451E4" w:rsidRPr="00AC4460" w:rsidRDefault="00E451E4" w:rsidP="000A61DD">
            <w:pPr>
              <w:pStyle w:val="Normal6"/>
              <w:rPr>
                <w:rFonts w:eastAsia="Calibri"/>
              </w:rPr>
            </w:pPr>
            <w:r w:rsidRPr="00AC4460">
              <w:t>-</w:t>
            </w:r>
            <w:r w:rsidRPr="00AC4460">
              <w:tab/>
            </w:r>
            <w:r w:rsidRPr="00AC4460">
              <w:rPr>
                <w:b/>
                <w:i/>
              </w:rPr>
              <w:t>οργανικό άνθρακα</w:t>
            </w:r>
            <w:r w:rsidRPr="00AC4460">
              <w:t xml:space="preserve"> (</w:t>
            </w:r>
            <w:r w:rsidRPr="00AC4460">
              <w:rPr>
                <w:b/>
                <w:i/>
              </w:rPr>
              <w:t>Corg</w:t>
            </w:r>
            <w:r w:rsidRPr="00AC4460">
              <w:t>) και</w:t>
            </w:r>
          </w:p>
        </w:tc>
      </w:tr>
      <w:tr w:rsidR="00E451E4" w:rsidRPr="00B0345A" w:rsidTr="000A61DD">
        <w:trPr>
          <w:jc w:val="center"/>
        </w:trPr>
        <w:tc>
          <w:tcPr>
            <w:tcW w:w="4876" w:type="dxa"/>
          </w:tcPr>
          <w:p w:rsidR="00E451E4" w:rsidRPr="00AC4460" w:rsidRDefault="00E451E4" w:rsidP="000A61DD">
            <w:pPr>
              <w:pStyle w:val="Normal6"/>
              <w:rPr>
                <w:rFonts w:eastAsia="Calibri"/>
              </w:rPr>
            </w:pPr>
            <w:r w:rsidRPr="00AC4460">
              <w:t>-</w:t>
            </w:r>
            <w:r w:rsidRPr="00AC4460">
              <w:tab/>
              <w:t>θρεπτικά συστατικά</w:t>
            </w:r>
          </w:p>
        </w:tc>
        <w:tc>
          <w:tcPr>
            <w:tcW w:w="4876" w:type="dxa"/>
          </w:tcPr>
          <w:p w:rsidR="00E451E4" w:rsidRPr="00AC4460" w:rsidRDefault="00E451E4" w:rsidP="000A61DD">
            <w:pPr>
              <w:pStyle w:val="Normal6"/>
              <w:rPr>
                <w:rFonts w:eastAsia="Calibri"/>
              </w:rPr>
            </w:pPr>
            <w:r w:rsidRPr="00AC4460">
              <w:t>-</w:t>
            </w:r>
            <w:r w:rsidRPr="00AC4460">
              <w:tab/>
              <w:t>θρεπτικά συστατικά</w:t>
            </w:r>
          </w:p>
        </w:tc>
      </w:tr>
      <w:tr w:rsidR="00E451E4" w:rsidRPr="00B0345A" w:rsidTr="000A61DD">
        <w:trPr>
          <w:jc w:val="center"/>
        </w:trPr>
        <w:tc>
          <w:tcPr>
            <w:tcW w:w="4876" w:type="dxa"/>
          </w:tcPr>
          <w:p w:rsidR="00E451E4" w:rsidRPr="00AC4460" w:rsidRDefault="00E451E4" w:rsidP="000A61DD">
            <w:pPr>
              <w:pStyle w:val="Normal6"/>
              <w:rPr>
                <w:rFonts w:eastAsia="Calibri"/>
              </w:rPr>
            </w:pPr>
            <w:r w:rsidRPr="00AC4460">
              <w:t xml:space="preserve">αποκλειστικά βιολογικής προέλευσης, εξαιρουμένων </w:t>
            </w:r>
            <w:r w:rsidRPr="00AC4460">
              <w:rPr>
                <w:b/>
                <w:i/>
              </w:rPr>
              <w:t>των</w:t>
            </w:r>
            <w:r w:rsidRPr="00AC4460">
              <w:t xml:space="preserve"> απολιθωμένων ή ενσωματωμένων σε γεωλογικούς σχηματισμούς υλικών.</w:t>
            </w:r>
          </w:p>
        </w:tc>
        <w:tc>
          <w:tcPr>
            <w:tcW w:w="4876" w:type="dxa"/>
          </w:tcPr>
          <w:p w:rsidR="00E451E4" w:rsidRPr="00AC4460" w:rsidRDefault="00E451E4" w:rsidP="000A61DD">
            <w:pPr>
              <w:pStyle w:val="Normal6"/>
              <w:rPr>
                <w:rFonts w:eastAsia="Calibri"/>
              </w:rPr>
            </w:pPr>
            <w:r w:rsidRPr="00AC4460">
              <w:t xml:space="preserve">αποκλειστικά βιολογικής προέλευσης, </w:t>
            </w:r>
            <w:r w:rsidRPr="00AC4460">
              <w:rPr>
                <w:b/>
                <w:i/>
              </w:rPr>
              <w:t xml:space="preserve">όπως η τύρφη, συμπεριλαμβανομένου του λεοναρδίτη, του λιγνίτη και ουσιών που λαμβάνονται από τα υλικά αυτά, </w:t>
            </w:r>
            <w:r w:rsidRPr="00AC4460">
              <w:t xml:space="preserve">εξαιρουμένων </w:t>
            </w:r>
            <w:r w:rsidRPr="00AC4460">
              <w:rPr>
                <w:b/>
                <w:i/>
              </w:rPr>
              <w:t>όμως άλλων</w:t>
            </w:r>
            <w:r w:rsidRPr="00AC4460">
              <w:t xml:space="preserve"> απολιθωμένων ή ενσωματωμένων σε γεωλογικούς σχηματισμούς υλικών.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en-GB"/>
        </w:rPr>
        <w:t>&lt;Article&gt;</w:t>
      </w:r>
      <w:r w:rsidRPr="00AC4460">
        <w:t xml:space="preserve"> Παράρτημα Ι – μέρος II – ΚΛΠ 1(Α) – σημείο 2 – περίπτωση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1,5</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 xml:space="preserve"> Παράρτημα Ι – μέρος II – ΚΛΠ 1(Α) – σημείο 2 – περίπτωση 5</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120</w:t>
            </w:r>
            <w:r w:rsidRPr="00AC4460">
              <w:t xml:space="preserve"> mg/kg ξηράς ουσίας, και</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112</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1(Α) – σημείο 2 – περίπτωση 6</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FA3492" w:rsidTr="000A61DD">
        <w:trPr>
          <w:jc w:val="center"/>
        </w:trPr>
        <w:tc>
          <w:tcPr>
            <w:tcW w:w="4876" w:type="dxa"/>
            <w:hideMark/>
          </w:tcPr>
          <w:p w:rsidR="00E451E4" w:rsidRPr="00AC4460" w:rsidRDefault="00E451E4" w:rsidP="000A61DD">
            <w:pPr>
              <w:pStyle w:val="Normal6"/>
            </w:pPr>
            <w:r w:rsidRPr="00AC4460">
              <w:t>-</w:t>
            </w:r>
            <w:r w:rsidRPr="00AC4460">
              <w:tab/>
              <w:t>Διουρία (C</w:t>
            </w:r>
            <w:r w:rsidRPr="00AC4460">
              <w:rPr>
                <w:vertAlign w:val="subscript"/>
              </w:rPr>
              <w:t>2</w:t>
            </w:r>
            <w:r w:rsidRPr="00AC4460">
              <w:t>H</w:t>
            </w:r>
            <w:r w:rsidRPr="00AC4460">
              <w:rPr>
                <w:vertAlign w:val="subscript"/>
              </w:rPr>
              <w:t>5</w:t>
            </w:r>
            <w:r w:rsidRPr="00AC4460">
              <w:t>N</w:t>
            </w:r>
            <w:r w:rsidRPr="00AC4460">
              <w:rPr>
                <w:vertAlign w:val="subscript"/>
              </w:rPr>
              <w:t>3</w:t>
            </w:r>
            <w:r w:rsidRPr="00AC4460">
              <w:t>O</w:t>
            </w:r>
            <w:r w:rsidRPr="00AC4460">
              <w:rPr>
                <w:vertAlign w:val="subscript"/>
              </w:rPr>
              <w:t>2</w:t>
            </w:r>
            <w:r w:rsidRPr="00AC4460">
              <w:t xml:space="preserve">) </w:t>
            </w:r>
            <w:r w:rsidRPr="00AC4460">
              <w:rPr>
                <w:b/>
                <w:i/>
              </w:rPr>
              <w:t>12 g/kg ξηράς ουσίας</w:t>
            </w:r>
            <w:r w:rsidRPr="00AC4460">
              <w:t>.</w:t>
            </w:r>
          </w:p>
        </w:tc>
        <w:tc>
          <w:tcPr>
            <w:tcW w:w="4876" w:type="dxa"/>
            <w:hideMark/>
          </w:tcPr>
          <w:p w:rsidR="00E451E4" w:rsidRPr="00AC4460" w:rsidRDefault="00E451E4" w:rsidP="000A61DD">
            <w:pPr>
              <w:pStyle w:val="Normal6"/>
              <w:rPr>
                <w:szCs w:val="24"/>
              </w:rPr>
            </w:pPr>
            <w:r w:rsidRPr="00AC4460">
              <w:t>-</w:t>
            </w:r>
            <w:r w:rsidRPr="00AC4460">
              <w:tab/>
              <w:t>Διουρία (C</w:t>
            </w:r>
            <w:r w:rsidRPr="00AC4460">
              <w:rPr>
                <w:vertAlign w:val="subscript"/>
              </w:rPr>
              <w:t>2</w:t>
            </w:r>
            <w:r w:rsidRPr="00AC4460">
              <w:t>H</w:t>
            </w:r>
            <w:r w:rsidRPr="00AC4460">
              <w:rPr>
                <w:vertAlign w:val="subscript"/>
              </w:rPr>
              <w:t>5</w:t>
            </w:r>
            <w:r w:rsidRPr="00AC4460">
              <w:t>N</w:t>
            </w:r>
            <w:r w:rsidRPr="00AC4460">
              <w:rPr>
                <w:vertAlign w:val="subscript"/>
              </w:rPr>
              <w:t>3</w:t>
            </w:r>
            <w:r w:rsidRPr="00AC4460">
              <w:t>O</w:t>
            </w:r>
            <w:r w:rsidRPr="00AC4460">
              <w:rPr>
                <w:vertAlign w:val="subscript"/>
              </w:rPr>
              <w:t>2</w:t>
            </w:r>
            <w:r w:rsidRPr="00AC4460">
              <w:t xml:space="preserve">) </w:t>
            </w:r>
            <w:r w:rsidRPr="00AC4460">
              <w:rPr>
                <w:b/>
                <w:i/>
              </w:rPr>
              <w:t>κάτω από το όριο ανίχνευσης</w:t>
            </w:r>
            <w:r w:rsidRPr="00AC4460">
              <w:t>.</w:t>
            </w:r>
          </w:p>
        </w:tc>
      </w:tr>
    </w:tbl>
    <w:p w:rsidR="00E451E4" w:rsidRPr="00FA3492" w:rsidRDefault="00E451E4" w:rsidP="00E451E4">
      <w:r>
        <w:rPr>
          <w:rStyle w:val="HideTWBExt"/>
          <w:noProof w:val="0"/>
          <w:lang w:val="pt-PT"/>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keepNext/>
      </w:pPr>
      <w:r>
        <w:rPr>
          <w:rStyle w:val="HideTWBExt"/>
          <w:b w:val="0"/>
          <w:noProof w:val="0"/>
          <w:lang w:val="en-GB"/>
        </w:rPr>
        <w:t>&lt;Article&gt;</w:t>
      </w:r>
      <w:r w:rsidRPr="00AC4460">
        <w:t>Παράρτημα Ι – μέρος ΙΙ – ΚΛΠ 1(Α) – σημείο 3</w:t>
      </w:r>
      <w:r>
        <w:rPr>
          <w:rStyle w:val="HideTWBExt"/>
          <w:b w:val="0"/>
          <w:noProof w:val="0"/>
          <w:lang w:val="en-GB"/>
        </w:rPr>
        <w:t>&lt;/Article&gt;</w:t>
      </w:r>
    </w:p>
    <w:tbl>
      <w:tblPr>
        <w:tblW w:w="9780" w:type="dxa"/>
        <w:jc w:val="center"/>
        <w:tblLayout w:type="fixed"/>
        <w:tblCellMar>
          <w:left w:w="340" w:type="dxa"/>
          <w:right w:w="340" w:type="dxa"/>
        </w:tblCellMar>
        <w:tblLook w:val="04A0" w:firstRow="1" w:lastRow="0" w:firstColumn="1" w:lastColumn="0" w:noHBand="0" w:noVBand="1"/>
      </w:tblPr>
      <w:tblGrid>
        <w:gridCol w:w="3245"/>
        <w:gridCol w:w="774"/>
        <w:gridCol w:w="999"/>
        <w:gridCol w:w="828"/>
        <w:gridCol w:w="3934"/>
      </w:tblGrid>
      <w:tr w:rsidR="00E451E4" w:rsidRPr="000226C1" w:rsidTr="000A61DD">
        <w:trPr>
          <w:jc w:val="center"/>
        </w:trPr>
        <w:tc>
          <w:tcPr>
            <w:tcW w:w="9780" w:type="dxa"/>
            <w:gridSpan w:val="5"/>
          </w:tcPr>
          <w:p w:rsidR="00E451E4" w:rsidRPr="00FA3492" w:rsidRDefault="00E451E4" w:rsidP="000A61DD">
            <w:pPr>
              <w:keepNext/>
              <w:rPr>
                <w:lang w:val="en-GB"/>
              </w:rPr>
            </w:pPr>
          </w:p>
        </w:tc>
      </w:tr>
      <w:tr w:rsidR="00E451E4" w:rsidRPr="00B0345A" w:rsidTr="000A61DD">
        <w:trPr>
          <w:jc w:val="center"/>
        </w:trPr>
        <w:tc>
          <w:tcPr>
            <w:tcW w:w="9780" w:type="dxa"/>
            <w:gridSpan w:val="5"/>
            <w:hideMark/>
          </w:tcPr>
          <w:p w:rsidR="00E451E4" w:rsidRPr="00B0345A" w:rsidRDefault="00E451E4" w:rsidP="000A61DD">
            <w:pPr>
              <w:pStyle w:val="ColumnHeading"/>
              <w:jc w:val="left"/>
              <w:rPr>
                <w:iCs/>
              </w:rPr>
            </w:pPr>
            <w:r>
              <w:t>Κείμενο που προτείνει η Επιτροπή</w:t>
            </w:r>
          </w:p>
        </w:tc>
      </w:tr>
      <w:tr w:rsidR="00E451E4" w:rsidRPr="00B0345A" w:rsidTr="000A61DD">
        <w:trPr>
          <w:jc w:val="center"/>
        </w:trPr>
        <w:tc>
          <w:tcPr>
            <w:tcW w:w="9780" w:type="dxa"/>
            <w:gridSpan w:val="5"/>
            <w:hideMark/>
          </w:tcPr>
          <w:p w:rsidR="00E451E4" w:rsidRPr="00B0345A" w:rsidRDefault="00E451E4" w:rsidP="000A61DD">
            <w:pPr>
              <w:pStyle w:val="Normal6"/>
              <w:rPr>
                <w:b/>
                <w:bCs/>
                <w:i/>
                <w:iCs/>
              </w:rPr>
            </w:pPr>
            <w:r>
              <w:t>3.</w:t>
            </w:r>
            <w:r>
              <w:tab/>
            </w:r>
            <w:r>
              <w:rPr>
                <w:b/>
                <w:bCs/>
                <w:i/>
                <w:iCs/>
              </w:rPr>
              <w:t>δεν ανευρίσκονται Salmonella spp. σε δείγμα βάρους 25 g του προϊόντος λίπανσης με σήμανση CE·</w:t>
            </w:r>
          </w:p>
        </w:tc>
      </w:tr>
      <w:tr w:rsidR="00E451E4" w:rsidRPr="00B0345A" w:rsidTr="000A61DD">
        <w:trPr>
          <w:jc w:val="center"/>
        </w:trPr>
        <w:tc>
          <w:tcPr>
            <w:tcW w:w="9780" w:type="dxa"/>
            <w:gridSpan w:val="5"/>
            <w:hideMark/>
          </w:tcPr>
          <w:p w:rsidR="00E451E4" w:rsidRPr="00B0345A" w:rsidRDefault="00E451E4" w:rsidP="000A61DD">
            <w:pPr>
              <w:pStyle w:val="ColumnHeading"/>
              <w:jc w:val="left"/>
              <w:rPr>
                <w:iCs/>
              </w:rPr>
            </w:pPr>
            <w:r>
              <w:t>Τροπολογία</w:t>
            </w:r>
          </w:p>
        </w:tc>
      </w:tr>
      <w:tr w:rsidR="00E451E4" w:rsidRPr="00B0345A" w:rsidTr="000A61DD">
        <w:trPr>
          <w:jc w:val="center"/>
        </w:trPr>
        <w:tc>
          <w:tcPr>
            <w:tcW w:w="9780" w:type="dxa"/>
            <w:gridSpan w:val="5"/>
            <w:tcBorders>
              <w:bottom w:val="single" w:sz="4" w:space="0" w:color="auto"/>
            </w:tcBorders>
          </w:tcPr>
          <w:p w:rsidR="00E451E4" w:rsidRPr="00B0345A" w:rsidRDefault="00E451E4" w:rsidP="000A61DD">
            <w:pPr>
              <w:pStyle w:val="Normal6"/>
            </w:pPr>
            <w:r>
              <w:t>3.</w:t>
            </w:r>
            <w:r>
              <w:tab/>
            </w:r>
            <w:r>
              <w:rPr>
                <w:b/>
                <w:bCs/>
                <w:i/>
                <w:iCs/>
              </w:rPr>
              <w:t>Παθογόνοι παράγοντες δεν πρέπει να περιέχονται στο οργανικό λίπασμα σε συγκέντρωση μεγαλύτερη των αντίστοιχων ορίων που καθορίζονται στον κατωτέρω πίνακα:</w:t>
            </w:r>
          </w:p>
        </w:tc>
      </w:tr>
      <w:tr w:rsidR="00E451E4" w:rsidRPr="00B0345A"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Μικροοργανισμός προς έλεγχο</w:t>
            </w:r>
          </w:p>
        </w:tc>
        <w:tc>
          <w:tcPr>
            <w:tcW w:w="2601" w:type="dxa"/>
            <w:gridSpan w:val="3"/>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Σχέδια δειγματοληψίας</w:t>
            </w:r>
          </w:p>
        </w:tc>
        <w:tc>
          <w:tcPr>
            <w:tcW w:w="39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Όριο</w:t>
            </w:r>
          </w:p>
        </w:tc>
      </w:tr>
      <w:tr w:rsidR="00E451E4" w:rsidRPr="00B0345A"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n</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m</w:t>
            </w:r>
          </w:p>
        </w:tc>
        <w:tc>
          <w:tcPr>
            <w:tcW w:w="39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M</w:t>
            </w:r>
          </w:p>
        </w:tc>
      </w:tr>
      <w:tr w:rsidR="00E451E4" w:rsidRPr="00B0345A"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1000 σε 1 g ή 1 ml</w:t>
            </w:r>
          </w:p>
        </w:tc>
      </w:tr>
      <w:tr w:rsidR="00E451E4" w:rsidRPr="00B0345A" w:rsidTr="000A61DD">
        <w:trPr>
          <w:jc w:val="center"/>
        </w:trPr>
        <w:tc>
          <w:tcPr>
            <w:tcW w:w="9780" w:type="dxa"/>
            <w:gridSpan w:val="5"/>
            <w:tcBorders>
              <w:top w:val="single" w:sz="4" w:space="0" w:color="auto"/>
            </w:tcBorders>
          </w:tcPr>
          <w:p w:rsidR="00E451E4" w:rsidRPr="00B0345A" w:rsidRDefault="00E451E4" w:rsidP="000A61DD">
            <w:pPr>
              <w:pStyle w:val="Normal6"/>
              <w:rPr>
                <w:b/>
                <w:bCs/>
                <w:i/>
                <w:iCs/>
              </w:rPr>
            </w:pPr>
            <w:r>
              <w:rPr>
                <w:b/>
                <w:bCs/>
                <w:i/>
                <w:iCs/>
              </w:rPr>
              <w:t>όπου n = ο αριθμός των προς έλεγχο δειγμάτων</w:t>
            </w:r>
          </w:p>
        </w:tc>
      </w:tr>
      <w:tr w:rsidR="00E451E4" w:rsidRPr="00B0345A" w:rsidTr="000A61DD">
        <w:trPr>
          <w:jc w:val="center"/>
        </w:trPr>
        <w:tc>
          <w:tcPr>
            <w:tcW w:w="9780" w:type="dxa"/>
            <w:gridSpan w:val="5"/>
          </w:tcPr>
          <w:p w:rsidR="00E451E4" w:rsidRPr="00B0345A" w:rsidRDefault="00E451E4" w:rsidP="000A61DD">
            <w:pPr>
              <w:pStyle w:val="Normal6"/>
              <w:rPr>
                <w:b/>
                <w:bCs/>
                <w:i/>
                <w:iCs/>
              </w:rPr>
            </w:pPr>
            <w:r>
              <w:rPr>
                <w:b/>
                <w:bCs/>
                <w:i/>
                <w:iCs/>
              </w:rPr>
              <w:t>c = ο αριθμός των δειγμάτων στα οποία ο αριθμός των βακτηρίων, εκφραζόμενος σε CFU, κυμαίνεται μεταξύ m and M</w:t>
            </w:r>
          </w:p>
        </w:tc>
      </w:tr>
      <w:tr w:rsidR="00E451E4" w:rsidRPr="00B0345A" w:rsidTr="000A61DD">
        <w:trPr>
          <w:jc w:val="center"/>
        </w:trPr>
        <w:tc>
          <w:tcPr>
            <w:tcW w:w="9780" w:type="dxa"/>
            <w:gridSpan w:val="5"/>
          </w:tcPr>
          <w:p w:rsidR="00E451E4" w:rsidRPr="00B0345A" w:rsidRDefault="00E451E4" w:rsidP="000A61DD">
            <w:pPr>
              <w:pStyle w:val="Normal6"/>
              <w:rPr>
                <w:b/>
                <w:bCs/>
                <w:i/>
                <w:iCs/>
              </w:rPr>
            </w:pPr>
            <w:r>
              <w:rPr>
                <w:b/>
                <w:bCs/>
                <w:i/>
                <w:iCs/>
              </w:rPr>
              <w:t>m = κατώτατη τιμή για τον αριθμό των βακτηρίων, εκφραζόμενο σε CFU, που θεωρείται ικανοποιητικός</w:t>
            </w:r>
          </w:p>
        </w:tc>
      </w:tr>
      <w:tr w:rsidR="00E451E4" w:rsidRPr="00B0345A" w:rsidTr="000A61DD">
        <w:trPr>
          <w:jc w:val="center"/>
        </w:trPr>
        <w:tc>
          <w:tcPr>
            <w:tcW w:w="9780" w:type="dxa"/>
            <w:gridSpan w:val="5"/>
          </w:tcPr>
          <w:p w:rsidR="00E451E4" w:rsidRPr="00B0345A" w:rsidRDefault="00E451E4" w:rsidP="000A61DD">
            <w:pPr>
              <w:pStyle w:val="Normal6"/>
              <w:rPr>
                <w:b/>
                <w:bCs/>
                <w:i/>
                <w:iCs/>
              </w:rPr>
            </w:pPr>
            <w:r>
              <w:rPr>
                <w:b/>
                <w:bCs/>
                <w:i/>
                <w:iCs/>
              </w:rPr>
              <w:t>Μ= μέγιστη τιμή για τον αριθμό των βακτηρίων εκφραζόμενο σε CFU</w:t>
            </w:r>
          </w:p>
        </w:tc>
      </w:tr>
      <w:tr w:rsidR="00E451E4" w:rsidRPr="00B0345A" w:rsidTr="000A61DD">
        <w:trPr>
          <w:jc w:val="center"/>
        </w:trPr>
        <w:tc>
          <w:tcPr>
            <w:tcW w:w="9780" w:type="dxa"/>
            <w:gridSpan w:val="5"/>
          </w:tcPr>
          <w:p w:rsidR="00E451E4" w:rsidRPr="00B0345A" w:rsidRDefault="00E451E4" w:rsidP="000A61DD">
            <w:pPr>
              <w:pStyle w:val="Normal6"/>
              <w:rPr>
                <w:b/>
                <w:bCs/>
                <w:i/>
                <w:iCs/>
              </w:rPr>
            </w:pPr>
            <w:r>
              <w:rPr>
                <w:b/>
                <w:i/>
                <w:szCs w:val="24"/>
              </w:rPr>
              <w:t>Παράσιτα Ascaris spp. και Toxocara spp., σε όλα τα στάδια της ανάπτυξής τους, δεν πρέπει να περιέχονται σε 100g ή 100ml του οργανικού λιπάσματος.</w:t>
            </w:r>
          </w:p>
        </w:tc>
      </w:tr>
    </w:tbl>
    <w:p w:rsidR="00E451E4" w:rsidRPr="00B0345A" w:rsidRDefault="00E451E4" w:rsidP="00E451E4">
      <w:pPr>
        <w:rPr>
          <w:rStyle w:val="HideTWBExt"/>
          <w:b/>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1(Α) (I) – σημείο 1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1α. Το προϊόν λίπανσης με σήμανση CE περιέχει τουλάχιστον ένα από τα ακόλουθα δηλούμενα θρεπτικά συστατικά: άζωτο (N), πεντοξείδιο του φωσφόρου (P</w:t>
            </w:r>
            <w:r w:rsidRPr="00AC4460">
              <w:rPr>
                <w:b/>
                <w:i/>
                <w:vertAlign w:val="subscript"/>
              </w:rPr>
              <w:t>2</w:t>
            </w:r>
            <w:r w:rsidRPr="00AC4460">
              <w:rPr>
                <w:b/>
                <w:i/>
              </w:rPr>
              <w:t>O</w:t>
            </w:r>
            <w:r w:rsidRPr="00AC4460">
              <w:rPr>
                <w:b/>
                <w:i/>
                <w:vertAlign w:val="subscript"/>
              </w:rPr>
              <w:t>5</w:t>
            </w:r>
            <w:r w:rsidRPr="00AC4460">
              <w:rPr>
                <w:b/>
                <w:i/>
              </w:rPr>
              <w:t>) ή οξείδιο του καλίου (K</w:t>
            </w:r>
            <w:r w:rsidRPr="00AC4460">
              <w:rPr>
                <w:b/>
                <w:i/>
                <w:vertAlign w:val="subscript"/>
              </w:rPr>
              <w:t>2</w:t>
            </w:r>
            <w:r w:rsidRPr="00AC4460">
              <w:rPr>
                <w:b/>
                <w:i/>
              </w:rPr>
              <w:t>O).</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 xml:space="preserve">Παράρτημα Ι – μέρος ΙΙ – ΚΛΠ 1(Α) (I) </w:t>
      </w:r>
      <w:r w:rsidRPr="00AC4460">
        <w:rPr>
          <w:szCs w:val="24"/>
        </w:rPr>
        <w:t>– σημείο 2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2α.</w:t>
            </w:r>
            <w:r w:rsidRPr="00AC4460">
              <w:rPr>
                <w:b/>
                <w:i/>
              </w:rPr>
              <w:tab/>
              <w:t>Όταν το προϊόν λίπανσης με σήμανση CE περιέχει περισσότερα από ένα θρεπτικά συστατικά, το προϊόν περιέχει τα κύρια δηλούμενα θρεπτικά συστατικά στις ελάχιστες ποσότητες που καθορίζονται κατωτέρω: □</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ολικό άζωτο (Ν) 2,5 % κατά μάζα, ή ολικό πεντοξείδιο του φωσφόρου (P</w:t>
            </w:r>
            <w:r w:rsidRPr="00AC4460">
              <w:rPr>
                <w:b/>
                <w:i/>
                <w:vertAlign w:val="subscript"/>
              </w:rPr>
              <w:t>2</w:t>
            </w:r>
            <w:r w:rsidRPr="00AC4460">
              <w:rPr>
                <w:b/>
                <w:i/>
              </w:rPr>
              <w:t>O</w:t>
            </w:r>
            <w:r w:rsidRPr="00AC4460">
              <w:rPr>
                <w:b/>
                <w:i/>
                <w:vertAlign w:val="subscript"/>
              </w:rPr>
              <w:t>5</w:t>
            </w:r>
            <w:r w:rsidRPr="00AC4460">
              <w:rPr>
                <w:b/>
                <w:i/>
              </w:rPr>
              <w:t>) 2% κατά μάζα, ή ολικό οξείδιο του καλίου (K</w:t>
            </w:r>
            <w:r w:rsidRPr="00AC4460">
              <w:rPr>
                <w:b/>
                <w:i/>
                <w:vertAlign w:val="subscript"/>
              </w:rPr>
              <w:t>2</w:t>
            </w:r>
            <w:r w:rsidRPr="00AC4460">
              <w:rPr>
                <w:b/>
                <w:i/>
              </w:rPr>
              <w:t>O) 2% κατά μάζα, και</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6,5 % κατά μάζα του συνολικού αθροίσματος των θρεπτικών συστατικών.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1(Α) (II) – σημείο 1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1α. Το προϊόν λίπανσης με σήμανση CE περιέχει τουλάχιστον ένα από τα ακόλουθα δηλούμενα θρεπτικά συστατικά: άζωτο (N), πεντοξείδιο του φωσφόρου (P</w:t>
            </w:r>
            <w:r w:rsidRPr="00AC4460">
              <w:rPr>
                <w:b/>
                <w:i/>
                <w:vertAlign w:val="subscript"/>
              </w:rPr>
              <w:t>2</w:t>
            </w:r>
            <w:r w:rsidRPr="00AC4460">
              <w:rPr>
                <w:b/>
                <w:i/>
              </w:rPr>
              <w:t>O</w:t>
            </w:r>
            <w:r w:rsidRPr="00AC4460">
              <w:rPr>
                <w:b/>
                <w:i/>
                <w:vertAlign w:val="subscript"/>
              </w:rPr>
              <w:t>5</w:t>
            </w:r>
            <w:r w:rsidRPr="00AC4460">
              <w:rPr>
                <w:b/>
                <w:i/>
              </w:rPr>
              <w:t>) ή οξείδιο του καλίου (K</w:t>
            </w:r>
            <w:r w:rsidRPr="00AC4460">
              <w:rPr>
                <w:b/>
                <w:i/>
                <w:vertAlign w:val="subscript"/>
              </w:rPr>
              <w:t>2</w:t>
            </w:r>
            <w:r w:rsidRPr="00AC4460">
              <w:rPr>
                <w:b/>
                <w:i/>
              </w:rPr>
              <w:t>O).</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1(Α) (II)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2.</w:t>
            </w:r>
            <w:r w:rsidRPr="00AC4460">
              <w:tab/>
              <w:t>Το προϊόν λίπανσης με σήμανση CE περιέχει τουλάχιστον ένα από τα παρακάτω δηλούμενα θρεπτικά συστατικά στην καθοριζόμενη ελάχιστη ποσότητα:</w:t>
            </w:r>
          </w:p>
        </w:tc>
        <w:tc>
          <w:tcPr>
            <w:tcW w:w="4876" w:type="dxa"/>
            <w:hideMark/>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τουλάχιστον ένα από τα παρακάτω δηλούμενα </w:t>
            </w:r>
            <w:r w:rsidRPr="00AC4460">
              <w:rPr>
                <w:b/>
                <w:i/>
              </w:rPr>
              <w:t xml:space="preserve">πρωτογενή </w:t>
            </w:r>
            <w:r w:rsidRPr="00AC4460">
              <w:t>θρεπτικά συστατικά στην καθοριζόμενη ελάχιστη ποσότητα: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1(Α) (II) – σημείο 2 – περίπτωση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ολικό άζωτο (N) </w:t>
            </w:r>
            <w:r w:rsidRPr="00AC4460">
              <w:rPr>
                <w:b/>
                <w:i/>
              </w:rPr>
              <w:t>2%</w:t>
            </w:r>
            <w:r w:rsidRPr="00AC4460">
              <w:t xml:space="preserve"> κατά μάζα,</w:t>
            </w:r>
          </w:p>
        </w:tc>
        <w:tc>
          <w:tcPr>
            <w:tcW w:w="4876" w:type="dxa"/>
          </w:tcPr>
          <w:p w:rsidR="00E451E4" w:rsidRPr="00AC4460" w:rsidRDefault="00E451E4" w:rsidP="000A61DD">
            <w:pPr>
              <w:pStyle w:val="Normal6"/>
            </w:pPr>
            <w:r w:rsidRPr="00AC4460">
              <w:t>-</w:t>
            </w:r>
            <w:r w:rsidRPr="00AC4460">
              <w:tab/>
              <w:t xml:space="preserve">ολικό άζωτο (Ν) </w:t>
            </w:r>
            <w:r w:rsidRPr="00AC4460">
              <w:rPr>
                <w:b/>
                <w:i/>
              </w:rPr>
              <w:t>1%</w:t>
            </w:r>
            <w:r w:rsidRPr="00AC4460">
              <w:t xml:space="preserve"> κατά μάζα, </w:t>
            </w:r>
            <w:r w:rsidRPr="00AC4460">
              <w:rPr>
                <w:b/>
                <w:i/>
              </w:rPr>
              <w:t>και/ή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1(Α) (II) – σημείο 2 – περίπτωση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xml:space="preserve">) </w:t>
            </w:r>
            <w:r w:rsidRPr="00AC4460">
              <w:rPr>
                <w:b/>
                <w:i/>
              </w:rPr>
              <w:t>1%</w:t>
            </w:r>
            <w:r w:rsidRPr="00AC4460">
              <w:t xml:space="preserve"> κατά μάζα, ή</w:t>
            </w:r>
          </w:p>
        </w:tc>
        <w:tc>
          <w:tcPr>
            <w:tcW w:w="4876" w:type="dxa"/>
            <w:hideMark/>
          </w:tcPr>
          <w:p w:rsidR="00E451E4" w:rsidRPr="00AC4460" w:rsidRDefault="00E451E4" w:rsidP="000A61DD">
            <w:pPr>
              <w:pStyle w:val="Normal6"/>
              <w:rPr>
                <w:szCs w:val="24"/>
              </w:rPr>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xml:space="preserve">) </w:t>
            </w:r>
            <w:r w:rsidRPr="00AC4460">
              <w:rPr>
                <w:b/>
                <w:i/>
              </w:rPr>
              <w:t>2 %</w:t>
            </w:r>
            <w:r w:rsidRPr="00AC4460">
              <w:t xml:space="preserve"> κατά μάζα, ή</w:t>
            </w:r>
          </w:p>
        </w:tc>
      </w:tr>
    </w:tbl>
    <w:p w:rsidR="00E451E4" w:rsidRPr="00B0345A" w:rsidRDefault="00E451E4" w:rsidP="00E451E4">
      <w:pPr>
        <w:pStyle w:val="AMNumberTabs"/>
        <w:keepNext/>
        <w:rPr>
          <w:rStyle w:val="HideTWBExt"/>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1(Α) (II) – σημείο 2 – περίπτωση 3</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οξείδιο του καλίου (K</w:t>
            </w:r>
            <w:r w:rsidRPr="00AC4460">
              <w:rPr>
                <w:vertAlign w:val="subscript"/>
              </w:rPr>
              <w:t>2</w:t>
            </w:r>
            <w:r w:rsidRPr="00AC4460">
              <w:t xml:space="preserve">O) </w:t>
            </w:r>
            <w:r w:rsidRPr="00AC4460">
              <w:rPr>
                <w:b/>
                <w:i/>
              </w:rPr>
              <w:t>2 %</w:t>
            </w:r>
            <w:r w:rsidRPr="00AC4460">
              <w:t xml:space="preserve">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καλίου (K2O) </w:t>
            </w:r>
            <w:r w:rsidRPr="00AC4460">
              <w:rPr>
                <w:b/>
                <w:i/>
              </w:rPr>
              <w:t>1% (ένα τοις εκατό)</w:t>
            </w:r>
            <w:r w:rsidRPr="00AC4460">
              <w:t xml:space="preserve"> κατά μάζα.</w:t>
            </w:r>
            <w:r w:rsidRPr="00AC4460">
              <w:rPr>
                <w:b/>
                <w:i/>
              </w:rPr>
              <w:t xml:space="preserve">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II – ΚΛΠ 1(Α) (II) – σημείο 2 – περίπτωση 3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lang w:eastAsia="en-US"/>
              </w:rPr>
            </w:pPr>
          </w:p>
        </w:tc>
        <w:tc>
          <w:tcPr>
            <w:tcW w:w="4876" w:type="dxa"/>
            <w:hideMark/>
          </w:tcPr>
          <w:p w:rsidR="00E451E4" w:rsidRPr="00AC4460" w:rsidRDefault="00E451E4" w:rsidP="000A61DD">
            <w:pPr>
              <w:pStyle w:val="Normal6"/>
              <w:rPr>
                <w:szCs w:val="24"/>
              </w:rPr>
            </w:pPr>
            <w:r w:rsidRPr="00AC4460">
              <w:rPr>
                <w:b/>
                <w:i/>
              </w:rPr>
              <w:t>–</w:t>
            </w:r>
            <w:r w:rsidRPr="00AC4460">
              <w:rPr>
                <w:b/>
                <w:i/>
              </w:rPr>
              <w:tab/>
              <w:t>6,5 % κατά μάζα του συνολικού αθροίσματος των θρεπτικών συστατικών.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1(Α) (II) – σημείο 2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2α.</w:t>
            </w:r>
            <w:r w:rsidRPr="00AC4460">
              <w:rPr>
                <w:b/>
                <w:i/>
              </w:rPr>
              <w:tab/>
              <w:t>Όταν το προϊόν λίπανσης με σήμανση CE περιέχει περισσότερα από ένα θρεπτικά συστατικά, το προϊόν περιέχει τα κύρια δηλούμενα θρεπτικά συστατικά στις ελάχιστες ποσότητες που καθορίζονται κατωτέρω: □</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ολικό άζωτο (Ν) 2 % κατά μάζα, ή ολικό πεντοξείδιο του φωσφόρου (P</w:t>
            </w:r>
            <w:r w:rsidRPr="00AC4460">
              <w:rPr>
                <w:b/>
                <w:i/>
                <w:vertAlign w:val="subscript"/>
              </w:rPr>
              <w:t>2</w:t>
            </w:r>
            <w:r w:rsidRPr="00AC4460">
              <w:rPr>
                <w:b/>
                <w:i/>
              </w:rPr>
              <w:t>O</w:t>
            </w:r>
            <w:r w:rsidRPr="00AC4460">
              <w:rPr>
                <w:b/>
                <w:i/>
                <w:vertAlign w:val="subscript"/>
              </w:rPr>
              <w:t>5</w:t>
            </w:r>
            <w:r w:rsidRPr="00AC4460">
              <w:rPr>
                <w:b/>
                <w:i/>
              </w:rPr>
              <w:t>) 1 % κατά μάζα, ή ολικό οξείδιο του καλίου (K</w:t>
            </w:r>
            <w:r w:rsidRPr="00AC4460">
              <w:rPr>
                <w:b/>
                <w:i/>
                <w:vertAlign w:val="subscript"/>
              </w:rPr>
              <w:t>2</w:t>
            </w:r>
            <w:r w:rsidRPr="00AC4460">
              <w:rPr>
                <w:b/>
                <w:i/>
              </w:rPr>
              <w:t>O) 2% κατά μάζα, και</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5 % κατά μάζα του συνολικού αθροίσματος των κύριων θρεπτικών συστατικών.</w:t>
            </w:r>
          </w:p>
        </w:tc>
      </w:tr>
    </w:tbl>
    <w:p w:rsidR="000E6C72" w:rsidRPr="000E6C72" w:rsidRDefault="000E6C72" w:rsidP="000E6C72">
      <w:pPr>
        <w:rPr>
          <w:lang w:val="pt-PT"/>
        </w:rPr>
      </w:pPr>
      <w:r w:rsidRPr="000E6C72">
        <w:rPr>
          <w:rStyle w:val="HideTWBExt"/>
          <w:noProof w:val="0"/>
          <w:lang w:val="pt-PT"/>
        </w:rPr>
        <w:t>&lt;/Amend&gt;</w:t>
      </w:r>
    </w:p>
    <w:p w:rsidR="000E6C72" w:rsidRPr="000E6C72" w:rsidRDefault="000E6C72" w:rsidP="000E6C72">
      <w:pPr>
        <w:pStyle w:val="AMNumberTabs"/>
        <w:keepNext/>
        <w:rPr>
          <w:lang w:val="pt-PT"/>
        </w:rPr>
      </w:pPr>
      <w:r w:rsidRPr="000E6C72">
        <w:rPr>
          <w:rStyle w:val="HideTWBExt"/>
          <w:b w:val="0"/>
          <w:noProof w:val="0"/>
          <w:lang w:val="pt-PT"/>
        </w:rPr>
        <w:t>&lt;Amend&gt;</w:t>
      </w:r>
      <w:r w:rsidRPr="00AC4460">
        <w:t>Τροπολογία</w:t>
      </w:r>
      <w:r w:rsidRPr="000E6C72">
        <w:rPr>
          <w:lang w:val="pt-PT"/>
        </w:rPr>
        <w:tab/>
      </w:r>
      <w:r w:rsidRPr="000E6C72">
        <w:rPr>
          <w:lang w:val="pt-PT"/>
        </w:rPr>
        <w:tab/>
      </w:r>
      <w:r w:rsidRPr="000E6C72">
        <w:rPr>
          <w:rStyle w:val="HideTWBExt"/>
          <w:b w:val="0"/>
          <w:noProof w:val="0"/>
          <w:lang w:val="pt-PT"/>
        </w:rPr>
        <w:t>&lt;NumAm&gt;</w:t>
      </w:r>
      <w:r w:rsidRPr="000E6C72">
        <w:rPr>
          <w:lang w:val="pt-PT"/>
        </w:rPr>
        <w:t>1</w:t>
      </w:r>
      <w:r>
        <w:t>23</w:t>
      </w:r>
      <w:r w:rsidRPr="000E6C72">
        <w:rPr>
          <w:rStyle w:val="HideTWBExt"/>
          <w:b w:val="0"/>
          <w:noProof w:val="0"/>
          <w:lang w:val="pt-PT"/>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1(Β) – σημείο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οργανοανόργανο λίπασμα είναι συνδυασμένο παρασκεύασμα από </w:t>
            </w:r>
          </w:p>
        </w:tc>
        <w:tc>
          <w:tcPr>
            <w:tcW w:w="4876" w:type="dxa"/>
          </w:tcPr>
          <w:p w:rsidR="00E451E4" w:rsidRPr="00AC4460" w:rsidRDefault="00E451E4" w:rsidP="000A61DD">
            <w:pPr>
              <w:pStyle w:val="Normal6"/>
            </w:pPr>
            <w:r w:rsidRPr="00AC4460">
              <w:t>1.</w:t>
            </w:r>
            <w:r w:rsidRPr="00AC4460">
              <w:tab/>
              <w:t xml:space="preserve">Ένα οργανοανόργανο λίπασμα είναι συνδυασμένο παρασκεύασμα από </w:t>
            </w:r>
          </w:p>
        </w:tc>
      </w:tr>
      <w:tr w:rsidR="00E451E4" w:rsidRPr="00B0345A" w:rsidTr="000A61DD">
        <w:trPr>
          <w:jc w:val="center"/>
        </w:trPr>
        <w:tc>
          <w:tcPr>
            <w:tcW w:w="4876" w:type="dxa"/>
          </w:tcPr>
          <w:p w:rsidR="00E451E4" w:rsidRPr="00AC4460" w:rsidRDefault="00E451E4" w:rsidP="000A61DD">
            <w:pPr>
              <w:pStyle w:val="Normal6"/>
            </w:pPr>
            <w:r w:rsidRPr="00AC4460">
              <w:rPr>
                <w:szCs w:val="24"/>
              </w:rPr>
              <w:t>–</w:t>
            </w:r>
            <w:r w:rsidRPr="00AC4460">
              <w:rPr>
                <w:szCs w:val="24"/>
              </w:rPr>
              <w:tab/>
              <w:t xml:space="preserve">ένα ή περισσότερα </w:t>
            </w:r>
            <w:r w:rsidRPr="00AC4460">
              <w:rPr>
                <w:b/>
                <w:i/>
                <w:szCs w:val="24"/>
              </w:rPr>
              <w:t>ανόργανα</w:t>
            </w:r>
            <w:r w:rsidRPr="00AC4460">
              <w:rPr>
                <w:szCs w:val="24"/>
              </w:rPr>
              <w:t xml:space="preserve"> λιπάσματα, όπως ορίζονται στην ΚΛΠ 1(Γ) παρακάτω, και</w:t>
            </w:r>
          </w:p>
        </w:tc>
        <w:tc>
          <w:tcPr>
            <w:tcW w:w="4876" w:type="dxa"/>
          </w:tcPr>
          <w:p w:rsidR="00E451E4" w:rsidRPr="00AC4460" w:rsidRDefault="00E451E4" w:rsidP="000A61DD">
            <w:pPr>
              <w:pStyle w:val="Normal6"/>
            </w:pPr>
            <w:r w:rsidRPr="00AC4460">
              <w:rPr>
                <w:szCs w:val="24"/>
              </w:rPr>
              <w:t>–</w:t>
            </w:r>
            <w:r w:rsidRPr="00AC4460">
              <w:rPr>
                <w:szCs w:val="24"/>
              </w:rPr>
              <w:tab/>
              <w:t xml:space="preserve">ένα ή περισσότερα </w:t>
            </w:r>
            <w:r w:rsidRPr="00AC4460">
              <w:rPr>
                <w:b/>
                <w:i/>
                <w:szCs w:val="24"/>
              </w:rPr>
              <w:t>ορυκτά</w:t>
            </w:r>
            <w:r w:rsidRPr="00AC4460">
              <w:rPr>
                <w:szCs w:val="24"/>
              </w:rPr>
              <w:t xml:space="preserve"> λιπάσματα, όπως ορίζονται στην ΚΛΠ 1(Γ) παρακάτω, και</w:t>
            </w:r>
          </w:p>
        </w:tc>
      </w:tr>
      <w:tr w:rsidR="00E451E4" w:rsidRPr="00B0345A" w:rsidTr="000A61DD">
        <w:trPr>
          <w:jc w:val="center"/>
        </w:trPr>
        <w:tc>
          <w:tcPr>
            <w:tcW w:w="4876" w:type="dxa"/>
          </w:tcPr>
          <w:p w:rsidR="00E451E4" w:rsidRPr="00AC4460" w:rsidRDefault="00E451E4" w:rsidP="000A61DD">
            <w:pPr>
              <w:pStyle w:val="Normal6"/>
            </w:pPr>
            <w:r w:rsidRPr="00AC4460">
              <w:rPr>
                <w:szCs w:val="24"/>
              </w:rPr>
              <w:t>–</w:t>
            </w:r>
            <w:r w:rsidRPr="00AC4460">
              <w:rPr>
                <w:szCs w:val="24"/>
              </w:rPr>
              <w:tab/>
              <w:t xml:space="preserve">ένα </w:t>
            </w:r>
            <w:r w:rsidRPr="00AC4460">
              <w:rPr>
                <w:b/>
                <w:i/>
                <w:szCs w:val="24"/>
              </w:rPr>
              <w:t>υλικό</w:t>
            </w:r>
            <w:r w:rsidRPr="00AC4460">
              <w:rPr>
                <w:szCs w:val="24"/>
              </w:rPr>
              <w:t xml:space="preserve"> που </w:t>
            </w:r>
            <w:r w:rsidRPr="00AC4460">
              <w:rPr>
                <w:b/>
                <w:i/>
                <w:szCs w:val="24"/>
              </w:rPr>
              <w:t>περιέχει</w:t>
            </w:r>
            <w:r w:rsidRPr="00AC4460">
              <w:rPr>
                <w:szCs w:val="24"/>
              </w:rPr>
              <w:t xml:space="preserve"> οργανικό άνθρακα (</w:t>
            </w:r>
            <w:r w:rsidRPr="00AC4460">
              <w:rPr>
                <w:b/>
                <w:i/>
                <w:szCs w:val="24"/>
              </w:rPr>
              <w:t>C</w:t>
            </w:r>
            <w:r w:rsidRPr="00AC4460">
              <w:rPr>
                <w:szCs w:val="24"/>
              </w:rPr>
              <w:t>) και</w:t>
            </w:r>
          </w:p>
        </w:tc>
        <w:tc>
          <w:tcPr>
            <w:tcW w:w="4876" w:type="dxa"/>
          </w:tcPr>
          <w:p w:rsidR="00E451E4" w:rsidRPr="00AC4460" w:rsidRDefault="00E451E4" w:rsidP="000A61DD">
            <w:pPr>
              <w:pStyle w:val="Normal6"/>
            </w:pPr>
            <w:r w:rsidRPr="00AC4460">
              <w:rPr>
                <w:szCs w:val="24"/>
              </w:rPr>
              <w:t>–</w:t>
            </w:r>
            <w:r w:rsidRPr="00AC4460">
              <w:rPr>
                <w:szCs w:val="24"/>
              </w:rPr>
              <w:tab/>
              <w:t xml:space="preserve">ένα </w:t>
            </w:r>
            <w:r w:rsidRPr="00AC4460">
              <w:rPr>
                <w:b/>
                <w:i/>
                <w:szCs w:val="24"/>
              </w:rPr>
              <w:t>ή περισσότερα υλικά</w:t>
            </w:r>
            <w:r w:rsidRPr="00AC4460">
              <w:rPr>
                <w:szCs w:val="24"/>
              </w:rPr>
              <w:t xml:space="preserve"> που </w:t>
            </w:r>
            <w:r w:rsidRPr="00AC4460">
              <w:rPr>
                <w:b/>
                <w:i/>
                <w:szCs w:val="24"/>
              </w:rPr>
              <w:t>περιέχουν</w:t>
            </w:r>
            <w:r w:rsidRPr="00AC4460">
              <w:rPr>
                <w:szCs w:val="24"/>
              </w:rPr>
              <w:t xml:space="preserve"> οργανικό άνθρακα (</w:t>
            </w:r>
            <w:r w:rsidRPr="00AC4460">
              <w:rPr>
                <w:b/>
                <w:i/>
                <w:szCs w:val="24"/>
              </w:rPr>
              <w:t>Corg</w:t>
            </w:r>
            <w:r w:rsidRPr="00AC4460">
              <w:rPr>
                <w:szCs w:val="24"/>
              </w:rPr>
              <w:t>) και</w:t>
            </w:r>
          </w:p>
        </w:tc>
      </w:tr>
      <w:tr w:rsidR="00E451E4" w:rsidRPr="00B0345A" w:rsidTr="000A61DD">
        <w:trPr>
          <w:jc w:val="center"/>
        </w:trPr>
        <w:tc>
          <w:tcPr>
            <w:tcW w:w="4876" w:type="dxa"/>
          </w:tcPr>
          <w:p w:rsidR="00E451E4" w:rsidRPr="00AC4460" w:rsidRDefault="00E451E4" w:rsidP="000A61DD">
            <w:pPr>
              <w:pStyle w:val="Normal6"/>
            </w:pPr>
            <w:r w:rsidRPr="00AC4460">
              <w:rPr>
                <w:szCs w:val="24"/>
              </w:rPr>
              <w:t>–</w:t>
            </w:r>
            <w:r w:rsidRPr="00AC4460">
              <w:rPr>
                <w:szCs w:val="24"/>
              </w:rPr>
              <w:tab/>
              <w:t xml:space="preserve">θρεπτικά συστατικά αποκλειστικά βιολογικής προέλευσης, εξαιρουμένων </w:t>
            </w:r>
            <w:r w:rsidRPr="00AC4460">
              <w:rPr>
                <w:b/>
                <w:i/>
                <w:szCs w:val="24"/>
              </w:rPr>
              <w:t>των</w:t>
            </w:r>
            <w:r w:rsidRPr="00AC4460">
              <w:rPr>
                <w:szCs w:val="24"/>
              </w:rPr>
              <w:t xml:space="preserve"> απολιθωμένων ή ενσωματωμένων σε γεωλογικούς σχηματισμούς υλικών.</w:t>
            </w:r>
          </w:p>
        </w:tc>
        <w:tc>
          <w:tcPr>
            <w:tcW w:w="4876" w:type="dxa"/>
          </w:tcPr>
          <w:p w:rsidR="00E451E4" w:rsidRPr="00AC4460" w:rsidRDefault="00E451E4" w:rsidP="000A61DD">
            <w:pPr>
              <w:pStyle w:val="Normal6"/>
            </w:pPr>
            <w:r w:rsidRPr="00AC4460">
              <w:rPr>
                <w:szCs w:val="24"/>
              </w:rPr>
              <w:t>–</w:t>
            </w:r>
            <w:r w:rsidRPr="00AC4460">
              <w:rPr>
                <w:szCs w:val="24"/>
              </w:rPr>
              <w:tab/>
              <w:t xml:space="preserve">θρεπτικά συστατικά αποκλειστικά βιολογικής προέλευσης, </w:t>
            </w:r>
            <w:r w:rsidRPr="00AC4460">
              <w:rPr>
                <w:b/>
                <w:i/>
                <w:szCs w:val="24"/>
              </w:rPr>
              <w:t xml:space="preserve">όπως η τύρφη, συμπεριλαμβανομένου του λεοναρδίτη, του λιγνίτη και ουσιών που λαμβάνονται από τα υλικά αυτά, </w:t>
            </w:r>
            <w:r w:rsidRPr="00AC4460">
              <w:rPr>
                <w:szCs w:val="24"/>
              </w:rPr>
              <w:t xml:space="preserve">εξαιρουμένων </w:t>
            </w:r>
            <w:r w:rsidRPr="00AC4460">
              <w:rPr>
                <w:b/>
                <w:i/>
                <w:szCs w:val="24"/>
              </w:rPr>
              <w:t>όμως άλλων</w:t>
            </w:r>
            <w:r w:rsidRPr="00AC4460">
              <w:rPr>
                <w:szCs w:val="24"/>
              </w:rPr>
              <w:t xml:space="preserve"> απολιθωμένων ή ενσωματωμένων σε γεωλογικούς σχηματισμούς υλικών.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124</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1(Β) – σημείο 3 – στοιχείο α – σημείο 2 – περίπτωση 3</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Από την [Publications office, please insert the date occurring twelve years after the date of application of this Regulation]: πεντοξείδιο του φωσφόρου (P</w:t>
            </w:r>
            <w:r w:rsidRPr="00AC4460">
              <w:rPr>
                <w:vertAlign w:val="subscript"/>
              </w:rPr>
              <w:t>2</w:t>
            </w:r>
            <w:r w:rsidRPr="00AC4460">
              <w:t>O</w:t>
            </w:r>
            <w:r w:rsidRPr="00AC4460">
              <w:rPr>
                <w:vertAlign w:val="subscript"/>
              </w:rPr>
              <w:t>5</w:t>
            </w:r>
            <w:r w:rsidRPr="00AC4460">
              <w:t>) 20 mg/kg,</w:t>
            </w:r>
          </w:p>
        </w:tc>
        <w:tc>
          <w:tcPr>
            <w:tcW w:w="4876" w:type="dxa"/>
          </w:tcPr>
          <w:p w:rsidR="00E451E4" w:rsidRPr="00AC4460" w:rsidRDefault="00E451E4" w:rsidP="000A61DD">
            <w:pPr>
              <w:pStyle w:val="Normal6"/>
            </w:pPr>
            <w:r w:rsidRPr="00AC4460">
              <w:t>-</w:t>
            </w:r>
            <w:r w:rsidRPr="00AC4460">
              <w:tab/>
              <w:t>Από την [εννέα έτη από την ημερομηνία εφαρμογής του παρόντος κανονισμού]: πεντοξείδιο του φωσφόρου (P</w:t>
            </w:r>
            <w:r w:rsidRPr="00AC4460">
              <w:rPr>
                <w:vertAlign w:val="subscript"/>
              </w:rPr>
              <w:t>2</w:t>
            </w:r>
            <w:r w:rsidRPr="00AC4460">
              <w:t>O</w:t>
            </w:r>
            <w:r w:rsidRPr="00AC4460">
              <w:rPr>
                <w:vertAlign w:val="subscript"/>
              </w:rPr>
              <w:t>5</w:t>
            </w:r>
            <w:r w:rsidRPr="00AC4460">
              <w:t>) 20 mg/kg,</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1(Β) – σημείο 3 – στοιχείο ε</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w:t>
            </w:r>
            <w:r w:rsidRPr="00AC4460">
              <w:tab/>
              <w:t xml:space="preserve">Μόλυβδος (Pb) </w:t>
            </w:r>
            <w:r w:rsidRPr="00AC4460">
              <w:rPr>
                <w:b/>
                <w:i/>
              </w:rPr>
              <w:t>120</w:t>
            </w:r>
            <w:r w:rsidRPr="00AC4460">
              <w:t xml:space="preserve"> mg/kg ξηράς ουσίας.</w:t>
            </w:r>
          </w:p>
        </w:tc>
        <w:tc>
          <w:tcPr>
            <w:tcW w:w="4876" w:type="dxa"/>
          </w:tcPr>
          <w:p w:rsidR="00E451E4" w:rsidRPr="00AC4460" w:rsidRDefault="00E451E4" w:rsidP="000A61DD">
            <w:pPr>
              <w:pStyle w:val="Normal6"/>
              <w:rPr>
                <w:szCs w:val="24"/>
              </w:rPr>
            </w:pPr>
            <w:r w:rsidRPr="00AC4460">
              <w:t>ε)</w:t>
            </w:r>
            <w:r w:rsidRPr="00AC4460">
              <w:tab/>
              <w:t xml:space="preserve">Μόλυβδος (Pb)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126</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1(Β) – σημείο 4</w:t>
      </w:r>
      <w:r>
        <w:rPr>
          <w:rStyle w:val="HideTWBExt"/>
          <w:b w:val="0"/>
          <w:noProof w:val="0"/>
          <w:lang w:val="fr-FR"/>
        </w:rPr>
        <w:t>&lt;/Article&gt;</w:t>
      </w:r>
    </w:p>
    <w:tbl>
      <w:tblPr>
        <w:tblW w:w="9780" w:type="dxa"/>
        <w:jc w:val="center"/>
        <w:tblLayout w:type="fixed"/>
        <w:tblCellMar>
          <w:left w:w="340" w:type="dxa"/>
          <w:right w:w="340" w:type="dxa"/>
        </w:tblCellMar>
        <w:tblLook w:val="0000" w:firstRow="0" w:lastRow="0" w:firstColumn="0" w:lastColumn="0" w:noHBand="0" w:noVBand="0"/>
      </w:tblPr>
      <w:tblGrid>
        <w:gridCol w:w="3245"/>
        <w:gridCol w:w="774"/>
        <w:gridCol w:w="999"/>
        <w:gridCol w:w="828"/>
        <w:gridCol w:w="3906"/>
        <w:gridCol w:w="28"/>
      </w:tblGrid>
      <w:tr w:rsidR="00E451E4" w:rsidRPr="000226C1" w:rsidTr="000A61DD">
        <w:trPr>
          <w:gridAfter w:val="1"/>
          <w:wAfter w:w="28" w:type="dxa"/>
          <w:jc w:val="center"/>
        </w:trPr>
        <w:tc>
          <w:tcPr>
            <w:tcW w:w="9752" w:type="dxa"/>
            <w:gridSpan w:val="5"/>
          </w:tcPr>
          <w:p w:rsidR="00E451E4" w:rsidRPr="00032852" w:rsidRDefault="00E451E4" w:rsidP="000A61DD">
            <w:pPr>
              <w:keepNext/>
              <w:rPr>
                <w:lang w:val="fr-FR"/>
              </w:rPr>
            </w:pP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ColumnHeading"/>
              <w:jc w:val="left"/>
            </w:pPr>
            <w:r>
              <w:t>Κείμενο που προτείνει η Επιτροπή</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t>4.</w:t>
            </w:r>
            <w:r>
              <w:tab/>
            </w:r>
            <w:r>
              <w:rPr>
                <w:b/>
                <w:bCs/>
                <w:i/>
                <w:iCs/>
              </w:rPr>
              <w:t>δεν ανευρίσκονται Salmonella spp. σε δείγμα βάρους 25 g του προϊόντος λίπανσης με σήμανση CE·</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ColumnHeading"/>
              <w:jc w:val="left"/>
              <w:rPr>
                <w:b/>
                <w:bCs/>
                <w:i w:val="0"/>
                <w:iCs/>
              </w:rPr>
            </w:pPr>
            <w:r>
              <w:t>Τροπολογία</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Normal6"/>
              <w:rPr>
                <w:b/>
                <w:bCs/>
                <w:i/>
                <w:iCs/>
              </w:rPr>
            </w:pPr>
            <w:r>
              <w:t>4.</w:t>
            </w:r>
            <w:r>
              <w:tab/>
            </w:r>
            <w:r>
              <w:rPr>
                <w:b/>
                <w:bCs/>
                <w:i/>
                <w:iCs/>
              </w:rPr>
              <w:t>Παθογόνοι παράγοντες δεν πρέπει να περιέχονται στο οργανοανόργανο λίπασμα σε συγκέντρωση μεγαλύτερη των αντίστοιχων ορίων που καθορίζονται στον κατωτέρω πίνακα:</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Μικροοργανισμός προς έλεγχο</w:t>
            </w:r>
          </w:p>
        </w:tc>
        <w:tc>
          <w:tcPr>
            <w:tcW w:w="2601" w:type="dxa"/>
            <w:gridSpan w:val="3"/>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Σχέδια δειγματοληψίας</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Όριο</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n</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m</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M</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1000 σε 1 g ή 1 ml</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όπου n = ο αριθμός των προς έλεγχο δειγμάτων</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c = ο αριθμός των δειγμάτων στα οποία ο αριθμός των βακτηρίων που εκφράζονται σε CFU κυμαίνεται μεταξύ m and M</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m = κατώτατη τιμή για τον αριθμό των βακτηρίων, εκφραζόμενο σε CFU, που θεωρείται ικανοποιητικός</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Μ= μέγιστη τιμή για τον αριθμό βακτηρίων εκφραζόμενο σε CFU</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Normal6"/>
              <w:rPr>
                <w:b/>
                <w:bCs/>
                <w:i/>
                <w:iCs/>
              </w:rPr>
            </w:pPr>
            <w:r>
              <w:rPr>
                <w:b/>
                <w:bCs/>
                <w:i/>
                <w:iCs/>
              </w:rPr>
              <w:t>Παράσιτα Ascaris spp. και Toxocara spp., σε όλα τα στάδια της ανάπτυξής τους, δεν πρέπει να περιέχονται σε 100g ή 100ml του οργανοανόργανου λιπάσματος.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1(Β) (I) – σημείο 2 – περίπτωση 2</w:t>
      </w:r>
      <w:r>
        <w:rPr>
          <w:rStyle w:val="HideTWBExt"/>
          <w:b w:val="0"/>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ολικό πεντοξείδιο</w:t>
            </w:r>
            <w:r w:rsidRPr="00AC4460">
              <w:t xml:space="preserve"> του φωσφόρου (P2O5) </w:t>
            </w:r>
            <w:r w:rsidRPr="00AC4460">
              <w:rPr>
                <w:b/>
                <w:i/>
              </w:rPr>
              <w:t>2</w:t>
            </w:r>
            <w:r w:rsidRPr="00AC4460">
              <w:t xml:space="preserve"> % κατά μάζα, ή</w:t>
            </w:r>
          </w:p>
        </w:tc>
        <w:tc>
          <w:tcPr>
            <w:tcW w:w="4876" w:type="dxa"/>
            <w:hideMark/>
          </w:tcPr>
          <w:p w:rsidR="00E451E4" w:rsidRPr="00AC4460" w:rsidRDefault="00E451E4" w:rsidP="000A61DD">
            <w:pPr>
              <w:pStyle w:val="Normal6"/>
              <w:rPr>
                <w:szCs w:val="24"/>
              </w:rPr>
            </w:pPr>
            <w:r w:rsidRPr="00AC4460">
              <w:t>-</w:t>
            </w:r>
            <w:r w:rsidRPr="00AC4460">
              <w:tab/>
            </w:r>
            <w:r w:rsidRPr="00AC4460">
              <w:rPr>
                <w:b/>
                <w:i/>
              </w:rPr>
              <w:t>πεντοξείδιο</w:t>
            </w:r>
            <w:r w:rsidRPr="00AC4460">
              <w:t xml:space="preserve"> του φωσφόρου (P2O5) </w:t>
            </w:r>
            <w:r w:rsidRPr="00AC4460">
              <w:rPr>
                <w:b/>
                <w:i/>
              </w:rPr>
              <w:t>1</w:t>
            </w:r>
            <w:r w:rsidRPr="00AC4460">
              <w:t xml:space="preserve"> % κατά μάζα</w:t>
            </w:r>
            <w:r w:rsidRPr="00AC4460">
              <w:rPr>
                <w:b/>
                <w:i/>
              </w:rPr>
              <w:t>, διαλυτό σε ουδέτερο κιτρικό αμμώνιο και νερό</w:t>
            </w:r>
            <w:r w:rsidRPr="00AC4460">
              <w:t>, 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 xml:space="preserve">Παράρτημα Ι – μέρος ΙΙ – ΚΛΠ 1(Β) (I) </w:t>
      </w:r>
      <w:r w:rsidRPr="00AC4460">
        <w:rPr>
          <w:szCs w:val="24"/>
        </w:rPr>
        <w:t>σημείο 2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2α.</w:t>
            </w:r>
            <w:r w:rsidRPr="00AC4460">
              <w:rPr>
                <w:b/>
                <w:i/>
              </w:rPr>
              <w:tab/>
              <w:t>Όταν το προϊόν λίπανσης με σήμανση CE περιέχει περισσότερα από ένα θρεπτικά συστατικά, το προϊόν περιέχει τα κύρια δηλούμενα θρεπτικά συστατικά στις ελάχιστες ποσότητες που καθορίζονται κατωτέρω:</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ολικό άζωτο (Ν) 2,5 % κατά μάζα, εκ των οποίων 1% κατά μάζα του προϊόντος λίπανσης με σήμανση CE είναι οργανικό άζωτο (Ν), ή ολικό πεντοξείδιο του φωσφόρου (P</w:t>
            </w:r>
            <w:r w:rsidRPr="00AC4460">
              <w:rPr>
                <w:b/>
                <w:i/>
                <w:vertAlign w:val="subscript"/>
              </w:rPr>
              <w:t>2</w:t>
            </w:r>
            <w:r w:rsidRPr="00AC4460">
              <w:rPr>
                <w:b/>
                <w:i/>
              </w:rPr>
              <w:t>O</w:t>
            </w:r>
            <w:r w:rsidRPr="00AC4460">
              <w:rPr>
                <w:b/>
                <w:i/>
                <w:vertAlign w:val="subscript"/>
              </w:rPr>
              <w:t>5</w:t>
            </w:r>
            <w:r w:rsidRPr="00AC4460">
              <w:rPr>
                <w:b/>
                <w:i/>
              </w:rPr>
              <w:t>) 2% κατά μάζα, ή ολικό οξείδιο του καλίου (K</w:t>
            </w:r>
            <w:r w:rsidRPr="00AC4460">
              <w:rPr>
                <w:b/>
                <w:i/>
                <w:vertAlign w:val="subscript"/>
              </w:rPr>
              <w:t>2</w:t>
            </w:r>
            <w:r w:rsidRPr="00AC4460">
              <w:rPr>
                <w:b/>
                <w:i/>
              </w:rPr>
              <w:t>O) 2% κατά μάζα, και</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6,5 % κατά μάζα του συνολικού αθροίσματος των κύριων θρεπτικών συστατικών.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1(Β) (I) – σημείο 4</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4.</w:t>
            </w:r>
            <w:r w:rsidRPr="00AC4460">
              <w:tab/>
              <w:t xml:space="preserve">Κάθε μονάδα του προϊόντος λίπανσης με σήμανση CE περιέχει </w:t>
            </w:r>
            <w:r w:rsidRPr="00AC4460">
              <w:rPr>
                <w:b/>
                <w:i/>
              </w:rPr>
              <w:t>οργανική ύλη</w:t>
            </w:r>
            <w:r w:rsidRPr="00AC4460">
              <w:t xml:space="preserve"> και θρεπτικά συστατικά στις δηλούμενες περιεκτικότητες.</w:t>
            </w:r>
          </w:p>
        </w:tc>
        <w:tc>
          <w:tcPr>
            <w:tcW w:w="4876" w:type="dxa"/>
            <w:hideMark/>
          </w:tcPr>
          <w:p w:rsidR="00E451E4" w:rsidRPr="00AC4460" w:rsidRDefault="00E451E4" w:rsidP="000A61DD">
            <w:pPr>
              <w:pStyle w:val="Normal6"/>
              <w:rPr>
                <w:szCs w:val="24"/>
              </w:rPr>
            </w:pPr>
            <w:r w:rsidRPr="00AC4460">
              <w:t>4.</w:t>
            </w:r>
            <w:r w:rsidRPr="00AC4460">
              <w:tab/>
              <w:t xml:space="preserve">Κάθε μονάδα του προϊόντος λίπανσης με σήμανση CE περιέχει </w:t>
            </w:r>
            <w:r w:rsidRPr="00AC4460">
              <w:rPr>
                <w:b/>
                <w:i/>
              </w:rPr>
              <w:t>οργανικό άνθρακα</w:t>
            </w:r>
            <w:r w:rsidRPr="00AC4460">
              <w:t xml:space="preserve"> και </w:t>
            </w:r>
            <w:r w:rsidRPr="00AC4460">
              <w:rPr>
                <w:b/>
                <w:i/>
              </w:rPr>
              <w:t xml:space="preserve">όλα τα </w:t>
            </w:r>
            <w:r w:rsidRPr="00AC4460">
              <w:t xml:space="preserve">θρεπτικά συστατικά στις δηλούμενες περιεκτικότητες. </w:t>
            </w:r>
            <w:r w:rsidRPr="00AC4460">
              <w:rPr>
                <w:b/>
                <w:i/>
              </w:rPr>
              <w:t>Η μονάδα αναφέρεται σε ένα από τα συστατικά του προϊόντος, όπως κόκκοι, σύμπηκτα, κλπ.</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Παράρτημα Ι – μέρος ΙΙ – ΚΛΠ 1(Β) (II) – σημείο 2 α (νέο)</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E6C72">
        <w:trPr>
          <w:jc w:val="center"/>
        </w:trPr>
        <w:tc>
          <w:tcPr>
            <w:tcW w:w="9750" w:type="dxa"/>
            <w:gridSpan w:val="2"/>
          </w:tcPr>
          <w:p w:rsidR="00E451E4" w:rsidRPr="00B0345A" w:rsidRDefault="00E451E4" w:rsidP="000A61DD">
            <w:pPr>
              <w:keepNext/>
            </w:pPr>
          </w:p>
        </w:tc>
      </w:tr>
      <w:tr w:rsidR="00E451E4" w:rsidRPr="00B0345A" w:rsidTr="000E6C72">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E6C72">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spacing w:line="256" w:lineRule="auto"/>
              <w:rPr>
                <w:i/>
              </w:rPr>
            </w:pPr>
            <w:r w:rsidRPr="00AC4460">
              <w:rPr>
                <w:b/>
                <w:i/>
              </w:rPr>
              <w:t>2α.</w:t>
            </w:r>
            <w:r w:rsidRPr="00AC4460">
              <w:rPr>
                <w:b/>
                <w:i/>
              </w:rPr>
              <w:tab/>
              <w:t>Όταν το προϊόν περιέχει περισσότερα από ένα θρεπτικά συστατικά, πρέπει να περιέχονται οι ακόλουθες ελάχιστες ποσότητες:</w:t>
            </w:r>
          </w:p>
        </w:tc>
      </w:tr>
      <w:tr w:rsidR="00E451E4" w:rsidRPr="00B0345A" w:rsidTr="000E6C72">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rPr>
                <w:b/>
                <w:i/>
              </w:rPr>
            </w:pPr>
            <w:r w:rsidRPr="00AC4460">
              <w:rPr>
                <w:b/>
                <w:bCs/>
                <w:i/>
                <w:iCs/>
              </w:rPr>
              <w:t>–</w:t>
            </w:r>
            <w:r w:rsidRPr="00AC4460">
              <w:rPr>
                <w:b/>
                <w:bCs/>
                <w:i/>
                <w:iCs/>
              </w:rPr>
              <w:tab/>
            </w:r>
            <w:r w:rsidRPr="00AC4460">
              <w:rPr>
                <w:b/>
                <w:i/>
              </w:rPr>
              <w:t>ολικό άζωτο (N) 1 % κατά μάζα, ή</w:t>
            </w:r>
          </w:p>
        </w:tc>
      </w:tr>
      <w:tr w:rsidR="00E451E4" w:rsidRPr="00B0345A" w:rsidTr="000E6C72">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spacing w:line="256" w:lineRule="auto"/>
              <w:rPr>
                <w:b/>
                <w:i/>
              </w:rPr>
            </w:pPr>
            <w:r w:rsidRPr="00AC4460">
              <w:rPr>
                <w:b/>
                <w:bCs/>
                <w:i/>
                <w:iCs/>
              </w:rPr>
              <w:t>–</w:t>
            </w:r>
            <w:r w:rsidRPr="00AC4460">
              <w:rPr>
                <w:b/>
                <w:bCs/>
                <w:i/>
                <w:iCs/>
              </w:rPr>
              <w:tab/>
            </w:r>
            <w:r w:rsidRPr="00AC4460">
              <w:rPr>
                <w:b/>
                <w:i/>
              </w:rPr>
              <w:t>ολικό πεντοξείδιο του φωσφόρου (P</w:t>
            </w:r>
            <w:r w:rsidRPr="00AC4460">
              <w:rPr>
                <w:b/>
                <w:i/>
                <w:vertAlign w:val="subscript"/>
              </w:rPr>
              <w:t>2</w:t>
            </w:r>
            <w:r w:rsidRPr="00AC4460">
              <w:rPr>
                <w:b/>
                <w:i/>
              </w:rPr>
              <w:t>O</w:t>
            </w:r>
            <w:r w:rsidRPr="00AC4460">
              <w:rPr>
                <w:b/>
                <w:i/>
                <w:vertAlign w:val="subscript"/>
              </w:rPr>
              <w:t>5</w:t>
            </w:r>
            <w:r w:rsidRPr="00AC4460">
              <w:rPr>
                <w:b/>
                <w:i/>
              </w:rPr>
              <w:t>) 1 % κατά μάζα, ή</w:t>
            </w:r>
          </w:p>
        </w:tc>
      </w:tr>
      <w:tr w:rsidR="00E451E4" w:rsidRPr="00B0345A" w:rsidTr="000E6C72">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spacing w:line="256" w:lineRule="auto"/>
              <w:rPr>
                <w:b/>
                <w:i/>
              </w:rPr>
            </w:pPr>
            <w:r w:rsidRPr="00AC4460">
              <w:rPr>
                <w:b/>
                <w:bCs/>
                <w:i/>
                <w:iCs/>
              </w:rPr>
              <w:t>–</w:t>
            </w:r>
            <w:r w:rsidRPr="00AC4460">
              <w:rPr>
                <w:b/>
                <w:bCs/>
                <w:i/>
                <w:iCs/>
              </w:rPr>
              <w:tab/>
            </w:r>
            <w:r w:rsidRPr="00AC4460">
              <w:rPr>
                <w:b/>
                <w:i/>
              </w:rPr>
              <w:t>ολικό οξείδιο του καλίου (K</w:t>
            </w:r>
            <w:r w:rsidRPr="00AC4460">
              <w:rPr>
                <w:b/>
                <w:i/>
                <w:vertAlign w:val="subscript"/>
              </w:rPr>
              <w:t>2</w:t>
            </w:r>
            <w:r w:rsidRPr="00AC4460">
              <w:rPr>
                <w:b/>
                <w:i/>
              </w:rPr>
              <w:t xml:space="preserve">O) 1 % κατά μάζα, </w:t>
            </w:r>
          </w:p>
        </w:tc>
      </w:tr>
      <w:tr w:rsidR="00E451E4" w:rsidRPr="00B0345A" w:rsidTr="000E6C72">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spacing w:line="256" w:lineRule="auto"/>
              <w:rPr>
                <w:b/>
                <w:i/>
              </w:rPr>
            </w:pPr>
            <w:r w:rsidRPr="00AC4460">
              <w:rPr>
                <w:b/>
                <w:i/>
              </w:rPr>
              <w:t>το δε σύνολο των θρεπτικών συστατικών είναι τουλάχιστον 4 %.</w:t>
            </w:r>
          </w:p>
        </w:tc>
      </w:tr>
    </w:tbl>
    <w:p w:rsidR="000E6C72" w:rsidRPr="000E6C72" w:rsidRDefault="000E6C72" w:rsidP="000E6C72">
      <w:pPr>
        <w:rPr>
          <w:lang w:val="pt-PT"/>
        </w:rPr>
      </w:pPr>
      <w:r w:rsidRPr="000E6C72">
        <w:rPr>
          <w:rStyle w:val="HideTWBExt"/>
          <w:noProof w:val="0"/>
          <w:lang w:val="pt-PT"/>
        </w:rPr>
        <w:t>&lt;/Amend&gt;</w:t>
      </w:r>
    </w:p>
    <w:p w:rsidR="000E6C72" w:rsidRPr="000E6C72" w:rsidRDefault="000E6C72" w:rsidP="000E6C72">
      <w:pPr>
        <w:pStyle w:val="AMNumberTabs"/>
        <w:keepNext/>
        <w:rPr>
          <w:lang w:val="pt-PT"/>
        </w:rPr>
      </w:pPr>
      <w:r w:rsidRPr="000E6C72">
        <w:rPr>
          <w:rStyle w:val="HideTWBExt"/>
          <w:b w:val="0"/>
          <w:noProof w:val="0"/>
          <w:lang w:val="pt-PT"/>
        </w:rPr>
        <w:t>&lt;Amend&gt;</w:t>
      </w:r>
      <w:r w:rsidRPr="00AC4460">
        <w:t>Τροπολογία</w:t>
      </w:r>
      <w:r w:rsidRPr="000E6C72">
        <w:rPr>
          <w:lang w:val="pt-PT"/>
        </w:rPr>
        <w:tab/>
      </w:r>
      <w:r w:rsidRPr="000E6C72">
        <w:rPr>
          <w:lang w:val="pt-PT"/>
        </w:rPr>
        <w:tab/>
      </w:r>
      <w:r w:rsidRPr="000E6C72">
        <w:rPr>
          <w:rStyle w:val="HideTWBExt"/>
          <w:b w:val="0"/>
          <w:noProof w:val="0"/>
          <w:lang w:val="pt-PT"/>
        </w:rPr>
        <w:t>&lt;NumAm&gt;</w:t>
      </w:r>
      <w:r w:rsidRPr="000E6C72">
        <w:rPr>
          <w:lang w:val="pt-PT"/>
        </w:rPr>
        <w:t>1</w:t>
      </w:r>
      <w:r>
        <w:t>3</w:t>
      </w:r>
      <w:r w:rsidRPr="000E6C72">
        <w:rPr>
          <w:lang w:val="pt-PT"/>
        </w:rPr>
        <w:t>1</w:t>
      </w:r>
      <w:r w:rsidRPr="000E6C72">
        <w:rPr>
          <w:rStyle w:val="HideTWBExt"/>
          <w:b w:val="0"/>
          <w:noProof w:val="0"/>
          <w:lang w:val="pt-PT"/>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1(Β) (II) – σημείο 3</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w:t>
            </w:r>
            <w:r w:rsidRPr="00AC4460">
              <w:tab/>
              <w:t xml:space="preserve">Η περιεκτικότητα του προϊόντος λίπανσης με σήμανση CE σε οργανικό άνθρακα (C) είναι τουλάχιστον </w:t>
            </w:r>
            <w:r w:rsidRPr="00AC4460">
              <w:rPr>
                <w:b/>
                <w:i/>
              </w:rPr>
              <w:t>3</w:t>
            </w:r>
            <w:r w:rsidRPr="00AC4460">
              <w:t xml:space="preserve"> % κατά μάζα.</w:t>
            </w:r>
          </w:p>
        </w:tc>
        <w:tc>
          <w:tcPr>
            <w:tcW w:w="4876" w:type="dxa"/>
          </w:tcPr>
          <w:p w:rsidR="00E451E4" w:rsidRPr="00AC4460" w:rsidRDefault="00E451E4" w:rsidP="000A61DD">
            <w:pPr>
              <w:pStyle w:val="Normal6"/>
              <w:rPr>
                <w:szCs w:val="24"/>
              </w:rPr>
            </w:pPr>
            <w:r w:rsidRPr="00AC4460">
              <w:t>3.</w:t>
            </w:r>
            <w:r w:rsidRPr="00AC4460">
              <w:tab/>
              <w:t xml:space="preserve">Η περιεκτικότητα του προϊόντος λίπανσης με σήμανση CE σε οργανικό άνθρακα (C) είναι τουλάχιστον </w:t>
            </w:r>
            <w:r w:rsidRPr="00AC4460">
              <w:rPr>
                <w:b/>
                <w:i/>
              </w:rPr>
              <w:t>1</w:t>
            </w:r>
            <w:r w:rsidRPr="00AC4460">
              <w:t xml:space="preserve"> %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 – μέρος ΙΙ – ΚΛΠ 1(Γ) – σημείο 1</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spacing w:line="256" w:lineRule="auto"/>
            </w:pPr>
            <w:r w:rsidRPr="00AC4460">
              <w:rPr>
                <w:bCs/>
                <w:iCs/>
              </w:rPr>
              <w:t>1.</w:t>
            </w:r>
            <w:r w:rsidRPr="00AC4460">
              <w:rPr>
                <w:b/>
                <w:i/>
              </w:rPr>
              <w:t xml:space="preserve"> </w:t>
            </w:r>
            <w:r w:rsidRPr="00AC4460">
              <w:t>Ένα ανόργανο λίπασμα είναι κάθε λίπασμα εκτός των οργανικών και των οργανοανόργανων λιπασμάτων.</w:t>
            </w:r>
          </w:p>
        </w:tc>
        <w:tc>
          <w:tcPr>
            <w:tcW w:w="4876" w:type="dxa"/>
            <w:hideMark/>
          </w:tcPr>
          <w:p w:rsidR="00E451E4" w:rsidRPr="00AC4460" w:rsidRDefault="00E451E4" w:rsidP="000A61DD">
            <w:pPr>
              <w:pStyle w:val="Normal6"/>
              <w:spacing w:line="256" w:lineRule="auto"/>
              <w:rPr>
                <w:i/>
              </w:rPr>
            </w:pPr>
            <w:r w:rsidRPr="00AC4460">
              <w:rPr>
                <w:bCs/>
                <w:iCs/>
              </w:rPr>
              <w:t>1.</w:t>
            </w:r>
            <w:r w:rsidRPr="00AC4460">
              <w:rPr>
                <w:b/>
                <w:i/>
              </w:rPr>
              <w:t xml:space="preserve"> </w:t>
            </w:r>
            <w:r w:rsidRPr="00AC4460">
              <w:t>Ένα ορυκτό λίπασμα είναι κάθε λίπασμα που περιέχει θρεπτικά συστατικά σε ανόργανη μορφή ή επεξεργασμένα σε ανόργανη μορφή από ζωική ή φυτική προέλευση.</w:t>
            </w:r>
            <w:r w:rsidRPr="00AC4460">
              <w:rPr>
                <w:b/>
                <w:i/>
              </w:rPr>
              <w:t xml:space="preserve"> Η παρουσία οργανικού άνθρακα (Corg) στο προϊόν λίπανσης με σήμανση CE δεν υπερβαίνει το 1 % κατά μάζα. Αποκλείεται ο άνθρακας που προέρχεται από επιχρίσματα που συμμορφώνονται με τις απαιτήσεις της ΚΣΥ 9 και 10 και τα γεωπονικά πρόσθετα που πληρούν τις απαιτήσεις της ΚΛΠ 5 και ΚΣΥ 8.</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Παράρτημα Ι – μέρος ΙΙ – ΚΛΠ 1(Γ) – σημείο 1 α (νέο)</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A61DD">
        <w:trPr>
          <w:jc w:val="center"/>
        </w:trPr>
        <w:tc>
          <w:tcPr>
            <w:tcW w:w="9750" w:type="dxa"/>
            <w:gridSpan w:val="2"/>
          </w:tcPr>
          <w:p w:rsidR="00E451E4" w:rsidRPr="00B0345A" w:rsidRDefault="00E451E4" w:rsidP="000A61DD">
            <w:pPr>
              <w:keepNext/>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lang w:eastAsia="en-US"/>
              </w:rPr>
            </w:pPr>
          </w:p>
        </w:tc>
        <w:tc>
          <w:tcPr>
            <w:tcW w:w="4875" w:type="dxa"/>
            <w:hideMark/>
          </w:tcPr>
          <w:p w:rsidR="00E451E4" w:rsidRPr="00AC4460" w:rsidRDefault="00E451E4" w:rsidP="000A61DD">
            <w:pPr>
              <w:pStyle w:val="Normal6"/>
              <w:spacing w:line="256" w:lineRule="auto"/>
              <w:rPr>
                <w:b/>
                <w:i/>
                <w:szCs w:val="24"/>
              </w:rPr>
            </w:pPr>
            <w:r w:rsidRPr="00AC4460">
              <w:rPr>
                <w:b/>
                <w:i/>
              </w:rPr>
              <w:t>1α. Τα φωσφορικά λιπάσματα πρέπει να συμμορφώνονται με τουλάχιστον ένα από τα ακόλουθα ελάχιστα επίπεδα διαλυτότητας ώστε να είναι διαθέσιμα στα φυτά, διαφορετικά δεν μπορούν να χαρακτηρίζονται φωσφορικά λιπάσματα:</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lang w:eastAsia="en-US"/>
              </w:rPr>
            </w:pPr>
          </w:p>
        </w:tc>
        <w:tc>
          <w:tcPr>
            <w:tcW w:w="4875" w:type="dxa"/>
          </w:tcPr>
          <w:p w:rsidR="00E451E4" w:rsidRPr="00AC4460" w:rsidRDefault="00E451E4" w:rsidP="000A61DD">
            <w:pPr>
              <w:pStyle w:val="Normal6"/>
              <w:rPr>
                <w:b/>
                <w:i/>
              </w:rPr>
            </w:pPr>
            <w:r w:rsidRPr="00AC4460">
              <w:rPr>
                <w:b/>
                <w:i/>
              </w:rPr>
              <w:t>–</w:t>
            </w:r>
            <w:r w:rsidRPr="00AC4460">
              <w:rPr>
                <w:b/>
                <w:i/>
              </w:rPr>
              <w:tab/>
              <w:t>διαλυτότητα στο νερό: ελάχιστο επίπεδο 40% επί του ολικού φωσφόρου, ή</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lang w:eastAsia="en-US"/>
              </w:rPr>
            </w:pPr>
          </w:p>
        </w:tc>
        <w:tc>
          <w:tcPr>
            <w:tcW w:w="4875" w:type="dxa"/>
          </w:tcPr>
          <w:p w:rsidR="00E451E4" w:rsidRPr="00AC4460" w:rsidRDefault="00E451E4" w:rsidP="000A61DD">
            <w:pPr>
              <w:pStyle w:val="Normal6"/>
              <w:rPr>
                <w:b/>
                <w:i/>
              </w:rPr>
            </w:pPr>
            <w:r w:rsidRPr="00AC4460">
              <w:rPr>
                <w:b/>
                <w:i/>
              </w:rPr>
              <w:t>–</w:t>
            </w:r>
            <w:r w:rsidRPr="00AC4460">
              <w:rPr>
                <w:b/>
                <w:i/>
              </w:rPr>
              <w:tab/>
              <w:t>διαλυτότητα σε ουδέτερο κιτρικό αμμώνιο: ελάχιστο επίπεδο 75 % επί του ολικού φωσφόρου, ή</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lang w:eastAsia="en-US"/>
              </w:rPr>
            </w:pPr>
          </w:p>
        </w:tc>
        <w:tc>
          <w:tcPr>
            <w:tcW w:w="4875" w:type="dxa"/>
          </w:tcPr>
          <w:p w:rsidR="00E451E4" w:rsidRPr="00AC4460" w:rsidRDefault="00E451E4" w:rsidP="000A61DD">
            <w:pPr>
              <w:pStyle w:val="Normal6"/>
              <w:rPr>
                <w:b/>
                <w:i/>
              </w:rPr>
            </w:pPr>
            <w:r w:rsidRPr="00AC4460">
              <w:rPr>
                <w:b/>
                <w:i/>
              </w:rPr>
              <w:t>–</w:t>
            </w:r>
            <w:r w:rsidRPr="00AC4460">
              <w:rPr>
                <w:b/>
                <w:i/>
              </w:rPr>
              <w:tab/>
              <w:t>διαλυτότητα σε μυρμηκικό οξύ (μόνο για μαλακά φωσφορικά άλατα): ελάχιστο επίπεδο 55 % επί του ολικού φωσφόρου.</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 – μέρος ΙΙ – ΚΛΠ 1(Γ) – σημείο 1 β (νέο)</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lang w:eastAsia="en-US"/>
              </w:rPr>
            </w:pPr>
          </w:p>
        </w:tc>
        <w:tc>
          <w:tcPr>
            <w:tcW w:w="4875" w:type="dxa"/>
            <w:hideMark/>
          </w:tcPr>
          <w:p w:rsidR="00E451E4" w:rsidRPr="00AC4460" w:rsidRDefault="00E451E4" w:rsidP="000A61DD">
            <w:pPr>
              <w:pStyle w:val="Normal6"/>
              <w:spacing w:line="256" w:lineRule="auto"/>
              <w:rPr>
                <w:b/>
                <w:i/>
                <w:szCs w:val="24"/>
              </w:rPr>
            </w:pPr>
            <w:r w:rsidRPr="00AC4460">
              <w:rPr>
                <w:b/>
                <w:i/>
              </w:rPr>
              <w:t>1β. Η συνολική δηλωτέα περιεκτικότητα σε άζωτο προκύπτει από το σύνολο του αμμωνιακού αζώτου, του νιτρικού αζώτου, του ουρεϊκού αζώτου, του αζώτου από μεθυλενουρία, του αζώτου από ισοβουτυλιδενοδιουρία, και του αζώτου από κροτωνυλιδενοδιουρία. Η δηλωτέα περιεκτικότητα σε φώσφορο προκύπτει από τη φωσφορική μορφή Ρ. Νέες μορφές μπορούν να προστεθούν έπειτα από επιστημονική εξέταση σύμφωνα με το άρθρο 42 παράγραφος 1.</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 σημείο 1</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w:t>
            </w:r>
            <w:r w:rsidRPr="00AC4460">
              <w:rPr>
                <w:b/>
                <w:i/>
              </w:rPr>
              <w:t>ανόργανο</w:t>
            </w:r>
            <w:r w:rsidRPr="00AC4460">
              <w:t xml:space="preserve"> μακροθρεπτικό λίπασμα προορίζεται για την παροχή ενός ή περισσότερων από τα ακόλουθα μακροθρεπτικά συστατικά στα φυτά: </w:t>
            </w:r>
            <w:r w:rsidRPr="00AC4460">
              <w:rPr>
                <w:b/>
                <w:i/>
              </w:rPr>
              <w:t>άζωτο (N), φώσφορος (P), κάλιο (K), μαγνήσιο (Mg), ασβέστιο (Ca), θείο (S) ή νάτριο (Na).</w:t>
            </w:r>
          </w:p>
        </w:tc>
        <w:tc>
          <w:tcPr>
            <w:tcW w:w="4876" w:type="dxa"/>
          </w:tcPr>
          <w:p w:rsidR="00E451E4" w:rsidRPr="00AC4460" w:rsidRDefault="00E451E4" w:rsidP="000A61DD">
            <w:pPr>
              <w:pStyle w:val="Normal6"/>
              <w:rPr>
                <w:szCs w:val="24"/>
              </w:rPr>
            </w:pPr>
            <w:r w:rsidRPr="00AC4460">
              <w:t>1.</w:t>
            </w:r>
            <w:r w:rsidRPr="00AC4460">
              <w:tab/>
              <w:t xml:space="preserve">Ένα </w:t>
            </w:r>
            <w:r w:rsidRPr="00AC4460">
              <w:rPr>
                <w:b/>
                <w:i/>
              </w:rPr>
              <w:t>ορυκτό</w:t>
            </w:r>
            <w:r w:rsidRPr="00AC4460">
              <w:t xml:space="preserve"> μακροθρεπτικό λίπασμα προορίζεται για την παροχή ενός ή περισσότερων από τα ακόλουθα μακροθρεπτικά συστατικά στα φυτά:</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α)</w:t>
            </w:r>
            <w:r w:rsidRPr="00AC4460">
              <w:rPr>
                <w:b/>
                <w:i/>
              </w:rPr>
              <w:tab/>
              <w:t>Κύρια:</w:t>
            </w:r>
            <w:r w:rsidRPr="00AC4460">
              <w:t xml:space="preserve"> </w:t>
            </w:r>
            <w:r w:rsidRPr="00AC4460">
              <w:rPr>
                <w:b/>
                <w:i/>
              </w:rPr>
              <w:t>άζωτο (N), φώσφορος (P) και κάλιο (K).</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β)</w:t>
            </w:r>
            <w:r w:rsidRPr="00AC4460">
              <w:rPr>
                <w:b/>
                <w:i/>
              </w:rPr>
              <w:tab/>
              <w:t>Δευτερεύοντα:</w:t>
            </w:r>
            <w:r w:rsidRPr="00AC4460">
              <w:t xml:space="preserve"> </w:t>
            </w:r>
            <w:r w:rsidRPr="00AC4460">
              <w:rPr>
                <w:b/>
                <w:i/>
              </w:rPr>
              <w:t>μαγνήσιο (Mg), ασβέστιο (Ca), θείο (S) ή νάτριο (Na).</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136</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1(Γ) (I) – σημείο 2 – στοιχείο α – σημείο 2 – περίπτωση 3</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Από την [Publications office, please insert the date occurring twelve years after the date of application of this Regulation]: πεντοξείδιο του φωσφόρου (P</w:t>
            </w:r>
            <w:r w:rsidRPr="00AC4460">
              <w:rPr>
                <w:vertAlign w:val="subscript"/>
              </w:rPr>
              <w:t>2</w:t>
            </w:r>
            <w:r w:rsidRPr="00AC4460">
              <w:t>O</w:t>
            </w:r>
            <w:r w:rsidRPr="00AC4460">
              <w:rPr>
                <w:vertAlign w:val="subscript"/>
              </w:rPr>
              <w:t>5</w:t>
            </w:r>
            <w:r w:rsidRPr="00AC4460">
              <w:t>) 20 mg/kg,</w:t>
            </w:r>
          </w:p>
        </w:tc>
        <w:tc>
          <w:tcPr>
            <w:tcW w:w="4876" w:type="dxa"/>
          </w:tcPr>
          <w:p w:rsidR="00E451E4" w:rsidRPr="00AC4460" w:rsidRDefault="00E451E4" w:rsidP="000A61DD">
            <w:pPr>
              <w:pStyle w:val="Normal6"/>
            </w:pPr>
            <w:r w:rsidRPr="00AC4460">
              <w:t>-</w:t>
            </w:r>
            <w:r w:rsidRPr="00AC4460">
              <w:tab/>
              <w:t xml:space="preserve">Από την </w:t>
            </w:r>
            <w:r w:rsidRPr="00AC4460">
              <w:rPr>
                <w:b/>
                <w:bCs/>
                <w:i/>
                <w:iCs/>
              </w:rPr>
              <w:t xml:space="preserve">... </w:t>
            </w:r>
            <w:r w:rsidRPr="00AC4460">
              <w:t>[</w:t>
            </w:r>
            <w:r w:rsidRPr="00AC4460">
              <w:rPr>
                <w:b/>
                <w:i/>
              </w:rPr>
              <w:t>εννέα</w:t>
            </w:r>
            <w:r w:rsidRPr="00AC4460">
              <w:t xml:space="preserve"> έτη από την ημερομηνία εφαρμογής του παρόντος κανονισμού]: πεντοξείδιο του φωσφόρου (P</w:t>
            </w:r>
            <w:r w:rsidRPr="00AC4460">
              <w:rPr>
                <w:vertAlign w:val="subscript"/>
              </w:rPr>
              <w:t>2</w:t>
            </w:r>
            <w:r w:rsidRPr="00AC4460">
              <w:t>O</w:t>
            </w:r>
            <w:r w:rsidRPr="00AC4460">
              <w:rPr>
                <w:vertAlign w:val="subscript"/>
              </w:rPr>
              <w:t>5</w:t>
            </w:r>
            <w:r w:rsidRPr="00AC4460">
              <w:t>) 20 mg/kg,</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 σημείο 2 – στοιχείο ε</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w:t>
            </w:r>
            <w:r w:rsidRPr="00AC4460">
              <w:tab/>
              <w:t xml:space="preserve">Μόλυβδος (Pb) </w:t>
            </w:r>
            <w:r w:rsidRPr="00AC4460">
              <w:rPr>
                <w:b/>
                <w:i/>
              </w:rPr>
              <w:t>150</w:t>
            </w:r>
            <w:r w:rsidRPr="00AC4460">
              <w:t xml:space="preserve"> mg/kg ξηράς ουσίας,</w:t>
            </w:r>
          </w:p>
        </w:tc>
        <w:tc>
          <w:tcPr>
            <w:tcW w:w="4876" w:type="dxa"/>
          </w:tcPr>
          <w:p w:rsidR="00E451E4" w:rsidRPr="00AC4460" w:rsidRDefault="00E451E4" w:rsidP="000A61DD">
            <w:pPr>
              <w:pStyle w:val="Normal6"/>
              <w:rPr>
                <w:szCs w:val="24"/>
              </w:rPr>
            </w:pPr>
            <w:r w:rsidRPr="00AC4460">
              <w:t>ε)</w:t>
            </w:r>
            <w:r w:rsidRPr="00AC4460">
              <w:tab/>
              <w:t xml:space="preserve">Μόλυβδος (Pb)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 σημείο 2 – στοιχείο στ</w:t>
      </w:r>
      <w:r w:rsidRPr="00AC4460">
        <w:rPr>
          <w:vanish/>
          <w:lang w:val="en-GB"/>
        </w:rPr>
        <w:t xml:space="preserve"> </w:t>
      </w:r>
      <w:r>
        <w:rPr>
          <w:rStyle w:val="HideTWBExt"/>
          <w:b w:val="0"/>
          <w:noProof w:val="0"/>
          <w:lang w:val="en-GB"/>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στ)</w:t>
            </w:r>
            <w:r w:rsidRPr="00AC4460">
              <w:tab/>
              <w:t xml:space="preserve">Αρσενικό (As) </w:t>
            </w:r>
            <w:r w:rsidRPr="00AC4460">
              <w:rPr>
                <w:b/>
                <w:i/>
              </w:rPr>
              <w:t>60</w:t>
            </w:r>
            <w:r w:rsidRPr="00AC4460">
              <w:t xml:space="preserve"> mg/kg ξηράς ουσίας,</w:t>
            </w:r>
          </w:p>
        </w:tc>
        <w:tc>
          <w:tcPr>
            <w:tcW w:w="4876" w:type="dxa"/>
          </w:tcPr>
          <w:p w:rsidR="00E451E4" w:rsidRPr="00AC4460" w:rsidRDefault="00E451E4" w:rsidP="000A61DD">
            <w:pPr>
              <w:pStyle w:val="Normal6"/>
              <w:rPr>
                <w:szCs w:val="24"/>
              </w:rPr>
            </w:pPr>
            <w:r w:rsidRPr="00AC4460">
              <w:t>στ)</w:t>
            </w:r>
            <w:r w:rsidRPr="00AC4460">
              <w:tab/>
              <w:t xml:space="preserve">Αρσενικό (As)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 – σημείο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1.</w:t>
            </w:r>
            <w:r w:rsidRPr="00AC4460">
              <w:tab/>
              <w:t xml:space="preserve">Ένα απλό στερεό </w:t>
            </w:r>
            <w:r w:rsidRPr="00AC4460">
              <w:rPr>
                <w:b/>
                <w:i/>
              </w:rPr>
              <w:t>ανόργανο</w:t>
            </w:r>
            <w:r w:rsidRPr="00AC4460">
              <w:t xml:space="preserve"> μακροθρεπτικό λίπασμα έχει δηλούμενη περιεκτικότητα</w:t>
            </w:r>
            <w:r w:rsidRPr="00AC4460">
              <w:rPr>
                <w:b/>
                <w:i/>
              </w:rPr>
              <w:t xml:space="preserve"> για όχι περισσότερα από ένα θρεπτικά συστατικά.</w:t>
            </w:r>
          </w:p>
        </w:tc>
        <w:tc>
          <w:tcPr>
            <w:tcW w:w="4876" w:type="dxa"/>
            <w:hideMark/>
          </w:tcPr>
          <w:p w:rsidR="00E451E4" w:rsidRPr="00AC4460" w:rsidRDefault="00E451E4" w:rsidP="000A61DD">
            <w:pPr>
              <w:pStyle w:val="Normal6"/>
              <w:rPr>
                <w:szCs w:val="24"/>
              </w:rPr>
            </w:pPr>
            <w:r w:rsidRPr="00AC4460">
              <w:t>1.</w:t>
            </w:r>
            <w:r w:rsidRPr="00AC4460">
              <w:tab/>
              <w:t xml:space="preserve">Ένα απλό στερεό </w:t>
            </w:r>
            <w:r w:rsidRPr="00AC4460">
              <w:rPr>
                <w:b/>
                <w:i/>
              </w:rPr>
              <w:t>ορυκτό</w:t>
            </w:r>
            <w:r w:rsidRPr="00AC4460">
              <w:t xml:space="preserve"> μακροθρεπτικό λίπασμα έχει δηλούμενη περιεκτικότητα</w:t>
            </w:r>
            <w:r w:rsidRPr="00AC4460">
              <w:rPr>
                <w:b/>
                <w:i/>
              </w:rPr>
              <w:t>:</w:t>
            </w:r>
            <w:r w:rsidRPr="00AC4460">
              <w:t xml:space="preserve"> </w:t>
            </w:r>
          </w:p>
        </w:tc>
      </w:tr>
      <w:tr w:rsidR="00E451E4" w:rsidRPr="00B0345A" w:rsidTr="000A61DD">
        <w:trPr>
          <w:jc w:val="center"/>
        </w:trPr>
        <w:tc>
          <w:tcPr>
            <w:tcW w:w="4876" w:type="dxa"/>
          </w:tcPr>
          <w:p w:rsidR="00E451E4" w:rsidRPr="00AC4460" w:rsidRDefault="00E451E4" w:rsidP="000A61DD">
            <w:pPr>
              <w:pStyle w:val="Normal6"/>
              <w:rPr>
                <w:lang w:eastAsia="en-US"/>
              </w:rPr>
            </w:pPr>
          </w:p>
        </w:tc>
        <w:tc>
          <w:tcPr>
            <w:tcW w:w="4876" w:type="dxa"/>
          </w:tcPr>
          <w:p w:rsidR="00E451E4" w:rsidRPr="00AC4460" w:rsidRDefault="00E451E4" w:rsidP="000A61DD">
            <w:pPr>
              <w:pStyle w:val="Normal6"/>
              <w:rPr>
                <w:szCs w:val="24"/>
              </w:rPr>
            </w:pPr>
            <w:r w:rsidRPr="00AC4460">
              <w:rPr>
                <w:b/>
                <w:i/>
                <w:szCs w:val="24"/>
              </w:rPr>
              <w:t>α)</w:t>
            </w:r>
            <w:r w:rsidRPr="00AC4460">
              <w:rPr>
                <w:szCs w:val="24"/>
              </w:rPr>
              <w:tab/>
            </w:r>
            <w:r w:rsidRPr="00AC4460">
              <w:rPr>
                <w:b/>
                <w:i/>
                <w:szCs w:val="24"/>
              </w:rPr>
              <w:t>για όχι περισσότερα από ένα κύρια θρεπτικά συστατικά (άζωτο (N), φώσφορος (P) και κάλιο (K)), ή</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(α) (i) – σημείο 1 – στοιχείο β (νέο)</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lang w:eastAsia="en-US"/>
              </w:rPr>
            </w:pPr>
          </w:p>
        </w:tc>
        <w:tc>
          <w:tcPr>
            <w:tcW w:w="4876" w:type="dxa"/>
          </w:tcPr>
          <w:p w:rsidR="00E451E4" w:rsidRPr="00AC4460" w:rsidRDefault="00E451E4" w:rsidP="000A61DD">
            <w:pPr>
              <w:pStyle w:val="Normal6"/>
              <w:rPr>
                <w:szCs w:val="24"/>
              </w:rPr>
            </w:pPr>
            <w:r w:rsidRPr="00AC4460">
              <w:rPr>
                <w:b/>
                <w:i/>
                <w:szCs w:val="24"/>
              </w:rPr>
              <w:t>β)</w:t>
            </w:r>
            <w:r w:rsidRPr="00AC4460">
              <w:rPr>
                <w:szCs w:val="24"/>
              </w:rPr>
              <w:tab/>
            </w:r>
            <w:r w:rsidRPr="00AC4460">
              <w:rPr>
                <w:b/>
                <w:i/>
                <w:szCs w:val="24"/>
              </w:rPr>
              <w:t>για όχι περισσότερα από ένα δευτερεύοντα θρεπτικά συστατικά (μαγνήσιο (Mg), ασβέστιο (Ca), θείο (S) και νάτριο (Na)).</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(α) (i) – σημείο 1 α (νέο)</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lang w:eastAsia="en-US"/>
              </w:rPr>
            </w:pPr>
          </w:p>
        </w:tc>
        <w:tc>
          <w:tcPr>
            <w:tcW w:w="4876" w:type="dxa"/>
          </w:tcPr>
          <w:p w:rsidR="00E451E4" w:rsidRPr="00AC4460" w:rsidRDefault="00E451E4" w:rsidP="000A61DD">
            <w:pPr>
              <w:pStyle w:val="Normal6"/>
              <w:rPr>
                <w:szCs w:val="24"/>
              </w:rPr>
            </w:pPr>
            <w:r w:rsidRPr="00AC4460">
              <w:rPr>
                <w:b/>
                <w:i/>
                <w:szCs w:val="24"/>
              </w:rPr>
              <w:t>1α.</w:t>
            </w:r>
            <w:r w:rsidRPr="00AC4460">
              <w:rPr>
                <w:szCs w:val="24"/>
              </w:rPr>
              <w:tab/>
            </w:r>
            <w:r w:rsidRPr="00AC4460">
              <w:rPr>
                <w:b/>
                <w:i/>
                <w:szCs w:val="24"/>
              </w:rPr>
              <w:t>Ένα απλό στερεό ορυκτό μακροθρεπτικό λίπασμα με δηλούμενη περιεκτικότητα για όχι περισσότερα από ένα κύρια θρεπτικά συστατικά, μπορεί να περιέχει ένα ή περισσότερα δευτερεύοντα θρεπτικά συστατικά.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 xml:space="preserve"> Παράρτημα Ι – μέρος ΙΙ – ΚΛΠ 1(Γ) (I) (α) (i)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t xml:space="preserve">Το προϊόν λίπανσης με σήμανση CE περιέχει </w:t>
            </w:r>
            <w:r w:rsidRPr="00AC4460">
              <w:rPr>
                <w:b/>
                <w:i/>
              </w:rPr>
              <w:t>ένα από τα παρακάτω</w:t>
            </w:r>
            <w:r w:rsidRPr="00AC4460">
              <w:t xml:space="preserve"> δηλούμενα θρεπτικά συστατικά στην καθοριζόμενη ελάχιστη ποσότητα:</w:t>
            </w:r>
          </w:p>
        </w:tc>
        <w:tc>
          <w:tcPr>
            <w:tcW w:w="4876" w:type="dxa"/>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w:t>
            </w:r>
            <w:r w:rsidRPr="00AC4460">
              <w:rPr>
                <w:b/>
                <w:i/>
              </w:rPr>
              <w:t>κύρια και/ή δευτερεύοντα</w:t>
            </w:r>
            <w:r w:rsidRPr="00AC4460">
              <w:t xml:space="preserve"> δηλούμενα θρεπτικά συστατικά στην καθοριζόμενη ελάχιστη ποσότητα: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(α) (i) – σημείο 2 – περίπτωση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r>
            <w:r w:rsidRPr="00AC4460">
              <w:rPr>
                <w:b/>
                <w:i/>
              </w:rPr>
              <w:t>ολικό πεντοξείδιο</w:t>
            </w:r>
            <w:r w:rsidRPr="00AC4460">
              <w:t xml:space="preserve"> του φωσφόρου (P</w:t>
            </w:r>
            <w:r w:rsidRPr="00AC4460">
              <w:rPr>
                <w:vertAlign w:val="subscript"/>
              </w:rPr>
              <w:t>2</w:t>
            </w:r>
            <w:r w:rsidRPr="00AC4460">
              <w:t>O</w:t>
            </w:r>
            <w:r w:rsidRPr="00AC4460">
              <w:rPr>
                <w:vertAlign w:val="subscript"/>
              </w:rPr>
              <w:t>5</w:t>
            </w:r>
            <w:r w:rsidRPr="00AC4460">
              <w:t xml:space="preserve">) </w:t>
            </w:r>
            <w:r w:rsidRPr="00AC4460">
              <w:rPr>
                <w:vertAlign w:val="subscript"/>
              </w:rPr>
              <w:t>12 %</w:t>
            </w:r>
            <w:r w:rsidRPr="00AC4460">
              <w:t xml:space="preserve"> κατά μάζα,</w:t>
            </w:r>
          </w:p>
        </w:tc>
        <w:tc>
          <w:tcPr>
            <w:tcW w:w="4876" w:type="dxa"/>
          </w:tcPr>
          <w:p w:rsidR="00E451E4" w:rsidRPr="00AC4460" w:rsidRDefault="00E451E4" w:rsidP="000A61DD">
            <w:pPr>
              <w:pStyle w:val="Normal6"/>
              <w:rPr>
                <w:szCs w:val="24"/>
              </w:rPr>
            </w:pPr>
            <w:r w:rsidRPr="00AC4460">
              <w:t>–</w:t>
            </w:r>
            <w:r w:rsidRPr="00AC4460">
              <w:tab/>
            </w:r>
            <w:r w:rsidRPr="00AC4460">
              <w:rPr>
                <w:b/>
                <w:i/>
              </w:rPr>
              <w:t>πεντοξείδιο</w:t>
            </w:r>
            <w:r w:rsidRPr="00AC4460">
              <w:t xml:space="preserve"> του φωσφόρου (P2O5) 12 % κατά μάζα,</w:t>
            </w:r>
            <w:r w:rsidRPr="00AC4460">
              <w:rPr>
                <w:b/>
                <w:i/>
              </w:rPr>
              <w:t xml:space="preserve"> διαλυτό σε ουδέτερο κιτρικό αμμώνιο και νερό,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(α) (i) – σημείο 2 – περίπτωση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w:t>
            </w:r>
            <w:r w:rsidRPr="00AC4460">
              <w:tab/>
              <w:t>ολικό οξείδιο του νατρίου (Na</w:t>
            </w:r>
            <w:r w:rsidRPr="00AC4460">
              <w:rPr>
                <w:vertAlign w:val="subscript"/>
              </w:rPr>
              <w:t>2</w:t>
            </w:r>
            <w:r w:rsidRPr="00AC4460">
              <w:t xml:space="preserve">O) </w:t>
            </w:r>
            <w:r w:rsidRPr="00AC4460">
              <w:rPr>
                <w:b/>
                <w:i/>
              </w:rPr>
              <w:t>1 %</w:t>
            </w:r>
            <w:r w:rsidRPr="00AC4460">
              <w:t xml:space="preserve"> κατά μάζα.</w:t>
            </w:r>
          </w:p>
        </w:tc>
        <w:tc>
          <w:tcPr>
            <w:tcW w:w="4876" w:type="dxa"/>
            <w:hideMark/>
          </w:tcPr>
          <w:p w:rsidR="00E451E4" w:rsidRPr="00AC4460" w:rsidRDefault="00E451E4" w:rsidP="000A61DD">
            <w:pPr>
              <w:pStyle w:val="Normal6"/>
              <w:rPr>
                <w:szCs w:val="24"/>
              </w:rPr>
            </w:pPr>
            <w:r w:rsidRPr="00AC4460">
              <w:t>–</w:t>
            </w:r>
            <w:r w:rsidRPr="00AC4460">
              <w:tab/>
              <w:t>ολικό οξείδιο του νατρίου (Na</w:t>
            </w:r>
            <w:r w:rsidRPr="00AC4460">
              <w:rPr>
                <w:vertAlign w:val="subscript"/>
              </w:rPr>
              <w:t>2</w:t>
            </w:r>
            <w:r w:rsidRPr="00AC4460">
              <w:t xml:space="preserve">O) </w:t>
            </w:r>
            <w:r w:rsidRPr="00AC4460">
              <w:rPr>
                <w:b/>
                <w:i/>
              </w:rPr>
              <w:t>3 %</w:t>
            </w:r>
            <w:r w:rsidRPr="00AC4460">
              <w:t xml:space="preserve">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(ii) – σημείο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σύνθετο στερεό </w:t>
            </w:r>
            <w:r w:rsidRPr="00AC4460">
              <w:rPr>
                <w:b/>
                <w:i/>
              </w:rPr>
              <w:t>ανόργανο</w:t>
            </w:r>
            <w:r w:rsidRPr="00AC4460">
              <w:t xml:space="preserve"> μακροθρεπτικό λίπασμα έχει δηλούμενη περιεκτικότητα για περισσότερα από ένα θρεπτικά συστατικά.</w:t>
            </w:r>
          </w:p>
        </w:tc>
        <w:tc>
          <w:tcPr>
            <w:tcW w:w="4876" w:type="dxa"/>
          </w:tcPr>
          <w:p w:rsidR="00E451E4" w:rsidRPr="00AC4460" w:rsidRDefault="00E451E4" w:rsidP="000A61DD">
            <w:pPr>
              <w:pStyle w:val="Normal6"/>
              <w:rPr>
                <w:szCs w:val="24"/>
              </w:rPr>
            </w:pPr>
            <w:r w:rsidRPr="00AC4460">
              <w:t>1.</w:t>
            </w:r>
            <w:r w:rsidRPr="00AC4460">
              <w:tab/>
              <w:t xml:space="preserve">Ένα σύνθετο στερεό </w:t>
            </w:r>
            <w:r w:rsidRPr="00AC4460">
              <w:rPr>
                <w:b/>
                <w:i/>
              </w:rPr>
              <w:t>ορυκτό</w:t>
            </w:r>
            <w:r w:rsidRPr="00AC4460">
              <w:t xml:space="preserve"> μακροθρεπτικό λίπασμα έχει δηλούμενη περιεκτικότητα για περισσότερα από ένα</w:t>
            </w:r>
            <w:r w:rsidRPr="00AC4460">
              <w:rPr>
                <w:b/>
                <w:i/>
              </w:rPr>
              <w:t xml:space="preserve"> κύρια και/ή δευτερεύοντα</w:t>
            </w:r>
            <w:r w:rsidRPr="00AC4460">
              <w:t xml:space="preserve"> θρεπτικά συστατικά.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(α) (ii)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t xml:space="preserve">Το προϊόν λίπανσης με σήμανση CE περιέχει περισσότερα από ένα από τα </w:t>
            </w:r>
            <w:r w:rsidRPr="00AC4460">
              <w:rPr>
                <w:b/>
                <w:i/>
              </w:rPr>
              <w:t>παρακάτω</w:t>
            </w:r>
            <w:r w:rsidRPr="00AC4460">
              <w:t xml:space="preserve"> δηλούμενα θρεπτικά συστατικά στις καθοριζόμενες ελάχιστες ποσότητες:</w:t>
            </w:r>
          </w:p>
        </w:tc>
        <w:tc>
          <w:tcPr>
            <w:tcW w:w="4876" w:type="dxa"/>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περισσότερα από ένα από τα </w:t>
            </w:r>
            <w:r w:rsidRPr="00AC4460">
              <w:rPr>
                <w:b/>
                <w:i/>
              </w:rPr>
              <w:t>κύρια και/ή δευτερεύοντα</w:t>
            </w:r>
            <w:r w:rsidRPr="00AC4460">
              <w:t xml:space="preserve"> δηλούμενα θρεπτικά συστατικά στις καθοριζόμενες ελάχιστες ποσότητες: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en-GB"/>
        </w:rPr>
        <w:t>&lt;Article&gt;</w:t>
      </w:r>
      <w:r w:rsidRPr="00AC4460">
        <w:t xml:space="preserve"> Παράρτημα Ι – μέρος ΙΙ – ΚΛΠ 1(Γ) (I) (α) (ii) – σημείο 2 – περίπτωση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xml:space="preserve">) </w:t>
            </w:r>
            <w:r w:rsidRPr="00AC4460">
              <w:rPr>
                <w:b/>
                <w:i/>
              </w:rPr>
              <w:t>3</w:t>
            </w:r>
            <w:r w:rsidRPr="00AC4460">
              <w:t>% κατά μάζα,</w:t>
            </w:r>
          </w:p>
        </w:tc>
        <w:tc>
          <w:tcPr>
            <w:tcW w:w="4876" w:type="dxa"/>
          </w:tcPr>
          <w:p w:rsidR="00E451E4" w:rsidRPr="00AC4460" w:rsidRDefault="00E451E4" w:rsidP="000A61DD">
            <w:pPr>
              <w:pStyle w:val="Normal6"/>
              <w:rPr>
                <w:szCs w:val="24"/>
              </w:rPr>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xml:space="preserve">) </w:t>
            </w:r>
            <w:r w:rsidRPr="00AC4460">
              <w:rPr>
                <w:b/>
                <w:i/>
              </w:rPr>
              <w:t>5</w:t>
            </w:r>
            <w:r w:rsidRPr="00AC4460">
              <w:t>% κατά μάζα,</w:t>
            </w:r>
            <w:r w:rsidRPr="00AC4460">
              <w:rPr>
                <w:b/>
                <w:i/>
              </w:rPr>
              <w:t>, διαλυτό σε ουδέτερο κιτρικό αμμώνιο και νερό,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(ii) – σημείο 2 – περίπτωση 3</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οξείδιο του καλίου (K</w:t>
            </w:r>
            <w:r w:rsidRPr="00AC4460">
              <w:rPr>
                <w:vertAlign w:val="subscript"/>
              </w:rPr>
              <w:t>2</w:t>
            </w:r>
            <w:r w:rsidRPr="00AC4460">
              <w:t xml:space="preserve">O) </w:t>
            </w:r>
            <w:r w:rsidRPr="00AC4460">
              <w:rPr>
                <w:b/>
                <w:i/>
              </w:rPr>
              <w:t>3</w:t>
            </w:r>
            <w:r w:rsidRPr="00AC4460">
              <w:t>% κατά μάζα,</w:t>
            </w:r>
          </w:p>
        </w:tc>
        <w:tc>
          <w:tcPr>
            <w:tcW w:w="4876" w:type="dxa"/>
          </w:tcPr>
          <w:p w:rsidR="00E451E4" w:rsidRPr="00AC4460" w:rsidRDefault="00E451E4" w:rsidP="000A61DD">
            <w:pPr>
              <w:pStyle w:val="Normal6"/>
              <w:rPr>
                <w:szCs w:val="24"/>
              </w:rPr>
            </w:pPr>
            <w:r w:rsidRPr="00AC4460">
              <w:t>–</w:t>
            </w:r>
            <w:r w:rsidRPr="00AC4460">
              <w:tab/>
              <w:t>ολικό οξείδιο του καλίου (K</w:t>
            </w:r>
            <w:r w:rsidRPr="00AC4460">
              <w:rPr>
                <w:vertAlign w:val="subscript"/>
              </w:rPr>
              <w:t>2</w:t>
            </w:r>
            <w:r w:rsidRPr="00AC4460">
              <w:t xml:space="preserve">O) </w:t>
            </w:r>
            <w:r w:rsidRPr="00AC4460">
              <w:rPr>
                <w:b/>
                <w:i/>
              </w:rPr>
              <w:t xml:space="preserve">5 </w:t>
            </w:r>
            <w:r w:rsidRPr="00AC4460">
              <w:t>%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(ii) – σημείο 2 – περίπτωση 4</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ολικό οξείδιο του μαγνησίου (MgO) </w:t>
            </w:r>
            <w:r w:rsidRPr="00AC4460">
              <w:rPr>
                <w:b/>
                <w:i/>
              </w:rPr>
              <w:t>1,5%</w:t>
            </w:r>
            <w:r w:rsidRPr="00AC4460">
              <w:t xml:space="preserve">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μαγνησίου (MgO) </w:t>
            </w:r>
            <w:r w:rsidRPr="00AC4460">
              <w:rPr>
                <w:b/>
                <w:i/>
              </w:rPr>
              <w:t>2 %</w:t>
            </w:r>
            <w:r w:rsidRPr="00AC4460">
              <w:t xml:space="preserve">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(ii) – σημείο 2 – περίπτωση 5</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ολικό οξείδιο του ασβεστίου (CaO) </w:t>
            </w:r>
            <w:r w:rsidRPr="00AC4460">
              <w:rPr>
                <w:b/>
                <w:i/>
              </w:rPr>
              <w:t>1,5%</w:t>
            </w:r>
            <w:r w:rsidRPr="00AC4460">
              <w:t xml:space="preserve">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ασβεστίου (CaO) </w:t>
            </w:r>
            <w:r w:rsidRPr="00AC4460">
              <w:rPr>
                <w:b/>
                <w:i/>
              </w:rPr>
              <w:t>2 %</w:t>
            </w:r>
            <w:r w:rsidRPr="00AC4460">
              <w:t xml:space="preserve">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(ii) – σημείο 2 – περίπτωση 6</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τριοξείδιο του θείου (SO</w:t>
            </w:r>
            <w:r w:rsidRPr="00AC4460">
              <w:rPr>
                <w:vertAlign w:val="subscript"/>
              </w:rPr>
              <w:t>3</w:t>
            </w:r>
            <w:r w:rsidRPr="00AC4460">
              <w:t xml:space="preserve">) </w:t>
            </w:r>
            <w:r w:rsidRPr="00AC4460">
              <w:rPr>
                <w:b/>
                <w:i/>
              </w:rPr>
              <w:t>1,5%</w:t>
            </w:r>
            <w:r w:rsidRPr="00AC4460">
              <w:t xml:space="preserve"> κατά μάζα, </w:t>
            </w:r>
            <w:r w:rsidRPr="00AC4460">
              <w:rPr>
                <w:b/>
                <w:i/>
              </w:rPr>
              <w:t>ή</w:t>
            </w:r>
          </w:p>
        </w:tc>
        <w:tc>
          <w:tcPr>
            <w:tcW w:w="4876" w:type="dxa"/>
          </w:tcPr>
          <w:p w:rsidR="00E451E4" w:rsidRPr="00AC4460" w:rsidRDefault="00E451E4" w:rsidP="000A61DD">
            <w:pPr>
              <w:pStyle w:val="Normal6"/>
              <w:rPr>
                <w:szCs w:val="24"/>
              </w:rPr>
            </w:pPr>
            <w:r w:rsidRPr="00AC4460">
              <w:t>–</w:t>
            </w:r>
            <w:r w:rsidRPr="00AC4460">
              <w:tab/>
              <w:t>ολικό τριοξείδιο του θείου (SO</w:t>
            </w:r>
            <w:r w:rsidRPr="00AC4460">
              <w:rPr>
                <w:vertAlign w:val="subscript"/>
              </w:rPr>
              <w:t>3</w:t>
            </w:r>
            <w:r w:rsidRPr="00AC4460">
              <w:t xml:space="preserve">) </w:t>
            </w:r>
            <w:r w:rsidRPr="00AC4460">
              <w:rPr>
                <w:b/>
                <w:i/>
              </w:rPr>
              <w:t>5 %</w:t>
            </w:r>
            <w:r w:rsidRPr="00AC4460">
              <w:t xml:space="preserve">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(α) (ii) – σημείο 2 – περίπτωση 7</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οξείδιο του νατρίου (Na</w:t>
            </w:r>
            <w:r w:rsidRPr="00AC4460">
              <w:rPr>
                <w:vertAlign w:val="subscript"/>
              </w:rPr>
              <w:t>2</w:t>
            </w:r>
            <w:r w:rsidRPr="00AC4460">
              <w:t xml:space="preserve">O) </w:t>
            </w:r>
            <w:r w:rsidRPr="00AC4460">
              <w:rPr>
                <w:b/>
                <w:i/>
              </w:rPr>
              <w:t>1 %</w:t>
            </w:r>
            <w:r w:rsidRPr="00AC4460">
              <w:t xml:space="preserve"> κατά μάζα.</w:t>
            </w:r>
          </w:p>
        </w:tc>
        <w:tc>
          <w:tcPr>
            <w:tcW w:w="4876" w:type="dxa"/>
          </w:tcPr>
          <w:p w:rsidR="00E451E4" w:rsidRPr="00AC4460" w:rsidRDefault="00E451E4" w:rsidP="000A61DD">
            <w:pPr>
              <w:pStyle w:val="Normal6"/>
              <w:rPr>
                <w:szCs w:val="24"/>
              </w:rPr>
            </w:pPr>
            <w:r w:rsidRPr="00AC4460">
              <w:t>–</w:t>
            </w:r>
            <w:r w:rsidRPr="00AC4460">
              <w:tab/>
              <w:t>ολικό οξείδιο του νατρίου (Na</w:t>
            </w:r>
            <w:r w:rsidRPr="00AC4460">
              <w:rPr>
                <w:vertAlign w:val="subscript"/>
              </w:rPr>
              <w:t>2</w:t>
            </w:r>
            <w:r w:rsidRPr="00AC4460">
              <w:t xml:space="preserve">O) </w:t>
            </w:r>
            <w:r w:rsidRPr="00AC4460">
              <w:rPr>
                <w:b/>
                <w:i/>
              </w:rPr>
              <w:t>3 %</w:t>
            </w:r>
            <w:r w:rsidRPr="00AC4460">
              <w:t xml:space="preserve">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(α) (i-ii) (Α) – σημείο 5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έπειτα από πέντε θερμικούς κύκλους όπως περιγράφεται στο σημείο 4.2 της ενότητας Α1 του παραρτήματος IV,</w:t>
            </w:r>
          </w:p>
        </w:tc>
        <w:tc>
          <w:tcPr>
            <w:tcW w:w="4876" w:type="dxa"/>
          </w:tcPr>
          <w:p w:rsidR="00E451E4" w:rsidRPr="00AC4460" w:rsidRDefault="00E451E4" w:rsidP="000A61DD">
            <w:pPr>
              <w:pStyle w:val="Normal6"/>
              <w:rPr>
                <w:szCs w:val="24"/>
              </w:rPr>
            </w:pPr>
            <w:r w:rsidRPr="00AC4460">
              <w:t>-</w:t>
            </w:r>
            <w:r w:rsidRPr="00AC4460">
              <w:tab/>
              <w:t>έπειτα από πέντε θερμικούς κύκλους όπως περιγράφεται στο σημείο 4.2 της ενότητας Α1 του παραρτήματος IV,</w:t>
            </w:r>
            <w:r w:rsidRPr="00AC4460">
              <w:rPr>
                <w:b/>
                <w:i/>
              </w:rPr>
              <w:t xml:space="preserve"> για τη διενέργεια δοκιμής πριν από τη διάθεση στην αγορά,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 – σημείο 1</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απλό υγρό </w:t>
            </w:r>
            <w:r w:rsidRPr="00AC4460">
              <w:rPr>
                <w:b/>
                <w:i/>
              </w:rPr>
              <w:t>ανόργανο</w:t>
            </w:r>
            <w:r w:rsidRPr="00AC4460">
              <w:t xml:space="preserve"> μακροθρεπτικό λίπασμα έχει δηλούμενη περιεκτικότητα</w:t>
            </w:r>
            <w:r w:rsidRPr="00AC4460">
              <w:rPr>
                <w:b/>
                <w:i/>
              </w:rPr>
              <w:t xml:space="preserve"> για όχι περισσότερα από ένα θρεπτικά συστατικά.</w:t>
            </w:r>
          </w:p>
        </w:tc>
        <w:tc>
          <w:tcPr>
            <w:tcW w:w="4876" w:type="dxa"/>
          </w:tcPr>
          <w:p w:rsidR="00E451E4" w:rsidRPr="00AC4460" w:rsidRDefault="00E451E4" w:rsidP="000A61DD">
            <w:pPr>
              <w:pStyle w:val="Normal6"/>
              <w:rPr>
                <w:szCs w:val="24"/>
              </w:rPr>
            </w:pPr>
            <w:r w:rsidRPr="00AC4460">
              <w:t>1.</w:t>
            </w:r>
            <w:r w:rsidRPr="00AC4460">
              <w:tab/>
              <w:t xml:space="preserve">Ένα απλό υγρό </w:t>
            </w:r>
            <w:r w:rsidRPr="00AC4460">
              <w:rPr>
                <w:b/>
                <w:i/>
              </w:rPr>
              <w:t>ορυκτό</w:t>
            </w:r>
            <w:r w:rsidRPr="00AC4460">
              <w:t xml:space="preserve"> μακροθρεπτικό λίπασμα έχει δηλούμενη περιεκτικότητα</w:t>
            </w:r>
            <w:r w:rsidRPr="00AC4460">
              <w:rPr>
                <w:b/>
                <w:i/>
              </w:rPr>
              <w:t>:</w:t>
            </w:r>
            <w:r w:rsidRPr="00AC4460">
              <w:t xml:space="preserve"> </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α)</w:t>
            </w:r>
            <w:r w:rsidRPr="00AC4460">
              <w:tab/>
            </w:r>
            <w:r w:rsidRPr="00AC4460">
              <w:rPr>
                <w:b/>
                <w:i/>
                <w:szCs w:val="24"/>
              </w:rPr>
              <w:t xml:space="preserve"> για όχι περισσότερα από ένα κύρια θρεπτικά συστατικά.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(β) (i) – σημείο 1 – στοιχείο β (νέο)</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lang w:eastAsia="en-US"/>
              </w:rPr>
            </w:pPr>
          </w:p>
        </w:tc>
        <w:tc>
          <w:tcPr>
            <w:tcW w:w="4876" w:type="dxa"/>
          </w:tcPr>
          <w:p w:rsidR="00E451E4" w:rsidRPr="00AC4460" w:rsidRDefault="00E451E4" w:rsidP="000A61DD">
            <w:pPr>
              <w:pStyle w:val="Normal6"/>
              <w:rPr>
                <w:szCs w:val="24"/>
              </w:rPr>
            </w:pPr>
            <w:r w:rsidRPr="00AC4460">
              <w:rPr>
                <w:b/>
                <w:i/>
                <w:szCs w:val="24"/>
              </w:rPr>
              <w:t>β)</w:t>
            </w:r>
            <w:r w:rsidRPr="00AC4460">
              <w:rPr>
                <w:szCs w:val="24"/>
              </w:rPr>
              <w:tab/>
            </w:r>
            <w:r w:rsidRPr="00AC4460">
              <w:rPr>
                <w:b/>
                <w:i/>
                <w:szCs w:val="24"/>
              </w:rPr>
              <w:t xml:space="preserve"> για όχι περισσότερα από ένα δευτερεύοντα θρεπτικά συστατικά.</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(β) (i) – σημείο 1 α (νέο)</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lang w:eastAsia="en-US"/>
              </w:rPr>
            </w:pPr>
          </w:p>
        </w:tc>
        <w:tc>
          <w:tcPr>
            <w:tcW w:w="4876" w:type="dxa"/>
          </w:tcPr>
          <w:p w:rsidR="00E451E4" w:rsidRPr="00AC4460" w:rsidRDefault="00E451E4" w:rsidP="000A61DD">
            <w:pPr>
              <w:pStyle w:val="Normal6"/>
              <w:rPr>
                <w:szCs w:val="24"/>
              </w:rPr>
            </w:pPr>
            <w:r w:rsidRPr="00AC4460">
              <w:rPr>
                <w:b/>
                <w:i/>
                <w:szCs w:val="24"/>
              </w:rPr>
              <w:t>1α.</w:t>
            </w:r>
            <w:r w:rsidRPr="00AC4460">
              <w:rPr>
                <w:szCs w:val="24"/>
              </w:rPr>
              <w:tab/>
            </w:r>
            <w:r w:rsidRPr="00AC4460">
              <w:rPr>
                <w:b/>
                <w:i/>
                <w:szCs w:val="24"/>
              </w:rPr>
              <w:t>Ένα απλό υγρό ορυκτό μακροθρεπτικό λίπασμα με δηλούμενη περιεκτικότητα για όχι περισσότερα από ένα κύρια θρεπτικά συστατικά, μπορεί να περιέχει ένα ή περισσότερα δευτερεύοντα θρεπτικά συστατικά.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 xml:space="preserve"> Παράρτημα Ι – μέρος ΙΙ – ΚΛΠ 1(Γ) (I) (β) (i)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t xml:space="preserve">Το προϊόν λίπανσης με σήμανση CE περιέχει ένα από τα </w:t>
            </w:r>
            <w:r w:rsidRPr="00AC4460">
              <w:rPr>
                <w:b/>
                <w:i/>
              </w:rPr>
              <w:t>παρακάτω</w:t>
            </w:r>
            <w:r w:rsidRPr="00AC4460">
              <w:t xml:space="preserve"> δηλούμενα θρεπτικά συστατικά στην καθοριζόμενη ελάχιστη ποσότητα:</w:t>
            </w:r>
          </w:p>
        </w:tc>
        <w:tc>
          <w:tcPr>
            <w:tcW w:w="4876" w:type="dxa"/>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ένα από τα </w:t>
            </w:r>
            <w:r w:rsidRPr="00AC4460">
              <w:rPr>
                <w:b/>
                <w:i/>
              </w:rPr>
              <w:t>κύρια και/ή δευτερεύοντα</w:t>
            </w:r>
            <w:r w:rsidRPr="00AC4460">
              <w:t xml:space="preserve"> δηλούμενα θρεπτικά συστατικά στην καθοριζόμενη ελάχιστη ποσότητα: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(β) (i) – σημείο 2 – περίπτωση 2</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5% κατά μάζα,</w:t>
            </w:r>
          </w:p>
        </w:tc>
        <w:tc>
          <w:tcPr>
            <w:tcW w:w="4876" w:type="dxa"/>
          </w:tcPr>
          <w:p w:rsidR="00E451E4" w:rsidRPr="00AC4460" w:rsidRDefault="00E451E4" w:rsidP="000A61DD">
            <w:pPr>
              <w:pStyle w:val="Normal6"/>
              <w:rPr>
                <w:szCs w:val="24"/>
              </w:rPr>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5</w:t>
            </w:r>
            <w:r w:rsidRPr="00AC4460">
              <w:rPr>
                <w:b/>
                <w:i/>
              </w:rPr>
              <w:t xml:space="preserve"> </w:t>
            </w:r>
            <w:r w:rsidRPr="00AC4460">
              <w:t>% κατά μάζα,</w:t>
            </w:r>
            <w:r w:rsidRPr="00AC4460">
              <w:rPr>
                <w:b/>
                <w:i/>
              </w:rPr>
              <w:t xml:space="preserve"> διαλυτό σε ουδέτερο κιτρικό αμμώνιο και νερό,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(β) (i) – σημείο 2 – περίπτωση 6</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τριοξείδιο του θείου (SO</w:t>
            </w:r>
            <w:r w:rsidRPr="00AC4460">
              <w:rPr>
                <w:vertAlign w:val="subscript"/>
              </w:rPr>
              <w:t>3</w:t>
            </w:r>
            <w:r w:rsidRPr="00AC4460">
              <w:t>) 5% κατά μάζα,</w:t>
            </w:r>
            <w:r w:rsidRPr="00AC4460">
              <w:rPr>
                <w:b/>
                <w:i/>
              </w:rPr>
              <w:t xml:space="preserve"> ή</w:t>
            </w:r>
          </w:p>
        </w:tc>
        <w:tc>
          <w:tcPr>
            <w:tcW w:w="4876" w:type="dxa"/>
          </w:tcPr>
          <w:p w:rsidR="00E451E4" w:rsidRPr="00AC4460" w:rsidRDefault="00E451E4" w:rsidP="000A61DD">
            <w:pPr>
              <w:pStyle w:val="Normal6"/>
              <w:rPr>
                <w:szCs w:val="24"/>
              </w:rPr>
            </w:pPr>
            <w:r w:rsidRPr="00AC4460">
              <w:t>–</w:t>
            </w:r>
            <w:r w:rsidRPr="00AC4460">
              <w:tab/>
              <w:t>ολικό τριοξείδιο του θείου (SO</w:t>
            </w:r>
            <w:r w:rsidRPr="00AC4460">
              <w:rPr>
                <w:vertAlign w:val="subscript"/>
              </w:rPr>
              <w:t>3</w:t>
            </w:r>
            <w:r w:rsidRPr="00AC4460">
              <w:t>) 5%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(β) (i) – σημείο 2 – περίπτωση 7</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οξείδιο του νατρίου (Na</w:t>
            </w:r>
            <w:r w:rsidRPr="00AC4460">
              <w:rPr>
                <w:vertAlign w:val="subscript"/>
              </w:rPr>
              <w:t>2</w:t>
            </w:r>
            <w:r w:rsidRPr="00AC4460">
              <w:t xml:space="preserve">O) </w:t>
            </w:r>
            <w:r w:rsidRPr="00AC4460">
              <w:rPr>
                <w:b/>
                <w:i/>
              </w:rPr>
              <w:t>1</w:t>
            </w:r>
            <w:r w:rsidRPr="00AC4460">
              <w:t xml:space="preserve"> % κατά μάζα.</w:t>
            </w:r>
          </w:p>
        </w:tc>
        <w:tc>
          <w:tcPr>
            <w:tcW w:w="4876" w:type="dxa"/>
          </w:tcPr>
          <w:p w:rsidR="00E451E4" w:rsidRPr="00AC4460" w:rsidRDefault="00E451E4" w:rsidP="000A61DD">
            <w:pPr>
              <w:pStyle w:val="Normal6"/>
              <w:rPr>
                <w:szCs w:val="24"/>
              </w:rPr>
            </w:pPr>
            <w:r w:rsidRPr="00AC4460">
              <w:t>–</w:t>
            </w:r>
            <w:r w:rsidRPr="00AC4460">
              <w:tab/>
              <w:t>ολικό οξείδιο του νατρίου (Na</w:t>
            </w:r>
            <w:r w:rsidRPr="00AC4460">
              <w:rPr>
                <w:vertAlign w:val="subscript"/>
              </w:rPr>
              <w:t>2</w:t>
            </w:r>
            <w:r w:rsidRPr="00AC4460">
              <w:t xml:space="preserve">O) </w:t>
            </w:r>
            <w:r w:rsidRPr="00AC4460">
              <w:rPr>
                <w:b/>
                <w:i/>
              </w:rPr>
              <w:t>από 0,5 % έως 5</w:t>
            </w:r>
            <w:r w:rsidRPr="00AC4460">
              <w:t xml:space="preserve"> % κατά μάζα.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 (β) (ii) – σημείο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σύνθετο υγρό </w:t>
            </w:r>
            <w:r w:rsidRPr="00AC4460">
              <w:rPr>
                <w:b/>
                <w:i/>
              </w:rPr>
              <w:t>ανόργανο</w:t>
            </w:r>
            <w:r w:rsidRPr="00AC4460">
              <w:t xml:space="preserve"> μακροθρεπτικό λίπασμα έχει δηλούμενη περιεκτικότητα για περισσότερα από ένα θρεπτικά συστατικά.</w:t>
            </w:r>
          </w:p>
        </w:tc>
        <w:tc>
          <w:tcPr>
            <w:tcW w:w="4876" w:type="dxa"/>
          </w:tcPr>
          <w:p w:rsidR="00E451E4" w:rsidRPr="00AC4460" w:rsidRDefault="00E451E4" w:rsidP="000A61DD">
            <w:pPr>
              <w:pStyle w:val="Normal6"/>
              <w:rPr>
                <w:szCs w:val="24"/>
              </w:rPr>
            </w:pPr>
            <w:r w:rsidRPr="00AC4460">
              <w:t>1.</w:t>
            </w:r>
            <w:r w:rsidRPr="00AC4460">
              <w:tab/>
              <w:t xml:space="preserve">Ένα σύνθετο υγρό </w:t>
            </w:r>
            <w:r w:rsidRPr="00AC4460">
              <w:rPr>
                <w:b/>
                <w:i/>
              </w:rPr>
              <w:t>ορυκτό</w:t>
            </w:r>
            <w:r w:rsidRPr="00AC4460">
              <w:t xml:space="preserve"> μακροθρεπτικό λίπασμα έχει δηλούμενη περιεκτικότητα για περισσότερα από ένα</w:t>
            </w:r>
            <w:r w:rsidRPr="00AC4460">
              <w:rPr>
                <w:b/>
                <w:i/>
              </w:rPr>
              <w:t xml:space="preserve"> κύρια και/ή δευτερεύοντα</w:t>
            </w:r>
            <w:r w:rsidRPr="00AC4460">
              <w:t xml:space="preserve"> θρεπτικά συστατικά.</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1(Γ) (I) (β) (ii)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2.</w:t>
            </w:r>
            <w:r w:rsidRPr="00AC4460">
              <w:tab/>
              <w:t xml:space="preserve">Το προϊόν λίπανσης με σήμανση CE περιέχει περισσότερα από ένα από τα </w:t>
            </w:r>
            <w:r w:rsidRPr="00AC4460">
              <w:rPr>
                <w:b/>
                <w:i/>
              </w:rPr>
              <w:t>παρακάτω</w:t>
            </w:r>
            <w:r w:rsidRPr="00AC4460">
              <w:t xml:space="preserve"> δηλούμενα θρεπτικά συστατικά στις καθοριζόμενες ελάχιστες ποσότητες:</w:t>
            </w:r>
          </w:p>
        </w:tc>
        <w:tc>
          <w:tcPr>
            <w:tcW w:w="4876" w:type="dxa"/>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περισσότερα από ένα από τα </w:t>
            </w:r>
            <w:r w:rsidRPr="00AC4460">
              <w:rPr>
                <w:b/>
                <w:i/>
              </w:rPr>
              <w:t>κύρια και/ή δευτερεύοντα</w:t>
            </w:r>
            <w:r w:rsidRPr="00AC4460">
              <w:t xml:space="preserve"> δηλούμενα θρεπτικά συστατικά στις καθοριζόμενες ελάχιστες ποσότητες: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(ii) – σημείο 2 – περίπτωση 1</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ολικό άζωτο (N) </w:t>
            </w:r>
            <w:r w:rsidRPr="00AC4460">
              <w:rPr>
                <w:b/>
                <w:i/>
              </w:rPr>
              <w:t>1,5%</w:t>
            </w:r>
            <w:r w:rsidRPr="00AC4460">
              <w:t xml:space="preserve"> κατά μάζα,</w:t>
            </w:r>
          </w:p>
        </w:tc>
        <w:tc>
          <w:tcPr>
            <w:tcW w:w="4876" w:type="dxa"/>
          </w:tcPr>
          <w:p w:rsidR="00E451E4" w:rsidRPr="00AC4460" w:rsidRDefault="00E451E4" w:rsidP="000A61DD">
            <w:pPr>
              <w:pStyle w:val="Normal6"/>
              <w:rPr>
                <w:szCs w:val="24"/>
              </w:rPr>
            </w:pPr>
            <w:r w:rsidRPr="00AC4460">
              <w:t>-</w:t>
            </w:r>
            <w:r w:rsidRPr="00AC4460">
              <w:tab/>
              <w:t xml:space="preserve">ολικό άζωτο (N) </w:t>
            </w:r>
            <w:r w:rsidRPr="00AC4460">
              <w:rPr>
                <w:b/>
                <w:i/>
              </w:rPr>
              <w:t>3 %</w:t>
            </w:r>
            <w:r w:rsidRPr="00AC4460">
              <w:t xml:space="preserve"> κατά μάζα, </w:t>
            </w:r>
            <w:r w:rsidRPr="00AC4460">
              <w:rPr>
                <w:b/>
                <w:i/>
              </w:rPr>
              <w:t>ή</w:t>
            </w:r>
          </w:p>
        </w:tc>
      </w:tr>
    </w:tbl>
    <w:p w:rsidR="00E451E4" w:rsidRPr="00B0345A" w:rsidRDefault="00E451E4" w:rsidP="00E451E4">
      <w:pPr>
        <w:rPr>
          <w:rStyle w:val="HideTWBExt"/>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(ii) – σημείο 2 – περίπτωση 2</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1,5 % κατά μάζα,</w:t>
            </w:r>
          </w:p>
        </w:tc>
        <w:tc>
          <w:tcPr>
            <w:tcW w:w="4876" w:type="dxa"/>
          </w:tcPr>
          <w:p w:rsidR="00E451E4" w:rsidRPr="00AC4460" w:rsidRDefault="00E451E4" w:rsidP="000A61DD">
            <w:pPr>
              <w:pStyle w:val="Normal6"/>
              <w:rPr>
                <w:szCs w:val="24"/>
              </w:rPr>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1,5 % κατά μάζα,</w:t>
            </w:r>
            <w:r w:rsidRPr="00AC4460">
              <w:rPr>
                <w:b/>
                <w:i/>
              </w:rPr>
              <w:t xml:space="preserve"> διαλυτό σε ουδέτερο κιτρικό αμμώνιο και νερό.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(ii) – σημείο 2 – περίπτωση 3</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οξείδιο του καλίου (K</w:t>
            </w:r>
            <w:r w:rsidRPr="00AC4460">
              <w:rPr>
                <w:vertAlign w:val="subscript"/>
              </w:rPr>
              <w:t>2</w:t>
            </w:r>
            <w:r w:rsidRPr="00AC4460">
              <w:t xml:space="preserve">O) </w:t>
            </w:r>
            <w:r w:rsidRPr="00AC4460">
              <w:rPr>
                <w:b/>
                <w:i/>
              </w:rPr>
              <w:t>1,5</w:t>
            </w:r>
            <w:r w:rsidRPr="00AC4460">
              <w:t>% κατά μάζα</w:t>
            </w:r>
          </w:p>
        </w:tc>
        <w:tc>
          <w:tcPr>
            <w:tcW w:w="4876" w:type="dxa"/>
          </w:tcPr>
          <w:p w:rsidR="00E451E4" w:rsidRPr="00AC4460" w:rsidRDefault="00E451E4" w:rsidP="000A61DD">
            <w:pPr>
              <w:pStyle w:val="Normal6"/>
              <w:rPr>
                <w:szCs w:val="24"/>
              </w:rPr>
            </w:pPr>
            <w:r w:rsidRPr="00AC4460">
              <w:t>–</w:t>
            </w:r>
            <w:r w:rsidRPr="00AC4460">
              <w:tab/>
              <w:t>ολικό οξείδιο του καλίου (K</w:t>
            </w:r>
            <w:r w:rsidRPr="00AC4460">
              <w:rPr>
                <w:vertAlign w:val="subscript"/>
              </w:rPr>
              <w:t>2</w:t>
            </w:r>
            <w:r w:rsidRPr="00AC4460">
              <w:t xml:space="preserve">O) </w:t>
            </w:r>
            <w:r w:rsidRPr="00AC4460">
              <w:rPr>
                <w:b/>
                <w:i/>
              </w:rPr>
              <w:t xml:space="preserve">3 </w:t>
            </w:r>
            <w:r w:rsidRPr="00AC4460">
              <w:t>% κατά μάζα</w:t>
            </w:r>
            <w:r w:rsidRPr="00AC4460">
              <w:rPr>
                <w:b/>
                <w:i/>
              </w:rPr>
              <w:t>, ή</w:t>
            </w:r>
          </w:p>
        </w:tc>
      </w:tr>
    </w:tbl>
    <w:p w:rsidR="00E451E4" w:rsidRPr="00B0345A" w:rsidRDefault="00E451E4" w:rsidP="00E451E4">
      <w:pPr>
        <w:pStyle w:val="AMNumberTabs"/>
        <w:keepNext/>
      </w:pPr>
      <w:r>
        <w:rPr>
          <w:rStyle w:val="HideTWBExt"/>
          <w:noProof w:val="0"/>
        </w:rPr>
        <w:t>&lt;/Amend&gt;</w:t>
      </w: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(ii) – σημείο 2 – περίπτωση 4</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ολικό οξείδιο του μαγνησίου (MgO) </w:t>
            </w:r>
            <w:r w:rsidRPr="00AC4460">
              <w:rPr>
                <w:b/>
                <w:i/>
              </w:rPr>
              <w:t>0</w:t>
            </w:r>
            <w:r w:rsidRPr="00AC4460">
              <w:t>,</w:t>
            </w:r>
            <w:r w:rsidRPr="00AC4460">
              <w:rPr>
                <w:b/>
                <w:i/>
              </w:rPr>
              <w:t>75</w:t>
            </w:r>
            <w:r w:rsidRPr="00AC4460">
              <w:t>%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μαγνησίου (MgO) </w:t>
            </w:r>
            <w:r w:rsidRPr="00AC4460">
              <w:rPr>
                <w:b/>
                <w:i/>
              </w:rPr>
              <w:t>1</w:t>
            </w:r>
            <w:r w:rsidRPr="00AC4460">
              <w:t>,</w:t>
            </w:r>
            <w:r w:rsidRPr="00AC4460">
              <w:rPr>
                <w:b/>
                <w:i/>
              </w:rPr>
              <w:t>5</w:t>
            </w:r>
            <w:r w:rsidRPr="00AC4460">
              <w:t>% κατά μάζα,</w:t>
            </w:r>
            <w:r w:rsidRPr="00AC4460">
              <w:rPr>
                <w:b/>
                <w:i/>
              </w:rPr>
              <w:t xml:space="preserve"> ή</w:t>
            </w:r>
          </w:p>
        </w:tc>
      </w:tr>
    </w:tbl>
    <w:p w:rsidR="00E451E4" w:rsidRPr="00B0345A" w:rsidRDefault="00E451E4" w:rsidP="00E451E4">
      <w:pPr>
        <w:pStyle w:val="AMNumberTabs"/>
        <w:keepNext/>
        <w:rPr>
          <w:rStyle w:val="HideTWBExt"/>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(ii) – σημείο 2 – περίπτωση 5</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ολικό οξείδιο του ασβεστίου (CaO) </w:t>
            </w:r>
            <w:r w:rsidRPr="00AC4460">
              <w:rPr>
                <w:b/>
                <w:i/>
              </w:rPr>
              <w:t>0</w:t>
            </w:r>
            <w:r w:rsidRPr="00AC4460">
              <w:t>,</w:t>
            </w:r>
            <w:r w:rsidRPr="00AC4460">
              <w:rPr>
                <w:b/>
                <w:i/>
              </w:rPr>
              <w:t>75</w:t>
            </w:r>
            <w:r w:rsidRPr="00AC4460">
              <w:t>%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ασβεστίου (CaO) </w:t>
            </w:r>
            <w:r w:rsidRPr="00AC4460">
              <w:rPr>
                <w:b/>
                <w:i/>
              </w:rPr>
              <w:t>1</w:t>
            </w:r>
            <w:r w:rsidRPr="00AC4460">
              <w:t>,</w:t>
            </w:r>
            <w:r w:rsidRPr="00AC4460">
              <w:rPr>
                <w:b/>
                <w:i/>
              </w:rPr>
              <w:t xml:space="preserve">5 </w:t>
            </w:r>
            <w:r w:rsidRPr="00AC4460">
              <w:t>% κατά μάζα,</w:t>
            </w:r>
            <w:r w:rsidRPr="00AC4460">
              <w:rPr>
                <w:b/>
                <w:i/>
              </w:rPr>
              <w:t xml:space="preserve"> ή</w:t>
            </w:r>
          </w:p>
        </w:tc>
      </w:tr>
    </w:tbl>
    <w:p w:rsidR="00E451E4" w:rsidRPr="00B0345A" w:rsidRDefault="00E451E4" w:rsidP="00E451E4">
      <w:pPr>
        <w:pStyle w:val="AMNumberTabs"/>
        <w:keepNext/>
        <w:rPr>
          <w:rStyle w:val="HideTWBExt"/>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1(Γ) (I) (β) (i) – σημείο 2 – περίπτωση 6</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ολικό τριοξείδιο του θείου (SO</w:t>
            </w:r>
            <w:r w:rsidRPr="00AC4460">
              <w:rPr>
                <w:vertAlign w:val="subscript"/>
              </w:rPr>
              <w:t>3</w:t>
            </w:r>
            <w:r w:rsidRPr="00AC4460">
              <w:t xml:space="preserve">) </w:t>
            </w:r>
            <w:r w:rsidRPr="00AC4460">
              <w:rPr>
                <w:b/>
                <w:i/>
              </w:rPr>
              <w:t>0</w:t>
            </w:r>
            <w:r w:rsidRPr="00AC4460">
              <w:t>,</w:t>
            </w:r>
            <w:r w:rsidRPr="00AC4460">
              <w:rPr>
                <w:b/>
                <w:i/>
              </w:rPr>
              <w:t>75</w:t>
            </w:r>
            <w:r w:rsidRPr="00AC4460">
              <w:t>% κατά μάζα, ή</w:t>
            </w:r>
          </w:p>
        </w:tc>
        <w:tc>
          <w:tcPr>
            <w:tcW w:w="4876" w:type="dxa"/>
          </w:tcPr>
          <w:p w:rsidR="00E451E4" w:rsidRPr="00AC4460" w:rsidRDefault="00E451E4" w:rsidP="000A61DD">
            <w:pPr>
              <w:pStyle w:val="Normal6"/>
              <w:rPr>
                <w:szCs w:val="24"/>
              </w:rPr>
            </w:pPr>
            <w:r w:rsidRPr="00AC4460">
              <w:t>–</w:t>
            </w:r>
            <w:r w:rsidRPr="00AC4460">
              <w:tab/>
              <w:t>ολικό τριοξείδιο του θείου (SO</w:t>
            </w:r>
            <w:r w:rsidRPr="00AC4460">
              <w:rPr>
                <w:vertAlign w:val="subscript"/>
              </w:rPr>
              <w:t>3</w:t>
            </w:r>
            <w:r w:rsidRPr="00AC4460">
              <w:t xml:space="preserve">) </w:t>
            </w:r>
            <w:r w:rsidRPr="00AC4460">
              <w:rPr>
                <w:b/>
                <w:i/>
              </w:rPr>
              <w:t>1</w:t>
            </w:r>
            <w:r w:rsidRPr="00AC4460">
              <w:t>,</w:t>
            </w:r>
            <w:r w:rsidRPr="00AC4460">
              <w:rPr>
                <w:b/>
                <w:i/>
              </w:rPr>
              <w:t>5</w:t>
            </w:r>
            <w:r w:rsidRPr="00AC4460">
              <w:t>% κατά μάζα, ή</w:t>
            </w:r>
          </w:p>
        </w:tc>
      </w:tr>
    </w:tbl>
    <w:p w:rsidR="00E451E4" w:rsidRPr="00B0345A" w:rsidRDefault="00E451E4" w:rsidP="00E451E4">
      <w:pPr>
        <w:pStyle w:val="AMNumberTabs"/>
        <w:keepNext/>
      </w:pPr>
      <w:r>
        <w:rPr>
          <w:rStyle w:val="HideTWBExt"/>
          <w:b w:val="0"/>
          <w:noProof w:val="0"/>
        </w:rPr>
        <w:t>&lt;/Amend&gt;&lt;Amend&gt;</w:t>
      </w:r>
      <w:r w:rsidRPr="00AC4460">
        <w:t>Τροπολογία</w:t>
      </w:r>
      <w:r w:rsidRPr="00AC4460">
        <w:tab/>
      </w:r>
      <w:r w:rsidRPr="00AC4460">
        <w:tab/>
      </w:r>
      <w:r>
        <w:rPr>
          <w:rStyle w:val="HideTWBExt"/>
          <w:b w:val="0"/>
          <w:noProof w:val="0"/>
        </w:rPr>
        <w:t>&lt;NumAm&gt;</w:t>
      </w:r>
      <w:r w:rsidRPr="00AC4460">
        <w:t>169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1(Γ) (II) – σημείο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1.</w:t>
            </w:r>
            <w:r w:rsidRPr="00AC4460">
              <w:tab/>
              <w:t>Ένα ανόργανο μικροθρεπτικό λίπασμα είναι ανόργανο λίπασμα άλλο από τα μακροθρεπτικά λιπάσματα, που αποσκοπεί στο να παρέχει ένα ή περισσότερα από τα παρακάτω θρεπτικά συστατικά: βόριο (B), κοβάλτιο (Co), χαλκό (Cu), σίδηρο (Fe), μαγγάνιο (Mn), μολυβδαίνιο (Mo) ή ψευδάργυρο (Zn).</w:t>
            </w:r>
          </w:p>
        </w:tc>
        <w:tc>
          <w:tcPr>
            <w:tcW w:w="4876" w:type="dxa"/>
            <w:hideMark/>
          </w:tcPr>
          <w:p w:rsidR="00E451E4" w:rsidRPr="00AC4460" w:rsidRDefault="00E451E4" w:rsidP="000A61DD">
            <w:pPr>
              <w:pStyle w:val="Normal6"/>
              <w:rPr>
                <w:szCs w:val="24"/>
              </w:rPr>
            </w:pPr>
            <w:r w:rsidRPr="00AC4460">
              <w:t>1.</w:t>
            </w:r>
            <w:r w:rsidRPr="00AC4460">
              <w:tab/>
              <w:t>Ένα ανόργανο μικροθρεπτικό λίπασμα είναι ανόργανο λίπασμα άλλο από τα μακροθρεπτικά λιπάσματα, που αποσκοπεί στο να παρέχει ένα ή περισσότερα από τα παρακάτω θρεπτικά συστατικά: βόριο (B), κοβάλτιο (Co), χαλκό (Cu), σίδηρο (Fe), μαγγάνιο (Mn), μολυβδαίνιο (Mo)</w:t>
            </w:r>
            <w:r w:rsidRPr="00AC4460">
              <w:rPr>
                <w:b/>
                <w:i/>
              </w:rPr>
              <w:t>, σελήνιο (Se), πυρίτιο (Si)</w:t>
            </w:r>
            <w:r w:rsidRPr="00AC4460">
              <w:t xml:space="preserve"> ή ψευδάργυρο (Zn).</w:t>
            </w:r>
          </w:p>
        </w:tc>
      </w:tr>
    </w:tbl>
    <w:p w:rsidR="00E451E4" w:rsidRPr="00B0345A" w:rsidRDefault="00E451E4" w:rsidP="00E451E4">
      <w:pPr>
        <w:pStyle w:val="AMNumberTabs"/>
        <w:keepNext/>
        <w:rPr>
          <w:rStyle w:val="HideTWBExt"/>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Παράρτημα Ι – μέρος ΙΙ – ΚΛΠ 1(Γ) α (νέο)</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jc w:val="center"/>
              <w:rPr>
                <w:b/>
                <w:bCs/>
                <w:i/>
                <w:iCs/>
              </w:rPr>
            </w:pPr>
            <w:r w:rsidRPr="00AC4460">
              <w:rPr>
                <w:b/>
                <w:bCs/>
                <w:i/>
                <w:iCs/>
              </w:rPr>
              <w:t>ΚΛΠ 1(Γ) α:</w:t>
            </w:r>
            <w:r w:rsidR="000A61DD">
              <w:rPr>
                <w:b/>
                <w:bCs/>
                <w:i/>
                <w:iCs/>
              </w:rPr>
              <w:t xml:space="preserve"> </w:t>
            </w:r>
            <w:r w:rsidRPr="00AC4460">
              <w:rPr>
                <w:b/>
                <w:bCs/>
                <w:i/>
                <w:iCs/>
              </w:rPr>
              <w:t>Λίπασμα χαμηλής περιεκτικότητας σε άνθρακα</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spacing w:line="256" w:lineRule="auto"/>
              <w:rPr>
                <w:i/>
              </w:rPr>
            </w:pPr>
            <w:r w:rsidRPr="00AC4460">
              <w:rPr>
                <w:b/>
                <w:bCs/>
                <w:i/>
                <w:iCs/>
              </w:rPr>
              <w:t>1.</w:t>
            </w:r>
            <w:r w:rsidRPr="00AC4460">
              <w:rPr>
                <w:b/>
                <w:bCs/>
                <w:i/>
                <w:iCs/>
              </w:rPr>
              <w:tab/>
              <w:t>Ένα προϊόν λίπανσης με σήμανση CE ορίζεται ως λίπασμα χαμηλής περιεκτικότητας σε άνθρακα εάν περιέχει περισσότερο από 1 % και μέχρι 15 % οργανικό άνθρακα (C</w:t>
            </w:r>
            <w:r w:rsidRPr="00AC4460">
              <w:rPr>
                <w:b/>
                <w:bCs/>
                <w:i/>
                <w:iCs/>
                <w:vertAlign w:val="subscript"/>
              </w:rPr>
              <w:t>org</w:t>
            </w:r>
            <w:r w:rsidRPr="00AC4460">
              <w:rPr>
                <w:b/>
                <w:bCs/>
                <w:i/>
                <w:iCs/>
              </w:rPr>
              <w:t>).</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spacing w:line="256" w:lineRule="auto"/>
              <w:rPr>
                <w:i/>
              </w:rPr>
            </w:pPr>
            <w:r w:rsidRPr="00AC4460">
              <w:rPr>
                <w:b/>
                <w:bCs/>
                <w:i/>
                <w:iCs/>
              </w:rPr>
              <w:t>2.</w:t>
            </w:r>
            <w:r w:rsidRPr="00AC4460">
              <w:rPr>
                <w:b/>
                <w:bCs/>
                <w:i/>
                <w:iCs/>
              </w:rPr>
              <w:tab/>
              <w:t>Ο άνθρακας που περιέχεται στο ασβεστοκυαναμίδιο και στην ουρία, καθώς και στα προϊόντα συμπύκνωσης και συνδυασμού αυτής, δεν περιλαμβάνεται στον οργανικό άνθρακα για τον σκοπό αυτού του ορισμού.</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spacing w:line="256" w:lineRule="auto"/>
              <w:rPr>
                <w:i/>
              </w:rPr>
            </w:pPr>
            <w:r w:rsidRPr="00AC4460">
              <w:rPr>
                <w:b/>
                <w:bCs/>
                <w:i/>
                <w:iCs/>
              </w:rPr>
              <w:t>3.</w:t>
            </w:r>
            <w:r w:rsidRPr="00AC4460">
              <w:rPr>
                <w:b/>
                <w:bCs/>
                <w:i/>
                <w:iCs/>
              </w:rPr>
              <w:tab/>
              <w:t>Οι προδιαγραφές των στερεών/υγρών, απλών/σύνθετων, μακροθρεπτικών/μικροθρεπτικών λιπασμάτων της ΚΛΠ 1(Γ) θα ισχύουν για τον σκοπό αυτής της κατηγορίας.</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spacing w:line="256" w:lineRule="auto"/>
              <w:rPr>
                <w:i/>
              </w:rPr>
            </w:pPr>
            <w:r w:rsidRPr="00AC4460">
              <w:rPr>
                <w:b/>
                <w:bCs/>
                <w:i/>
                <w:iCs/>
              </w:rPr>
              <w:t>4.</w:t>
            </w:r>
            <w:r w:rsidRPr="00AC4460">
              <w:rPr>
                <w:b/>
                <w:bCs/>
                <w:i/>
                <w:iCs/>
              </w:rPr>
              <w:tab/>
              <w:t>Τα προϊόντα που πωλούνται και ανήκουν στην ΚΛΠ 1(Γ)α συμμορφώνονται με τα επίπεδα προσμείξεων, όπως ορίζονται στο παράρτημα I για οργανικά ή οργανοανόργανα λιπάσματα, σε κάθε περίπτωση που η ΚΛΠ 1(Γ) δεν περιλαμβάνει οριακές τιμές για τις εν λόγω προσμείξεις.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2 – σημείο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1.</w:t>
            </w:r>
            <w:r w:rsidRPr="00AC4460">
              <w:tab/>
              <w:t>Ένα υλικό ασβέστωσης είναι προϊόν λίπανσης με σήμανση CE που προορίζεται για τη διόρθωση της οξύτητας του εδάφους και που περιέχει οξείδια, υδροξείδια, ανθρακικά ή πυριτικά άλατα των θρεπτικών συστατικών ασβέστιο (Ca) ή μαγνήσιο (Mg).</w:t>
            </w:r>
          </w:p>
        </w:tc>
        <w:tc>
          <w:tcPr>
            <w:tcW w:w="4876" w:type="dxa"/>
            <w:hideMark/>
          </w:tcPr>
          <w:p w:rsidR="00E451E4" w:rsidRPr="00AC4460" w:rsidRDefault="00E451E4" w:rsidP="000A61DD">
            <w:pPr>
              <w:pStyle w:val="Normal6"/>
              <w:rPr>
                <w:szCs w:val="24"/>
              </w:rPr>
            </w:pPr>
            <w:r w:rsidRPr="00AC4460">
              <w:t>1.</w:t>
            </w:r>
            <w:r w:rsidRPr="00AC4460">
              <w:tab/>
              <w:t>Ένα υλικό ασβέστωσης είναι προϊόν λίπανσης με σήμανση CE που προορίζεται για τη διόρθωση της οξύτητας του εδάφους και που περιέχει οξείδια, υδροξείδια, ανθρακικά ή</w:t>
            </w:r>
            <w:r w:rsidRPr="00AC4460">
              <w:rPr>
                <w:b/>
                <w:i/>
              </w:rPr>
              <w:t>/και</w:t>
            </w:r>
            <w:r w:rsidRPr="00AC4460">
              <w:t xml:space="preserve"> πυριτικά άλατα των θρεπτικών συστατικών ασβέστιο (Ca) ή μαγνήσιο (Mg).</w:t>
            </w:r>
          </w:p>
        </w:tc>
      </w:tr>
    </w:tbl>
    <w:p w:rsidR="00E451E4" w:rsidRPr="00B0345A" w:rsidRDefault="00E451E4" w:rsidP="00E451E4">
      <w:pPr>
        <w:pStyle w:val="AMNumberTabs"/>
        <w:keepNext/>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2 – σημείο 2 – περίπτωση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2 – σημείο 2 – περίπτωση 5</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200</w:t>
            </w:r>
            <w:r w:rsidRPr="00AC4460">
              <w:t xml:space="preserve"> mg/kg ξηράς ουσίας, και</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2 – σημείο 2 – περίπτωση 6</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Αρσενικό (As) </w:t>
            </w:r>
            <w:r w:rsidRPr="00AC4460">
              <w:rPr>
                <w:b/>
                <w:i/>
              </w:rPr>
              <w:t>120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Αρσενικό (As)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3</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Ένα βελτιωτικό εδάφους είναι </w:t>
            </w:r>
            <w:r w:rsidRPr="00AC4460">
              <w:rPr>
                <w:b/>
                <w:i/>
              </w:rPr>
              <w:t>προϊόν λίπανσης με σήμανση CE</w:t>
            </w:r>
            <w:r w:rsidRPr="00AC4460">
              <w:t xml:space="preserve"> που </w:t>
            </w:r>
            <w:r w:rsidRPr="00AC4460">
              <w:rPr>
                <w:b/>
                <w:i/>
              </w:rPr>
              <w:t>προορίζεται να προστεθεί</w:t>
            </w:r>
            <w:r w:rsidRPr="00AC4460">
              <w:t xml:space="preserve"> στο έδαφος </w:t>
            </w:r>
            <w:r w:rsidRPr="00AC4460">
              <w:rPr>
                <w:b/>
                <w:i/>
              </w:rPr>
              <w:t>με στόχο τη διατήρηση, τη βελτίωση ή την προστασία</w:t>
            </w:r>
            <w:r w:rsidRPr="00AC4460">
              <w:t xml:space="preserve"> των φυσικών </w:t>
            </w:r>
            <w:r w:rsidRPr="00AC4460">
              <w:rPr>
                <w:b/>
                <w:i/>
              </w:rPr>
              <w:t>ή χημικών</w:t>
            </w:r>
            <w:r w:rsidRPr="00AC4460">
              <w:t xml:space="preserve"> ιδιοτήτων, </w:t>
            </w:r>
            <w:r w:rsidRPr="00AC4460">
              <w:rPr>
                <w:b/>
                <w:i/>
              </w:rPr>
              <w:t xml:space="preserve">της δομής </w:t>
            </w:r>
            <w:r w:rsidRPr="00AC4460">
              <w:t xml:space="preserve">ή </w:t>
            </w:r>
            <w:r w:rsidRPr="00AC4460">
              <w:rPr>
                <w:b/>
                <w:i/>
              </w:rPr>
              <w:t>της βιολογικής δραστηριότητας</w:t>
            </w:r>
            <w:r w:rsidRPr="00AC4460">
              <w:t xml:space="preserve"> του εδάφους.</w:t>
            </w:r>
          </w:p>
        </w:tc>
        <w:tc>
          <w:tcPr>
            <w:tcW w:w="4876" w:type="dxa"/>
          </w:tcPr>
          <w:p w:rsidR="00E451E4" w:rsidRPr="00AC4460" w:rsidRDefault="00E451E4" w:rsidP="000A61DD">
            <w:pPr>
              <w:pStyle w:val="Normal6"/>
              <w:rPr>
                <w:szCs w:val="24"/>
              </w:rPr>
            </w:pPr>
            <w:r w:rsidRPr="00AC4460">
              <w:t xml:space="preserve">Ένα βελτιωτικό εδάφους είναι </w:t>
            </w:r>
            <w:r w:rsidRPr="00AC4460">
              <w:rPr>
                <w:b/>
                <w:i/>
              </w:rPr>
              <w:t>ένα υλικό (συμπεριλαμβανομένης της εδαφοκάλυψης)</w:t>
            </w:r>
            <w:r w:rsidRPr="00AC4460">
              <w:t xml:space="preserve"> που </w:t>
            </w:r>
            <w:r w:rsidRPr="00AC4460">
              <w:rPr>
                <w:b/>
                <w:i/>
              </w:rPr>
              <w:t>προστίθεται</w:t>
            </w:r>
            <w:r w:rsidRPr="00AC4460">
              <w:t xml:space="preserve"> στο έδαφος </w:t>
            </w:r>
            <w:r w:rsidRPr="00AC4460">
              <w:rPr>
                <w:b/>
                <w:i/>
              </w:rPr>
              <w:t>in situ, κατά κύριο λόγο για διατήρηση ή βελτίωση</w:t>
            </w:r>
            <w:r w:rsidRPr="00AC4460">
              <w:t xml:space="preserve"> των φυσικών </w:t>
            </w:r>
            <w:r w:rsidRPr="00AC4460">
              <w:rPr>
                <w:b/>
                <w:i/>
              </w:rPr>
              <w:t>του</w:t>
            </w:r>
            <w:r w:rsidRPr="00AC4460">
              <w:t xml:space="preserve"> ιδιοτήτων, </w:t>
            </w:r>
            <w:r w:rsidRPr="00AC4460">
              <w:rPr>
                <w:b/>
                <w:i/>
              </w:rPr>
              <w:t>και το οποίο ενδέχεται να βελτιώνει τις χημικές και/</w:t>
            </w:r>
            <w:r w:rsidRPr="00AC4460">
              <w:t xml:space="preserve">ή </w:t>
            </w:r>
            <w:r w:rsidRPr="00AC4460">
              <w:rPr>
                <w:b/>
                <w:i/>
              </w:rPr>
              <w:t>βιολογικές ιδιότητες ή τη δραστηριότητα</w:t>
            </w:r>
            <w:r w:rsidRPr="00AC4460">
              <w:t xml:space="preserve"> του εδάφους.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3 – σημείο 1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1α. Το προϊόν λίπανσης με σήμανση CE περιέχει τουλάχιστον 15 % υλικό βιολογικής προέλευσης.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3(Α) – σημείο 1</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οργανικό βελτιωτικό εδάφους αποτελείται αποκλειστικά από υλικά βιολογικής προέλευσης, εξαιρουμένων </w:t>
            </w:r>
            <w:r w:rsidRPr="00AC4460">
              <w:rPr>
                <w:b/>
                <w:i/>
              </w:rPr>
              <w:t>των</w:t>
            </w:r>
            <w:r w:rsidRPr="00AC4460">
              <w:t xml:space="preserve"> απολιθωμένων ή ενσωματωμένων σε γεωλογικούς σχηματισμούς υλικών.</w:t>
            </w:r>
          </w:p>
        </w:tc>
        <w:tc>
          <w:tcPr>
            <w:tcW w:w="4876" w:type="dxa"/>
          </w:tcPr>
          <w:p w:rsidR="00E451E4" w:rsidRPr="00AC4460" w:rsidRDefault="00E451E4" w:rsidP="000A61DD">
            <w:pPr>
              <w:pStyle w:val="Normal6"/>
              <w:rPr>
                <w:szCs w:val="24"/>
              </w:rPr>
            </w:pPr>
            <w:r w:rsidRPr="00AC4460">
              <w:t>1.</w:t>
            </w:r>
            <w:r w:rsidRPr="00AC4460">
              <w:tab/>
              <w:t xml:space="preserve">Ένα οργανικό βελτιωτικό εδάφους αποτελείται αποκλειστικά από υλικά βιολογικής προέλευσης, </w:t>
            </w:r>
            <w:r w:rsidRPr="00AC4460">
              <w:rPr>
                <w:b/>
                <w:i/>
              </w:rPr>
              <w:t xml:space="preserve">συμπεριλαμβανομένης της τύρφης, του λεοναρδίτη, του λιγνίτη και των χουμικών ουσιών που λαμβάνονται από αυτά, αλλά </w:t>
            </w:r>
            <w:r w:rsidRPr="00AC4460">
              <w:t xml:space="preserve">εξαιρουμένων </w:t>
            </w:r>
            <w:r w:rsidRPr="00AC4460">
              <w:rPr>
                <w:b/>
                <w:i/>
              </w:rPr>
              <w:t>άλλων</w:t>
            </w:r>
            <w:r w:rsidRPr="00AC4460">
              <w:t xml:space="preserve"> απολιθωμένων ή ενσωματωμένων σε γεωλογικούς σχηματισμούς υλικών.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3(Α) – σημείο 2 – περίπτωση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1,5</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3(Α) – σημείο 2 – περίπτωση 2</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Εξασθενές χρώμιο (Cr VI) </w:t>
            </w:r>
            <w:r w:rsidRPr="00AC4460">
              <w:rPr>
                <w:b/>
                <w:i/>
              </w:rPr>
              <w:t>2</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Εξασθενές χρώμιο (Cr VI) </w:t>
            </w:r>
            <w:r w:rsidRPr="00AC4460">
              <w:rPr>
                <w:b/>
                <w:i/>
              </w:rPr>
              <w:t>1</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3(Α) – σημείο 2 – περίπτωση 5</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120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3(Α) – παράγραφος 3 – στοιχείο α</w:t>
      </w:r>
      <w:r>
        <w:rPr>
          <w:rStyle w:val="HideTWBExt"/>
          <w:b w:val="0"/>
          <w:noProof w:val="0"/>
          <w:lang w:val="fr-FR"/>
        </w:rPr>
        <w:t>&lt;/Article&gt;</w:t>
      </w:r>
    </w:p>
    <w:tbl>
      <w:tblPr>
        <w:tblW w:w="9780" w:type="dxa"/>
        <w:jc w:val="center"/>
        <w:tblLayout w:type="fixed"/>
        <w:tblCellMar>
          <w:left w:w="340" w:type="dxa"/>
          <w:right w:w="340" w:type="dxa"/>
        </w:tblCellMar>
        <w:tblLook w:val="0000" w:firstRow="0" w:lastRow="0" w:firstColumn="0" w:lastColumn="0" w:noHBand="0" w:noVBand="0"/>
      </w:tblPr>
      <w:tblGrid>
        <w:gridCol w:w="3245"/>
        <w:gridCol w:w="774"/>
        <w:gridCol w:w="999"/>
        <w:gridCol w:w="828"/>
        <w:gridCol w:w="3906"/>
        <w:gridCol w:w="28"/>
      </w:tblGrid>
      <w:tr w:rsidR="00E451E4" w:rsidRPr="000226C1" w:rsidTr="000A61DD">
        <w:trPr>
          <w:gridAfter w:val="1"/>
          <w:wAfter w:w="28" w:type="dxa"/>
          <w:jc w:val="center"/>
        </w:trPr>
        <w:tc>
          <w:tcPr>
            <w:tcW w:w="9752" w:type="dxa"/>
            <w:gridSpan w:val="5"/>
          </w:tcPr>
          <w:p w:rsidR="00E451E4" w:rsidRPr="00032852" w:rsidRDefault="00E451E4" w:rsidP="000A61DD">
            <w:pPr>
              <w:keepNext/>
              <w:rPr>
                <w:lang w:val="fr-FR"/>
              </w:rPr>
            </w:pP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ColumnHeading"/>
              <w:jc w:val="left"/>
              <w:rPr>
                <w:iCs/>
              </w:rPr>
            </w:pPr>
            <w:r>
              <w:t>Κείμενο που προτείνει η Επιτροπή</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Normal6"/>
              <w:rPr>
                <w:b/>
                <w:bCs/>
                <w:i/>
                <w:iCs/>
              </w:rPr>
            </w:pPr>
            <w:r>
              <w:t>α)</w:t>
            </w:r>
            <w:r>
              <w:tab/>
            </w:r>
            <w:r>
              <w:rPr>
                <w:b/>
                <w:i/>
              </w:rPr>
              <w:t>δεν ανευρίσκονται Salmonella spp. σε δείγμα βάρους 25 g του προϊόντος λίπανσης με σήμανση CE·</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ColumnHeading"/>
              <w:jc w:val="left"/>
              <w:rPr>
                <w:b/>
                <w:bCs/>
                <w:i w:val="0"/>
                <w:iCs/>
              </w:rPr>
            </w:pPr>
            <w:r>
              <w:t>Τροπολογία</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Normal6"/>
              <w:rPr>
                <w:b/>
                <w:bCs/>
                <w:i/>
                <w:iCs/>
              </w:rPr>
            </w:pPr>
            <w:r>
              <w:t>α)</w:t>
            </w:r>
            <w:r>
              <w:tab/>
            </w:r>
            <w:r>
              <w:rPr>
                <w:b/>
                <w:i/>
              </w:rPr>
              <w:t>παθογόνοι παράγοντες δεν πρέπει να περιέχονται στο οργανικό βελτιωτικό εδάφους σε συγκέντρωση μεγαλύτερη των αντίστοιχων ορίων που καθορίζονται στον κατωτέρω πίνακα:</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Μικροοργανισμός προς έλεγχο</w:t>
            </w:r>
          </w:p>
        </w:tc>
        <w:tc>
          <w:tcPr>
            <w:tcW w:w="2601" w:type="dxa"/>
            <w:gridSpan w:val="3"/>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Σχέδια δειγματοληψίας</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Όριο</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n</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m</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M</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1000 σε 1 g ή 1 ml</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όπου n = ο αριθμός των προς έλεγχο δειγμάτων</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c = ο αριθμός των δειγμάτων στα οποία ο αριθμός των βακτηρίων, εκφραζόμενος σε CFU, κυμαίνεται μεταξύ m and M</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m = κατώτατη τιμή για τον αριθμό των βακτηρίων, εκφραζόμενο σε CFU, που θεωρείται ικανοποιητικός</w:t>
            </w:r>
          </w:p>
        </w:tc>
      </w:tr>
      <w:tr w:rsidR="00E451E4" w:rsidRPr="00B0345A" w:rsidTr="000A61DD">
        <w:tblPrEx>
          <w:tblLook w:val="04A0" w:firstRow="1" w:lastRow="0" w:firstColumn="1" w:lastColumn="0" w:noHBand="0" w:noVBand="1"/>
        </w:tblPrEx>
        <w:trPr>
          <w:jc w:val="center"/>
        </w:trPr>
        <w:tc>
          <w:tcPr>
            <w:tcW w:w="9780" w:type="dxa"/>
            <w:gridSpan w:val="6"/>
            <w:hideMark/>
          </w:tcPr>
          <w:p w:rsidR="00E451E4" w:rsidRPr="00B0345A" w:rsidRDefault="00E451E4" w:rsidP="000A61DD">
            <w:pPr>
              <w:pStyle w:val="Normal6"/>
              <w:rPr>
                <w:b/>
                <w:bCs/>
                <w:i/>
                <w:iCs/>
              </w:rPr>
            </w:pPr>
            <w:r>
              <w:rPr>
                <w:b/>
                <w:bCs/>
                <w:i/>
                <w:iCs/>
              </w:rPr>
              <w:t>Μ= μέγιστη τιμή για τον αριθμό των βακτηρίων εκφραζόμενο σε CFU</w:t>
            </w:r>
          </w:p>
        </w:tc>
      </w:tr>
      <w:tr w:rsidR="00E451E4" w:rsidRPr="00B0345A" w:rsidTr="000A61DD">
        <w:tblPrEx>
          <w:tblLook w:val="04A0" w:firstRow="1" w:lastRow="0" w:firstColumn="1" w:lastColumn="0" w:noHBand="0" w:noVBand="1"/>
        </w:tblPrEx>
        <w:trPr>
          <w:jc w:val="center"/>
        </w:trPr>
        <w:tc>
          <w:tcPr>
            <w:tcW w:w="9780" w:type="dxa"/>
            <w:gridSpan w:val="6"/>
          </w:tcPr>
          <w:p w:rsidR="00E451E4" w:rsidRPr="00B0345A" w:rsidRDefault="00E451E4" w:rsidP="000A61DD">
            <w:pPr>
              <w:pStyle w:val="Normal6"/>
              <w:rPr>
                <w:b/>
                <w:bCs/>
                <w:i/>
                <w:iCs/>
              </w:rPr>
            </w:pPr>
            <w:r>
              <w:rPr>
                <w:b/>
                <w:bCs/>
                <w:i/>
                <w:iCs/>
              </w:rPr>
              <w:t>Παράσιτα Ascaris spp. και Toxocara spp., σε όλα τα στάδια της ανάπτυξής τους, δεν πρέπει να περιέχονται σε 100g ή 100ml του οργανικού βελτιωτικού εδάφους.</w:t>
            </w:r>
          </w:p>
        </w:tc>
      </w:tr>
    </w:tbl>
    <w:p w:rsidR="00E451E4" w:rsidRPr="00B0345A" w:rsidRDefault="00E451E4" w:rsidP="00E451E4">
      <w:pPr>
        <w:rPr>
          <w:rStyle w:val="HideTWBExt"/>
          <w:b/>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182</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3(Β) – σημείο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Ένα ανόργανο βελτιωτικό του εδάφους είναι βελτιωτικό εδάφους άλλο από τα οργανικά βελτιωτικά εδάφους.</w:t>
            </w:r>
          </w:p>
        </w:tc>
        <w:tc>
          <w:tcPr>
            <w:tcW w:w="4876" w:type="dxa"/>
          </w:tcPr>
          <w:p w:rsidR="00E451E4" w:rsidRPr="00AC4460" w:rsidRDefault="00E451E4" w:rsidP="000A61DD">
            <w:pPr>
              <w:pStyle w:val="Normal6"/>
              <w:rPr>
                <w:szCs w:val="24"/>
              </w:rPr>
            </w:pPr>
            <w:r w:rsidRPr="00AC4460">
              <w:t>1.</w:t>
            </w:r>
            <w:r w:rsidRPr="00AC4460">
              <w:tab/>
              <w:t>Ένα ανόργανο βελτιωτικό του εδάφους είναι βελτιωτικό εδάφους άλλο από τα οργανικά βελτιωτικά εδάφους</w:t>
            </w:r>
            <w:r w:rsidRPr="00AC4460">
              <w:rPr>
                <w:b/>
                <w:i/>
              </w:rPr>
              <w:t xml:space="preserve"> και περιλαμβάνει στρώσεις εδαφοκάλυψης. </w:t>
            </w:r>
            <w:r w:rsidRPr="00AC4460">
              <w:rPr>
                <w:b/>
                <w:bCs/>
                <w:i/>
                <w:iCs/>
              </w:rPr>
              <w:t>Μια βιοαποδομήσιμη επιφάνεια εδαφοκάλυψης είναι μια βιοαποδομήσιμη επιφάνεια από πολυμερή, η οποία συμμορφώνεται με τις απαιτήσεις του παραρτήματος ΙΙ ΚΣΥ 10 σημεία 2α και 3 και προορίζεται να τοποθετηθεί στο έδαφος in situ για την προστασία της δομής του, την καταστολή της ανάπτυξης ζιζανίων, τη μείωση της απώλειας υγρασίας ή την αποφυγή διάβρωσης του εδάφους.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3(Β) – σημείο 2 – περίπτωση 5</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150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 – μέρος ΙΙ – ΚΛΠ 4 – σημείο 1</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rPr>
            </w:pPr>
            <w:r w:rsidRPr="00AC4460">
              <w:rPr>
                <w:szCs w:val="24"/>
              </w:rPr>
              <w:t>1.</w:t>
            </w:r>
            <w:r w:rsidRPr="00AC4460">
              <w:rPr>
                <w:szCs w:val="24"/>
              </w:rPr>
              <w:tab/>
              <w:t>Ένα υπόστρωμα καλλιέργειας είναι υλικό άλλο από το χώμα</w:t>
            </w:r>
            <w:r w:rsidRPr="00AC4460">
              <w:rPr>
                <w:b/>
                <w:i/>
                <w:szCs w:val="24"/>
              </w:rPr>
              <w:t>, που προορίζεται για χρήση ως υπόστρωμα για την ανάπτυξη των ριζών</w:t>
            </w:r>
            <w:r w:rsidRPr="00AC4460">
              <w:rPr>
                <w:szCs w:val="24"/>
              </w:rPr>
              <w:t>.</w:t>
            </w:r>
          </w:p>
        </w:tc>
        <w:tc>
          <w:tcPr>
            <w:tcW w:w="4875" w:type="dxa"/>
            <w:hideMark/>
          </w:tcPr>
          <w:p w:rsidR="00E451E4" w:rsidRPr="00AC4460" w:rsidRDefault="00E451E4" w:rsidP="000A61DD">
            <w:pPr>
              <w:pStyle w:val="Normal6"/>
              <w:spacing w:line="256" w:lineRule="auto"/>
              <w:rPr>
                <w:b/>
                <w:i/>
                <w:szCs w:val="24"/>
              </w:rPr>
            </w:pPr>
            <w:r w:rsidRPr="00AC4460">
              <w:rPr>
                <w:szCs w:val="24"/>
              </w:rPr>
              <w:t>1.</w:t>
            </w:r>
            <w:r w:rsidRPr="00AC4460">
              <w:rPr>
                <w:szCs w:val="24"/>
              </w:rPr>
              <w:tab/>
              <w:t>Ένα υπόστρωμα καλλιέργειας είναι υλικό άλλο από το χώμα</w:t>
            </w:r>
            <w:r w:rsidRPr="00AC4460">
              <w:rPr>
                <w:b/>
                <w:i/>
                <w:szCs w:val="24"/>
              </w:rPr>
              <w:t xml:space="preserve"> in situ στο οποίο αναπτύσσονται φυτά και μανιτάρια</w:t>
            </w:r>
            <w:r w:rsidRPr="00AC4460">
              <w:rPr>
                <w:szCs w:val="24"/>
              </w:rPr>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4 – σημείο 2 – περίπτωση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1,5</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4 – σημείο 2 – περίπτωση 5</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150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 – μέρος ΙΙ – ΚΛΠ 4 – σημείο 3</w:t>
      </w:r>
      <w:r>
        <w:rPr>
          <w:rStyle w:val="HideTWBExt"/>
          <w:b w:val="0"/>
          <w:noProof w:val="0"/>
          <w:lang w:val="fr-FR"/>
        </w:rPr>
        <w:t>&lt;/Article&gt;</w:t>
      </w:r>
    </w:p>
    <w:tbl>
      <w:tblPr>
        <w:tblW w:w="9785" w:type="dxa"/>
        <w:jc w:val="center"/>
        <w:tblLayout w:type="fixed"/>
        <w:tblCellMar>
          <w:left w:w="340" w:type="dxa"/>
          <w:right w:w="340" w:type="dxa"/>
        </w:tblCellMar>
        <w:tblLook w:val="0000" w:firstRow="0" w:lastRow="0" w:firstColumn="0" w:lastColumn="0" w:noHBand="0" w:noVBand="0"/>
      </w:tblPr>
      <w:tblGrid>
        <w:gridCol w:w="3247"/>
        <w:gridCol w:w="774"/>
        <w:gridCol w:w="1000"/>
        <w:gridCol w:w="828"/>
        <w:gridCol w:w="3903"/>
        <w:gridCol w:w="33"/>
      </w:tblGrid>
      <w:tr w:rsidR="00E451E4" w:rsidRPr="000226C1" w:rsidTr="000A61DD">
        <w:trPr>
          <w:gridAfter w:val="1"/>
          <w:wAfter w:w="33" w:type="dxa"/>
          <w:jc w:val="center"/>
        </w:trPr>
        <w:tc>
          <w:tcPr>
            <w:tcW w:w="9752" w:type="dxa"/>
            <w:gridSpan w:val="5"/>
          </w:tcPr>
          <w:p w:rsidR="00E451E4" w:rsidRPr="00032852" w:rsidRDefault="00E451E4" w:rsidP="000A61DD">
            <w:pPr>
              <w:keepNext/>
              <w:rPr>
                <w:lang w:val="fr-FR"/>
              </w:rPr>
            </w:pPr>
          </w:p>
        </w:tc>
      </w:tr>
      <w:tr w:rsidR="00E451E4" w:rsidRPr="00B0345A" w:rsidTr="000A61DD">
        <w:tblPrEx>
          <w:tblLook w:val="04A0" w:firstRow="1" w:lastRow="0" w:firstColumn="1" w:lastColumn="0" w:noHBand="0" w:noVBand="1"/>
        </w:tblPrEx>
        <w:trPr>
          <w:jc w:val="center"/>
        </w:trPr>
        <w:tc>
          <w:tcPr>
            <w:tcW w:w="9785" w:type="dxa"/>
            <w:gridSpan w:val="6"/>
            <w:hideMark/>
          </w:tcPr>
          <w:p w:rsidR="00E451E4" w:rsidRPr="00B0345A" w:rsidRDefault="00E451E4" w:rsidP="000A61DD">
            <w:pPr>
              <w:pStyle w:val="ColumnHeading"/>
              <w:jc w:val="left"/>
              <w:rPr>
                <w:iCs/>
              </w:rPr>
            </w:pPr>
            <w:r>
              <w:t>Κείμενο που προτείνει η Επιτροπή</w:t>
            </w:r>
          </w:p>
        </w:tc>
      </w:tr>
      <w:tr w:rsidR="00E451E4" w:rsidRPr="00B0345A" w:rsidTr="000A61DD">
        <w:tblPrEx>
          <w:tblLook w:val="04A0" w:firstRow="1" w:lastRow="0" w:firstColumn="1" w:lastColumn="0" w:noHBand="0" w:noVBand="1"/>
        </w:tblPrEx>
        <w:trPr>
          <w:jc w:val="center"/>
        </w:trPr>
        <w:tc>
          <w:tcPr>
            <w:tcW w:w="9785" w:type="dxa"/>
            <w:gridSpan w:val="6"/>
            <w:hideMark/>
          </w:tcPr>
          <w:p w:rsidR="00E451E4" w:rsidRPr="00B0345A" w:rsidRDefault="00E451E4" w:rsidP="000A61DD">
            <w:pPr>
              <w:pStyle w:val="Normal6"/>
              <w:rPr>
                <w:b/>
                <w:bCs/>
                <w:i/>
                <w:iCs/>
              </w:rPr>
            </w:pPr>
            <w:r>
              <w:rPr>
                <w:b/>
                <w:bCs/>
                <w:i/>
                <w:iCs/>
              </w:rPr>
              <w:t>3.</w:t>
            </w:r>
            <w:r>
              <w:rPr>
                <w:b/>
                <w:bCs/>
                <w:i/>
                <w:iCs/>
              </w:rPr>
              <w:tab/>
              <w:t>δεν ανευρίσκονται Salmonella spp. σε δείγμα βάρους 25 g του προϊόντος λίπανσης με σήμανση CE·</w:t>
            </w:r>
          </w:p>
        </w:tc>
      </w:tr>
      <w:tr w:rsidR="00E451E4" w:rsidRPr="00B0345A" w:rsidTr="000A61DD">
        <w:tblPrEx>
          <w:tblLook w:val="04A0" w:firstRow="1" w:lastRow="0" w:firstColumn="1" w:lastColumn="0" w:noHBand="0" w:noVBand="1"/>
        </w:tblPrEx>
        <w:trPr>
          <w:jc w:val="center"/>
        </w:trPr>
        <w:tc>
          <w:tcPr>
            <w:tcW w:w="9785" w:type="dxa"/>
            <w:gridSpan w:val="6"/>
          </w:tcPr>
          <w:p w:rsidR="00E451E4" w:rsidRPr="00B0345A" w:rsidRDefault="00E451E4" w:rsidP="000A61DD">
            <w:pPr>
              <w:pStyle w:val="ColumnHeading"/>
              <w:jc w:val="left"/>
              <w:rPr>
                <w:b/>
                <w:bCs/>
                <w:i w:val="0"/>
                <w:iCs/>
              </w:rPr>
            </w:pPr>
            <w:r>
              <w:t>Τροπολογία</w:t>
            </w:r>
          </w:p>
        </w:tc>
      </w:tr>
      <w:tr w:rsidR="00E451E4" w:rsidRPr="00B0345A" w:rsidTr="000A61DD">
        <w:tblPrEx>
          <w:tblLook w:val="04A0" w:firstRow="1" w:lastRow="0" w:firstColumn="1" w:lastColumn="0" w:noHBand="0" w:noVBand="1"/>
        </w:tblPrEx>
        <w:trPr>
          <w:jc w:val="center"/>
        </w:trPr>
        <w:tc>
          <w:tcPr>
            <w:tcW w:w="9785" w:type="dxa"/>
            <w:gridSpan w:val="6"/>
          </w:tcPr>
          <w:p w:rsidR="00E451E4" w:rsidRPr="00B0345A" w:rsidRDefault="00E451E4" w:rsidP="000A61DD">
            <w:pPr>
              <w:pStyle w:val="Normal6"/>
            </w:pPr>
            <w:r>
              <w:t>3.</w:t>
            </w:r>
            <w:r>
              <w:rPr>
                <w:b/>
                <w:bCs/>
                <w:i/>
                <w:iCs/>
              </w:rPr>
              <w:tab/>
              <w:t>Παθογόνοι παράγοντες δεν πρέπει να περιέχονται στο υπόστρωμα καλλιέργειας σε συγκέντρωση μεγαλύτερη των αντίστοιχων ορίων που καθορίζονται στον κατωτέρω πίνακα:</w:t>
            </w:r>
          </w:p>
        </w:tc>
      </w:tr>
      <w:tr w:rsidR="00E451E4" w:rsidRPr="00B0345A"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Μικροοργανισμός προς έλεγχο</w:t>
            </w:r>
          </w:p>
        </w:tc>
        <w:tc>
          <w:tcPr>
            <w:tcW w:w="2602" w:type="dxa"/>
            <w:gridSpan w:val="3"/>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Σχέδια δειγματοληψίας</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Όριο</w:t>
            </w:r>
          </w:p>
        </w:tc>
      </w:tr>
      <w:tr w:rsidR="00E451E4" w:rsidRPr="00B0345A"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n</w:t>
            </w:r>
          </w:p>
        </w:tc>
        <w:tc>
          <w:tcPr>
            <w:tcW w:w="1000"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m</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M</w:t>
            </w:r>
          </w:p>
        </w:tc>
      </w:tr>
      <w:tr w:rsidR="00E451E4" w:rsidRPr="00B0345A"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000"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000"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1000 σε 1 g ή 1 ml</w:t>
            </w:r>
          </w:p>
        </w:tc>
      </w:tr>
      <w:tr w:rsidR="00E451E4" w:rsidRPr="00B0345A" w:rsidTr="000A61DD">
        <w:tblPrEx>
          <w:tblLook w:val="04A0" w:firstRow="1" w:lastRow="0" w:firstColumn="1" w:lastColumn="0" w:noHBand="0" w:noVBand="1"/>
        </w:tblPrEx>
        <w:trPr>
          <w:jc w:val="center"/>
        </w:trPr>
        <w:tc>
          <w:tcPr>
            <w:tcW w:w="9785" w:type="dxa"/>
            <w:gridSpan w:val="6"/>
            <w:hideMark/>
          </w:tcPr>
          <w:p w:rsidR="00E451E4" w:rsidRPr="00B0345A" w:rsidRDefault="00E451E4" w:rsidP="000A61DD">
            <w:pPr>
              <w:pStyle w:val="Normal6"/>
              <w:rPr>
                <w:b/>
                <w:bCs/>
                <w:i/>
                <w:iCs/>
              </w:rPr>
            </w:pPr>
            <w:r>
              <w:rPr>
                <w:b/>
                <w:bCs/>
                <w:i/>
                <w:iCs/>
              </w:rPr>
              <w:t>όπου n = ο αριθμός των προς έλεγχο δειγμάτων</w:t>
            </w:r>
          </w:p>
        </w:tc>
      </w:tr>
      <w:tr w:rsidR="00E451E4" w:rsidRPr="00B0345A" w:rsidTr="000A61DD">
        <w:tblPrEx>
          <w:tblLook w:val="04A0" w:firstRow="1" w:lastRow="0" w:firstColumn="1" w:lastColumn="0" w:noHBand="0" w:noVBand="1"/>
        </w:tblPrEx>
        <w:trPr>
          <w:jc w:val="center"/>
        </w:trPr>
        <w:tc>
          <w:tcPr>
            <w:tcW w:w="9785" w:type="dxa"/>
            <w:gridSpan w:val="6"/>
            <w:hideMark/>
          </w:tcPr>
          <w:p w:rsidR="00E451E4" w:rsidRPr="00B0345A" w:rsidRDefault="00E451E4" w:rsidP="000A61DD">
            <w:pPr>
              <w:pStyle w:val="Normal6"/>
              <w:rPr>
                <w:b/>
                <w:bCs/>
                <w:i/>
                <w:iCs/>
              </w:rPr>
            </w:pPr>
            <w:r>
              <w:rPr>
                <w:b/>
                <w:bCs/>
                <w:i/>
                <w:iCs/>
              </w:rPr>
              <w:t>c = ο αριθμός των δειγμάτων στα οποία ο αριθμός των βακτηρίων, εκφραζόμενος σε CFU, κυμαίνεται μεταξύ m and M</w:t>
            </w:r>
          </w:p>
        </w:tc>
      </w:tr>
      <w:tr w:rsidR="00E451E4" w:rsidRPr="00B0345A" w:rsidTr="000A61DD">
        <w:tblPrEx>
          <w:tblLook w:val="04A0" w:firstRow="1" w:lastRow="0" w:firstColumn="1" w:lastColumn="0" w:noHBand="0" w:noVBand="1"/>
        </w:tblPrEx>
        <w:trPr>
          <w:jc w:val="center"/>
        </w:trPr>
        <w:tc>
          <w:tcPr>
            <w:tcW w:w="9785" w:type="dxa"/>
            <w:gridSpan w:val="6"/>
            <w:hideMark/>
          </w:tcPr>
          <w:p w:rsidR="00E451E4" w:rsidRPr="00B0345A" w:rsidRDefault="00E451E4" w:rsidP="000A61DD">
            <w:pPr>
              <w:pStyle w:val="Normal6"/>
              <w:rPr>
                <w:b/>
                <w:bCs/>
                <w:i/>
                <w:iCs/>
              </w:rPr>
            </w:pPr>
            <w:r>
              <w:rPr>
                <w:b/>
                <w:bCs/>
                <w:i/>
                <w:iCs/>
              </w:rPr>
              <w:t>m = κατώτατη τιμή για τον αριθμό των βακτηρίων, εκφραζόμενο σε CFU, που θεωρείται ικανοποιητικός</w:t>
            </w:r>
          </w:p>
        </w:tc>
      </w:tr>
      <w:tr w:rsidR="00E451E4" w:rsidRPr="00B0345A" w:rsidTr="000A61DD">
        <w:tblPrEx>
          <w:tblLook w:val="04A0" w:firstRow="1" w:lastRow="0" w:firstColumn="1" w:lastColumn="0" w:noHBand="0" w:noVBand="1"/>
        </w:tblPrEx>
        <w:trPr>
          <w:jc w:val="center"/>
        </w:trPr>
        <w:tc>
          <w:tcPr>
            <w:tcW w:w="9785" w:type="dxa"/>
            <w:gridSpan w:val="6"/>
            <w:hideMark/>
          </w:tcPr>
          <w:p w:rsidR="00E451E4" w:rsidRPr="00B0345A" w:rsidRDefault="00E451E4" w:rsidP="000A61DD">
            <w:pPr>
              <w:pStyle w:val="Normal6"/>
              <w:rPr>
                <w:b/>
                <w:bCs/>
                <w:i/>
                <w:iCs/>
              </w:rPr>
            </w:pPr>
            <w:r>
              <w:rPr>
                <w:b/>
                <w:bCs/>
                <w:i/>
                <w:iCs/>
              </w:rPr>
              <w:t>Μ= μέγιστη τιμή για τον αριθμό των βακτηρίων εκφραζόμενο σε CFU</w:t>
            </w:r>
          </w:p>
        </w:tc>
      </w:tr>
      <w:tr w:rsidR="00E451E4" w:rsidRPr="00B0345A" w:rsidTr="000A61DD">
        <w:tblPrEx>
          <w:tblLook w:val="04A0" w:firstRow="1" w:lastRow="0" w:firstColumn="1" w:lastColumn="0" w:noHBand="0" w:noVBand="1"/>
        </w:tblPrEx>
        <w:trPr>
          <w:jc w:val="center"/>
        </w:trPr>
        <w:tc>
          <w:tcPr>
            <w:tcW w:w="9785" w:type="dxa"/>
            <w:gridSpan w:val="6"/>
          </w:tcPr>
          <w:p w:rsidR="00E451E4" w:rsidRPr="00B0345A" w:rsidRDefault="00E451E4" w:rsidP="000A61DD">
            <w:pPr>
              <w:pStyle w:val="Normal6"/>
              <w:rPr>
                <w:b/>
                <w:bCs/>
                <w:i/>
                <w:iCs/>
              </w:rPr>
            </w:pPr>
            <w:r>
              <w:rPr>
                <w:b/>
                <w:bCs/>
                <w:i/>
                <w:iCs/>
              </w:rPr>
              <w:t>Παράσιτα Ascaris spp. και Toxocara spp., σε όλα τα στάδια της ανάπτυξής τους, δεν πρέπει να περιέχονται σε 100g ή 100ml του υποστρώματος καλλιέργειας.</w:t>
            </w:r>
          </w:p>
        </w:tc>
      </w:tr>
    </w:tbl>
    <w:p w:rsidR="00E451E4" w:rsidRPr="00B0345A" w:rsidRDefault="00E451E4" w:rsidP="00E451E4">
      <w:pPr>
        <w:rPr>
          <w:rStyle w:val="HideTWBExt"/>
          <w:b/>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188</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 – σημείο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Ένα γεωπονικό πρόσθετο είναι προϊόν λίπανσης με σήμανση CE που προορίζεται να προστεθεί σε προϊόν </w:t>
            </w:r>
            <w:r w:rsidRPr="00AC4460">
              <w:rPr>
                <w:b/>
                <w:i/>
              </w:rPr>
              <w:t>το οποίο παρέχει θρεπτικά συστατικά</w:t>
            </w:r>
            <w:r w:rsidRPr="00AC4460">
              <w:t xml:space="preserve"> στα </w:t>
            </w:r>
            <w:r w:rsidRPr="00AC4460">
              <w:rPr>
                <w:b/>
                <w:i/>
              </w:rPr>
              <w:t>φυτά</w:t>
            </w:r>
            <w:r w:rsidRPr="00AC4460">
              <w:t xml:space="preserve">, με στόχο τη βελτίωση </w:t>
            </w:r>
            <w:r w:rsidRPr="00AC4460">
              <w:rPr>
                <w:b/>
                <w:i/>
              </w:rPr>
              <w:t>του τρόπου απελευθέρωσης</w:t>
            </w:r>
            <w:r w:rsidRPr="00AC4460">
              <w:t xml:space="preserve"> των θρεπτικών συστατικών </w:t>
            </w:r>
            <w:r w:rsidRPr="00AC4460">
              <w:rPr>
                <w:b/>
                <w:i/>
              </w:rPr>
              <w:t>εκείνου του προϊόντος</w:t>
            </w:r>
            <w:r w:rsidRPr="00AC4460">
              <w:t>.</w:t>
            </w:r>
          </w:p>
        </w:tc>
        <w:tc>
          <w:tcPr>
            <w:tcW w:w="4876" w:type="dxa"/>
          </w:tcPr>
          <w:p w:rsidR="00E451E4" w:rsidRPr="00AC4460" w:rsidRDefault="00E451E4" w:rsidP="000A61DD">
            <w:pPr>
              <w:pStyle w:val="Normal6"/>
              <w:rPr>
                <w:szCs w:val="24"/>
              </w:rPr>
            </w:pPr>
            <w:r w:rsidRPr="00AC4460">
              <w:t xml:space="preserve">Ένα γεωπονικό πρόσθετο είναι προϊόν λίπανσης με σήμανση CE που προορίζεται να προστεθεί σε προϊόν </w:t>
            </w:r>
            <w:r w:rsidRPr="00AC4460">
              <w:rPr>
                <w:b/>
                <w:i/>
              </w:rPr>
              <w:t>και διαθέτει αποδεδειγμένη επίδραση στη μετατροπή ή τη διαθεσιμότητα διαφόρων μορφών ανόργανων ή ανοργανοποιημένων θρεπτικών συστατικών, ή και</w:t>
            </w:r>
            <w:r w:rsidRPr="00AC4460">
              <w:t xml:space="preserve"> στα </w:t>
            </w:r>
            <w:r w:rsidRPr="00AC4460">
              <w:rPr>
                <w:b/>
                <w:i/>
              </w:rPr>
              <w:t>δύο, ή που προορίζεται να προστεθεί στο έδαφος</w:t>
            </w:r>
            <w:r w:rsidRPr="00AC4460">
              <w:t xml:space="preserve">, με στόχο τη βελτίωση </w:t>
            </w:r>
            <w:r w:rsidRPr="00AC4460">
              <w:rPr>
                <w:b/>
                <w:i/>
              </w:rPr>
              <w:t>της συγκεκριμένης πρόσληψης</w:t>
            </w:r>
            <w:r w:rsidRPr="00AC4460">
              <w:t xml:space="preserve"> των θρεπτικών συστατικών </w:t>
            </w:r>
            <w:r w:rsidRPr="00AC4460">
              <w:rPr>
                <w:b/>
                <w:i/>
              </w:rPr>
              <w:t>από τα φυτά ή τη μείωση των απωλειών θρεπτικών συστατικών</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5(Α)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 xml:space="preserve">Η </w:t>
            </w:r>
            <w:r w:rsidRPr="00AC4460">
              <w:t>κάθε ουσία έχει καταχωριστεί σύμφωνα με τον κανονισμό (ΕΚ) αριθ. 1907/2006</w:t>
            </w:r>
            <w:r w:rsidRPr="00AC4460">
              <w:rPr>
                <w:vertAlign w:val="superscript"/>
              </w:rPr>
              <w:t>36</w:t>
            </w:r>
            <w:r w:rsidRPr="00AC4460">
              <w:rPr>
                <w:b/>
                <w:i/>
              </w:rPr>
              <w:t xml:space="preserve"> με φάκελο</w:t>
            </w:r>
            <w:r w:rsidRPr="00AC4460">
              <w:t xml:space="preserve"> που </w:t>
            </w:r>
            <w:r w:rsidRPr="00AC4460">
              <w:rPr>
                <w:b/>
                <w:i/>
              </w:rPr>
              <w:t>περιέχει</w:t>
            </w:r>
          </w:p>
        </w:tc>
        <w:tc>
          <w:tcPr>
            <w:tcW w:w="4876" w:type="dxa"/>
            <w:hideMark/>
          </w:tcPr>
          <w:p w:rsidR="00E451E4" w:rsidRPr="00AC4460" w:rsidRDefault="00E451E4" w:rsidP="000A61DD">
            <w:pPr>
              <w:pStyle w:val="Normal6"/>
              <w:rPr>
                <w:szCs w:val="24"/>
              </w:rPr>
            </w:pPr>
            <w:r w:rsidRPr="00AC4460">
              <w:t>Κάθε ουσία</w:t>
            </w:r>
            <w:r w:rsidRPr="00AC4460">
              <w:rPr>
                <w:b/>
                <w:i/>
              </w:rPr>
              <w:t xml:space="preserve"> πρέπει να</w:t>
            </w:r>
            <w:r w:rsidRPr="00AC4460">
              <w:t xml:space="preserve"> έχει καταχωριστεί σύμφωνα με τον κανονισμό (ΕΚ) αριθ. 1907/2006</w:t>
            </w:r>
            <w:r w:rsidRPr="00AC4460">
              <w:rPr>
                <w:vertAlign w:val="superscript"/>
              </w:rPr>
              <w:t>36</w:t>
            </w:r>
            <w:r w:rsidRPr="00AC4460">
              <w:rPr>
                <w:b/>
                <w:i/>
              </w:rPr>
              <w:t>, εκτός εάν αυτή καλύπτεται ρητώς από κάποια από τις εξαιρέσεις από την υποχρέωση καταχώρισης</w:t>
            </w:r>
            <w:r w:rsidRPr="00AC4460">
              <w:t xml:space="preserve"> που </w:t>
            </w:r>
            <w:r w:rsidRPr="00AC4460">
              <w:rPr>
                <w:b/>
                <w:i/>
              </w:rPr>
              <w:t>προβλέπει το άρθρο 6 ή το παράρτημα IV ή V του εν λόγω κανονισμού.</w:t>
            </w:r>
          </w:p>
        </w:tc>
      </w:tr>
      <w:tr w:rsidR="00E451E4" w:rsidRPr="00B0345A"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hideMark/>
          </w:tcPr>
          <w:p w:rsidR="00E451E4" w:rsidRPr="00AC4460" w:rsidRDefault="00E451E4" w:rsidP="000A61DD">
            <w:pPr>
              <w:pStyle w:val="Normal6"/>
            </w:pPr>
            <w:r w:rsidRPr="00AC4460">
              <w:rPr>
                <w:vertAlign w:val="superscript"/>
              </w:rPr>
              <w:t>36</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hideMark/>
          </w:tcPr>
          <w:p w:rsidR="00E451E4" w:rsidRPr="00AC4460" w:rsidRDefault="00E451E4" w:rsidP="000A61DD">
            <w:pPr>
              <w:pStyle w:val="Normal6"/>
              <w:rPr>
                <w:szCs w:val="24"/>
              </w:rPr>
            </w:pPr>
            <w:r w:rsidRPr="00AC4460">
              <w:rPr>
                <w:vertAlign w:val="superscript"/>
              </w:rPr>
              <w:t>36</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5(Α) – σημείο 2 – στοιχείο α</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5(Α) – σημείο 2 – στοιχείο β</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5(Α) – σημείο 2 – εδάφιο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5(Α) (I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FA3492"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ΚΛΠ 5(Α)(Iα): Αναστολέας απονίτρωσης</w:t>
            </w:r>
          </w:p>
        </w:tc>
      </w:tr>
      <w:tr w:rsidR="00E451E4" w:rsidRPr="00B0345A" w:rsidTr="000A61DD">
        <w:trPr>
          <w:jc w:val="center"/>
        </w:trPr>
        <w:tc>
          <w:tcPr>
            <w:tcW w:w="4876" w:type="dxa"/>
          </w:tcPr>
          <w:p w:rsidR="00E451E4" w:rsidRPr="00AC4460" w:rsidRDefault="00E451E4" w:rsidP="000A61DD">
            <w:pPr>
              <w:pStyle w:val="Normal6"/>
              <w:rPr>
                <w:lang w:val="pt-PT"/>
              </w:rPr>
            </w:pPr>
          </w:p>
        </w:tc>
        <w:tc>
          <w:tcPr>
            <w:tcW w:w="4876" w:type="dxa"/>
          </w:tcPr>
          <w:p w:rsidR="00E451E4" w:rsidRPr="00AC4460" w:rsidRDefault="00E451E4" w:rsidP="000A61DD">
            <w:pPr>
              <w:pStyle w:val="Normal6"/>
              <w:rPr>
                <w:szCs w:val="24"/>
              </w:rPr>
            </w:pPr>
            <w:r w:rsidRPr="00AC4460">
              <w:rPr>
                <w:b/>
                <w:i/>
              </w:rPr>
              <w:t>1.</w:t>
            </w:r>
            <w:r w:rsidRPr="00AC4460">
              <w:rPr>
                <w:b/>
                <w:i/>
              </w:rPr>
              <w:tab/>
              <w:t>Αναστολέας απονίτρωσης είναι ένας αναστολέας ο οποίος μειώνει τον σχηματισμό υποξειδίου του αζώτου (N</w:t>
            </w:r>
            <w:r w:rsidRPr="00AC4460">
              <w:rPr>
                <w:b/>
                <w:i/>
                <w:vertAlign w:val="subscript"/>
              </w:rPr>
              <w:t>2</w:t>
            </w:r>
            <w:r w:rsidRPr="00AC4460">
              <w:rPr>
                <w:b/>
                <w:i/>
              </w:rPr>
              <w:t>O) καθυστερώντας ή εμποδίζοντας τη μετατροπή νιτρικών ιόντων (NO</w:t>
            </w:r>
            <w:r w:rsidRPr="00AC4460">
              <w:rPr>
                <w:b/>
                <w:i/>
                <w:vertAlign w:val="subscript"/>
              </w:rPr>
              <w:t>3</w:t>
            </w:r>
            <w:r w:rsidRPr="00AC4460">
              <w:rPr>
                <w:b/>
                <w:i/>
              </w:rPr>
              <w:t>-) σε διάζωτο (N</w:t>
            </w:r>
            <w:r w:rsidRPr="00AC4460">
              <w:rPr>
                <w:b/>
                <w:i/>
                <w:vertAlign w:val="subscript"/>
              </w:rPr>
              <w:t>2</w:t>
            </w:r>
            <w:r w:rsidRPr="00AC4460">
              <w:rPr>
                <w:b/>
                <w:i/>
              </w:rPr>
              <w:t>) χωρίς να επηρεάζει τη διαδικασία νιτροποίησης όπως περιγράφεται στην ΚΛΠ 5(Α)(Ι). Συμβάλλει στην αύξηση της διαθεσιμότητας των νιτρικών ιόντων στο φυτό και στη μείωση των εκπομπών N</w:t>
            </w:r>
            <w:r w:rsidRPr="00AC4460">
              <w:rPr>
                <w:b/>
                <w:i/>
                <w:vertAlign w:val="subscript"/>
              </w:rPr>
              <w:t>2</w:t>
            </w:r>
            <w:r w:rsidRPr="00AC4460">
              <w:rPr>
                <w:b/>
                <w:i/>
              </w:rPr>
              <w:t>O.</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2.</w:t>
            </w:r>
            <w:r w:rsidRPr="00AC4460">
              <w:rPr>
                <w:b/>
                <w:i/>
              </w:rPr>
              <w:tab/>
              <w:t>Η αποτελεσματικότητα της μεθόδου αυτής μπορεί να αξιολογηθεί μέσω της μέτρησης των εκπομπών υποξειδίου του αζώτου σε δείγματα αερίου που συλλέγονται σε κατάλληλη συσκευή μέτρησης και του υπολογισμού της ποσότητας N</w:t>
            </w:r>
            <w:r w:rsidRPr="00AC4460">
              <w:rPr>
                <w:b/>
                <w:i/>
                <w:vertAlign w:val="subscript"/>
              </w:rPr>
              <w:t>2</w:t>
            </w:r>
            <w:r w:rsidRPr="00AC4460">
              <w:rPr>
                <w:b/>
                <w:i/>
              </w:rPr>
              <w:t>O αυτού του δείγματος σε αεριοχρωματογράφο. Στην αξιολόγηση καταγράφεται επίσης η περιεκτικότητα του εδάφους σε νερό.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5(Β)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2. Η ουσία έχει καταχωριστεί σύμφωνα με τον κανονισμό (ΕΚ) αριθ. 1907/2006</w:t>
            </w:r>
            <w:r w:rsidRPr="00AC4460">
              <w:rPr>
                <w:vertAlign w:val="superscript"/>
              </w:rPr>
              <w:t>37</w:t>
            </w:r>
            <w:r w:rsidRPr="00AC4460">
              <w:rPr>
                <w:b/>
                <w:i/>
              </w:rPr>
              <w:t xml:space="preserve"> με φάκελο</w:t>
            </w:r>
            <w:r w:rsidRPr="00AC4460">
              <w:t xml:space="preserve"> που </w:t>
            </w:r>
            <w:r w:rsidRPr="00AC4460">
              <w:rPr>
                <w:b/>
                <w:i/>
              </w:rPr>
              <w:t>περιέχει</w:t>
            </w:r>
          </w:p>
        </w:tc>
        <w:tc>
          <w:tcPr>
            <w:tcW w:w="4876" w:type="dxa"/>
            <w:hideMark/>
          </w:tcPr>
          <w:p w:rsidR="00E451E4" w:rsidRPr="00AC4460" w:rsidRDefault="00E451E4" w:rsidP="000A61DD">
            <w:pPr>
              <w:pStyle w:val="Normal6"/>
              <w:rPr>
                <w:szCs w:val="24"/>
              </w:rPr>
            </w:pPr>
            <w:r w:rsidRPr="00AC4460">
              <w:t xml:space="preserve">2. Η ουσία </w:t>
            </w:r>
            <w:r w:rsidRPr="00AC4460">
              <w:rPr>
                <w:b/>
                <w:i/>
              </w:rPr>
              <w:t xml:space="preserve">πρέπει να </w:t>
            </w:r>
            <w:r w:rsidRPr="00AC4460">
              <w:t>έχει καταχωριστεί σύμφωνα με τον κανονισμό (ΕΚ) αριθ. 1907/2006</w:t>
            </w:r>
            <w:r w:rsidRPr="00AC4460">
              <w:rPr>
                <w:vertAlign w:val="superscript"/>
              </w:rPr>
              <w:t>37</w:t>
            </w:r>
            <w:r w:rsidRPr="00AC4460">
              <w:rPr>
                <w:b/>
                <w:i/>
              </w:rPr>
              <w:t>, εκτός εάν αυτή καλύπτεται ρητώς από κάποια από τις εξαιρέσεις από την υποχρέωση καταχώρισης</w:t>
            </w:r>
            <w:r w:rsidRPr="00AC4460">
              <w:t xml:space="preserve"> που </w:t>
            </w:r>
            <w:r w:rsidRPr="00AC4460">
              <w:rPr>
                <w:b/>
                <w:i/>
              </w:rPr>
              <w:t>προβλέπει το άρθρο 6 ή το παράρτημα IV ή V του εν λόγω κανονισμού.</w:t>
            </w:r>
          </w:p>
        </w:tc>
      </w:tr>
      <w:tr w:rsidR="00E451E4" w:rsidRPr="00B0345A"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hideMark/>
          </w:tcPr>
          <w:p w:rsidR="00E451E4" w:rsidRPr="00AC4460" w:rsidRDefault="00E451E4" w:rsidP="000A61DD">
            <w:pPr>
              <w:pStyle w:val="Normal6"/>
            </w:pPr>
            <w:r w:rsidRPr="00AC4460">
              <w:rPr>
                <w:vertAlign w:val="superscript"/>
              </w:rPr>
              <w:t>37</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hideMark/>
          </w:tcPr>
          <w:p w:rsidR="00E451E4" w:rsidRPr="00AC4460" w:rsidRDefault="00E451E4" w:rsidP="000A61DD">
            <w:pPr>
              <w:pStyle w:val="Normal6"/>
              <w:rPr>
                <w:szCs w:val="24"/>
              </w:rPr>
            </w:pPr>
            <w:r w:rsidRPr="00AC4460">
              <w:rPr>
                <w:vertAlign w:val="superscript"/>
              </w:rPr>
              <w:t>37</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5(Β) – σημείο 2 – στοιχείο α</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5(Β) – σημείο 2 – στοιχείο β</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pPr>
        <w:pStyle w:val="JustificationTitle"/>
        <w:jc w:val="left"/>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5(Β) – σημείο 2 – εδάφιο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5 (Γ)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2. Η ουσία έχει καταχωριστεί σύμφωνα με τον κανονισμό (ΕΚ) αριθ. 1907/2006</w:t>
            </w:r>
            <w:r w:rsidRPr="00AC4460">
              <w:rPr>
                <w:vertAlign w:val="superscript"/>
              </w:rPr>
              <w:t>38</w:t>
            </w:r>
            <w:r w:rsidRPr="00AC4460">
              <w:rPr>
                <w:b/>
                <w:i/>
              </w:rPr>
              <w:t xml:space="preserve"> με φάκελο</w:t>
            </w:r>
            <w:r w:rsidRPr="00AC4460">
              <w:t xml:space="preserve"> που </w:t>
            </w:r>
            <w:r w:rsidRPr="00AC4460">
              <w:rPr>
                <w:b/>
                <w:i/>
              </w:rPr>
              <w:t>περιέχει</w:t>
            </w:r>
          </w:p>
        </w:tc>
        <w:tc>
          <w:tcPr>
            <w:tcW w:w="4876" w:type="dxa"/>
            <w:hideMark/>
          </w:tcPr>
          <w:p w:rsidR="00E451E4" w:rsidRPr="00AC4460" w:rsidRDefault="00E451E4" w:rsidP="000A61DD">
            <w:pPr>
              <w:pStyle w:val="Normal6"/>
              <w:rPr>
                <w:szCs w:val="24"/>
              </w:rPr>
            </w:pPr>
            <w:r w:rsidRPr="00AC4460">
              <w:t xml:space="preserve">2. Η ουσία </w:t>
            </w:r>
            <w:r w:rsidRPr="00AC4460">
              <w:rPr>
                <w:b/>
                <w:i/>
              </w:rPr>
              <w:t xml:space="preserve">πρέπει να </w:t>
            </w:r>
            <w:r w:rsidRPr="00AC4460">
              <w:t>έχει καταχωριστεί σύμφωνα με τον κανονισμό (ΕΚ) αριθ. 1907/2006</w:t>
            </w:r>
            <w:r w:rsidRPr="00AC4460">
              <w:rPr>
                <w:vertAlign w:val="superscript"/>
              </w:rPr>
              <w:t>38</w:t>
            </w:r>
            <w:r w:rsidRPr="00AC4460">
              <w:rPr>
                <w:b/>
                <w:i/>
              </w:rPr>
              <w:t>, εκτός εάν αυτή καλύπτεται ρητώς από κάποια από τις εξαιρέσεις από την υποχρέωση καταχώρισης</w:t>
            </w:r>
            <w:r w:rsidRPr="00AC4460">
              <w:t xml:space="preserve"> που </w:t>
            </w:r>
            <w:r w:rsidRPr="00AC4460">
              <w:rPr>
                <w:b/>
                <w:i/>
              </w:rPr>
              <w:t>προβλέπει το άρθρο 6 ή το παράρτημα IV ή V του εν λόγω κανονισμού.</w:t>
            </w:r>
          </w:p>
        </w:tc>
      </w:tr>
      <w:tr w:rsidR="00E451E4" w:rsidRPr="00B0345A"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hideMark/>
          </w:tcPr>
          <w:p w:rsidR="00E451E4" w:rsidRPr="00AC4460" w:rsidRDefault="00E451E4" w:rsidP="000A61DD">
            <w:pPr>
              <w:pStyle w:val="Normal6"/>
            </w:pPr>
            <w:r w:rsidRPr="00AC4460">
              <w:rPr>
                <w:vertAlign w:val="superscript"/>
              </w:rPr>
              <w:t>38</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hideMark/>
          </w:tcPr>
          <w:p w:rsidR="00E451E4" w:rsidRPr="00AC4460" w:rsidRDefault="00E451E4" w:rsidP="000A61DD">
            <w:pPr>
              <w:pStyle w:val="Normal6"/>
              <w:rPr>
                <w:szCs w:val="24"/>
              </w:rPr>
            </w:pPr>
            <w:r w:rsidRPr="00AC4460">
              <w:rPr>
                <w:vertAlign w:val="superscript"/>
              </w:rPr>
              <w:t>38</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 (Γ) – σημείο 2 – στοιχείο α</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 (Γ) – σημείο 2 – στοιχείο β</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5 (Γ) – σημείο 2 – εδάφιο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 – μέρος ΙΙ – ΚΛΠ 6 – σημείο 1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Ένας βιοδιεγέρτης φυτών είναι προϊόν λίπανσης με σήμανση CE που διεγείρει τις διαδικασίες θρέψης των φυτών ανεξάρτητα από την περιεκτικότητα του προϊόντος σε θρεπτικά συστατικά, με μοναδικό σκοπό τη βελτίωση ενός ή περισσότερων από τα ακόλουθα χαρακτηριστικά του φυτού:</w:t>
            </w:r>
          </w:p>
        </w:tc>
        <w:tc>
          <w:tcPr>
            <w:tcW w:w="4876" w:type="dxa"/>
          </w:tcPr>
          <w:p w:rsidR="00E451E4" w:rsidRPr="00AC4460" w:rsidRDefault="00E451E4" w:rsidP="000A61DD">
            <w:pPr>
              <w:pStyle w:val="Normal6"/>
              <w:rPr>
                <w:szCs w:val="24"/>
              </w:rPr>
            </w:pPr>
            <w:r w:rsidRPr="00AC4460">
              <w:t>1.</w:t>
            </w:r>
            <w:r w:rsidRPr="00AC4460">
              <w:tab/>
              <w:t>Ένας βιοδιεγέρτης φυτών είναι προϊόν λίπανσης με σήμανση CE που διεγείρει τις διαδικασίες θρέψης των φυτών ανεξάρτητα από την περιεκτικότητα του προϊόντος σε θρεπτικά συστατικά, με μοναδικό σκοπό τη βελτίωση ενός ή περισσότερων από τα ακόλουθα χαρακτηριστικά του φυτού</w:t>
            </w:r>
            <w:r w:rsidRPr="00AC4460">
              <w:rPr>
                <w:b/>
                <w:i/>
              </w:rPr>
              <w:t xml:space="preserve"> καθώς και της ριζόσφαιρας και της φυλλόσφαιρας του φυτού</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I – μέρος II – ΚΛΠ 6 – σημείο 1 – στοιχείο γ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γ α)</w:t>
            </w:r>
            <w:r w:rsidRPr="00AC4460">
              <w:rPr>
                <w:b/>
                <w:i/>
              </w:rPr>
              <w:tab/>
              <w:t>διαθεσιμότητα συγκρατούμενων θρεπτικών ουσιών στο έδαφος και στη ριζόσφαιρα·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204</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 – μέρος II – ΚΛΠ 6 – σημείο 1 – στοιχείο γ β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β)</w:t>
            </w:r>
            <w:r w:rsidRPr="00AC4460">
              <w:rPr>
                <w:b/>
                <w:i/>
              </w:rPr>
              <w:tab/>
              <w:t>χουμοποίηση·</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 – μέρος II – ΚΛΠ 6 – σημείο 1 – στοιχείο γ γ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γ)</w:t>
            </w:r>
            <w:r w:rsidRPr="00AC4460">
              <w:rPr>
                <w:b/>
                <w:i/>
              </w:rPr>
              <w:tab/>
              <w:t>αποδόμηση οργανικών ενώσεων στο έδαφος, 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II – ΚΛΠ 6 – σημείο 2 – περίπτωση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1,5</w:t>
            </w:r>
            <w:r w:rsidRPr="00AC4460">
              <w:t xml:space="preserve"> mg/kg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6 – σημείο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3.</w:t>
            </w:r>
            <w:r w:rsidRPr="00AC4460">
              <w:tab/>
              <w:t xml:space="preserve">Ο βιοδιεγέρτης φυτών επιτυγχάνει τα αποτελέσματα που δηλώνονται στην ετικέτα για </w:t>
            </w:r>
            <w:r w:rsidRPr="00AC4460">
              <w:rPr>
                <w:b/>
                <w:i/>
              </w:rPr>
              <w:t>τις καλλιέργειες</w:t>
            </w:r>
            <w:r w:rsidRPr="00AC4460">
              <w:t xml:space="preserve"> που προσδιορίζονται εκεί.</w:t>
            </w:r>
          </w:p>
        </w:tc>
        <w:tc>
          <w:tcPr>
            <w:tcW w:w="4876" w:type="dxa"/>
            <w:hideMark/>
          </w:tcPr>
          <w:p w:rsidR="00E451E4" w:rsidRPr="00AC4460" w:rsidRDefault="00E451E4" w:rsidP="000A61DD">
            <w:pPr>
              <w:pStyle w:val="Normal6"/>
              <w:rPr>
                <w:szCs w:val="24"/>
              </w:rPr>
            </w:pPr>
            <w:r w:rsidRPr="00AC4460">
              <w:t>3.</w:t>
            </w:r>
            <w:r w:rsidRPr="00AC4460">
              <w:tab/>
              <w:t xml:space="preserve">Ο βιοδιεγέρτης φυτών επιτυγχάνει τα αποτελέσματα που δηλώνονται στην ετικέτα για </w:t>
            </w:r>
            <w:r w:rsidRPr="00AC4460">
              <w:rPr>
                <w:b/>
                <w:i/>
              </w:rPr>
              <w:t>τα φυτά</w:t>
            </w:r>
            <w:r w:rsidRPr="00AC4460">
              <w:t xml:space="preserve"> που προσδιορίζονται εκεί.</w:t>
            </w:r>
            <w:r w:rsidRPr="00AC4460">
              <w:rPr>
                <w:b/>
                <w:bCs/>
                <w:i/>
                <w:iCs/>
              </w:rPr>
              <w:t xml:space="preserve"> Σε περίπτωση που ο βιοδιεγέρτης φυτών περιέχει ένα ή περισσότερα συστατικά που έχουν εγκριθεί σύμφωνα με τον κανονισμό (ΕΚ) αριθ. 1107/2009, οι πληροφορίες που παρέχονται κατά τη διάρκεια της αξιολόγησης συμμόρφωσης θα παρέχουν πειστικά εμπειρικά στοιχεία της βιοδιεγερτικής επίδρασης, λαμβάνοντας υπόψη τις σχετικές παραμέτρους, π.χ. σχετικές συγκεντρώσεις συστατικών, δόση και χρόνος εφαρμογής, στάδιο ανάπτυξης του φυτού, καλλιέργεια στόχος, κλπ.</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1</w:t>
      </w:r>
      <w:r>
        <w:rPr>
          <w:rStyle w:val="HideTWBExt"/>
          <w:b w:val="0"/>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1.</w:t>
            </w:r>
            <w:r w:rsidRPr="00AC4460">
              <w:tab/>
              <w:t xml:space="preserve">Ένας μικροβιακός βιοδιεγέρτης φυτών αποτελείται </w:t>
            </w:r>
            <w:r w:rsidRPr="00AC4460">
              <w:rPr>
                <w:b/>
                <w:i/>
              </w:rPr>
              <w:t xml:space="preserve">αποκλειστικά </w:t>
            </w:r>
            <w:r w:rsidRPr="00AC4460">
              <w:t>από</w:t>
            </w:r>
            <w:r w:rsidRPr="00AC4460">
              <w:rPr>
                <w:b/>
                <w:i/>
              </w:rPr>
              <w:t xml:space="preserve"> έναν μικροοργανισμό ή κοινοπραξία μικροοργανισμών που αναφέρονται στην κατηγορία συστατικών υλικών 7 του παραρτήματος ΙΙ.</w:t>
            </w:r>
          </w:p>
        </w:tc>
        <w:tc>
          <w:tcPr>
            <w:tcW w:w="4876" w:type="dxa"/>
            <w:hideMark/>
          </w:tcPr>
          <w:p w:rsidR="00E451E4" w:rsidRPr="00AC4460" w:rsidRDefault="00E451E4" w:rsidP="000A61DD">
            <w:pPr>
              <w:pStyle w:val="Normal6"/>
              <w:rPr>
                <w:szCs w:val="24"/>
              </w:rPr>
            </w:pPr>
            <w:r w:rsidRPr="00AC4460">
              <w:t>1.</w:t>
            </w:r>
            <w:r w:rsidRPr="00AC4460">
              <w:tab/>
              <w:t>Ένας μικροβιακός βιοδιεγέρτης φυτών αποτελείται από</w:t>
            </w:r>
            <w:r w:rsidRPr="00AC4460">
              <w:rPr>
                <w:b/>
                <w:i/>
              </w:rPr>
              <w:t>:</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α)</w:t>
            </w:r>
            <w:r w:rsidRPr="00AC4460">
              <w:tab/>
            </w:r>
            <w:r w:rsidRPr="00AC4460">
              <w:rPr>
                <w:b/>
                <w:i/>
              </w:rPr>
              <w:t>έναν μικροοργανισμό ή κοινοπραξία μικροοργανισμών που αναφέρονται στην κατηγορία συστατικών υλικών 7 του παραρτήματος ΙΙ·</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β)</w:t>
            </w:r>
            <w:r w:rsidRPr="00AC4460">
              <w:rPr>
                <w:b/>
                <w:i/>
              </w:rPr>
              <w:tab/>
              <w:t>μικροοργανισμούς ή κοινοπραξία μικροοργανισμών πέραν αυτών που προβλέπονται στο στοιχείο α). Μπορούν να χρησιμοποιηθούν ως κατηγορίες συστατικών υλικών εφόσον συμμορφώνονται με τις απαιτήσεις που καθορίζονται στην κατηγορία συστατικών υλικών 7 του παραρτήματος II.</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3</w:t>
      </w:r>
      <w:r>
        <w:rPr>
          <w:rStyle w:val="HideTWBExt"/>
          <w:b w:val="0"/>
          <w:noProof w:val="0"/>
          <w:lang w:val="en-GB"/>
        </w:rPr>
        <w:t>&lt;/Article&gt;</w:t>
      </w:r>
    </w:p>
    <w:tbl>
      <w:tblPr>
        <w:tblW w:w="9780" w:type="dxa"/>
        <w:jc w:val="center"/>
        <w:tblLayout w:type="fixed"/>
        <w:tblCellMar>
          <w:left w:w="340" w:type="dxa"/>
          <w:right w:w="340" w:type="dxa"/>
        </w:tblCellMar>
        <w:tblLook w:val="04A0" w:firstRow="1" w:lastRow="0" w:firstColumn="1" w:lastColumn="0" w:noHBand="0" w:noVBand="1"/>
      </w:tblPr>
      <w:tblGrid>
        <w:gridCol w:w="3213"/>
        <w:gridCol w:w="1323"/>
        <w:gridCol w:w="1202"/>
        <w:gridCol w:w="4042"/>
      </w:tblGrid>
      <w:tr w:rsidR="00E451E4" w:rsidRPr="000226C1" w:rsidTr="000A61DD">
        <w:trPr>
          <w:jc w:val="center"/>
        </w:trPr>
        <w:tc>
          <w:tcPr>
            <w:tcW w:w="9780" w:type="dxa"/>
            <w:gridSpan w:val="4"/>
          </w:tcPr>
          <w:p w:rsidR="00E451E4" w:rsidRPr="00FA3492" w:rsidRDefault="00E451E4" w:rsidP="000A61DD">
            <w:pPr>
              <w:keepNext/>
              <w:rPr>
                <w:lang w:val="en-GB"/>
              </w:rPr>
            </w:pPr>
          </w:p>
        </w:tc>
      </w:tr>
      <w:tr w:rsidR="00E451E4" w:rsidRPr="00B0345A" w:rsidTr="000A61DD">
        <w:trPr>
          <w:jc w:val="center"/>
        </w:trPr>
        <w:tc>
          <w:tcPr>
            <w:tcW w:w="9780" w:type="dxa"/>
            <w:gridSpan w:val="4"/>
            <w:hideMark/>
          </w:tcPr>
          <w:p w:rsidR="00E451E4" w:rsidRPr="00B0345A" w:rsidRDefault="00E451E4" w:rsidP="000A61DD">
            <w:pPr>
              <w:pStyle w:val="ColumnHeading"/>
              <w:jc w:val="left"/>
              <w:rPr>
                <w:iCs/>
              </w:rPr>
            </w:pPr>
            <w:r>
              <w:t>Κείμενο που προτείνει η Επιτροπή</w:t>
            </w:r>
          </w:p>
        </w:tc>
      </w:tr>
      <w:tr w:rsidR="00E451E4" w:rsidRPr="00B0345A" w:rsidTr="000A61DD">
        <w:trPr>
          <w:jc w:val="center"/>
        </w:trPr>
        <w:tc>
          <w:tcPr>
            <w:tcW w:w="9780" w:type="dxa"/>
            <w:gridSpan w:val="4"/>
            <w:hideMark/>
          </w:tcPr>
          <w:p w:rsidR="00E451E4" w:rsidRPr="00B0345A" w:rsidRDefault="00E451E4" w:rsidP="000A61DD">
            <w:pPr>
              <w:pStyle w:val="Normal6"/>
              <w:rPr>
                <w:b/>
                <w:bCs/>
                <w:i/>
                <w:iCs/>
              </w:rPr>
            </w:pPr>
            <w:r>
              <w:rPr>
                <w:b/>
                <w:bCs/>
                <w:i/>
                <w:iCs/>
              </w:rPr>
              <w:t>3.</w:t>
            </w:r>
            <w:r>
              <w:rPr>
                <w:b/>
                <w:bCs/>
                <w:i/>
                <w:iCs/>
              </w:rPr>
              <w:tab/>
              <w:t>Δεν ανευρίσκονται Salmonella spp. σε δείγμα βάρους 25 g ή όγκου 25 ml του προϊόντος λίπανσης με σήμανση CE.</w:t>
            </w:r>
          </w:p>
        </w:tc>
      </w:tr>
      <w:tr w:rsidR="00E451E4" w:rsidRPr="00B0345A" w:rsidTr="000A61DD">
        <w:trPr>
          <w:jc w:val="center"/>
        </w:trPr>
        <w:tc>
          <w:tcPr>
            <w:tcW w:w="9780" w:type="dxa"/>
            <w:gridSpan w:val="4"/>
          </w:tcPr>
          <w:p w:rsidR="00E451E4" w:rsidRPr="00B0345A" w:rsidRDefault="00E451E4" w:rsidP="000A61DD">
            <w:pPr>
              <w:pStyle w:val="Normal6"/>
              <w:spacing w:line="256" w:lineRule="auto"/>
            </w:pPr>
          </w:p>
        </w:tc>
      </w:tr>
      <w:tr w:rsidR="00E451E4" w:rsidRPr="00B0345A" w:rsidTr="000A61DD">
        <w:trPr>
          <w:jc w:val="center"/>
        </w:trPr>
        <w:tc>
          <w:tcPr>
            <w:tcW w:w="9780" w:type="dxa"/>
            <w:gridSpan w:val="4"/>
            <w:hideMark/>
          </w:tcPr>
          <w:p w:rsidR="00E451E4" w:rsidRPr="00B0345A" w:rsidRDefault="00E451E4" w:rsidP="000A61DD">
            <w:pPr>
              <w:pStyle w:val="ColumnHeading"/>
              <w:jc w:val="left"/>
              <w:rPr>
                <w:iCs/>
              </w:rPr>
            </w:pPr>
            <w:r>
              <w:t>Τροπολογία</w:t>
            </w:r>
          </w:p>
        </w:tc>
      </w:tr>
      <w:tr w:rsidR="00E451E4" w:rsidRPr="00B0345A" w:rsidTr="000A61DD">
        <w:trPr>
          <w:jc w:val="center"/>
        </w:trPr>
        <w:tc>
          <w:tcPr>
            <w:tcW w:w="9780" w:type="dxa"/>
            <w:gridSpan w:val="4"/>
            <w:tcBorders>
              <w:bottom w:val="single" w:sz="4" w:space="0" w:color="auto"/>
            </w:tcBorders>
            <w:hideMark/>
          </w:tcPr>
          <w:p w:rsidR="00E451E4" w:rsidRPr="00B0345A" w:rsidRDefault="00E451E4" w:rsidP="000A61DD">
            <w:pPr>
              <w:pStyle w:val="Normal6"/>
              <w:rPr>
                <w:b/>
                <w:bCs/>
                <w:i/>
                <w:iCs/>
              </w:rPr>
            </w:pPr>
            <w:r>
              <w:rPr>
                <w:b/>
                <w:bCs/>
                <w:i/>
                <w:iCs/>
              </w:rPr>
              <w:t>3.</w:t>
            </w:r>
            <w:r>
              <w:rPr>
                <w:b/>
                <w:bCs/>
                <w:i/>
                <w:iCs/>
              </w:rPr>
              <w:tab/>
              <w:t>3. Παθογόνοι παράγοντες δεν πρέπει να περιέχονται στον μικροβιακό βιοδιεγέρτη φυτών σε συγκέντρωση μεγαλύτερη των αντίστοιχων ορίων που καθορίζονται στον κατωτέρω πίνακα:</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Μικροοργανισμοί/οι τοξίνες και οι μεταβολίτες τους</w:t>
            </w:r>
          </w:p>
        </w:tc>
        <w:tc>
          <w:tcPr>
            <w:tcW w:w="2525" w:type="dxa"/>
            <w:gridSpan w:val="2"/>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Σχέδια δειγματοληψίας</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Όριο</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n</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c</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Salmonella spp</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 xml:space="preserve">Escherichia coli </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1g ή 1ml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Listeria monocytogenes</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Vibrio spp</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Salmonella spp</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Staphylococcus aureus</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Απουσία σε 25 g ή 25 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Enterococcaceae.</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2</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10 CFU/g</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Αριθμός αναερόβιων αποικιών, εκτός εάν ο μικροβιακός βιοδιεγέρτης είναι αερόβιο βακτήριο</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2</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5 CFU/g ή ml</w:t>
            </w:r>
          </w:p>
        </w:tc>
      </w:tr>
      <w:tr w:rsidR="00E451E4" w:rsidRPr="00B0345A"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Αριθμός ζυμομυκήτων και υφομυκήτων εκτός εάν ο μικροβιακός βιοδιεγέρτης είναι μύκητας</w:t>
            </w:r>
          </w:p>
        </w:tc>
        <w:tc>
          <w:tcPr>
            <w:tcW w:w="1323"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rPr>
              <w:t>2</w:t>
            </w:r>
          </w:p>
        </w:tc>
        <w:tc>
          <w:tcPr>
            <w:tcW w:w="4042"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rPr>
                <w:b/>
                <w:bCs/>
                <w:i/>
                <w:iCs/>
              </w:rPr>
            </w:pPr>
            <w:r>
              <w:rPr>
                <w:b/>
                <w:bCs/>
                <w:i/>
                <w:iCs/>
              </w:rPr>
              <w:t>1000 CFU/g ή ml</w:t>
            </w:r>
          </w:p>
        </w:tc>
      </w:tr>
      <w:tr w:rsidR="00E451E4" w:rsidRPr="00B0345A" w:rsidTr="000A61DD">
        <w:trPr>
          <w:jc w:val="center"/>
        </w:trPr>
        <w:tc>
          <w:tcPr>
            <w:tcW w:w="9780" w:type="dxa"/>
            <w:gridSpan w:val="4"/>
            <w:tcBorders>
              <w:top w:val="single" w:sz="4" w:space="0" w:color="auto"/>
            </w:tcBorders>
            <w:hideMark/>
          </w:tcPr>
          <w:p w:rsidR="00E451E4" w:rsidRPr="00B0345A" w:rsidRDefault="00E451E4" w:rsidP="000A61DD">
            <w:pPr>
              <w:pStyle w:val="Normal6"/>
              <w:rPr>
                <w:b/>
                <w:bCs/>
                <w:i/>
                <w:iCs/>
              </w:rPr>
            </w:pPr>
            <w:r>
              <w:rPr>
                <w:b/>
                <w:bCs/>
                <w:i/>
                <w:iCs/>
              </w:rPr>
              <w:t>όπου</w:t>
            </w:r>
            <w:r>
              <w:rPr>
                <w:b/>
                <w:bCs/>
                <w:i/>
                <w:iCs/>
              </w:rPr>
              <w:tab/>
              <w:t>n = αριθμός μονάδων που συνιστούν το δείγμα· c = αριθμός μονάδων δειγματοληψίας με τιμές μεγαλύτερες του καθορισμένου ορίου.</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210</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4</w:t>
      </w:r>
      <w:r>
        <w:rPr>
          <w:rStyle w:val="HideTWBExt"/>
          <w:b w:val="0"/>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4.</w:t>
            </w:r>
            <w:r w:rsidRPr="00AC4460">
              <w:rPr>
                <w:b/>
                <w:i/>
              </w:rPr>
              <w:tab/>
              <w:t>Δεν ανευρίσκεται Escherichia coli σε δείγμα βάρους 1 g ή όγκου 1 ml του προϊόντος λίπανσης με σήμανση CE.</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5</w:t>
      </w:r>
      <w:r>
        <w:rPr>
          <w:rStyle w:val="HideTWBExt"/>
          <w:b w:val="0"/>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5.</w:t>
            </w:r>
            <w:r w:rsidRPr="00AC4460">
              <w:rPr>
                <w:b/>
                <w:i/>
              </w:rPr>
              <w:tab/>
              <w:t>Δεν ανευρίσκονται Enterococcaceae στο προϊόν λίπανσης με σήμανση CE σε αριθμό μεγαλύτερο από 10 CFU/g νωπής μάζας.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6</w:t>
      </w:r>
      <w:r>
        <w:rPr>
          <w:rStyle w:val="HideTWBExt"/>
          <w:b w:val="0"/>
          <w:noProof w:val="0"/>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rPr>
                <w:b/>
                <w:bCs/>
                <w:i/>
                <w:iCs/>
              </w:rPr>
            </w:pPr>
            <w:r w:rsidRPr="00AC4460">
              <w:rPr>
                <w:b/>
                <w:bCs/>
                <w:i/>
                <w:iCs/>
              </w:rPr>
              <w:t>6.</w:t>
            </w:r>
            <w:r w:rsidRPr="00AC4460">
              <w:rPr>
                <w:b/>
                <w:bCs/>
                <w:i/>
                <w:iCs/>
              </w:rPr>
              <w:tab/>
              <w:t>Δεν ανευρίσκεται Listeria monocytogenes σε δείγμα βάρους 25 g ή όγκου 25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7</w:t>
      </w:r>
      <w:r>
        <w:rPr>
          <w:rStyle w:val="HideTWBExt"/>
          <w:b w:val="0"/>
          <w:noProof w:val="0"/>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rPr>
                <w:b/>
                <w:bCs/>
                <w:i/>
                <w:iCs/>
              </w:rPr>
            </w:pPr>
            <w:r w:rsidRPr="00AC4460">
              <w:rPr>
                <w:b/>
                <w:bCs/>
                <w:i/>
                <w:iCs/>
              </w:rPr>
              <w:t>7.</w:t>
            </w:r>
            <w:r w:rsidRPr="00AC4460">
              <w:rPr>
                <w:b/>
                <w:bCs/>
                <w:i/>
                <w:iCs/>
              </w:rPr>
              <w:tab/>
              <w:t>Δεν ανευρίσκονται Vibrio spp. σε δείγμα βάρους 25 g ή όγκου 25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8</w:t>
      </w:r>
      <w:r>
        <w:rPr>
          <w:rStyle w:val="HideTWBExt"/>
          <w:b w:val="0"/>
          <w:noProof w:val="0"/>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rPr>
                <w:b/>
                <w:bCs/>
                <w:i/>
                <w:iCs/>
              </w:rPr>
            </w:pPr>
            <w:r w:rsidRPr="00AC4460">
              <w:rPr>
                <w:b/>
                <w:bCs/>
                <w:i/>
                <w:iCs/>
              </w:rPr>
              <w:t>8.</w:t>
            </w:r>
            <w:r w:rsidRPr="00AC4460">
              <w:rPr>
                <w:b/>
                <w:bCs/>
                <w:i/>
                <w:iCs/>
              </w:rPr>
              <w:tab/>
              <w:t>Δεν ανευρίσκονται Shigella spp. σε δείγμα βάρους 25 g ή όγκου 25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9</w:t>
      </w:r>
      <w:r>
        <w:rPr>
          <w:rStyle w:val="HideTWBExt"/>
          <w:b w:val="0"/>
          <w:noProof w:val="0"/>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rPr>
                <w:b/>
                <w:bCs/>
                <w:i/>
                <w:iCs/>
              </w:rPr>
            </w:pPr>
            <w:r w:rsidRPr="00AC4460">
              <w:rPr>
                <w:b/>
                <w:bCs/>
                <w:i/>
                <w:iCs/>
              </w:rPr>
              <w:t>9.</w:t>
            </w:r>
            <w:r w:rsidRPr="00AC4460">
              <w:rPr>
                <w:b/>
                <w:bCs/>
                <w:i/>
                <w:iCs/>
              </w:rPr>
              <w:tab/>
              <w:t>Δεν ανευρίσκεται Staphylococcus aureus σε δείγμα βάρους 1 g ή όγκου 1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10</w:t>
      </w:r>
      <w:r>
        <w:rPr>
          <w:rStyle w:val="HideTWBExt"/>
          <w:b w:val="0"/>
          <w:noProof w:val="0"/>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rPr>
                <w:b/>
                <w:bCs/>
                <w:i/>
                <w:iCs/>
              </w:rPr>
            </w:pPr>
            <w:r w:rsidRPr="00AC4460">
              <w:rPr>
                <w:b/>
                <w:bCs/>
                <w:i/>
                <w:iCs/>
              </w:rPr>
              <w:t>10.</w:t>
            </w:r>
            <w:r w:rsidRPr="00AC4460">
              <w:rPr>
                <w:b/>
                <w:bCs/>
                <w:i/>
                <w:iCs/>
              </w:rPr>
              <w:tab/>
              <w:t>Ο αριθμός αερόβιων ορατών αποικιών δεν υπερβαίνει τις 10</w:t>
            </w:r>
            <w:r w:rsidRPr="00AC4460">
              <w:rPr>
                <w:b/>
                <w:bCs/>
                <w:i/>
                <w:iCs/>
                <w:vertAlign w:val="superscript"/>
              </w:rPr>
              <w:t>5</w:t>
            </w:r>
            <w:r w:rsidRPr="00AC4460">
              <w:rPr>
                <w:b/>
                <w:bCs/>
                <w:i/>
                <w:iCs/>
              </w:rPr>
              <w:t xml:space="preserve"> CFU/g ή ml δείγματος προϊόντος λίπανσης με σήμανση CE, εκτός εάν ο μικροβιακός βιοδιεγέρτης είναι αερόβιο βακτήριο.</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 – μέρος ΙΙ – ΚΛΠ 6(Α) – σημείο 12 – εδάφιο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ο βιοδιεγέρτης φυτών έχει pH υψηλότερο ή ίσο με 4.</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Παράρτημα Ι – μέρος ΙΙ – ΚΛΠ 6(Α) – σημείο 13</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13.</w:t>
            </w:r>
            <w:r w:rsidRPr="00AC4460">
              <w:rPr>
                <w:b/>
                <w:i/>
              </w:rPr>
              <w:tab/>
              <w:t>Η διάρκεια ζωής του μικροβιακού βιοδιεγέρτη φυτών είναι τουλάχιστον 6 μήνες υπό τις συνθήκες αποθήκευσης που καθορίζονται στην ετικέτα.</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keepNext/>
      </w:pPr>
      <w:r>
        <w:rPr>
          <w:rStyle w:val="HideTWBExt"/>
          <w:b w:val="0"/>
          <w:noProof w:val="0"/>
        </w:rPr>
        <w:t>&lt;Article&gt;</w:t>
      </w:r>
      <w:r w:rsidRPr="00AC4460">
        <w:t>Παράρτημα Ι – μέρος ΙΙ – ΚΛΠ 7 – σημείο 3 – εισαγωγικό μέρος</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3.</w:t>
            </w:r>
            <w:r w:rsidRPr="00AC4460">
              <w:tab/>
              <w:t xml:space="preserve">Η δραστηριότητα ανάμειξης δεν μεταβάλλει τη </w:t>
            </w:r>
            <w:r w:rsidRPr="00AC4460">
              <w:rPr>
                <w:b/>
                <w:i/>
              </w:rPr>
              <w:t>φύση</w:t>
            </w:r>
            <w:r w:rsidRPr="00AC4460">
              <w:t xml:space="preserve"> του κάθε συστατικού προϊόντος λίπανσης</w:t>
            </w:r>
          </w:p>
        </w:tc>
        <w:tc>
          <w:tcPr>
            <w:tcW w:w="4876" w:type="dxa"/>
          </w:tcPr>
          <w:p w:rsidR="00E451E4" w:rsidRPr="00AC4460" w:rsidRDefault="00E451E4" w:rsidP="000A61DD">
            <w:pPr>
              <w:pStyle w:val="Normal6"/>
            </w:pPr>
            <w:r w:rsidRPr="00AC4460">
              <w:t>3.</w:t>
            </w:r>
            <w:r w:rsidRPr="00AC4460">
              <w:tab/>
              <w:t xml:space="preserve">Η δραστηριότητα ανάμειξης δεν μεταβάλλει τη </w:t>
            </w:r>
            <w:r w:rsidRPr="00AC4460">
              <w:rPr>
                <w:b/>
                <w:i/>
              </w:rPr>
              <w:t>λειτουργία</w:t>
            </w:r>
            <w:r w:rsidRPr="00AC4460">
              <w:t xml:space="preserve"> του κάθε συστατικού προϊόντος λίπανσης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220</w:t>
      </w:r>
      <w:r>
        <w:rPr>
          <w:rStyle w:val="HideTWBExt"/>
          <w:b w:val="0"/>
          <w:noProof w:val="0"/>
        </w:rPr>
        <w:t>&lt;/NumAm&gt;</w:t>
      </w:r>
    </w:p>
    <w:p w:rsidR="00E451E4" w:rsidRPr="00B0345A" w:rsidRDefault="00E451E4" w:rsidP="00E451E4">
      <w:pPr>
        <w:pStyle w:val="NormalBold"/>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Παράρτημα II – μέρος I – ΚΣΥ 11 α (νέο)</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jc w:val="center"/>
              <w:rPr>
                <w:b/>
                <w:bCs/>
                <w:i/>
                <w:iCs/>
              </w:rPr>
            </w:pPr>
            <w:r w:rsidRPr="00AC4460">
              <w:rPr>
                <w:b/>
                <w:bCs/>
                <w:i/>
                <w:iCs/>
              </w:rPr>
              <w:t>ΚΣΥ 11α: Λοιπά υποπροϊόντα της βιομηχανίας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II – μέρος II – ΚΣΥ 1 – σημείο 1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1.</w:t>
            </w:r>
            <w:r w:rsidRPr="00AC4460">
              <w:tab/>
              <w:t>Ένα προϊόν λίπανσης με σήμανση CE επιτρέπεται να περιέχει ουσίες και μείγματα, εκτός από</w:t>
            </w:r>
            <w:r w:rsidRPr="00AC4460">
              <w:rPr>
                <w:vertAlign w:val="superscript"/>
              </w:rPr>
              <w:t>39</w:t>
            </w:r>
          </w:p>
        </w:tc>
        <w:tc>
          <w:tcPr>
            <w:tcW w:w="4876" w:type="dxa"/>
            <w:hideMark/>
          </w:tcPr>
          <w:p w:rsidR="00E451E4" w:rsidRPr="00AC4460" w:rsidRDefault="00E451E4" w:rsidP="000A61DD">
            <w:pPr>
              <w:pStyle w:val="Normal6"/>
              <w:rPr>
                <w:szCs w:val="24"/>
              </w:rPr>
            </w:pPr>
            <w:r w:rsidRPr="00AC4460">
              <w:t>1.</w:t>
            </w:r>
            <w:r w:rsidRPr="00AC4460">
              <w:tab/>
              <w:t xml:space="preserve">Ένα προϊόν λίπανσης με σήμανση CE επιτρέπεται να περιέχει ουσίες και μείγματα, </w:t>
            </w:r>
            <w:r w:rsidRPr="00AC4460">
              <w:rPr>
                <w:b/>
                <w:i/>
              </w:rPr>
              <w:t xml:space="preserve">συμπεριλαμβανομένων των τεχνικών πρόσθετων, </w:t>
            </w:r>
            <w:r w:rsidRPr="00AC4460">
              <w:t>εκτός από</w:t>
            </w:r>
            <w:r w:rsidRPr="00AC4460">
              <w:rPr>
                <w:vertAlign w:val="superscript"/>
              </w:rPr>
              <w:t>39</w:t>
            </w:r>
          </w:p>
        </w:tc>
      </w:tr>
      <w:tr w:rsidR="00E451E4" w:rsidRPr="00B0345A"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hideMark/>
          </w:tcPr>
          <w:p w:rsidR="00E451E4" w:rsidRPr="00AC4460" w:rsidRDefault="00E451E4" w:rsidP="000A61DD">
            <w:pPr>
              <w:pStyle w:val="Normal6"/>
            </w:pPr>
            <w:r w:rsidRPr="00AC4460">
              <w:rPr>
                <w:vertAlign w:val="superscript"/>
              </w:rPr>
              <w:t>39</w:t>
            </w:r>
            <w:r w:rsidR="000E6C72">
              <w:rPr>
                <w:vertAlign w:val="superscript"/>
              </w:rPr>
              <w:t xml:space="preserve"> </w:t>
            </w:r>
            <w:r w:rsidRPr="00AC4460">
              <w:t>Ο αποκλεισμός ενός υλικού από την ΚΣΥ 1 δεν σημαίνει ότι αποκλείεται αυτό να αποτελεί κατάλληλο συστατικό υλικό βάσει άλλης ΚΣΥ με διαφορετικές απαιτήσεις. Δείτε για παράδειγμα την ΚΣΥ 11 για τα ζωικά υποπροϊόντα, τις ΚΣΥ 9 και 10 για τα πολυμερή και την ΚΣΥ 8 για τα γεωπονικά πρόσθετα.</w:t>
            </w:r>
          </w:p>
        </w:tc>
        <w:tc>
          <w:tcPr>
            <w:tcW w:w="4876" w:type="dxa"/>
            <w:hideMark/>
          </w:tcPr>
          <w:p w:rsidR="00E451E4" w:rsidRPr="00AC4460" w:rsidRDefault="00E451E4" w:rsidP="000A61DD">
            <w:pPr>
              <w:pStyle w:val="Normal6"/>
              <w:rPr>
                <w:szCs w:val="24"/>
              </w:rPr>
            </w:pPr>
            <w:r w:rsidRPr="00AC4460">
              <w:rPr>
                <w:vertAlign w:val="superscript"/>
              </w:rPr>
              <w:t>39</w:t>
            </w:r>
            <w:r w:rsidR="000E6C72">
              <w:rPr>
                <w:vertAlign w:val="superscript"/>
              </w:rPr>
              <w:t xml:space="preserve"> </w:t>
            </w:r>
            <w:r w:rsidRPr="00AC4460">
              <w:t>Ο αποκλεισμός ενός υλικού από την ΚΣΥ 1 δεν σημαίνει ότι αποκλείεται αυτό να αποτελεί κατάλληλο συστατικό υλικό βάσει άλλης ΚΣΥ με διαφορετικές απαιτήσεις. Δείτε για παράδειγμα την ΚΣΥ 11 για τα ζωικά υποπροϊόντα, τις ΚΣΥ 9 και 10 για τα πολυμερή και την ΚΣΥ 8 για τα γεωπονικά πρόσθετα.</w:t>
            </w:r>
          </w:p>
        </w:tc>
      </w:tr>
    </w:tbl>
    <w:p w:rsidR="00E451E4" w:rsidRPr="00B0345A" w:rsidRDefault="00E451E4" w:rsidP="00E451E4">
      <w:pPr>
        <w:pStyle w:val="AMNumberTabs"/>
        <w:keepNext/>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1 – σημείο 1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υποπροϊόντα κατά την έννοια της οδηγίας 2008/98/ΕΚ,</w:t>
            </w:r>
          </w:p>
        </w:tc>
        <w:tc>
          <w:tcPr>
            <w:tcW w:w="4876" w:type="dxa"/>
          </w:tcPr>
          <w:p w:rsidR="00E451E4" w:rsidRPr="00AC4460" w:rsidRDefault="00E451E4" w:rsidP="000A61DD">
            <w:pPr>
              <w:pStyle w:val="Normal6"/>
              <w:rPr>
                <w:szCs w:val="24"/>
              </w:rPr>
            </w:pPr>
            <w:r w:rsidRPr="00AC4460">
              <w:t>β)</w:t>
            </w:r>
            <w:r w:rsidRPr="00AC4460">
              <w:tab/>
              <w:t>υποπροϊόντα κατά την έννοια της οδηγίας 2008/98/ΕΚ,</w:t>
            </w:r>
            <w:r w:rsidRPr="00AC4460">
              <w:rPr>
                <w:b/>
                <w:i/>
              </w:rPr>
              <w:t xml:space="preserve"> εξαιρουμένων των υποπροϊόντων που καταχωρίζονται σύμφωνα με τις διατάξεις του κανονισμού (ΕΚ) αριθ. 1907/2006, εκτός από εκείνα που ανήκουν στις εξαιρέσεις από την υποχρέωση καταχώρισης που προβλέπεται στο παράρτημα V σημείο 5 του εν λόγω κανονισμού,</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1 – σημείο 1 – στοιχείο ε</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w:t>
            </w:r>
            <w:r w:rsidRPr="00AC4460">
              <w:tab/>
              <w:t>πολυμερή, ή</w:t>
            </w:r>
          </w:p>
        </w:tc>
        <w:tc>
          <w:tcPr>
            <w:tcW w:w="4876" w:type="dxa"/>
          </w:tcPr>
          <w:p w:rsidR="00E451E4" w:rsidRPr="00AC4460" w:rsidRDefault="00E451E4" w:rsidP="000A61DD">
            <w:pPr>
              <w:pStyle w:val="Normal6"/>
              <w:rPr>
                <w:szCs w:val="24"/>
              </w:rPr>
            </w:pPr>
            <w:r w:rsidRPr="00AC4460">
              <w:t>ε)</w:t>
            </w:r>
            <w:r w:rsidRPr="00AC4460">
              <w:tab/>
              <w:t>πολυμερή</w:t>
            </w:r>
            <w:r w:rsidRPr="00AC4460">
              <w:rPr>
                <w:b/>
                <w:i/>
              </w:rPr>
              <w:t xml:space="preserve"> με εξαίρεση όσα χρησιμοποιούνται σε υποστρώματα καλλιέργειας που δεν έρχονται σε επαφή με το έδαφος</w:t>
            </w:r>
            <w:r w:rsidRPr="00AC4460">
              <w:t>, 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1 – σημείο 2 – εδάφιο 1 – εισαγωγικό μέρος</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Όλες οι ουσίες που ενσωματώνονται σε προϊόν λίπανσης με σήμανση CE, σε καθαρή μορφή ή σε μείγμα, πρέπει να έχουν καταχωριστεί σύμφωνα με τον κανονισμό (ΕΚ) αριθ. 1907/2006 με φάκελο που περιέχει</w:t>
            </w:r>
          </w:p>
        </w:tc>
        <w:tc>
          <w:tcPr>
            <w:tcW w:w="4876" w:type="dxa"/>
          </w:tcPr>
          <w:p w:rsidR="00E451E4" w:rsidRPr="00AC4460" w:rsidRDefault="00E451E4" w:rsidP="000A61DD">
            <w:pPr>
              <w:pStyle w:val="Normal6"/>
              <w:rPr>
                <w:szCs w:val="24"/>
              </w:rPr>
            </w:pPr>
            <w:r w:rsidRPr="00AC4460">
              <w:rPr>
                <w:b/>
                <w:i/>
              </w:rPr>
              <w:t xml:space="preserve">Εκτός των ουσιών τις οποίες καλύπτουν ρητώς οι εξαιρέσεις από την υποχρέωση καταχώρισης που προβλέπει το άρθρο 6 του κανονισμού (ΕΚ) αριθ. 1907/2006 ή τα παραρτήματα IV ή V του εν λόγω κανονισμού, </w:t>
            </w:r>
            <w:r w:rsidRPr="00AC4460">
              <w:t>όλες οι ουσίες που ενσωματώνονται σε προϊόν λίπανσης με σήμανση CE, σε καθαρή μορφή ή σε μείγμα, πρέπει να έχουν καταχωριστεί σύμφωνα με τον κανονισμό (ΕΚ) αριθ. 1907/2006 με φάκελο που περιέχει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1 – σημείο 2 – εδάφιο 1 – στοιχείο 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1 – σημείο 2 – εδάφιο 1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1 – σημείο 2 – εδάφιο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ΙΙ – μέρος ΙΙ – ΚΣΥ 2 – σημείο 1</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FA3492"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spacing w:line="256" w:lineRule="auto"/>
              <w:rPr>
                <w:szCs w:val="24"/>
              </w:rPr>
            </w:pPr>
            <w:r w:rsidRPr="00AC4460">
              <w:t>1.</w:t>
            </w:r>
            <w:r w:rsidRPr="00AC4460">
              <w:tab/>
              <w:t>Ένα προϊόν λίπανσης με σήμανση CE επιτρέπεται να περιέχει φυτά, μέρη φυτών ή εκχυλίσματα φυτών που δεν έχουν υποστεί καμία άλλη επεξεργασία πέραν της κοπής, της άλεσης, της φυγοκέντρησης, της συμπίεσης, της ξήρανσης, της λυοφιλίωσης</w:t>
            </w:r>
            <w:r w:rsidRPr="00AC4460">
              <w:rPr>
                <w:b/>
                <w:i/>
              </w:rPr>
              <w:t xml:space="preserve"> ή</w:t>
            </w:r>
            <w:r w:rsidRPr="00AC4460">
              <w:t xml:space="preserve"> της εκχύλισης με νερό.</w:t>
            </w:r>
          </w:p>
        </w:tc>
        <w:tc>
          <w:tcPr>
            <w:tcW w:w="4875" w:type="dxa"/>
            <w:hideMark/>
          </w:tcPr>
          <w:p w:rsidR="00E451E4" w:rsidRPr="00AC4460" w:rsidRDefault="00E451E4" w:rsidP="000A61DD">
            <w:pPr>
              <w:pStyle w:val="Normal6"/>
              <w:spacing w:line="256" w:lineRule="auto"/>
              <w:rPr>
                <w:b/>
                <w:i/>
                <w:szCs w:val="24"/>
              </w:rPr>
            </w:pPr>
            <w:r w:rsidRPr="00AC4460">
              <w:t>1.</w:t>
            </w:r>
            <w:r w:rsidRPr="00AC4460">
              <w:tab/>
              <w:t xml:space="preserve">Ένα προϊόν λίπανσης με σήμανση CE επιτρέπεται να περιέχει φυτά, μέρη φυτών ή εκχυλίσματα φυτών που δεν έχουν υποστεί καμία άλλη επεξεργασία πέραν της κοπής, της άλεσης, της φυγοκέντρησης, της </w:t>
            </w:r>
            <w:r w:rsidRPr="00AC4460">
              <w:rPr>
                <w:b/>
                <w:i/>
              </w:rPr>
              <w:t xml:space="preserve">κοσκίνισης, της λειοτρίβησης, της </w:t>
            </w:r>
            <w:r w:rsidRPr="00AC4460">
              <w:t>συμπίεσης, της ξήρανσης, της λυοφιλίωσης</w:t>
            </w:r>
            <w:r w:rsidRPr="00AC4460">
              <w:rPr>
                <w:b/>
                <w:i/>
              </w:rPr>
              <w:t>, της απόπλυσης, της εξώθησης, της ακτινοβόλησης, της επεξεργασίας κατάψυξης, της απολύμανσης με τη χρήση θερμότητας,</w:t>
            </w:r>
            <w:r w:rsidRPr="00AC4460">
              <w:t xml:space="preserve"> της εκχύλισης με νερό</w:t>
            </w:r>
            <w:r w:rsidRPr="00AC4460">
              <w:rPr>
                <w:b/>
                <w:i/>
              </w:rPr>
              <w:t xml:space="preserve"> ή οποιαδήποτε άλλη προετοιμασία ή επεξεργασία που δεν έχει ως αποτέλεσμα την υπαγωγή της τελικής ουσίας σε καταχώριση σύμφωνα με τον κανονισμό (ΕΚ) αριθ. 1907/2006</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ΙΙ – μέρος ΙΙ – ΚΣΥ 2 – σημείο 2</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FA3492"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rPr>
                <w:szCs w:val="24"/>
              </w:rPr>
            </w:pPr>
            <w:r w:rsidRPr="00AC4460">
              <w:t>2.</w:t>
            </w:r>
            <w:r w:rsidRPr="00AC4460">
              <w:tab/>
              <w:t xml:space="preserve">Για τους σκοπούς της παραγράφου 1 θεωρείται ότι στα φυτά περιλαμβάνονται τα φύκη και </w:t>
            </w:r>
            <w:r w:rsidRPr="00AC4460">
              <w:rPr>
                <w:b/>
                <w:i/>
              </w:rPr>
              <w:t>δεν περιλαμβάνονται τα κυανοφύκη</w:t>
            </w:r>
            <w:r w:rsidRPr="00AC4460">
              <w:t>.</w:t>
            </w:r>
          </w:p>
        </w:tc>
        <w:tc>
          <w:tcPr>
            <w:tcW w:w="4875" w:type="dxa"/>
            <w:hideMark/>
          </w:tcPr>
          <w:p w:rsidR="00E451E4" w:rsidRPr="00AC4460" w:rsidRDefault="00E451E4" w:rsidP="000A61DD">
            <w:pPr>
              <w:pStyle w:val="Normal6"/>
              <w:rPr>
                <w:b/>
                <w:i/>
                <w:szCs w:val="24"/>
              </w:rPr>
            </w:pPr>
            <w:r w:rsidRPr="00AC4460">
              <w:t>2.</w:t>
            </w:r>
            <w:r w:rsidRPr="00AC4460">
              <w:tab/>
              <w:t>Για τους σκοπούς της παραγράφου 1 θεωρείται ότι στα φυτά περιλαμβάνονται τα φύκη</w:t>
            </w:r>
            <w:r w:rsidRPr="00AC4460">
              <w:rPr>
                <w:b/>
                <w:i/>
              </w:rPr>
              <w:t>, εκτός από τα κυανοφύκη που παράγουν κυανοτοξίνες οι οποίες ταξινομούνται ως επικίνδυνες σύμφωνα με τον κανονισμό (ΕΚ) αριθ. 1272/2008 για την ταξινόμηση, την επισήμανση</w:t>
            </w:r>
            <w:r w:rsidRPr="00AC4460">
              <w:t xml:space="preserve"> και </w:t>
            </w:r>
            <w:r w:rsidRPr="00AC4460">
              <w:rPr>
                <w:b/>
                <w:i/>
              </w:rPr>
              <w:t>τη συσκευασία των ουσιών και των μειγμάτων</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ΙΙ – μέρος ΙΙ – ΚΣΥ 3 – σημείο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 xml:space="preserve">Ένα προϊόν </w:t>
            </w:r>
            <w:r w:rsidRPr="00AC4460">
              <w:rPr>
                <w:b/>
                <w:i/>
              </w:rPr>
              <w:t>λίπανσης</w:t>
            </w:r>
            <w:r w:rsidRPr="00AC4460">
              <w:t xml:space="preserve"> με σήμανση CE επιτρέπεται να περιέχει κομπόστ που προέρχεται από αερόβια κομποστοποίηση ενός ή περισσότερων από τα ακόλουθα υλικά εισροής αποκλειστικά:</w:t>
            </w:r>
          </w:p>
        </w:tc>
        <w:tc>
          <w:tcPr>
            <w:tcW w:w="4876" w:type="dxa"/>
          </w:tcPr>
          <w:p w:rsidR="00E451E4" w:rsidRPr="00AC4460" w:rsidRDefault="00E451E4" w:rsidP="000A61DD">
            <w:pPr>
              <w:pStyle w:val="Normal6"/>
              <w:rPr>
                <w:szCs w:val="24"/>
              </w:rPr>
            </w:pPr>
            <w:r w:rsidRPr="00AC4460">
              <w:t>1.</w:t>
            </w:r>
            <w:r w:rsidRPr="00AC4460">
              <w:tab/>
              <w:t xml:space="preserve">Ένα προϊόν </w:t>
            </w:r>
            <w:r w:rsidRPr="00AC4460">
              <w:rPr>
                <w:b/>
                <w:i/>
              </w:rPr>
              <w:t>θρέψης φυτών</w:t>
            </w:r>
            <w:r w:rsidRPr="00AC4460">
              <w:t xml:space="preserve"> με σήμανση CE επιτρέπεται να περιέχει κομπόστ</w:t>
            </w:r>
            <w:r w:rsidRPr="00AC4460">
              <w:rPr>
                <w:b/>
                <w:i/>
              </w:rPr>
              <w:t>, ένα υγρό ή μη υγρό μικροβιακό ή μη μικροβιακό εκχύλισμα που παρασκευάζεται από κομπόστ,</w:t>
            </w:r>
            <w:r w:rsidRPr="00AC4460">
              <w:t xml:space="preserve"> που προέρχεται από αερόβια κομποστοποίηση</w:t>
            </w:r>
            <w:r w:rsidRPr="00AC4460">
              <w:rPr>
                <w:b/>
                <w:i/>
              </w:rPr>
              <w:t>, και τον πιθανό μετέπειτα πολλαπλασιασμό των φυσικά παραγόμενων μικροβιακών προϊόντων</w:t>
            </w:r>
            <w:r w:rsidRPr="00AC4460">
              <w:t xml:space="preserve"> ενός ή περισσότερων από τα ακόλουθα υλικά εισροής αποκλειστικά:</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3 – σημείο 1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r>
            <w:r w:rsidRPr="00AC4460">
              <w:rPr>
                <w:b/>
                <w:i/>
              </w:rPr>
              <w:t>Ζωικά υποπροϊόντα των κατηγοριών 2 και 3 σύμφωνα με τον κανονισμό</w:t>
            </w:r>
            <w:r w:rsidRPr="00AC4460">
              <w:t xml:space="preserve"> (ΕΚ) αριθ. 1069/2009</w:t>
            </w:r>
            <w:r w:rsidRPr="00AC4460">
              <w:rPr>
                <w:b/>
                <w:i/>
              </w:rPr>
              <w:t>·</w:t>
            </w:r>
          </w:p>
        </w:tc>
        <w:tc>
          <w:tcPr>
            <w:tcW w:w="4876" w:type="dxa"/>
          </w:tcPr>
          <w:p w:rsidR="00E451E4" w:rsidRPr="00AC4460" w:rsidRDefault="00E451E4" w:rsidP="000A61DD">
            <w:pPr>
              <w:pStyle w:val="Normal6"/>
              <w:rPr>
                <w:szCs w:val="24"/>
              </w:rPr>
            </w:pPr>
            <w:r w:rsidRPr="00AC4460">
              <w:t>β)</w:t>
            </w:r>
            <w:r w:rsidRPr="00AC4460">
              <w:tab/>
            </w:r>
            <w:r w:rsidRPr="00AC4460">
              <w:rPr>
                <w:b/>
                <w:i/>
              </w:rPr>
              <w:t>Προϊόντα που προέρχονται από ζωικά υποπροϊόντα που αναφέρονται στο άρθρο 32 του κανονισμού</w:t>
            </w:r>
            <w:r w:rsidRPr="00AC4460">
              <w:t xml:space="preserve"> (ΕΚ) αριθ. 1069/2009</w:t>
            </w:r>
            <w:r w:rsidRPr="00AC4460">
              <w:rPr>
                <w:b/>
                <w:i/>
              </w:rPr>
              <w:t xml:space="preserve"> για τα οποία το τελικό σημείο στην αλυσίδα παρασκευής έχει επιτευχθεί σύμφωνα με το άρθρο 5 του εν λόγω κανονισμού·</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II – μέρος II – ΚΣΥ 3 – σημείο 1 – στοιχείο γ – εισαγωγικό μέρος</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γ)</w:t>
            </w:r>
            <w:r w:rsidRPr="00AC4460">
              <w:tab/>
              <w:t xml:space="preserve">Ζώντες ή νεκρούς οργανισμούς ή μέρη αυτών, οι οποίοι/τα οποία δεν έχουν υποστεί επεξεργασία ή έχουν υποστεί επεξεργασία μόνο με χειροκίνητα, μηχανικά ή βαρυτικά μέσα, με διάλυση στο νερό, με επίπλευση, με εκχύλιση με νερό, </w:t>
            </w:r>
            <w:r w:rsidRPr="00AC4460">
              <w:rPr>
                <w:b/>
                <w:i/>
              </w:rPr>
              <w:t xml:space="preserve">με απόσταξη με υδρατμούς ή με θέρμανση αποκλειστικά για την αφαίρεση του νερού, ή οι οποίοι/τα οποία λαμβάνονται από τον αέρα με οποιονδήποτε τρόπο, </w:t>
            </w:r>
            <w:r w:rsidRPr="00AC4460">
              <w:t>εκτός από</w:t>
            </w:r>
          </w:p>
        </w:tc>
        <w:tc>
          <w:tcPr>
            <w:tcW w:w="4876" w:type="dxa"/>
          </w:tcPr>
          <w:p w:rsidR="00E451E4" w:rsidRPr="00AC4460" w:rsidRDefault="00E451E4" w:rsidP="000A61DD">
            <w:pPr>
              <w:pStyle w:val="Normal6"/>
              <w:rPr>
                <w:szCs w:val="24"/>
              </w:rPr>
            </w:pPr>
            <w:r w:rsidRPr="00AC4460">
              <w:t>γ)</w:t>
            </w:r>
            <w:r w:rsidRPr="00AC4460">
              <w:tab/>
              <w:t>Ζώντες ή νεκρούς οργανισμούς ή μέρη αυτών, οι οποίοι/τα οποία δεν έχουν υποστεί επεξεργασία ή έχουν υποστεί επεξεργασία μόνο με χειροκίνητα, μηχανικά ή βαρυτικά μέσα, με διάλυση στο νερό, με επίπλευση, με εκχύλιση με νερό, εκτός από</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3 – σημείο 1 – στοιχείο γ – περίπτωση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w:t>
            </w:r>
            <w:r w:rsidRPr="00AC4460">
              <w:tab/>
              <w:t>λυματολάσπη, βιομηχανική ιλύ ή ιλύ βυθοκόρησης, και</w:t>
            </w:r>
          </w:p>
        </w:tc>
        <w:tc>
          <w:tcPr>
            <w:tcW w:w="4876" w:type="dxa"/>
            <w:hideMark/>
          </w:tcPr>
          <w:p w:rsidR="00E451E4" w:rsidRPr="00AC4460" w:rsidRDefault="00E451E4" w:rsidP="000A61DD">
            <w:pPr>
              <w:pStyle w:val="Normal6"/>
              <w:rPr>
                <w:szCs w:val="24"/>
              </w:rPr>
            </w:pPr>
            <w:r w:rsidRPr="00AC4460">
              <w:t>–</w:t>
            </w:r>
            <w:r w:rsidRPr="00AC4460">
              <w:tab/>
              <w:t xml:space="preserve">λυματολάσπη, βιομηχανική ιλύ </w:t>
            </w:r>
            <w:r w:rsidRPr="00AC4460">
              <w:rPr>
                <w:b/>
                <w:i/>
              </w:rPr>
              <w:t xml:space="preserve">(εκτός των μη αναλώσιμων υπολειμμάτων τροφών, της χορτονομής και των φυτειών που συνδέονται με τα αγροκαύσιμα) </w:t>
            </w:r>
            <w:r w:rsidRPr="00AC4460">
              <w:t>ή ιλύ βυθοκόρησης, και</w:t>
            </w:r>
          </w:p>
        </w:tc>
      </w:tr>
    </w:tbl>
    <w:p w:rsidR="00E451E4" w:rsidRPr="00B0345A" w:rsidRDefault="00E451E4" w:rsidP="00E451E4">
      <w:pPr>
        <w:pStyle w:val="AMNumberTabs"/>
        <w:keepNext/>
        <w:rPr>
          <w:rStyle w:val="HideTWBExt"/>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3 – σημείο 1 – στοιχείο δ – σημείο 1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το πρόσθετο έχει καταχωριστεί σύμφωνα με τον κανονισμό (ΕΚ) αριθ. 1907/2006</w:t>
            </w:r>
            <w:r w:rsidRPr="00AC4460">
              <w:rPr>
                <w:vertAlign w:val="superscript"/>
              </w:rPr>
              <w:t>40</w:t>
            </w:r>
            <w:r w:rsidRPr="00AC4460">
              <w:rPr>
                <w:b/>
                <w:i/>
              </w:rPr>
              <w:t xml:space="preserve"> με φάκελο</w:t>
            </w:r>
            <w:r w:rsidRPr="00AC4460">
              <w:t xml:space="preserve"> που </w:t>
            </w:r>
            <w:r w:rsidRPr="00AC4460">
              <w:rPr>
                <w:b/>
                <w:i/>
              </w:rPr>
              <w:t>περιέχει</w:t>
            </w:r>
          </w:p>
        </w:tc>
        <w:tc>
          <w:tcPr>
            <w:tcW w:w="4876" w:type="dxa"/>
          </w:tcPr>
          <w:p w:rsidR="00E451E4" w:rsidRPr="00AC4460" w:rsidRDefault="00E451E4" w:rsidP="000A61DD">
            <w:pPr>
              <w:pStyle w:val="Normal6"/>
              <w:rPr>
                <w:szCs w:val="24"/>
              </w:rPr>
            </w:pPr>
            <w:r w:rsidRPr="00AC4460">
              <w:t>–</w:t>
            </w:r>
            <w:r w:rsidRPr="00AC4460">
              <w:tab/>
              <w:t>το πρόσθετο έχει καταχωριστεί σύμφωνα με τον κανονισμό (ΕΚ) αριθ. 1907/2006</w:t>
            </w:r>
            <w:r w:rsidRPr="00AC4460">
              <w:rPr>
                <w:vertAlign w:val="superscript"/>
              </w:rPr>
              <w:t>40</w:t>
            </w:r>
            <w:r w:rsidRPr="00AC4460">
              <w:rPr>
                <w:b/>
                <w:i/>
              </w:rPr>
              <w:t>, εκτός εάν το καλύπτει ρητώς κάποια από τις εξαιρέσεις από την υποχρέωση καταχώρισης</w:t>
            </w:r>
            <w:r w:rsidRPr="00AC4460">
              <w:t xml:space="preserve"> που </w:t>
            </w:r>
            <w:r w:rsidRPr="00AC4460">
              <w:rPr>
                <w:b/>
                <w:i/>
              </w:rPr>
              <w:t>προβλέπονται στο άρθρο 6 ή στο παράρτημα IV ή V του εν λόγω κανονισμού.</w:t>
            </w:r>
          </w:p>
        </w:tc>
      </w:tr>
      <w:tr w:rsidR="00E451E4" w:rsidRPr="00B0345A"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40</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0E6C72">
              <w:rPr>
                <w:vertAlign w:val="superscript"/>
              </w:rPr>
              <w:t>40</w:t>
            </w:r>
            <w:r w:rsidR="000E6C72">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3 – σημείο 1 – στοιχείο δ – σημείο 1 – περίπτωση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3 – σημείο 1 – στοιχείο δ – σημείο 1 – περίπτωση 3</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3 – σημείο 1 – στοιχείο δ – σημείο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εκτός εάν αυτό καλύπτεται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 και</w:t>
            </w:r>
          </w:p>
        </w:tc>
        <w:tc>
          <w:tcPr>
            <w:tcW w:w="4876" w:type="dxa"/>
          </w:tcPr>
          <w:p w:rsidR="00E451E4" w:rsidRPr="00AC4460" w:rsidRDefault="00E451E4" w:rsidP="000A61DD">
            <w:pPr>
              <w:pStyle w:val="Normal6"/>
              <w:rPr>
                <w:szCs w:val="24"/>
              </w:rPr>
            </w:pPr>
            <w:r w:rsidRPr="00AC4460">
              <w:rPr>
                <w:b/>
                <w:i/>
              </w:rPr>
              <w:t>διαγράφεται</w:t>
            </w:r>
          </w:p>
        </w:tc>
      </w:tr>
      <w:tr w:rsidR="00E451E4" w:rsidRPr="00B0345A" w:rsidTr="000A61DD">
        <w:trPr>
          <w:jc w:val="center"/>
        </w:trPr>
        <w:tc>
          <w:tcPr>
            <w:tcW w:w="4876" w:type="dxa"/>
          </w:tcPr>
          <w:p w:rsidR="00E451E4" w:rsidRPr="00AC4460" w:rsidRDefault="00E451E4" w:rsidP="000A61DD">
            <w:pPr>
              <w:pStyle w:val="Normal6"/>
            </w:pPr>
            <w:r w:rsidRPr="00AC4460">
              <w:rPr>
                <w:b/>
                <w:i/>
              </w:rPr>
              <w:t>– η συνολική συγκέντρωση όλων των προσθέτων δεν υπερβαίνει το 5 % του συνόλου των εισερχόμενων υλικών· ή</w:t>
            </w:r>
          </w:p>
        </w:tc>
        <w:tc>
          <w:tcPr>
            <w:tcW w:w="4876" w:type="dxa"/>
          </w:tcPr>
          <w:p w:rsidR="00E451E4" w:rsidRPr="00AC4460" w:rsidRDefault="00E451E4" w:rsidP="000A61DD">
            <w:pPr>
              <w:pStyle w:val="Normal6"/>
              <w:rPr>
                <w:szCs w:val="24"/>
              </w:rPr>
            </w:pP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3 – σημείο 1 – στοιχείο ε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α)</w:t>
            </w:r>
            <w:r w:rsidRPr="00AC4460">
              <w:rPr>
                <w:b/>
                <w:i/>
              </w:rPr>
              <w:tab/>
              <w:t>Μη επεξεργασμένα και μηχανικά επεξεργασμένα υπολείμματα από βιομηχανίες παραγωγής τροφίμων, με εξαίρεση τις βιομηχανίες που χρησιμοποιούν ζωικά υποπροϊόντα σύμφωνα με τον κανονισμό (ΕΚ) αριθ. 1069/2009.</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3 – σημείο 1 – στοιχείο ε β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β)</w:t>
            </w:r>
            <w:r w:rsidRPr="00AC4460">
              <w:rPr>
                <w:b/>
                <w:i/>
              </w:rPr>
              <w:tab/>
              <w:t>Υλικά που συμμορφώνονται με τις ΚΣΥ 2, ΚΣΥ 3, ΚΣΥ 4, ΚΣΥ 5, ΚΣΥ 6 και ΚΣΥ 11.</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II – ΚΛΠ 3 – σημείο 2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όπου </w:t>
            </w:r>
            <w:r w:rsidRPr="00AC4460">
              <w:rPr>
                <w:b/>
                <w:i/>
              </w:rPr>
              <w:t>πραγματοποιείται επεξεργασία αποκλειστικά και μόνο</w:t>
            </w:r>
            <w:r w:rsidRPr="00AC4460">
              <w:t xml:space="preserve"> των υλικών εισροής που αναφέρονται στην παράγραφο 1 παραπάνω, και</w:t>
            </w:r>
          </w:p>
        </w:tc>
        <w:tc>
          <w:tcPr>
            <w:tcW w:w="4876" w:type="dxa"/>
          </w:tcPr>
          <w:p w:rsidR="00E451E4" w:rsidRPr="00AC4460" w:rsidRDefault="00E451E4" w:rsidP="000A61DD">
            <w:pPr>
              <w:pStyle w:val="Normal6"/>
              <w:rPr>
                <w:szCs w:val="24"/>
              </w:rPr>
            </w:pPr>
            <w:r w:rsidRPr="00AC4460">
              <w:t>–</w:t>
            </w:r>
            <w:r w:rsidRPr="00AC4460">
              <w:tab/>
              <w:t xml:space="preserve">όπου </w:t>
            </w:r>
            <w:r w:rsidRPr="00AC4460">
              <w:rPr>
                <w:b/>
                <w:i/>
              </w:rPr>
              <w:t>οι γραμμές παραγωγής για την επεξεργασία</w:t>
            </w:r>
            <w:r w:rsidRPr="00AC4460">
              <w:t xml:space="preserve"> των υλικών εισροής που αναφέρονται στην παράγραφο 1 παραπάνω</w:t>
            </w:r>
            <w:r w:rsidRPr="00AC4460">
              <w:rPr>
                <w:b/>
                <w:i/>
              </w:rPr>
              <w:t xml:space="preserve"> διαχωρίζονται σαφώς από τις γραμμές παραγωγής για την επεξεργασία υλικών εισροής άλλων από αυτά που αναφέρονται στην παράγραφο 1</w:t>
            </w:r>
            <w:r w:rsidRPr="00AC4460">
              <w:t>,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ΙΙ – ΚΣΥ 3 – σημείο 6 – στοιχείο α – περίπτωση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Κριτήριο: </w:t>
            </w:r>
            <w:r w:rsidRPr="00AC4460">
              <w:rPr>
                <w:b/>
                <w:i/>
              </w:rPr>
              <w:t>25</w:t>
            </w:r>
            <w:r w:rsidRPr="00AC4460">
              <w:t xml:space="preserve"> mmol O2/kg οργανικής ύλης/h το μέγιστο· ή</w:t>
            </w:r>
          </w:p>
        </w:tc>
        <w:tc>
          <w:tcPr>
            <w:tcW w:w="4876" w:type="dxa"/>
          </w:tcPr>
          <w:p w:rsidR="00E451E4" w:rsidRPr="00AC4460" w:rsidRDefault="00E451E4" w:rsidP="000A61DD">
            <w:pPr>
              <w:pStyle w:val="Normal6"/>
              <w:rPr>
                <w:szCs w:val="24"/>
              </w:rPr>
            </w:pPr>
            <w:r w:rsidRPr="00AC4460">
              <w:t>-</w:t>
            </w:r>
            <w:r w:rsidRPr="00AC4460">
              <w:tab/>
              <w:t xml:space="preserve">Κριτήριο: </w:t>
            </w:r>
            <w:r w:rsidRPr="00AC4460">
              <w:rPr>
                <w:b/>
                <w:i/>
              </w:rPr>
              <w:t>50</w:t>
            </w:r>
            <w:r w:rsidRPr="00AC4460">
              <w:t xml:space="preserve"> mmol O2/kg οργανικής ύλης/h το μέγιστο· ή</w:t>
            </w:r>
          </w:p>
        </w:tc>
      </w:tr>
    </w:tbl>
    <w:p w:rsidR="00E451E4" w:rsidRPr="00B0345A" w:rsidRDefault="00E451E4" w:rsidP="00E451E4">
      <w:pPr>
        <w:pStyle w:val="JustificationTitle"/>
      </w:pPr>
    </w:p>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b w:val="0"/>
          <w:noProof w:val="0"/>
          <w:lang w:val="en-GB"/>
        </w:rPr>
        <w:t>&lt;Article&gt;</w:t>
      </w:r>
      <w:r w:rsidRPr="00AC4460">
        <w:t xml:space="preserve">Παράρτημα II – μέρος II – ΚΣΥ 4 – τίτλος </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FA3492" w:rsidRDefault="00E451E4" w:rsidP="000A61DD">
            <w:pPr>
              <w:keepNext/>
              <w:rPr>
                <w:lang w:val="en-GB"/>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ΚΣΥ 4: Χώνευμα ενεργειακών καλλιεργειών</w:t>
            </w:r>
          </w:p>
        </w:tc>
        <w:tc>
          <w:tcPr>
            <w:tcW w:w="4876" w:type="dxa"/>
          </w:tcPr>
          <w:p w:rsidR="00E451E4" w:rsidRPr="00AC4460" w:rsidRDefault="00E451E4" w:rsidP="000A61DD">
            <w:pPr>
              <w:pStyle w:val="Normal6"/>
              <w:rPr>
                <w:szCs w:val="24"/>
              </w:rPr>
            </w:pPr>
            <w:r w:rsidRPr="00AC4460">
              <w:t>ΚΣΥ 4: Χώνευμα ενεργειακών καλλιεργειών</w:t>
            </w:r>
            <w:r w:rsidRPr="00AC4460">
              <w:rPr>
                <w:b/>
                <w:i/>
              </w:rPr>
              <w:t xml:space="preserve"> και βιολογικών αποβλήτων φυτικής προέλευσης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 xml:space="preserve">Παράρτημα ΙI – μέρος ΙΙ – ΚΣΥ 4 – σημείο 1 – στοιχείο β – σημείο 1 – εισαγωγικό μέρος </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το πρόσθετο έχει καταχωριστεί σύμφωνα με τον κανονισμό (ΕΚ) αριθ. 1907/2006</w:t>
            </w:r>
            <w:r w:rsidRPr="00AC4460">
              <w:rPr>
                <w:vertAlign w:val="superscript"/>
              </w:rPr>
              <w:t>43</w:t>
            </w:r>
            <w:r w:rsidRPr="00AC4460">
              <w:rPr>
                <w:b/>
                <w:i/>
              </w:rPr>
              <w:t xml:space="preserve"> με φάκελο</w:t>
            </w:r>
            <w:r w:rsidRPr="00AC4460">
              <w:t xml:space="preserve"> που </w:t>
            </w:r>
            <w:r w:rsidRPr="00AC4460">
              <w:rPr>
                <w:b/>
                <w:i/>
              </w:rPr>
              <w:t>περιέχει</w:t>
            </w:r>
          </w:p>
        </w:tc>
        <w:tc>
          <w:tcPr>
            <w:tcW w:w="4876" w:type="dxa"/>
          </w:tcPr>
          <w:p w:rsidR="00E451E4" w:rsidRPr="00AC4460" w:rsidRDefault="00E451E4" w:rsidP="000A61DD">
            <w:pPr>
              <w:pStyle w:val="Normal6"/>
              <w:rPr>
                <w:szCs w:val="24"/>
              </w:rPr>
            </w:pPr>
            <w:r w:rsidRPr="00AC4460">
              <w:t>–</w:t>
            </w:r>
            <w:r w:rsidRPr="00AC4460">
              <w:tab/>
              <w:t>το πρόσθετο έχει καταχωριστεί σύμφωνα με τον κανονισμό (ΕΚ) αριθ. 1907/2006</w:t>
            </w:r>
            <w:r w:rsidRPr="00AC4460">
              <w:rPr>
                <w:vertAlign w:val="superscript"/>
              </w:rPr>
              <w:t>43</w:t>
            </w:r>
            <w:r w:rsidRPr="00AC4460">
              <w:rPr>
                <w:b/>
                <w:i/>
              </w:rPr>
              <w:t>, εκτός εάν το καλύπτει ρητώς κάποια από τις εξαιρέσεις από την υποχρέωση καταχώρισης</w:t>
            </w:r>
            <w:r w:rsidRPr="00AC4460">
              <w:t xml:space="preserve"> που </w:t>
            </w:r>
            <w:r w:rsidRPr="00AC4460">
              <w:rPr>
                <w:b/>
                <w:i/>
              </w:rPr>
              <w:t>προβλέπονται στο άρθρο 6 ή στο παράρτημα IV ή V του εν λόγω κανονισμού.</w:t>
            </w:r>
          </w:p>
        </w:tc>
      </w:tr>
      <w:tr w:rsidR="00E451E4" w:rsidRPr="00B0345A"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43</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43</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pPr>
        <w:pStyle w:val="JustificationTitle"/>
        <w:jc w:val="left"/>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4 – σημείο 1 – στοιχείο β – σημείο 1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4 – σημείο 1 – στοιχείο β – σημείο 1 – περίπτωση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4 – σημείο 1 – στοιχείο β – σημείο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εκτός εάν αυτό καλύπτεται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 και</w:t>
            </w:r>
          </w:p>
        </w:tc>
        <w:tc>
          <w:tcPr>
            <w:tcW w:w="4876" w:type="dxa"/>
          </w:tcPr>
          <w:p w:rsidR="00E451E4" w:rsidRPr="00AC4460" w:rsidRDefault="00E451E4" w:rsidP="000A61DD">
            <w:pPr>
              <w:pStyle w:val="Normal6"/>
              <w:rPr>
                <w:szCs w:val="24"/>
              </w:rPr>
            </w:pPr>
            <w:r w:rsidRPr="00AC4460">
              <w:rPr>
                <w:b/>
                <w:i/>
              </w:rPr>
              <w:t>διαγράφεται</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rPr>
                <w:b/>
                <w:i/>
              </w:rPr>
              <w:tab/>
              <w:t>η συνολική συγκέντρωση όλων των προσθέτων δεν υπερβαίνει το 5 % του συνόλου των εισερχόμενων υλικών· ή</w:t>
            </w:r>
          </w:p>
        </w:tc>
        <w:tc>
          <w:tcPr>
            <w:tcW w:w="4876" w:type="dxa"/>
          </w:tcPr>
          <w:p w:rsidR="00E451E4" w:rsidRPr="00AC4460" w:rsidRDefault="00E451E4" w:rsidP="000A61DD">
            <w:pPr>
              <w:pStyle w:val="Normal6"/>
              <w:rPr>
                <w:szCs w:val="24"/>
              </w:rPr>
            </w:pP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4 – σημείο 1 – στοιχείο γ</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γ)</w:t>
            </w:r>
            <w:r w:rsidRPr="00AC4460">
              <w:tab/>
              <w:t xml:space="preserve">Οποιοδήποτε υλικό </w:t>
            </w:r>
            <w:r w:rsidRPr="00AC4460">
              <w:rPr>
                <w:b/>
                <w:i/>
              </w:rPr>
              <w:t xml:space="preserve">που </w:t>
            </w:r>
            <w:r w:rsidRPr="00AC4460">
              <w:t>αναφέρεται στα σημεία α) ή β) και το οποίο έχει προηγουμένως υποστεί χώνευση.</w:t>
            </w:r>
          </w:p>
        </w:tc>
        <w:tc>
          <w:tcPr>
            <w:tcW w:w="4876" w:type="dxa"/>
            <w:hideMark/>
          </w:tcPr>
          <w:p w:rsidR="00E451E4" w:rsidRPr="00AC4460" w:rsidRDefault="00E451E4" w:rsidP="000A61DD">
            <w:pPr>
              <w:pStyle w:val="Normal6"/>
              <w:rPr>
                <w:szCs w:val="24"/>
              </w:rPr>
            </w:pPr>
            <w:r w:rsidRPr="00AC4460">
              <w:t>γ)</w:t>
            </w:r>
            <w:r w:rsidRPr="00AC4460">
              <w:tab/>
              <w:t>Οποιοδήποτε υλικό αναφέρεται στα σημεία α) ή β) και το οποίο έχει προηγουμένως υποστεί χώνευση</w:t>
            </w:r>
            <w:r w:rsidRPr="00AC4460">
              <w:rPr>
                <w:b/>
                <w:i/>
              </w:rPr>
              <w:t xml:space="preserve"> και δεν περιέχει κανένα ίχνος από αφλατοξίνες</w:t>
            </w:r>
            <w:r w:rsidRPr="00AC4460">
              <w:t>.</w:t>
            </w:r>
          </w:p>
        </w:tc>
      </w:tr>
    </w:tbl>
    <w:p w:rsidR="00E451E4" w:rsidRPr="00B0345A" w:rsidRDefault="00E451E4" w:rsidP="00E451E4">
      <w:pPr>
        <w:pStyle w:val="JustificationTitle"/>
        <w:jc w:val="left"/>
      </w:pPr>
      <w:r>
        <w:rPr>
          <w:rStyle w:val="HideTWBExt"/>
          <w:i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II – ΚΛΠ 4 – σημείο 2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όπου </w:t>
            </w:r>
            <w:r w:rsidRPr="00AC4460">
              <w:rPr>
                <w:b/>
                <w:i/>
              </w:rPr>
              <w:t>πραγματοποιείται επεξεργασία αποκλειστικά και μόνο</w:t>
            </w:r>
            <w:r w:rsidRPr="00AC4460">
              <w:t xml:space="preserve"> των υλικών εισροής που αναφέρονται στην παράγραφο 1 παραπάνω, και</w:t>
            </w:r>
          </w:p>
        </w:tc>
        <w:tc>
          <w:tcPr>
            <w:tcW w:w="4876" w:type="dxa"/>
          </w:tcPr>
          <w:p w:rsidR="00E451E4" w:rsidRPr="00AC4460" w:rsidRDefault="00E451E4" w:rsidP="000A61DD">
            <w:pPr>
              <w:pStyle w:val="Normal6"/>
              <w:rPr>
                <w:szCs w:val="24"/>
              </w:rPr>
            </w:pPr>
            <w:r w:rsidRPr="00AC4460">
              <w:t>–</w:t>
            </w:r>
            <w:r w:rsidRPr="00AC4460">
              <w:tab/>
              <w:t xml:space="preserve">όπου </w:t>
            </w:r>
            <w:r w:rsidRPr="00AC4460">
              <w:rPr>
                <w:b/>
                <w:i/>
              </w:rPr>
              <w:t>οι γραμμές παραγωγής για την επεξεργασία</w:t>
            </w:r>
            <w:r w:rsidRPr="00AC4460">
              <w:t xml:space="preserve"> των υλικών εισροής που αναφέρονται στην παράγραφο 1 παραπάνω</w:t>
            </w:r>
            <w:r w:rsidRPr="00AC4460">
              <w:rPr>
                <w:b/>
                <w:i/>
              </w:rPr>
              <w:t xml:space="preserve"> διαχωρίζονται σαφώς από τις γραμμές παραγωγής για την επεξεργασία υλικών εισροής άλλων από αυτά που αναφέρονται στην παράγραφο 1</w:t>
            </w:r>
            <w:r w:rsidRPr="00AC4460">
              <w:t>,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4 – σημείο 3 – στοιχείο β</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στάδιο παστερίωσης (70 °C επί</w:t>
            </w:r>
            <w:r w:rsidRPr="00AC4460">
              <w:t xml:space="preserve"> 1 </w:t>
            </w:r>
            <w:r w:rsidRPr="00AC4460">
              <w:rPr>
                <w:b/>
                <w:i/>
              </w:rPr>
              <w:t>ώρα</w:t>
            </w:r>
            <w:r w:rsidRPr="00AC4460">
              <w:t>)</w:t>
            </w:r>
            <w:r w:rsidRPr="00AC4460">
              <w:rPr>
                <w:b/>
                <w:i/>
              </w:rPr>
              <w:t>·</w:t>
            </w:r>
          </w:p>
        </w:tc>
        <w:tc>
          <w:tcPr>
            <w:tcW w:w="4876" w:type="dxa"/>
          </w:tcPr>
          <w:p w:rsidR="00E451E4" w:rsidRPr="00AC4460" w:rsidRDefault="00E451E4" w:rsidP="000A61DD">
            <w:pPr>
              <w:pStyle w:val="Normal6"/>
              <w:rPr>
                <w:szCs w:val="24"/>
              </w:rPr>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1 </w:t>
            </w:r>
            <w:r w:rsidRPr="00AC4460">
              <w:rPr>
                <w:b/>
                <w:i/>
              </w:rPr>
              <w:t>του κανονισμού (ΕΕ</w:t>
            </w:r>
            <w:r w:rsidRPr="00AC4460">
              <w:t>)</w:t>
            </w:r>
            <w:r w:rsidRPr="00AC4460">
              <w:rPr>
                <w:b/>
                <w:i/>
              </w:rPr>
              <w:t xml:space="preserve"> της Επιτροπής αριθ. 142/2011</w:t>
            </w:r>
            <w:r w:rsidRPr="00AC4460">
              <w:rPr>
                <w:b/>
                <w:i/>
                <w:vertAlign w:val="superscript"/>
              </w:rPr>
              <w:t>1α</w:t>
            </w:r>
            <w:r w:rsidRPr="00AC4460">
              <w:rPr>
                <w:b/>
                <w:i/>
              </w:rPr>
              <w:t>·</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szCs w:val="24"/>
              </w:rPr>
              <w:t>_________________</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vertAlign w:val="superscript"/>
              </w:rPr>
              <w:t>1α</w:t>
            </w:r>
            <w:r w:rsidRPr="00AC4460">
              <w:rPr>
                <w:b/>
                <w:i/>
                <w:szCs w:val="24"/>
              </w:rPr>
              <w:t xml:space="preserve"> Κανονισμός (ΕΕ) αριθ. 142/2011 της Επιτροπής, της 25ης Φεβρουαρίου 2011, για την εφαρμογή του κανονισμού (ΕΚ) αριθ. 1069/2009 του Ευρωπαϊκού Κοινοβουλίου και του Συμβουλίου περί υγειονομικών κανόνων για ζωικά υποπροϊόντα και παράγωγα προϊόντα που δεν προορίζονται για κατανάλωση από τον άνθρωπο και για την εφαρμογή της οδηγίας 97/78/ΕΚ του Συμβουλίου όσον αφορά ορισμένα δείγματα και τεμάχια που εξαιρούνται από κτηνιατρικούς ελέγχους στα σύνορα οι οποίοι αναφέρονται στην εν λόγω οδηγία (ΕΕ L 054 της 26.2.2011, σ. 1).</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4 – σημείο 3 – στοιχείο δ</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δ)</w:t>
            </w:r>
            <w:r w:rsidRPr="00AC4460">
              <w:tab/>
              <w:t>Μεσόφιλη αναερόβια χώνευση σε θερμοκρασία 37</w:t>
            </w:r>
            <w:r w:rsidRPr="00AC4460">
              <w:rPr>
                <w:b/>
                <w:i/>
              </w:rPr>
              <w:t>–</w:t>
            </w:r>
            <w:r w:rsidRPr="00AC4460">
              <w:t>40</w:t>
            </w:r>
            <w:r w:rsidRPr="00AC4460">
              <w:rPr>
                <w:b/>
                <w:i/>
              </w:rPr>
              <w:t xml:space="preserve"> </w:t>
            </w:r>
            <w:r w:rsidRPr="00AC4460">
              <w:t xml:space="preserve">°C με διεργασία μεταχείρισης που περιλαμβάνει </w:t>
            </w:r>
            <w:r w:rsidRPr="00AC4460">
              <w:rPr>
                <w:b/>
                <w:i/>
              </w:rPr>
              <w:t>στάδιο παστερίωσης (70 °C επί</w:t>
            </w:r>
            <w:r w:rsidRPr="00AC4460">
              <w:t xml:space="preserve"> 1 </w:t>
            </w:r>
            <w:r w:rsidRPr="00AC4460">
              <w:rPr>
                <w:b/>
                <w:i/>
              </w:rPr>
              <w:t>ώρα</w:t>
            </w:r>
            <w:r w:rsidRPr="00AC4460">
              <w:t>)</w:t>
            </w:r>
            <w:r w:rsidRPr="00AC4460">
              <w:rPr>
                <w:b/>
                <w:i/>
              </w:rPr>
              <w:t>·</w:t>
            </w:r>
            <w:r w:rsidRPr="00AC4460">
              <w:t xml:space="preserve"> ή</w:t>
            </w:r>
          </w:p>
        </w:tc>
        <w:tc>
          <w:tcPr>
            <w:tcW w:w="4876" w:type="dxa"/>
          </w:tcPr>
          <w:p w:rsidR="00E451E4" w:rsidRPr="00AC4460" w:rsidRDefault="00E451E4" w:rsidP="000A61DD">
            <w:pPr>
              <w:pStyle w:val="Normal6"/>
              <w:rPr>
                <w:szCs w:val="24"/>
              </w:rPr>
            </w:pPr>
            <w:r w:rsidRPr="00AC4460">
              <w:t>δ)</w:t>
            </w:r>
            <w:r w:rsidRPr="00AC4460">
              <w:tab/>
              <w:t>Μεσόφιλη αναερόβια χώνευση σε θερμοκρασία 37</w:t>
            </w:r>
            <w:r w:rsidRPr="00AC4460">
              <w:rPr>
                <w:b/>
                <w:i/>
              </w:rPr>
              <w:t>-</w:t>
            </w:r>
            <w:r w:rsidRPr="00AC4460">
              <w:t xml:space="preserve">40°C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1 </w:t>
            </w:r>
            <w:r w:rsidRPr="00AC4460">
              <w:rPr>
                <w:b/>
                <w:i/>
              </w:rPr>
              <w:t>του κανονισμού (ΕΕ</w:t>
            </w:r>
            <w:r w:rsidRPr="00AC4460">
              <w:t>)</w:t>
            </w:r>
            <w:r w:rsidRPr="00AC4460">
              <w:rPr>
                <w:b/>
                <w:i/>
              </w:rPr>
              <w:t xml:space="preserve"> αριθ. 142/2011·</w:t>
            </w:r>
            <w:r w:rsidRPr="00AC4460">
              <w:t xml:space="preserve"> ή</w:t>
            </w:r>
          </w:p>
        </w:tc>
      </w:tr>
    </w:tbl>
    <w:p w:rsidR="000E6C72" w:rsidRPr="000E6C72" w:rsidRDefault="000E6C72" w:rsidP="000E6C72">
      <w:pPr>
        <w:rPr>
          <w:lang w:val="pt-PT"/>
        </w:rPr>
      </w:pPr>
      <w:r w:rsidRPr="000E6C72">
        <w:rPr>
          <w:rStyle w:val="HideTWBExt"/>
          <w:noProof w:val="0"/>
          <w:lang w:val="pt-PT"/>
        </w:rPr>
        <w:t>&lt;/Amend&gt;</w:t>
      </w:r>
    </w:p>
    <w:p w:rsidR="000E6C72" w:rsidRPr="000E6C72" w:rsidRDefault="000E6C72" w:rsidP="000E6C72">
      <w:pPr>
        <w:pStyle w:val="AMNumberTabs"/>
        <w:keepNext/>
        <w:rPr>
          <w:lang w:val="pt-PT"/>
        </w:rPr>
      </w:pPr>
      <w:r w:rsidRPr="000E6C72">
        <w:rPr>
          <w:rStyle w:val="HideTWBExt"/>
          <w:b w:val="0"/>
          <w:noProof w:val="0"/>
          <w:lang w:val="pt-PT"/>
        </w:rPr>
        <w:t>&lt;Amend&gt;</w:t>
      </w:r>
      <w:r w:rsidRPr="00AC4460">
        <w:t>Τροπολογία</w:t>
      </w:r>
      <w:r w:rsidRPr="000E6C72">
        <w:rPr>
          <w:lang w:val="pt-PT"/>
        </w:rPr>
        <w:tab/>
      </w:r>
      <w:r w:rsidRPr="000E6C72">
        <w:rPr>
          <w:lang w:val="pt-PT"/>
        </w:rPr>
        <w:tab/>
      </w:r>
      <w:r w:rsidRPr="000E6C72">
        <w:rPr>
          <w:rStyle w:val="HideTWBExt"/>
          <w:b w:val="0"/>
          <w:noProof w:val="0"/>
          <w:lang w:val="pt-PT"/>
        </w:rPr>
        <w:t>&lt;NumAm&gt;</w:t>
      </w:r>
      <w:r w:rsidRPr="000E6C72">
        <w:rPr>
          <w:lang w:val="pt-PT"/>
        </w:rPr>
        <w:t>25</w:t>
      </w:r>
      <w:r>
        <w:t>1</w:t>
      </w:r>
      <w:r w:rsidRPr="000E6C72">
        <w:rPr>
          <w:rStyle w:val="HideTWBExt"/>
          <w:b w:val="0"/>
          <w:noProof w:val="0"/>
          <w:lang w:val="pt-PT"/>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σημείο 1 – στοιχείο γ – εδάφιο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λυματολάσπη, βιομηχανική ιλύ ή ιλύ βυθοκόρησης,</w:t>
            </w:r>
          </w:p>
        </w:tc>
        <w:tc>
          <w:tcPr>
            <w:tcW w:w="4876" w:type="dxa"/>
          </w:tcPr>
          <w:p w:rsidR="00E451E4" w:rsidRPr="00AC4460" w:rsidRDefault="00E451E4" w:rsidP="000A61DD">
            <w:pPr>
              <w:pStyle w:val="Normal6"/>
              <w:rPr>
                <w:szCs w:val="24"/>
              </w:rPr>
            </w:pPr>
            <w:r w:rsidRPr="00AC4460">
              <w:t>–</w:t>
            </w:r>
            <w:r w:rsidRPr="00AC4460">
              <w:tab/>
              <w:t xml:space="preserve">λυματολάσπη, βιομηχανική ιλύ </w:t>
            </w:r>
            <w:r w:rsidRPr="00AC4460">
              <w:rPr>
                <w:b/>
                <w:i/>
              </w:rPr>
              <w:t xml:space="preserve">πέραν αυτών που ορίζονται στο στοιχείο εα) </w:t>
            </w:r>
            <w:r w:rsidRPr="00AC4460">
              <w:t>ή ιλύ βυθοκόρησης,</w:t>
            </w:r>
            <w:r w:rsidRPr="00AC4460">
              <w:rPr>
                <w:b/>
                <w:i/>
              </w:rPr>
              <w:t xml:space="preserve">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 xml:space="preserve">Παράρτημα ΙI – μέρος ΙΙ – ΚΣΥ 5 – σημείο 1 – στοιχείο δ – σημείο 1 – εισαγωγικό μέρος </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το πρόσθετο έχει καταχωριστεί σύμφωνα με τον κανονισμό (ΕΚ) αριθ. 1907/2006</w:t>
            </w:r>
            <w:r w:rsidRPr="00AC4460">
              <w:rPr>
                <w:vertAlign w:val="superscript"/>
              </w:rPr>
              <w:t>44</w:t>
            </w:r>
            <w:r w:rsidRPr="00AC4460">
              <w:rPr>
                <w:b/>
                <w:i/>
              </w:rPr>
              <w:t xml:space="preserve"> με φάκελο</w:t>
            </w:r>
            <w:r w:rsidRPr="00AC4460">
              <w:t xml:space="preserve"> που </w:t>
            </w:r>
            <w:r w:rsidRPr="00AC4460">
              <w:rPr>
                <w:b/>
                <w:i/>
              </w:rPr>
              <w:t>περιέχει</w:t>
            </w:r>
          </w:p>
        </w:tc>
        <w:tc>
          <w:tcPr>
            <w:tcW w:w="4876" w:type="dxa"/>
          </w:tcPr>
          <w:p w:rsidR="00E451E4" w:rsidRPr="00AC4460" w:rsidRDefault="00E451E4" w:rsidP="000A61DD">
            <w:pPr>
              <w:pStyle w:val="Normal6"/>
              <w:rPr>
                <w:szCs w:val="24"/>
              </w:rPr>
            </w:pPr>
            <w:r w:rsidRPr="00AC4460">
              <w:t>–</w:t>
            </w:r>
            <w:r w:rsidRPr="00AC4460">
              <w:tab/>
              <w:t>το πρόσθετο έχει καταχωριστεί σύμφωνα με τον κανονισμό (ΕΚ) αριθ. 1907/2006</w:t>
            </w:r>
            <w:r w:rsidRPr="00AC4460">
              <w:rPr>
                <w:vertAlign w:val="superscript"/>
              </w:rPr>
              <w:t>44</w:t>
            </w:r>
            <w:r w:rsidRPr="00AC4460">
              <w:rPr>
                <w:b/>
                <w:i/>
              </w:rPr>
              <w:t>, εκτός εάν το καλύπτει ρητώς κάποια από τις εξαιρέσεις από την υποχρέωση καταχώρισης που προβλέπονται στο άρθρο 6 ή στο παράρτημα IV ή V του εν λόγω κανονισμού.</w:t>
            </w:r>
          </w:p>
        </w:tc>
      </w:tr>
      <w:tr w:rsidR="00E451E4" w:rsidRPr="00B0345A"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44</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44</w:t>
            </w:r>
            <w:r w:rsidR="000E6C72">
              <w:rPr>
                <w:vertAlign w:val="superscript"/>
              </w:rPr>
              <w:t xml:space="preserve"> </w:t>
            </w:r>
            <w:r w:rsidRPr="00AC4460">
              <w:t>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5 – σημείο 1 – στοιχείο δ – σημείο 1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5 – σημείο 1 – στοιχείο δ – σημείο 1 – περίπτωση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r w:rsidR="00E451E4" w:rsidRPr="00B0345A" w:rsidTr="000A61DD">
        <w:trPr>
          <w:jc w:val="center"/>
        </w:trPr>
        <w:tc>
          <w:tcPr>
            <w:tcW w:w="4876" w:type="dxa"/>
          </w:tcPr>
          <w:p w:rsidR="00E451E4" w:rsidRPr="00AC4460" w:rsidRDefault="00E451E4" w:rsidP="000A61DD">
            <w:pPr>
              <w:pStyle w:val="Normal6"/>
              <w:rPr>
                <w:b/>
                <w:i/>
              </w:rPr>
            </w:pPr>
            <w:r w:rsidRPr="00AC4460">
              <w:rPr>
                <w:b/>
                <w:i/>
              </w:rPr>
              <w:t>εκτός εάν αυτό καλύπτεται από την εξαίρεση από την υποχρέωση καταχώρισης που προβλέπει το παράρτημα IV του εν λόγω κανονισμού ή από τα σημεία 6, 7, 8 ή 9 του παραρτήματος V του εν λόγω κανονισμού, και</w:t>
            </w:r>
          </w:p>
        </w:tc>
        <w:tc>
          <w:tcPr>
            <w:tcW w:w="4876" w:type="dxa"/>
          </w:tcPr>
          <w:p w:rsidR="00E451E4" w:rsidRPr="00AC4460" w:rsidRDefault="00E451E4" w:rsidP="000A61DD">
            <w:pPr>
              <w:pStyle w:val="Normal6"/>
              <w:rPr>
                <w:b/>
                <w:i/>
              </w:rPr>
            </w:pPr>
          </w:p>
        </w:tc>
      </w:tr>
      <w:tr w:rsidR="00E451E4" w:rsidRPr="00B0345A" w:rsidTr="000A61DD">
        <w:trPr>
          <w:jc w:val="center"/>
        </w:trPr>
        <w:tc>
          <w:tcPr>
            <w:tcW w:w="4876" w:type="dxa"/>
          </w:tcPr>
          <w:p w:rsidR="00E451E4" w:rsidRPr="00AC4460" w:rsidRDefault="00E451E4" w:rsidP="000A61DD">
            <w:pPr>
              <w:pStyle w:val="Normal6"/>
              <w:rPr>
                <w:b/>
                <w:i/>
              </w:rPr>
            </w:pPr>
            <w:r w:rsidRPr="00AC4460">
              <w:rPr>
                <w:b/>
                <w:i/>
              </w:rPr>
              <w:t>–</w:t>
            </w:r>
            <w:r w:rsidRPr="00AC4460">
              <w:rPr>
                <w:b/>
                <w:i/>
              </w:rPr>
              <w:tab/>
              <w:t>η συνολική συγκέντρωση όλων των προσθέτων δεν υπερβαίνει το 5 % του συνόλου των εισερχόμενων υλικών· ή</w:t>
            </w:r>
          </w:p>
        </w:tc>
        <w:tc>
          <w:tcPr>
            <w:tcW w:w="4876" w:type="dxa"/>
          </w:tcPr>
          <w:p w:rsidR="00E451E4" w:rsidRPr="00AC4460" w:rsidRDefault="00E451E4" w:rsidP="000A61DD">
            <w:pPr>
              <w:pStyle w:val="Normal6"/>
              <w:rPr>
                <w:b/>
                <w:i/>
              </w:rPr>
            </w:pP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255</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παράγραφος 1 – στοιχείο ε – εισαγωγικό μέρος</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ε)</w:t>
            </w:r>
            <w:r w:rsidRPr="00AC4460">
              <w:tab/>
              <w:t>Οποιοδήποτε υλικό που αναφέρεται στα σημεία α) έως δ) και το οποίο</w:t>
            </w:r>
          </w:p>
        </w:tc>
        <w:tc>
          <w:tcPr>
            <w:tcW w:w="4876" w:type="dxa"/>
            <w:hideMark/>
          </w:tcPr>
          <w:p w:rsidR="00E451E4" w:rsidRPr="00AC4460" w:rsidRDefault="00E451E4" w:rsidP="000A61DD">
            <w:pPr>
              <w:pStyle w:val="Normal6"/>
              <w:rPr>
                <w:szCs w:val="24"/>
              </w:rPr>
            </w:pPr>
            <w:r w:rsidRPr="00AC4460">
              <w:t>ε)</w:t>
            </w:r>
            <w:r w:rsidRPr="00AC4460">
              <w:tab/>
              <w:t xml:space="preserve">Οποιοδήποτε υλικό </w:t>
            </w:r>
            <w:r w:rsidRPr="00AC4460">
              <w:rPr>
                <w:b/>
                <w:i/>
              </w:rPr>
              <w:t xml:space="preserve">χωρίς αφλατοξίνες, </w:t>
            </w:r>
            <w:r w:rsidRPr="00AC4460">
              <w:t>που αναφέρεται στα σημεία α) έως δ) και το οποίο</w:t>
            </w:r>
          </w:p>
        </w:tc>
      </w:tr>
    </w:tbl>
    <w:p w:rsidR="000E6C72" w:rsidRPr="000E6C72" w:rsidRDefault="000E6C72" w:rsidP="000E6C72">
      <w:pPr>
        <w:rPr>
          <w:lang w:val="pt-PT"/>
        </w:rPr>
      </w:pPr>
      <w:r w:rsidRPr="000E6C72">
        <w:rPr>
          <w:rStyle w:val="HideTWBExt"/>
          <w:noProof w:val="0"/>
          <w:lang w:val="pt-PT"/>
        </w:rPr>
        <w:t>&lt;/Amend&gt;</w:t>
      </w:r>
    </w:p>
    <w:p w:rsidR="000E6C72" w:rsidRPr="000E6C72" w:rsidRDefault="000E6C72" w:rsidP="000E6C72">
      <w:pPr>
        <w:pStyle w:val="AMNumberTabs"/>
        <w:keepNext/>
        <w:rPr>
          <w:lang w:val="pt-PT"/>
        </w:rPr>
      </w:pPr>
      <w:r w:rsidRPr="000E6C72">
        <w:rPr>
          <w:rStyle w:val="HideTWBExt"/>
          <w:b w:val="0"/>
          <w:noProof w:val="0"/>
          <w:lang w:val="pt-PT"/>
        </w:rPr>
        <w:t>&lt;Amend&gt;</w:t>
      </w:r>
      <w:r w:rsidRPr="00AC4460">
        <w:t>Τροπολογία</w:t>
      </w:r>
      <w:r w:rsidRPr="000E6C72">
        <w:rPr>
          <w:lang w:val="pt-PT"/>
        </w:rPr>
        <w:tab/>
      </w:r>
      <w:r w:rsidRPr="000E6C72">
        <w:rPr>
          <w:lang w:val="pt-PT"/>
        </w:rPr>
        <w:tab/>
      </w:r>
      <w:r w:rsidRPr="000E6C72">
        <w:rPr>
          <w:rStyle w:val="HideTWBExt"/>
          <w:b w:val="0"/>
          <w:noProof w:val="0"/>
          <w:lang w:val="pt-PT"/>
        </w:rPr>
        <w:t>&lt;NumAm&gt;</w:t>
      </w:r>
      <w:r w:rsidRPr="000E6C72">
        <w:rPr>
          <w:lang w:val="pt-PT"/>
        </w:rPr>
        <w:t>25</w:t>
      </w:r>
      <w:r>
        <w:t>6</w:t>
      </w:r>
      <w:r w:rsidRPr="000E6C72">
        <w:rPr>
          <w:rStyle w:val="HideTWBExt"/>
          <w:b w:val="0"/>
          <w:noProof w:val="0"/>
          <w:lang w:val="pt-PT"/>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σημείο 1 – στοιχείο ε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α)</w:t>
            </w:r>
            <w:r w:rsidRPr="00AC4460">
              <w:rPr>
                <w:b/>
                <w:i/>
              </w:rPr>
              <w:tab/>
              <w:t>Μη επεξεργασμένα και μηχανικά επεξεργασμένα υπολείμματα από βιομηχανίες παραγωγής τροφίμων, με εξαίρεση τις βιομηχανίες που χρησιμοποιούν ζωικά υποπροϊόντα σύμφωνα με τον κανονισμό (ΕΚ) αριθ. 1069/2009.</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σημείο 1 – στοιχείο ε β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β)</w:t>
            </w:r>
            <w:r w:rsidRPr="00AC4460">
              <w:rPr>
                <w:b/>
                <w:i/>
              </w:rPr>
              <w:tab/>
              <w:t>Υλικά που συμμορφώνονται με τις ΚΣΥ 2, ΚΣΥ 3, ΚΣΥ 4, ΚΣΥ 5, ΚΣΥ 6 και ΚΣΥ 11.</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II – ΚΛΠ 5 – σημείο 2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 xml:space="preserve">όπου </w:t>
            </w:r>
            <w:r w:rsidRPr="00AC4460">
              <w:rPr>
                <w:b/>
                <w:i/>
              </w:rPr>
              <w:t>πραγματοποιείται επεξεργασία αποκλειστικά και μόνο</w:t>
            </w:r>
            <w:r w:rsidRPr="00AC4460">
              <w:t xml:space="preserve"> των υλικών εισροής που αναφέρονται στην παράγραφο 1 παραπάνω, και</w:t>
            </w:r>
          </w:p>
        </w:tc>
        <w:tc>
          <w:tcPr>
            <w:tcW w:w="4876" w:type="dxa"/>
          </w:tcPr>
          <w:p w:rsidR="00E451E4" w:rsidRPr="00AC4460" w:rsidRDefault="00E451E4" w:rsidP="000A61DD">
            <w:pPr>
              <w:pStyle w:val="Normal6"/>
              <w:rPr>
                <w:szCs w:val="24"/>
              </w:rPr>
            </w:pPr>
            <w:r w:rsidRPr="00AC4460">
              <w:t>–</w:t>
            </w:r>
            <w:r w:rsidRPr="00AC4460">
              <w:tab/>
              <w:t xml:space="preserve">όπου </w:t>
            </w:r>
            <w:r w:rsidRPr="00AC4460">
              <w:rPr>
                <w:b/>
                <w:i/>
              </w:rPr>
              <w:t>οι γραμμές παραγωγής για την επεξεργασία</w:t>
            </w:r>
            <w:r w:rsidRPr="00AC4460">
              <w:t xml:space="preserve"> των υλικών εισροής που αναφέρονται στην παράγραφο 1 παραπάνω</w:t>
            </w:r>
            <w:r w:rsidRPr="00AC4460">
              <w:rPr>
                <w:b/>
                <w:i/>
              </w:rPr>
              <w:t xml:space="preserve"> διαχωρίζονται σαφώς από τις γραμμές παραγωγής για την επεξεργασία υλικών εισροής άλλων από αυτά που αναφέρονται στην παράγραφο 1</w:t>
            </w:r>
            <w:r w:rsidRPr="00AC4460">
              <w:t>, και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σημείο 3 – στοιχείο 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α)</w:t>
            </w:r>
            <w:r w:rsidRPr="00AC4460">
              <w:tab/>
              <w:t xml:space="preserve">Θερμόφιλη αναερόβια χώνευση σε θερμοκρασία 55 °C επί τουλάχιστον 24 ώρες και υδραυλικό χρόνο παραμονής τουλάχιστον 20 </w:t>
            </w:r>
            <w:r w:rsidRPr="00AC4460">
              <w:rPr>
                <w:b/>
                <w:i/>
              </w:rPr>
              <w:t>ημερών·</w:t>
            </w:r>
          </w:p>
        </w:tc>
        <w:tc>
          <w:tcPr>
            <w:tcW w:w="4876" w:type="dxa"/>
          </w:tcPr>
          <w:p w:rsidR="00E451E4" w:rsidRPr="00AC4460" w:rsidRDefault="00E451E4" w:rsidP="000A61DD">
            <w:pPr>
              <w:pStyle w:val="Normal6"/>
              <w:rPr>
                <w:szCs w:val="24"/>
              </w:rPr>
            </w:pPr>
            <w:r w:rsidRPr="00AC4460">
              <w:t>α)</w:t>
            </w:r>
            <w:r w:rsidRPr="00AC4460">
              <w:tab/>
              <w:t xml:space="preserve">Θερμόφιλη αναερόβια χώνευση σε θερμοκρασία 55 °C επί τουλάχιστον 24 ώρες και υδραυλικό χρόνο παραμονής τουλάχιστον 20 </w:t>
            </w:r>
            <w:r w:rsidRPr="00AC4460">
              <w:rPr>
                <w:b/>
                <w:i/>
              </w:rPr>
              <w:t>ημερών, την οποία ακολουθεί ανάλυση που επαληθεύει ότι η διαδικασία χώνευσης κατέστρεψε επιτυχώς τους παθογόνους παράγοντες·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σημείο 3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στάδιο παστερίωσης (70 °C επί</w:t>
            </w:r>
            <w:r w:rsidRPr="00AC4460">
              <w:t xml:space="preserve"> 1 </w:t>
            </w:r>
            <w:r w:rsidRPr="00AC4460">
              <w:rPr>
                <w:b/>
                <w:i/>
              </w:rPr>
              <w:t>ώρα</w:t>
            </w:r>
            <w:r w:rsidRPr="00AC4460">
              <w:t>)</w:t>
            </w:r>
            <w:r w:rsidRPr="00AC4460">
              <w:rPr>
                <w:b/>
                <w:i/>
              </w:rPr>
              <w:t>·</w:t>
            </w:r>
          </w:p>
        </w:tc>
        <w:tc>
          <w:tcPr>
            <w:tcW w:w="4876" w:type="dxa"/>
          </w:tcPr>
          <w:p w:rsidR="00E451E4" w:rsidRPr="00AC4460" w:rsidRDefault="00E451E4" w:rsidP="000A61DD">
            <w:pPr>
              <w:pStyle w:val="Normal6"/>
              <w:rPr>
                <w:szCs w:val="24"/>
              </w:rPr>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1 </w:t>
            </w:r>
            <w:r w:rsidRPr="00AC4460">
              <w:rPr>
                <w:b/>
                <w:i/>
              </w:rPr>
              <w:t>του κανονισμού (ΕΕ</w:t>
            </w:r>
            <w:r w:rsidRPr="00AC4460">
              <w:t>)</w:t>
            </w:r>
            <w:r w:rsidRPr="00AC4460">
              <w:rPr>
                <w:b/>
                <w:i/>
              </w:rPr>
              <w:t xml:space="preserve"> αριθ. 142/2011· </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5 – σημείο 3 – στοιχείο δ</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δ)</w:t>
            </w:r>
            <w:r w:rsidRPr="00AC4460">
              <w:tab/>
              <w:t>Μεσόφιλη αναερόβια χώνευση σε θερμοκρασία 37</w:t>
            </w:r>
            <w:r w:rsidRPr="00AC4460">
              <w:rPr>
                <w:b/>
                <w:i/>
              </w:rPr>
              <w:t>–</w:t>
            </w:r>
            <w:r w:rsidRPr="00AC4460">
              <w:t>40</w:t>
            </w:r>
            <w:r w:rsidRPr="00AC4460">
              <w:rPr>
                <w:b/>
                <w:i/>
              </w:rPr>
              <w:t xml:space="preserve"> </w:t>
            </w:r>
            <w:r w:rsidRPr="00AC4460">
              <w:t xml:space="preserve">°C με διεργασία μεταχείρισης που περιλαμβάνει </w:t>
            </w:r>
            <w:r w:rsidRPr="00AC4460">
              <w:rPr>
                <w:b/>
                <w:i/>
              </w:rPr>
              <w:t>στάδιο παστερίωσης (70 °C επί</w:t>
            </w:r>
            <w:r w:rsidRPr="00AC4460">
              <w:t xml:space="preserve"> 1 </w:t>
            </w:r>
            <w:r w:rsidRPr="00AC4460">
              <w:rPr>
                <w:b/>
                <w:i/>
              </w:rPr>
              <w:t>ώρα</w:t>
            </w:r>
            <w:r w:rsidRPr="00AC4460">
              <w:t>)</w:t>
            </w:r>
            <w:r w:rsidRPr="00AC4460">
              <w:rPr>
                <w:b/>
                <w:i/>
              </w:rPr>
              <w:t>·</w:t>
            </w:r>
            <w:r w:rsidRPr="00AC4460">
              <w:t xml:space="preserve"> ή</w:t>
            </w:r>
          </w:p>
        </w:tc>
        <w:tc>
          <w:tcPr>
            <w:tcW w:w="4876" w:type="dxa"/>
          </w:tcPr>
          <w:p w:rsidR="00E451E4" w:rsidRPr="00AC4460" w:rsidRDefault="00E451E4" w:rsidP="000A61DD">
            <w:pPr>
              <w:pStyle w:val="Normal6"/>
              <w:rPr>
                <w:szCs w:val="24"/>
              </w:rPr>
            </w:pPr>
            <w:r w:rsidRPr="00AC4460">
              <w:t>δ)</w:t>
            </w:r>
            <w:r w:rsidRPr="00AC4460">
              <w:tab/>
              <w:t>Μεσόφιλη αναερόβια χώνευση σε θερμοκρασία 37</w:t>
            </w:r>
            <w:r w:rsidRPr="00AC4460">
              <w:rPr>
                <w:b/>
                <w:i/>
              </w:rPr>
              <w:t>-</w:t>
            </w:r>
            <w:r w:rsidRPr="00AC4460">
              <w:t xml:space="preserve">40°C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1 </w:t>
            </w:r>
            <w:r w:rsidRPr="00AC4460">
              <w:rPr>
                <w:b/>
                <w:i/>
              </w:rPr>
              <w:t>του κανονισμού (ΕΕ</w:t>
            </w:r>
            <w:r w:rsidRPr="00AC4460">
              <w:t>)</w:t>
            </w:r>
            <w:r w:rsidRPr="00AC4460">
              <w:rPr>
                <w:b/>
                <w:i/>
              </w:rPr>
              <w:t xml:space="preserve"> αριθ. 142/2011·</w:t>
            </w:r>
            <w:r w:rsidRPr="00AC4460">
              <w:t xml:space="preserve"> 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ΚΛΠ 6 – σημείο 1 – στοιχείο γ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α)</w:t>
            </w:r>
            <w:r w:rsidRPr="00AC4460">
              <w:rPr>
                <w:b/>
                <w:i/>
              </w:rPr>
              <w:tab/>
              <w:t>πυρηνόξυλο, δηλαδή το παχύρρευστο υποπροϊόν που προέρχεται από την έκθλιψη της ελιάς, το οποίο παράγεται από την επεξεργασία του υδαρούς πυρήνα με οργανικούς διαλύτες βάσει φυγοκεντρικού συστήματος δύο φάσεων (υγρός ελαιοπυρήνας) ή τριών φάσεων (στερεός ελαιοπυρήνας).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ΚΛΠ 6 – σημείο 1 – στοιχείο γ β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β)</w:t>
            </w:r>
            <w:r w:rsidRPr="00AC4460">
              <w:tab/>
            </w:r>
            <w:r w:rsidRPr="00AC4460">
              <w:rPr>
                <w:b/>
                <w:i/>
              </w:rPr>
              <w:t>υποπροϊόντα της βιομηχανίας ζωοτροφών, τα οποία αναφέρονται στον κατάλογο πρώτων υλών ζωοτροφών του κανονισμού (ΕΕ) αριθ. 68/2013·</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ΚΛΠ 6 – σημείο 1 – στοιχείο γ γ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γ)</w:t>
            </w:r>
            <w:r w:rsidRPr="00AC4460">
              <w:rPr>
                <w:b/>
                <w:i/>
              </w:rPr>
              <w:tab/>
              <w:t>κάθε άλλο υλικό ή ουσία που έχει εγκριθεί για προσθήκη σε τρόφιμα ή ζωοτροφές.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II – μέρος II – ΚΣΥ 6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Η ουσία έχει καταχωριστεί σύμφωνα με τον κανονισμό (ΕΚ) αριθ. 1907/2006</w:t>
            </w:r>
            <w:r w:rsidRPr="00AC4460">
              <w:rPr>
                <w:vertAlign w:val="superscript"/>
              </w:rPr>
              <w:t>47</w:t>
            </w:r>
            <w:r w:rsidRPr="00AC4460">
              <w:rPr>
                <w:b/>
                <w:i/>
              </w:rPr>
              <w:t xml:space="preserve"> με φάκελο</w:t>
            </w:r>
            <w:r w:rsidRPr="00AC4460">
              <w:t xml:space="preserve"> που </w:t>
            </w:r>
            <w:r w:rsidRPr="00AC4460">
              <w:rPr>
                <w:b/>
                <w:i/>
              </w:rPr>
              <w:t>περιέχει</w:t>
            </w:r>
          </w:p>
        </w:tc>
        <w:tc>
          <w:tcPr>
            <w:tcW w:w="4876" w:type="dxa"/>
          </w:tcPr>
          <w:p w:rsidR="00E451E4" w:rsidRPr="00AC4460" w:rsidRDefault="00E451E4" w:rsidP="000A61DD">
            <w:pPr>
              <w:pStyle w:val="Normal6"/>
              <w:rPr>
                <w:szCs w:val="24"/>
              </w:rPr>
            </w:pPr>
            <w:r w:rsidRPr="00AC4460">
              <w:t>Η ουσία έχει καταχωριστεί σύμφωνα με τον κανονισμό (ΕΚ) αριθ. 1907/</w:t>
            </w:r>
            <w:r w:rsidRPr="00AC4460">
              <w:rPr>
                <w:b/>
                <w:i/>
              </w:rPr>
              <w:t>2006</w:t>
            </w:r>
            <w:r w:rsidRPr="00AC4460">
              <w:rPr>
                <w:b/>
                <w:i/>
                <w:vertAlign w:val="superscript"/>
              </w:rPr>
              <w:t>47</w:t>
            </w:r>
            <w:r w:rsidRPr="00AC4460">
              <w:rPr>
                <w:b/>
                <w:i/>
              </w:rPr>
              <w:t>, εκτός εάν αυτή καλύπτεται ρητώς από κάποια από τις εξαιρέσεις από την υποχρέωση καταχώρισης που προβλέπει το άρθρο 6 ή το παράρτημα IV ή V του εν λόγω κανονισμού.</w:t>
            </w:r>
          </w:p>
        </w:tc>
      </w:tr>
      <w:tr w:rsidR="00E451E4" w:rsidRPr="00B0345A"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B0345A" w:rsidTr="000A61DD">
        <w:trPr>
          <w:jc w:val="center"/>
        </w:trPr>
        <w:tc>
          <w:tcPr>
            <w:tcW w:w="4876" w:type="dxa"/>
          </w:tcPr>
          <w:p w:rsidR="00E451E4" w:rsidRPr="00AC4460" w:rsidRDefault="00E451E4" w:rsidP="000A61DD">
            <w:pPr>
              <w:pStyle w:val="Normal6"/>
            </w:pPr>
            <w:r w:rsidRPr="00AC4460">
              <w:rPr>
                <w:vertAlign w:val="superscript"/>
              </w:rPr>
              <w:t>47</w:t>
            </w:r>
            <w:r w:rsidR="000E6C72">
              <w:rPr>
                <w:vertAlign w:val="superscript"/>
              </w:rPr>
              <w:t xml:space="preserve"> </w:t>
            </w:r>
            <w:r w:rsidRPr="00AC4460">
              <w:t>Στην περίπτωση ουσίας που ανακτάται εντός της Ευρωπαϊκής Ένωσης, η προϋπόθεση αυτή πληρούται εάν η ουσία είναι η ίδια,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47</w:t>
            </w:r>
            <w:r w:rsidR="000E6C72">
              <w:rPr>
                <w:vertAlign w:val="superscript"/>
              </w:rPr>
              <w:t xml:space="preserve"> </w:t>
            </w:r>
            <w:r w:rsidRPr="00AC4460">
              <w:t>Στην περίπτωση ουσίας που ανακτάται εντός της Ευρωπαϊκής Ένωσης, η προϋπόθεση αυτή πληρούται εάν η ουσία είναι η ίδια,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6 – σημείο 2 – στοιχείο 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0E6C72" w:rsidRPr="000E6C72" w:rsidRDefault="000E6C72" w:rsidP="000E6C72">
      <w:pPr>
        <w:rPr>
          <w:lang w:val="pt-PT"/>
        </w:rPr>
      </w:pPr>
      <w:r w:rsidRPr="000E6C72">
        <w:rPr>
          <w:rStyle w:val="HideTWBExt"/>
          <w:noProof w:val="0"/>
          <w:lang w:val="pt-PT"/>
        </w:rPr>
        <w:t>&lt;/Amend&gt;</w:t>
      </w:r>
    </w:p>
    <w:p w:rsidR="000E6C72" w:rsidRPr="000E6C72" w:rsidRDefault="000E6C72" w:rsidP="000E6C72">
      <w:pPr>
        <w:pStyle w:val="AMNumberTabs"/>
        <w:keepNext/>
        <w:rPr>
          <w:lang w:val="pt-PT"/>
        </w:rPr>
      </w:pPr>
      <w:r w:rsidRPr="000E6C72">
        <w:rPr>
          <w:rStyle w:val="HideTWBExt"/>
          <w:b w:val="0"/>
          <w:noProof w:val="0"/>
          <w:lang w:val="pt-PT"/>
        </w:rPr>
        <w:t>&lt;Amend&gt;</w:t>
      </w:r>
      <w:r w:rsidRPr="00AC4460">
        <w:t>Τροπολογία</w:t>
      </w:r>
      <w:r w:rsidRPr="000E6C72">
        <w:rPr>
          <w:lang w:val="pt-PT"/>
        </w:rPr>
        <w:tab/>
      </w:r>
      <w:r w:rsidRPr="000E6C72">
        <w:rPr>
          <w:lang w:val="pt-PT"/>
        </w:rPr>
        <w:tab/>
      </w:r>
      <w:r w:rsidRPr="000E6C72">
        <w:rPr>
          <w:rStyle w:val="HideTWBExt"/>
          <w:b w:val="0"/>
          <w:noProof w:val="0"/>
          <w:lang w:val="pt-PT"/>
        </w:rPr>
        <w:t>&lt;NumAm&gt;</w:t>
      </w:r>
      <w:r w:rsidRPr="000E6C72">
        <w:rPr>
          <w:lang w:val="pt-PT"/>
        </w:rPr>
        <w:t>2</w:t>
      </w:r>
      <w:r>
        <w:t>67</w:t>
      </w:r>
      <w:r w:rsidRPr="000E6C72">
        <w:rPr>
          <w:rStyle w:val="HideTWBExt"/>
          <w:b w:val="0"/>
          <w:noProof w:val="0"/>
          <w:lang w:val="pt-PT"/>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6 – σημείο 2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6 – σημείο 2 – εδάφιο 2</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ΙI – μέρος ΙΙ – ΚΣΥ 6 – σημείο 2 – εδάφιο 2 α (νέο)</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Η ποσότητα αφλατοξινών σε όλες τις ουσίες είναι χαμηλότερη από το όριο ανίχνευσης.</w:t>
            </w:r>
          </w:p>
        </w:tc>
      </w:tr>
    </w:tbl>
    <w:p w:rsidR="00E451E4" w:rsidRPr="00B0345A" w:rsidRDefault="00E451E4" w:rsidP="00E451E4">
      <w:pPr>
        <w:pStyle w:val="JustificationTitle"/>
        <w:jc w:val="left"/>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II – ΚΛΠ 7 – σημείο 1 – περίπτωση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w:t>
            </w:r>
            <w:r w:rsidRPr="00AC4460">
              <w:rPr>
                <w:b/>
                <w:i/>
              </w:rPr>
              <w:tab/>
              <w:t>δεν έχουν υποστεί άλλη επεξεργασία εκτός από ξήρανση ή λυοφιλίωση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ΙΙ – μέρος ΙΙ – ΚΣΥ 8 – σημείο 1</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1.</w:t>
            </w:r>
            <w:r w:rsidRPr="00AC4460">
              <w:tab/>
              <w:t>Ένα προϊόν λίπανσης με σήμανση CE επιτρέπεται να περιέχει μια ουσία ή ένα μείγμα που αποσκοπεί στο να βελτιώσει τον τρόπο απελευθέρωσης των θρεπτικών συστατικών του προϊόντος λίπανσης, μόνον εφόσον η συμμόρφωση της εν λόγω ουσίας ή του μείγματος με τις απαιτήσεις του παρόντος κανονισμού για προϊόντα που εμπίπτουν στην ΚΛΠ 5 του παραρτήματος Ι έχει αποδειχθεί σύμφωνα με τις διαδικασίες αξιολόγησης της συμμόρφωσης που ισχύουν για τα εν λόγω γεωπονικά πρόσθετα.</w:t>
            </w:r>
          </w:p>
        </w:tc>
        <w:tc>
          <w:tcPr>
            <w:tcW w:w="4876" w:type="dxa"/>
          </w:tcPr>
          <w:p w:rsidR="00E451E4" w:rsidRPr="00AC4460" w:rsidRDefault="00E451E4" w:rsidP="000A61DD">
            <w:pPr>
              <w:pStyle w:val="Normal6"/>
              <w:rPr>
                <w:szCs w:val="24"/>
              </w:rPr>
            </w:pPr>
            <w:r w:rsidRPr="00AC4460">
              <w:t>1.</w:t>
            </w:r>
            <w:r w:rsidRPr="00AC4460">
              <w:tab/>
              <w:t xml:space="preserve">Ένα προϊόν λίπανσης με σήμανση CE επιτρέπεται να περιέχει μια ουσία ή ένα μείγμα </w:t>
            </w:r>
            <w:r w:rsidRPr="00AC4460">
              <w:rPr>
                <w:b/>
                <w:i/>
              </w:rPr>
              <w:t>(συμπεριλαμβανομένων των τεχνολογικών πρόσθετων, όπως: οι λυτικοί, αντιαφριστικοί, αντιστατικοί παράγοντες, οι βαφές και οι ρεολογικοί παράγοντες)</w:t>
            </w:r>
            <w:r w:rsidRPr="00AC4460">
              <w:t xml:space="preserve"> που αποσκοπεί στο να βελτιώσει τον τρόπο απελευθέρωσης των θρεπτικών συστατικών του προϊόντος λίπανσης, μόνον εφόσον η συμμόρφωση της εν λόγω ουσίας ή του μείγματος με τις απαιτήσεις του παρόντος κανονισμού για προϊόντα που εμπίπτουν στην ΚΛΠ 5 του παραρτήματος Ι έχει αποδειχθεί σύμφωνα με τις διαδικασίες αξιολόγησης της συμμόρφωσης που ισχύουν για τα εν λόγω γεωπονικά πρόσθετα.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272</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ΙΙ – ΚΛΠ 8 – σημείο 3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3α.</w:t>
            </w:r>
            <w:r w:rsidRPr="00AC4460">
              <w:rPr>
                <w:b/>
                <w:i/>
              </w:rPr>
              <w:tab/>
              <w:t>Ένα προϊόν λίπανσης με σήμανση CE μπορεί να περιέχει συμμορφούμενο αναστολέα απονίτρωσης, όπως αναφέρεται στην ΚΛΠ 5(Α)(Ια) του παραρτήματος I, μόνον εφόσον περιέχει άζωτο σε κάποια μορφή.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 xml:space="preserve"> Παράρτημα ΙΙ – μέρος ΙΙ – ΚΣΥ 8 – σημείο 4</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4.</w:t>
            </w:r>
            <w:r w:rsidRPr="00AC4460">
              <w:tab/>
              <w:t>Ένα προϊόν λίπανσης με σήμανση CE μπορεί να περιέχει συμμορφούμενο αναστολέα ουρεάσης, όπως αναφέρεται στην ΚΛΠ 5(Α)(ΙΙ) του παραρτήματος I, μόνον εφόσον τουλάχιστον το 50 % της συνολικής περιεκτικότητας του προϊόντος λίπανσης σε άζωτο (N) συνίσταται από άζωτο (Ν) σε μορφή ουρίας (CH4N2O).</w:t>
            </w:r>
          </w:p>
        </w:tc>
        <w:tc>
          <w:tcPr>
            <w:tcW w:w="4876" w:type="dxa"/>
            <w:hideMark/>
          </w:tcPr>
          <w:p w:rsidR="00E451E4" w:rsidRPr="00AC4460" w:rsidRDefault="00E451E4" w:rsidP="000A61DD">
            <w:pPr>
              <w:pStyle w:val="Normal6"/>
              <w:rPr>
                <w:szCs w:val="24"/>
              </w:rPr>
            </w:pPr>
            <w:r w:rsidRPr="00AC4460">
              <w:t>4.</w:t>
            </w:r>
            <w:r w:rsidRPr="00AC4460">
              <w:tab/>
              <w:t xml:space="preserve">Ένα προϊόν λίπανσης με σήμανση CE μπορεί να περιέχει συμμορφούμενο αναστολέα ουρεάσης, όπως αναφέρεται στην ΚΛΠ 5(Α)(ΙΙ) του παραρτήματος I, μόνον εφόσον τουλάχιστον το 50 % της συνολικής περιεκτικότητας του προϊόντος λίπανσης σε άζωτο (N) συνίσταται από άζωτο (Ν) σε μορφή </w:t>
            </w:r>
            <w:r w:rsidRPr="00AC4460">
              <w:rPr>
                <w:b/>
                <w:i/>
              </w:rPr>
              <w:t xml:space="preserve">αμμωνίου (NH4+) ή αμμωνίου (ΝΗ4+) και </w:t>
            </w:r>
            <w:r w:rsidRPr="00AC4460">
              <w:t>ουρίας (CH4N2O).</w:t>
            </w:r>
          </w:p>
        </w:tc>
      </w:tr>
    </w:tbl>
    <w:p w:rsidR="00E451E4" w:rsidRPr="00B0345A" w:rsidRDefault="00E451E4" w:rsidP="00E451E4">
      <w:pPr>
        <w:pStyle w:val="AMNumberTabs"/>
        <w:keepNext/>
        <w:rPr>
          <w:rStyle w:val="HideTWBExt"/>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ΙΙ – μέρος ΙΙ – ΚΣΥ 9 – σημείο 3</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FA3492"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rPr>
                <w:szCs w:val="24"/>
              </w:rPr>
            </w:pPr>
            <w:r w:rsidRPr="00AC4460">
              <w:t>3.</w:t>
            </w:r>
            <w:r w:rsidRPr="00AC4460">
              <w:tab/>
              <w:t xml:space="preserve">Τα πολυμερή </w:t>
            </w:r>
            <w:r w:rsidRPr="00AC4460">
              <w:rPr>
                <w:b/>
                <w:i/>
              </w:rPr>
              <w:t xml:space="preserve">δεν </w:t>
            </w:r>
            <w:r w:rsidRPr="00AC4460">
              <w:t xml:space="preserve">περιέχουν </w:t>
            </w:r>
            <w:r w:rsidRPr="00AC4460">
              <w:rPr>
                <w:b/>
                <w:i/>
              </w:rPr>
              <w:t>φορμαλδεΰδη</w:t>
            </w:r>
            <w:r w:rsidRPr="00AC4460">
              <w:t>.</w:t>
            </w:r>
          </w:p>
        </w:tc>
        <w:tc>
          <w:tcPr>
            <w:tcW w:w="4875" w:type="dxa"/>
            <w:hideMark/>
          </w:tcPr>
          <w:p w:rsidR="00E451E4" w:rsidRPr="00AC4460" w:rsidRDefault="00E451E4" w:rsidP="000A61DD">
            <w:pPr>
              <w:pStyle w:val="Normal6"/>
              <w:rPr>
                <w:b/>
                <w:i/>
                <w:szCs w:val="24"/>
              </w:rPr>
            </w:pPr>
            <w:r w:rsidRPr="00AC4460">
              <w:t>3.</w:t>
            </w:r>
            <w:r w:rsidRPr="00AC4460">
              <w:tab/>
              <w:t xml:space="preserve">Τα πολυμερή περιέχουν </w:t>
            </w:r>
            <w:r w:rsidRPr="00AC4460">
              <w:rPr>
                <w:b/>
                <w:i/>
              </w:rPr>
              <w:t>κατά το μέγιστο 600 ppm ελεύθερης φορμαλδεΰδης</w:t>
            </w:r>
            <w:r w:rsidRPr="00AC4460">
              <w:t>.</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275</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ΙΙ – μέρος ΙΙ – ΚΣΥ 10 – σημείο 1</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rFonts w:eastAsia="Calibri"/>
              </w:rPr>
            </w:pPr>
            <w:r w:rsidRPr="00AC4460">
              <w:t>1.</w:t>
            </w:r>
            <w:r w:rsidRPr="00AC4460">
              <w:tab/>
              <w:t xml:space="preserve">Ένα προϊόν λίπανσης με σήμανση CE μπορεί να περιέχει πολυμερή άλλα από τα πολυμερή θρεπτικών συστατικών μόνον εφόσον στόχος του πολυμερούς είναι </w:t>
            </w:r>
          </w:p>
        </w:tc>
        <w:tc>
          <w:tcPr>
            <w:tcW w:w="4876" w:type="dxa"/>
          </w:tcPr>
          <w:p w:rsidR="00E451E4" w:rsidRPr="00AC4460" w:rsidRDefault="00E451E4" w:rsidP="000A61DD">
            <w:pPr>
              <w:pStyle w:val="Normal6"/>
              <w:rPr>
                <w:rFonts w:eastAsia="Calibri"/>
              </w:rPr>
            </w:pPr>
            <w:r w:rsidRPr="00AC4460">
              <w:t>1.</w:t>
            </w:r>
            <w:r w:rsidRPr="00AC4460">
              <w:tab/>
              <w:t xml:space="preserve">Ένα προϊόν λίπανσης με σήμανση CE μπορεί να περιέχει πολυμερή άλλα από τα πολυμερή θρεπτικών συστατικών μόνον εφόσον στόχος του πολυμερούς είναι </w:t>
            </w:r>
          </w:p>
        </w:tc>
      </w:tr>
      <w:tr w:rsidR="00E451E4" w:rsidRPr="00B0345A" w:rsidTr="000A61DD">
        <w:trPr>
          <w:jc w:val="center"/>
        </w:trPr>
        <w:tc>
          <w:tcPr>
            <w:tcW w:w="4876" w:type="dxa"/>
          </w:tcPr>
          <w:p w:rsidR="00E451E4" w:rsidRPr="00AC4460" w:rsidRDefault="00E451E4" w:rsidP="000A61DD">
            <w:pPr>
              <w:pStyle w:val="Normal6"/>
              <w:rPr>
                <w:rFonts w:eastAsia="Calibri"/>
              </w:rPr>
            </w:pPr>
            <w:r w:rsidRPr="00AC4460">
              <w:t xml:space="preserve">α) </w:t>
            </w:r>
            <w:r w:rsidRPr="00AC4460">
              <w:tab/>
              <w:t>ο έλεγχος της διείσδυσης του ύδατος σε σωματίδια θρεπτικών συστατικών και, ως εκ τούτου, της απελευθέρωσης των θρεπτικών συστατικών (οπότε το πολυμερές ονομάζεται κοινώς «παράγοντας επικάλυψης»), ή</w:t>
            </w:r>
          </w:p>
        </w:tc>
        <w:tc>
          <w:tcPr>
            <w:tcW w:w="4876" w:type="dxa"/>
          </w:tcPr>
          <w:p w:rsidR="00E451E4" w:rsidRPr="00AC4460" w:rsidRDefault="00E451E4" w:rsidP="000A61DD">
            <w:pPr>
              <w:pStyle w:val="Normal6"/>
              <w:rPr>
                <w:rFonts w:eastAsia="Calibri"/>
              </w:rPr>
            </w:pPr>
            <w:r w:rsidRPr="00AC4460">
              <w:t xml:space="preserve">α) </w:t>
            </w:r>
            <w:r w:rsidRPr="00AC4460">
              <w:tab/>
              <w:t>ο έλεγχος της διείσδυσης του ύδατος σε σωματίδια θρεπτικών συστατικών και, ως εκ τούτου, της απελευθέρωσης των θρεπτικών συστατικών (οπότε το πολυμερές ονομάζεται κοινώς «παράγοντας επικάλυψης»), ή</w:t>
            </w:r>
          </w:p>
        </w:tc>
      </w:tr>
      <w:tr w:rsidR="00E451E4" w:rsidRPr="00B0345A" w:rsidTr="000A61DD">
        <w:trPr>
          <w:jc w:val="center"/>
        </w:trPr>
        <w:tc>
          <w:tcPr>
            <w:tcW w:w="4876" w:type="dxa"/>
          </w:tcPr>
          <w:p w:rsidR="00E451E4" w:rsidRPr="00AC4460" w:rsidRDefault="00E451E4" w:rsidP="000A61DD">
            <w:pPr>
              <w:pStyle w:val="Normal6"/>
              <w:rPr>
                <w:rFonts w:eastAsia="Calibri"/>
              </w:rPr>
            </w:pPr>
            <w:r w:rsidRPr="00AC4460">
              <w:t xml:space="preserve">β) </w:t>
            </w:r>
            <w:r w:rsidRPr="00AC4460">
              <w:tab/>
              <w:t>η αύξηση της ικανότητας κατακράτησης ύδατος του προϊόντος λίπανσης με σήμανση CE</w:t>
            </w:r>
            <w:r w:rsidRPr="00AC4460">
              <w:rPr>
                <w:b/>
                <w:i/>
              </w:rPr>
              <w:t>.</w:t>
            </w:r>
          </w:p>
        </w:tc>
        <w:tc>
          <w:tcPr>
            <w:tcW w:w="4876" w:type="dxa"/>
          </w:tcPr>
          <w:p w:rsidR="00E451E4" w:rsidRPr="00AC4460" w:rsidRDefault="00E451E4" w:rsidP="000A61DD">
            <w:pPr>
              <w:pStyle w:val="Normal6"/>
              <w:rPr>
                <w:rFonts w:eastAsia="Calibri"/>
              </w:rPr>
            </w:pPr>
            <w:r w:rsidRPr="00AC4460">
              <w:t xml:space="preserve">β) </w:t>
            </w:r>
            <w:r w:rsidRPr="00AC4460">
              <w:tab/>
              <w:t>η αύξηση της ικανότητας κατακράτησης ύδατος του προϊόντος λίπανσης με σήμανση CE</w:t>
            </w:r>
            <w:r w:rsidRPr="00AC4460">
              <w:rPr>
                <w:b/>
                <w:i/>
              </w:rPr>
              <w:t>, ή</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β α)</w:t>
            </w:r>
            <w:r w:rsidRPr="00AC4460">
              <w:rPr>
                <w:b/>
                <w:i/>
                <w:szCs w:val="24"/>
              </w:rPr>
              <w:tab/>
            </w:r>
            <w:r w:rsidRPr="00AC4460">
              <w:rPr>
                <w:b/>
                <w:i/>
              </w:rPr>
              <w:t>η βελτίωση του εδάφους με βιοδιασπώμενη στρώση εδαφοκάλυψης, που συμμορφώνεται συγκεκριμένα προς τις απαιτήσεις της ΚΣΥ 10 σημεία 2α και 3, ή</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β β)</w:t>
            </w:r>
            <w:r w:rsidRPr="00AC4460">
              <w:rPr>
                <w:b/>
                <w:i/>
                <w:szCs w:val="24"/>
              </w:rPr>
              <w:tab/>
            </w:r>
            <w:r w:rsidRPr="00AC4460">
              <w:rPr>
                <w:b/>
                <w:i/>
              </w:rPr>
              <w:t>η δέσμευση συστατικών του προϊόντος λίπανσης, χωρίς καμία επαφή με το έδαφος, ή</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β γ)</w:t>
            </w:r>
            <w:r w:rsidRPr="00AC4460">
              <w:rPr>
                <w:b/>
                <w:i/>
                <w:szCs w:val="24"/>
              </w:rPr>
              <w:tab/>
            </w:r>
            <w:r w:rsidRPr="00AC4460">
              <w:rPr>
                <w:b/>
                <w:i/>
              </w:rPr>
              <w:t>η βελτίωση της σταθερότητας των προϊόντων λίπανσης με σήμανση CE, ή</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rPr>
              <w:t>β δ)</w:t>
            </w:r>
            <w:r w:rsidRPr="00AC4460">
              <w:tab/>
            </w:r>
            <w:r w:rsidRPr="00AC4460">
              <w:rPr>
                <w:b/>
                <w:i/>
              </w:rPr>
              <w:t>η βελτίωση της διείσδυσης του νερού στο έδαφος.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ΙΙ – μέρος ΙΙ – ΚΣΥ 10 – σημείο 2</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spacing w:line="256" w:lineRule="auto"/>
            </w:pPr>
            <w:r w:rsidRPr="00AC4460">
              <w:t>2.</w:t>
            </w:r>
            <w:r w:rsidRPr="00AC4460">
              <w:tab/>
              <w:t xml:space="preserve">Από την </w:t>
            </w:r>
            <w:r w:rsidRPr="00AC4460">
              <w:rPr>
                <w:b/>
                <w:i/>
              </w:rPr>
              <w:t>[Publications office, please insert the date occurring three years after the date of application of this Regulation]</w:t>
            </w:r>
            <w:r w:rsidRPr="00AC4460">
              <w:t xml:space="preserve">, επιβάλλεται η συμμόρφωση με το παρακάτω κριτήριο: Το πολυμερές είναι ικανό να υποστεί φυσική ή βιολογική αποσύνθεση έτσι ώστε το μεγαλύτερο μέρος του να αποσυντίθεται τελικώς προς διοξείδιο του άνθρακα (CO2), βιομάζα και νερό. Τουλάχιστον το 90 % του οργανικού άνθρακα μετατρέπεται σε CO2 εντός </w:t>
            </w:r>
            <w:r w:rsidRPr="00AC4460">
              <w:rPr>
                <w:b/>
                <w:i/>
              </w:rPr>
              <w:t>24</w:t>
            </w:r>
            <w:r w:rsidRPr="00AC4460">
              <w:t xml:space="preserve"> μηνών το </w:t>
            </w:r>
            <w:r w:rsidRPr="00AC4460">
              <w:rPr>
                <w:b/>
                <w:i/>
              </w:rPr>
              <w:t>αργότερο</w:t>
            </w:r>
            <w:r w:rsidRPr="00AC4460">
              <w:t xml:space="preserve"> σε δοκιμή βιοαποδομησιμότητας </w:t>
            </w:r>
            <w:r w:rsidRPr="00AC4460">
              <w:rPr>
                <w:b/>
                <w:i/>
              </w:rPr>
              <w:t>όπως καθορίζεται στα σημεία α) έως γ) παρακάτω</w:t>
            </w:r>
            <w:r w:rsidRPr="00AC4460">
              <w:t>.</w:t>
            </w:r>
          </w:p>
        </w:tc>
        <w:tc>
          <w:tcPr>
            <w:tcW w:w="4876" w:type="dxa"/>
            <w:hideMark/>
          </w:tcPr>
          <w:p w:rsidR="00E451E4" w:rsidRPr="00AC4460" w:rsidRDefault="00E451E4" w:rsidP="000A61DD">
            <w:pPr>
              <w:pStyle w:val="Normal6"/>
              <w:spacing w:line="256" w:lineRule="auto"/>
              <w:rPr>
                <w:b/>
                <w:i/>
                <w:szCs w:val="24"/>
              </w:rPr>
            </w:pPr>
            <w:r w:rsidRPr="00AC4460">
              <w:t>2.</w:t>
            </w:r>
            <w:r w:rsidRPr="00AC4460">
              <w:tab/>
              <w:t xml:space="preserve">Από την </w:t>
            </w:r>
            <w:r w:rsidRPr="00AC4460">
              <w:rPr>
                <w:b/>
                <w:i/>
              </w:rPr>
              <w:t>… [πέντε έτη μετά την ημερομηνία εφαρμογής του παρόντος κανονισμού]</w:t>
            </w:r>
            <w:r w:rsidRPr="00AC4460">
              <w:t xml:space="preserve">, επιβάλλεται η συμμόρφωση με το παρακάτω κριτήριο: Το πολυμερές είναι ικανό να υποστεί φυσική ή βιολογική αποσύνθεση έτσι ώστε το μεγαλύτερο μέρος του να αποσυντίθεται τελικώς προς διοξείδιο του άνθρακα (CO2), βιομάζα και νερό. Τουλάχιστον το 90 % του οργανικού άνθρακα μετατρέπεται σε CO2 </w:t>
            </w:r>
            <w:r w:rsidRPr="00AC4460">
              <w:rPr>
                <w:b/>
                <w:i/>
              </w:rPr>
              <w:t xml:space="preserve">το αργότερο </w:t>
            </w:r>
            <w:r w:rsidRPr="00AC4460">
              <w:t xml:space="preserve">εντός </w:t>
            </w:r>
            <w:r w:rsidRPr="00AC4460">
              <w:rPr>
                <w:b/>
                <w:i/>
              </w:rPr>
              <w:t>48</w:t>
            </w:r>
            <w:r w:rsidRPr="00AC4460">
              <w:t xml:space="preserve"> μηνών </w:t>
            </w:r>
            <w:r w:rsidRPr="00AC4460">
              <w:rPr>
                <w:b/>
                <w:i/>
              </w:rPr>
              <w:t xml:space="preserve">μετά </w:t>
            </w:r>
            <w:r w:rsidRPr="00AC4460">
              <w:t xml:space="preserve">το </w:t>
            </w:r>
            <w:r w:rsidRPr="00AC4460">
              <w:rPr>
                <w:b/>
                <w:i/>
              </w:rPr>
              <w:t>τέλος της δηλούμενης περιόδου λειτουργικότητας του προϊόντος λίπανσης που αναγράφεται στην ετικέτα, και</w:t>
            </w:r>
            <w:r w:rsidRPr="00AC4460">
              <w:t xml:space="preserve"> σε </w:t>
            </w:r>
            <w:r w:rsidRPr="00AC4460">
              <w:rPr>
                <w:b/>
                <w:i/>
              </w:rPr>
              <w:t xml:space="preserve">σύγκριση με το κατάλληλο πρότυπο για τη </w:t>
            </w:r>
            <w:r w:rsidRPr="00AC4460">
              <w:t>δοκιμή</w:t>
            </w:r>
            <w:r w:rsidRPr="00AC4460">
              <w:rPr>
                <w:b/>
                <w:i/>
              </w:rPr>
              <w:t xml:space="preserve"> βιοαποδόμησης. Τα κριτήρια</w:t>
            </w:r>
            <w:r w:rsidRPr="00AC4460">
              <w:t xml:space="preserve"> βιοαποδομησιμότητας </w:t>
            </w:r>
            <w:r w:rsidRPr="00AC4460">
              <w:rPr>
                <w:b/>
                <w:i/>
              </w:rPr>
              <w:t>και η ανάπτυξη κατάλληλης μεθόδου δοκιμής για τη βιοαποδόμηση αξιολογούνται υπό το πρίσμα των πλέον πρόσφατων επιστημονικών στοιχείων και ορίζονται σε κατ’ εξουσιοδότηση πράξεις που εκδίδονται σύμφωνα με το άρθρο 42 του παρόντος κανονισμού</w:t>
            </w:r>
            <w:r w:rsidRPr="00AC4460">
              <w:t>.</w:t>
            </w:r>
          </w:p>
        </w:tc>
      </w:tr>
      <w:tr w:rsidR="00E451E4" w:rsidRPr="00B0345A" w:rsidTr="000A61DD">
        <w:trPr>
          <w:jc w:val="center"/>
        </w:trPr>
        <w:tc>
          <w:tcPr>
            <w:tcW w:w="4876" w:type="dxa"/>
            <w:hideMark/>
          </w:tcPr>
          <w:p w:rsidR="00E451E4" w:rsidRPr="00AC4460" w:rsidRDefault="00E451E4" w:rsidP="000A61DD">
            <w:pPr>
              <w:pStyle w:val="Normal6"/>
              <w:spacing w:line="256" w:lineRule="auto"/>
            </w:pPr>
            <w:r w:rsidRPr="00AC4460">
              <w:rPr>
                <w:b/>
                <w:i/>
              </w:rPr>
              <w:t>α)</w:t>
            </w:r>
            <w:r w:rsidRPr="00AC4460">
              <w:rPr>
                <w:b/>
                <w:i/>
              </w:rPr>
              <w:tab/>
              <w:t>Η δοκιμή διεξάγεται σε θερμοκρασία 25 °C ± 2 °C.</w:t>
            </w:r>
          </w:p>
        </w:tc>
        <w:tc>
          <w:tcPr>
            <w:tcW w:w="4876" w:type="dxa"/>
            <w:hideMark/>
          </w:tcPr>
          <w:p w:rsidR="00E451E4" w:rsidRPr="00AC4460" w:rsidRDefault="00E451E4" w:rsidP="000A61DD">
            <w:pPr>
              <w:pStyle w:val="Normal6"/>
              <w:spacing w:line="256" w:lineRule="auto"/>
              <w:rPr>
                <w:lang w:eastAsia="en-US"/>
              </w:rPr>
            </w:pPr>
          </w:p>
        </w:tc>
      </w:tr>
      <w:tr w:rsidR="00E451E4" w:rsidRPr="00B0345A" w:rsidTr="000A61DD">
        <w:trPr>
          <w:jc w:val="center"/>
        </w:trPr>
        <w:tc>
          <w:tcPr>
            <w:tcW w:w="4876" w:type="dxa"/>
            <w:hideMark/>
          </w:tcPr>
          <w:p w:rsidR="00E451E4" w:rsidRPr="00AC4460" w:rsidRDefault="00E451E4" w:rsidP="000A61DD">
            <w:pPr>
              <w:pStyle w:val="Normal6"/>
              <w:rPr>
                <w:b/>
                <w:i/>
              </w:rPr>
            </w:pPr>
            <w:r w:rsidRPr="00AC4460">
              <w:rPr>
                <w:b/>
                <w:i/>
              </w:rPr>
              <w:t>β)</w:t>
            </w:r>
            <w:r w:rsidRPr="00AC4460">
              <w:rPr>
                <w:b/>
                <w:i/>
              </w:rPr>
              <w:tab/>
              <w:t>Η δοκιμή διεξάγεται σύμφωνα με μέθοδο για τον προσδιορισμό της τελικής αερόβιας βιοαποδομησιμότητας πλαστικών υλικών στο έδαφος με μέτρηση των απαιτήσεων σε οξυγόνο ή της ποσότητας του διοξειδίου του άνθρακα που εκλύεται.</w:t>
            </w:r>
          </w:p>
        </w:tc>
        <w:tc>
          <w:tcPr>
            <w:tcW w:w="4876" w:type="dxa"/>
            <w:hideMark/>
          </w:tcPr>
          <w:p w:rsidR="00E451E4" w:rsidRPr="00AC4460" w:rsidRDefault="00E451E4" w:rsidP="000A61DD">
            <w:pPr>
              <w:pStyle w:val="Normal6"/>
              <w:spacing w:line="256" w:lineRule="auto"/>
              <w:rPr>
                <w:lang w:eastAsia="en-US"/>
              </w:rPr>
            </w:pPr>
          </w:p>
        </w:tc>
      </w:tr>
      <w:tr w:rsidR="00E451E4" w:rsidRPr="00B0345A" w:rsidTr="000A61DD">
        <w:trPr>
          <w:jc w:val="center"/>
        </w:trPr>
        <w:tc>
          <w:tcPr>
            <w:tcW w:w="4876" w:type="dxa"/>
            <w:hideMark/>
          </w:tcPr>
          <w:p w:rsidR="00E451E4" w:rsidRPr="00AC4460" w:rsidRDefault="00E451E4" w:rsidP="000A61DD">
            <w:pPr>
              <w:pStyle w:val="Normal6"/>
              <w:rPr>
                <w:b/>
                <w:i/>
              </w:rPr>
            </w:pPr>
            <w:r w:rsidRPr="00AC4460">
              <w:rPr>
                <w:b/>
                <w:i/>
              </w:rPr>
              <w:t>γ)</w:t>
            </w:r>
            <w:r w:rsidRPr="00AC4460">
              <w:rPr>
                <w:b/>
                <w:i/>
              </w:rPr>
              <w:tab/>
              <w:t>Σκόνη μικροκρυσταλλικής κυτταρίνης με τις ίδιες διαστάσεις όπως και το δοκιμαζόμενο υλικό χρησιμοποιείται ως υλικό αναφοράς στη δοκιμή.</w:t>
            </w:r>
          </w:p>
        </w:tc>
        <w:tc>
          <w:tcPr>
            <w:tcW w:w="4876" w:type="dxa"/>
            <w:hideMark/>
          </w:tcPr>
          <w:p w:rsidR="00E451E4" w:rsidRPr="00AC4460" w:rsidRDefault="00E451E4" w:rsidP="000A61DD">
            <w:pPr>
              <w:pStyle w:val="Normal6"/>
              <w:spacing w:line="256" w:lineRule="auto"/>
              <w:rPr>
                <w:lang w:eastAsia="en-US"/>
              </w:rPr>
            </w:pPr>
          </w:p>
        </w:tc>
      </w:tr>
      <w:tr w:rsidR="00E451E4" w:rsidRPr="00B0345A" w:rsidTr="000A61DD">
        <w:trPr>
          <w:jc w:val="center"/>
        </w:trPr>
        <w:tc>
          <w:tcPr>
            <w:tcW w:w="4876" w:type="dxa"/>
            <w:hideMark/>
          </w:tcPr>
          <w:p w:rsidR="00E451E4" w:rsidRPr="00AC4460" w:rsidRDefault="00E451E4" w:rsidP="000A61DD">
            <w:pPr>
              <w:pStyle w:val="Normal6"/>
              <w:rPr>
                <w:b/>
                <w:i/>
              </w:rPr>
            </w:pPr>
            <w:r w:rsidRPr="00AC4460">
              <w:rPr>
                <w:b/>
                <w:i/>
              </w:rPr>
              <w:t>δ)</w:t>
            </w:r>
            <w:r w:rsidRPr="00AC4460">
              <w:rPr>
                <w:b/>
                <w:i/>
              </w:rPr>
              <w:tab/>
              <w:t>Πριν από τη δοκιμή, το δοκιμαζόμενο υλικό δεν εκτίθεται σε συνθήκες ή διαδικασίες που αποσκοπούν στην επιτάχυνση της αποδόμησης της μεμβράνης, όπως η έκθεση σε θερμότητα ή φως.</w:t>
            </w:r>
          </w:p>
        </w:tc>
        <w:tc>
          <w:tcPr>
            <w:tcW w:w="4876" w:type="dxa"/>
            <w:hideMark/>
          </w:tcPr>
          <w:p w:rsidR="00E451E4" w:rsidRPr="00AC4460" w:rsidRDefault="00E451E4" w:rsidP="000A61DD">
            <w:pPr>
              <w:pStyle w:val="Normal6"/>
              <w:spacing w:line="256" w:lineRule="auto"/>
              <w:rPr>
                <w:lang w:eastAsia="en-US"/>
              </w:rPr>
            </w:pP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IΙ – μέρος ΙΙ – ΚΛΠ 10 – σημείο 2 α (νέο)</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rPr>
                <w:rFonts w:eastAsia="Calibri"/>
                <w:b/>
                <w:bCs/>
                <w:i/>
                <w:iCs/>
                <w:lang w:bidi="ar-LY"/>
              </w:rPr>
            </w:pPr>
          </w:p>
        </w:tc>
        <w:tc>
          <w:tcPr>
            <w:tcW w:w="4876" w:type="dxa"/>
          </w:tcPr>
          <w:p w:rsidR="00E451E4" w:rsidRPr="00AC4460" w:rsidRDefault="00E451E4" w:rsidP="000A61DD">
            <w:pPr>
              <w:pStyle w:val="Normal6"/>
              <w:rPr>
                <w:b/>
                <w:bCs/>
                <w:i/>
                <w:iCs/>
                <w:szCs w:val="24"/>
              </w:rPr>
            </w:pPr>
            <w:r w:rsidRPr="00AC4460">
              <w:rPr>
                <w:b/>
                <w:bCs/>
                <w:i/>
                <w:iCs/>
                <w:szCs w:val="24"/>
              </w:rPr>
              <w:t>2α.</w:t>
            </w:r>
            <w:r w:rsidRPr="00AC4460">
              <w:rPr>
                <w:b/>
                <w:bCs/>
                <w:i/>
                <w:iCs/>
                <w:szCs w:val="24"/>
              </w:rPr>
              <w:tab/>
              <w:t xml:space="preserve">Οι βιοδιασπώμενες στρώσεις εδαφοκάλυψης που αναφέρονται στην ΚΛΠ 3 (Β) συμμορφώνονται με το ακόλουθο κριτήριο: </w:t>
            </w:r>
          </w:p>
        </w:tc>
      </w:tr>
      <w:tr w:rsidR="00E451E4" w:rsidRPr="00B0345A" w:rsidTr="000A61DD">
        <w:trPr>
          <w:jc w:val="center"/>
        </w:trPr>
        <w:tc>
          <w:tcPr>
            <w:tcW w:w="4876" w:type="dxa"/>
          </w:tcPr>
          <w:p w:rsidR="00E451E4" w:rsidRPr="00AC4460" w:rsidRDefault="00E451E4" w:rsidP="000A61DD">
            <w:pPr>
              <w:pStyle w:val="Normal6"/>
              <w:rPr>
                <w:rFonts w:eastAsia="Calibri"/>
                <w:b/>
                <w:bCs/>
                <w:i/>
                <w:iCs/>
                <w:lang w:bidi="ar-LY"/>
              </w:rPr>
            </w:pPr>
          </w:p>
        </w:tc>
        <w:tc>
          <w:tcPr>
            <w:tcW w:w="4876" w:type="dxa"/>
          </w:tcPr>
          <w:p w:rsidR="00E451E4" w:rsidRPr="00AC4460" w:rsidRDefault="00E451E4" w:rsidP="000A61DD">
            <w:pPr>
              <w:pStyle w:val="Normal6"/>
              <w:rPr>
                <w:rFonts w:eastAsia="Calibri"/>
                <w:b/>
                <w:bCs/>
                <w:i/>
                <w:iCs/>
                <w:szCs w:val="24"/>
              </w:rPr>
            </w:pPr>
            <w:r w:rsidRPr="00AC4460">
              <w:rPr>
                <w:b/>
                <w:bCs/>
                <w:i/>
                <w:iCs/>
                <w:szCs w:val="24"/>
              </w:rPr>
              <w:t>το πολυμερές είναι ικανό να υφίσταται φυσική ή βιολογική αποσύνθεση, έτσι ώστε να αποσυντίθεται τελικώς σε διοξείδιο του άνθρακα (CO</w:t>
            </w:r>
            <w:r w:rsidRPr="00AC4460">
              <w:rPr>
                <w:b/>
                <w:bCs/>
                <w:i/>
                <w:iCs/>
                <w:szCs w:val="24"/>
                <w:vertAlign w:val="subscript"/>
              </w:rPr>
              <w:t>2</w:t>
            </w:r>
            <w:r w:rsidRPr="00AC4460">
              <w:rPr>
                <w:b/>
                <w:bCs/>
                <w:i/>
                <w:iCs/>
                <w:szCs w:val="24"/>
              </w:rPr>
              <w:t>), βιομάζα και νερό και τουλάχιστον το 90 % – σε απόλυτη ή σχετική τιμή σε σχέση με το υλικό αναφοράς – του οργανικού άνθρακα μετατρέπεται σε CO</w:t>
            </w:r>
            <w:r w:rsidRPr="00AC4460">
              <w:rPr>
                <w:b/>
                <w:bCs/>
                <w:i/>
                <w:iCs/>
                <w:szCs w:val="24"/>
                <w:vertAlign w:val="subscript"/>
              </w:rPr>
              <w:t>2</w:t>
            </w:r>
            <w:r w:rsidRPr="00AC4460">
              <w:rPr>
                <w:b/>
                <w:bCs/>
                <w:i/>
                <w:iCs/>
                <w:szCs w:val="24"/>
              </w:rPr>
              <w:t>, εντός 24 μηνών το αργότερο, σε δοκιμή βιοδιασπασιμότητας σύμφωνα με τα ενωσιακά πρότυπα για τη βιοδιάσπαση πολυμερών στο έδαφος.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IΙ – μέρος ΙΙ – ΚΛΠ 10 – σημείο 3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3α.</w:t>
            </w:r>
            <w:r w:rsidRPr="00AC4460">
              <w:rPr>
                <w:b/>
                <w:i/>
              </w:rPr>
              <w:tab/>
              <w:t>Εφόσον το προϊόν προορίζεται να προστεθεί σε έδαφος και να απελευθερωθεί στο περιβάλλον, τα κριτήρια αυτά ισχύουν για όλα τα υλικά του προϊόντος.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279</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II – μέρος ΙΙ – ΚΣΥ 10 – σημείο 3 β (νέο)</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spacing w:line="256" w:lineRule="auto"/>
              <w:rPr>
                <w:b/>
                <w:i/>
                <w:szCs w:val="24"/>
              </w:rPr>
            </w:pPr>
            <w:r w:rsidRPr="00AC4460">
              <w:rPr>
                <w:b/>
                <w:i/>
              </w:rPr>
              <w:t>3β.</w:t>
            </w:r>
            <w:r w:rsidRPr="00AC4460">
              <w:tab/>
            </w:r>
            <w:r w:rsidRPr="00AC4460">
              <w:rPr>
                <w:b/>
                <w:i/>
              </w:rPr>
              <w:t>Το προϊόν με σήμανση CE που περιέχει πολυμερή άλλα από πολυμερή θρεπτικών συστατικών εξαιρείται από τις απαιτήσεις που καθορίζονται στις παραγράφους 1, 2 και 3 υπό την προϋπόθεση ότι τα πολυμερή χρησιμοποιούνται αποκλειστικά ως συνδετικό υλικό για το προϊόν λίπανσης και δεν έρχονται σε επαφή με το έδαφος.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 – μέρος II – ΚΣΥ 11</w:t>
      </w:r>
      <w:r>
        <w:rPr>
          <w:rStyle w:val="HideTWBExt"/>
          <w:b w:val="0"/>
          <w:noProof w:val="0"/>
          <w:lang w:val="fr-FR"/>
        </w:rPr>
        <w:t>&lt;/Article&gt;</w:t>
      </w:r>
    </w:p>
    <w:tbl>
      <w:tblPr>
        <w:tblW w:w="9780" w:type="dxa"/>
        <w:jc w:val="center"/>
        <w:tblLayout w:type="fixed"/>
        <w:tblCellMar>
          <w:left w:w="340" w:type="dxa"/>
          <w:right w:w="340" w:type="dxa"/>
        </w:tblCellMar>
        <w:tblLook w:val="0000" w:firstRow="0" w:lastRow="0" w:firstColumn="0" w:lastColumn="0" w:noHBand="0" w:noVBand="0"/>
      </w:tblPr>
      <w:tblGrid>
        <w:gridCol w:w="661"/>
        <w:gridCol w:w="6"/>
        <w:gridCol w:w="2777"/>
        <w:gridCol w:w="6308"/>
        <w:gridCol w:w="28"/>
      </w:tblGrid>
      <w:tr w:rsidR="00E451E4" w:rsidRPr="00FA3492" w:rsidTr="000A61DD">
        <w:trPr>
          <w:gridAfter w:val="1"/>
          <w:wAfter w:w="28" w:type="dxa"/>
          <w:jc w:val="center"/>
        </w:trPr>
        <w:tc>
          <w:tcPr>
            <w:tcW w:w="9752" w:type="dxa"/>
            <w:gridSpan w:val="4"/>
          </w:tcPr>
          <w:p w:rsidR="00E451E4" w:rsidRPr="00032852" w:rsidRDefault="00E451E4" w:rsidP="000A61DD">
            <w:pPr>
              <w:keepNext/>
              <w:rPr>
                <w:lang w:val="fr-FR"/>
              </w:rPr>
            </w:pPr>
          </w:p>
        </w:tc>
      </w:tr>
      <w:tr w:rsidR="00E451E4" w:rsidRPr="00B0345A" w:rsidTr="000A61DD">
        <w:tblPrEx>
          <w:tblLook w:val="04A0" w:firstRow="1" w:lastRow="0" w:firstColumn="1" w:lastColumn="0" w:noHBand="0" w:noVBand="1"/>
        </w:tblPrEx>
        <w:trPr>
          <w:jc w:val="center"/>
        </w:trPr>
        <w:tc>
          <w:tcPr>
            <w:tcW w:w="9780" w:type="dxa"/>
            <w:gridSpan w:val="5"/>
            <w:hideMark/>
          </w:tcPr>
          <w:p w:rsidR="00E451E4" w:rsidRPr="00B0345A" w:rsidRDefault="00E451E4" w:rsidP="000A61DD">
            <w:pPr>
              <w:pStyle w:val="ColumnHeading"/>
              <w:jc w:val="left"/>
              <w:rPr>
                <w:iCs/>
              </w:rPr>
            </w:pPr>
            <w:r>
              <w:t>Κείμενο που προτείνει η Επιτροπή</w:t>
            </w:r>
          </w:p>
        </w:tc>
      </w:tr>
      <w:tr w:rsidR="00E451E4" w:rsidRPr="00B0345A" w:rsidTr="000A61DD">
        <w:tblPrEx>
          <w:tblLook w:val="04A0" w:firstRow="1" w:lastRow="0" w:firstColumn="1" w:lastColumn="0" w:noHBand="0" w:noVBand="1"/>
        </w:tblPrEx>
        <w:trPr>
          <w:jc w:val="center"/>
        </w:trPr>
        <w:tc>
          <w:tcPr>
            <w:tcW w:w="9780" w:type="dxa"/>
            <w:gridSpan w:val="5"/>
            <w:hideMark/>
          </w:tcPr>
          <w:p w:rsidR="00E451E4" w:rsidRPr="00B0345A" w:rsidRDefault="00E451E4" w:rsidP="000A61DD">
            <w:pPr>
              <w:pStyle w:val="Normal6"/>
              <w:rPr>
                <w:b/>
                <w:i/>
              </w:rPr>
            </w:pPr>
            <w:r>
              <w:t>Ένα προϊόν λίπανσης με σήμανση CE επιτρέπεται να περιέχει ζωικά υποπροϊόντα κατά την έννοια του κανονισμού (ΕΚ) αριθ. 1069/2009 τα οποία έχουν φθάσει στο τελικό σημείο στην αλυσίδα παρασκευής, όπως αυτό καθορίζεται σύμφωνα με τον εν λόγω κανονισμό, και τα οποία παρατίθενται στον παρακάτω πίνακα και όπως καθορίζεται εκεί:</w:t>
            </w:r>
          </w:p>
        </w:tc>
      </w:tr>
      <w:tr w:rsidR="00E451E4" w:rsidRPr="00B0345A" w:rsidTr="000A61DD">
        <w:tblPrEx>
          <w:tblLook w:val="04A0" w:firstRow="1" w:lastRow="0" w:firstColumn="1" w:lastColumn="0" w:noHBand="0" w:noVBand="1"/>
        </w:tblPrEx>
        <w:trPr>
          <w:jc w:val="center"/>
        </w:trPr>
        <w:tc>
          <w:tcPr>
            <w:tcW w:w="9780" w:type="dxa"/>
            <w:gridSpan w:val="5"/>
          </w:tcPr>
          <w:p w:rsidR="00E451E4" w:rsidRPr="00B0345A" w:rsidRDefault="00E451E4" w:rsidP="000A61DD">
            <w:pPr>
              <w:spacing w:after="120"/>
              <w:rPr>
                <w:rStyle w:val="Normal6Char"/>
              </w:rPr>
            </w:pPr>
          </w:p>
        </w:tc>
      </w:tr>
      <w:tr w:rsidR="00E451E4" w:rsidRPr="00B0345A" w:rsidTr="000A61DD">
        <w:tblPrEx>
          <w:tblLook w:val="04A0" w:firstRow="1" w:lastRow="0" w:firstColumn="1" w:lastColumn="0" w:noHBand="0" w:noVBand="1"/>
        </w:tblPrEx>
        <w:trPr>
          <w:jc w:val="center"/>
        </w:trPr>
        <w:tc>
          <w:tcPr>
            <w:tcW w:w="9780" w:type="dxa"/>
            <w:gridSpan w:val="5"/>
            <w:hideMark/>
          </w:tcPr>
          <w:p w:rsidR="00E451E4" w:rsidRPr="00B0345A" w:rsidRDefault="00E451E4" w:rsidP="000A61DD">
            <w:pPr>
              <w:pStyle w:val="ColumnHeading"/>
              <w:jc w:val="left"/>
              <w:rPr>
                <w:iCs/>
              </w:rPr>
            </w:pPr>
            <w:r>
              <w:t>Τροπολογία</w:t>
            </w:r>
          </w:p>
        </w:tc>
      </w:tr>
      <w:tr w:rsidR="00E451E4" w:rsidRPr="00B0345A" w:rsidTr="000A61DD">
        <w:tblPrEx>
          <w:tblLook w:val="04A0" w:firstRow="1" w:lastRow="0" w:firstColumn="1" w:lastColumn="0" w:noHBand="0" w:noVBand="1"/>
        </w:tblPrEx>
        <w:trPr>
          <w:jc w:val="center"/>
        </w:trPr>
        <w:tc>
          <w:tcPr>
            <w:tcW w:w="9780" w:type="dxa"/>
            <w:gridSpan w:val="5"/>
            <w:hideMark/>
          </w:tcPr>
          <w:p w:rsidR="00E451E4" w:rsidRPr="00B0345A" w:rsidRDefault="00E451E4" w:rsidP="000A61DD">
            <w:pPr>
              <w:pStyle w:val="Normal6"/>
              <w:rPr>
                <w:b/>
                <w:i/>
              </w:rPr>
            </w:pPr>
            <w:r>
              <w:rPr>
                <w:b/>
                <w:i/>
              </w:rPr>
              <w:t>Με την επιφύλαξη της έκδοσης των κατ’ εξουσιοδότηση πράξεων από την Επιτροπή σύμφωνα με το άρθρο 42,</w:t>
            </w:r>
            <w:r>
              <w:t xml:space="preserve"> ένα προϊόν λίπανσης με σήμανση CE επιτρέπεται να περιέχει ζωικά υποπροϊόντα κατά την έννοια του κανονισμού (ΕΚ) αριθ. 1069/2009 τα οποία έχουν φθάσει στο τελικό σημείο στην αλυσίδα παρασκευής, όπως αυτό καθορίζεται σύμφωνα με τον εν λόγω κανονισμό, και τα οποία παρατίθενται στον παρακάτω πίνακα και όπως καθορίζεται εκεί</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lang w:bidi="ar-LY"/>
              </w:rPr>
            </w:pPr>
          </w:p>
        </w:tc>
        <w:tc>
          <w:tcPr>
            <w:tcW w:w="2783" w:type="dxa"/>
            <w:gridSpan w:val="2"/>
            <w:shd w:val="clear" w:color="auto" w:fill="auto"/>
          </w:tcPr>
          <w:p w:rsidR="00E451E4" w:rsidRPr="00B0345A" w:rsidRDefault="00E451E4" w:rsidP="000A61DD">
            <w:pPr>
              <w:pStyle w:val="Normal6"/>
              <w:rPr>
                <w:b/>
                <w:bCs/>
                <w:i/>
                <w:iCs/>
              </w:rPr>
            </w:pPr>
            <w:r>
              <w:rPr>
                <w:b/>
                <w:bCs/>
                <w:i/>
                <w:iCs/>
              </w:rPr>
              <w:t>Παράγωγο προϊόν</w:t>
            </w:r>
          </w:p>
        </w:tc>
        <w:tc>
          <w:tcPr>
            <w:tcW w:w="6308" w:type="dxa"/>
            <w:shd w:val="clear" w:color="auto" w:fill="auto"/>
          </w:tcPr>
          <w:p w:rsidR="00E451E4" w:rsidRPr="00B0345A" w:rsidRDefault="00E451E4" w:rsidP="000A61DD">
            <w:pPr>
              <w:pStyle w:val="Normal6"/>
              <w:rPr>
                <w:b/>
                <w:bCs/>
                <w:i/>
                <w:iCs/>
              </w:rPr>
            </w:pPr>
            <w:r>
              <w:rPr>
                <w:b/>
                <w:bCs/>
                <w:i/>
                <w:iCs/>
              </w:rPr>
              <w:t>Πρότυπα επεξεργασίας για την επίτευξη του τελικού σημείου στην αλυσίδα παρασκευής</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1</w:t>
            </w:r>
          </w:p>
        </w:tc>
        <w:tc>
          <w:tcPr>
            <w:tcW w:w="2783" w:type="dxa"/>
            <w:gridSpan w:val="2"/>
            <w:shd w:val="clear" w:color="auto" w:fill="auto"/>
          </w:tcPr>
          <w:p w:rsidR="00E451E4" w:rsidRPr="00B0345A" w:rsidRDefault="00E451E4" w:rsidP="000A61DD">
            <w:pPr>
              <w:pStyle w:val="Normal6"/>
              <w:rPr>
                <w:b/>
                <w:bCs/>
                <w:i/>
                <w:iCs/>
              </w:rPr>
            </w:pPr>
            <w:r>
              <w:rPr>
                <w:b/>
                <w:bCs/>
                <w:i/>
                <w:iCs/>
              </w:rPr>
              <w:t>Κρεατάλευρο</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2</w:t>
            </w:r>
          </w:p>
        </w:tc>
        <w:tc>
          <w:tcPr>
            <w:tcW w:w="2783" w:type="dxa"/>
            <w:gridSpan w:val="2"/>
            <w:shd w:val="clear" w:color="auto" w:fill="auto"/>
          </w:tcPr>
          <w:p w:rsidR="00E451E4" w:rsidRPr="00B0345A" w:rsidRDefault="00E451E4" w:rsidP="000A61DD">
            <w:pPr>
              <w:pStyle w:val="Normal6"/>
              <w:rPr>
                <w:b/>
                <w:bCs/>
                <w:i/>
                <w:iCs/>
              </w:rPr>
            </w:pPr>
            <w:r>
              <w:rPr>
                <w:b/>
                <w:bCs/>
                <w:i/>
                <w:iCs/>
              </w:rPr>
              <w:t xml:space="preserve">Οστεάλευρο </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3</w:t>
            </w:r>
          </w:p>
        </w:tc>
        <w:tc>
          <w:tcPr>
            <w:tcW w:w="2783" w:type="dxa"/>
            <w:gridSpan w:val="2"/>
            <w:shd w:val="clear" w:color="auto" w:fill="auto"/>
          </w:tcPr>
          <w:p w:rsidR="00E451E4" w:rsidRPr="00B0345A" w:rsidRDefault="00E451E4" w:rsidP="000A61DD">
            <w:pPr>
              <w:pStyle w:val="Normal6"/>
              <w:rPr>
                <w:b/>
                <w:bCs/>
                <w:i/>
                <w:iCs/>
              </w:rPr>
            </w:pPr>
            <w:r>
              <w:rPr>
                <w:b/>
                <w:bCs/>
                <w:i/>
                <w:iCs/>
              </w:rPr>
              <w:t>Κρεατοστεάλευρο</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4</w:t>
            </w:r>
          </w:p>
        </w:tc>
        <w:tc>
          <w:tcPr>
            <w:tcW w:w="2783" w:type="dxa"/>
            <w:gridSpan w:val="2"/>
            <w:shd w:val="clear" w:color="auto" w:fill="auto"/>
          </w:tcPr>
          <w:p w:rsidR="00E451E4" w:rsidRPr="00B0345A" w:rsidRDefault="00E451E4" w:rsidP="000A61DD">
            <w:pPr>
              <w:pStyle w:val="Normal6"/>
              <w:rPr>
                <w:b/>
                <w:bCs/>
                <w:i/>
                <w:iCs/>
              </w:rPr>
            </w:pPr>
            <w:r>
              <w:rPr>
                <w:b/>
                <w:bCs/>
                <w:i/>
                <w:iCs/>
              </w:rPr>
              <w:t>Αίμα ζώων</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5</w:t>
            </w:r>
          </w:p>
        </w:tc>
        <w:tc>
          <w:tcPr>
            <w:tcW w:w="2783" w:type="dxa"/>
            <w:gridSpan w:val="2"/>
            <w:shd w:val="clear" w:color="auto" w:fill="auto"/>
          </w:tcPr>
          <w:p w:rsidR="00E451E4" w:rsidRPr="00B0345A" w:rsidRDefault="00E451E4" w:rsidP="000A61DD">
            <w:pPr>
              <w:pStyle w:val="Normal6"/>
              <w:rPr>
                <w:b/>
                <w:bCs/>
                <w:i/>
                <w:iCs/>
              </w:rPr>
            </w:pPr>
            <w:r>
              <w:rPr>
                <w:b/>
                <w:bCs/>
                <w:i/>
                <w:iCs/>
              </w:rPr>
              <w:t>Υδρολυμένες πρωτεΐνες της κατηγορίας III - σύμφωνα με τον κανονισμό αριθ. 1069/2009</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6</w:t>
            </w:r>
          </w:p>
        </w:tc>
        <w:tc>
          <w:tcPr>
            <w:tcW w:w="2783" w:type="dxa"/>
            <w:gridSpan w:val="2"/>
            <w:shd w:val="clear" w:color="auto" w:fill="auto"/>
          </w:tcPr>
          <w:p w:rsidR="00E451E4" w:rsidRPr="00B0345A" w:rsidRDefault="00E451E4" w:rsidP="000A61DD">
            <w:pPr>
              <w:pStyle w:val="Normal6"/>
              <w:rPr>
                <w:b/>
                <w:bCs/>
                <w:i/>
                <w:iCs/>
              </w:rPr>
            </w:pPr>
            <w:r>
              <w:rPr>
                <w:b/>
                <w:bCs/>
                <w:i/>
                <w:iCs/>
              </w:rPr>
              <w:t>Επεξεργασμένη κόπρος</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7</w:t>
            </w:r>
          </w:p>
        </w:tc>
        <w:tc>
          <w:tcPr>
            <w:tcW w:w="2783" w:type="dxa"/>
            <w:gridSpan w:val="2"/>
            <w:shd w:val="clear" w:color="auto" w:fill="auto"/>
          </w:tcPr>
          <w:p w:rsidR="00E451E4" w:rsidRPr="00B0345A" w:rsidRDefault="00E451E4" w:rsidP="000A61DD">
            <w:pPr>
              <w:pStyle w:val="Normal6"/>
              <w:rPr>
                <w:b/>
                <w:bCs/>
                <w:i/>
                <w:iCs/>
              </w:rPr>
            </w:pPr>
            <w:r>
              <w:rPr>
                <w:b/>
                <w:bCs/>
                <w:i/>
                <w:iCs/>
              </w:rPr>
              <w:t>Κομπόστ (1)</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B0345A" w:rsidRDefault="00E451E4" w:rsidP="000A61DD">
            <w:pPr>
              <w:pStyle w:val="Normal6"/>
              <w:rPr>
                <w:b/>
                <w:bCs/>
                <w:i/>
                <w:iCs/>
              </w:rPr>
            </w:pPr>
            <w:r>
              <w:rPr>
                <w:b/>
                <w:bCs/>
                <w:i/>
                <w:iCs/>
              </w:rPr>
              <w:t>8</w:t>
            </w:r>
          </w:p>
        </w:tc>
        <w:tc>
          <w:tcPr>
            <w:tcW w:w="2783" w:type="dxa"/>
            <w:gridSpan w:val="2"/>
            <w:shd w:val="clear" w:color="auto" w:fill="auto"/>
          </w:tcPr>
          <w:p w:rsidR="00E451E4" w:rsidRPr="00B0345A" w:rsidRDefault="00E451E4" w:rsidP="000A61DD">
            <w:pPr>
              <w:pStyle w:val="Normal6"/>
              <w:rPr>
                <w:b/>
                <w:bCs/>
                <w:i/>
                <w:iCs/>
              </w:rPr>
            </w:pPr>
            <w:r>
              <w:rPr>
                <w:b/>
                <w:bCs/>
                <w:i/>
                <w:iCs/>
              </w:rPr>
              <w:t>Υπολείμματα βιοαερίου από τη χώνευση (1)</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9</w:t>
            </w:r>
          </w:p>
        </w:tc>
        <w:tc>
          <w:tcPr>
            <w:tcW w:w="2777" w:type="dxa"/>
            <w:shd w:val="clear" w:color="auto" w:fill="auto"/>
          </w:tcPr>
          <w:p w:rsidR="00E451E4" w:rsidRPr="00B0345A" w:rsidRDefault="00E451E4" w:rsidP="000A61DD">
            <w:pPr>
              <w:pStyle w:val="Normal6"/>
              <w:rPr>
                <w:b/>
                <w:bCs/>
                <w:i/>
                <w:iCs/>
              </w:rPr>
            </w:pPr>
            <w:r>
              <w:rPr>
                <w:b/>
                <w:bCs/>
                <w:i/>
                <w:iCs/>
              </w:rPr>
              <w:t>Πτεράλευρο</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10</w:t>
            </w:r>
          </w:p>
        </w:tc>
        <w:tc>
          <w:tcPr>
            <w:tcW w:w="2777" w:type="dxa"/>
            <w:shd w:val="clear" w:color="auto" w:fill="auto"/>
          </w:tcPr>
          <w:p w:rsidR="00E451E4" w:rsidRPr="00B0345A" w:rsidRDefault="00E451E4" w:rsidP="000A61DD">
            <w:pPr>
              <w:pStyle w:val="Normal6"/>
              <w:rPr>
                <w:b/>
                <w:bCs/>
                <w:i/>
                <w:iCs/>
              </w:rPr>
            </w:pPr>
            <w:r>
              <w:rPr>
                <w:b/>
                <w:bCs/>
                <w:i/>
                <w:iCs/>
              </w:rPr>
              <w:t>Δορές και δέρματα</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11</w:t>
            </w:r>
          </w:p>
        </w:tc>
        <w:tc>
          <w:tcPr>
            <w:tcW w:w="2777" w:type="dxa"/>
            <w:shd w:val="clear" w:color="auto" w:fill="auto"/>
          </w:tcPr>
          <w:p w:rsidR="00E451E4" w:rsidRPr="00B0345A" w:rsidRDefault="00E451E4" w:rsidP="000A61DD">
            <w:pPr>
              <w:pStyle w:val="Normal6"/>
              <w:rPr>
                <w:b/>
                <w:bCs/>
                <w:i/>
                <w:iCs/>
              </w:rPr>
            </w:pPr>
            <w:r>
              <w:rPr>
                <w:b/>
                <w:bCs/>
                <w:i/>
                <w:iCs/>
              </w:rPr>
              <w:t>Οπλές και κέρατα</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12</w:t>
            </w:r>
          </w:p>
        </w:tc>
        <w:tc>
          <w:tcPr>
            <w:tcW w:w="2777" w:type="dxa"/>
            <w:shd w:val="clear" w:color="auto" w:fill="auto"/>
          </w:tcPr>
          <w:p w:rsidR="00E451E4" w:rsidRPr="00B0345A" w:rsidRDefault="00E451E4" w:rsidP="000A61DD">
            <w:pPr>
              <w:pStyle w:val="Normal6"/>
              <w:rPr>
                <w:b/>
                <w:bCs/>
                <w:i/>
                <w:iCs/>
              </w:rPr>
            </w:pPr>
            <w:r>
              <w:rPr>
                <w:b/>
                <w:bCs/>
                <w:i/>
                <w:iCs/>
              </w:rPr>
              <w:t>Γκουανό νυχτερίδων</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13</w:t>
            </w:r>
          </w:p>
        </w:tc>
        <w:tc>
          <w:tcPr>
            <w:tcW w:w="2777" w:type="dxa"/>
            <w:shd w:val="clear" w:color="auto" w:fill="auto"/>
          </w:tcPr>
          <w:p w:rsidR="00E451E4" w:rsidRPr="00B0345A" w:rsidRDefault="00E451E4" w:rsidP="000A61DD">
            <w:pPr>
              <w:pStyle w:val="Normal6"/>
              <w:rPr>
                <w:b/>
                <w:bCs/>
                <w:i/>
                <w:iCs/>
              </w:rPr>
            </w:pPr>
            <w:r>
              <w:rPr>
                <w:b/>
                <w:bCs/>
                <w:i/>
                <w:iCs/>
              </w:rPr>
              <w:t>Μαλλί και τρίχες</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14</w:t>
            </w:r>
          </w:p>
        </w:tc>
        <w:tc>
          <w:tcPr>
            <w:tcW w:w="2777" w:type="dxa"/>
            <w:shd w:val="clear" w:color="auto" w:fill="auto"/>
          </w:tcPr>
          <w:p w:rsidR="00E451E4" w:rsidRPr="00B0345A" w:rsidRDefault="00E451E4" w:rsidP="000A61DD">
            <w:pPr>
              <w:pStyle w:val="Normal6"/>
              <w:rPr>
                <w:b/>
                <w:bCs/>
                <w:i/>
                <w:iCs/>
              </w:rPr>
            </w:pPr>
            <w:r>
              <w:rPr>
                <w:b/>
                <w:bCs/>
                <w:i/>
                <w:iCs/>
              </w:rPr>
              <w:t>Φτερά και πούπουλα</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15</w:t>
            </w:r>
          </w:p>
        </w:tc>
        <w:tc>
          <w:tcPr>
            <w:tcW w:w="2777" w:type="dxa"/>
            <w:shd w:val="clear" w:color="auto" w:fill="auto"/>
          </w:tcPr>
          <w:p w:rsidR="00E451E4" w:rsidRPr="00B0345A" w:rsidRDefault="00E451E4" w:rsidP="000A61DD">
            <w:pPr>
              <w:pStyle w:val="Normal6"/>
              <w:rPr>
                <w:b/>
                <w:bCs/>
                <w:i/>
                <w:iCs/>
              </w:rPr>
            </w:pPr>
            <w:r>
              <w:rPr>
                <w:b/>
                <w:bCs/>
                <w:i/>
                <w:iCs/>
              </w:rPr>
              <w:t>Τρίχες χοίρων</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16</w:t>
            </w:r>
          </w:p>
        </w:tc>
        <w:tc>
          <w:tcPr>
            <w:tcW w:w="2777" w:type="dxa"/>
            <w:shd w:val="clear" w:color="auto" w:fill="auto"/>
          </w:tcPr>
          <w:p w:rsidR="00E451E4" w:rsidRPr="00B0345A" w:rsidRDefault="00E451E4" w:rsidP="000A61DD">
            <w:pPr>
              <w:pStyle w:val="Normal6"/>
              <w:rPr>
                <w:b/>
                <w:bCs/>
                <w:i/>
                <w:iCs/>
              </w:rPr>
            </w:pPr>
            <w:r>
              <w:rPr>
                <w:b/>
                <w:bCs/>
                <w:i/>
                <w:iCs/>
              </w:rPr>
              <w:t>Γλυκερίνη και άλλα προϊόντα από υλικά της κατηγορίας 2 και της κατηγορίας 3, που προκύπτουν από την παραγωγή βιοντίζελ και ανανεώσιμων καυσίμων</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B0345A" w:rsidRDefault="00E451E4" w:rsidP="000A61DD">
            <w:pPr>
              <w:pStyle w:val="Normal6"/>
              <w:rPr>
                <w:b/>
                <w:bCs/>
                <w:i/>
                <w:iCs/>
              </w:rPr>
            </w:pPr>
            <w:r>
              <w:rPr>
                <w:b/>
                <w:bCs/>
                <w:i/>
                <w:iCs/>
              </w:rPr>
              <w:t>17</w:t>
            </w:r>
          </w:p>
        </w:tc>
        <w:tc>
          <w:tcPr>
            <w:tcW w:w="2777" w:type="dxa"/>
            <w:shd w:val="clear" w:color="auto" w:fill="auto"/>
          </w:tcPr>
          <w:p w:rsidR="00E451E4" w:rsidRPr="00B0345A" w:rsidRDefault="00E451E4" w:rsidP="000A61DD">
            <w:pPr>
              <w:pStyle w:val="Normal6"/>
              <w:rPr>
                <w:b/>
                <w:bCs/>
                <w:i/>
                <w:iCs/>
              </w:rPr>
            </w:pPr>
            <w:r>
              <w:rPr>
                <w:b/>
                <w:bCs/>
                <w:i/>
                <w:iCs/>
              </w:rPr>
              <w:t xml:space="preserve">Τροφές για ζώα συντροφιάς και τεχνητά κόκαλα για σκύλους που έχουν αποσυρθεί για εμπορικούς λόγους ή εξαιτίας τεχνικών αστοχιών </w:t>
            </w:r>
          </w:p>
        </w:tc>
        <w:tc>
          <w:tcPr>
            <w:tcW w:w="6308" w:type="dxa"/>
            <w:shd w:val="clear" w:color="auto" w:fill="auto"/>
          </w:tcPr>
          <w:p w:rsidR="00E451E4" w:rsidRPr="00B0345A" w:rsidRDefault="00E451E4" w:rsidP="000A61DD">
            <w:pPr>
              <w:pStyle w:val="Normal6"/>
              <w:rPr>
                <w:b/>
                <w:bCs/>
                <w:i/>
                <w:iCs/>
              </w:rPr>
            </w:pPr>
            <w:r>
              <w:rPr>
                <w:b/>
                <w:bCs/>
                <w:i/>
                <w:iCs/>
              </w:rPr>
              <w:t>Προσδιορίζεται σύμφωνα με το άρθρο 5 παράγραφος 2 δεύτερο εδάφιο του κανονισμού (ΕΕ) αριθ. 1069/2009</w:t>
            </w:r>
          </w:p>
        </w:tc>
      </w:tr>
      <w:tr w:rsidR="00E451E4" w:rsidRPr="00B0345A"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9752" w:type="dxa"/>
            <w:gridSpan w:val="4"/>
            <w:shd w:val="clear" w:color="auto" w:fill="auto"/>
          </w:tcPr>
          <w:p w:rsidR="00E451E4" w:rsidRPr="00B0345A" w:rsidRDefault="00E451E4" w:rsidP="000A61DD">
            <w:pPr>
              <w:pStyle w:val="Normal6"/>
              <w:rPr>
                <w:b/>
                <w:bCs/>
                <w:i/>
                <w:iCs/>
              </w:rPr>
            </w:pPr>
            <w:r>
              <w:rPr>
                <w:b/>
                <w:bCs/>
                <w:i/>
                <w:iCs/>
                <w:vertAlign w:val="superscript"/>
              </w:rPr>
              <w:t>(1)</w:t>
            </w:r>
            <w:r>
              <w:rPr>
                <w:b/>
                <w:bCs/>
                <w:i/>
                <w:iCs/>
              </w:rPr>
              <w:t xml:space="preserve"> παράγονται από υλικά της κατηγορίας 2 και της κατηγορίας 3, εκτός του κρεατοστεάλευρου και της επεξεργασμένης ζωικής πρωτεΐνης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II – μέρος II – ΚΣΥ 11 α (νέο)</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jc w:val="center"/>
              <w:rPr>
                <w:b/>
                <w:bCs/>
                <w:i/>
                <w:iCs/>
                <w:szCs w:val="24"/>
              </w:rPr>
            </w:pPr>
            <w:r w:rsidRPr="00AC4460">
              <w:rPr>
                <w:b/>
                <w:bCs/>
                <w:i/>
                <w:iCs/>
                <w:szCs w:val="24"/>
              </w:rPr>
              <w:t>ΚΣΥ 11α: Λοιπά υποπροϊόντα της βιομηχανίας</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rPr>
                <w:b/>
                <w:i/>
                <w:szCs w:val="24"/>
              </w:rPr>
            </w:pPr>
            <w:r w:rsidRPr="00AC4460">
              <w:rPr>
                <w:b/>
                <w:bCs/>
                <w:i/>
                <w:iCs/>
              </w:rPr>
              <w:t>1.</w:t>
            </w:r>
            <w:r w:rsidRPr="00AC4460">
              <w:rPr>
                <w:b/>
                <w:bCs/>
                <w:i/>
                <w:iCs/>
              </w:rPr>
              <w:tab/>
            </w:r>
            <w:r w:rsidRPr="00AC4460">
              <w:rPr>
                <w:b/>
                <w:bCs/>
                <w:i/>
              </w:rPr>
              <w:t>Ένα προϊόν λίπανσης με σήμανση CE μπορεί να περιέχει άλλα υποπροϊόντα της βιομηχανίας, όπως θειικό αμμώνιο από παραγωγή καπρολακτάμης, θειικό οξύ από τον καθαρισμό φυσικού αερίου και πετρελαιοειδών, καθώς και άλλα υλικά</w:t>
            </w:r>
            <w:r w:rsidR="000A61DD">
              <w:rPr>
                <w:b/>
                <w:bCs/>
                <w:i/>
              </w:rPr>
              <w:t xml:space="preserve"> </w:t>
            </w:r>
            <w:r w:rsidRPr="00AC4460">
              <w:rPr>
                <w:b/>
                <w:bCs/>
                <w:i/>
              </w:rPr>
              <w:t>που προέρχονται από ειδικές βιομηχανικές διεργασίες, τα οποία δεν συμπεριλαμβάνονται στην ΚΣΥ 1 και παρατίθενται στον παρακάτω πίνακα, υπό τους όρους που προσδιορίζονται σε αυτό:</w:t>
            </w:r>
          </w:p>
        </w:tc>
      </w:tr>
      <w:tr w:rsidR="00E451E4" w:rsidRPr="00B0345A" w:rsidTr="000A61DD">
        <w:trPr>
          <w:jc w:val="center"/>
        </w:trPr>
        <w:tc>
          <w:tcPr>
            <w:tcW w:w="4876" w:type="dxa"/>
          </w:tcPr>
          <w:p w:rsidR="00E451E4" w:rsidRPr="00AC4460" w:rsidRDefault="00E451E4" w:rsidP="000A61DD">
            <w:pPr>
              <w:pStyle w:val="Normal6"/>
              <w:spacing w:line="256" w:lineRule="auto"/>
              <w:rPr>
                <w:lang w:eastAsia="en-US"/>
              </w:rPr>
            </w:pPr>
          </w:p>
        </w:tc>
        <w:tc>
          <w:tcPr>
            <w:tcW w:w="4876" w:type="dxa"/>
            <w:hideMark/>
          </w:tcPr>
          <w:p w:rsidR="00E451E4" w:rsidRPr="00AC4460" w:rsidRDefault="00E451E4" w:rsidP="000A61DD">
            <w:pPr>
              <w:pStyle w:val="Normal6"/>
              <w:spacing w:line="256" w:lineRule="auto"/>
              <w:rPr>
                <w:b/>
                <w:i/>
                <w:sz w:val="22"/>
                <w:szCs w:val="22"/>
              </w:rPr>
            </w:pPr>
            <w:r w:rsidRPr="00AC4460">
              <w:rPr>
                <w:b/>
                <w:i/>
              </w:rPr>
              <w:t>2.</w:t>
            </w:r>
            <w:r w:rsidRPr="00AC4460">
              <w:rPr>
                <w:b/>
                <w:i/>
              </w:rPr>
              <w:tab/>
              <w:t>Από την … [ένα έτος μετά την έναρξη ισχύος του παρόντος κανονισμού], τα κριτήρια για τα βιομηχανικά υποπροϊόντα που έχουν χρησιμοποιηθεί σύμφωνα με τις διατάξεις του κανονισμού ΕΚ 2003/2003 ως συστατικά προϊόντων λίπανσης, προκειμένου να συμπεριληφθούν στην κατηγορία συστατικών υλικών,</w:t>
            </w:r>
            <w:r w:rsidR="000A61DD">
              <w:rPr>
                <w:b/>
                <w:i/>
              </w:rPr>
              <w:t xml:space="preserve"> </w:t>
            </w:r>
            <w:r w:rsidRPr="00AC4460">
              <w:rPr>
                <w:b/>
                <w:i/>
              </w:rPr>
              <w:t>καταρτίζονται με βάση τα τελευταία επιστημονικά στοιχεία και καθορίζονται σε κατ’ εξουσιοδότηση πράξεις που εκδίδονται σύμφωνα με το άρθρο 42 του παρόντος κανονισμού.</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1 – σημείο 2 – στοιχείο ε</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w:t>
            </w:r>
            <w:r w:rsidRPr="00AC4460">
              <w:tab/>
              <w:t xml:space="preserve">Περιγραφή όλων των συστατικών που περιέχονται σε ποσοστό άνω του </w:t>
            </w:r>
            <w:r w:rsidRPr="00AC4460">
              <w:rPr>
                <w:b/>
                <w:i/>
              </w:rPr>
              <w:t>5 %</w:t>
            </w:r>
            <w:r w:rsidRPr="00AC4460">
              <w:t xml:space="preserve"> του βάρους του προϊόντος, κατά φθίνουσα σειρά περιεκτικότητας σε ξηρό βάρος, με ένδειξη των αντίστοιχων κατηγοριών συστατικών υλικών (ΚΣΥ) όπως αναφέρονται στο παράρτημα ΙΙ</w:t>
            </w:r>
            <w:r w:rsidRPr="00AC4460">
              <w:rPr>
                <w:b/>
                <w:i/>
              </w:rPr>
              <w:t>.</w:t>
            </w:r>
          </w:p>
        </w:tc>
        <w:tc>
          <w:tcPr>
            <w:tcW w:w="4876" w:type="dxa"/>
          </w:tcPr>
          <w:p w:rsidR="00E451E4" w:rsidRPr="00AC4460" w:rsidRDefault="00E451E4" w:rsidP="000A61DD">
            <w:pPr>
              <w:pStyle w:val="Normal6"/>
              <w:rPr>
                <w:szCs w:val="24"/>
              </w:rPr>
            </w:pPr>
            <w:r w:rsidRPr="00AC4460">
              <w:t>ε)</w:t>
            </w:r>
            <w:r w:rsidRPr="00AC4460">
              <w:tab/>
              <w:t xml:space="preserve">Περιγραφή όλων των συστατικών που περιέχονται σε ποσοστό άνω του </w:t>
            </w:r>
            <w:r w:rsidRPr="00AC4460">
              <w:rPr>
                <w:b/>
                <w:i/>
              </w:rPr>
              <w:t>1 %</w:t>
            </w:r>
            <w:r w:rsidRPr="00AC4460">
              <w:t xml:space="preserve"> του βάρους του προϊόντος, κατά φθίνουσα σειρά περιεκτικότητας σε ξηρό βάρος, με ένδειξη των αντίστοιχων κατηγοριών συστατικών υλικών (ΚΣΥ) όπως αναφέρονται στο παράρτημα ΙΙ </w:t>
            </w:r>
            <w:r w:rsidRPr="00AC4460">
              <w:rPr>
                <w:b/>
                <w:i/>
              </w:rPr>
              <w:t>και του περιεχομένου ως ποσοστού της ξηράς ουσίας·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1 – σημείο 2 – στοιχείο ε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α)</w:t>
            </w:r>
            <w:r w:rsidRPr="00AC4460">
              <w:rPr>
                <w:b/>
                <w:i/>
              </w:rPr>
              <w:tab/>
              <w:t>Στην περίπτωση οποιουδήποτε προϊόντος που περιέχει υλικά τα οποία προέρχονται από οργανικά απόβλητα ή υποπροϊόντα, το οποίο δεν έχει υποβληθεί σε διαδικασία που να έχει καταστρέψει όλα τα οργανικά υλικά, η ετικέτα θα προσδιορίζει τα απόβλητα και τα υποπροϊόντα που χρησιμοποιήθηκαν και έναν αριθμό παρτίδας ή χρονολογικής σειράς παραγωγής. Ο αριθμός αυτός παραπέμπει στα δεδομένα ιχνηλασιμότητας που τηρεί ο παραγωγός και βάσει των οποίων εντοπίζονται οι επιμέρους πηγές (αγροκτήματα, εργοστάσια, κ.λπ.) κάθε οργανικού απόβλητου/υποπροϊόντος που χρησιμοποιήθηκε στην παρτίδα/χρονολογική σειρά. Η Επιτροπή δημοσιεύει, κατόπιν δημόσιας διαβούλευσης και εντός διαστήματος...</w:t>
            </w:r>
            <w:r w:rsidR="000A61DD">
              <w:rPr>
                <w:b/>
                <w:i/>
              </w:rPr>
              <w:t xml:space="preserve"> </w:t>
            </w:r>
            <w:r w:rsidRPr="00AC4460">
              <w:rPr>
                <w:b/>
                <w:i/>
              </w:rPr>
              <w:t>[2 ετών από την έναρξη ισχύος του παρόντος κανονισμού] προδιαγραφές για την εφαρμογή της εν λόγω διάταξης, οι οποίες θα τεθούν σε ισχύ έως... [3 έτη από τη δημοσίευση των προδιαγραφών]. Προκειμένου να ελαχιστοποιηθεί ο διοικητικός φόρτος για τους φορείς εκμετάλλευσης και τις αρχές εποπτείας της αγοράς, οι προδιαγραφές της Επιτροπής λαμβάνουν υπόψη τόσο τις απαιτήσεις του άρθρου 6 παράγραφοι 5 έως 7 και του άρθρου 11 όσο και τα ισχύοντα συστήματα ιχνηλασιμότητας (π.χ. για ζωικά υποπροϊόντα ή βιομηχανικά συστήματα), καθώς και τους κωδικούς ταξινόμησης αποβλήτων της ΕΕ.</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III – μέρος 1 – σημείο 2 α (νέο)</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226C1" w:rsidTr="000A61DD">
        <w:trPr>
          <w:jc w:val="center"/>
        </w:trPr>
        <w:tc>
          <w:tcPr>
            <w:tcW w:w="9750" w:type="dxa"/>
            <w:gridSpan w:val="2"/>
          </w:tcPr>
          <w:p w:rsidR="00E451E4" w:rsidRPr="00032852" w:rsidRDefault="00E451E4" w:rsidP="000A61DD">
            <w:pPr>
              <w:keepNext/>
              <w:rPr>
                <w:lang w:val="fr-FR"/>
              </w:rPr>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autoSpaceDE w:val="0"/>
              <w:autoSpaceDN w:val="0"/>
              <w:adjustRightInd w:val="0"/>
              <w:rPr>
                <w:szCs w:val="24"/>
                <w:lang w:eastAsia="en-US"/>
              </w:rPr>
            </w:pPr>
          </w:p>
        </w:tc>
        <w:tc>
          <w:tcPr>
            <w:tcW w:w="4875" w:type="dxa"/>
            <w:hideMark/>
          </w:tcPr>
          <w:p w:rsidR="00E451E4" w:rsidRPr="00AC4460" w:rsidRDefault="00E451E4" w:rsidP="000A61DD">
            <w:pPr>
              <w:pStyle w:val="Normal6"/>
              <w:spacing w:line="256" w:lineRule="auto"/>
              <w:rPr>
                <w:b/>
                <w:i/>
                <w:szCs w:val="24"/>
              </w:rPr>
            </w:pPr>
            <w:r w:rsidRPr="00AC4460">
              <w:rPr>
                <w:b/>
                <w:i/>
              </w:rPr>
              <w:t>2α.</w:t>
            </w:r>
            <w:r w:rsidRPr="00AC4460">
              <w:rPr>
                <w:b/>
                <w:i/>
              </w:rPr>
              <w:tab/>
              <w:t>Οι παρασκευαστές παρέχουν σύντομες οδηγίες για την προβλεπόμενη χρήση, συμπεριλαμβανομένης της προβλεπόμενης δόσης και του χρονισμού, των φυτών για τα οποία προορίζεται και της προβλεπόμενης αποθήκευσης.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1 – σημείο 7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7α.</w:t>
            </w:r>
            <w:r w:rsidRPr="00AC4460">
              <w:rPr>
                <w:b/>
                <w:i/>
              </w:rPr>
              <w:tab/>
              <w:t>Κανένα προϊόν δεν μπορεί να περιλαμβάνει ισχυρισμούς που σχετίζονται με άλλη ΚΛΠ εάν δεν πληροί όλες τις προϋποθέσεις της εν λόγω πρόσθετης ΚΛΠ, ούτε επιτρέπονται άμεσοι ή έμμεσοι ισχυρισμοί φυτοπροστατευτικών αποτελεσμάτων.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 – σημείο 2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Η περιεκτικότητα σε αναστολέα νιτροποίησης εκφράζεται σε ποσοστό, κατά μάζα, του ολικού αζώτου (N) που βρίσκεται σε μορφή αζώτου αμμωνίου (NH4+) και αζώτου ουρίας (CH4N2O).</w:t>
            </w:r>
          </w:p>
        </w:tc>
        <w:tc>
          <w:tcPr>
            <w:tcW w:w="4876" w:type="dxa"/>
          </w:tcPr>
          <w:p w:rsidR="00E451E4" w:rsidRPr="00AC4460" w:rsidRDefault="00E451E4" w:rsidP="000A61DD">
            <w:pPr>
              <w:pStyle w:val="Normal6"/>
              <w:rPr>
                <w:szCs w:val="24"/>
              </w:rPr>
            </w:pPr>
            <w:r w:rsidRPr="00AC4460">
              <w:t>β)</w:t>
            </w:r>
            <w:r w:rsidRPr="00AC4460">
              <w:tab/>
              <w:t xml:space="preserve">Η περιεκτικότητα σε αναστολέα νιτροποίησης εκφράζεται σε ποσοστό, κατά μάζα, του ολικού αζώτου (N) που βρίσκεται σε μορφή αζώτου αμμωνίου (NH4+) </w:t>
            </w:r>
            <w:r w:rsidRPr="00AC4460">
              <w:rPr>
                <w:b/>
                <w:i/>
              </w:rPr>
              <w:t>ή αζώτου αμμωνίου (NH4+)</w:t>
            </w:r>
            <w:r w:rsidRPr="00AC4460">
              <w:t xml:space="preserve"> και αζώτου ουρίας (CH4N2O).</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1(Α) – σημείο 1 – στοιχείο 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α)</w:t>
            </w:r>
            <w:r w:rsidRPr="00AC4460">
              <w:tab/>
              <w:t>τα δηλούμενα θρεπτικά συστατικά άζωτο (N), φώσφορος (P) ή κάλιο (K), με τα χημικά τους σύμβολα και με τη σειρά N–P–K·</w:t>
            </w:r>
          </w:p>
        </w:tc>
        <w:tc>
          <w:tcPr>
            <w:tcW w:w="4876" w:type="dxa"/>
          </w:tcPr>
          <w:p w:rsidR="00E451E4" w:rsidRPr="00AC4460" w:rsidRDefault="00E451E4" w:rsidP="000A61DD">
            <w:pPr>
              <w:pStyle w:val="Normal6"/>
              <w:rPr>
                <w:szCs w:val="24"/>
              </w:rPr>
            </w:pPr>
            <w:r w:rsidRPr="00AC4460">
              <w:t>α)</w:t>
            </w:r>
            <w:r w:rsidRPr="00AC4460">
              <w:tab/>
              <w:t xml:space="preserve">τα δηλούμενα θρεπτικά συστατικά άζωτο (N), φώσφορος (P) ή κάλιο (K), με τα χημικά τους σύμβολα και με τη σειρά N–P–K· </w:t>
            </w:r>
            <w:r w:rsidRPr="00AC4460">
              <w:rPr>
                <w:b/>
                <w:i/>
              </w:rPr>
              <w:t>η δηλούμενη περιεκτικότητα σε άζωτο προκύπτει από το σύνολο του αμμωνιακού αζώτου, του νιτρικού αζώτου, του ουρεϊκού αζώτου, του αζώτου από φορμαλδεϋδουρία, του αζώτου από ισοβουτυλιδενοδιουρία, του αζώτου από κροτωνυλιδενοδιουρία και του αζώτου από κυάνιο.</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Τα φωσφορικά λιπάσματα πρέπει να συμμορφώνονται με τα ακόλουθα ελάχιστα επίπεδα διαλυτότητας ώστε να είναι διαθέσιμα στα φυτά, διαφορετικά δεν μπορούν να χαρακτηρίζονται φωσφορικά λιπάσματα: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w:t>
            </w:r>
            <w:r w:rsidRPr="00AC4460">
              <w:rPr>
                <w:b/>
                <w:i/>
              </w:rPr>
              <w:tab/>
              <w:t>διαλυτότητα στο νερό: ελάχιστο επίπεδο 25 % επί του ολικού φωσφόρου,</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w:t>
            </w:r>
            <w:r w:rsidRPr="00AC4460">
              <w:rPr>
                <w:b/>
                <w:i/>
              </w:rPr>
              <w:tab/>
              <w:t>διαλυτότητα σε ουδέτερο κιτρικό αμμώνιο: ελάχιστο επίπεδο 30 % επί του ολικού φωσφόρου,</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w:t>
            </w:r>
            <w:r w:rsidRPr="00AC4460">
              <w:rPr>
                <w:b/>
                <w:i/>
              </w:rPr>
              <w:tab/>
              <w:t>διαλυτότητα σε μυρμηκικό οξύ (μόνο για μαλακά ορυκτά φωσφορικά άλατα): ελάχιστο επίπεδο 35 % επί του ολικού φωσφόρου.</w:t>
            </w:r>
          </w:p>
        </w:tc>
      </w:tr>
    </w:tbl>
    <w:p w:rsidR="00E451E4" w:rsidRPr="00B0345A" w:rsidRDefault="00E451E4" w:rsidP="00E451E4">
      <w:pPr>
        <w:rPr>
          <w:rStyle w:val="HideTWBExt"/>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1(Α) – σημείο 1 – στοιχείο β</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β)</w:t>
            </w:r>
            <w:r w:rsidRPr="00AC4460">
              <w:tab/>
              <w:t xml:space="preserve">τα δηλούμενα θρεπτικά συστατικά </w:t>
            </w:r>
            <w:r w:rsidRPr="00AC4460">
              <w:rPr>
                <w:b/>
                <w:i/>
              </w:rPr>
              <w:t>μαγνήσιο (Mg</w:t>
            </w:r>
            <w:r w:rsidRPr="00AC4460">
              <w:t xml:space="preserve">), </w:t>
            </w:r>
            <w:r w:rsidRPr="00AC4460">
              <w:rPr>
                <w:b/>
                <w:i/>
              </w:rPr>
              <w:t>ασβέστιο (Ca</w:t>
            </w:r>
            <w:r w:rsidRPr="00AC4460">
              <w:t xml:space="preserve">), </w:t>
            </w:r>
            <w:r w:rsidRPr="00AC4460">
              <w:rPr>
                <w:b/>
                <w:i/>
              </w:rPr>
              <w:t>θείο (S)</w:t>
            </w:r>
            <w:r w:rsidRPr="00AC4460">
              <w:t xml:space="preserve"> ή νάτριο (Na)</w:t>
            </w:r>
            <w:r w:rsidRPr="00AC4460">
              <w:rPr>
                <w:b/>
                <w:i/>
              </w:rPr>
              <w:t>,</w:t>
            </w:r>
            <w:r w:rsidRPr="00AC4460">
              <w:t xml:space="preserve"> με τα χημικά τους σύμβολα και με τη σειρά </w:t>
            </w:r>
            <w:r w:rsidRPr="00AC4460">
              <w:rPr>
                <w:b/>
                <w:i/>
              </w:rPr>
              <w:t>Mg–Ca–S–Na</w:t>
            </w:r>
            <w:r w:rsidRPr="00AC4460">
              <w:t>·</w:t>
            </w:r>
          </w:p>
        </w:tc>
        <w:tc>
          <w:tcPr>
            <w:tcW w:w="4876" w:type="dxa"/>
            <w:hideMark/>
          </w:tcPr>
          <w:p w:rsidR="00E451E4" w:rsidRPr="00AC4460" w:rsidRDefault="00E451E4" w:rsidP="000A61DD">
            <w:pPr>
              <w:pStyle w:val="Normal6"/>
              <w:rPr>
                <w:szCs w:val="24"/>
              </w:rPr>
            </w:pPr>
            <w:r w:rsidRPr="00AC4460">
              <w:t>β)</w:t>
            </w:r>
            <w:r w:rsidRPr="00AC4460">
              <w:tab/>
              <w:t xml:space="preserve">τα δηλούμενα θρεπτικά συστατικά </w:t>
            </w:r>
            <w:r w:rsidRPr="00AC4460">
              <w:rPr>
                <w:b/>
                <w:i/>
              </w:rPr>
              <w:t>ασβέστιο (Ca</w:t>
            </w:r>
            <w:r w:rsidRPr="00AC4460">
              <w:t xml:space="preserve">), </w:t>
            </w:r>
            <w:r w:rsidRPr="00AC4460">
              <w:rPr>
                <w:b/>
                <w:i/>
              </w:rPr>
              <w:t>μαγνήσιο (Mg</w:t>
            </w:r>
            <w:r w:rsidRPr="00AC4460">
              <w:t xml:space="preserve">), νάτριο (Na) </w:t>
            </w:r>
            <w:r w:rsidRPr="00AC4460">
              <w:rPr>
                <w:b/>
                <w:i/>
              </w:rPr>
              <w:t>ή θείο (S)</w:t>
            </w:r>
            <w:r w:rsidRPr="00AC4460">
              <w:t xml:space="preserve">, με τα χημικά τους σύμβολα και με τη σειρά </w:t>
            </w:r>
            <w:r w:rsidRPr="00AC4460">
              <w:rPr>
                <w:b/>
                <w:i/>
              </w:rPr>
              <w:t>Ca-Mg-Na-S</w:t>
            </w:r>
            <w:r w:rsidRPr="00AC4460">
              <w:t>·</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i/>
              </w:rPr>
              <w:t>(Η τροπολογία αφορά το σύνολο του κειμένου. Η έγκρισή της απαιτεί αντίστοιχες προσαρμογές σε όλο το κείμενο.)</w:t>
            </w:r>
          </w:p>
        </w:tc>
      </w:tr>
    </w:tbl>
    <w:p w:rsidR="00E451E4" w:rsidRPr="00B0345A" w:rsidRDefault="00E451E4" w:rsidP="00E451E4">
      <w:pPr>
        <w:pStyle w:val="AMNumberTabs"/>
        <w:keepNext/>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III – μέρος 2 – ΚΛΠ 1(Α) – σημείο 1 – στοιχείο γ</w:t>
      </w:r>
      <w:r>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γ)</w:t>
            </w:r>
            <w:r w:rsidRPr="00AC4460">
              <w:tab/>
              <w:t xml:space="preserve">αριθμοί που υποδεικνύουν </w:t>
            </w:r>
            <w:r w:rsidRPr="00AC4460">
              <w:rPr>
                <w:b/>
                <w:i/>
              </w:rPr>
              <w:t>την</w:t>
            </w:r>
            <w:r w:rsidRPr="00AC4460">
              <w:t xml:space="preserve"> περιεκτικότητα στα δηλούμενα θρεπτικά συστατικά άζωτο (N), φώσφορος (P) ή κάλιο (K), ακολουθούμενα από αριθμούς εντός παρενθέσεων που υποδεικνύουν τη συνολική περιεκτικότητα σε μαγνήσιο (Mg), ασβέστιο (Ca), θείο (S) ή νάτριο (Na)·</w:t>
            </w:r>
          </w:p>
        </w:tc>
        <w:tc>
          <w:tcPr>
            <w:tcW w:w="4876" w:type="dxa"/>
          </w:tcPr>
          <w:p w:rsidR="00E451E4" w:rsidRPr="00AC4460" w:rsidRDefault="00E451E4" w:rsidP="000A61DD">
            <w:pPr>
              <w:pStyle w:val="Normal6"/>
              <w:rPr>
                <w:szCs w:val="24"/>
              </w:rPr>
            </w:pPr>
            <w:r w:rsidRPr="00AC4460">
              <w:t>γ)</w:t>
            </w:r>
            <w:r w:rsidRPr="00AC4460">
              <w:tab/>
              <w:t xml:space="preserve">αριθμοί που υποδεικνύουν </w:t>
            </w:r>
            <w:r w:rsidRPr="00AC4460">
              <w:rPr>
                <w:b/>
                <w:i/>
              </w:rPr>
              <w:t>τη μέση</w:t>
            </w:r>
            <w:r w:rsidRPr="00AC4460">
              <w:t xml:space="preserve"> περιεκτικότητα στα δηλούμενα θρεπτικά συστατικά άζωτο (N), φώσφορος (P) ή κάλιο (K), ακολουθούμενα από αριθμούς εντός παρενθέσεων που υποδεικνύουν τη συνολική περιεκτικότητα σε μαγνήσιο (Mg), ασβέστιο (Ca), θείο (S) ή νάτριο (Na)·</w:t>
            </w:r>
          </w:p>
        </w:tc>
      </w:tr>
    </w:tbl>
    <w:p w:rsidR="00E451E4" w:rsidRPr="00B0345A" w:rsidRDefault="00E451E4" w:rsidP="00E451E4">
      <w:r>
        <w:rPr>
          <w:rStyle w:val="HideTWBExt"/>
          <w:noProof w:val="0"/>
        </w:rPr>
        <w:t>&lt;/Amend&gt;</w:t>
      </w:r>
    </w:p>
    <w:p w:rsidR="0068296B" w:rsidRPr="00B0345A" w:rsidRDefault="0068296B" w:rsidP="0068296B">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290</w:t>
      </w:r>
      <w:r>
        <w:rPr>
          <w:rStyle w:val="HideTWBExt"/>
          <w:b w:val="0"/>
          <w:noProof w:val="0"/>
        </w:rPr>
        <w:t>&lt;/NumAm&gt;</w:t>
      </w:r>
    </w:p>
    <w:p w:rsidR="0068296B" w:rsidRPr="00B0345A" w:rsidRDefault="0068296B" w:rsidP="0068296B">
      <w:pPr>
        <w:pStyle w:val="NormalBold12b"/>
      </w:pPr>
      <w:r>
        <w:rPr>
          <w:rStyle w:val="HideTWBExt"/>
          <w:b w:val="0"/>
          <w:noProof w:val="0"/>
        </w:rPr>
        <w:t>&lt;DocAmend&gt;</w:t>
      </w:r>
      <w:r w:rsidRPr="00AC4460">
        <w:t>Πρόταση κανονισμού</w:t>
      </w:r>
      <w:r>
        <w:rPr>
          <w:rStyle w:val="HideTWBExt"/>
          <w:b w:val="0"/>
          <w:noProof w:val="0"/>
        </w:rPr>
        <w:t>&lt;/DocAmend&gt;</w:t>
      </w:r>
    </w:p>
    <w:p w:rsidR="0068296B" w:rsidRPr="0068296B" w:rsidRDefault="0068296B" w:rsidP="0068296B">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III – μέρος 2 – ΚΛΠ 1(Α) – σημείο 1 – στοιχείο δ – περίπτωση 6</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296B" w:rsidRPr="0068296B" w:rsidTr="000A61DD">
        <w:trPr>
          <w:jc w:val="center"/>
        </w:trPr>
        <w:tc>
          <w:tcPr>
            <w:tcW w:w="9752" w:type="dxa"/>
            <w:gridSpan w:val="2"/>
          </w:tcPr>
          <w:p w:rsidR="0068296B" w:rsidRPr="0068296B" w:rsidRDefault="0068296B" w:rsidP="000A61DD">
            <w:pPr>
              <w:keepNext/>
            </w:pPr>
          </w:p>
        </w:tc>
      </w:tr>
      <w:tr w:rsidR="0068296B" w:rsidRPr="00B0345A" w:rsidTr="000A61DD">
        <w:trPr>
          <w:jc w:val="center"/>
        </w:trPr>
        <w:tc>
          <w:tcPr>
            <w:tcW w:w="4876" w:type="dxa"/>
            <w:hideMark/>
          </w:tcPr>
          <w:p w:rsidR="0068296B" w:rsidRPr="00AC4460" w:rsidRDefault="0068296B" w:rsidP="000A61DD">
            <w:pPr>
              <w:pStyle w:val="ColumnHeading"/>
              <w:keepNext/>
            </w:pPr>
            <w:r w:rsidRPr="00AC4460">
              <w:t>Κείμενο που προτείνει η Επιτροπή</w:t>
            </w:r>
          </w:p>
        </w:tc>
        <w:tc>
          <w:tcPr>
            <w:tcW w:w="4876" w:type="dxa"/>
            <w:hideMark/>
          </w:tcPr>
          <w:p w:rsidR="0068296B" w:rsidRPr="00AC4460" w:rsidRDefault="0068296B" w:rsidP="000A61DD">
            <w:pPr>
              <w:pStyle w:val="ColumnHeading"/>
              <w:keepNext/>
            </w:pPr>
            <w:r w:rsidRPr="00AC4460">
              <w:t>Τροπολογία</w:t>
            </w:r>
          </w:p>
        </w:tc>
      </w:tr>
      <w:tr w:rsidR="0068296B" w:rsidRPr="0068296B" w:rsidTr="000A61DD">
        <w:trPr>
          <w:jc w:val="center"/>
        </w:trPr>
        <w:tc>
          <w:tcPr>
            <w:tcW w:w="4876" w:type="dxa"/>
            <w:hideMark/>
          </w:tcPr>
          <w:p w:rsidR="0068296B" w:rsidRPr="00AC4460" w:rsidRDefault="0068296B" w:rsidP="000A61DD">
            <w:pPr>
              <w:pStyle w:val="Normal6"/>
            </w:pPr>
            <w:r w:rsidRPr="00AC4460">
              <w:rPr>
                <w:b/>
                <w:bCs/>
                <w:i/>
                <w:iCs/>
              </w:rPr>
              <w:t>–</w:t>
            </w:r>
            <w:r w:rsidRPr="00AC4460">
              <w:rPr>
                <w:b/>
                <w:bCs/>
                <w:i/>
                <w:iCs/>
              </w:rPr>
              <w:tab/>
            </w:r>
            <w:r w:rsidRPr="00AC4460">
              <w:rPr>
                <w:snapToGrid w:val="0"/>
                <w:szCs w:val="24"/>
              </w:rPr>
              <w:t>Οργανικός άνθρακας (C)</w:t>
            </w:r>
            <w:r w:rsidRPr="00AC4460">
              <w:rPr>
                <w:b/>
                <w:i/>
                <w:snapToGrid w:val="0"/>
                <w:szCs w:val="24"/>
              </w:rPr>
              <w:t>·</w:t>
            </w:r>
            <w:r w:rsidRPr="00AC4460">
              <w:rPr>
                <w:snapToGrid w:val="0"/>
                <w:szCs w:val="24"/>
              </w:rPr>
              <w:t xml:space="preserve"> και</w:t>
            </w:r>
          </w:p>
        </w:tc>
        <w:tc>
          <w:tcPr>
            <w:tcW w:w="4876" w:type="dxa"/>
            <w:hideMark/>
          </w:tcPr>
          <w:p w:rsidR="0068296B" w:rsidRPr="00AC4460" w:rsidRDefault="0068296B" w:rsidP="000A61DD">
            <w:pPr>
              <w:pStyle w:val="Normal6"/>
              <w:rPr>
                <w:szCs w:val="24"/>
              </w:rPr>
            </w:pPr>
            <w:r w:rsidRPr="00AC4460">
              <w:rPr>
                <w:b/>
                <w:bCs/>
                <w:i/>
                <w:iCs/>
              </w:rPr>
              <w:t>–</w:t>
            </w:r>
            <w:r w:rsidRPr="00AC4460">
              <w:rPr>
                <w:b/>
                <w:bCs/>
                <w:i/>
                <w:iCs/>
              </w:rPr>
              <w:tab/>
            </w:r>
            <w:r w:rsidRPr="00AC4460">
              <w:rPr>
                <w:snapToGrid w:val="0"/>
                <w:szCs w:val="24"/>
              </w:rPr>
              <w:t>Οργανικός άνθρακας (C) και</w:t>
            </w:r>
            <w:r w:rsidRPr="00AC4460">
              <w:rPr>
                <w:b/>
                <w:i/>
                <w:snapToGrid w:val="0"/>
                <w:szCs w:val="24"/>
              </w:rPr>
              <w:t xml:space="preserve"> λόγος άνθρακα προς άζωτο (C/N)·</w:t>
            </w:r>
          </w:p>
        </w:tc>
      </w:tr>
    </w:tbl>
    <w:p w:rsidR="0068296B" w:rsidRPr="0068296B" w:rsidRDefault="0068296B" w:rsidP="0068296B">
      <w:r>
        <w:rPr>
          <w:rStyle w:val="HideTWBExt"/>
          <w:noProof w:val="0"/>
          <w:lang w:val="en-GB"/>
        </w:rPr>
        <w:t>&lt;/Amend&gt;</w:t>
      </w:r>
    </w:p>
    <w:p w:rsidR="0068296B" w:rsidRPr="0068296B" w:rsidRDefault="0068296B" w:rsidP="0068296B">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291</w:t>
      </w:r>
      <w:r>
        <w:rPr>
          <w:rStyle w:val="HideTWBExt"/>
          <w:b w:val="0"/>
          <w:noProof w:val="0"/>
          <w:lang w:val="en-GB"/>
        </w:rPr>
        <w:t>&lt;/NumAm&gt;</w:t>
      </w:r>
    </w:p>
    <w:p w:rsidR="0068296B" w:rsidRPr="0068296B" w:rsidRDefault="0068296B" w:rsidP="0068296B">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68296B" w:rsidRPr="00B0345A" w:rsidRDefault="0068296B" w:rsidP="0068296B">
      <w:pPr>
        <w:pStyle w:val="NormalBold"/>
      </w:pPr>
      <w:r>
        <w:rPr>
          <w:rStyle w:val="HideTWBExt"/>
          <w:b w:val="0"/>
          <w:noProof w:val="0"/>
        </w:rPr>
        <w:t>&lt;Article&gt;</w:t>
      </w:r>
      <w:r w:rsidRPr="00AC4460">
        <w:t>Παράρτημα III – μέρος 2 – ΚΛΠ 1(Α) – σημείο 1 – στοιχείο δ – περίπτωση 7α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296B" w:rsidRPr="00B0345A" w:rsidTr="000A61DD">
        <w:trPr>
          <w:jc w:val="center"/>
        </w:trPr>
        <w:tc>
          <w:tcPr>
            <w:tcW w:w="9752" w:type="dxa"/>
            <w:gridSpan w:val="2"/>
          </w:tcPr>
          <w:p w:rsidR="0068296B" w:rsidRPr="00B0345A" w:rsidRDefault="0068296B" w:rsidP="000A61DD">
            <w:pPr>
              <w:keepNext/>
            </w:pPr>
          </w:p>
        </w:tc>
      </w:tr>
      <w:tr w:rsidR="0068296B" w:rsidRPr="00B0345A" w:rsidTr="000A61DD">
        <w:trPr>
          <w:jc w:val="center"/>
        </w:trPr>
        <w:tc>
          <w:tcPr>
            <w:tcW w:w="4876" w:type="dxa"/>
          </w:tcPr>
          <w:p w:rsidR="0068296B" w:rsidRPr="00AC4460" w:rsidRDefault="0068296B" w:rsidP="000A61DD">
            <w:pPr>
              <w:pStyle w:val="ColumnHeading"/>
              <w:keepNext/>
            </w:pPr>
            <w:r w:rsidRPr="00AC4460">
              <w:t>Κείμενο που προτείνει η Επιτροπή</w:t>
            </w:r>
          </w:p>
        </w:tc>
        <w:tc>
          <w:tcPr>
            <w:tcW w:w="4876" w:type="dxa"/>
          </w:tcPr>
          <w:p w:rsidR="0068296B" w:rsidRPr="00AC4460" w:rsidRDefault="0068296B" w:rsidP="000A61DD">
            <w:pPr>
              <w:pStyle w:val="ColumnHeading"/>
              <w:keepNext/>
            </w:pPr>
            <w:r w:rsidRPr="00AC4460">
              <w:t>Τροπολογία</w:t>
            </w:r>
          </w:p>
        </w:tc>
      </w:tr>
      <w:tr w:rsidR="0068296B" w:rsidRPr="0068296B" w:rsidTr="000A61DD">
        <w:trPr>
          <w:jc w:val="center"/>
        </w:trPr>
        <w:tc>
          <w:tcPr>
            <w:tcW w:w="4876" w:type="dxa"/>
          </w:tcPr>
          <w:p w:rsidR="0068296B" w:rsidRPr="00AC4460" w:rsidRDefault="0068296B" w:rsidP="000A61DD">
            <w:pPr>
              <w:pStyle w:val="Normal6"/>
            </w:pPr>
          </w:p>
        </w:tc>
        <w:tc>
          <w:tcPr>
            <w:tcW w:w="4876" w:type="dxa"/>
          </w:tcPr>
          <w:p w:rsidR="0068296B" w:rsidRPr="00AC4460" w:rsidRDefault="0068296B" w:rsidP="000A61DD">
            <w:pPr>
              <w:pStyle w:val="Normal6"/>
              <w:rPr>
                <w:szCs w:val="24"/>
              </w:rPr>
            </w:pPr>
            <w:r w:rsidRPr="00AC4460">
              <w:rPr>
                <w:b/>
                <w:bCs/>
                <w:i/>
                <w:iCs/>
              </w:rPr>
              <w:t>–</w:t>
            </w:r>
            <w:r w:rsidRPr="00AC4460">
              <w:rPr>
                <w:b/>
                <w:bCs/>
                <w:i/>
                <w:iCs/>
              </w:rPr>
              <w:tab/>
            </w:r>
            <w:r w:rsidRPr="00AC4460">
              <w:rPr>
                <w:b/>
                <w:i/>
              </w:rPr>
              <w:t>Μορφή σκόνης ή σύμπηκτων.</w:t>
            </w:r>
          </w:p>
        </w:tc>
      </w:tr>
    </w:tbl>
    <w:p w:rsidR="0068296B" w:rsidRPr="0068296B" w:rsidRDefault="0068296B" w:rsidP="0068296B">
      <w:r>
        <w:rPr>
          <w:rStyle w:val="HideTWBExt"/>
          <w:noProof w:val="0"/>
          <w:lang w:val="en-GB"/>
        </w:rPr>
        <w:t>&lt;/Amend&gt;</w:t>
      </w:r>
    </w:p>
    <w:p w:rsidR="0068296B" w:rsidRPr="0068296B" w:rsidRDefault="0068296B" w:rsidP="0068296B">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292</w:t>
      </w:r>
      <w:r>
        <w:rPr>
          <w:rStyle w:val="HideTWBExt"/>
          <w:b w:val="0"/>
          <w:noProof w:val="0"/>
          <w:lang w:val="en-GB"/>
        </w:rPr>
        <w:t>&lt;/NumAm&gt;</w:t>
      </w:r>
    </w:p>
    <w:p w:rsidR="0068296B" w:rsidRPr="0068296B" w:rsidRDefault="0068296B" w:rsidP="0068296B">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68296B" w:rsidRPr="00032852" w:rsidRDefault="0068296B" w:rsidP="0068296B">
      <w:pPr>
        <w:pStyle w:val="NormalBold"/>
      </w:pPr>
      <w:r>
        <w:rPr>
          <w:rStyle w:val="HideTWBExt"/>
          <w:b w:val="0"/>
          <w:noProof w:val="0"/>
          <w:lang w:val="fr-FR"/>
        </w:rPr>
        <w:t>&lt;Article&gt;</w:t>
      </w:r>
      <w:r w:rsidRPr="00AC4460">
        <w:t xml:space="preserve"> Παράρτημα III – μέρος 2 – ΚΛΠ 1(Β) – σημείο 1 – στοιχείο δ – περίπτωση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296B" w:rsidRPr="0033639D" w:rsidTr="000A61DD">
        <w:trPr>
          <w:jc w:val="center"/>
        </w:trPr>
        <w:tc>
          <w:tcPr>
            <w:tcW w:w="9752" w:type="dxa"/>
            <w:gridSpan w:val="2"/>
          </w:tcPr>
          <w:p w:rsidR="0068296B" w:rsidRPr="00032852" w:rsidRDefault="0068296B" w:rsidP="000A61DD">
            <w:pPr>
              <w:keepNext/>
              <w:rPr>
                <w:lang w:val="fr-FR"/>
              </w:rPr>
            </w:pPr>
          </w:p>
        </w:tc>
      </w:tr>
      <w:tr w:rsidR="0068296B" w:rsidRPr="00B0345A" w:rsidTr="000A61DD">
        <w:trPr>
          <w:jc w:val="center"/>
        </w:trPr>
        <w:tc>
          <w:tcPr>
            <w:tcW w:w="4876" w:type="dxa"/>
            <w:hideMark/>
          </w:tcPr>
          <w:p w:rsidR="0068296B" w:rsidRPr="00AC4460" w:rsidRDefault="0068296B" w:rsidP="000A61DD">
            <w:pPr>
              <w:pStyle w:val="ColumnHeading"/>
              <w:keepNext/>
            </w:pPr>
            <w:r w:rsidRPr="00AC4460">
              <w:t>Κείμενο που προτείνει η Επιτροπή</w:t>
            </w:r>
          </w:p>
        </w:tc>
        <w:tc>
          <w:tcPr>
            <w:tcW w:w="4876" w:type="dxa"/>
            <w:hideMark/>
          </w:tcPr>
          <w:p w:rsidR="0068296B" w:rsidRPr="00AC4460" w:rsidRDefault="0068296B" w:rsidP="000A61DD">
            <w:pPr>
              <w:pStyle w:val="ColumnHeading"/>
              <w:keepNext/>
            </w:pPr>
            <w:r w:rsidRPr="00AC4460">
              <w:t>Τροπολογία</w:t>
            </w:r>
          </w:p>
        </w:tc>
      </w:tr>
      <w:tr w:rsidR="0068296B" w:rsidRPr="0068296B" w:rsidTr="000A61DD">
        <w:trPr>
          <w:jc w:val="center"/>
        </w:trPr>
        <w:tc>
          <w:tcPr>
            <w:tcW w:w="4876" w:type="dxa"/>
            <w:hideMark/>
          </w:tcPr>
          <w:p w:rsidR="0068296B" w:rsidRPr="00AC4460" w:rsidRDefault="0068296B" w:rsidP="000A61DD">
            <w:pPr>
              <w:pStyle w:val="Normal6"/>
            </w:pPr>
            <w:r w:rsidRPr="00AC4460">
              <w:rPr>
                <w:b/>
                <w:bCs/>
                <w:i/>
                <w:iCs/>
              </w:rPr>
              <w:t>–</w:t>
            </w:r>
            <w:r w:rsidRPr="00AC4460">
              <w:rPr>
                <w:b/>
                <w:bCs/>
                <w:i/>
                <w:iCs/>
              </w:rPr>
              <w:tab/>
            </w:r>
            <w:r w:rsidRPr="00AC4460">
              <w:rPr>
                <w:b/>
                <w:i/>
              </w:rPr>
              <w:t>Ολικό πεντοξείδιο</w:t>
            </w:r>
            <w:r w:rsidRPr="00AC4460">
              <w:t xml:space="preserve"> του φωσφόρου (P</w:t>
            </w:r>
            <w:r w:rsidRPr="00AC4460">
              <w:rPr>
                <w:vertAlign w:val="subscript"/>
              </w:rPr>
              <w:t>2</w:t>
            </w:r>
            <w:r w:rsidRPr="00AC4460">
              <w:t>O</w:t>
            </w:r>
            <w:r w:rsidRPr="00AC4460">
              <w:rPr>
                <w:vertAlign w:val="subscript"/>
              </w:rPr>
              <w:t>5</w:t>
            </w:r>
            <w:r w:rsidRPr="00AC4460">
              <w:t>)</w:t>
            </w:r>
            <w:r w:rsidRPr="00AC4460">
              <w:rPr>
                <w:b/>
                <w:i/>
              </w:rPr>
              <w:t>·</w:t>
            </w:r>
          </w:p>
        </w:tc>
        <w:tc>
          <w:tcPr>
            <w:tcW w:w="4876" w:type="dxa"/>
            <w:hideMark/>
          </w:tcPr>
          <w:p w:rsidR="0068296B" w:rsidRPr="00AC4460" w:rsidRDefault="0068296B" w:rsidP="000A61DD">
            <w:pPr>
              <w:pStyle w:val="Normal6"/>
              <w:rPr>
                <w:szCs w:val="24"/>
              </w:rPr>
            </w:pPr>
            <w:r w:rsidRPr="00AC4460">
              <w:rPr>
                <w:b/>
                <w:bCs/>
                <w:i/>
                <w:iCs/>
              </w:rPr>
              <w:t>–</w:t>
            </w:r>
            <w:r w:rsidRPr="00AC4460">
              <w:rPr>
                <w:b/>
                <w:bCs/>
                <w:i/>
                <w:iCs/>
              </w:rPr>
              <w:tab/>
            </w:r>
            <w:r w:rsidRPr="00AC4460">
              <w:rPr>
                <w:b/>
                <w:i/>
                <w:snapToGrid w:val="0"/>
                <w:szCs w:val="24"/>
              </w:rPr>
              <w:t>Πεντοξείδιο</w:t>
            </w:r>
            <w:r w:rsidRPr="00AC4460">
              <w:rPr>
                <w:snapToGrid w:val="0"/>
                <w:szCs w:val="24"/>
              </w:rPr>
              <w:t xml:space="preserve"> του φωσφόρου (P</w:t>
            </w:r>
            <w:r w:rsidRPr="00AC4460">
              <w:rPr>
                <w:snapToGrid w:val="0"/>
                <w:szCs w:val="24"/>
                <w:vertAlign w:val="subscript"/>
              </w:rPr>
              <w:t>2</w:t>
            </w:r>
            <w:r w:rsidRPr="00AC4460">
              <w:rPr>
                <w:snapToGrid w:val="0"/>
                <w:szCs w:val="24"/>
              </w:rPr>
              <w:t>O</w:t>
            </w:r>
            <w:r w:rsidRPr="00AC4460">
              <w:rPr>
                <w:snapToGrid w:val="0"/>
                <w:szCs w:val="24"/>
                <w:vertAlign w:val="subscript"/>
              </w:rPr>
              <w:t>5</w:t>
            </w:r>
            <w:r w:rsidRPr="00AC4460">
              <w:rPr>
                <w:snapToGrid w:val="0"/>
                <w:szCs w:val="24"/>
              </w:rPr>
              <w:t>)</w:t>
            </w:r>
            <w:r w:rsidRPr="00AC4460">
              <w:rPr>
                <w:b/>
                <w:i/>
                <w:snapToGrid w:val="0"/>
                <w:szCs w:val="24"/>
              </w:rPr>
              <w:t xml:space="preserve"> διαλυτό σε ουδέτερο κιτρικό αμμώνιο και νερό.</w:t>
            </w:r>
          </w:p>
        </w:tc>
      </w:tr>
    </w:tbl>
    <w:p w:rsidR="0068296B" w:rsidRPr="0068296B" w:rsidRDefault="0068296B" w:rsidP="0068296B">
      <w:r>
        <w:rPr>
          <w:rStyle w:val="HideTWBExt"/>
          <w:noProof w:val="0"/>
          <w:lang w:val="en-GB"/>
        </w:rPr>
        <w:t>&lt;/Amend&gt;</w:t>
      </w:r>
    </w:p>
    <w:p w:rsidR="0068296B" w:rsidRPr="0068296B" w:rsidRDefault="0068296B" w:rsidP="0068296B">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293</w:t>
      </w:r>
      <w:r>
        <w:rPr>
          <w:rStyle w:val="HideTWBExt"/>
          <w:b w:val="0"/>
          <w:noProof w:val="0"/>
          <w:lang w:val="en-GB"/>
        </w:rPr>
        <w:t>&lt;/NumAm&gt;</w:t>
      </w:r>
    </w:p>
    <w:p w:rsidR="0068296B" w:rsidRPr="0068296B" w:rsidRDefault="0068296B" w:rsidP="0068296B">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68296B" w:rsidRPr="00032852" w:rsidRDefault="0068296B" w:rsidP="0068296B">
      <w:pPr>
        <w:pStyle w:val="NormalBold"/>
      </w:pPr>
      <w:r>
        <w:rPr>
          <w:rStyle w:val="HideTWBExt"/>
          <w:b w:val="0"/>
          <w:noProof w:val="0"/>
          <w:lang w:val="fr-FR"/>
        </w:rPr>
        <w:t>&lt;Article&gt;</w:t>
      </w:r>
      <w:r w:rsidRPr="00AC4460">
        <w:t xml:space="preserve"> Παράρτημα III – μέρος 2 – ΚΛΠ 1(Β) – σημείο 1 – στοιχείο δ – περίπτωση 2 – υποπερίπτωση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296B" w:rsidRPr="0033639D" w:rsidTr="000A61DD">
        <w:trPr>
          <w:jc w:val="center"/>
        </w:trPr>
        <w:tc>
          <w:tcPr>
            <w:tcW w:w="9752" w:type="dxa"/>
            <w:gridSpan w:val="2"/>
          </w:tcPr>
          <w:p w:rsidR="0068296B" w:rsidRPr="00032852" w:rsidRDefault="0068296B" w:rsidP="000A61DD">
            <w:pPr>
              <w:keepNext/>
              <w:rPr>
                <w:lang w:val="fr-FR"/>
              </w:rPr>
            </w:pPr>
          </w:p>
        </w:tc>
      </w:tr>
      <w:tr w:rsidR="0068296B" w:rsidRPr="00B0345A" w:rsidTr="000A61DD">
        <w:trPr>
          <w:jc w:val="center"/>
        </w:trPr>
        <w:tc>
          <w:tcPr>
            <w:tcW w:w="4876" w:type="dxa"/>
            <w:hideMark/>
          </w:tcPr>
          <w:p w:rsidR="0068296B" w:rsidRPr="00AC4460" w:rsidRDefault="0068296B" w:rsidP="000A61DD">
            <w:pPr>
              <w:pStyle w:val="ColumnHeading"/>
              <w:keepNext/>
            </w:pPr>
            <w:r w:rsidRPr="00AC4460">
              <w:t>Κείμενο που προτείνει η Επιτροπή</w:t>
            </w:r>
          </w:p>
        </w:tc>
        <w:tc>
          <w:tcPr>
            <w:tcW w:w="4876" w:type="dxa"/>
            <w:hideMark/>
          </w:tcPr>
          <w:p w:rsidR="0068296B" w:rsidRPr="00AC4460" w:rsidRDefault="0068296B" w:rsidP="000A61DD">
            <w:pPr>
              <w:pStyle w:val="ColumnHeading"/>
              <w:keepNext/>
            </w:pPr>
            <w:r w:rsidRPr="00AC4460">
              <w:t>Τροπολογία</w:t>
            </w:r>
          </w:p>
        </w:tc>
      </w:tr>
      <w:tr w:rsidR="0068296B" w:rsidRPr="0068296B" w:rsidTr="000A61DD">
        <w:trPr>
          <w:jc w:val="center"/>
        </w:trPr>
        <w:tc>
          <w:tcPr>
            <w:tcW w:w="4876" w:type="dxa"/>
            <w:hideMark/>
          </w:tcPr>
          <w:p w:rsidR="0068296B" w:rsidRPr="00AC4460" w:rsidRDefault="0068296B" w:rsidP="000A61DD">
            <w:pPr>
              <w:pStyle w:val="Normal6"/>
            </w:pPr>
            <w:r w:rsidRPr="00AC4460">
              <w:t>–</w:t>
            </w:r>
            <w:r w:rsidRPr="00AC4460">
              <w:rPr>
                <w:b/>
                <w:i/>
              </w:rPr>
              <w:t>εάν υπάρχουν αλεσμένα μαλακά φωσφορικά άλατα,</w:t>
            </w:r>
            <w:r w:rsidRPr="00AC4460">
              <w:t xml:space="preserve"> πεντοξείδιο του φωσφόρου (P2O5) διαλυτό σε </w:t>
            </w:r>
            <w:r w:rsidRPr="00AC4460">
              <w:rPr>
                <w:b/>
                <w:i/>
              </w:rPr>
              <w:t>μυρμηκικό οξύ·</w:t>
            </w:r>
          </w:p>
        </w:tc>
        <w:tc>
          <w:tcPr>
            <w:tcW w:w="4876" w:type="dxa"/>
            <w:hideMark/>
          </w:tcPr>
          <w:p w:rsidR="0068296B" w:rsidRPr="00AC4460" w:rsidRDefault="0068296B" w:rsidP="000A61DD">
            <w:pPr>
              <w:pStyle w:val="Normal6"/>
              <w:rPr>
                <w:szCs w:val="24"/>
              </w:rPr>
            </w:pPr>
            <w:r w:rsidRPr="00AC4460">
              <w:t>–</w:t>
            </w:r>
            <w:r w:rsidRPr="00AC4460">
              <w:rPr>
                <w:b/>
                <w:i/>
              </w:rPr>
              <w:tab/>
            </w:r>
            <w:r w:rsidRPr="00AC4460">
              <w:rPr>
                <w:snapToGrid w:val="0"/>
                <w:szCs w:val="24"/>
              </w:rPr>
              <w:t>πεντοξείδιο του φωσφόρου (P</w:t>
            </w:r>
            <w:r w:rsidRPr="00AC4460">
              <w:rPr>
                <w:snapToGrid w:val="0"/>
                <w:szCs w:val="24"/>
                <w:vertAlign w:val="subscript"/>
              </w:rPr>
              <w:t>2</w:t>
            </w:r>
            <w:r w:rsidRPr="00AC4460">
              <w:rPr>
                <w:snapToGrid w:val="0"/>
                <w:szCs w:val="24"/>
              </w:rPr>
              <w:t>O</w:t>
            </w:r>
            <w:r w:rsidRPr="00AC4460">
              <w:rPr>
                <w:snapToGrid w:val="0"/>
                <w:szCs w:val="24"/>
                <w:vertAlign w:val="subscript"/>
              </w:rPr>
              <w:t>5</w:t>
            </w:r>
            <w:r w:rsidRPr="00AC4460">
              <w:rPr>
                <w:snapToGrid w:val="0"/>
                <w:szCs w:val="24"/>
              </w:rPr>
              <w:t xml:space="preserve">) διαλυτό </w:t>
            </w:r>
            <w:r w:rsidRPr="00AC4460">
              <w:rPr>
                <w:b/>
                <w:i/>
                <w:snapToGrid w:val="0"/>
                <w:szCs w:val="24"/>
              </w:rPr>
              <w:t xml:space="preserve">μόνο </w:t>
            </w:r>
            <w:r w:rsidRPr="00AC4460">
              <w:rPr>
                <w:snapToGrid w:val="0"/>
                <w:szCs w:val="24"/>
              </w:rPr>
              <w:t xml:space="preserve">σε </w:t>
            </w:r>
            <w:r w:rsidRPr="00AC4460">
              <w:rPr>
                <w:b/>
                <w:i/>
                <w:snapToGrid w:val="0"/>
                <w:szCs w:val="24"/>
              </w:rPr>
              <w:t>ανόργανα οξέα.</w:t>
            </w:r>
          </w:p>
        </w:tc>
      </w:tr>
    </w:tbl>
    <w:p w:rsidR="0068296B" w:rsidRPr="00B0345A" w:rsidRDefault="0068296B" w:rsidP="0068296B">
      <w:r>
        <w:rPr>
          <w:rStyle w:val="HideTWBExt"/>
          <w:noProof w:val="0"/>
        </w:rPr>
        <w:t>&lt;/Amend&gt;</w:t>
      </w:r>
    </w:p>
    <w:p w:rsidR="0068296B" w:rsidRPr="0068296B" w:rsidRDefault="0068296B" w:rsidP="0068296B">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294</w:t>
      </w:r>
      <w:r>
        <w:rPr>
          <w:rStyle w:val="HideTWBExt"/>
          <w:b w:val="0"/>
          <w:noProof w:val="0"/>
          <w:lang w:val="en-GB"/>
        </w:rPr>
        <w:t>&lt;/NumAm&gt;</w:t>
      </w:r>
    </w:p>
    <w:p w:rsidR="0068296B" w:rsidRPr="0068296B" w:rsidRDefault="0068296B" w:rsidP="0068296B">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68296B" w:rsidRPr="0068296B" w:rsidRDefault="0068296B" w:rsidP="0068296B">
      <w:pPr>
        <w:pStyle w:val="NormalBold"/>
      </w:pPr>
      <w:r>
        <w:rPr>
          <w:rStyle w:val="HideTWBExt"/>
          <w:b w:val="0"/>
          <w:noProof w:val="0"/>
          <w:lang w:val="en-GB"/>
        </w:rPr>
        <w:t>&lt;Article&gt;</w:t>
      </w:r>
      <w:r w:rsidRPr="00AC4460">
        <w:t>Παράρτημα III – μέρος 2 – ΚΛΠ 1(Β) – παράγραφος 1 α (νέα)</w:t>
      </w:r>
      <w:r>
        <w:rPr>
          <w:rStyle w:val="HideTWBExt"/>
          <w:b w:val="0"/>
          <w:noProof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296B" w:rsidRPr="0068296B" w:rsidTr="000A61DD">
        <w:trPr>
          <w:jc w:val="center"/>
        </w:trPr>
        <w:tc>
          <w:tcPr>
            <w:tcW w:w="9752" w:type="dxa"/>
            <w:gridSpan w:val="2"/>
          </w:tcPr>
          <w:p w:rsidR="0068296B" w:rsidRPr="0068296B" w:rsidRDefault="0068296B" w:rsidP="000A61DD">
            <w:pPr>
              <w:keepNext/>
              <w:rPr>
                <w:lang w:val="en-GB"/>
              </w:rPr>
            </w:pPr>
          </w:p>
        </w:tc>
      </w:tr>
      <w:tr w:rsidR="0068296B" w:rsidRPr="00B0345A" w:rsidTr="000A61DD">
        <w:trPr>
          <w:jc w:val="center"/>
        </w:trPr>
        <w:tc>
          <w:tcPr>
            <w:tcW w:w="4876" w:type="dxa"/>
          </w:tcPr>
          <w:p w:rsidR="0068296B" w:rsidRPr="00AC4460" w:rsidRDefault="0068296B" w:rsidP="000A61DD">
            <w:pPr>
              <w:pStyle w:val="ColumnHeading"/>
              <w:keepNext/>
            </w:pPr>
            <w:r w:rsidRPr="00AC4460">
              <w:t>Κείμενο που προτείνει η Επιτροπή</w:t>
            </w:r>
          </w:p>
        </w:tc>
        <w:tc>
          <w:tcPr>
            <w:tcW w:w="4876" w:type="dxa"/>
          </w:tcPr>
          <w:p w:rsidR="0068296B" w:rsidRPr="00AC4460" w:rsidRDefault="0068296B" w:rsidP="000A61DD">
            <w:pPr>
              <w:pStyle w:val="ColumnHeading"/>
              <w:keepNext/>
            </w:pPr>
            <w:r w:rsidRPr="00AC4460">
              <w:t>Τροπολογία</w:t>
            </w:r>
          </w:p>
        </w:tc>
      </w:tr>
      <w:tr w:rsidR="0068296B" w:rsidRPr="00B0345A" w:rsidTr="000A61DD">
        <w:trPr>
          <w:jc w:val="center"/>
        </w:trPr>
        <w:tc>
          <w:tcPr>
            <w:tcW w:w="4876" w:type="dxa"/>
          </w:tcPr>
          <w:p w:rsidR="0068296B" w:rsidRPr="00AC4460" w:rsidRDefault="0068296B" w:rsidP="000A61DD">
            <w:pPr>
              <w:pStyle w:val="Normal6"/>
            </w:pPr>
          </w:p>
        </w:tc>
        <w:tc>
          <w:tcPr>
            <w:tcW w:w="4876" w:type="dxa"/>
          </w:tcPr>
          <w:p w:rsidR="0068296B" w:rsidRPr="00AC4460" w:rsidRDefault="0068296B" w:rsidP="000A61DD">
            <w:pPr>
              <w:pStyle w:val="Normal6"/>
              <w:rPr>
                <w:szCs w:val="24"/>
              </w:rPr>
            </w:pPr>
            <w:r w:rsidRPr="00AC4460">
              <w:rPr>
                <w:b/>
                <w:i/>
              </w:rPr>
              <w:t>1α.</w:t>
            </w:r>
            <w:r w:rsidRPr="00AC4460">
              <w:tab/>
            </w:r>
            <w:r w:rsidRPr="00AC4460">
              <w:rPr>
                <w:b/>
                <w:i/>
              </w:rPr>
              <w:t>Η συνολική δηλούμενη περιεκτικότητα σε άζωτο προκύπτει από το σύνολο του αμμωνιακού αζώτου, του νιτρικού αζώτου, του ουρεϊκού αζώτου, του αζώτου από μεθυλενουρία, του αζώτου από ισοβουτυλιδενοδιουρία, του αζώτου από κροτωνυλιδενοδιουρία και του αζώτου από κυαναμίδιο.</w:t>
            </w:r>
          </w:p>
        </w:tc>
      </w:tr>
    </w:tbl>
    <w:p w:rsidR="0068296B" w:rsidRPr="0068296B" w:rsidRDefault="0068296B" w:rsidP="0068296B">
      <w:r>
        <w:rPr>
          <w:rStyle w:val="HideTWBExt"/>
          <w:noProof w:val="0"/>
          <w:lang w:val="en-GB"/>
        </w:rPr>
        <w:t>&lt;/Amend&gt;</w:t>
      </w:r>
    </w:p>
    <w:p w:rsidR="0068296B" w:rsidRPr="0068296B" w:rsidRDefault="0068296B" w:rsidP="0068296B">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295</w:t>
      </w:r>
      <w:r>
        <w:rPr>
          <w:rStyle w:val="HideTWBExt"/>
          <w:b w:val="0"/>
          <w:noProof w:val="0"/>
          <w:lang w:val="en-GB"/>
        </w:rPr>
        <w:t>&lt;/NumAm&gt;</w:t>
      </w:r>
    </w:p>
    <w:p w:rsidR="0068296B" w:rsidRPr="0068296B" w:rsidRDefault="0068296B" w:rsidP="0068296B">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68296B" w:rsidRPr="00032852" w:rsidRDefault="0068296B" w:rsidP="0068296B">
      <w:pPr>
        <w:pStyle w:val="NormalBold"/>
      </w:pPr>
      <w:r>
        <w:rPr>
          <w:rStyle w:val="HideTWBExt"/>
          <w:b w:val="0"/>
          <w:noProof w:val="0"/>
          <w:lang w:val="fr-FR"/>
        </w:rPr>
        <w:t>&lt;Article&gt;</w:t>
      </w:r>
      <w:r w:rsidRPr="00AC4460">
        <w:t>Παράρτημα III – μέρος 2 – ΚΛΠ 1(Γ) (I) – σημείο 1 – στοιχείο δ – περίπτωση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296B" w:rsidRPr="0033639D" w:rsidTr="000A61DD">
        <w:trPr>
          <w:jc w:val="center"/>
        </w:trPr>
        <w:tc>
          <w:tcPr>
            <w:tcW w:w="9752" w:type="dxa"/>
            <w:gridSpan w:val="2"/>
          </w:tcPr>
          <w:p w:rsidR="0068296B" w:rsidRPr="00032852" w:rsidRDefault="0068296B" w:rsidP="000A61DD">
            <w:pPr>
              <w:keepNext/>
              <w:rPr>
                <w:lang w:val="fr-FR"/>
              </w:rPr>
            </w:pPr>
          </w:p>
        </w:tc>
      </w:tr>
      <w:tr w:rsidR="0068296B" w:rsidRPr="00B0345A" w:rsidTr="000A61DD">
        <w:trPr>
          <w:jc w:val="center"/>
        </w:trPr>
        <w:tc>
          <w:tcPr>
            <w:tcW w:w="4876" w:type="dxa"/>
            <w:hideMark/>
          </w:tcPr>
          <w:p w:rsidR="0068296B" w:rsidRPr="00AC4460" w:rsidRDefault="0068296B" w:rsidP="000A61DD">
            <w:pPr>
              <w:pStyle w:val="ColumnHeading"/>
              <w:keepNext/>
            </w:pPr>
            <w:r w:rsidRPr="00AC4460">
              <w:t>Κείμενο που προτείνει η Επιτροπή</w:t>
            </w:r>
          </w:p>
        </w:tc>
        <w:tc>
          <w:tcPr>
            <w:tcW w:w="4876" w:type="dxa"/>
            <w:hideMark/>
          </w:tcPr>
          <w:p w:rsidR="0068296B" w:rsidRPr="00AC4460" w:rsidRDefault="0068296B" w:rsidP="000A61DD">
            <w:pPr>
              <w:pStyle w:val="ColumnHeading"/>
              <w:keepNext/>
            </w:pPr>
            <w:r w:rsidRPr="00AC4460">
              <w:t>Τροπολογία</w:t>
            </w:r>
          </w:p>
        </w:tc>
      </w:tr>
      <w:tr w:rsidR="0068296B" w:rsidRPr="0068296B" w:rsidTr="000A61DD">
        <w:trPr>
          <w:jc w:val="center"/>
        </w:trPr>
        <w:tc>
          <w:tcPr>
            <w:tcW w:w="4876" w:type="dxa"/>
            <w:hideMark/>
          </w:tcPr>
          <w:p w:rsidR="0068296B" w:rsidRPr="00AC4460" w:rsidRDefault="0068296B" w:rsidP="000A61DD">
            <w:pPr>
              <w:pStyle w:val="Normal6"/>
            </w:pPr>
            <w:r w:rsidRPr="00AC4460">
              <w:rPr>
                <w:b/>
                <w:bCs/>
                <w:i/>
                <w:iCs/>
              </w:rPr>
              <w:t>–</w:t>
            </w:r>
            <w:r w:rsidRPr="00AC4460">
              <w:rPr>
                <w:b/>
                <w:bCs/>
                <w:i/>
                <w:iCs/>
              </w:rPr>
              <w:tab/>
            </w:r>
            <w:r w:rsidRPr="00AC4460">
              <w:rPr>
                <w:b/>
                <w:i/>
              </w:rPr>
              <w:t>Ολικό πεντοξείδιο</w:t>
            </w:r>
            <w:r w:rsidRPr="00AC4460">
              <w:t xml:space="preserve"> του φωσφόρου (P</w:t>
            </w:r>
            <w:r w:rsidRPr="00AC4460">
              <w:rPr>
                <w:vertAlign w:val="subscript"/>
              </w:rPr>
              <w:t>2</w:t>
            </w:r>
            <w:r w:rsidRPr="00AC4460">
              <w:t>O</w:t>
            </w:r>
            <w:r w:rsidRPr="00AC4460">
              <w:rPr>
                <w:vertAlign w:val="subscript"/>
              </w:rPr>
              <w:t>5</w:t>
            </w:r>
            <w:r w:rsidRPr="00AC4460">
              <w:t>)</w:t>
            </w:r>
            <w:r w:rsidRPr="00AC4460">
              <w:rPr>
                <w:b/>
                <w:i/>
              </w:rPr>
              <w:t>·</w:t>
            </w:r>
          </w:p>
        </w:tc>
        <w:tc>
          <w:tcPr>
            <w:tcW w:w="4876" w:type="dxa"/>
            <w:hideMark/>
          </w:tcPr>
          <w:p w:rsidR="0068296B" w:rsidRPr="00AC4460" w:rsidRDefault="0068296B" w:rsidP="000A61DD">
            <w:pPr>
              <w:pStyle w:val="Normal6"/>
              <w:rPr>
                <w:szCs w:val="24"/>
              </w:rPr>
            </w:pPr>
            <w:r w:rsidRPr="00AC4460">
              <w:rPr>
                <w:b/>
                <w:bCs/>
                <w:i/>
                <w:iCs/>
              </w:rPr>
              <w:t>–</w:t>
            </w:r>
            <w:r w:rsidRPr="00AC4460">
              <w:rPr>
                <w:b/>
                <w:bCs/>
                <w:i/>
                <w:iCs/>
              </w:rPr>
              <w:tab/>
            </w:r>
            <w:r w:rsidRPr="00AC4460">
              <w:rPr>
                <w:b/>
                <w:i/>
                <w:snapToGrid w:val="0"/>
                <w:szCs w:val="24"/>
              </w:rPr>
              <w:t>Πεντοξείδιο</w:t>
            </w:r>
            <w:r w:rsidRPr="00AC4460">
              <w:rPr>
                <w:snapToGrid w:val="0"/>
                <w:szCs w:val="24"/>
              </w:rPr>
              <w:t xml:space="preserve"> του φωσφόρου (P</w:t>
            </w:r>
            <w:r w:rsidRPr="00AC4460">
              <w:rPr>
                <w:snapToGrid w:val="0"/>
                <w:szCs w:val="24"/>
                <w:vertAlign w:val="subscript"/>
              </w:rPr>
              <w:t>2</w:t>
            </w:r>
            <w:r w:rsidRPr="00AC4460">
              <w:rPr>
                <w:snapToGrid w:val="0"/>
                <w:szCs w:val="24"/>
              </w:rPr>
              <w:t>O</w:t>
            </w:r>
            <w:r w:rsidRPr="00AC4460">
              <w:rPr>
                <w:snapToGrid w:val="0"/>
                <w:szCs w:val="24"/>
                <w:vertAlign w:val="subscript"/>
              </w:rPr>
              <w:t>5</w:t>
            </w:r>
            <w:r w:rsidRPr="00AC4460">
              <w:rPr>
                <w:snapToGrid w:val="0"/>
                <w:szCs w:val="24"/>
              </w:rPr>
              <w:t>)</w:t>
            </w:r>
            <w:r w:rsidRPr="00AC4460">
              <w:rPr>
                <w:b/>
                <w:i/>
                <w:snapToGrid w:val="0"/>
                <w:szCs w:val="24"/>
              </w:rPr>
              <w:t xml:space="preserve"> διαλυτό σε ουδέτερο κιτρικό αμμώνιο και νερό.</w:t>
            </w:r>
          </w:p>
        </w:tc>
      </w:tr>
    </w:tbl>
    <w:p w:rsidR="0068296B" w:rsidRPr="00B0345A" w:rsidRDefault="0068296B" w:rsidP="0068296B">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296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1(Γ) (I) – σημείο 1 – στοιχείο δ – περίπτωση 2 – περίπτωση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snapToGrid w:val="0"/>
                <w:szCs w:val="24"/>
              </w:rPr>
              <w:t>εάν υπάρχουν αλεσμένα μαλακά φωσφορικά άλατα,</w:t>
            </w:r>
            <w:r w:rsidRPr="00AC4460">
              <w:rPr>
                <w:snapToGrid w:val="0"/>
                <w:szCs w:val="24"/>
              </w:rPr>
              <w:t xml:space="preserve"> πεντοξείδιο του φωσφόρου (P2O5) διαλυτό σε </w:t>
            </w:r>
            <w:r w:rsidRPr="00AC4460">
              <w:rPr>
                <w:b/>
                <w:i/>
                <w:snapToGrid w:val="0"/>
                <w:szCs w:val="24"/>
              </w:rPr>
              <w:t>μυρμηκικό οξύ·</w:t>
            </w:r>
          </w:p>
        </w:tc>
        <w:tc>
          <w:tcPr>
            <w:tcW w:w="4876" w:type="dxa"/>
            <w:hideMark/>
          </w:tcPr>
          <w:p w:rsidR="00E451E4" w:rsidRPr="00AC4460" w:rsidRDefault="00E451E4" w:rsidP="000A61DD">
            <w:pPr>
              <w:pStyle w:val="Normal6"/>
              <w:rPr>
                <w:szCs w:val="24"/>
              </w:rPr>
            </w:pPr>
            <w:r w:rsidRPr="00AC4460">
              <w:t>–</w:t>
            </w:r>
            <w:r w:rsidRPr="00AC4460">
              <w:tab/>
            </w:r>
            <w:r w:rsidRPr="00AC4460">
              <w:rPr>
                <w:snapToGrid w:val="0"/>
                <w:szCs w:val="24"/>
              </w:rPr>
              <w:t>πεντοξείδιο του φωσφόρου (P</w:t>
            </w:r>
            <w:r w:rsidRPr="00AC4460">
              <w:rPr>
                <w:snapToGrid w:val="0"/>
                <w:szCs w:val="24"/>
                <w:vertAlign w:val="subscript"/>
              </w:rPr>
              <w:t>2</w:t>
            </w:r>
            <w:r w:rsidRPr="00AC4460">
              <w:rPr>
                <w:snapToGrid w:val="0"/>
                <w:szCs w:val="24"/>
              </w:rPr>
              <w:t>O</w:t>
            </w:r>
            <w:r w:rsidRPr="00AC4460">
              <w:rPr>
                <w:snapToGrid w:val="0"/>
                <w:szCs w:val="24"/>
                <w:vertAlign w:val="subscript"/>
              </w:rPr>
              <w:t>5</w:t>
            </w:r>
            <w:r w:rsidRPr="00AC4460">
              <w:rPr>
                <w:snapToGrid w:val="0"/>
                <w:szCs w:val="24"/>
              </w:rPr>
              <w:t xml:space="preserve">) διαλυτό </w:t>
            </w:r>
            <w:r w:rsidRPr="00AC4460">
              <w:rPr>
                <w:b/>
                <w:i/>
                <w:snapToGrid w:val="0"/>
                <w:szCs w:val="24"/>
              </w:rPr>
              <w:t xml:space="preserve">μόνο </w:t>
            </w:r>
            <w:r w:rsidRPr="00AC4460">
              <w:rPr>
                <w:snapToGrid w:val="0"/>
                <w:szCs w:val="24"/>
              </w:rPr>
              <w:t xml:space="preserve">σε </w:t>
            </w:r>
            <w:r w:rsidRPr="00AC4460">
              <w:rPr>
                <w:b/>
                <w:i/>
                <w:snapToGrid w:val="0"/>
                <w:szCs w:val="24"/>
              </w:rPr>
              <w:t>ανόργανα οξέα.</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297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III – μέρος 2 – ΚΛΠ 1(Γ) (I) – σημείο 1 – στοιχείο δ – περίπτωση 4 – περίπτωση 1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Μορφή σκόνης ή σύμπηκτων.</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298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1(Γ) (I) – σημείο 1 – στοιχείο δ α (νέα)</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δ α)</w:t>
            </w:r>
            <w:r w:rsidRPr="00AC4460">
              <w:rPr>
                <w:b/>
                <w:i/>
              </w:rPr>
              <w:tab/>
              <w:t>pH</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299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III – μέρος 2 – ΚΛΠ 1(Γ) (I) – σημείο 1 α (νέο)</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Τα προϊόντα λίπανσης που περιέχουν κάδμιο, αρσενικό, μόλυβδο, εξασθενές χρώμιο και υδράργυρο κάτω των 5 ppm, αντίστοιχα, είναι επιλέξιμα να χρησιμοποιούν ορατό «οικολογικό σήμα» στη συσκευασία και την ετικέτα τους. Η Επιτροπή εξουσιοδοτείται να εκδίδει κατ’ εξουσιοδότηση πράξεις σύμφωνα με το άρθρο 43, για τη συμπλήρωση του παρόντος κανονισμού, για να θεσπίσει τις τεχνικές προδιαγραφές τέτοιων ετικετών.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1(Γ) (I) (α) – σημείο 3 – στοιχείο γ</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γ)</w:t>
            </w:r>
            <w:r w:rsidRPr="00AC4460">
              <w:tab/>
              <w:t xml:space="preserve">σκόνη, εφόσον τουλάχιστον το 90 % του προϊόντος διέρχεται από κόσκινο με διάμετρο οπών </w:t>
            </w:r>
            <w:r w:rsidRPr="00AC4460">
              <w:rPr>
                <w:b/>
                <w:i/>
              </w:rPr>
              <w:t>10</w:t>
            </w:r>
            <w:r w:rsidRPr="00AC4460">
              <w:t xml:space="preserve"> mm, ή</w:t>
            </w:r>
          </w:p>
        </w:tc>
        <w:tc>
          <w:tcPr>
            <w:tcW w:w="4876" w:type="dxa"/>
          </w:tcPr>
          <w:p w:rsidR="00E451E4" w:rsidRPr="00AC4460" w:rsidRDefault="00E451E4" w:rsidP="000A61DD">
            <w:pPr>
              <w:pStyle w:val="Normal6"/>
              <w:rPr>
                <w:szCs w:val="24"/>
              </w:rPr>
            </w:pPr>
            <w:r w:rsidRPr="00AC4460">
              <w:t>γ)</w:t>
            </w:r>
            <w:r w:rsidRPr="00AC4460">
              <w:tab/>
              <w:t xml:space="preserve">σκόνη, εφόσον τουλάχιστον το 90 % του προϊόντος διέρχεται από κόσκινο με διάμετρο οπών </w:t>
            </w:r>
            <w:r w:rsidRPr="00AC4460">
              <w:rPr>
                <w:b/>
                <w:i/>
              </w:rPr>
              <w:t>1</w:t>
            </w:r>
            <w:r w:rsidRPr="00AC4460">
              <w:t xml:space="preserve"> mm, ή</w:t>
            </w:r>
          </w:p>
        </w:tc>
      </w:tr>
    </w:tbl>
    <w:p w:rsidR="00E451E4" w:rsidRPr="00B0345A" w:rsidRDefault="00E451E4" w:rsidP="00E451E4">
      <w:pPr>
        <w:pStyle w:val="AMNumberTabs"/>
        <w:keepNext/>
        <w:rPr>
          <w:rStyle w:val="HideTWBExt"/>
          <w:noProof w:val="0"/>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301</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noProof w:val="0"/>
        </w:rPr>
        <w:t>&lt;Article&gt;</w:t>
      </w:r>
      <w:r w:rsidRPr="00AC4460">
        <w:t>Παράρτημα III – μέρος 2 – ΚΛΠ 1(Γ) (I) (α) – σημείο 4 α (νέο)</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B0345A" w:rsidTr="000A61DD">
        <w:trPr>
          <w:jc w:val="center"/>
        </w:trPr>
        <w:tc>
          <w:tcPr>
            <w:tcW w:w="9750" w:type="dxa"/>
            <w:gridSpan w:val="2"/>
          </w:tcPr>
          <w:p w:rsidR="00E451E4" w:rsidRPr="00B0345A" w:rsidRDefault="00E451E4" w:rsidP="000A61DD">
            <w:pPr>
              <w:keepNext/>
            </w:pPr>
          </w:p>
        </w:tc>
      </w:tr>
      <w:tr w:rsidR="00E451E4" w:rsidRPr="00B0345A"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5" w:type="dxa"/>
          </w:tcPr>
          <w:p w:rsidR="00E451E4" w:rsidRPr="00AC4460" w:rsidRDefault="00E451E4" w:rsidP="000A61DD">
            <w:pPr>
              <w:pStyle w:val="Normal6"/>
              <w:spacing w:line="256" w:lineRule="auto"/>
              <w:rPr>
                <w:lang w:eastAsia="en-US"/>
              </w:rPr>
            </w:pPr>
          </w:p>
        </w:tc>
        <w:tc>
          <w:tcPr>
            <w:tcW w:w="4875" w:type="dxa"/>
            <w:hideMark/>
          </w:tcPr>
          <w:p w:rsidR="00E451E4" w:rsidRPr="00AC4460" w:rsidRDefault="00E451E4" w:rsidP="000A61DD">
            <w:pPr>
              <w:pStyle w:val="Normal6"/>
              <w:spacing w:line="256" w:lineRule="auto"/>
              <w:rPr>
                <w:b/>
                <w:i/>
                <w:szCs w:val="24"/>
              </w:rPr>
            </w:pPr>
            <w:r w:rsidRPr="00AC4460">
              <w:rPr>
                <w:b/>
                <w:i/>
              </w:rPr>
              <w:t>4α.</w:t>
            </w:r>
            <w:r w:rsidRPr="00AC4460">
              <w:rPr>
                <w:i/>
              </w:rPr>
              <w:tab/>
            </w:r>
            <w:r w:rsidRPr="00AC4460">
              <w:rPr>
                <w:b/>
                <w:i/>
              </w:rPr>
              <w:t>Για προϊόντα με σήμανση CE που αναφέρονται στο στοιχείο (ββ) της παραγράφου 1 της ΚΣΥ 10 του παραρτήματος ΙΙ, όπου τα πολυμερή χρησιμοποιούνται αποκλειστικά ως συνδετικό υλικό, υπάρχει η ακόλουθη ένδειξη: «Το προϊόν λίπανσης δεν προορίζεται για επαφή με το έδαφος.»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1(Γ) (II) – σημείο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1.</w:t>
            </w:r>
            <w:r w:rsidRPr="00AC4460">
              <w:tab/>
              <w:t>Τα δηλούμενα μικροθρεπτικά συστατικά στο προϊόν λίπανσης με σήμανση CE αναγράφονται με την ονομασία και το χημικό σύμβολό τους, με την εξής σειρά: βόριο (B), κοβάλτιο (Co), χαλκός (Cu), σίδηρος (Fe), μαγγάνιο (Mn), μολυβδαίνιο (Mo) και ψευδάργυρος (Zn), ακολουθούμενα από την ονομασία του ή των αντισταθμιστικών ιόντων τους,</w:t>
            </w:r>
          </w:p>
        </w:tc>
        <w:tc>
          <w:tcPr>
            <w:tcW w:w="4876" w:type="dxa"/>
            <w:hideMark/>
          </w:tcPr>
          <w:p w:rsidR="00E451E4" w:rsidRPr="00AC4460" w:rsidRDefault="00E451E4" w:rsidP="000A61DD">
            <w:pPr>
              <w:pStyle w:val="Normal6"/>
              <w:rPr>
                <w:szCs w:val="24"/>
              </w:rPr>
            </w:pPr>
            <w:r w:rsidRPr="00AC4460">
              <w:t>1.</w:t>
            </w:r>
            <w:r w:rsidRPr="00AC4460">
              <w:tab/>
              <w:t>Τα δηλούμενα μικροθρεπτικά συστατικά στο προϊόν λίπανσης με σήμανση CE αναγράφονται με την ονομασία και το χημικό σύμβολό τους, με την εξής σειρά: βόριο (B), κοβάλτιο (Co), χαλκός (Cu), σίδηρος (Fe), μαγγάνιο (Mn), μολυβδαίνιο (Mo)</w:t>
            </w:r>
            <w:r w:rsidRPr="00AC4460">
              <w:rPr>
                <w:b/>
                <w:i/>
              </w:rPr>
              <w:t>, σελήνιο (Se), πυρίτιο (Si)</w:t>
            </w:r>
            <w:r w:rsidRPr="00AC4460">
              <w:t xml:space="preserve"> και ψευδάργυρος (Zn), ακολουθούμενα από την ονομασία του ή των αντισταθμιστικών ιόντων τους,</w:t>
            </w:r>
          </w:p>
        </w:tc>
      </w:tr>
    </w:tbl>
    <w:p w:rsidR="00E451E4" w:rsidRPr="00B0345A" w:rsidRDefault="00E451E4" w:rsidP="00E451E4">
      <w:pPr>
        <w:pStyle w:val="AMNumberTabs"/>
        <w:keepNext/>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303</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noProof w:val="0"/>
          <w:lang w:val="fr-FR"/>
        </w:rPr>
        <w:t>&lt;Article&gt;</w:t>
      </w:r>
      <w:r w:rsidRPr="00AC4460">
        <w:t>Παράρτημα III – μέρος 2 – ΚΛΠ 1(Γ) α (νέο)</w:t>
      </w:r>
      <w:r>
        <w:rPr>
          <w:rStyle w:val="HideTWBExt"/>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4"/>
        <w:gridCol w:w="2438"/>
        <w:gridCol w:w="2438"/>
      </w:tblGrid>
      <w:tr w:rsidR="00E451E4" w:rsidRPr="000226C1" w:rsidTr="000A61DD">
        <w:trPr>
          <w:jc w:val="center"/>
        </w:trPr>
        <w:tc>
          <w:tcPr>
            <w:tcW w:w="9750" w:type="dxa"/>
            <w:gridSpan w:val="3"/>
          </w:tcPr>
          <w:p w:rsidR="00E451E4" w:rsidRPr="00032852" w:rsidRDefault="00E451E4" w:rsidP="000A61DD">
            <w:pPr>
              <w:keepNext/>
              <w:rPr>
                <w:lang w:val="fr-FR"/>
              </w:rPr>
            </w:pPr>
          </w:p>
        </w:tc>
      </w:tr>
      <w:tr w:rsidR="00E451E4" w:rsidRPr="00B0345A" w:rsidTr="000A61DD">
        <w:trPr>
          <w:jc w:val="center"/>
        </w:trPr>
        <w:tc>
          <w:tcPr>
            <w:tcW w:w="4874" w:type="dxa"/>
            <w:hideMark/>
          </w:tcPr>
          <w:p w:rsidR="00E451E4" w:rsidRPr="00AC4460" w:rsidRDefault="00E451E4" w:rsidP="000A61DD">
            <w:pPr>
              <w:pStyle w:val="ColumnHeading"/>
            </w:pPr>
            <w:r w:rsidRPr="00AC4460">
              <w:t>Κείμενο που προτείνει η Επιτροπή</w:t>
            </w:r>
          </w:p>
        </w:tc>
        <w:tc>
          <w:tcPr>
            <w:tcW w:w="4876" w:type="dxa"/>
            <w:gridSpan w:val="2"/>
            <w:hideMark/>
          </w:tcPr>
          <w:p w:rsidR="00E451E4" w:rsidRPr="00AC4460" w:rsidRDefault="00E451E4" w:rsidP="000A61DD">
            <w:pPr>
              <w:pStyle w:val="ColumnHeading"/>
            </w:pPr>
            <w:r w:rsidRPr="00AC4460">
              <w:t>Τροπολογία</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ΚΛΠ 1(Γ) α: Λίπασμα χαμηλής περιεκτικότητας σε άνθρακα</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1.</w:t>
            </w:r>
            <w:r w:rsidRPr="00AC4460">
              <w:rPr>
                <w:b/>
                <w:bCs/>
                <w:i/>
                <w:iCs/>
              </w:rPr>
              <w:tab/>
              <w:t>Παρέχονται τα ακόλουθα πληροφοριακά στοιχεία σχετικά με τα μακροθρεπτικά συστατικά:</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tcPr>
          <w:p w:rsidR="00E451E4" w:rsidRPr="00AC4460" w:rsidRDefault="00E451E4" w:rsidP="000A61DD">
            <w:pPr>
              <w:pStyle w:val="Normal6"/>
              <w:rPr>
                <w:b/>
                <w:i/>
              </w:rPr>
            </w:pPr>
            <w:r w:rsidRPr="00AC4460">
              <w:rPr>
                <w:b/>
                <w:i/>
              </w:rPr>
              <w:t>α)</w:t>
            </w:r>
            <w:r w:rsidRPr="00AC4460">
              <w:rPr>
                <w:b/>
                <w:i/>
              </w:rPr>
              <w:tab/>
              <w:t>τα δηλούμενα θρεπτικά συστατικά άζωτο (N), φώσφορος (P) ή κάλιο (K), με τα χημικά τους σύμβολα και με τη σειρά N–P–K·</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tcPr>
          <w:p w:rsidR="00E451E4" w:rsidRPr="00AC4460" w:rsidRDefault="00E451E4" w:rsidP="000A61DD">
            <w:pPr>
              <w:pStyle w:val="Normal6"/>
              <w:rPr>
                <w:b/>
                <w:i/>
              </w:rPr>
            </w:pPr>
            <w:r w:rsidRPr="00AC4460">
              <w:rPr>
                <w:b/>
                <w:i/>
              </w:rPr>
              <w:t>β)</w:t>
            </w:r>
            <w:r w:rsidRPr="00AC4460">
              <w:rPr>
                <w:b/>
                <w:i/>
              </w:rPr>
              <w:tab/>
            </w:r>
            <w:r w:rsidRPr="00AC4460">
              <w:rPr>
                <w:b/>
                <w:bCs/>
                <w:i/>
                <w:iCs/>
              </w:rPr>
              <w:t>τα δηλούμενα θρεπτικά συστατικά μαγνήσιο (Mg), ασβέστιο (Ca), θείο (S) ή νάτριο (Na), με τα χημικά τους σύμβολα και με τη σειρά Mg–Ca–S–Na·</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tcPr>
          <w:p w:rsidR="00E451E4" w:rsidRPr="00AC4460" w:rsidRDefault="00E451E4" w:rsidP="000A61DD">
            <w:pPr>
              <w:pStyle w:val="Normal6"/>
              <w:rPr>
                <w:b/>
                <w:i/>
              </w:rPr>
            </w:pPr>
            <w:r w:rsidRPr="00AC4460">
              <w:rPr>
                <w:b/>
                <w:i/>
              </w:rPr>
              <w:t>γ)</w:t>
            </w:r>
            <w:r w:rsidRPr="00AC4460">
              <w:rPr>
                <w:b/>
                <w:i/>
              </w:rPr>
              <w:tab/>
            </w:r>
            <w:r w:rsidRPr="00AC4460">
              <w:rPr>
                <w:b/>
                <w:bCs/>
                <w:i/>
                <w:iCs/>
              </w:rPr>
              <w:t>αριθμοί που υποδεικνύουν την περιεκτικότητα των δηλούμενων θρεπτικών συστατικών άζωτο (N), φώσφορος (P) ή κάλιο (K), ακολουθούμενα από αριθμούς εντός παρενθέσεων που υποδεικνύουν τη συνολική περιεκτικότητα σε μαγνήσιο (Mg), ασβέστιο (Ca), θείο (S) ή νάτριο (Na)·</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spacing w:line="256" w:lineRule="auto"/>
              <w:rPr>
                <w:i/>
              </w:rPr>
            </w:pPr>
            <w:r w:rsidRPr="00AC4460">
              <w:rPr>
                <w:b/>
                <w:bCs/>
                <w:i/>
                <w:iCs/>
              </w:rPr>
              <w:t>δ)</w:t>
            </w:r>
            <w:r w:rsidRPr="00AC4460">
              <w:rPr>
                <w:b/>
                <w:bCs/>
                <w:i/>
                <w:iCs/>
              </w:rPr>
              <w:tab/>
              <w:t>η περιεκτικότητα στα παρακάτω δηλούμενα θρεπτικά συστατικά, με την παρακάτω σειρά και ως ποσοστό επί της μάζας του λιπάσματος:</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Ολικό άζωτο (N)</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ελάχιστη ποσότητα οργανικού αζώτου (N), μαζί με περιγραφή της προέλευσης των οργανικών υλών που χρησιμοποιούνται·</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άζωτο (N) σε μορφή νιτρικού αζώτου·</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άζωτο (N) σε μορφή αμμωνιακού αζώτου·</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άζωτο (N) σε μορφή αζώτου ουρίας·</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Ολικό πεντοξείδιο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Υδατοδιαλυτό πεντοξείδιο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πεντοξείδιο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 διαλυτό σε ουδέτερο κιτρικό αμμώνιο·</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εάν υπάρχουν αλεσμένα μαλακά φωσφορικά άλατα, πεντοξείδιο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 διαλυτό σε μυρμηκικό οξύ·</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Συνολικό οξείδιο του καλίου (K</w:t>
            </w:r>
            <w:r w:rsidRPr="00AC4460">
              <w:rPr>
                <w:b/>
                <w:bCs/>
                <w:i/>
                <w:iCs/>
                <w:vertAlign w:val="subscript"/>
              </w:rPr>
              <w:t>2</w:t>
            </w:r>
            <w:r w:rsidRPr="00AC4460">
              <w:rPr>
                <w:b/>
                <w:bCs/>
                <w:i/>
                <w:iCs/>
              </w:rPr>
              <w:t>O)·</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Υδατοδιαλυτό οξείδιο του καλίου (K</w:t>
            </w:r>
            <w:r w:rsidRPr="00AC4460">
              <w:rPr>
                <w:b/>
                <w:bCs/>
                <w:i/>
                <w:iCs/>
                <w:vertAlign w:val="subscript"/>
              </w:rPr>
              <w:t>2</w:t>
            </w:r>
            <w:r w:rsidRPr="00AC4460">
              <w:rPr>
                <w:b/>
                <w:bCs/>
                <w:i/>
                <w:iCs/>
              </w:rPr>
              <w:t>O)·</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οξείδιο του μαγνησίου (MgO), οξείδιο του ασβεστίου (CaO), τριοξείδιο του θείου (SO</w:t>
            </w:r>
            <w:r w:rsidRPr="00AC4460">
              <w:rPr>
                <w:b/>
                <w:bCs/>
                <w:i/>
                <w:iCs/>
                <w:vertAlign w:val="subscript"/>
              </w:rPr>
              <w:t>3</w:t>
            </w:r>
            <w:r w:rsidRPr="00AC4460">
              <w:rPr>
                <w:b/>
                <w:bCs/>
                <w:i/>
                <w:iCs/>
              </w:rPr>
              <w:t>) και οξείδιο του νατρίου (Na</w:t>
            </w:r>
            <w:r w:rsidRPr="00AC4460">
              <w:rPr>
                <w:b/>
                <w:bCs/>
                <w:i/>
                <w:iCs/>
                <w:vertAlign w:val="subscript"/>
              </w:rPr>
              <w:t>2</w:t>
            </w:r>
            <w:r w:rsidRPr="00AC4460">
              <w:rPr>
                <w:b/>
                <w:bCs/>
                <w:i/>
                <w:iCs/>
              </w:rPr>
              <w:t>O), εκφραζόμενα</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όταν αυτά τα θρεπτικά συστατικά είναι πλήρως υδατοδιαλυτά, μόνον ως περιεκτικότητα σε υδατοδιαλυτό περιεχόμενο·</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όταν το υδατοδιαλυτό περιεχόμενο αυτών των θρεπτικών συστατικών ισούται τουλάχιστον με το ένα τέταρτο της συνολικής περιεκτικότητας αυτών των θρεπτικών συστατικών, ως ολική περιεκτικότητα και περιεκτικότητα σε υδατοδιαλυτό περιεχόμενο·</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στις υπόλοιπες περιπτώσεις, ως ολική περιεκτικότητα.</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ε)</w:t>
            </w:r>
            <w:r w:rsidRPr="00AC4460">
              <w:rPr>
                <w:b/>
                <w:bCs/>
                <w:i/>
                <w:iCs/>
              </w:rPr>
              <w:tab/>
              <w:t>όταν υπάρχει ουρία (CH</w:t>
            </w:r>
            <w:r w:rsidRPr="00AC4460">
              <w:rPr>
                <w:b/>
                <w:bCs/>
                <w:i/>
                <w:iCs/>
                <w:vertAlign w:val="subscript"/>
              </w:rPr>
              <w:t>4</w:t>
            </w:r>
            <w:r w:rsidRPr="00AC4460">
              <w:rPr>
                <w:b/>
                <w:bCs/>
                <w:i/>
                <w:iCs/>
              </w:rPr>
              <w:t>N</w:t>
            </w:r>
            <w:r w:rsidRPr="00AC4460">
              <w:rPr>
                <w:b/>
                <w:bCs/>
                <w:i/>
                <w:iCs/>
                <w:vertAlign w:val="subscript"/>
              </w:rPr>
              <w:t>2</w:t>
            </w:r>
            <w:r w:rsidRPr="00AC4460">
              <w:rPr>
                <w:b/>
                <w:bCs/>
                <w:i/>
                <w:iCs/>
              </w:rPr>
              <w:t>O), πληροφορίες για τις πιθανές επιπτώσεις στην ατμόσφαιρα από την έκλυση αμμωνίας κατά τη χρήση του λιπάσματος και παραίνεση προς τους χρήστες για τη λήψη κατάλληλων μέτρων αντιμετώπισης.</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2.</w:t>
            </w:r>
            <w:r w:rsidRPr="00AC4460">
              <w:rPr>
                <w:b/>
                <w:bCs/>
                <w:i/>
                <w:iCs/>
              </w:rPr>
              <w:tab/>
              <w:t>Τα ακόλουθα λοιπά στοιχεία αναγράφονται ως ποσοστό κατά μάζα του προϊόντος λίπανσης με σήμανση CE:</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Περιεκτικότητα σε οργανικό άνθρακα (C)· και</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Περιεκτικότητα σε ξηρά ουσία.</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3.</w:t>
            </w:r>
            <w:r w:rsidRPr="00AC4460">
              <w:rPr>
                <w:b/>
                <w:bCs/>
                <w:i/>
                <w:iCs/>
              </w:rPr>
              <w:tab/>
              <w:t>Όταν ένα ή περισσότερα από τα μικροθρεπτικά συστατικά βόριο (B), κοβάλτιο (Co), χαλκός (Cu), σίδηρος (Fe), μαγγάνιο (Mn), μολυβδαίνιο (Mo) και ψευδάργυρος (Zn) περιέχονται στην ελάχιστη περιεκτικότητα που αναφέρεται στον παρακάτω πίνακα ως ποσοστό κατά μάζα, τότε</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δηλώνονται εφόσον έχουν προστεθεί σκόπιμα στο προϊόν λίπανσης με σήμανση CE, και</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w:t>
            </w:r>
            <w:r w:rsidRPr="00AC4460">
              <w:rPr>
                <w:b/>
                <w:bCs/>
                <w:i/>
                <w:iCs/>
              </w:rPr>
              <w:tab/>
              <w:t>μπορούν να δηλωθούν στις άλλες περιπτώσεις:</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Μικροθρεπτικό συστατικό</w:t>
            </w:r>
          </w:p>
        </w:tc>
        <w:tc>
          <w:tcPr>
            <w:tcW w:w="2438" w:type="dxa"/>
            <w:hideMark/>
          </w:tcPr>
          <w:p w:rsidR="00E451E4" w:rsidRPr="00B0345A" w:rsidRDefault="00E451E4" w:rsidP="000A61DD">
            <w:pPr>
              <w:pStyle w:val="Normal6"/>
              <w:rPr>
                <w:b/>
                <w:bCs/>
                <w:i/>
                <w:iCs/>
              </w:rPr>
            </w:pPr>
            <w:r>
              <w:rPr>
                <w:b/>
                <w:bCs/>
                <w:i/>
                <w:iCs/>
              </w:rPr>
              <w:t>Ποσοστό κατά μάζα</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Βόριο (B)</w:t>
            </w:r>
          </w:p>
        </w:tc>
        <w:tc>
          <w:tcPr>
            <w:tcW w:w="2438" w:type="dxa"/>
            <w:hideMark/>
          </w:tcPr>
          <w:p w:rsidR="00E451E4" w:rsidRPr="00B0345A" w:rsidRDefault="00E451E4" w:rsidP="000A61DD">
            <w:pPr>
              <w:pStyle w:val="Normal6"/>
              <w:rPr>
                <w:b/>
                <w:bCs/>
                <w:i/>
                <w:iCs/>
              </w:rPr>
            </w:pPr>
            <w:r>
              <w:rPr>
                <w:b/>
                <w:bCs/>
                <w:i/>
                <w:iCs/>
              </w:rPr>
              <w:t>0,01</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Κοβάλτιο (Co)</w:t>
            </w:r>
          </w:p>
        </w:tc>
        <w:tc>
          <w:tcPr>
            <w:tcW w:w="2438" w:type="dxa"/>
            <w:hideMark/>
          </w:tcPr>
          <w:p w:rsidR="00E451E4" w:rsidRPr="00B0345A" w:rsidRDefault="00E451E4" w:rsidP="000A61DD">
            <w:pPr>
              <w:pStyle w:val="Normal6"/>
              <w:rPr>
                <w:b/>
                <w:bCs/>
                <w:i/>
                <w:iCs/>
              </w:rPr>
            </w:pPr>
            <w:r>
              <w:rPr>
                <w:b/>
                <w:bCs/>
                <w:i/>
                <w:iCs/>
              </w:rPr>
              <w:t>0,002</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Χαλκός (Cu)</w:t>
            </w:r>
          </w:p>
        </w:tc>
        <w:tc>
          <w:tcPr>
            <w:tcW w:w="2438" w:type="dxa"/>
            <w:hideMark/>
          </w:tcPr>
          <w:p w:rsidR="00E451E4" w:rsidRPr="00B0345A" w:rsidRDefault="00E451E4" w:rsidP="000A61DD">
            <w:pPr>
              <w:pStyle w:val="Normal6"/>
              <w:rPr>
                <w:b/>
                <w:bCs/>
                <w:i/>
                <w:iCs/>
              </w:rPr>
            </w:pPr>
            <w:r>
              <w:rPr>
                <w:b/>
                <w:bCs/>
                <w:i/>
                <w:iCs/>
              </w:rPr>
              <w:t>0,002</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Μαγγάνιο (Mn)</w:t>
            </w:r>
          </w:p>
        </w:tc>
        <w:tc>
          <w:tcPr>
            <w:tcW w:w="2438" w:type="dxa"/>
            <w:hideMark/>
          </w:tcPr>
          <w:p w:rsidR="00E451E4" w:rsidRPr="00B0345A" w:rsidRDefault="00E451E4" w:rsidP="000A61DD">
            <w:pPr>
              <w:pStyle w:val="Normal6"/>
              <w:rPr>
                <w:b/>
                <w:bCs/>
                <w:i/>
                <w:iCs/>
              </w:rPr>
            </w:pPr>
            <w:r>
              <w:rPr>
                <w:b/>
                <w:bCs/>
                <w:i/>
                <w:iCs/>
              </w:rPr>
              <w:t>0,01</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Μολυβδαίνιο (Mo)</w:t>
            </w:r>
          </w:p>
        </w:tc>
        <w:tc>
          <w:tcPr>
            <w:tcW w:w="2438" w:type="dxa"/>
            <w:hideMark/>
          </w:tcPr>
          <w:p w:rsidR="00E451E4" w:rsidRPr="00B0345A" w:rsidRDefault="00E451E4" w:rsidP="000A61DD">
            <w:pPr>
              <w:pStyle w:val="Normal6"/>
              <w:rPr>
                <w:b/>
                <w:bCs/>
                <w:i/>
                <w:iCs/>
              </w:rPr>
            </w:pPr>
            <w:r>
              <w:rPr>
                <w:b/>
                <w:bCs/>
                <w:i/>
                <w:iCs/>
              </w:rPr>
              <w:t>0,001</w:t>
            </w:r>
          </w:p>
        </w:tc>
      </w:tr>
      <w:tr w:rsidR="00E451E4" w:rsidRPr="00B0345A" w:rsidTr="000A61DD">
        <w:trPr>
          <w:jc w:val="center"/>
        </w:trPr>
        <w:tc>
          <w:tcPr>
            <w:tcW w:w="4874" w:type="dxa"/>
          </w:tcPr>
          <w:p w:rsidR="00E451E4" w:rsidRPr="00B0345A" w:rsidRDefault="00E451E4" w:rsidP="000A61DD">
            <w:pPr>
              <w:pStyle w:val="Normal6"/>
              <w:spacing w:line="256" w:lineRule="auto"/>
              <w:rPr>
                <w:lang w:eastAsia="en-US"/>
              </w:rPr>
            </w:pPr>
          </w:p>
        </w:tc>
        <w:tc>
          <w:tcPr>
            <w:tcW w:w="2438" w:type="dxa"/>
            <w:hideMark/>
          </w:tcPr>
          <w:p w:rsidR="00E451E4" w:rsidRPr="00B0345A" w:rsidRDefault="00E451E4" w:rsidP="000A61DD">
            <w:pPr>
              <w:pStyle w:val="Normal6"/>
              <w:rPr>
                <w:b/>
                <w:bCs/>
                <w:i/>
                <w:iCs/>
              </w:rPr>
            </w:pPr>
            <w:r>
              <w:rPr>
                <w:b/>
                <w:bCs/>
                <w:i/>
                <w:iCs/>
              </w:rPr>
              <w:t>Ψευδάργυρος (Zn)</w:t>
            </w:r>
          </w:p>
        </w:tc>
        <w:tc>
          <w:tcPr>
            <w:tcW w:w="2438" w:type="dxa"/>
            <w:hideMark/>
          </w:tcPr>
          <w:p w:rsidR="00E451E4" w:rsidRPr="00B0345A" w:rsidRDefault="00E451E4" w:rsidP="000A61DD">
            <w:pPr>
              <w:pStyle w:val="Normal6"/>
              <w:rPr>
                <w:b/>
                <w:bCs/>
                <w:i/>
                <w:iCs/>
              </w:rPr>
            </w:pPr>
            <w:r>
              <w:rPr>
                <w:b/>
                <w:bCs/>
                <w:i/>
                <w:iCs/>
              </w:rPr>
              <w:t>0,002</w:t>
            </w:r>
          </w:p>
        </w:tc>
      </w:tr>
      <w:tr w:rsidR="00E451E4" w:rsidRPr="00B0345A" w:rsidTr="000A61DD">
        <w:trPr>
          <w:jc w:val="center"/>
        </w:trPr>
        <w:tc>
          <w:tcPr>
            <w:tcW w:w="4874" w:type="dxa"/>
          </w:tcPr>
          <w:p w:rsidR="00E451E4" w:rsidRPr="00AC4460" w:rsidRDefault="00E451E4" w:rsidP="000A61DD">
            <w:pPr>
              <w:pStyle w:val="Normal6"/>
              <w:spacing w:line="256" w:lineRule="auto"/>
              <w:rPr>
                <w:lang w:eastAsia="en-US"/>
              </w:rPr>
            </w:pPr>
          </w:p>
        </w:tc>
        <w:tc>
          <w:tcPr>
            <w:tcW w:w="4876" w:type="dxa"/>
            <w:gridSpan w:val="2"/>
            <w:hideMark/>
          </w:tcPr>
          <w:p w:rsidR="00E451E4" w:rsidRPr="00AC4460" w:rsidRDefault="00E451E4" w:rsidP="000A61DD">
            <w:pPr>
              <w:pStyle w:val="Normal6"/>
              <w:rPr>
                <w:b/>
                <w:bCs/>
                <w:i/>
                <w:iCs/>
              </w:rPr>
            </w:pPr>
            <w:r w:rsidRPr="00AC4460">
              <w:rPr>
                <w:b/>
                <w:bCs/>
                <w:i/>
                <w:iCs/>
              </w:rPr>
              <w:t>Αυτά δηλώνονται μετά τις πληροφορίες για τα μακροθρεπτικά συστατικά. Παρέχονται τα ακόλουθα πληροφοριακά στοιχεία:</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α)</w:t>
            </w:r>
            <w:r w:rsidRPr="00AC4460">
              <w:rPr>
                <w:b/>
                <w:bCs/>
                <w:i/>
                <w:iCs/>
              </w:rPr>
              <w:tab/>
              <w:t>ονομασία και χημικό σύμβολο των δηλούμενων μικροθρεπτικών συστατικών, με την ακόλουθη σειρά: βόριο (B), κοβάλτιο (Co), χαλκός (Cu), σίδηρος (Fe), μαγγάνιο (Mn), μολυβδαίνιο (Mo) και ψευδάργυρος (Zn), ακολουθούμενα από την ονομασία του ή των αντισταθμιστικών ιόντων τους·</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β)</w:t>
            </w:r>
            <w:r w:rsidRPr="00AC4460">
              <w:rPr>
                <w:b/>
                <w:bCs/>
                <w:i/>
                <w:iCs/>
              </w:rPr>
              <w:tab/>
              <w:t>η ολική περιεκτικότητα σε μικροθρεπτικά συστατικά, ως ποσοστό επί της μάζας του λιπάσματος</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όταν αυτά τα θρεπτικά συστατικά είναι πλήρως υδατοδιαλυτά, μόνον ως περιεκτικότητα σε υδατοδιαλυτό περιεχόμενο·</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όταν το υδατοδιαλυτό περιεχόμενο αυτών των θρεπτικών συστατικών ισούται τουλάχιστον με το ένα τέταρτο της συνολικής περιεκτικότητας αυτών των θρεπτικών συστατικών, ως ολική περιεκτικότητα και περιεκτικότητα σε υδατοδιαλυτό περιεχόμενο· και</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στις υπόλοιπες περιπτώσεις, ως ολική περιεκτικότητα·</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γ)</w:t>
            </w:r>
            <w:r w:rsidRPr="00AC4460">
              <w:rPr>
                <w:b/>
                <w:bCs/>
                <w:i/>
                <w:iCs/>
              </w:rPr>
              <w:tab/>
              <w:t>Όταν το ή τα δηλούμενα μικροθρεπτικά συστατικά βρίσκονται σε μορφή χηλικού συμπλόκου με χηλικούς παράγοντες, ο ακόλουθος προσδιορισμός μετά την ονομασία και το χημικό σύμβολο του μικροθρεπτικού συστατικού:</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«ως χηλικό σύμπλοκο με...», ονομασία ή συντομογραφία του χηλικού παράγοντα και ποσότητα συμπλοκοποιημένου μικροθρεπτικού συστατικού ως ποσοστό κατά μάζα του προϊόντος λίπανσης με σήμανση CE·</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δ)</w:t>
            </w:r>
            <w:r w:rsidRPr="00AC4460">
              <w:rPr>
                <w:b/>
                <w:bCs/>
                <w:i/>
                <w:iCs/>
              </w:rPr>
              <w:tab/>
              <w:t>Όταν το προϊόν λίπανσης με σήμανση CE περιέχει μικροθρεπτικά συστατικά σε μορφή συμπλόκου με συμπλεκτικούς παράγοντες:</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ο ακόλουθος προσδιορισμός μετά την ονομασία και το χημικό σύμβολο του μικροθρεπτικού συστατικού: «ως σύμπλοκο με…», και ποσότητα του συμπλοκοποιημένου μικροθρεπτικού συστατικού ως ποσοστό κατά μάζα του προϊόντος λίπανσης με σήμανση CE· και</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ab/>
              <w:t>ονομασία ή συντομογραφία του συμπλεκτικού παράγοντα.</w:t>
            </w:r>
          </w:p>
        </w:tc>
      </w:tr>
      <w:tr w:rsidR="00E451E4" w:rsidRPr="00B0345A" w:rsidTr="000A61DD">
        <w:trPr>
          <w:jc w:val="center"/>
        </w:trPr>
        <w:tc>
          <w:tcPr>
            <w:tcW w:w="4874" w:type="dxa"/>
          </w:tcPr>
          <w:p w:rsidR="00E451E4" w:rsidRPr="00AC4460" w:rsidRDefault="00E451E4" w:rsidP="000A61DD">
            <w:pPr>
              <w:pStyle w:val="Normal6"/>
              <w:rPr>
                <w:b/>
                <w:bCs/>
                <w:i/>
                <w:iCs/>
                <w:lang w:eastAsia="en-US"/>
              </w:rPr>
            </w:pPr>
          </w:p>
        </w:tc>
        <w:tc>
          <w:tcPr>
            <w:tcW w:w="4876" w:type="dxa"/>
            <w:gridSpan w:val="2"/>
            <w:hideMark/>
          </w:tcPr>
          <w:p w:rsidR="00E451E4" w:rsidRPr="00AC4460" w:rsidRDefault="00E451E4" w:rsidP="000A61DD">
            <w:pPr>
              <w:pStyle w:val="Normal6"/>
              <w:rPr>
                <w:b/>
                <w:bCs/>
                <w:i/>
                <w:iCs/>
              </w:rPr>
            </w:pPr>
            <w:r w:rsidRPr="00AC4460">
              <w:rPr>
                <w:b/>
                <w:bCs/>
                <w:i/>
                <w:iCs/>
              </w:rPr>
              <w:t>ε)</w:t>
            </w:r>
            <w:r w:rsidRPr="00AC4460">
              <w:rPr>
                <w:b/>
                <w:bCs/>
                <w:i/>
                <w:iCs/>
              </w:rPr>
              <w:tab/>
              <w:t>η παρακάτω δήλωση: «Χρησιμοποιείται μόνον σε περίπτωση αναγνωρισμένης ανάγκης. Να μη γίνεται υπέρβαση των ενδεικνυόμενων δόσεων».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3 – σημείο 1 – περίπτωση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w:t>
            </w:r>
            <w:r w:rsidRPr="00AC4460">
              <w:tab/>
            </w:r>
            <w:r w:rsidRPr="00AC4460">
              <w:rPr>
                <w:b/>
                <w:bCs/>
                <w:i/>
                <w:iCs/>
                <w:snapToGrid w:val="0"/>
                <w:szCs w:val="24"/>
              </w:rPr>
              <w:t>Ολική περιεκτικότητα σε άζωτο (N)·</w:t>
            </w:r>
          </w:p>
        </w:tc>
        <w:tc>
          <w:tcPr>
            <w:tcW w:w="4876" w:type="dxa"/>
            <w:hideMark/>
          </w:tcPr>
          <w:p w:rsidR="00E451E4" w:rsidRPr="00AC4460" w:rsidRDefault="00E451E4" w:rsidP="000A61DD">
            <w:pPr>
              <w:pStyle w:val="Normal6"/>
              <w:rPr>
                <w:szCs w:val="24"/>
              </w:rPr>
            </w:pPr>
            <w:r w:rsidRPr="00AC4460">
              <w:rPr>
                <w:b/>
                <w:bCs/>
                <w:i/>
                <w:iCs/>
                <w:snapToGrid w:val="0"/>
                <w:szCs w:val="24"/>
              </w:rPr>
              <w:t>διαγράφεται</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3 – σημείο 1 – περίπτωση 4</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w:t>
            </w:r>
            <w:r w:rsidRPr="00AC4460">
              <w:tab/>
            </w:r>
            <w:r w:rsidRPr="00AC4460">
              <w:rPr>
                <w:b/>
                <w:bCs/>
                <w:i/>
                <w:iCs/>
                <w:snapToGrid w:val="0"/>
                <w:szCs w:val="24"/>
              </w:rPr>
              <w:t>Ολική περιεκτικότητα σε πεντοξείδιο του φωσφόρου (P</w:t>
            </w:r>
            <w:r w:rsidRPr="00AC4460">
              <w:rPr>
                <w:b/>
                <w:bCs/>
                <w:i/>
                <w:iCs/>
                <w:snapToGrid w:val="0"/>
                <w:szCs w:val="24"/>
                <w:vertAlign w:val="subscript"/>
              </w:rPr>
              <w:t>2</w:t>
            </w:r>
            <w:r w:rsidRPr="00AC4460">
              <w:rPr>
                <w:b/>
                <w:bCs/>
                <w:i/>
                <w:iCs/>
                <w:snapToGrid w:val="0"/>
                <w:szCs w:val="24"/>
              </w:rPr>
              <w:t>O</w:t>
            </w:r>
            <w:r w:rsidRPr="00AC4460">
              <w:rPr>
                <w:b/>
                <w:bCs/>
                <w:i/>
                <w:iCs/>
                <w:snapToGrid w:val="0"/>
                <w:szCs w:val="24"/>
                <w:vertAlign w:val="subscript"/>
              </w:rPr>
              <w:t>5</w:t>
            </w:r>
            <w:r w:rsidRPr="00AC4460">
              <w:rPr>
                <w:b/>
                <w:bCs/>
                <w:i/>
                <w:iCs/>
                <w:snapToGrid w:val="0"/>
                <w:szCs w:val="24"/>
              </w:rPr>
              <w:t>) content;</w:t>
            </w:r>
          </w:p>
        </w:tc>
        <w:tc>
          <w:tcPr>
            <w:tcW w:w="4876" w:type="dxa"/>
            <w:hideMark/>
          </w:tcPr>
          <w:p w:rsidR="00E451E4" w:rsidRPr="00AC4460" w:rsidRDefault="00E451E4" w:rsidP="000A61DD">
            <w:pPr>
              <w:pStyle w:val="Normal6"/>
              <w:rPr>
                <w:szCs w:val="24"/>
              </w:rPr>
            </w:pPr>
            <w:r w:rsidRPr="00AC4460">
              <w:rPr>
                <w:b/>
                <w:bCs/>
                <w:i/>
                <w:iCs/>
                <w:snapToGrid w:val="0"/>
                <w:szCs w:val="24"/>
              </w:rPr>
              <w:t>διαγράφεται</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3 – σημείο 1 – περίπτωση 5</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rPr>
                <w:b/>
                <w:i/>
              </w:rPr>
              <w:t>–</w:t>
            </w:r>
            <w:r w:rsidRPr="00AC4460">
              <w:tab/>
            </w:r>
            <w:r w:rsidRPr="00AC4460">
              <w:rPr>
                <w:b/>
                <w:bCs/>
                <w:i/>
                <w:iCs/>
                <w:snapToGrid w:val="0"/>
                <w:szCs w:val="24"/>
              </w:rPr>
              <w:t>Ολικό οξείδιο του καλίου (K</w:t>
            </w:r>
            <w:r w:rsidRPr="00AC4460">
              <w:rPr>
                <w:b/>
                <w:bCs/>
                <w:i/>
                <w:iCs/>
                <w:snapToGrid w:val="0"/>
                <w:szCs w:val="24"/>
                <w:vertAlign w:val="subscript"/>
              </w:rPr>
              <w:t>2</w:t>
            </w:r>
            <w:r w:rsidRPr="00AC4460">
              <w:rPr>
                <w:b/>
                <w:bCs/>
                <w:i/>
                <w:iCs/>
                <w:snapToGrid w:val="0"/>
                <w:szCs w:val="24"/>
              </w:rPr>
              <w:t>O) content;</w:t>
            </w:r>
          </w:p>
        </w:tc>
        <w:tc>
          <w:tcPr>
            <w:tcW w:w="4876" w:type="dxa"/>
            <w:hideMark/>
          </w:tcPr>
          <w:p w:rsidR="00E451E4" w:rsidRPr="00AC4460" w:rsidRDefault="00E451E4" w:rsidP="000A61DD">
            <w:pPr>
              <w:pStyle w:val="Normal6"/>
              <w:rPr>
                <w:szCs w:val="24"/>
              </w:rPr>
            </w:pPr>
            <w:r w:rsidRPr="00AC4460">
              <w:rPr>
                <w:b/>
                <w:bCs/>
                <w:i/>
                <w:iCs/>
                <w:snapToGrid w:val="0"/>
                <w:szCs w:val="24"/>
              </w:rPr>
              <w:t>διαγράφεται</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307</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6 – στοιχείο ε</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ε)</w:t>
            </w:r>
            <w:r w:rsidRPr="00AC4460">
              <w:tab/>
              <w:t>δόση, χρόνος εφαρμογής (στάδιο ανάπτυξης των φυτών) και συχνότητα εφαρμογής·</w:t>
            </w:r>
          </w:p>
        </w:tc>
        <w:tc>
          <w:tcPr>
            <w:tcW w:w="4876" w:type="dxa"/>
          </w:tcPr>
          <w:p w:rsidR="00E451E4" w:rsidRPr="00AC4460" w:rsidRDefault="00E451E4" w:rsidP="000A61DD">
            <w:pPr>
              <w:pStyle w:val="Normal6"/>
              <w:rPr>
                <w:szCs w:val="24"/>
              </w:rPr>
            </w:pPr>
            <w:r w:rsidRPr="00AC4460">
              <w:t>ε)</w:t>
            </w:r>
            <w:r w:rsidRPr="00AC4460">
              <w:tab/>
              <w:t>δόση, χρόνος εφαρμογής (στάδιο ανάπτυξης των φυτών)</w:t>
            </w:r>
            <w:r w:rsidRPr="00AC4460">
              <w:rPr>
                <w:b/>
                <w:i/>
              </w:rPr>
              <w:t>, τοποθέτηση</w:t>
            </w:r>
            <w:r w:rsidRPr="00AC4460">
              <w:t xml:space="preserve"> και συχνότητα εφαρμογής </w:t>
            </w:r>
            <w:r w:rsidRPr="00AC4460">
              <w:rPr>
                <w:b/>
                <w:i/>
              </w:rPr>
              <w:t>(σύμφωνα με τα εμπειρικά στοιχεία που αποδεικνύουν τον βιοδιεγερτικό ισχυρισμό ή ισχυρισμούς)·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308</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2 – ΚΛΠ 6 – στοιχείο στ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στ α)</w:t>
            </w:r>
            <w:r w:rsidRPr="00AC4460">
              <w:rPr>
                <w:b/>
                <w:i/>
              </w:rPr>
              <w:tab/>
              <w:t>δήλωση ότι το προϊόν δεν είναι φυτοπροστατευτικό προϊόν·</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3 – ΚΛΠ 1(Α)</w:t>
      </w:r>
      <w:r>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2438"/>
        <w:gridCol w:w="2438"/>
        <w:gridCol w:w="2438"/>
        <w:gridCol w:w="2438"/>
      </w:tblGrid>
      <w:tr w:rsidR="00E451E4" w:rsidRPr="000226C1" w:rsidTr="000A61DD">
        <w:trPr>
          <w:jc w:val="center"/>
        </w:trPr>
        <w:tc>
          <w:tcPr>
            <w:tcW w:w="9752" w:type="dxa"/>
            <w:gridSpan w:val="4"/>
          </w:tcPr>
          <w:p w:rsidR="00E451E4" w:rsidRPr="00032852" w:rsidRDefault="00E451E4" w:rsidP="000A61DD">
            <w:pPr>
              <w:keepNext/>
              <w:rPr>
                <w:lang w:val="fr-FR"/>
              </w:rPr>
            </w:pPr>
          </w:p>
        </w:tc>
      </w:tr>
      <w:tr w:rsidR="00E451E4" w:rsidRPr="00B0345A" w:rsidTr="000A61DD">
        <w:trPr>
          <w:jc w:val="center"/>
        </w:trPr>
        <w:tc>
          <w:tcPr>
            <w:tcW w:w="4876" w:type="dxa"/>
            <w:gridSpan w:val="2"/>
            <w:hideMark/>
          </w:tcPr>
          <w:p w:rsidR="00E451E4" w:rsidRPr="00AC4460" w:rsidRDefault="00E451E4" w:rsidP="000A61DD">
            <w:pPr>
              <w:pStyle w:val="ColumnHeading"/>
              <w:keepNext/>
            </w:pPr>
            <w:r w:rsidRPr="00AC4460">
              <w:t>Κείμενο που προτείνει η Επιτροπή</w:t>
            </w:r>
          </w:p>
        </w:tc>
        <w:tc>
          <w:tcPr>
            <w:tcW w:w="4876" w:type="dxa"/>
            <w:gridSpan w:val="2"/>
            <w:hideMark/>
          </w:tcPr>
          <w:p w:rsidR="00E451E4" w:rsidRPr="00AC4460" w:rsidRDefault="00E451E4" w:rsidP="000A61DD">
            <w:pPr>
              <w:pStyle w:val="ColumnHeading"/>
              <w:keepNext/>
            </w:pPr>
            <w:r w:rsidRPr="00AC4460">
              <w:t>Τροπολογία</w:t>
            </w:r>
          </w:p>
        </w:tc>
      </w:tr>
      <w:tr w:rsidR="00E451E4" w:rsidRPr="00B0345A" w:rsidTr="000A61DD">
        <w:trPr>
          <w:trHeight w:val="40"/>
          <w:jc w:val="center"/>
        </w:trPr>
        <w:tc>
          <w:tcPr>
            <w:tcW w:w="2438" w:type="dxa"/>
            <w:tcBorders>
              <w:bottom w:val="single" w:sz="4" w:space="0" w:color="auto"/>
              <w:right w:val="single" w:sz="4" w:space="0" w:color="auto"/>
            </w:tcBorders>
          </w:tcPr>
          <w:p w:rsidR="00E451E4" w:rsidRPr="00B0345A" w:rsidRDefault="00E451E4" w:rsidP="000A61DD">
            <w:pPr>
              <w:pStyle w:val="Normal6"/>
            </w:pPr>
          </w:p>
        </w:tc>
        <w:tc>
          <w:tcPr>
            <w:tcW w:w="2438" w:type="dxa"/>
            <w:tcBorders>
              <w:left w:val="single" w:sz="4" w:space="0" w:color="auto"/>
              <w:bottom w:val="single" w:sz="4" w:space="0" w:color="auto"/>
            </w:tcBorders>
          </w:tcPr>
          <w:p w:rsidR="00E451E4" w:rsidRPr="00B0345A" w:rsidRDefault="00E451E4" w:rsidP="000A61DD">
            <w:pPr>
              <w:pStyle w:val="Normal6"/>
            </w:pPr>
            <w:r>
              <w:t>Επιτρεπόμενη ανοχή για τη δηλούμενη περιεκτικότητα σε θρεπτικά συστατικά και άλλες δηλούμενες παραμέτρους</w:t>
            </w:r>
          </w:p>
        </w:tc>
        <w:tc>
          <w:tcPr>
            <w:tcW w:w="2438" w:type="dxa"/>
            <w:tcBorders>
              <w:left w:val="nil"/>
              <w:bottom w:val="single" w:sz="4" w:space="0" w:color="auto"/>
              <w:right w:val="single" w:sz="4" w:space="0" w:color="auto"/>
            </w:tcBorders>
          </w:tcPr>
          <w:p w:rsidR="00E451E4" w:rsidRPr="00B0345A" w:rsidRDefault="00E451E4" w:rsidP="000A61DD">
            <w:pPr>
              <w:pStyle w:val="Normal6"/>
              <w:rPr>
                <w:szCs w:val="24"/>
              </w:rPr>
            </w:pPr>
          </w:p>
        </w:tc>
        <w:tc>
          <w:tcPr>
            <w:tcW w:w="2438" w:type="dxa"/>
            <w:tcBorders>
              <w:left w:val="single" w:sz="4" w:space="0" w:color="auto"/>
              <w:bottom w:val="single" w:sz="4" w:space="0" w:color="auto"/>
            </w:tcBorders>
          </w:tcPr>
          <w:p w:rsidR="00E451E4" w:rsidRPr="00B0345A" w:rsidRDefault="00E451E4" w:rsidP="000A61DD">
            <w:pPr>
              <w:pStyle w:val="Normal6"/>
              <w:rPr>
                <w:szCs w:val="24"/>
              </w:rPr>
            </w:pPr>
            <w:r>
              <w:t>Επιτρεπόμενη ανοχή για τη δηλούμενη περιεκτικότητα σε θρεπτικά συστατικά και άλλες δηλούμενες παραμέτρους</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Οργανικός άνθρακας (C)</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rPr>
                <w:i/>
                <w:szCs w:val="24"/>
              </w:rPr>
              <w:t xml:space="preserve">± </w:t>
            </w:r>
            <w:r>
              <w:rPr>
                <w:b/>
                <w:i/>
                <w:szCs w:val="24"/>
              </w:rPr>
              <w:t>20</w:t>
            </w:r>
            <w:r>
              <w:t xml:space="preserve"> % σχετική απόκλιση από τη δηλούμενη τιμή, μέχρι μια μέγιστη απόκλιση 2,0 ποσοστιαίων μονάδων σε απόλυτες τιμές</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Οργανικός άνθρακας (C)</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rPr>
                <w:i/>
                <w:szCs w:val="24"/>
              </w:rPr>
              <w:t xml:space="preserve">± </w:t>
            </w:r>
            <w:r>
              <w:rPr>
                <w:b/>
                <w:i/>
                <w:szCs w:val="24"/>
              </w:rPr>
              <w:t>15</w:t>
            </w:r>
            <w:r>
              <w:t xml:space="preserve"> % σχετική απόκλιση από τη δηλούμενη τιμή, μέχρι μια μέγιστη απόκλιση 2,0 ποσοστιαίων μονάδων σε απόλυτες τιμές</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Περιεκτικότητα σε ξηρά ουσία</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t>± 5,0 ποσοστιαίες μονάδες σε απόλυτες τιμές</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Περιεκτικότητα σε ξηρά ουσία</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5,0 ποσοστιαίες μονάδες σε απόλυτες τιμές</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 άζωτο (N)</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rPr>
                <w:b/>
                <w:i/>
                <w:szCs w:val="24"/>
              </w:rPr>
              <w:t>± 50 %</w:t>
            </w:r>
            <w:r>
              <w:t xml:space="preserve"> σχετική απόκλιση από τη δηλούμενη τιμή, μέχρι μια μέγιστη απόκλιση 1,0 ποσοστιαίας μονάδας σε απόλυτες τιμές Ολικός χαλκός (Cu)</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Ολικό άζωτο (N)</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rPr>
                <w:b/>
                <w:i/>
                <w:szCs w:val="24"/>
              </w:rPr>
              <w:t>± 15 %</w:t>
            </w:r>
            <w:r>
              <w:t xml:space="preserve"> σχετική απόκλιση από τη δηλούμενη τιμή, μέχρι μια μέγιστη απόκλιση 1,0 ποσοστιαίας μονάδας σε απόλυτες τιμές Ολικός χαλκός (Cu)</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Οργανικό άζωτο (N)</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rPr>
                <w:b/>
                <w:i/>
                <w:szCs w:val="24"/>
              </w:rPr>
              <w:t>± 50 %</w:t>
            </w:r>
            <w:r>
              <w:t xml:space="preserve"> σχετική απόκλιση από τη δηλούμενη τιμή, μέχρι μια μέγιστη απόκλιση 1,0 ποσοστιαίας μονάδας σε απόλυτες τιμές Ολικός χαλκός (Cu)</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Οργανικό άζωτο (N)</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rPr>
                <w:b/>
                <w:i/>
                <w:szCs w:val="24"/>
              </w:rPr>
              <w:t>± 15 %</w:t>
            </w:r>
            <w:r>
              <w:t xml:space="preserve"> σχετική απόκλιση από τη δηλούμενη τιμή, μέχρι μια μέγιστη απόκλιση 1,0 ποσοστιαίας μονάδας σε απόλυτες τιμές Ολικός χαλκός (Cu)</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Ολική περιεκτικότητα σε πεντοξείδιο του φωσφόρου (P</w:t>
            </w:r>
            <w:r>
              <w:rPr>
                <w:szCs w:val="24"/>
                <w:vertAlign w:val="subscript"/>
              </w:rPr>
              <w:t>2</w:t>
            </w:r>
            <w:r>
              <w:t>O</w:t>
            </w:r>
            <w:r>
              <w:rPr>
                <w:szCs w:val="24"/>
                <w:vertAlign w:val="subscript"/>
              </w:rPr>
              <w:t>5</w:t>
            </w:r>
            <w:r>
              <w:t>)</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rPr>
                <w:b/>
                <w:i/>
                <w:szCs w:val="24"/>
              </w:rPr>
              <w:t>± 50 %</w:t>
            </w:r>
            <w:r>
              <w:t xml:space="preserve"> σχετική απόκλιση από τη δηλούμενη τιμή, μέχρι μια μέγιστη απόκλιση 1,0 ποσοστιαίας μονάδας σε απόλυτες τιμές Ολικός χαλκός (Cu)</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Ολική περιεκτικότητα σε πεντοξείδιο του φωσφόρου (P</w:t>
            </w:r>
            <w:r>
              <w:rPr>
                <w:szCs w:val="24"/>
                <w:vertAlign w:val="subscript"/>
              </w:rPr>
              <w:t>2</w:t>
            </w:r>
            <w:r>
              <w:t>O</w:t>
            </w:r>
            <w:r>
              <w:rPr>
                <w:szCs w:val="24"/>
                <w:vertAlign w:val="subscript"/>
              </w:rPr>
              <w:t>5</w:t>
            </w:r>
            <w:r>
              <w:t>)</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rPr>
                <w:b/>
                <w:i/>
                <w:szCs w:val="24"/>
              </w:rPr>
              <w:t>± 15 %</w:t>
            </w:r>
            <w:r>
              <w:t xml:space="preserve"> σχετική απόκλιση από τη δηλούμενη τιμή, μέχρι μια μέγιστη απόκλιση 1,0 ποσοστιαίας μονάδας σε απόλυτες τιμές Ολικός χαλκός (Cu)</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 οξείδιο του καλίου (K</w:t>
            </w:r>
            <w:r>
              <w:rPr>
                <w:szCs w:val="24"/>
                <w:vertAlign w:val="subscript"/>
              </w:rPr>
              <w:t>2</w:t>
            </w:r>
            <w:r>
              <w:t>O)</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rPr>
                <w:b/>
                <w:i/>
                <w:szCs w:val="24"/>
              </w:rPr>
              <w:t>± 50 %</w:t>
            </w:r>
            <w:r>
              <w:t xml:space="preserve"> σχετική απόκλιση από τη δηλούμενη τιμή, μέχρι μια μέγιστη απόκλιση 1,0 ποσοστιαίας μονάδας σε απόλυτες τιμές Ολικός χαλκός (Cu)</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Ολικό οξείδιο του καλίου (K</w:t>
            </w:r>
            <w:r>
              <w:rPr>
                <w:szCs w:val="24"/>
                <w:vertAlign w:val="subscript"/>
              </w:rPr>
              <w:t>2</w:t>
            </w:r>
            <w:r>
              <w:t>O)</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rPr>
                <w:b/>
                <w:i/>
                <w:szCs w:val="24"/>
              </w:rPr>
              <w:t>± 15 %</w:t>
            </w:r>
            <w:r>
              <w:t xml:space="preserve"> σχετική απόκλιση από τη δηλούμενη τιμή, μέχρι μια μέγιστη απόκλιση 1,0 ποσοστιαίας μονάδας σε απόλυτες τιμές Ολικός χαλκός (Cu)</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 και υδατοδιαλυτό οξείδιο του μαγνησίου, οξείδιο του ασβεστίου, τριοξείδιο του θείου ή οξείδιο του νατρίου</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t>± 25 % της δηλούμενης περιεκτικότητας αυτών των θρεπτικών συστατικών, μέχρι μια μέγιστη απόκλιση 1,5 ποσοστιαίων μονάδων σε απόλυτες τιμές.</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Ολικό και υδατοδιαλυτό οξείδιο του μαγνησίου, οξείδιο του ασβεστίου, τριοξείδιο του θείου ή οξείδιο του νατρίου</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25 % της δηλούμενης περιεκτικότητας αυτών των θρεπτικών συστατικών, μέχρι μια μέγιστη απόκλιση 1,5 ποσοστιαίων μονάδων σε απόλυτες τιμές.</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Ολικός χαλκός (Cu)</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t>± 50 % σχετική απόκλιση από τη δηλούμενη τιμή, μέχρι μια μέγιστη απόκλιση 2,5 ποσοστιαίας μονάδας σε απόλυτες τιμές Ολικός χαλκός (Cu)</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Ολικός χαλκός (Cu)</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50 % σχετική απόκλιση από τη δηλούμενη τιμή, μέχρι μια μέγιστη απόκλιση 2,5 ποσοστιαίας μονάδας σε απόλυτες τιμές Ολικός χαλκός (Cu)</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Ολικός ψευδάργυρος (Zn)</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t>± 50 % σχετική απόκλιση από τη δηλούμενη τιμή, μέχρι μια μέγιστη απόκλιση 2,0 ποσοστιαίας μονάδας σε απόλυτες τιμές Ολικός χαλκός (Cu)</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Ολικός ψευδάργυρος (Zn)</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50 % σχετική απόκλιση από τη δηλούμενη τιμή, μέχρι μια μέγιστη απόκλιση 2,0 ποσοστιαίας μονάδας σε απόλυτες τιμές Ολικός χαλκός (Cu)</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pPr>
            <w:r>
              <w:t>Ποσότητα</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pPr>
            <w:r>
              <w:t>- 5 % σχετική απόκλιση από τη δηλούμενη τιμή</w:t>
            </w: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szCs w:val="24"/>
              </w:rPr>
            </w:pPr>
            <w:r>
              <w:t>Ποσότητα</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- 5 % σχετική απόκλιση από τη δηλούμενη τιμή</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rPr>
                <w:b/>
                <w:bCs/>
                <w:i/>
                <w:iCs/>
                <w:lang w:eastAsia="en-US" w:bidi="ar-LY"/>
              </w:rPr>
            </w:pP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lang w:eastAsia="en-US" w:bidi="ar-LY"/>
              </w:rPr>
            </w:pP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b/>
                <w:bCs/>
                <w:i/>
                <w:iCs/>
              </w:rPr>
            </w:pPr>
            <w:r>
              <w:rPr>
                <w:b/>
                <w:bCs/>
                <w:i/>
                <w:iCs/>
                <w:szCs w:val="24"/>
              </w:rPr>
              <w:t>Δηλούμενες μορφές αζώτου, φωσφόρου και καλίου</w:t>
            </w: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szCs w:val="24"/>
              </w:rPr>
              <w:t>Διμερή: μέγιστη ανοχή, σε απόλυτες τιμές, 1,1 αζώτου (N) και 0,5 οργανικού αζώτου (N), 1,1 πεντοξειδίου του φωσφόρου (P</w:t>
            </w:r>
            <w:r>
              <w:rPr>
                <w:b/>
                <w:bCs/>
                <w:i/>
                <w:iCs/>
                <w:szCs w:val="24"/>
                <w:vertAlign w:val="subscript"/>
              </w:rPr>
              <w:t>2</w:t>
            </w:r>
            <w:r>
              <w:rPr>
                <w:b/>
                <w:bCs/>
                <w:i/>
                <w:iCs/>
                <w:szCs w:val="24"/>
              </w:rPr>
              <w:t>O</w:t>
            </w:r>
            <w:r>
              <w:rPr>
                <w:b/>
                <w:bCs/>
                <w:i/>
                <w:iCs/>
                <w:szCs w:val="24"/>
                <w:vertAlign w:val="subscript"/>
              </w:rPr>
              <w:t>5</w:t>
            </w:r>
            <w:r>
              <w:rPr>
                <w:b/>
                <w:bCs/>
                <w:i/>
                <w:iCs/>
                <w:szCs w:val="24"/>
              </w:rPr>
              <w:t>), 1,1 ολικού οξειδίου του καλίου (K</w:t>
            </w:r>
            <w:r>
              <w:rPr>
                <w:b/>
                <w:bCs/>
                <w:i/>
                <w:iCs/>
                <w:szCs w:val="24"/>
                <w:vertAlign w:val="subscript"/>
              </w:rPr>
              <w:t>2</w:t>
            </w:r>
            <w:r>
              <w:rPr>
                <w:b/>
                <w:bCs/>
                <w:i/>
                <w:iCs/>
                <w:szCs w:val="24"/>
              </w:rPr>
              <w:t>O) και 1,5 για το άθροισμα δύο θρεπτικών συστατικών.</w:t>
            </w:r>
          </w:p>
        </w:tc>
      </w:tr>
      <w:tr w:rsidR="00E451E4" w:rsidRPr="00B0345A" w:rsidTr="000A61DD">
        <w:trPr>
          <w:trHeight w:val="35"/>
          <w:jc w:val="center"/>
        </w:trPr>
        <w:tc>
          <w:tcPr>
            <w:tcW w:w="2438" w:type="dxa"/>
            <w:tcBorders>
              <w:top w:val="single" w:sz="4" w:space="0" w:color="auto"/>
              <w:bottom w:val="single" w:sz="4" w:space="0" w:color="auto"/>
              <w:right w:val="single" w:sz="4" w:space="0" w:color="auto"/>
            </w:tcBorders>
          </w:tcPr>
          <w:p w:rsidR="00E451E4" w:rsidRPr="00B0345A" w:rsidRDefault="00E451E4" w:rsidP="000A61DD">
            <w:pPr>
              <w:pStyle w:val="Normal6"/>
              <w:rPr>
                <w:b/>
                <w:bCs/>
                <w:i/>
                <w:iCs/>
                <w:lang w:eastAsia="en-US" w:bidi="ar-LY"/>
              </w:rPr>
            </w:pP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lang w:eastAsia="en-US" w:bidi="ar-LY"/>
              </w:rPr>
            </w:pPr>
          </w:p>
        </w:tc>
        <w:tc>
          <w:tcPr>
            <w:tcW w:w="2438" w:type="dxa"/>
            <w:tcBorders>
              <w:top w:val="single" w:sz="4" w:space="0" w:color="auto"/>
              <w:left w:val="nil"/>
              <w:bottom w:val="single" w:sz="4" w:space="0" w:color="auto"/>
              <w:right w:val="single" w:sz="4" w:space="0" w:color="auto"/>
            </w:tcBorders>
          </w:tcPr>
          <w:p w:rsidR="00E451E4" w:rsidRPr="00B0345A" w:rsidRDefault="00E451E4" w:rsidP="000A61DD">
            <w:pPr>
              <w:pStyle w:val="Normal6"/>
              <w:rPr>
                <w:b/>
                <w:bCs/>
                <w:i/>
                <w:iCs/>
                <w:lang w:eastAsia="en-US" w:bidi="ar-LY"/>
              </w:rPr>
            </w:pPr>
          </w:p>
        </w:tc>
        <w:tc>
          <w:tcPr>
            <w:tcW w:w="2438" w:type="dxa"/>
            <w:tcBorders>
              <w:top w:val="single" w:sz="4" w:space="0" w:color="auto"/>
              <w:left w:val="single" w:sz="4" w:space="0" w:color="auto"/>
              <w:bottom w:val="single" w:sz="4" w:space="0" w:color="auto"/>
            </w:tcBorders>
          </w:tcPr>
          <w:p w:rsidR="00E451E4" w:rsidRPr="00B0345A" w:rsidRDefault="00E451E4" w:rsidP="000A61DD">
            <w:pPr>
              <w:pStyle w:val="Normal6"/>
              <w:rPr>
                <w:b/>
                <w:bCs/>
                <w:i/>
                <w:iCs/>
              </w:rPr>
            </w:pPr>
            <w:r>
              <w:rPr>
                <w:b/>
                <w:bCs/>
                <w:i/>
                <w:iCs/>
                <w:szCs w:val="24"/>
              </w:rPr>
              <w:t xml:space="preserve">Τριμερή: </w:t>
            </w:r>
            <w:r>
              <w:rPr>
                <w:b/>
                <w:bCs/>
                <w:i/>
                <w:iCs/>
              </w:rPr>
              <w:t>μέγιστη ανοχή, σε απόλυτες τιμές, 1,1 αζώτου (N) και 0,5 οργανικού αζώτου (N), 1,1 πεντοξειδίου του φωσφόρου (P</w:t>
            </w:r>
            <w:r>
              <w:rPr>
                <w:b/>
                <w:bCs/>
                <w:i/>
                <w:iCs/>
                <w:vertAlign w:val="subscript"/>
              </w:rPr>
              <w:t>2</w:t>
            </w:r>
            <w:r>
              <w:rPr>
                <w:b/>
                <w:bCs/>
                <w:i/>
                <w:iCs/>
              </w:rPr>
              <w:t>O</w:t>
            </w:r>
            <w:r>
              <w:rPr>
                <w:b/>
                <w:bCs/>
                <w:i/>
                <w:iCs/>
                <w:vertAlign w:val="subscript"/>
              </w:rPr>
              <w:t>5</w:t>
            </w:r>
            <w:r>
              <w:rPr>
                <w:b/>
                <w:bCs/>
                <w:i/>
                <w:iCs/>
              </w:rPr>
              <w:t>), 1,1 ολικού οξειδίου του καλίου (K</w:t>
            </w:r>
            <w:r>
              <w:rPr>
                <w:b/>
                <w:bCs/>
                <w:i/>
                <w:iCs/>
                <w:vertAlign w:val="subscript"/>
              </w:rPr>
              <w:t>2</w:t>
            </w:r>
            <w:r>
              <w:rPr>
                <w:b/>
                <w:bCs/>
                <w:i/>
                <w:iCs/>
              </w:rPr>
              <w:t>O) και 1,9 για το άθροισμα τριών θρεπτικών συστατικών.</w:t>
            </w:r>
          </w:p>
        </w:tc>
      </w:tr>
      <w:tr w:rsidR="00E451E4" w:rsidRPr="00B0345A" w:rsidTr="000A61DD">
        <w:trPr>
          <w:trHeight w:val="35"/>
          <w:jc w:val="center"/>
        </w:trPr>
        <w:tc>
          <w:tcPr>
            <w:tcW w:w="2438" w:type="dxa"/>
            <w:tcBorders>
              <w:top w:val="single" w:sz="4" w:space="0" w:color="auto"/>
              <w:right w:val="single" w:sz="4" w:space="0" w:color="auto"/>
            </w:tcBorders>
          </w:tcPr>
          <w:p w:rsidR="00E451E4" w:rsidRPr="00B0345A" w:rsidRDefault="00E451E4" w:rsidP="000A61DD">
            <w:pPr>
              <w:pStyle w:val="Normal6"/>
              <w:rPr>
                <w:lang w:eastAsia="en-US" w:bidi="ar-LY"/>
              </w:rPr>
            </w:pPr>
          </w:p>
        </w:tc>
        <w:tc>
          <w:tcPr>
            <w:tcW w:w="2438" w:type="dxa"/>
            <w:tcBorders>
              <w:top w:val="single" w:sz="4" w:space="0" w:color="auto"/>
              <w:left w:val="single" w:sz="4" w:space="0" w:color="auto"/>
            </w:tcBorders>
          </w:tcPr>
          <w:p w:rsidR="00E451E4" w:rsidRPr="00B0345A" w:rsidRDefault="00E451E4" w:rsidP="000A61DD">
            <w:pPr>
              <w:pStyle w:val="Normal6"/>
              <w:rPr>
                <w:lang w:eastAsia="en-US" w:bidi="ar-LY"/>
              </w:rPr>
            </w:pPr>
          </w:p>
        </w:tc>
        <w:tc>
          <w:tcPr>
            <w:tcW w:w="2438" w:type="dxa"/>
            <w:tcBorders>
              <w:top w:val="single" w:sz="4" w:space="0" w:color="auto"/>
              <w:left w:val="nil"/>
              <w:right w:val="single" w:sz="4" w:space="0" w:color="auto"/>
            </w:tcBorders>
          </w:tcPr>
          <w:p w:rsidR="00E451E4" w:rsidRPr="00B0345A" w:rsidRDefault="00E451E4" w:rsidP="000A61DD">
            <w:pPr>
              <w:pStyle w:val="Normal6"/>
              <w:rPr>
                <w:lang w:eastAsia="en-US" w:bidi="ar-LY"/>
              </w:rPr>
            </w:pPr>
          </w:p>
        </w:tc>
        <w:tc>
          <w:tcPr>
            <w:tcW w:w="2438" w:type="dxa"/>
            <w:tcBorders>
              <w:top w:val="single" w:sz="4" w:space="0" w:color="auto"/>
              <w:left w:val="single" w:sz="4" w:space="0" w:color="auto"/>
            </w:tcBorders>
          </w:tcPr>
          <w:p w:rsidR="00E451E4" w:rsidRPr="00B0345A" w:rsidRDefault="00E451E4" w:rsidP="000A61DD">
            <w:pPr>
              <w:pStyle w:val="Normal6"/>
            </w:pPr>
            <w:r>
              <w:rPr>
                <w:b/>
                <w:i/>
                <w:szCs w:val="24"/>
              </w:rPr>
              <w:t>± 10 % της συνολικής δηλούμενης περιεκτικότητας κάθε θρεπτικού συστατικού, μέχρι μια μέγιστη απόκλιση 2 ποσοστιαίων μονάδων σε απόλυτες τιμές.</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en-GB"/>
        </w:rPr>
        <w:t>&lt;Article&gt;</w:t>
      </w:r>
      <w:r w:rsidRPr="00AC4460">
        <w:t xml:space="preserve"> Παράρτημα III – μέρος 3 – ΚΛΠ 1(Β) – πίνακας 1</w:t>
      </w:r>
      <w:r>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1051"/>
        <w:gridCol w:w="1276"/>
        <w:gridCol w:w="1134"/>
        <w:gridCol w:w="1276"/>
        <w:gridCol w:w="1134"/>
        <w:gridCol w:w="1134"/>
        <w:gridCol w:w="2747"/>
      </w:tblGrid>
      <w:tr w:rsidR="00E451E4" w:rsidRPr="000226C1" w:rsidTr="000A61DD">
        <w:trPr>
          <w:jc w:val="center"/>
        </w:trPr>
        <w:tc>
          <w:tcPr>
            <w:tcW w:w="9752" w:type="dxa"/>
            <w:gridSpan w:val="7"/>
          </w:tcPr>
          <w:p w:rsidR="00E451E4" w:rsidRPr="00032852" w:rsidRDefault="00E451E4" w:rsidP="000A61DD">
            <w:pPr>
              <w:keepNext/>
              <w:rPr>
                <w:lang w:val="fr-FR"/>
              </w:rPr>
            </w:pPr>
          </w:p>
        </w:tc>
      </w:tr>
      <w:tr w:rsidR="00E451E4" w:rsidRPr="00B0345A" w:rsidTr="000A61DD">
        <w:trPr>
          <w:jc w:val="center"/>
        </w:trPr>
        <w:tc>
          <w:tcPr>
            <w:tcW w:w="9752" w:type="dxa"/>
            <w:gridSpan w:val="7"/>
            <w:hideMark/>
          </w:tcPr>
          <w:p w:rsidR="00E451E4" w:rsidRPr="00B0345A" w:rsidRDefault="00E451E4" w:rsidP="000A61DD">
            <w:pPr>
              <w:pStyle w:val="ColumnHeading"/>
              <w:keepNext/>
            </w:pPr>
            <w:r>
              <w:t>Κείμενο που προτείνει η Επιτροπή</w:t>
            </w:r>
          </w:p>
        </w:tc>
      </w:tr>
      <w:tr w:rsidR="00E451E4" w:rsidRPr="00B0345A" w:rsidTr="000A61DD">
        <w:trPr>
          <w:jc w:val="center"/>
        </w:trPr>
        <w:tc>
          <w:tcPr>
            <w:tcW w:w="9752" w:type="dxa"/>
            <w:gridSpan w:val="7"/>
            <w:tcBorders>
              <w:bottom w:val="single" w:sz="4" w:space="0" w:color="auto"/>
            </w:tcBorders>
          </w:tcPr>
          <w:p w:rsidR="00E451E4" w:rsidRPr="00B0345A" w:rsidRDefault="00E451E4" w:rsidP="000A61DD">
            <w:pPr>
              <w:pStyle w:val="Normal6"/>
            </w:pPr>
            <w:r>
              <w:t>Επιτρεπόμενο όριο ανοχής για τη δηλούμενη περιεκτικότητα σε μορφές ανόργανων μακροθρεπτικών συστατικών</w:t>
            </w:r>
          </w:p>
        </w:tc>
      </w:tr>
      <w:tr w:rsidR="00E451E4" w:rsidRPr="00B0345A" w:rsidTr="000A61DD">
        <w:trPr>
          <w:jc w:val="center"/>
        </w:trPr>
        <w:tc>
          <w:tcPr>
            <w:tcW w:w="1051" w:type="dxa"/>
            <w:tcBorders>
              <w:top w:val="single" w:sz="4" w:space="0" w:color="auto"/>
              <w:bottom w:val="single" w:sz="4" w:space="0" w:color="auto"/>
              <w:right w:val="single" w:sz="4" w:space="0" w:color="auto"/>
            </w:tcBorders>
          </w:tcPr>
          <w:p w:rsidR="00E451E4" w:rsidRPr="00B0345A" w:rsidRDefault="00E451E4" w:rsidP="000A61DD">
            <w:pPr>
              <w:pStyle w:val="Normal6"/>
            </w:pPr>
            <w:r>
              <w:t>N</w:t>
            </w:r>
          </w:p>
        </w:tc>
        <w:tc>
          <w:tcPr>
            <w:tcW w:w="1276"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P</w:t>
            </w:r>
            <w:r>
              <w:rPr>
                <w:vertAlign w:val="subscript"/>
              </w:rPr>
              <w:t>2</w:t>
            </w:r>
            <w:r>
              <w:t>O</w:t>
            </w:r>
            <w:r>
              <w:rPr>
                <w:vertAlign w:val="subscript"/>
              </w:rPr>
              <w:t>5</w:t>
            </w:r>
          </w:p>
        </w:tc>
        <w:tc>
          <w:tcPr>
            <w:tcW w:w="11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K</w:t>
            </w:r>
            <w:r>
              <w:rPr>
                <w:vertAlign w:val="subscript"/>
              </w:rPr>
              <w:t>2</w:t>
            </w:r>
            <w:r>
              <w:t>O</w:t>
            </w:r>
          </w:p>
        </w:tc>
        <w:tc>
          <w:tcPr>
            <w:tcW w:w="1276"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MgO</w:t>
            </w:r>
          </w:p>
        </w:tc>
        <w:tc>
          <w:tcPr>
            <w:tcW w:w="11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CaO</w:t>
            </w:r>
          </w:p>
        </w:tc>
        <w:tc>
          <w:tcPr>
            <w:tcW w:w="11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SO</w:t>
            </w:r>
            <w:r>
              <w:rPr>
                <w:vertAlign w:val="subscript"/>
              </w:rPr>
              <w:t>3</w:t>
            </w:r>
          </w:p>
        </w:tc>
        <w:tc>
          <w:tcPr>
            <w:tcW w:w="2747" w:type="dxa"/>
            <w:tcBorders>
              <w:top w:val="single" w:sz="4" w:space="0" w:color="auto"/>
              <w:left w:val="single" w:sz="4" w:space="0" w:color="auto"/>
              <w:bottom w:val="single" w:sz="4" w:space="0" w:color="auto"/>
            </w:tcBorders>
          </w:tcPr>
          <w:p w:rsidR="00E451E4" w:rsidRPr="00B0345A" w:rsidRDefault="00E451E4" w:rsidP="000A61DD">
            <w:pPr>
              <w:pStyle w:val="Normal6"/>
            </w:pPr>
            <w:r>
              <w:t>Na</w:t>
            </w:r>
            <w:r>
              <w:rPr>
                <w:vertAlign w:val="subscript"/>
              </w:rPr>
              <w:t>2</w:t>
            </w:r>
            <w:r>
              <w:t>O</w:t>
            </w:r>
          </w:p>
        </w:tc>
      </w:tr>
      <w:tr w:rsidR="00E451E4" w:rsidRPr="00B0345A" w:rsidTr="000A61DD">
        <w:trPr>
          <w:jc w:val="center"/>
        </w:trPr>
        <w:tc>
          <w:tcPr>
            <w:tcW w:w="3461" w:type="dxa"/>
            <w:gridSpan w:val="3"/>
            <w:tcBorders>
              <w:top w:val="single" w:sz="4" w:space="0" w:color="auto"/>
              <w:right w:val="single" w:sz="4" w:space="0" w:color="auto"/>
            </w:tcBorders>
          </w:tcPr>
          <w:p w:rsidR="00E451E4" w:rsidRPr="00B0345A" w:rsidRDefault="00E451E4" w:rsidP="000A61DD">
            <w:pPr>
              <w:pStyle w:val="Normal6"/>
            </w:pPr>
            <w:r>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c>
          <w:tcPr>
            <w:tcW w:w="3544" w:type="dxa"/>
            <w:gridSpan w:val="3"/>
            <w:tcBorders>
              <w:top w:val="single" w:sz="4" w:space="0" w:color="auto"/>
              <w:left w:val="single" w:sz="4" w:space="0" w:color="auto"/>
              <w:right w:val="single" w:sz="4" w:space="0" w:color="auto"/>
            </w:tcBorders>
          </w:tcPr>
          <w:p w:rsidR="00E451E4" w:rsidRPr="00B0345A" w:rsidRDefault="00E451E4" w:rsidP="000A61DD">
            <w:pPr>
              <w:pStyle w:val="Normal6"/>
            </w:pPr>
            <w:r>
              <w:rPr>
                <w:b/>
                <w:i/>
              </w:rPr>
              <w:t>± 25 %</w:t>
            </w:r>
            <w:r>
              <w:t xml:space="preserve"> της δηλούμενης περιεκτικότητας αυτών των θρεπτικών συστατικών, μέχρι μια μέγιστη απόκλιση </w:t>
            </w:r>
            <w:r>
              <w:rPr>
                <w:b/>
                <w:i/>
              </w:rPr>
              <w:t>1,5</w:t>
            </w:r>
            <w:r>
              <w:t xml:space="preserve"> ποσοστιαίων μονάδων σε απόλυτες τιμές.</w:t>
            </w:r>
          </w:p>
        </w:tc>
        <w:tc>
          <w:tcPr>
            <w:tcW w:w="2747" w:type="dxa"/>
            <w:tcBorders>
              <w:top w:val="single" w:sz="4" w:space="0" w:color="auto"/>
              <w:left w:val="single" w:sz="4" w:space="0" w:color="auto"/>
            </w:tcBorders>
          </w:tcPr>
          <w:p w:rsidR="00E451E4" w:rsidRPr="00B0345A" w:rsidRDefault="00E451E4" w:rsidP="000A61DD">
            <w:pPr>
              <w:pStyle w:val="Normal6"/>
            </w:pPr>
            <w:r>
              <w:t>± 25 % της δηλούμενης περιεκτικότητας, μέχρι μια μέγιστη απόκλιση 0,9 ποσοστιαίων μονάδων σε απόλυτες τιμές</w:t>
            </w:r>
          </w:p>
        </w:tc>
      </w:tr>
      <w:tr w:rsidR="00E451E4" w:rsidRPr="00B0345A" w:rsidTr="000A61DD">
        <w:trPr>
          <w:jc w:val="center"/>
        </w:trPr>
        <w:tc>
          <w:tcPr>
            <w:tcW w:w="9752" w:type="dxa"/>
            <w:gridSpan w:val="7"/>
          </w:tcPr>
          <w:p w:rsidR="00E451E4" w:rsidRPr="00B0345A" w:rsidRDefault="00E451E4" w:rsidP="000A61DD">
            <w:pPr>
              <w:pStyle w:val="ColumnHeading"/>
              <w:rPr>
                <w:szCs w:val="24"/>
              </w:rPr>
            </w:pPr>
            <w:r>
              <w:t>Τροπολογία</w:t>
            </w:r>
          </w:p>
        </w:tc>
      </w:tr>
      <w:tr w:rsidR="00E451E4" w:rsidRPr="00B0345A" w:rsidTr="000A61DD">
        <w:trPr>
          <w:jc w:val="center"/>
        </w:trPr>
        <w:tc>
          <w:tcPr>
            <w:tcW w:w="9752" w:type="dxa"/>
            <w:gridSpan w:val="7"/>
            <w:tcBorders>
              <w:bottom w:val="single" w:sz="4" w:space="0" w:color="auto"/>
            </w:tcBorders>
          </w:tcPr>
          <w:p w:rsidR="00E451E4" w:rsidRPr="00B0345A" w:rsidRDefault="00E451E4" w:rsidP="000A61DD">
            <w:pPr>
              <w:pStyle w:val="Normal6"/>
            </w:pPr>
            <w:r>
              <w:t>Επιτρεπόμενο όριο ανοχής για τη δηλούμενη περιεκτικότητα σε μορφές ανόργανων μακροθρεπτικών συστατικών</w:t>
            </w:r>
          </w:p>
        </w:tc>
      </w:tr>
      <w:tr w:rsidR="00E451E4" w:rsidRPr="00B0345A" w:rsidTr="000A61DD">
        <w:trPr>
          <w:jc w:val="center"/>
        </w:trPr>
        <w:tc>
          <w:tcPr>
            <w:tcW w:w="1051" w:type="dxa"/>
            <w:tcBorders>
              <w:right w:val="single" w:sz="4" w:space="0" w:color="auto"/>
            </w:tcBorders>
          </w:tcPr>
          <w:p w:rsidR="00E451E4" w:rsidRPr="00B0345A" w:rsidRDefault="00E451E4" w:rsidP="000A61DD">
            <w:pPr>
              <w:pStyle w:val="Normal6"/>
            </w:pPr>
            <w:r>
              <w:t>N</w:t>
            </w:r>
          </w:p>
        </w:tc>
        <w:tc>
          <w:tcPr>
            <w:tcW w:w="1276" w:type="dxa"/>
            <w:tcBorders>
              <w:left w:val="single" w:sz="4" w:space="0" w:color="auto"/>
              <w:right w:val="single" w:sz="4" w:space="0" w:color="auto"/>
            </w:tcBorders>
          </w:tcPr>
          <w:p w:rsidR="00E451E4" w:rsidRPr="00B0345A" w:rsidRDefault="00E451E4" w:rsidP="000A61DD">
            <w:pPr>
              <w:pStyle w:val="Normal6"/>
            </w:pPr>
            <w:r>
              <w:t>P</w:t>
            </w:r>
            <w:r>
              <w:rPr>
                <w:vertAlign w:val="subscript"/>
              </w:rPr>
              <w:t>2</w:t>
            </w:r>
            <w:r>
              <w:t>O</w:t>
            </w:r>
            <w:r>
              <w:rPr>
                <w:vertAlign w:val="subscript"/>
              </w:rPr>
              <w:t>5</w:t>
            </w:r>
          </w:p>
        </w:tc>
        <w:tc>
          <w:tcPr>
            <w:tcW w:w="11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K</w:t>
            </w:r>
            <w:r>
              <w:rPr>
                <w:vertAlign w:val="subscript"/>
              </w:rPr>
              <w:t>2</w:t>
            </w:r>
            <w:r>
              <w:t>O</w:t>
            </w:r>
          </w:p>
        </w:tc>
        <w:tc>
          <w:tcPr>
            <w:tcW w:w="1276"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MgO</w:t>
            </w:r>
          </w:p>
        </w:tc>
        <w:tc>
          <w:tcPr>
            <w:tcW w:w="11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CaO</w:t>
            </w:r>
          </w:p>
        </w:tc>
        <w:tc>
          <w:tcPr>
            <w:tcW w:w="1134" w:type="dxa"/>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t>SO</w:t>
            </w:r>
            <w:r>
              <w:rPr>
                <w:vertAlign w:val="subscript"/>
              </w:rPr>
              <w:t>3</w:t>
            </w:r>
          </w:p>
        </w:tc>
        <w:tc>
          <w:tcPr>
            <w:tcW w:w="2747" w:type="dxa"/>
            <w:tcBorders>
              <w:top w:val="single" w:sz="4" w:space="0" w:color="auto"/>
              <w:left w:val="single" w:sz="4" w:space="0" w:color="auto"/>
              <w:bottom w:val="single" w:sz="4" w:space="0" w:color="auto"/>
            </w:tcBorders>
          </w:tcPr>
          <w:p w:rsidR="00E451E4" w:rsidRPr="00B0345A" w:rsidRDefault="00E451E4" w:rsidP="000A61DD">
            <w:pPr>
              <w:pStyle w:val="Normal6"/>
            </w:pPr>
            <w:r>
              <w:t>Na</w:t>
            </w:r>
            <w:r>
              <w:rPr>
                <w:vertAlign w:val="subscript"/>
              </w:rPr>
              <w:t>2</w:t>
            </w:r>
            <w:r>
              <w:t>O</w:t>
            </w:r>
          </w:p>
        </w:tc>
      </w:tr>
      <w:tr w:rsidR="00E451E4" w:rsidRPr="00B0345A" w:rsidTr="000A61DD">
        <w:trPr>
          <w:jc w:val="center"/>
        </w:trPr>
        <w:tc>
          <w:tcPr>
            <w:tcW w:w="3461" w:type="dxa"/>
            <w:gridSpan w:val="3"/>
            <w:tcBorders>
              <w:top w:val="single" w:sz="4" w:space="0" w:color="auto"/>
              <w:bottom w:val="single" w:sz="4" w:space="0" w:color="auto"/>
              <w:right w:val="single" w:sz="4" w:space="0" w:color="auto"/>
            </w:tcBorders>
          </w:tcPr>
          <w:p w:rsidR="00E451E4" w:rsidRPr="00B0345A" w:rsidRDefault="00E451E4" w:rsidP="000A61DD">
            <w:pPr>
              <w:pStyle w:val="Normal6"/>
            </w:pPr>
            <w:r>
              <w:t xml:space="preserve">± 25 % της δηλούμενης περιεκτικότητας των περιεχόμενων μορφών θρεπτικών συστατικών, μέχρι μια μέγιστη απόκλιση 2 ποσοστιαίων μονάδων σε απόλυτες τιμές </w:t>
            </w:r>
            <w:r>
              <w:rPr>
                <w:b/>
                <w:i/>
                <w:szCs w:val="24"/>
              </w:rPr>
              <w:t>για κάθε θρεπτικό συστατικό χωριστά και για το άθροισμα των θρεπτικών συστατικών</w:t>
            </w:r>
          </w:p>
        </w:tc>
        <w:tc>
          <w:tcPr>
            <w:tcW w:w="3544" w:type="dxa"/>
            <w:gridSpan w:val="3"/>
            <w:tcBorders>
              <w:top w:val="single" w:sz="4" w:space="0" w:color="auto"/>
              <w:left w:val="single" w:sz="4" w:space="0" w:color="auto"/>
              <w:bottom w:val="single" w:sz="4" w:space="0" w:color="auto"/>
              <w:right w:val="single" w:sz="4" w:space="0" w:color="auto"/>
            </w:tcBorders>
          </w:tcPr>
          <w:p w:rsidR="00E451E4" w:rsidRPr="00B0345A" w:rsidRDefault="00E451E4" w:rsidP="000A61DD">
            <w:pPr>
              <w:pStyle w:val="Normal6"/>
            </w:pPr>
            <w:r>
              <w:rPr>
                <w:b/>
                <w:i/>
                <w:szCs w:val="24"/>
              </w:rPr>
              <w:t>-50 % και +100 %</w:t>
            </w:r>
            <w:r>
              <w:t xml:space="preserve"> της δηλούμενης περιεκτικότητας αυτών των θρεπτικών συστατικών, μέχρι μια μέγιστη απόκλιση </w:t>
            </w:r>
            <w:r>
              <w:rPr>
                <w:b/>
                <w:i/>
                <w:szCs w:val="24"/>
              </w:rPr>
              <w:t>-2 και +4</w:t>
            </w:r>
            <w:r>
              <w:t xml:space="preserve"> ποσοστιαίων μονάδων σε απόλυτες τιμές.</w:t>
            </w:r>
          </w:p>
        </w:tc>
        <w:tc>
          <w:tcPr>
            <w:tcW w:w="2747" w:type="dxa"/>
            <w:tcBorders>
              <w:top w:val="single" w:sz="4" w:space="0" w:color="auto"/>
              <w:left w:val="single" w:sz="4" w:space="0" w:color="auto"/>
              <w:bottom w:val="single" w:sz="4" w:space="0" w:color="auto"/>
            </w:tcBorders>
          </w:tcPr>
          <w:p w:rsidR="00E451E4" w:rsidRPr="00B0345A" w:rsidRDefault="00E451E4" w:rsidP="000A61DD">
            <w:pPr>
              <w:pStyle w:val="Normal6"/>
            </w:pPr>
            <w:r>
              <w:t>± 25 % της δηλούμενης περιεκτικότητας, μέχρι μια μέγιστη απόκλιση 0,9 ποσοστιαίων μονάδων σε απόλυτες τιμές</w:t>
            </w:r>
          </w:p>
        </w:tc>
      </w:tr>
      <w:tr w:rsidR="00E451E4" w:rsidRPr="00B0345A" w:rsidTr="000A61DD">
        <w:trPr>
          <w:jc w:val="center"/>
        </w:trPr>
        <w:tc>
          <w:tcPr>
            <w:tcW w:w="3461" w:type="dxa"/>
            <w:gridSpan w:val="3"/>
            <w:tcBorders>
              <w:top w:val="single" w:sz="4" w:space="0" w:color="auto"/>
              <w:right w:val="single" w:sz="4" w:space="0" w:color="auto"/>
            </w:tcBorders>
          </w:tcPr>
          <w:p w:rsidR="00E451E4" w:rsidRPr="00B0345A" w:rsidRDefault="00E451E4" w:rsidP="000A61DD">
            <w:pPr>
              <w:pStyle w:val="Normal6"/>
              <w:rPr>
                <w:szCs w:val="24"/>
              </w:rPr>
            </w:pPr>
            <w:r>
              <w:rPr>
                <w:b/>
                <w:bCs/>
                <w:i/>
                <w:iCs/>
              </w:rPr>
              <w:t>Οι ανοχές σε P</w:t>
            </w:r>
            <w:r>
              <w:rPr>
                <w:b/>
                <w:bCs/>
                <w:i/>
                <w:iCs/>
                <w:vertAlign w:val="subscript"/>
              </w:rPr>
              <w:t>2</w:t>
            </w:r>
            <w:r>
              <w:rPr>
                <w:b/>
                <w:bCs/>
                <w:i/>
                <w:iCs/>
              </w:rPr>
              <w:t>O</w:t>
            </w:r>
            <w:r>
              <w:rPr>
                <w:b/>
                <w:bCs/>
                <w:i/>
                <w:iCs/>
                <w:vertAlign w:val="subscript"/>
              </w:rPr>
              <w:t>5</w:t>
            </w:r>
            <w:r>
              <w:rPr>
                <w:b/>
                <w:bCs/>
                <w:i/>
                <w:iCs/>
              </w:rPr>
              <w:t xml:space="preserve"> αφορούν πεντοξείδιο του φωσφόρου (P</w:t>
            </w:r>
            <w:r>
              <w:rPr>
                <w:b/>
                <w:bCs/>
                <w:i/>
                <w:iCs/>
                <w:vertAlign w:val="subscript"/>
              </w:rPr>
              <w:t>2</w:t>
            </w:r>
            <w:r>
              <w:rPr>
                <w:b/>
                <w:bCs/>
                <w:i/>
                <w:iCs/>
              </w:rPr>
              <w:t>O</w:t>
            </w:r>
            <w:r>
              <w:rPr>
                <w:b/>
                <w:bCs/>
                <w:i/>
                <w:iCs/>
                <w:vertAlign w:val="subscript"/>
              </w:rPr>
              <w:t>5</w:t>
            </w:r>
            <w:r>
              <w:rPr>
                <w:b/>
                <w:bCs/>
                <w:i/>
                <w:iCs/>
              </w:rPr>
              <w:t>) διαλυτό σε ουδέτερο κιτρικό αμμώνιο και νερό.</w:t>
            </w:r>
          </w:p>
        </w:tc>
        <w:tc>
          <w:tcPr>
            <w:tcW w:w="3544" w:type="dxa"/>
            <w:gridSpan w:val="3"/>
            <w:tcBorders>
              <w:top w:val="single" w:sz="4" w:space="0" w:color="auto"/>
              <w:left w:val="single" w:sz="4" w:space="0" w:color="auto"/>
              <w:right w:val="single" w:sz="4" w:space="0" w:color="auto"/>
            </w:tcBorders>
          </w:tcPr>
          <w:p w:rsidR="00E451E4" w:rsidRPr="00B0345A" w:rsidRDefault="00E451E4" w:rsidP="000A61DD">
            <w:pPr>
              <w:pStyle w:val="Normal6"/>
              <w:rPr>
                <w:b/>
                <w:i/>
                <w:szCs w:val="24"/>
              </w:rPr>
            </w:pPr>
          </w:p>
        </w:tc>
        <w:tc>
          <w:tcPr>
            <w:tcW w:w="2747" w:type="dxa"/>
            <w:tcBorders>
              <w:top w:val="single" w:sz="4" w:space="0" w:color="auto"/>
              <w:left w:val="single" w:sz="4" w:space="0" w:color="auto"/>
            </w:tcBorders>
          </w:tcPr>
          <w:p w:rsidR="00E451E4" w:rsidRPr="00B0345A" w:rsidRDefault="00E451E4" w:rsidP="000A61DD">
            <w:pPr>
              <w:pStyle w:val="Normal6"/>
              <w:rPr>
                <w:szCs w:val="24"/>
              </w:rPr>
            </w:pP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keepNext/>
      </w:pPr>
      <w:r>
        <w:rPr>
          <w:rStyle w:val="HideTWBExt"/>
          <w:b w:val="0"/>
          <w:noProof w:val="0"/>
          <w:lang w:val="fr-FR"/>
        </w:rPr>
        <w:t>&lt;Article&gt;</w:t>
      </w:r>
      <w:r w:rsidRPr="00AC4460">
        <w:t>Παράρτημα III – μέρος 3 – ΚΛΠ 1(Β)</w:t>
      </w:r>
      <w:r>
        <w:rPr>
          <w:rStyle w:val="HideTWBExt"/>
          <w:b w:val="0"/>
          <w:noProof w:val="0"/>
          <w:lang w:val="fr-FR"/>
        </w:rPr>
        <w:t>&lt;/Article&gt;</w:t>
      </w:r>
    </w:p>
    <w:p w:rsidR="00E451E4" w:rsidRPr="00032852" w:rsidRDefault="00E451E4" w:rsidP="00E451E4">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 xml:space="preserve">Οργανικός άνθρακας: </w:t>
            </w:r>
            <w:r w:rsidRPr="00AC4460">
              <w:rPr>
                <w:b/>
                <w:bCs/>
                <w:i/>
                <w:iCs/>
              </w:rPr>
              <w:t>± 20 %</w:t>
            </w:r>
            <w:r w:rsidRPr="00AC4460">
              <w:t xml:space="preserve"> σχετική απόκλιση από τη δηλούμενη τιμή, μέχρι μια μέγιστη απόκλιση 2,0 ποσοστιαίων μονάδων σε απόλυτες τιμές</w:t>
            </w:r>
          </w:p>
        </w:tc>
        <w:tc>
          <w:tcPr>
            <w:tcW w:w="4876" w:type="dxa"/>
          </w:tcPr>
          <w:p w:rsidR="00E451E4" w:rsidRPr="00AC4460" w:rsidRDefault="00E451E4" w:rsidP="000A61DD">
            <w:pPr>
              <w:pStyle w:val="Normal6"/>
              <w:rPr>
                <w:szCs w:val="24"/>
              </w:rPr>
            </w:pPr>
            <w:r w:rsidRPr="00AC4460">
              <w:t xml:space="preserve">Οργανικός άνθρακας: ± </w:t>
            </w:r>
            <w:r w:rsidRPr="00AC4460">
              <w:rPr>
                <w:b/>
                <w:bCs/>
                <w:i/>
                <w:iCs/>
              </w:rPr>
              <w:t>15 %</w:t>
            </w:r>
            <w:r w:rsidRPr="00AC4460">
              <w:t xml:space="preserve"> σχετική απόκλιση από τη δηλούμενη τιμή, μέχρι μια μέγιστη απόκλιση 2,0 ποσοστιαίων μονάδων σε απόλυτες τιμές </w:t>
            </w:r>
          </w:p>
        </w:tc>
      </w:tr>
      <w:tr w:rsidR="00E451E4" w:rsidRPr="00B0345A" w:rsidTr="000A61DD">
        <w:trPr>
          <w:jc w:val="center"/>
        </w:trPr>
        <w:tc>
          <w:tcPr>
            <w:tcW w:w="4876" w:type="dxa"/>
          </w:tcPr>
          <w:p w:rsidR="00E451E4" w:rsidRPr="00AC4460" w:rsidRDefault="00E451E4" w:rsidP="000A61DD">
            <w:pPr>
              <w:pStyle w:val="Normal6"/>
            </w:pPr>
            <w:r w:rsidRPr="00AC4460">
              <w:t xml:space="preserve">Οργανικό άζωτο: </w:t>
            </w:r>
            <w:r w:rsidRPr="00AC4460">
              <w:rPr>
                <w:b/>
                <w:bCs/>
                <w:i/>
                <w:iCs/>
              </w:rPr>
              <w:t>± 50 %</w:t>
            </w:r>
            <w:r w:rsidRPr="00AC4460">
              <w:t xml:space="preserve"> σχετική απόκλιση από τη δηλούμενη τιμή, μέχρι μια μέγιστη απόκλιση 1,0 ποσοστιαίας μονάδας σε απόλυτες τιμές Ολικός χαλκός (Cu)</w:t>
            </w:r>
          </w:p>
        </w:tc>
        <w:tc>
          <w:tcPr>
            <w:tcW w:w="4876" w:type="dxa"/>
          </w:tcPr>
          <w:p w:rsidR="00E451E4" w:rsidRPr="00AC4460" w:rsidRDefault="00E451E4" w:rsidP="000A61DD">
            <w:pPr>
              <w:pStyle w:val="Normal6"/>
              <w:rPr>
                <w:b/>
                <w:i/>
              </w:rPr>
            </w:pPr>
            <w:r w:rsidRPr="00AC4460">
              <w:t xml:space="preserve">Οργανικό άζωτο: ± </w:t>
            </w:r>
            <w:r w:rsidRPr="00AC4460">
              <w:rPr>
                <w:b/>
                <w:bCs/>
                <w:i/>
                <w:iCs/>
              </w:rPr>
              <w:t>15 %</w:t>
            </w:r>
            <w:r w:rsidRPr="00AC4460">
              <w:t xml:space="preserve"> σχετική απόκλιση από τη δηλούμενη τιμή, μέχρι μια μέγιστη απόκλιση 1,0 ποσοστιαίας μονάδας σε απόλυτες τιμές </w:t>
            </w:r>
          </w:p>
        </w:tc>
      </w:tr>
      <w:tr w:rsidR="00E451E4" w:rsidRPr="00B0345A" w:rsidTr="000A61DD">
        <w:trPr>
          <w:jc w:val="center"/>
        </w:trPr>
        <w:tc>
          <w:tcPr>
            <w:tcW w:w="4876" w:type="dxa"/>
          </w:tcPr>
          <w:p w:rsidR="00E451E4" w:rsidRPr="00AC4460" w:rsidRDefault="00E451E4" w:rsidP="000A61DD">
            <w:pPr>
              <w:pStyle w:val="Normal6"/>
            </w:pPr>
            <w:r w:rsidRPr="00AC4460">
              <w:t xml:space="preserve">Ολικός χαλκός (Cu) </w:t>
            </w:r>
            <w:r w:rsidRPr="00AC4460">
              <w:rPr>
                <w:b/>
                <w:bCs/>
                <w:i/>
                <w:iCs/>
              </w:rPr>
              <w:t>± 50 %</w:t>
            </w:r>
            <w:r w:rsidRPr="00AC4460">
              <w:t xml:space="preserve"> σχετική απόκλιση από τη δηλούμενη τιμή, μέχρι μια μέγιστη απόκλιση 2,5 ποσοστιαίων μονάδων σε απόλυτες τιμές</w:t>
            </w:r>
          </w:p>
        </w:tc>
        <w:tc>
          <w:tcPr>
            <w:tcW w:w="4876" w:type="dxa"/>
          </w:tcPr>
          <w:p w:rsidR="00E451E4" w:rsidRPr="00AC4460" w:rsidRDefault="00E451E4" w:rsidP="000A61DD">
            <w:pPr>
              <w:pStyle w:val="Normal6"/>
              <w:rPr>
                <w:b/>
                <w:i/>
              </w:rPr>
            </w:pPr>
            <w:r w:rsidRPr="00AC4460">
              <w:t xml:space="preserve">Ολικός χαλκός (Cu) </w:t>
            </w:r>
            <w:r w:rsidRPr="00AC4460">
              <w:rPr>
                <w:b/>
                <w:bCs/>
                <w:i/>
                <w:iCs/>
              </w:rPr>
              <w:t>± 15 %</w:t>
            </w:r>
            <w:r w:rsidRPr="00AC4460">
              <w:t xml:space="preserve"> σχετική απόκλιση από τη δηλούμενη τιμή, μέχρι μια μέγιστη απόκλιση 2,5 ποσοστιαίων μονάδων σε απόλυτες τιμές</w:t>
            </w:r>
          </w:p>
        </w:tc>
      </w:tr>
      <w:tr w:rsidR="00E451E4" w:rsidRPr="00B0345A" w:rsidTr="000A61DD">
        <w:trPr>
          <w:jc w:val="center"/>
        </w:trPr>
        <w:tc>
          <w:tcPr>
            <w:tcW w:w="4876" w:type="dxa"/>
          </w:tcPr>
          <w:p w:rsidR="00E451E4" w:rsidRPr="00AC4460" w:rsidRDefault="00E451E4" w:rsidP="000A61DD">
            <w:pPr>
              <w:pStyle w:val="Normal6"/>
            </w:pPr>
            <w:r w:rsidRPr="00AC4460">
              <w:t xml:space="preserve">Ολικός ψευδάργυρος (Zn) </w:t>
            </w:r>
            <w:r w:rsidRPr="00AC4460">
              <w:rPr>
                <w:b/>
                <w:bCs/>
                <w:i/>
                <w:iCs/>
              </w:rPr>
              <w:t>± 50 %</w:t>
            </w:r>
            <w:r w:rsidRPr="00AC4460">
              <w:t xml:space="preserve"> σχετική απόκλιση από τη δηλούμενη τιμή, μέχρι μια μέγιστη απόκλιση 2,0 ποσοστιαίων μονάδων σε απόλυτες τιμές</w:t>
            </w:r>
          </w:p>
        </w:tc>
        <w:tc>
          <w:tcPr>
            <w:tcW w:w="4876" w:type="dxa"/>
          </w:tcPr>
          <w:p w:rsidR="00E451E4" w:rsidRPr="00AC4460" w:rsidRDefault="00E451E4" w:rsidP="000A61DD">
            <w:pPr>
              <w:pStyle w:val="Normal6"/>
              <w:rPr>
                <w:b/>
                <w:i/>
              </w:rPr>
            </w:pPr>
            <w:r w:rsidRPr="00AC4460">
              <w:t xml:space="preserve">Ολικός ψευδάργυρος (Zn) ± </w:t>
            </w:r>
            <w:r w:rsidRPr="00AC4460">
              <w:rPr>
                <w:b/>
                <w:bCs/>
                <w:i/>
                <w:iCs/>
              </w:rPr>
              <w:t>15 %</w:t>
            </w:r>
            <w:r w:rsidRPr="00AC4460">
              <w:t xml:space="preserve"> σχετική απόκλιση από τη δηλούμενη τιμή, μέχρι μια μέγιστη απόκλιση 2,0 ποσοστιαίων μονάδων σε απόλυτες τιμές</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FA3492" w:rsidRDefault="00E451E4" w:rsidP="00E451E4">
      <w:pPr>
        <w:pStyle w:val="NormalBold"/>
      </w:pPr>
      <w:r>
        <w:rPr>
          <w:rStyle w:val="HideTWBExt"/>
          <w:noProof w:val="0"/>
          <w:lang w:val="en-GB"/>
        </w:rPr>
        <w:t>&lt;Article&gt;</w:t>
      </w:r>
      <w:r w:rsidRPr="00AC4460">
        <w:t>Παράρτημα III – μέρος 3 – ΚΛΠ 1(Γ) (I)</w:t>
      </w:r>
      <w:r>
        <w:rPr>
          <w:rStyle w:val="HideTWBExt"/>
          <w:noProof w:val="0"/>
          <w:lang w:val="en-GB"/>
        </w:rPr>
        <w:t>&lt;/Article&gt;</w:t>
      </w:r>
    </w:p>
    <w:tbl>
      <w:tblPr>
        <w:tblW w:w="10090" w:type="dxa"/>
        <w:jc w:val="center"/>
        <w:tblLayout w:type="fixed"/>
        <w:tblCellMar>
          <w:left w:w="340" w:type="dxa"/>
          <w:right w:w="340" w:type="dxa"/>
        </w:tblCellMar>
        <w:tblLook w:val="04A0" w:firstRow="1" w:lastRow="0" w:firstColumn="1" w:lastColumn="0" w:noHBand="0" w:noVBand="1"/>
      </w:tblPr>
      <w:tblGrid>
        <w:gridCol w:w="340"/>
        <w:gridCol w:w="1050"/>
        <w:gridCol w:w="1276"/>
        <w:gridCol w:w="1276"/>
        <w:gridCol w:w="1275"/>
        <w:gridCol w:w="1134"/>
        <w:gridCol w:w="1134"/>
        <w:gridCol w:w="2265"/>
        <w:gridCol w:w="340"/>
      </w:tblGrid>
      <w:tr w:rsidR="00E451E4" w:rsidRPr="000226C1" w:rsidTr="000A61DD">
        <w:trPr>
          <w:gridAfter w:val="1"/>
          <w:wAfter w:w="340" w:type="dxa"/>
          <w:jc w:val="center"/>
        </w:trPr>
        <w:tc>
          <w:tcPr>
            <w:tcW w:w="9750" w:type="dxa"/>
            <w:gridSpan w:val="8"/>
          </w:tcPr>
          <w:p w:rsidR="00E451E4" w:rsidRPr="00FA3492" w:rsidRDefault="00E451E4" w:rsidP="000A61DD">
            <w:pPr>
              <w:keepNext/>
              <w:rPr>
                <w:lang w:val="en-GB"/>
              </w:rPr>
            </w:pP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ColumnHeading"/>
              <w:keepNext/>
            </w:pPr>
            <w:r>
              <w:t>Κείμενο που προτείνει η Επιτροπή</w:t>
            </w:r>
          </w:p>
        </w:tc>
      </w:tr>
      <w:tr w:rsidR="00E451E4" w:rsidRPr="00B0345A" w:rsidTr="000A61DD">
        <w:trPr>
          <w:gridBefore w:val="1"/>
          <w:wBefore w:w="340" w:type="dxa"/>
          <w:jc w:val="center"/>
        </w:trPr>
        <w:tc>
          <w:tcPr>
            <w:tcW w:w="9750" w:type="dxa"/>
            <w:gridSpan w:val="8"/>
            <w:tcBorders>
              <w:top w:val="nil"/>
              <w:left w:val="nil"/>
              <w:bottom w:val="single" w:sz="4" w:space="0" w:color="auto"/>
              <w:right w:val="nil"/>
            </w:tcBorders>
            <w:hideMark/>
          </w:tcPr>
          <w:p w:rsidR="00E451E4" w:rsidRPr="00B0345A" w:rsidRDefault="00E451E4" w:rsidP="000A61DD">
            <w:pPr>
              <w:pStyle w:val="Normal6"/>
            </w:pPr>
            <w:r>
              <w:t>Επιτρεπόμενο όριο ανοχής για τη δηλούμενη περιεκτικότητα σε μορφές ανόργανων μακροθρεπτικών συστατικών</w:t>
            </w:r>
          </w:p>
        </w:tc>
      </w:tr>
      <w:tr w:rsidR="00E451E4" w:rsidRPr="00B0345A" w:rsidTr="000A61DD">
        <w:trPr>
          <w:gridBefore w:val="1"/>
          <w:wBefore w:w="340" w:type="dxa"/>
          <w:jc w:val="center"/>
        </w:trPr>
        <w:tc>
          <w:tcPr>
            <w:tcW w:w="1050" w:type="dxa"/>
            <w:tcBorders>
              <w:top w:val="single" w:sz="4" w:space="0" w:color="auto"/>
              <w:left w:val="nil"/>
              <w:bottom w:val="single" w:sz="4" w:space="0" w:color="auto"/>
              <w:right w:val="single" w:sz="4" w:space="0" w:color="auto"/>
            </w:tcBorders>
            <w:hideMark/>
          </w:tcPr>
          <w:p w:rsidR="00E451E4" w:rsidRPr="00B0345A" w:rsidRDefault="00E451E4" w:rsidP="000A61DD">
            <w:pPr>
              <w:pStyle w:val="Normal6"/>
            </w:pPr>
            <w:r>
              <w:t>N</w:t>
            </w:r>
          </w:p>
        </w:tc>
        <w:tc>
          <w:tcPr>
            <w:tcW w:w="1276"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P</w:t>
            </w:r>
            <w:r>
              <w:rPr>
                <w:vertAlign w:val="subscript"/>
              </w:rPr>
              <w:t>2</w:t>
            </w:r>
            <w:r>
              <w:t>O</w:t>
            </w:r>
            <w:r>
              <w:rPr>
                <w:vertAlign w:val="subscript"/>
              </w:rPr>
              <w:t>5</w:t>
            </w:r>
          </w:p>
        </w:tc>
        <w:tc>
          <w:tcPr>
            <w:tcW w:w="1276"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K</w:t>
            </w:r>
            <w:r>
              <w:rPr>
                <w:vertAlign w:val="subscript"/>
              </w:rPr>
              <w:t>2</w:t>
            </w:r>
            <w:r>
              <w:t>O</w:t>
            </w:r>
          </w:p>
        </w:tc>
        <w:tc>
          <w:tcPr>
            <w:tcW w:w="1275"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MgO</w:t>
            </w:r>
          </w:p>
        </w:tc>
        <w:tc>
          <w:tcPr>
            <w:tcW w:w="1134"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CaO</w:t>
            </w:r>
          </w:p>
        </w:tc>
        <w:tc>
          <w:tcPr>
            <w:tcW w:w="1134"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SO</w:t>
            </w:r>
            <w:r>
              <w:rPr>
                <w:vertAlign w:val="subscript"/>
              </w:rPr>
              <w:t>3</w:t>
            </w:r>
          </w:p>
        </w:tc>
        <w:tc>
          <w:tcPr>
            <w:tcW w:w="2605" w:type="dxa"/>
            <w:gridSpan w:val="2"/>
            <w:tcBorders>
              <w:top w:val="single" w:sz="4" w:space="0" w:color="auto"/>
              <w:left w:val="single" w:sz="4" w:space="0" w:color="auto"/>
              <w:bottom w:val="single" w:sz="4" w:space="0" w:color="auto"/>
              <w:right w:val="nil"/>
            </w:tcBorders>
            <w:hideMark/>
          </w:tcPr>
          <w:p w:rsidR="00E451E4" w:rsidRPr="00B0345A" w:rsidRDefault="00E451E4" w:rsidP="000A61DD">
            <w:pPr>
              <w:pStyle w:val="Normal6"/>
            </w:pPr>
            <w:r>
              <w:t>Na</w:t>
            </w:r>
            <w:r>
              <w:rPr>
                <w:vertAlign w:val="subscript"/>
              </w:rPr>
              <w:t>2</w:t>
            </w:r>
            <w:r>
              <w:t>O</w:t>
            </w:r>
          </w:p>
        </w:tc>
      </w:tr>
      <w:tr w:rsidR="00E451E4" w:rsidRPr="00B0345A" w:rsidTr="000A61DD">
        <w:trPr>
          <w:gridBefore w:val="1"/>
          <w:wBefore w:w="340" w:type="dxa"/>
          <w:jc w:val="center"/>
        </w:trPr>
        <w:tc>
          <w:tcPr>
            <w:tcW w:w="3602" w:type="dxa"/>
            <w:gridSpan w:val="3"/>
            <w:tcBorders>
              <w:top w:val="single" w:sz="4" w:space="0" w:color="auto"/>
              <w:left w:val="nil"/>
              <w:bottom w:val="nil"/>
              <w:right w:val="single" w:sz="4" w:space="0" w:color="auto"/>
            </w:tcBorders>
            <w:hideMark/>
          </w:tcPr>
          <w:p w:rsidR="00E451E4" w:rsidRPr="00B0345A" w:rsidRDefault="00E451E4" w:rsidP="000A61DD">
            <w:pPr>
              <w:pStyle w:val="Normal6"/>
            </w:pPr>
            <w:r>
              <w:rPr>
                <w:snapToGrid w:val="0"/>
              </w:rPr>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c>
          <w:tcPr>
            <w:tcW w:w="3543" w:type="dxa"/>
            <w:gridSpan w:val="3"/>
            <w:tcBorders>
              <w:top w:val="single" w:sz="4" w:space="0" w:color="auto"/>
              <w:left w:val="single" w:sz="4" w:space="0" w:color="auto"/>
              <w:bottom w:val="nil"/>
              <w:right w:val="single" w:sz="4" w:space="0" w:color="auto"/>
            </w:tcBorders>
            <w:hideMark/>
          </w:tcPr>
          <w:p w:rsidR="00E451E4" w:rsidRPr="00B0345A" w:rsidRDefault="00E451E4" w:rsidP="000A61DD">
            <w:pPr>
              <w:pStyle w:val="Normal6"/>
            </w:pPr>
            <w:r>
              <w:rPr>
                <w:b/>
                <w:i/>
                <w:snapToGrid w:val="0"/>
              </w:rPr>
              <w:t>± 25 %</w:t>
            </w:r>
            <w:r>
              <w:rPr>
                <w:snapToGrid w:val="0"/>
              </w:rPr>
              <w:t xml:space="preserve"> της δηλούμενης περιεκτικότητας αυτών των θρεπτικών συστατικών, μέχρι μια μέγιστη απόκλιση </w:t>
            </w:r>
            <w:r>
              <w:rPr>
                <w:b/>
                <w:i/>
                <w:snapToGrid w:val="0"/>
              </w:rPr>
              <w:t>1,5</w:t>
            </w:r>
            <w:r>
              <w:rPr>
                <w:snapToGrid w:val="0"/>
              </w:rPr>
              <w:t xml:space="preserve"> ποσοστιαίων μονάδων σε απόλυτες τιμές.</w:t>
            </w:r>
          </w:p>
        </w:tc>
        <w:tc>
          <w:tcPr>
            <w:tcW w:w="2605" w:type="dxa"/>
            <w:gridSpan w:val="2"/>
            <w:tcBorders>
              <w:top w:val="single" w:sz="4" w:space="0" w:color="auto"/>
              <w:left w:val="single" w:sz="4" w:space="0" w:color="auto"/>
              <w:bottom w:val="nil"/>
              <w:right w:val="nil"/>
            </w:tcBorders>
            <w:hideMark/>
          </w:tcPr>
          <w:p w:rsidR="00E451E4" w:rsidRPr="00B0345A" w:rsidRDefault="00E451E4" w:rsidP="000A61DD">
            <w:pPr>
              <w:pStyle w:val="Normal6"/>
            </w:pPr>
            <w:r>
              <w:rPr>
                <w:snapToGrid w:val="0"/>
              </w:rPr>
              <w:t>± 25 % της δηλούμενης περιεκτικότητας, μέχρι μια μέγιστη απόκλιση 0,9 ποσοστιαίων μονάδων σε απόλυτες τιμές</w:t>
            </w: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Normal6"/>
            </w:pPr>
            <w:r>
              <w:t xml:space="preserve">Κοκκομετρία: ± </w:t>
            </w:r>
            <w:r>
              <w:rPr>
                <w:b/>
                <w:i/>
              </w:rPr>
              <w:t>10</w:t>
            </w:r>
            <w:r>
              <w:t xml:space="preserve"> % σχετική απόκλιση ως προς το δηλούμενο ποσοστό υλικού που διέρχεται από συγκεκριμένο κόσκινο.</w:t>
            </w: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Normal6"/>
              <w:rPr>
                <w:bCs/>
                <w:i/>
                <w:iCs/>
                <w:szCs w:val="24"/>
              </w:rPr>
            </w:pPr>
            <w:r>
              <w:t xml:space="preserve">Ποσότητα: ± </w:t>
            </w:r>
            <w:r>
              <w:rPr>
                <w:b/>
                <w:i/>
              </w:rPr>
              <w:t>5</w:t>
            </w:r>
            <w:r>
              <w:t>% σχετική απόκλιση από τη δηλούμενη τιμή</w:t>
            </w: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ColumnHeading"/>
              <w:rPr>
                <w:szCs w:val="24"/>
              </w:rPr>
            </w:pPr>
            <w:r>
              <w:t>Τροπολογία</w:t>
            </w:r>
          </w:p>
        </w:tc>
      </w:tr>
      <w:tr w:rsidR="00E451E4" w:rsidRPr="00B0345A" w:rsidTr="000A61DD">
        <w:trPr>
          <w:gridBefore w:val="1"/>
          <w:wBefore w:w="340" w:type="dxa"/>
          <w:jc w:val="center"/>
        </w:trPr>
        <w:tc>
          <w:tcPr>
            <w:tcW w:w="9750" w:type="dxa"/>
            <w:gridSpan w:val="8"/>
            <w:tcBorders>
              <w:top w:val="nil"/>
              <w:left w:val="nil"/>
              <w:bottom w:val="single" w:sz="4" w:space="0" w:color="auto"/>
              <w:right w:val="nil"/>
            </w:tcBorders>
            <w:hideMark/>
          </w:tcPr>
          <w:p w:rsidR="00E451E4" w:rsidRPr="00B0345A" w:rsidRDefault="00E451E4" w:rsidP="000A61DD">
            <w:pPr>
              <w:pStyle w:val="Normal6"/>
            </w:pPr>
            <w:r>
              <w:t>Επιτρεπόμενο όριο ανοχής για τη δηλούμενη περιεκτικότητα σε μορφές ανόργανων μακροθρεπτικών συστατικών</w:t>
            </w:r>
          </w:p>
        </w:tc>
      </w:tr>
      <w:tr w:rsidR="00E451E4" w:rsidRPr="00B0345A" w:rsidTr="000A61DD">
        <w:trPr>
          <w:gridBefore w:val="1"/>
          <w:wBefore w:w="340" w:type="dxa"/>
          <w:jc w:val="center"/>
        </w:trPr>
        <w:tc>
          <w:tcPr>
            <w:tcW w:w="1050" w:type="dxa"/>
            <w:tcBorders>
              <w:top w:val="nil"/>
              <w:left w:val="nil"/>
              <w:bottom w:val="nil"/>
              <w:right w:val="single" w:sz="4" w:space="0" w:color="auto"/>
            </w:tcBorders>
            <w:hideMark/>
          </w:tcPr>
          <w:p w:rsidR="00E451E4" w:rsidRPr="00B0345A" w:rsidRDefault="00E451E4" w:rsidP="000A61DD">
            <w:pPr>
              <w:pStyle w:val="Normal6"/>
            </w:pPr>
            <w:r>
              <w:t>N</w:t>
            </w:r>
          </w:p>
        </w:tc>
        <w:tc>
          <w:tcPr>
            <w:tcW w:w="1276" w:type="dxa"/>
            <w:tcBorders>
              <w:top w:val="nil"/>
              <w:left w:val="single" w:sz="4" w:space="0" w:color="auto"/>
              <w:bottom w:val="nil"/>
              <w:right w:val="single" w:sz="4" w:space="0" w:color="auto"/>
            </w:tcBorders>
            <w:hideMark/>
          </w:tcPr>
          <w:p w:rsidR="00E451E4" w:rsidRPr="00B0345A" w:rsidRDefault="00E451E4" w:rsidP="000A61DD">
            <w:pPr>
              <w:pStyle w:val="Normal6"/>
            </w:pPr>
            <w:r>
              <w:t>P</w:t>
            </w:r>
            <w:r>
              <w:rPr>
                <w:vertAlign w:val="subscript"/>
              </w:rPr>
              <w:t>2</w:t>
            </w:r>
            <w:r>
              <w:t>O</w:t>
            </w:r>
            <w:r>
              <w:rPr>
                <w:vertAlign w:val="subscript"/>
              </w:rPr>
              <w:t>5</w:t>
            </w:r>
          </w:p>
        </w:tc>
        <w:tc>
          <w:tcPr>
            <w:tcW w:w="1276"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K</w:t>
            </w:r>
            <w:r>
              <w:rPr>
                <w:vertAlign w:val="subscript"/>
              </w:rPr>
              <w:t>2</w:t>
            </w:r>
            <w:r>
              <w:t>O</w:t>
            </w:r>
          </w:p>
        </w:tc>
        <w:tc>
          <w:tcPr>
            <w:tcW w:w="1275"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MgO</w:t>
            </w:r>
          </w:p>
        </w:tc>
        <w:tc>
          <w:tcPr>
            <w:tcW w:w="1134"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CaO</w:t>
            </w:r>
          </w:p>
        </w:tc>
        <w:tc>
          <w:tcPr>
            <w:tcW w:w="1134" w:type="dxa"/>
            <w:tcBorders>
              <w:top w:val="single" w:sz="4" w:space="0" w:color="auto"/>
              <w:left w:val="single" w:sz="4" w:space="0" w:color="auto"/>
              <w:bottom w:val="single" w:sz="4" w:space="0" w:color="auto"/>
              <w:right w:val="single" w:sz="4" w:space="0" w:color="auto"/>
            </w:tcBorders>
            <w:hideMark/>
          </w:tcPr>
          <w:p w:rsidR="00E451E4" w:rsidRPr="00B0345A" w:rsidRDefault="00E451E4" w:rsidP="000A61DD">
            <w:pPr>
              <w:pStyle w:val="Normal6"/>
            </w:pPr>
            <w:r>
              <w:t>SO</w:t>
            </w:r>
            <w:r>
              <w:rPr>
                <w:vertAlign w:val="subscript"/>
              </w:rPr>
              <w:t>3</w:t>
            </w:r>
          </w:p>
        </w:tc>
        <w:tc>
          <w:tcPr>
            <w:tcW w:w="2605" w:type="dxa"/>
            <w:gridSpan w:val="2"/>
            <w:tcBorders>
              <w:top w:val="single" w:sz="4" w:space="0" w:color="auto"/>
              <w:left w:val="single" w:sz="4" w:space="0" w:color="auto"/>
              <w:bottom w:val="single" w:sz="4" w:space="0" w:color="auto"/>
              <w:right w:val="nil"/>
            </w:tcBorders>
            <w:hideMark/>
          </w:tcPr>
          <w:p w:rsidR="00E451E4" w:rsidRPr="00B0345A" w:rsidRDefault="00E451E4" w:rsidP="000A61DD">
            <w:pPr>
              <w:pStyle w:val="Normal6"/>
            </w:pPr>
            <w:r>
              <w:t>Na</w:t>
            </w:r>
            <w:r>
              <w:rPr>
                <w:vertAlign w:val="subscript"/>
              </w:rPr>
              <w:t>2</w:t>
            </w:r>
            <w:r>
              <w:t>O</w:t>
            </w:r>
          </w:p>
        </w:tc>
      </w:tr>
      <w:tr w:rsidR="00E451E4" w:rsidRPr="00B0345A" w:rsidTr="000A61DD">
        <w:trPr>
          <w:gridBefore w:val="1"/>
          <w:wBefore w:w="340" w:type="dxa"/>
          <w:jc w:val="center"/>
        </w:trPr>
        <w:tc>
          <w:tcPr>
            <w:tcW w:w="3602" w:type="dxa"/>
            <w:gridSpan w:val="3"/>
            <w:tcBorders>
              <w:top w:val="single" w:sz="4" w:space="0" w:color="auto"/>
              <w:left w:val="nil"/>
              <w:bottom w:val="nil"/>
              <w:right w:val="single" w:sz="4" w:space="0" w:color="auto"/>
            </w:tcBorders>
            <w:hideMark/>
          </w:tcPr>
          <w:p w:rsidR="00E451E4" w:rsidRPr="00B0345A" w:rsidRDefault="00E451E4" w:rsidP="000A61DD">
            <w:pPr>
              <w:pStyle w:val="Normal6"/>
            </w:pPr>
            <w:r>
              <w:t xml:space="preserve">± 25 % της δηλούμενης περιεκτικότητας των περιεχόμενων μορφών θρεπτικών συστατικών, μέχρι μια μέγιστη απόκλιση 2 ποσοστιαίων μονάδων σε απόλυτες τιμές </w:t>
            </w:r>
            <w:r>
              <w:rPr>
                <w:b/>
                <w:i/>
                <w:szCs w:val="24"/>
              </w:rPr>
              <w:t>για κάθε θρεπτικό συστατικό χωριστά και για το άθροισμα των θρεπτικών συστατικών</w:t>
            </w:r>
          </w:p>
        </w:tc>
        <w:tc>
          <w:tcPr>
            <w:tcW w:w="3543" w:type="dxa"/>
            <w:gridSpan w:val="3"/>
            <w:tcBorders>
              <w:top w:val="single" w:sz="4" w:space="0" w:color="auto"/>
              <w:left w:val="single" w:sz="4" w:space="0" w:color="auto"/>
              <w:bottom w:val="nil"/>
              <w:right w:val="single" w:sz="4" w:space="0" w:color="auto"/>
            </w:tcBorders>
            <w:hideMark/>
          </w:tcPr>
          <w:p w:rsidR="00E451E4" w:rsidRPr="00B0345A" w:rsidRDefault="00E451E4" w:rsidP="000A61DD">
            <w:pPr>
              <w:pStyle w:val="Normal6"/>
            </w:pPr>
            <w:r>
              <w:rPr>
                <w:b/>
                <w:i/>
                <w:szCs w:val="24"/>
              </w:rPr>
              <w:t>-50 % και +100 %</w:t>
            </w:r>
            <w:r>
              <w:t xml:space="preserve"> της δηλούμενης περιεκτικότητας αυτών των θρεπτικών συστατικών, μέχρι μια μέγιστη απόκλιση </w:t>
            </w:r>
            <w:r>
              <w:rPr>
                <w:b/>
                <w:i/>
                <w:szCs w:val="24"/>
              </w:rPr>
              <w:t>-2 και +4</w:t>
            </w:r>
            <w:r>
              <w:t xml:space="preserve"> ποσοστιαίων μονάδων σε απόλυτες τιμές.</w:t>
            </w:r>
          </w:p>
        </w:tc>
        <w:tc>
          <w:tcPr>
            <w:tcW w:w="2605" w:type="dxa"/>
            <w:gridSpan w:val="2"/>
            <w:tcBorders>
              <w:top w:val="single" w:sz="4" w:space="0" w:color="auto"/>
              <w:left w:val="single" w:sz="4" w:space="0" w:color="auto"/>
              <w:bottom w:val="nil"/>
              <w:right w:val="nil"/>
            </w:tcBorders>
            <w:hideMark/>
          </w:tcPr>
          <w:p w:rsidR="00E451E4" w:rsidRPr="00B0345A" w:rsidRDefault="00E451E4" w:rsidP="000A61DD">
            <w:pPr>
              <w:pStyle w:val="Normal6"/>
            </w:pPr>
            <w:r>
              <w:rPr>
                <w:b/>
                <w:i/>
                <w:szCs w:val="24"/>
              </w:rPr>
              <w:t>-50 % και +100 %</w:t>
            </w:r>
            <w:r>
              <w:t xml:space="preserve"> της δηλούμενης περιεκτικότητας αυτών των θρεπτικών συστατικών, μέχρι μια μέγιστη απόκλιση </w:t>
            </w:r>
            <w:r>
              <w:rPr>
                <w:b/>
                <w:i/>
                <w:szCs w:val="24"/>
              </w:rPr>
              <w:t>-2 και +4</w:t>
            </w:r>
            <w:r>
              <w:t xml:space="preserve"> ποσοστιαίων μονάδων σε απόλυτες τιμές.</w:t>
            </w: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Normal6"/>
              <w:rPr>
                <w:szCs w:val="24"/>
              </w:rPr>
            </w:pPr>
            <w:r>
              <w:rPr>
                <w:b/>
                <w:i/>
                <w:szCs w:val="24"/>
              </w:rPr>
              <w:t>Οι ανωτέρω τιμές ανοχής ισχύουν επίσης για τις μορφές αζώτου και για τις διαλυτότητες.</w:t>
            </w: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Normal6"/>
              <w:rPr>
                <w:szCs w:val="24"/>
              </w:rPr>
            </w:pPr>
            <w:r>
              <w:t xml:space="preserve">Κοκκομετρία: </w:t>
            </w:r>
            <w:r>
              <w:rPr>
                <w:b/>
                <w:i/>
                <w:szCs w:val="24"/>
              </w:rPr>
              <w:t>± 20 %</w:t>
            </w:r>
            <w:r>
              <w:t xml:space="preserve"> σχετική απόκλιση ως προς το δηλούμενο ποσοστό υλικού που διέρχεται από συγκεκριμένο κόσκινο</w:t>
            </w:r>
          </w:p>
        </w:tc>
      </w:tr>
      <w:tr w:rsidR="00E451E4" w:rsidRPr="00B0345A" w:rsidTr="000A61DD">
        <w:trPr>
          <w:gridBefore w:val="1"/>
          <w:wBefore w:w="340" w:type="dxa"/>
          <w:jc w:val="center"/>
        </w:trPr>
        <w:tc>
          <w:tcPr>
            <w:tcW w:w="9750" w:type="dxa"/>
            <w:gridSpan w:val="8"/>
            <w:hideMark/>
          </w:tcPr>
          <w:p w:rsidR="00E451E4" w:rsidRPr="00B0345A" w:rsidRDefault="00E451E4" w:rsidP="000A61DD">
            <w:pPr>
              <w:pStyle w:val="Normal6"/>
            </w:pPr>
            <w:r>
              <w:t xml:space="preserve">Ποσότητα: </w:t>
            </w:r>
            <w:r>
              <w:rPr>
                <w:b/>
                <w:i/>
              </w:rPr>
              <w:t>± 3 %</w:t>
            </w:r>
            <w:r>
              <w:t xml:space="preserve"> σχετική απόκλιση από τη δηλούμενη τιμή</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en-GB"/>
        </w:rPr>
        <w:t>&lt;Article&gt;</w:t>
      </w:r>
      <w:r w:rsidRPr="00AC4460">
        <w:t xml:space="preserve"> Παράρτημα III – μέρος 3 – ΚΛΠ 3 </w:t>
      </w:r>
      <w:r>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9752" w:type="dxa"/>
            <w:gridSpan w:val="2"/>
            <w:hideMark/>
          </w:tcPr>
          <w:p w:rsidR="00E451E4" w:rsidRPr="00B0345A" w:rsidRDefault="00E451E4" w:rsidP="000A61DD">
            <w:pPr>
              <w:pStyle w:val="ColumnHeading"/>
              <w:keepNext/>
            </w:pPr>
            <w:r>
              <w:t>Κείμενο που προτείνει η Επιτροπή</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r>
              <w:t>Μορφές του δηλούμενου θρεπτικού συστατικού και άλλα δηλούμενα κριτήρια ποιότητας</w:t>
            </w:r>
          </w:p>
        </w:tc>
        <w:tc>
          <w:tcPr>
            <w:tcW w:w="4876" w:type="dxa"/>
            <w:tcBorders>
              <w:left w:val="single" w:sz="4" w:space="0" w:color="auto"/>
              <w:bottom w:val="single" w:sz="4" w:space="0" w:color="auto"/>
            </w:tcBorders>
          </w:tcPr>
          <w:p w:rsidR="00E451E4" w:rsidRPr="00B0345A" w:rsidRDefault="00E451E4" w:rsidP="000A61DD">
            <w:pPr>
              <w:pStyle w:val="Normal6"/>
            </w:pPr>
            <w:r>
              <w:t>Επιτρεπόμενο όριο ανοχής για τη δηλούμενη παράμετρο</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pH</w:t>
            </w:r>
          </w:p>
        </w:tc>
        <w:tc>
          <w:tcPr>
            <w:tcW w:w="4876" w:type="dxa"/>
            <w:tcBorders>
              <w:top w:val="single" w:sz="4" w:space="0" w:color="auto"/>
              <w:left w:val="single" w:sz="4" w:space="0" w:color="auto"/>
            </w:tcBorders>
          </w:tcPr>
          <w:p w:rsidR="00E451E4" w:rsidRPr="00B0345A" w:rsidRDefault="00E451E4" w:rsidP="000A61DD">
            <w:pPr>
              <w:pStyle w:val="Normal6"/>
              <w:tabs>
                <w:tab w:val="left" w:pos="86"/>
              </w:tabs>
              <w:spacing w:line="254" w:lineRule="auto"/>
              <w:ind w:left="86"/>
              <w:jc w:val="both"/>
            </w:pPr>
            <w:r>
              <w:t xml:space="preserve">± 0,7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tabs>
                <w:tab w:val="left" w:pos="86"/>
              </w:tabs>
              <w:spacing w:line="254" w:lineRule="auto"/>
              <w:ind w:left="86"/>
              <w:jc w:val="both"/>
            </w:pPr>
            <w:r>
              <w:t xml:space="preserve">± </w:t>
            </w:r>
            <w:r>
              <w:rPr>
                <w:b/>
                <w:i/>
              </w:rPr>
              <w:t>1,0</w:t>
            </w:r>
            <w:r>
              <w:t xml:space="preserve"> οποιαδήποτε στιγμή εντός της αλυσίδας διανομής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pPr>
            <w:r>
              <w:t>Οργανικός άνθρακας (C)</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pPr>
            <w:r>
              <w:t>± 10% σχετική απόκλιση από τη δηλούμενη τιμή, μέχρι μια μέγιστη απόκλιση 1,0 ποσοστιαίων μονάδων σε απόλυτες τιμές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 άζωτο (N)</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pPr>
            <w:r>
              <w:t>± 20 % σχετική απόκλιση, μέχρι μια μέγιστη απόκλιση 1,0 ποσοστιαίας μονάδας σε απόλυτες τιμές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Ολική περιεκτικότητα σε πεντοξείδιο του φωσφόρου (P</w:t>
            </w:r>
            <w:r>
              <w:rPr>
                <w:vertAlign w:val="subscript"/>
              </w:rPr>
              <w:t>2</w:t>
            </w:r>
            <w:r>
              <w:t>O</w:t>
            </w:r>
            <w:r>
              <w:rPr>
                <w:vertAlign w:val="subscript"/>
              </w:rPr>
              <w:t>5</w:t>
            </w:r>
            <w:r>
              <w:t>)</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20 % σχετική απόκλιση, μέχρι μια μέγιστη απόκλιση 1,0 ποσοστιαίας μονάδας σε απόλυτες τιμές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Ολικό οξείδιο του καλίου (K</w:t>
            </w:r>
            <w:r>
              <w:rPr>
                <w:vertAlign w:val="subscript"/>
              </w:rPr>
              <w:t>2</w:t>
            </w:r>
            <w:r>
              <w:t>O)</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20 % σχετική απόκλιση, μέχρι μια μέγιστη απόκλιση 1,0 ποσοστιαίας μονάδας σε απόλυτες τιμές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rPr>
                <w:bCs/>
                <w:i/>
                <w:iCs/>
                <w:szCs w:val="24"/>
              </w:rPr>
            </w:pPr>
            <w:r>
              <w:t>Ξηρά ουσία</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rPr>
                <w:bCs/>
                <w:i/>
                <w:iCs/>
                <w:szCs w:val="24"/>
              </w:rPr>
            </w:pPr>
            <w:r>
              <w:t>± 10% σχετική απόκλιση από τη δηλούμενη τιμή</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Ποσότητα</w:t>
            </w:r>
          </w:p>
        </w:tc>
        <w:tc>
          <w:tcPr>
            <w:tcW w:w="4876" w:type="dxa"/>
            <w:tcBorders>
              <w:top w:val="single" w:sz="4" w:space="0" w:color="auto"/>
              <w:left w:val="single" w:sz="4" w:space="0" w:color="auto"/>
            </w:tcBorders>
          </w:tcPr>
          <w:p w:rsidR="00E451E4" w:rsidRPr="00B0345A" w:rsidRDefault="00E451E4" w:rsidP="000A61DD">
            <w:pPr>
              <w:pStyle w:val="Normal6"/>
              <w:tabs>
                <w:tab w:val="left" w:pos="86"/>
              </w:tabs>
              <w:spacing w:line="254" w:lineRule="auto"/>
              <w:ind w:left="86"/>
              <w:jc w:val="both"/>
              <w:rPr>
                <w:bCs/>
                <w:i/>
                <w:iCs/>
                <w:szCs w:val="24"/>
              </w:rPr>
            </w:pPr>
            <w:r>
              <w:t xml:space="preserve">- 5 % σχετική απόκλιση από τη δηλούμενη τιμή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tabs>
                <w:tab w:val="left" w:pos="86"/>
              </w:tabs>
              <w:spacing w:line="254" w:lineRule="auto"/>
              <w:ind w:left="86"/>
              <w:jc w:val="both"/>
            </w:pPr>
            <w:r>
              <w:t xml:space="preserve">- </w:t>
            </w:r>
            <w:r>
              <w:rPr>
                <w:b/>
                <w:i/>
              </w:rPr>
              <w:t>25 %</w:t>
            </w:r>
            <w:r>
              <w:t xml:space="preserve"> σχετική απόκλιση από τη δηλούμενη τιμή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032852" w:rsidRDefault="00E451E4" w:rsidP="000A61DD">
            <w:pPr>
              <w:pStyle w:val="Normal6"/>
              <w:rPr>
                <w:bCs/>
                <w:i/>
                <w:iCs/>
                <w:szCs w:val="24"/>
              </w:rPr>
            </w:pPr>
            <w:r>
              <w:t>Οργανικός άνθρακας (C) / οργανικό άζωτο (N)</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20 % σχετική απόκλιση από τη δηλούμενη τιμή, μέχρι μια μέγιστη απόκλιση 2,0 ποσοστιαίων μονάδων σε απόλυτες τιμές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Κοκκομετρία</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10 % σχετική απόκλιση ως προς το δηλούμενο ποσοστό υλικού που διέρχεται από συγκεκριμένο κόσκινο.</w:t>
            </w:r>
          </w:p>
        </w:tc>
      </w:tr>
      <w:tr w:rsidR="00E451E4" w:rsidRPr="00B0345A" w:rsidTr="000A61DD">
        <w:trPr>
          <w:jc w:val="center"/>
        </w:trPr>
        <w:tc>
          <w:tcPr>
            <w:tcW w:w="9752" w:type="dxa"/>
            <w:gridSpan w:val="2"/>
          </w:tcPr>
          <w:p w:rsidR="00E451E4" w:rsidRPr="00B0345A" w:rsidRDefault="00E451E4" w:rsidP="000A61DD">
            <w:pPr>
              <w:pStyle w:val="ColumnHeading"/>
              <w:rPr>
                <w:szCs w:val="24"/>
              </w:rPr>
            </w:pPr>
            <w:r>
              <w:t>Τροπολογία</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r>
              <w:t>Μορφές του δηλούμενου θρεπτικού συστατικού και άλλα δηλούμενα κριτήρια ποιότητας</w:t>
            </w:r>
          </w:p>
        </w:tc>
        <w:tc>
          <w:tcPr>
            <w:tcW w:w="4876" w:type="dxa"/>
            <w:tcBorders>
              <w:left w:val="single" w:sz="4" w:space="0" w:color="auto"/>
              <w:bottom w:val="single" w:sz="4" w:space="0" w:color="auto"/>
            </w:tcBorders>
          </w:tcPr>
          <w:p w:rsidR="00E451E4" w:rsidRPr="00B0345A" w:rsidRDefault="00E451E4" w:rsidP="000A61DD">
            <w:pPr>
              <w:pStyle w:val="Normal6"/>
            </w:pPr>
            <w:r>
              <w:t>Επιτρεπόμενο όριο ανοχής για τη δηλούμενη παράμετρο</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pH</w:t>
            </w:r>
          </w:p>
        </w:tc>
        <w:tc>
          <w:tcPr>
            <w:tcW w:w="4876" w:type="dxa"/>
            <w:tcBorders>
              <w:top w:val="single" w:sz="4" w:space="0" w:color="auto"/>
              <w:left w:val="single" w:sz="4" w:space="0" w:color="auto"/>
            </w:tcBorders>
          </w:tcPr>
          <w:p w:rsidR="00E451E4" w:rsidRPr="00B0345A" w:rsidRDefault="00E451E4" w:rsidP="000A61DD">
            <w:pPr>
              <w:pStyle w:val="Normal6"/>
            </w:pPr>
            <w:r>
              <w:t xml:space="preserve">± 0,7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0,9</w:t>
            </w:r>
            <w:r>
              <w:t xml:space="preserve"> οποιαδήποτε στιγμή εντός της αλυσίδας διανομής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pPr>
            <w:r>
              <w:t>Οργανικός άνθρακας (C)</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pPr>
            <w:r>
              <w:t>± 10% σχετική απόκλιση από τη δηλούμενη τιμή, μέχρι μια μέγιστη απόκλιση 1,0 ποσοστιαίων μονάδων σε απόλυτες τιμές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pPr>
            <w:r>
              <w:t>Ολικό άζωτο (N)</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pPr>
            <w:r>
              <w:t>± 20 % σχετική απόκλιση, μέχρι μια μέγιστη απόκλιση 1,0 ποσοστιαίας μονάδας σε απόλυτες τιμές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rPr>
                <w:szCs w:val="24"/>
              </w:rPr>
            </w:pPr>
            <w:r>
              <w:t>Ολική περιεκτικότητα σε πεντοξείδιο του φωσφόρου (P</w:t>
            </w:r>
            <w:r>
              <w:rPr>
                <w:vertAlign w:val="subscript"/>
              </w:rPr>
              <w:t>2</w:t>
            </w:r>
            <w:r>
              <w:t>O</w:t>
            </w:r>
            <w:r>
              <w:rPr>
                <w:vertAlign w:val="subscript"/>
              </w:rPr>
              <w:t>5</w:t>
            </w:r>
            <w:r>
              <w:t>)</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20 % σχετική απόκλιση, μέχρι μια μέγιστη απόκλιση 1,0 ποσοστιαίας μονάδας σε απόλυτες τιμές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rPr>
                <w:szCs w:val="24"/>
              </w:rPr>
            </w:pPr>
            <w:r>
              <w:t>Ολικό οξείδιο του καλίου (K</w:t>
            </w:r>
            <w:r>
              <w:rPr>
                <w:vertAlign w:val="subscript"/>
              </w:rPr>
              <w:t>2</w:t>
            </w:r>
            <w:r>
              <w:t>O)</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20 % σχετική απόκλιση, μέχρι μια μέγιστη απόκλιση 1,0 ποσοστιαίας μονάδας σε απόλυτες τιμές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B0345A" w:rsidRDefault="00E451E4" w:rsidP="000A61DD">
            <w:pPr>
              <w:pStyle w:val="Normal6"/>
              <w:rPr>
                <w:szCs w:val="24"/>
              </w:rPr>
            </w:pPr>
            <w:r>
              <w:t>Ξηρά ουσία</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10% σχετική απόκλιση από τη δηλούμενη τιμή</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Ποσότητα</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xml:space="preserve">- 5 % σχετική απόκλιση από τη δηλούμενη τιμή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rPr>
                <w:szCs w:val="24"/>
              </w:rPr>
            </w:pPr>
          </w:p>
        </w:tc>
        <w:tc>
          <w:tcPr>
            <w:tcW w:w="4876" w:type="dxa"/>
            <w:tcBorders>
              <w:left w:val="single" w:sz="4" w:space="0" w:color="auto"/>
              <w:bottom w:val="single" w:sz="4" w:space="0" w:color="auto"/>
            </w:tcBorders>
          </w:tcPr>
          <w:p w:rsidR="00E451E4" w:rsidRPr="00B0345A" w:rsidRDefault="00E451E4" w:rsidP="000A61DD">
            <w:pPr>
              <w:pStyle w:val="Normal6"/>
              <w:rPr>
                <w:szCs w:val="24"/>
              </w:rPr>
            </w:pPr>
            <w:r>
              <w:t xml:space="preserve">- </w:t>
            </w:r>
            <w:r>
              <w:rPr>
                <w:b/>
                <w:i/>
              </w:rPr>
              <w:t>15%</w:t>
            </w:r>
            <w:r>
              <w:t xml:space="preserve"> σχετική απόκλιση από τη δηλούμενη τιμή οποιαδήποτε στιγμή εντός της αλυσίδας διανομής</w:t>
            </w:r>
          </w:p>
        </w:tc>
      </w:tr>
      <w:tr w:rsidR="00E451E4" w:rsidRPr="00B0345A" w:rsidTr="000A61DD">
        <w:trPr>
          <w:jc w:val="center"/>
        </w:trPr>
        <w:tc>
          <w:tcPr>
            <w:tcW w:w="4876" w:type="dxa"/>
            <w:tcBorders>
              <w:top w:val="single" w:sz="4" w:space="0" w:color="auto"/>
              <w:bottom w:val="single" w:sz="4" w:space="0" w:color="auto"/>
              <w:right w:val="single" w:sz="4" w:space="0" w:color="auto"/>
            </w:tcBorders>
          </w:tcPr>
          <w:p w:rsidR="00E451E4" w:rsidRPr="00032852" w:rsidRDefault="00E451E4" w:rsidP="000A61DD">
            <w:pPr>
              <w:pStyle w:val="Normal6"/>
              <w:rPr>
                <w:szCs w:val="24"/>
              </w:rPr>
            </w:pPr>
            <w:r>
              <w:t>Οργανικός άνθρακας (C) / οργανικό άζωτο (N)</w:t>
            </w:r>
          </w:p>
        </w:tc>
        <w:tc>
          <w:tcPr>
            <w:tcW w:w="4876" w:type="dxa"/>
            <w:tcBorders>
              <w:top w:val="single" w:sz="4" w:space="0" w:color="auto"/>
              <w:left w:val="single" w:sz="4" w:space="0" w:color="auto"/>
              <w:bottom w:val="single" w:sz="4" w:space="0" w:color="auto"/>
            </w:tcBorders>
          </w:tcPr>
          <w:p w:rsidR="00E451E4" w:rsidRPr="00B0345A" w:rsidRDefault="00E451E4" w:rsidP="000A61DD">
            <w:pPr>
              <w:pStyle w:val="Normal6"/>
              <w:rPr>
                <w:szCs w:val="24"/>
              </w:rPr>
            </w:pPr>
            <w:r>
              <w:t>± 20 % σχετική απόκλιση από τη δηλούμενη τιμή, μέχρι μια μέγιστη απόκλιση 2,0 ποσοστιαίων μονάδων σε απόλυτες τιμές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Κοκκομετρία</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10 % σχετική απόκλιση ως προς το δηλούμενο ποσοστό υλικού που διέρχεται από συγκεκριμένο κόσκινο.</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III – μέρος 3 – ΚΛΠ 4</w:t>
      </w:r>
      <w:r>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9752" w:type="dxa"/>
            <w:gridSpan w:val="2"/>
            <w:hideMark/>
          </w:tcPr>
          <w:p w:rsidR="00E451E4" w:rsidRPr="00B0345A" w:rsidRDefault="00E451E4" w:rsidP="000A61DD">
            <w:pPr>
              <w:pStyle w:val="ColumnHeading"/>
              <w:keepNext/>
            </w:pPr>
            <w:r>
              <w:t>Κείμενο που προτείνει η Επιτροπή</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r>
              <w:t>Μορφές του δηλούμενου θρεπτικού συστατικού και άλλα δηλούμενα κριτήρια ποιότητας</w:t>
            </w:r>
          </w:p>
        </w:tc>
        <w:tc>
          <w:tcPr>
            <w:tcW w:w="4876" w:type="dxa"/>
            <w:tcBorders>
              <w:left w:val="single" w:sz="4" w:space="0" w:color="auto"/>
              <w:bottom w:val="single" w:sz="4" w:space="0" w:color="auto"/>
            </w:tcBorders>
          </w:tcPr>
          <w:p w:rsidR="00E451E4" w:rsidRPr="00B0345A" w:rsidRDefault="00E451E4" w:rsidP="000A61DD">
            <w:pPr>
              <w:pStyle w:val="Normal6"/>
            </w:pPr>
            <w:r>
              <w:t>Επιτρεπόμενο όριο ανοχής για τη δηλούμενη παράμετρο</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Ηλεκτρική αγωγιμότητα</w:t>
            </w:r>
          </w:p>
        </w:tc>
        <w:tc>
          <w:tcPr>
            <w:tcW w:w="4876" w:type="dxa"/>
            <w:tcBorders>
              <w:top w:val="single" w:sz="4" w:space="0" w:color="auto"/>
              <w:left w:val="single" w:sz="4" w:space="0" w:color="auto"/>
            </w:tcBorders>
          </w:tcPr>
          <w:p w:rsidR="00E451E4" w:rsidRPr="00B0345A" w:rsidRDefault="00E451E4" w:rsidP="000A61DD">
            <w:pPr>
              <w:pStyle w:val="Normal6"/>
            </w:pPr>
            <w:r>
              <w:t xml:space="preserve">± 50 % σχετική απόκλιση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75 %</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pH</w:t>
            </w:r>
          </w:p>
        </w:tc>
        <w:tc>
          <w:tcPr>
            <w:tcW w:w="4876" w:type="dxa"/>
            <w:tcBorders>
              <w:top w:val="single" w:sz="4" w:space="0" w:color="auto"/>
              <w:left w:val="single" w:sz="4" w:space="0" w:color="auto"/>
            </w:tcBorders>
          </w:tcPr>
          <w:p w:rsidR="00E451E4" w:rsidRPr="00B0345A" w:rsidRDefault="00E451E4" w:rsidP="000A61DD">
            <w:pPr>
              <w:pStyle w:val="Normal6"/>
            </w:pPr>
            <w:r>
              <w:t xml:space="preserve">± 0,7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rPr>
                <w:b/>
                <w:i/>
              </w:rPr>
              <w:t>± 1,0</w:t>
            </w:r>
            <w:r>
              <w:t xml:space="preserve">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Ποσότητα, σε όγκο (λίτρα ή m³)</w:t>
            </w:r>
          </w:p>
        </w:tc>
        <w:tc>
          <w:tcPr>
            <w:tcW w:w="4876" w:type="dxa"/>
            <w:tcBorders>
              <w:top w:val="single" w:sz="4" w:space="0" w:color="auto"/>
              <w:left w:val="single" w:sz="4" w:space="0" w:color="auto"/>
            </w:tcBorders>
          </w:tcPr>
          <w:p w:rsidR="00E451E4" w:rsidRPr="00B0345A" w:rsidRDefault="00E451E4" w:rsidP="000A61DD">
            <w:pPr>
              <w:pStyle w:val="Normal6"/>
            </w:pPr>
            <w:r>
              <w:t xml:space="preserve">- 5 % σχετική απόκλιση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rPr>
                <w:b/>
                <w:i/>
              </w:rPr>
              <w:t>- 25 %</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Προσδιορισμός ποσότητας (σε όγκο) των υλικών με μέγεθος σωματιδίων μεγαλύτερο των 60 mm</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xml:space="preserve">- 5 % σχετική απόκλιση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rPr>
                <w:b/>
                <w:i/>
              </w:rPr>
              <w:t>- 25 %</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Προσδιορισμός ποσότητας (σε όγκο) των προδιαμορφωμένων υποστρωμάτων καλλιέργειας</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xml:space="preserve">- 5 % σχετική απόκλιση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25 %</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Υδατοδιαλυτό άζωτο (N)</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50 % σχετική απόκλιση κατά τη χρονική στιγμή της παρασκευής</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 </w:t>
            </w:r>
            <w:r>
              <w:rPr>
                <w:b/>
                <w:i/>
              </w:rPr>
              <w:t>75 %</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Υδατοδιαλυτό πεντοξείδιο του φωσφόρου (P</w:t>
            </w:r>
            <w:r>
              <w:rPr>
                <w:vertAlign w:val="subscript"/>
              </w:rPr>
              <w:t>2</w:t>
            </w:r>
            <w:r>
              <w:t>O</w:t>
            </w:r>
            <w:r>
              <w:rPr>
                <w:vertAlign w:val="subscript"/>
              </w:rPr>
              <w:t>5</w:t>
            </w:r>
            <w:r>
              <w:t>)</w:t>
            </w:r>
          </w:p>
        </w:tc>
        <w:tc>
          <w:tcPr>
            <w:tcW w:w="4876" w:type="dxa"/>
            <w:tcBorders>
              <w:top w:val="single" w:sz="4" w:space="0" w:color="auto"/>
              <w:left w:val="single" w:sz="4" w:space="0" w:color="auto"/>
            </w:tcBorders>
          </w:tcPr>
          <w:p w:rsidR="00E451E4" w:rsidRPr="00B0345A" w:rsidRDefault="00E451E4" w:rsidP="000A61DD">
            <w:pPr>
              <w:pStyle w:val="Normal6"/>
            </w:pPr>
            <w:r>
              <w:t xml:space="preserve">± 50 % σχετική απόκλιση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bCs/>
                <w:i/>
                <w:iCs/>
              </w:rPr>
              <w:t>75 %</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bCs/>
                <w:i/>
                <w:iCs/>
                <w:szCs w:val="24"/>
              </w:rPr>
            </w:pPr>
            <w:r>
              <w:t>Υδατοδιαλυτό οξείδιο του καλίου (K</w:t>
            </w:r>
            <w:r>
              <w:rPr>
                <w:vertAlign w:val="subscript"/>
              </w:rPr>
              <w:t>2</w:t>
            </w:r>
            <w:r>
              <w:t>O)</w:t>
            </w:r>
          </w:p>
        </w:tc>
        <w:tc>
          <w:tcPr>
            <w:tcW w:w="4876" w:type="dxa"/>
            <w:tcBorders>
              <w:top w:val="single" w:sz="4" w:space="0" w:color="auto"/>
              <w:left w:val="single" w:sz="4" w:space="0" w:color="auto"/>
            </w:tcBorders>
          </w:tcPr>
          <w:p w:rsidR="00E451E4" w:rsidRPr="00B0345A" w:rsidRDefault="00E451E4" w:rsidP="000A61DD">
            <w:pPr>
              <w:pStyle w:val="Normal6"/>
              <w:rPr>
                <w:bCs/>
                <w:i/>
                <w:iCs/>
                <w:szCs w:val="24"/>
              </w:rPr>
            </w:pPr>
            <w:r>
              <w:t xml:space="preserve">± 50 % σχετική απόκλιση κατά τη χρονική στιγμή της παρασκευής </w:t>
            </w:r>
          </w:p>
        </w:tc>
      </w:tr>
      <w:tr w:rsidR="00E451E4" w:rsidRPr="00B0345A" w:rsidTr="000A61DD">
        <w:trPr>
          <w:jc w:val="center"/>
        </w:trPr>
        <w:tc>
          <w:tcPr>
            <w:tcW w:w="4876" w:type="dxa"/>
            <w:tcBorders>
              <w:right w:val="single" w:sz="4" w:space="0" w:color="auto"/>
            </w:tcBorders>
          </w:tcPr>
          <w:p w:rsidR="00E451E4" w:rsidRPr="00B0345A" w:rsidRDefault="00E451E4" w:rsidP="000A61DD">
            <w:pPr>
              <w:pStyle w:val="Normal6"/>
            </w:pPr>
          </w:p>
        </w:tc>
        <w:tc>
          <w:tcPr>
            <w:tcW w:w="4876" w:type="dxa"/>
            <w:tcBorders>
              <w:left w:val="single" w:sz="4" w:space="0" w:color="auto"/>
            </w:tcBorders>
          </w:tcPr>
          <w:p w:rsidR="00E451E4" w:rsidRPr="00B0345A" w:rsidRDefault="00E451E4" w:rsidP="000A61DD">
            <w:pPr>
              <w:pStyle w:val="Normal6"/>
            </w:pPr>
            <w:r>
              <w:t xml:space="preserve">± </w:t>
            </w:r>
            <w:r>
              <w:rPr>
                <w:b/>
                <w:i/>
              </w:rPr>
              <w:t>75 %</w:t>
            </w:r>
            <w:r>
              <w:t xml:space="preserve"> σχετική απόκλιση οποιαδήποτε στιγμή εντός της αλυσίδας διανομής</w:t>
            </w:r>
          </w:p>
        </w:tc>
      </w:tr>
      <w:tr w:rsidR="00E451E4" w:rsidRPr="00B0345A" w:rsidTr="000A61DD">
        <w:trPr>
          <w:jc w:val="center"/>
        </w:trPr>
        <w:tc>
          <w:tcPr>
            <w:tcW w:w="9752" w:type="dxa"/>
            <w:gridSpan w:val="2"/>
          </w:tcPr>
          <w:p w:rsidR="00E451E4" w:rsidRPr="00B0345A" w:rsidRDefault="00E451E4" w:rsidP="000A61DD">
            <w:pPr>
              <w:pStyle w:val="ColumnHeading"/>
              <w:rPr>
                <w:szCs w:val="24"/>
              </w:rPr>
            </w:pPr>
            <w:r>
              <w:t>Τροπολογία</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r>
              <w:t>Μορφές του δηλούμενου θρεπτικού συστατικού και άλλα δηλούμενα κριτήρια ποιότητας</w:t>
            </w:r>
          </w:p>
        </w:tc>
        <w:tc>
          <w:tcPr>
            <w:tcW w:w="4876" w:type="dxa"/>
            <w:tcBorders>
              <w:left w:val="single" w:sz="4" w:space="0" w:color="auto"/>
              <w:bottom w:val="single" w:sz="4" w:space="0" w:color="auto"/>
            </w:tcBorders>
          </w:tcPr>
          <w:p w:rsidR="00E451E4" w:rsidRPr="00B0345A" w:rsidRDefault="00E451E4" w:rsidP="000A61DD">
            <w:pPr>
              <w:pStyle w:val="Normal6"/>
            </w:pPr>
            <w:r>
              <w:t>Επιτρεπόμενο όριο ανοχής για τη δηλούμενη παράμετρο</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Ηλεκτρική αγωγιμότητα</w:t>
            </w:r>
          </w:p>
        </w:tc>
        <w:tc>
          <w:tcPr>
            <w:tcW w:w="4876" w:type="dxa"/>
            <w:tcBorders>
              <w:top w:val="single" w:sz="4" w:space="0" w:color="auto"/>
              <w:left w:val="single" w:sz="4" w:space="0" w:color="auto"/>
            </w:tcBorders>
          </w:tcPr>
          <w:p w:rsidR="00E451E4" w:rsidRPr="00B0345A" w:rsidRDefault="00E451E4" w:rsidP="000A61DD">
            <w:pPr>
              <w:pStyle w:val="Normal6"/>
            </w:pPr>
            <w:r>
              <w:t>± 50 % σχετική απόκλιση κατά τη χρονική στιγμή της παρασκευής</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60%</w:t>
            </w:r>
            <w:r>
              <w:t xml:space="preserve">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pH</w:t>
            </w:r>
          </w:p>
        </w:tc>
        <w:tc>
          <w:tcPr>
            <w:tcW w:w="4876" w:type="dxa"/>
            <w:tcBorders>
              <w:top w:val="single" w:sz="4" w:space="0" w:color="auto"/>
              <w:left w:val="single" w:sz="4" w:space="0" w:color="auto"/>
            </w:tcBorders>
          </w:tcPr>
          <w:p w:rsidR="00E451E4" w:rsidRPr="00B0345A" w:rsidRDefault="00E451E4" w:rsidP="000A61DD">
            <w:pPr>
              <w:pStyle w:val="Normal6"/>
            </w:pPr>
            <w:r>
              <w:t xml:space="preserve">± 0,7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0,9</w:t>
            </w:r>
            <w:r>
              <w:t xml:space="preserve">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pPr>
            <w:r>
              <w:t>Ποσότητα, σε όγκο (λίτρα ή m³)</w:t>
            </w:r>
          </w:p>
        </w:tc>
        <w:tc>
          <w:tcPr>
            <w:tcW w:w="4876" w:type="dxa"/>
            <w:tcBorders>
              <w:top w:val="single" w:sz="4" w:space="0" w:color="auto"/>
              <w:left w:val="single" w:sz="4" w:space="0" w:color="auto"/>
            </w:tcBorders>
          </w:tcPr>
          <w:p w:rsidR="00E451E4" w:rsidRPr="00B0345A" w:rsidRDefault="00E451E4" w:rsidP="000A61DD">
            <w:pPr>
              <w:pStyle w:val="Normal6"/>
            </w:pPr>
            <w:r>
              <w:t>- 5 % σχετική απόκλιση κατά τη χρονική στιγμή της παρασκευής</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15</w:t>
            </w:r>
            <w:r>
              <w:t xml:space="preserve"> %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Προσδιορισμός ποσότητας (σε όγκο) των υλικών με μέγεθος σωματιδίων μεγαλύτερο των 60 mm</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- 5 % σχετική απόκλιση κατά τη χρονική στιγμή της παρασκευής</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rPr>
                <w:szCs w:val="24"/>
              </w:rPr>
            </w:pPr>
            <w:r>
              <w:t xml:space="preserve">± </w:t>
            </w:r>
            <w:r>
              <w:rPr>
                <w:b/>
                <w:i/>
              </w:rPr>
              <w:t>15</w:t>
            </w:r>
            <w:r>
              <w:t xml:space="preserve"> %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Προσδιορισμός ποσότητας (σε όγκο) των προδιαμορφωμένων υποστρωμάτων καλλιέργειας</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- 5 % σχετική απόκλιση κατά τη χρονική στιγμή της παρασκευής</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pPr>
            <w:r>
              <w:t xml:space="preserve">± </w:t>
            </w:r>
            <w:r>
              <w:rPr>
                <w:b/>
                <w:i/>
              </w:rPr>
              <w:t>15</w:t>
            </w:r>
            <w:r>
              <w:t xml:space="preserve"> %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Υδατοδιαλυτό άζωτο (N)</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50 % σχετική απόκλιση κατά τη χρονική στιγμή της παρασκευής</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pPr>
          </w:p>
        </w:tc>
        <w:tc>
          <w:tcPr>
            <w:tcW w:w="4876" w:type="dxa"/>
            <w:tcBorders>
              <w:left w:val="single" w:sz="4" w:space="0" w:color="auto"/>
              <w:bottom w:val="single" w:sz="4" w:space="0" w:color="auto"/>
            </w:tcBorders>
          </w:tcPr>
          <w:p w:rsidR="00E451E4" w:rsidRPr="00B0345A" w:rsidRDefault="00E451E4" w:rsidP="000A61DD">
            <w:pPr>
              <w:pStyle w:val="Normal6"/>
              <w:rPr>
                <w:szCs w:val="24"/>
              </w:rPr>
            </w:pPr>
            <w:r>
              <w:t xml:space="preserve">± </w:t>
            </w:r>
            <w:r>
              <w:rPr>
                <w:b/>
                <w:i/>
              </w:rPr>
              <w:t>60</w:t>
            </w:r>
            <w:r>
              <w:t>%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Υδατοδιαλυτό πεντοξείδιο του φωσφόρου (P</w:t>
            </w:r>
            <w:r>
              <w:rPr>
                <w:vertAlign w:val="subscript"/>
              </w:rPr>
              <w:t>2</w:t>
            </w:r>
            <w:r>
              <w:t>O</w:t>
            </w:r>
            <w:r>
              <w:rPr>
                <w:vertAlign w:val="subscript"/>
              </w:rPr>
              <w:t>5</w:t>
            </w:r>
            <w:r>
              <w:t>)</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xml:space="preserve">± 50 % σχετική απόκλιση κατά τη χρονική στιγμή της παρασκευής </w:t>
            </w:r>
          </w:p>
        </w:tc>
      </w:tr>
      <w:tr w:rsidR="00E451E4" w:rsidRPr="00B0345A" w:rsidTr="000A61DD">
        <w:trPr>
          <w:jc w:val="center"/>
        </w:trPr>
        <w:tc>
          <w:tcPr>
            <w:tcW w:w="4876" w:type="dxa"/>
            <w:tcBorders>
              <w:bottom w:val="single" w:sz="4" w:space="0" w:color="auto"/>
              <w:right w:val="single" w:sz="4" w:space="0" w:color="auto"/>
            </w:tcBorders>
          </w:tcPr>
          <w:p w:rsidR="00E451E4" w:rsidRPr="00B0345A" w:rsidRDefault="00E451E4" w:rsidP="000A61DD">
            <w:pPr>
              <w:pStyle w:val="Normal6"/>
              <w:rPr>
                <w:szCs w:val="24"/>
              </w:rPr>
            </w:pPr>
          </w:p>
        </w:tc>
        <w:tc>
          <w:tcPr>
            <w:tcW w:w="4876" w:type="dxa"/>
            <w:tcBorders>
              <w:left w:val="single" w:sz="4" w:space="0" w:color="auto"/>
              <w:bottom w:val="single" w:sz="4" w:space="0" w:color="auto"/>
            </w:tcBorders>
          </w:tcPr>
          <w:p w:rsidR="00E451E4" w:rsidRPr="00B0345A" w:rsidRDefault="00E451E4" w:rsidP="000A61DD">
            <w:pPr>
              <w:pStyle w:val="Normal6"/>
              <w:rPr>
                <w:szCs w:val="24"/>
              </w:rPr>
            </w:pPr>
            <w:r>
              <w:t xml:space="preserve">± </w:t>
            </w:r>
            <w:r>
              <w:rPr>
                <w:b/>
                <w:i/>
              </w:rPr>
              <w:t>60</w:t>
            </w:r>
            <w:r>
              <w:t>% σχετική απόκλιση οποιαδήποτε στιγμή εντός της αλυσίδας διανομής</w:t>
            </w:r>
          </w:p>
        </w:tc>
      </w:tr>
      <w:tr w:rsidR="00E451E4" w:rsidRPr="00B0345A" w:rsidTr="000A61DD">
        <w:trPr>
          <w:jc w:val="center"/>
        </w:trPr>
        <w:tc>
          <w:tcPr>
            <w:tcW w:w="4876" w:type="dxa"/>
            <w:tcBorders>
              <w:top w:val="single" w:sz="4" w:space="0" w:color="auto"/>
              <w:right w:val="single" w:sz="4" w:space="0" w:color="auto"/>
            </w:tcBorders>
          </w:tcPr>
          <w:p w:rsidR="00E451E4" w:rsidRPr="00B0345A" w:rsidRDefault="00E451E4" w:rsidP="000A61DD">
            <w:pPr>
              <w:pStyle w:val="Normal6"/>
              <w:rPr>
                <w:szCs w:val="24"/>
              </w:rPr>
            </w:pPr>
            <w:r>
              <w:t>Υδατοδιαλυτό οξείδιο του καλίου (K</w:t>
            </w:r>
            <w:r>
              <w:rPr>
                <w:vertAlign w:val="subscript"/>
              </w:rPr>
              <w:t>2</w:t>
            </w:r>
            <w:r>
              <w:t>O)</w:t>
            </w:r>
          </w:p>
        </w:tc>
        <w:tc>
          <w:tcPr>
            <w:tcW w:w="4876" w:type="dxa"/>
            <w:tcBorders>
              <w:top w:val="single" w:sz="4" w:space="0" w:color="auto"/>
              <w:left w:val="single" w:sz="4" w:space="0" w:color="auto"/>
            </w:tcBorders>
          </w:tcPr>
          <w:p w:rsidR="00E451E4" w:rsidRPr="00B0345A" w:rsidRDefault="00E451E4" w:rsidP="000A61DD">
            <w:pPr>
              <w:pStyle w:val="Normal6"/>
              <w:rPr>
                <w:szCs w:val="24"/>
              </w:rPr>
            </w:pPr>
            <w:r>
              <w:t xml:space="preserve">± 50 % σχετική απόκλιση κατά τη χρονική στιγμή της παρασκευής </w:t>
            </w:r>
          </w:p>
        </w:tc>
      </w:tr>
      <w:tr w:rsidR="00E451E4" w:rsidRPr="00B0345A" w:rsidTr="000A61DD">
        <w:trPr>
          <w:jc w:val="center"/>
        </w:trPr>
        <w:tc>
          <w:tcPr>
            <w:tcW w:w="4876" w:type="dxa"/>
            <w:tcBorders>
              <w:right w:val="single" w:sz="4" w:space="0" w:color="auto"/>
            </w:tcBorders>
          </w:tcPr>
          <w:p w:rsidR="00E451E4" w:rsidRPr="00B0345A" w:rsidRDefault="00E451E4" w:rsidP="000A61DD">
            <w:pPr>
              <w:pStyle w:val="Normal6"/>
              <w:rPr>
                <w:szCs w:val="24"/>
              </w:rPr>
            </w:pPr>
          </w:p>
        </w:tc>
        <w:tc>
          <w:tcPr>
            <w:tcW w:w="4876" w:type="dxa"/>
            <w:tcBorders>
              <w:left w:val="single" w:sz="4" w:space="0" w:color="auto"/>
            </w:tcBorders>
          </w:tcPr>
          <w:p w:rsidR="00E451E4" w:rsidRPr="00B0345A" w:rsidRDefault="00E451E4" w:rsidP="000A61DD">
            <w:pPr>
              <w:pStyle w:val="Normal6"/>
              <w:rPr>
                <w:szCs w:val="24"/>
              </w:rPr>
            </w:pPr>
            <w:r>
              <w:t xml:space="preserve">± </w:t>
            </w:r>
            <w:r>
              <w:rPr>
                <w:b/>
                <w:i/>
              </w:rPr>
              <w:t>60</w:t>
            </w:r>
            <w:r>
              <w:t>% σχετική απόκλιση οποιαδήποτε στιγμή εντός της αλυσίδας διανομής</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315</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1 – σημείο 1 – σημείο 1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t>χωνεύματα ενεργειακών καλλιεργειών, όπως ορίζονται στην ΚΣΥ 4,</w:t>
            </w:r>
          </w:p>
        </w:tc>
        <w:tc>
          <w:tcPr>
            <w:tcW w:w="4876" w:type="dxa"/>
          </w:tcPr>
          <w:p w:rsidR="00E451E4" w:rsidRPr="00AC4460" w:rsidRDefault="00E451E4" w:rsidP="000A61DD">
            <w:pPr>
              <w:pStyle w:val="Normal6"/>
              <w:rPr>
                <w:szCs w:val="24"/>
              </w:rPr>
            </w:pPr>
            <w:r w:rsidRPr="00AC4460">
              <w:t>β)</w:t>
            </w:r>
            <w:r w:rsidRPr="00AC4460">
              <w:tab/>
              <w:t>χωνεύματα ενεργειακών καλλιεργειών</w:t>
            </w:r>
            <w:r w:rsidRPr="00AC4460">
              <w:rPr>
                <w:b/>
                <w:i/>
              </w:rPr>
              <w:t xml:space="preserve"> και βιολογικά απόβλητα φυτικής προέλευσης</w:t>
            </w:r>
            <w:r w:rsidRPr="00AC4460">
              <w:t>, όπως ορίζονται στην ΚΣΥ 4,</w:t>
            </w:r>
          </w:p>
        </w:tc>
      </w:tr>
    </w:tbl>
    <w:p w:rsidR="00E451E4" w:rsidRPr="00B0345A" w:rsidRDefault="00E451E4" w:rsidP="00E451E4">
      <w:pPr>
        <w:pStyle w:val="AMNumberTabs"/>
        <w:keepNext/>
        <w:rPr>
          <w:rStyle w:val="HideTWBExt"/>
          <w:b w:val="0"/>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316</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1 – σημείο 1 – σημείο 1 – στοιχείο στ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στ α)</w:t>
            </w:r>
            <w:r w:rsidRPr="00AC4460">
              <w:rPr>
                <w:b/>
                <w:i/>
              </w:rPr>
              <w:tab/>
              <w:t>μη επεξεργασμένα ή μηχανικώς επεξεργασμένα φυτά, μέρη φυτών ή εκχυλίσματα φυτών, όπως ορίζονται στην ΚΣΥ 2,</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317</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1 – σημείο 1 – σημείο 3 – στοιχείο β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β α)</w:t>
            </w:r>
            <w:r w:rsidRPr="00AC4460">
              <w:rPr>
                <w:b/>
                <w:i/>
              </w:rPr>
              <w:tab/>
              <w:t>αναστολείς απονίτρωσης όπως ορίζονται στην ΚΛΠ 5(Α)(Ια),</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318</w:t>
      </w:r>
      <w:r>
        <w:rPr>
          <w:rStyle w:val="HideTWBExt"/>
          <w:b w:val="0"/>
          <w:noProof w:val="0"/>
        </w:rPr>
        <w:t>&lt;/NumAm&gt;</w:t>
      </w:r>
    </w:p>
    <w:p w:rsidR="00E451E4" w:rsidRPr="00B0345A" w:rsidRDefault="00E451E4" w:rsidP="00E451E4">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1 – σημείο 3 – σημείο 2 – στοιχείο α α (νέο)</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226C1"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α α)</w:t>
            </w:r>
            <w:r w:rsidRPr="00AC4460">
              <w:rPr>
                <w:b/>
                <w:i/>
              </w:rPr>
              <w:tab/>
              <w:t>αναστολείς απονίτρωσης όπως ορίζονται στην ΚΛΠ (Α)(Ια),</w:t>
            </w:r>
          </w:p>
        </w:tc>
      </w:tr>
    </w:tbl>
    <w:p w:rsidR="00E451E4" w:rsidRPr="00B0345A" w:rsidRDefault="00E451E4" w:rsidP="00E451E4">
      <w:pPr>
        <w:pStyle w:val="JustificationTitle"/>
        <w:jc w:val="left"/>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319</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2 – Ενότητα Α – σημείο 2.2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β)</w:t>
            </w:r>
            <w:r w:rsidRPr="00AC4460">
              <w:rPr>
                <w:b/>
                <w:i/>
              </w:rPr>
              <w:tab/>
              <w:t>σχέδια και διαγράμματα αρχικής σύλληψης και παρασκευής,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320</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2 – Ενότητα Α – σημείο 2.2 – στοιχείο γ</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rPr>
                <w:b/>
                <w:i/>
              </w:rPr>
              <w:t>γ)</w:t>
            </w:r>
            <w:r w:rsidRPr="00AC4460">
              <w:rPr>
                <w:b/>
                <w:i/>
              </w:rPr>
              <w:tab/>
              <w:t>τις περιγραφές και επεξηγήσεις που είναι αναγκαίες για την κατανόηση των εν λόγω σχεδίων και διαγραμμάτων και της χρήσης του προϊόντος λίπανσης με σήμανση CE,</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B0345A" w:rsidRDefault="00E451E4" w:rsidP="00E451E4">
      <w:pPr>
        <w:rPr>
          <w:rStyle w:val="HideTWBExt"/>
          <w:noProof w:val="0"/>
          <w:color w:val="auto"/>
        </w:rPr>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321</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ΙV – μέρος 2 – Ενότητα Α1 – σημείο 4 – παράγραφος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hideMark/>
          </w:tcPr>
          <w:p w:rsidR="00E451E4" w:rsidRPr="00AC4460" w:rsidRDefault="00E451E4" w:rsidP="000A61DD">
            <w:pPr>
              <w:pStyle w:val="Normal6"/>
            </w:pPr>
            <w:r w:rsidRPr="00AC4460">
              <w:t xml:space="preserve">Οι κύκλοι και η δοκιμή που αναφέρονται στα σημεία 4.1–4.3 παρακάτω διενεργούνται σε αντιπροσωπευτικό δείγμα του προϊόντος κάθε </w:t>
            </w:r>
            <w:r w:rsidRPr="00AC4460">
              <w:rPr>
                <w:b/>
                <w:i/>
              </w:rPr>
              <w:t>3</w:t>
            </w:r>
            <w:r w:rsidRPr="00AC4460">
              <w:t xml:space="preserve"> μήνες κατ' ελάχιστον, για λογαριασμό του παρασκευαστή, προκειμένου να επαληθευτεί η συμμόρφωση με</w:t>
            </w:r>
          </w:p>
        </w:tc>
        <w:tc>
          <w:tcPr>
            <w:tcW w:w="4876" w:type="dxa"/>
            <w:hideMark/>
          </w:tcPr>
          <w:p w:rsidR="00E451E4" w:rsidRPr="00AC4460" w:rsidRDefault="00E451E4" w:rsidP="000A61DD">
            <w:pPr>
              <w:pStyle w:val="Normal6"/>
              <w:rPr>
                <w:szCs w:val="24"/>
              </w:rPr>
            </w:pPr>
            <w:r w:rsidRPr="00AC4460">
              <w:t xml:space="preserve">Οι κύκλοι και η δοκιμή που αναφέρονται στα σημεία 4.1–4.3 παρακάτω διενεργούνται σε αντιπροσωπευτικό δείγμα του προϊόντος κάθε </w:t>
            </w:r>
            <w:r w:rsidRPr="00AC4460">
              <w:rPr>
                <w:b/>
                <w:i/>
              </w:rPr>
              <w:t>6</w:t>
            </w:r>
            <w:r w:rsidRPr="00AC4460">
              <w:t xml:space="preserve"> μήνες κατ' ελάχιστον</w:t>
            </w:r>
            <w:r w:rsidRPr="00AC4460">
              <w:rPr>
                <w:b/>
                <w:i/>
              </w:rPr>
              <w:t xml:space="preserve"> στην περίπτωση συνεχούς λειτουργίας της εγκατάστασης ή κάθε χρόνο για την περιοδική παραγωγή</w:t>
            </w:r>
            <w:r w:rsidRPr="00AC4460">
              <w:t>, για λογαριασμό του παρασκευαστή, προκειμένου να επαληθευτεί η συμμόρφωση με</w:t>
            </w:r>
          </w:p>
        </w:tc>
      </w:tr>
    </w:tbl>
    <w:p w:rsidR="00E451E4" w:rsidRPr="00B0345A" w:rsidRDefault="00E451E4" w:rsidP="00E451E4">
      <w:pPr>
        <w:pStyle w:val="AMNumberTabs"/>
        <w:keepNext/>
        <w:rPr>
          <w:rStyle w:val="HideTWBExt"/>
          <w:b w:val="0"/>
          <w:noProof w:val="0"/>
          <w:color w:val="auto"/>
        </w:rPr>
      </w:pPr>
      <w:r>
        <w:rPr>
          <w:rStyle w:val="HideTWBExt"/>
          <w:b w:val="0"/>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322</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B0345A" w:rsidRDefault="00E451E4" w:rsidP="00E451E4">
      <w:pPr>
        <w:pStyle w:val="NormalBold"/>
      </w:pPr>
      <w:r>
        <w:rPr>
          <w:rStyle w:val="HideTWBExt"/>
          <w:b w:val="0"/>
          <w:noProof w:val="0"/>
        </w:rPr>
        <w:t>&lt;Article&gt;</w:t>
      </w:r>
      <w:r w:rsidRPr="00AC4460">
        <w:t>Παράρτημα ΙV – μέρος 2 – Ενότητα Α1 – σημείο 4.3.5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B0345A" w:rsidTr="000A61DD">
        <w:trPr>
          <w:jc w:val="center"/>
        </w:trPr>
        <w:tc>
          <w:tcPr>
            <w:tcW w:w="9752" w:type="dxa"/>
            <w:gridSpan w:val="2"/>
          </w:tcPr>
          <w:p w:rsidR="00E451E4" w:rsidRPr="00B0345A" w:rsidRDefault="00E451E4" w:rsidP="000A61DD">
            <w:pPr>
              <w:keepNext/>
            </w:pPr>
          </w:p>
        </w:tc>
      </w:tr>
      <w:tr w:rsidR="00E451E4" w:rsidRPr="00B0345A"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4.3.5α.</w:t>
            </w:r>
            <w:r w:rsidRPr="00AC4460">
              <w:rPr>
                <w:b/>
                <w:i/>
              </w:rPr>
              <w:tab/>
              <w:t>Ο παρασκευαστής διατηρεί τις εκθέσεις δοκιμών μαζί με τον τεχνικό φάκελο.</w:t>
            </w:r>
          </w:p>
        </w:tc>
      </w:tr>
    </w:tbl>
    <w:p w:rsidR="00E451E4" w:rsidRPr="00B0345A" w:rsidRDefault="00E451E4" w:rsidP="00E451E4">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323</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IV – μέρος 2 – Ενότητα Β – σημείο 3.2 – στοιχείο γ – περίπτωση 6</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w:t>
            </w:r>
            <w:r w:rsidRPr="00AC4460">
              <w:tab/>
              <w:t>εκθέσεις δοκιμών και</w:t>
            </w:r>
          </w:p>
        </w:tc>
        <w:tc>
          <w:tcPr>
            <w:tcW w:w="4876" w:type="dxa"/>
          </w:tcPr>
          <w:p w:rsidR="00E451E4" w:rsidRPr="00AC4460" w:rsidRDefault="00E451E4" w:rsidP="000A61DD">
            <w:pPr>
              <w:pStyle w:val="Normal6"/>
              <w:rPr>
                <w:szCs w:val="24"/>
              </w:rPr>
            </w:pPr>
            <w:r w:rsidRPr="00AC4460">
              <w:t>–</w:t>
            </w:r>
            <w:r w:rsidRPr="00AC4460">
              <w:tab/>
              <w:t>εκθέσεις δοκιμών</w:t>
            </w:r>
            <w:r w:rsidRPr="00AC4460">
              <w:rPr>
                <w:b/>
                <w:i/>
              </w:rPr>
              <w:t>, συμπεριλαμβανομένων μελετών για τη γεωπονική απόδοση,</w:t>
            </w:r>
            <w:r w:rsidRPr="00AC4460">
              <w:t xml:space="preserve"> και</w:t>
            </w:r>
          </w:p>
        </w:tc>
      </w:tr>
    </w:tbl>
    <w:p w:rsidR="00E451E4" w:rsidRPr="00B0345A" w:rsidRDefault="00E451E4" w:rsidP="00E451E4">
      <w:pPr>
        <w:pStyle w:val="JustificationTitle"/>
        <w:jc w:val="left"/>
      </w:pPr>
      <w:r>
        <w:rPr>
          <w:rStyle w:val="HideTWBExt"/>
          <w:noProof w:val="0"/>
        </w:rPr>
        <w:t>&lt;/Amend&gt;</w:t>
      </w:r>
    </w:p>
    <w:p w:rsidR="00E451E4" w:rsidRPr="00B0345A" w:rsidRDefault="00E451E4" w:rsidP="00E451E4">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324</w:t>
      </w:r>
      <w:r>
        <w:rPr>
          <w:rStyle w:val="HideTWBExt"/>
          <w:b w:val="0"/>
          <w:noProof w:val="0"/>
        </w:rPr>
        <w:t>&lt;/NumAm&gt;</w:t>
      </w:r>
    </w:p>
    <w:p w:rsidR="00E451E4" w:rsidRPr="00B0345A" w:rsidRDefault="00E451E4" w:rsidP="00E451E4">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032852" w:rsidRDefault="00E451E4" w:rsidP="00E451E4">
      <w:pPr>
        <w:pStyle w:val="NormalBold"/>
      </w:pPr>
      <w:r>
        <w:rPr>
          <w:rStyle w:val="HideTWBExt"/>
          <w:b w:val="0"/>
          <w:noProof w:val="0"/>
          <w:lang w:val="fr-FR"/>
        </w:rPr>
        <w:t>&lt;Article&gt;</w:t>
      </w:r>
      <w:r w:rsidRPr="00AC4460">
        <w:t>Παράρτημα ΙV – μέρος 2 – Ενότητα Δ1 – σημείο 2 – στοιχείο β</w:t>
      </w:r>
      <w:r>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FA3492" w:rsidTr="000A61DD">
        <w:trPr>
          <w:jc w:val="center"/>
        </w:trPr>
        <w:tc>
          <w:tcPr>
            <w:tcW w:w="9752" w:type="dxa"/>
            <w:gridSpan w:val="2"/>
          </w:tcPr>
          <w:p w:rsidR="00E451E4" w:rsidRPr="00032852" w:rsidRDefault="00E451E4" w:rsidP="000A61DD">
            <w:pPr>
              <w:keepNext/>
              <w:rPr>
                <w:lang w:val="fr-FR"/>
              </w:rPr>
            </w:pPr>
          </w:p>
        </w:tc>
      </w:tr>
      <w:tr w:rsidR="00E451E4" w:rsidRPr="00B0345A"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B0345A" w:rsidTr="000A61DD">
        <w:trPr>
          <w:jc w:val="center"/>
        </w:trPr>
        <w:tc>
          <w:tcPr>
            <w:tcW w:w="4876" w:type="dxa"/>
          </w:tcPr>
          <w:p w:rsidR="00E451E4" w:rsidRPr="00AC4460" w:rsidRDefault="00E451E4" w:rsidP="000A61DD">
            <w:pPr>
              <w:pStyle w:val="Normal6"/>
            </w:pPr>
            <w:r w:rsidRPr="00AC4460">
              <w:t>β)</w:t>
            </w:r>
            <w:r w:rsidRPr="00AC4460">
              <w:tab/>
            </w:r>
            <w:r w:rsidRPr="00AC4460">
              <w:rPr>
                <w:b/>
                <w:i/>
              </w:rPr>
              <w:t>σχέδια και διαγράμματα αρχικής σύλληψης</w:t>
            </w:r>
            <w:r w:rsidRPr="00AC4460">
              <w:t xml:space="preserve"> και </w:t>
            </w:r>
            <w:r w:rsidRPr="00AC4460">
              <w:rPr>
                <w:b/>
                <w:i/>
              </w:rPr>
              <w:t>παρασκευής, συμπεριλαμβανομένης μιας γραπτής περιγραφής και ενός διαγράμματος</w:t>
            </w:r>
            <w:r w:rsidRPr="00AC4460">
              <w:t xml:space="preserve"> της διαδικασίας παραγωγής</w:t>
            </w:r>
            <w:r w:rsidRPr="00AC4460">
              <w:rPr>
                <w:b/>
                <w:i/>
              </w:rPr>
              <w:t xml:space="preserve"> όπου προσδιορίζεται με σαφήνεια κάθε δοχείο και περιοχή επεξεργασίας και αποθήκευσης</w:t>
            </w:r>
            <w:r w:rsidRPr="00AC4460">
              <w:t>,</w:t>
            </w:r>
          </w:p>
        </w:tc>
        <w:tc>
          <w:tcPr>
            <w:tcW w:w="4876" w:type="dxa"/>
          </w:tcPr>
          <w:p w:rsidR="00E451E4" w:rsidRPr="00AC4460" w:rsidRDefault="00E451E4" w:rsidP="000A61DD">
            <w:pPr>
              <w:pStyle w:val="Normal6"/>
              <w:rPr>
                <w:szCs w:val="24"/>
              </w:rPr>
            </w:pPr>
            <w:r w:rsidRPr="00AC4460">
              <w:t>β)</w:t>
            </w:r>
            <w:r w:rsidRPr="00AC4460">
              <w:tab/>
            </w:r>
            <w:r w:rsidRPr="00AC4460">
              <w:rPr>
                <w:b/>
                <w:i/>
              </w:rPr>
              <w:t>γραπτή περιγραφή</w:t>
            </w:r>
            <w:r w:rsidRPr="00AC4460">
              <w:t xml:space="preserve"> και </w:t>
            </w:r>
            <w:r w:rsidRPr="00AC4460">
              <w:rPr>
                <w:b/>
                <w:i/>
              </w:rPr>
              <w:t>διάγραμμα</w:t>
            </w:r>
            <w:r w:rsidRPr="00AC4460">
              <w:t xml:space="preserve"> της διαδικασίας παραγωγής,</w:t>
            </w:r>
          </w:p>
        </w:tc>
      </w:tr>
    </w:tbl>
    <w:p w:rsidR="00E451E4" w:rsidRPr="00B0345A" w:rsidRDefault="00E451E4" w:rsidP="00E451E4">
      <w:r>
        <w:rPr>
          <w:rStyle w:val="HideTWBExt"/>
          <w:noProof w:val="0"/>
        </w:rPr>
        <w:t>&lt;/Amend&gt;</w:t>
      </w:r>
    </w:p>
    <w:p w:rsidR="00E451E4" w:rsidRPr="00B0345A" w:rsidRDefault="00E451E4" w:rsidP="00E451E4">
      <w:r>
        <w:rPr>
          <w:rStyle w:val="HideTWBExt"/>
          <w:noProof w:val="0"/>
        </w:rPr>
        <w:t>&lt;/RepeatBlock-Amend&gt;</w:t>
      </w:r>
    </w:p>
    <w:p w:rsidR="00E451E4" w:rsidRPr="00B0345A" w:rsidRDefault="00E451E4" w:rsidP="00E451E4"/>
    <w:p w:rsidR="00E451E4" w:rsidRPr="00B0345A" w:rsidRDefault="00E451E4" w:rsidP="00E451E4">
      <w:pPr>
        <w:pStyle w:val="PageHeading"/>
      </w:pPr>
      <w:r>
        <w:br w:type="page"/>
      </w:r>
      <w:bookmarkStart w:id="4" w:name="_Toc488745128"/>
      <w:bookmarkStart w:id="5" w:name="_Toc492553364"/>
      <w:r>
        <w:t>ΑΙΤΙΟΛΟΓΙΚΗ ΕΚΘΕΣΗ</w:t>
      </w:r>
      <w:bookmarkEnd w:id="4"/>
      <w:bookmarkEnd w:id="5"/>
    </w:p>
    <w:p w:rsidR="00E451E4" w:rsidRPr="00B0345A" w:rsidRDefault="00E451E4" w:rsidP="00754953">
      <w:pPr>
        <w:spacing w:after="240"/>
        <w:rPr>
          <w:b/>
        </w:rPr>
      </w:pPr>
      <w:r>
        <w:rPr>
          <w:b/>
        </w:rPr>
        <w:t>Εισαγωγή</w:t>
      </w:r>
    </w:p>
    <w:p w:rsidR="00E451E4" w:rsidRPr="00B0345A" w:rsidRDefault="00E451E4" w:rsidP="00754953">
      <w:pPr>
        <w:spacing w:after="240"/>
      </w:pPr>
      <w:r>
        <w:t xml:space="preserve">Στις 17 Μαρτίου 2016 η Ευρωπαϊκή Επιτροπή ενέκρινε πρόταση σχεδίου κανονισμού για τη θέσπιση κανόνων σχετικά με τη διάθεση προϊόντων λίπανσης με σήμανση CE στην αγορά. </w:t>
      </w:r>
    </w:p>
    <w:p w:rsidR="00E451E4" w:rsidRPr="00B0345A" w:rsidRDefault="00E451E4" w:rsidP="00754953">
      <w:pPr>
        <w:spacing w:after="240"/>
      </w:pPr>
      <w:r>
        <w:t>Επί του παρόντος, το νομοθετικό πλαίσιο σχετικά με τους όρους για τη διάθεση λιπασμάτων στην εσωτερική αγορά, ο κανονισμός (ΕΚ) αριθ. 2003/2003 του Ευρωπαϊκού Κοινοβουλίου και του Συμβουλίου, καλύπτει σχεδόν αποκλειστικά τα λιπάσματα από ορυκτά ή από χημικώς παραγόμενα ανόργανα υλικά. Το σχέδιο πρότασης θα αντικαταστήσει τη νομοθεσία αυτή και θα συμπεριλάβει ένα μεγαλύτερο φάσμα προϊόντων λίπανσης, ανοίγοντας την ενιαία αγορά για την ελεύθερη κυκλοφορία προϊόντων λίπανσης από οργανικές ή δευτερογενείς πρώτες ύλες. Ως εκ τούτου, η πρόταση εναρμονίζει τους κανόνες για τα προϊόντα λίπανσης με το νέο νομοθετικό πλαίσιο για τη νομοθεσία για τα προϊόντα και έχει ως μοναδική νομική βάση το άρθρο 114 της ΣΛΕΕ.</w:t>
      </w:r>
    </w:p>
    <w:p w:rsidR="00E451E4" w:rsidRPr="00B0345A" w:rsidRDefault="00E451E4" w:rsidP="00754953">
      <w:pPr>
        <w:spacing w:after="240"/>
      </w:pPr>
      <w:r>
        <w:t>Σκοπός της πρότασης της Επιτροπής είναι η παροχή συνδρομής στη βιομηχανία της ΕΕ ώστε να καταστεί περισσότερο βιώσιμη και ανταγωνιστική, η προαγωγή της βιώσιμης οικονομικής ανάπτυξης και η δημιουργία νέων θέσεων εργασίας. Ο προτεινόμενος κανονισμός επιδιώκει την εναρμόνιση των κανόνων της ΕΕ για τα προϊόντα που παράγονται από οργανικά απόβλητα και υποπροϊόντα.</w:t>
      </w:r>
    </w:p>
    <w:p w:rsidR="00E451E4" w:rsidRPr="00B0345A" w:rsidRDefault="00E451E4" w:rsidP="00754953">
      <w:pPr>
        <w:spacing w:after="240"/>
        <w:rPr>
          <w:b/>
        </w:rPr>
      </w:pPr>
      <w:r>
        <w:rPr>
          <w:b/>
        </w:rPr>
        <w:t xml:space="preserve">Κατάρτιση της πρότασης </w:t>
      </w:r>
    </w:p>
    <w:p w:rsidR="00E451E4" w:rsidRPr="00B0345A" w:rsidRDefault="00E451E4" w:rsidP="00754953">
      <w:pPr>
        <w:spacing w:after="240"/>
      </w:pPr>
      <w:r>
        <w:t xml:space="preserve">Η πρόταση βασίζεται σε εκτεταμένες διαβουλεύσεις με τους ενδιαφερόμενους φορείς και σε εκτίμηση αντικτύπου. Η αξιολόγηση του υφιστάμενου κανονισμού για τα λιπάσματα, που πραγματοποιήθηκε το 2010, κατέληξε στο συμπέρασμα ότι ο κανονισμός αυτός θα μπορούσε να είναι πιο αποτελεσματικός όσον αφορά την προώθηση καινοτόμων λιπασμάτων, καθώς και ότι θα απαιτούνταν μεταρρυθμίσεις για την ενίσχυση της εσωτερικής αγοράς. Κατέδειξε επίσης ότι ούτε οι οικονομικοί φορείς ούτε οι εθνικές αρχές θεωρούσαν ότι η αμοιβαία αναγνώριση αρκούσε για τη διασφάλιση της ελεύθερης κυκλοφορίας των οργανικών λιπασμάτων, δεδομένου ότι τα λιπάσματα αποτελούν προϊόντα για τα οποία απαιτούνται αυστηροί κανόνες προκειμένου να διασφαλιστεί η ποιότητα των προϊόντων καθώς και η προστασία του περιβάλλοντος και της υγείας. </w:t>
      </w:r>
    </w:p>
    <w:p w:rsidR="00E451E4" w:rsidRPr="00B0345A" w:rsidRDefault="00E451E4" w:rsidP="00754953">
      <w:pPr>
        <w:spacing w:after="240"/>
      </w:pPr>
      <w:r>
        <w:t xml:space="preserve">Κατά το στάδιο κατάρτισης πραγματοποιήθηκαν διαβουλεύσεις με όλους τους ενδιαφερόμενους φορείς, μεταξύ άλλων και στο πλαίσιο της δημόσιας διαβούλευσης σχετικά με την κυκλική οικονομία που δημοσιεύτηκε τον Μάιο του 2015. Οι ενδιαφερόμενοι φορείς κλήθηκαν επίσης να διατυπώσουν παρατηρήσεις σχετικά με τον χάρτη πορείας για την αναθεώρηση του κανονισμού για τα λιπάσματα που δημοσιεύτηκε τον Οκτώβριο του 2015. </w:t>
      </w:r>
    </w:p>
    <w:p w:rsidR="00E451E4" w:rsidRPr="00B0345A" w:rsidRDefault="00E451E4" w:rsidP="00754953">
      <w:pPr>
        <w:spacing w:after="240"/>
      </w:pPr>
      <w:r>
        <w:t xml:space="preserve">Η πρόταση υποστηρίζεται από εκτίμηση επιπτώσεων η οποία κατέδειξε ότι η μεταρρύθμιση θα οδηγήσει σε διοικητική απλούστευση και θα διασφαλίσει την απαιτούμενη ευελιξία στην αγορά, διασφαλίζοντας παράλληλα την προστασία της υγείας και του περιβάλλοντος. </w:t>
      </w:r>
    </w:p>
    <w:p w:rsidR="00E451E4" w:rsidRPr="00B0345A" w:rsidRDefault="00E451E4" w:rsidP="00754953">
      <w:pPr>
        <w:spacing w:after="240"/>
        <w:rPr>
          <w:b/>
        </w:rPr>
      </w:pPr>
      <w:r>
        <w:rPr>
          <w:b/>
        </w:rPr>
        <w:t>Γενικές παρατηρήσεις</w:t>
      </w:r>
    </w:p>
    <w:p w:rsidR="00E451E4" w:rsidRPr="00B0345A" w:rsidRDefault="00E451E4" w:rsidP="00754953">
      <w:pPr>
        <w:spacing w:after="240"/>
      </w:pPr>
      <w:r>
        <w:t>Η εισηγήτρια επικροτεί την πρόταση του «κανονισμού για τα προϊόντα λίπανσης» ως μέρος της δέσμης μέτρων για την κυκλική οικονομία. Η πρόταση εκσυγχρονίζει την αξιολόγηση της συμμόρφωσης και την εποπτεία της αγοράς σύμφωνα με το «νέο νομοθετικό πλαίσιο» για τη νομοθεσία για τα προϊόντα, καλύπτει ευρύτερο φάσμα προϊόντων λίπανσης (συμπεριλαμβανομένων των προϊόντων που παράγονται από δευτερογενείς πρώτες ύλες) και θέτει όρια για την παρουσία βαρέων μετάλλων και προσμείξεων στα προϊόντα λίπανσης προκειμένου να προστατευτεί το δημόσιο συμφέρον.</w:t>
      </w:r>
    </w:p>
    <w:p w:rsidR="00E451E4" w:rsidRPr="00B0345A" w:rsidRDefault="00E451E4" w:rsidP="00754953">
      <w:pPr>
        <w:spacing w:after="240"/>
        <w:rPr>
          <w:b/>
        </w:rPr>
      </w:pPr>
      <w:r>
        <w:rPr>
          <w:b/>
        </w:rPr>
        <w:t xml:space="preserve">1. Προαιρετική εναρμόνιση </w:t>
      </w:r>
    </w:p>
    <w:p w:rsidR="00E451E4" w:rsidRPr="00B0345A" w:rsidRDefault="00E451E4" w:rsidP="00754953">
      <w:pPr>
        <w:spacing w:after="240"/>
      </w:pPr>
      <w:r>
        <w:t xml:space="preserve">Η πρωτοβουλία στοχεύει στην επίτευξη κρίσιμης μάζας για τα προϊόντα αυτά μέσω της εσωτερικής αγοράς. Η αμοιβαία αναγνώριση των μη εναρμονισμένων λιπασμάτων έχει αποδειχθεί εξαιρετικά δύσκολη στο παρελθόν, ενώ η νομοθεσία εναρμόνισης των προϊόντων έχει αποτελέσει έναν αποτελεσματικό τρόπο διασφάλισης της πρόσβασης στην εσωτερική αγορά για τα ανόργανα λιπάσματα. Συνάγεται, επομένως, το συμπέρασμα ότι η νομοθεσία εναρμόνισης προϊόντων για τα λιπάσματα από οργανικές ή δευτερογενείς πρώτες ύλες δεν προχωρά πέρα από το σημείο που χρειάζεται για να επιτευχθεί η κανονιστική εξασφάλιση που απαιτείται ώστε να παρασχεθούν κίνητρα για επενδύσεις μεγάλης κλίμακας στην κυκλική οικονομία. </w:t>
      </w:r>
    </w:p>
    <w:p w:rsidR="00E451E4" w:rsidRPr="00B0345A" w:rsidRDefault="00E451E4" w:rsidP="00754953">
      <w:pPr>
        <w:spacing w:after="240"/>
      </w:pPr>
      <w:r>
        <w:t>Η κανονιστική τεχνική που επελέγη για την παρούσα πρόταση αφήνει στους οικονομικούς φορείς τη μέγιστη δυνατή ευελιξία για τη θέση νέων προϊόντων σε κυκλοφορία στην εσωτερική αγορά χωρίς συμβιβασμούς όσον αφορά την ασφάλεια και την ποιότητα. Επιπλέον, αφήνει στα κράτη μέλη τη δυνατότητα να επιτρέπουν την κυκλοφορία μη εναρμονισμένων λιπασμάτων στην εθνική αγορά χωρίς να στερούν από τους οικονομικούς φορείς που επιδιώκουν το διασυνοριακό εμπόριο για μεγαλύτερες αγορές τη δυνατότητα να επιλέξουν τα οφέλη του εναρμονισμένου κανονιστικού πλαισίου.</w:t>
      </w:r>
    </w:p>
    <w:p w:rsidR="00E451E4" w:rsidRPr="00B0345A" w:rsidRDefault="00E451E4" w:rsidP="00754953">
      <w:pPr>
        <w:spacing w:after="240"/>
      </w:pPr>
      <w:r>
        <w:t xml:space="preserve">Η εισηγήτρια πιστεύει ότι οι υφιστάμενοι φραγμοί στην ελεύθερη κυκλοφορία καινοτόμων λιπασμάτων, λόγω των διιστάμενων εθνικών κανονιστικών πλαισίων, δεν μπορούν να αρθούν επιτυχώς με μονομερείς ενέργειες των κρατών μελών. Οι δράσεις της ΕΕ θα μπορούσαν να ενθαρρύνουν την ελεύθερη κυκλοφορία αυτών των οργανικών λιπασμάτων στην εσωτερική αγορά θεσπίζοντας εναρμονισμένα και φιλόδοξα κριτήρια ποιότητας και ασφάλειας καθώς και περιβαλλοντικά κριτήρια. Εξάλλου, ένα ευρωπαϊκό κανονιστικό πλαίσιο θα επιστήσει την προσοχή των κρατών μελών στις οικονομικές και περιβαλλοντικές δυνατότητες των καινοτόμων λιπασμάτων, θα θέσει τα οργανικά λιπάσματα σε ισότιμη βάση με τα λιπάσματα ορυκτής βάσης και θα παράσχει κίνητρα για καινοτομία. </w:t>
      </w:r>
    </w:p>
    <w:p w:rsidR="00E451E4" w:rsidRPr="00B0345A" w:rsidRDefault="00E451E4" w:rsidP="00754953">
      <w:pPr>
        <w:spacing w:after="240"/>
      </w:pPr>
      <w:r>
        <w:t>Η εισηγήτρια επισημαίνει ότι οι εταιρίες που θα επιλέξουν την οδό της εναρμόνισης θα ωφεληθούν από την ευκολότερη πρόσβαση σε ολόκληρη την εσωτερική αγορά. Θα περιοριστεί επίσης το διοικητικό κόστος, καθώς θα υπάρχει μικρότερη ανάγκη για την καταχώριση μεμονωμένων προϊόντων σύμφωνα με διιστάμενους εθνικούς κανόνες. Οι παραγωγοί που δεν υπόκεινται σε διαδικασίες πιστοποίησης από τρίτους θα επηρεαστούν σε μικρότερο βαθμό σε σύγκριση με εκείνους που επωμίζονται επιπλέον το κόστος της πιστοποίησης από τρίτο μέρος (π.χ. ΜΜΕ). Το κόστος αυτό θα μετριαστεί χάρη στη μείωση της συχνότητας των ελέγχων ανάλογα με τον όγκο της παραγωγής και χάρη στη μείωση του αριθμού των δειγματοληψιών από εξωτερικούς φορείς μετά το έτος αναγνώρισης. Υπό την έννοια αυτή, η προαιρετική εναρμόνιση θα διευκολύνει την ομαλή μετάβαση στο νέο κανονιστικό πλαίσιο, καθώς θα επιτρέπει στους παραγωγούς να επιλέξουν αν θα εμπορεύονται το προϊόν στην τοπική αγορά ή στην αγορά της ΕΕ.</w:t>
      </w:r>
      <w:r w:rsidR="000A61DD">
        <w:t xml:space="preserve"> </w:t>
      </w:r>
    </w:p>
    <w:p w:rsidR="00E451E4" w:rsidRPr="00B0345A" w:rsidRDefault="00E451E4" w:rsidP="00754953">
      <w:pPr>
        <w:spacing w:after="240"/>
        <w:rPr>
          <w:b/>
        </w:rPr>
      </w:pPr>
      <w:r>
        <w:rPr>
          <w:b/>
        </w:rPr>
        <w:t xml:space="preserve">2. Νέες απαιτήσεις και πεδίο εφαρμογής του κανονισμού </w:t>
      </w:r>
    </w:p>
    <w:p w:rsidR="00E451E4" w:rsidRPr="00B0345A" w:rsidRDefault="00E451E4" w:rsidP="00754953">
      <w:pPr>
        <w:spacing w:after="240"/>
      </w:pPr>
      <w:r>
        <w:t>Ένας από τους στόχους του κανονισμού είναι η βελτίωση των προτύπων ασφάλειας των προϊόντων λίπανσης, καθώς και η μείωση των ορίων για τα βαρέα μέταλλα, ιδίως το κάδμιο, για κάθε κατηγορία λειτουργίας προϊόντος (ΚΛΠ). Με τον τρόπο αυτό μπορεί να βελτιωθεί η ασφάλεια των τροφίμων και των καταναλωτών, καθώς και η προστασία του εδάφους. Σύμφωνα με τα νέα πρότυπα ασφάλειας, καθορίζονται μέγιστα όρια για τις προσμείξεις, όπως οι οργανικές ή μικροβιακές προσμείξεις. Επιπλέον, ορίζεται νέα ελάχιστη περιεκτικότητα σε θρεπτικά συστατικά για κάθε επιμέρους ΚΛΠ, ώστε να διασφαλίζεται η ποιότητα των προϊόντων λίπανσης με σήμανση CE.</w:t>
      </w:r>
    </w:p>
    <w:p w:rsidR="00E451E4" w:rsidRPr="00B0345A" w:rsidRDefault="00E451E4" w:rsidP="00754953">
      <w:pPr>
        <w:spacing w:after="240"/>
      </w:pPr>
      <w:r>
        <w:t>Τα επιτρεπόμενα όρια καδμίου στα φωσφορικά λιπάσματα αποτελούν αντικείμενο εκτενούς συζήτησης όσον αφορά τη σωστή ισορροπία μεταξύ των στόχων δημοσίου συμφέροντος και των αναλογικών μέσων για την επίτευξή τους, καθώς και όσον αφορά την επιστημονική βάση και τη διαθεσιμότητα των αναγκαίων τεχνολογιών μέχρι σήμερα. Σε επίπεδο επιτροπής, στην Επιτροπή Περιβάλλοντος, Δημόσιας Υγείας και Ασφάλειας των Τροφίμων του Κοινοβουλίου έχει χορηγηθεί αποκλειστική αρμοδιότητα για τον καθορισμό των επιτρεπόμενων ορίων καδμίου στο παράρτημα I της πρότασης.</w:t>
      </w:r>
    </w:p>
    <w:p w:rsidR="00E451E4" w:rsidRPr="00B0345A" w:rsidRDefault="00E451E4" w:rsidP="00754953">
      <w:pPr>
        <w:spacing w:after="240"/>
        <w:rPr>
          <w:b/>
        </w:rPr>
      </w:pPr>
      <w:r>
        <w:rPr>
          <w:b/>
        </w:rPr>
        <w:t>3. Σαφής διάκριση μεταξύ των λιπασμάτων</w:t>
      </w:r>
    </w:p>
    <w:p w:rsidR="00E451E4" w:rsidRPr="00B0345A" w:rsidRDefault="00E451E4" w:rsidP="00754953">
      <w:pPr>
        <w:spacing w:after="240"/>
      </w:pPr>
      <w:r>
        <w:t>Ο τρέχων ορισμός των προϊόντων λίπανσης που ενσωματώνεται στην πρόταση ενδέχεται να προκαλέσει σύγχυση στους γεωργούς, δεδομένου ότι περιλαμβάνει διάφορα είδη προϊόντων, με διαφορετικές λειτουργίες και χαρακτηριστικά. Συνεπώς, θα πρέπει να γίνει ιδιαίτερα σαφής διάκριση μεταξύ των λιπασμάτων (προϊόντα που παρέχουν θρεπτικά συστατικά για την ανάπτυξη των φυτών) και άλλων ειδών προϊόντων (βελτιωτικά εδάφους, υπόστρωμα καλλιέργειας, γεωπονικά πρόσθετα ή βιοδιεγέρτες), τα οποία έχουν διαφορετικές λειτουργίες, όπως να διεγείρουν ορισμένες λειτουργίες των φυτών, έχουν επιπτώσεις στο έδαφος κ.λπ.</w:t>
      </w:r>
    </w:p>
    <w:p w:rsidR="00E451E4" w:rsidRPr="00B0345A" w:rsidRDefault="00E451E4" w:rsidP="00754953">
      <w:pPr>
        <w:spacing w:after="240"/>
        <w:rPr>
          <w:b/>
        </w:rPr>
      </w:pPr>
      <w:r>
        <w:rPr>
          <w:b/>
        </w:rPr>
        <w:t>4. Μείωση του διοικητικού φόρτου</w:t>
      </w:r>
    </w:p>
    <w:p w:rsidR="00E451E4" w:rsidRPr="00B0345A" w:rsidRDefault="00E451E4" w:rsidP="00754953">
      <w:pPr>
        <w:spacing w:after="240"/>
      </w:pPr>
      <w:r>
        <w:t>Η πρόταση προβλέπει σειρά απαιτήσεων για τους οικονομικούς φορείς προκειμένου να επιτευχθεί μια ενιαία αγορά που διασφαλίζει το δημόσιο συμφέρον, όπως την ασφάλεια, την προστασία της δημόσιας υγείας και του περιβάλλοντος κ.λπ. Ωστόσο, οι στόχοι αυτοί θα πρέπει να επιτευχθούν με όσο το δυνατόν λιγότερο επαχθή μέτρα ώστε να μην παρεμποδίζονται η καινοτομία και η δημιουργία θέσεων εργασίας στον τομέα. Ως εκ τούτου, η εισηγήτρια θεωρεί σημαντικό να προσαρμοστεί η πρόταση ώστε οι υποχρεώσεις των οικονομικών φορέων να είναι αναλογικές προς τους στόχους του παρόντος κανονισμού χωρίς να υπερβαίνουν τα όρια του αναγκαίου.</w:t>
      </w:r>
    </w:p>
    <w:p w:rsidR="00E451E4" w:rsidRPr="00B0345A" w:rsidRDefault="00E451E4" w:rsidP="00754953">
      <w:pPr>
        <w:spacing w:after="240"/>
        <w:rPr>
          <w:b/>
        </w:rPr>
      </w:pPr>
      <w:r>
        <w:rPr>
          <w:b/>
        </w:rPr>
        <w:t>5. Σήμανση</w:t>
      </w:r>
    </w:p>
    <w:p w:rsidR="00E451E4" w:rsidRPr="00B0345A" w:rsidRDefault="00E451E4" w:rsidP="00754953">
      <w:pPr>
        <w:spacing w:after="240"/>
      </w:pPr>
      <w:r>
        <w:t>Η εισηγήτρια θεωρεί σημαντικό να είναι η σήμανση σαφής και ολοκληρωμένη, ενώ θα πρέπει να περιλαμβάνει όλες τις πληροφορίες σχετικά με τα διαθέσιμα θρεπτικά συστατικά και τη διαλυτότητά τους. Αυτό είναι απαραίτητο για τους γεωργούς προκειμένου να αξιολογούν ορθά τη γεωπονική απόδοση των προϊόντων και να επιλέγουν το καταλληλότερο προϊόν για τις ανάγκες των καλλιεργειών τους και τις εδαφολογικές και κλιματικές συνθήκες και τα χαρακτηριστικά.</w:t>
      </w:r>
      <w:r w:rsidR="000A61DD">
        <w:t xml:space="preserve"> </w:t>
      </w:r>
      <w:r>
        <w:t>Βελτιώνει επίσης την απόδοση και είναι ευνοϊκό για το περιβάλλον.</w:t>
      </w:r>
    </w:p>
    <w:p w:rsidR="00E451E4" w:rsidRPr="00B0345A" w:rsidRDefault="00E451E4" w:rsidP="00754953">
      <w:pPr>
        <w:spacing w:after="240"/>
        <w:rPr>
          <w:b/>
        </w:rPr>
      </w:pPr>
      <w:r>
        <w:rPr>
          <w:b/>
        </w:rPr>
        <w:t>Συμπεράσματα</w:t>
      </w:r>
    </w:p>
    <w:p w:rsidR="00E451E4" w:rsidRPr="00B0345A" w:rsidRDefault="00E451E4" w:rsidP="00754953">
      <w:pPr>
        <w:spacing w:after="240"/>
      </w:pPr>
      <w:r>
        <w:t>Η εισηγήτρια πιστεύει ότι η παρούσα πρόταση θα οδηγήσει σε απλούστευση και μείωση του διοικητικού φόρτου για τους παραγωγούς προϊόντων λίπανσης οι οποίοι επιδιώκουν να αποκτήσουν πρόσβαση σε περισσότερες από μία εθνικές επικράτειες στην εσωτερική αγορά, αφού η πρόσβαση αυτή δεν θα εξαρτάται πλέον από την αμοιβαία αναγνώριση. Παράλληλα, αποφεύγεται η απαγόρευση ή ο περιορισμός της πρόσβασης στην αγορά για τους παραγωγούς που δεν επιδιώκουν τη συμμόρφωση με τους κανόνες σε επίπεδο ΕΕ, αφού διατηρείται η δυνατότητα πρόσβασης στις εθνικές αγορές εφόσον τηρούνται τυχόν εθνικοί κανόνες ή η δυνατότητα επιλογής της αμοιβαίας αναγνώρισης στις διασυνοριακές δραστηριότητες.</w:t>
      </w:r>
    </w:p>
    <w:p w:rsidR="00E451E4" w:rsidRPr="00B0345A" w:rsidRDefault="00E451E4" w:rsidP="00754953">
      <w:pPr>
        <w:spacing w:after="240"/>
      </w:pPr>
      <w:r>
        <w:t xml:space="preserve">Η εισηγήτρια θεωρεί επίσης ότι η νέα προσέγγιση της Επιτροπής θα μπορούσε να οδηγήσει σε διάφορους καινοφανείς κανόνες για τον τομέα των λιπασμάτων. Επιπλέον, διαπιστώνονται διάφορες ανακολουθίες, αβεβαιότητες και ελλείψεις ορισμών, που πρέπει να διευκρινιστούν. Υπό το πρίσμα αυτό, ο στόχος για έναρξη ισχύος του νέου κανονισμού την 1η Ιανουαρίου 2018 φαίνεται υπερβολικά φιλόδοξος. </w:t>
      </w:r>
    </w:p>
    <w:p w:rsidR="00E451E4" w:rsidRPr="00B0345A" w:rsidRDefault="00E451E4" w:rsidP="00754953">
      <w:pPr>
        <w:spacing w:after="240"/>
      </w:pPr>
      <w:r>
        <w:t>Στη ρήτρα επανεξέτασης, η Επιτροπή καλείται να υποβάλει έκθεση το 2023 σχετικά με τη λειτουργία της εσωτερικής αγοράς με σκοπό να αξιολογηθούν οι επιπτώσεις της μερικής εναρμόνισης, να επαληθευτεί κατά πόσον ο παρών κανονισμός συμβάλλει στην προβλεπόμενη διοικητική απλούστευση και να αξιολογηθούν οι περιορισμοί στα επίπεδα προσμείξεων όπως προβλέπονται στο παράρτημα Ι. Η προβλεπόμενη ημερομηνία υποβολής της έκθεσης εξαρτάται από τυχόν αλλαγές που μπορεί να γίνουν στο χρονοδιάγραμμα εφαρμογής που προβλέπεται στο άρθρο 49.</w:t>
      </w:r>
    </w:p>
    <w:p w:rsidR="00E451E4" w:rsidRPr="00B0345A" w:rsidRDefault="00E451E4" w:rsidP="00E451E4">
      <w:pPr>
        <w:pStyle w:val="PageHeading"/>
      </w:pPr>
      <w:r>
        <w:br w:type="page"/>
      </w:r>
      <w:bookmarkStart w:id="6" w:name="_Toc488745129"/>
      <w:bookmarkStart w:id="7" w:name="_Toc492553365"/>
      <w:r>
        <w:t>ΠΑΡΑΡΤΗΜΑ: ΚΑΤΑΛΟΓΟΣ ΟΝΤΟΤΗΤΩΝ Ή ΠΡΟΣΩΠΩΝ ΠΟΥ ΕΧΟΥΝ ΚΑΤΑΘΕΣΕΙ ΤΙΣ ΑΠΟΨΕΙΣ ΤΟΥΣ ΣΤΗΝ ΕΙΣΗΓΗΤΡΙΑ</w:t>
      </w:r>
      <w:bookmarkEnd w:id="6"/>
      <w:bookmarkEnd w:id="7"/>
    </w:p>
    <w:p w:rsidR="00E451E4" w:rsidRPr="00B0345A" w:rsidRDefault="00E451E4" w:rsidP="00E451E4"/>
    <w:p w:rsidR="00E451E4" w:rsidRPr="00B0345A" w:rsidRDefault="00E451E4" w:rsidP="00E451E4">
      <w:pPr>
        <w:spacing w:before="9" w:line="360" w:lineRule="auto"/>
        <w:ind w:right="159"/>
        <w:rPr>
          <w:rFonts w:eastAsia="Calibri"/>
        </w:rPr>
      </w:pPr>
      <w:r>
        <w:t>Ο κατωτέρω κατάλογος καταρτίζεται σε καθαρά εθελοντική βάση υπό την αποκλειστική ευθύνη της εισηγήτριας. Στην εισηγήτρια κατατέθηκαν απόψεις από τις ακόλουθες οντότητες ή τα ακόλουθα πρόσωπα κατά την κατάρτιση του σχεδίου έκθεσης:</w:t>
      </w:r>
    </w:p>
    <w:p w:rsidR="00E451E4" w:rsidRPr="00B0345A" w:rsidRDefault="00E451E4" w:rsidP="00E451E4">
      <w:pPr>
        <w:spacing w:line="200" w:lineRule="exact"/>
      </w:pPr>
    </w:p>
    <w:p w:rsidR="00E451E4" w:rsidRPr="00B0345A" w:rsidRDefault="00E451E4" w:rsidP="00E451E4">
      <w:pPr>
        <w:spacing w:line="200" w:lineRule="exact"/>
      </w:pPr>
    </w:p>
    <w:p w:rsidR="00E451E4" w:rsidRPr="00B0345A" w:rsidRDefault="00E451E4" w:rsidP="00E451E4">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9067"/>
      </w:tblGrid>
      <w:tr w:rsidR="00E451E4" w:rsidRPr="00B0345A" w:rsidTr="000A61DD">
        <w:trPr>
          <w:trHeight w:hRule="exact" w:val="364"/>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b/>
              </w:rPr>
            </w:pPr>
            <w:r>
              <w:rPr>
                <w:b/>
              </w:rPr>
              <w:t>Οντότητα και/ή πρόσωπο</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Fertilizers Europe</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Ευρωπαϊκό Συμβούλιο της βιομηχανίας βιοδιεγερτών (EBIC)</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Ευρωπαϊκή Κοινοπραξία της βιομηχανίας οργανικών λιπασμάτων (ECOFI)</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032852" w:rsidRDefault="00E451E4" w:rsidP="000A61DD">
            <w:pPr>
              <w:jc w:val="center"/>
              <w:rPr>
                <w:rFonts w:eastAsia="Calibri"/>
              </w:rPr>
            </w:pPr>
            <w:r>
              <w:t>Alliance Européenne des Engrais Phosphatés</w:t>
            </w:r>
          </w:p>
          <w:p w:rsidR="00E451E4" w:rsidRPr="00032852" w:rsidRDefault="00E451E4" w:rsidP="000A61DD">
            <w:pPr>
              <w:jc w:val="center"/>
              <w:rPr>
                <w:rFonts w:eastAsia="Calibri"/>
                <w:lang w:val="fr-FR"/>
              </w:rPr>
            </w:pPr>
          </w:p>
          <w:p w:rsidR="00E451E4" w:rsidRPr="00032852" w:rsidRDefault="00E451E4" w:rsidP="000A61DD">
            <w:pPr>
              <w:jc w:val="center"/>
              <w:rPr>
                <w:rFonts w:eastAsia="Calibri"/>
              </w:rPr>
            </w:pPr>
            <w:r>
              <w:t>Ευρωπαϊκή Πλατφόρμα για τη βιώσιμη χρήση του φωσφόρου (ESPP)</w:t>
            </w:r>
          </w:p>
          <w:p w:rsidR="00E451E4" w:rsidRPr="00032852" w:rsidRDefault="00E451E4" w:rsidP="000A61DD">
            <w:pPr>
              <w:jc w:val="center"/>
              <w:rPr>
                <w:rFonts w:eastAsia="Calibri"/>
                <w:lang w:val="fr-FR"/>
              </w:rPr>
            </w:pPr>
          </w:p>
          <w:p w:rsidR="00E451E4" w:rsidRPr="00032852" w:rsidRDefault="00E451E4" w:rsidP="000A61DD">
            <w:pPr>
              <w:jc w:val="center"/>
              <w:rPr>
                <w:rFonts w:eastAsia="Calibri"/>
                <w:lang w:val="fr-FR"/>
              </w:rPr>
            </w:pPr>
          </w:p>
          <w:p w:rsidR="00E451E4" w:rsidRPr="00B0345A" w:rsidRDefault="00E451E4" w:rsidP="000A61DD">
            <w:pPr>
              <w:jc w:val="center"/>
              <w:rPr>
                <w:rFonts w:eastAsia="Calibri"/>
              </w:rPr>
            </w:pPr>
            <w:r>
              <w:t>Ευρωπαϊκή Πλατφόρμα για τη βιώσιμη χρήση του φωσφόρου (ESPP)</w:t>
            </w:r>
          </w:p>
          <w:p w:rsidR="00E451E4" w:rsidRPr="00B0345A" w:rsidRDefault="00E451E4" w:rsidP="000A61DD">
            <w:pPr>
              <w:jc w:val="center"/>
              <w:rPr>
                <w:rFonts w:eastAsia="Calibri"/>
              </w:rPr>
            </w:pPr>
          </w:p>
          <w:p w:rsidR="00E451E4" w:rsidRPr="00B0345A" w:rsidRDefault="00E451E4" w:rsidP="000A61DD">
            <w:pPr>
              <w:jc w:val="center"/>
              <w:rPr>
                <w:rFonts w:eastAsia="Calibri"/>
              </w:rPr>
            </w:pPr>
          </w:p>
          <w:p w:rsidR="00E451E4" w:rsidRPr="00B0345A" w:rsidRDefault="00E451E4" w:rsidP="000A61DD">
            <w:pPr>
              <w:jc w:val="center"/>
              <w:rPr>
                <w:rFonts w:eastAsia="Calibri"/>
              </w:rPr>
            </w:pPr>
            <w:r>
              <w:t>Ευρωπαϊκή Πλατφόρμα για τη βιώσιμη χρήση του φωσφόρου (ESPP)</w:t>
            </w:r>
          </w:p>
          <w:p w:rsidR="00E451E4" w:rsidRPr="00B0345A" w:rsidRDefault="00E451E4" w:rsidP="000A61DD">
            <w:pPr>
              <w:jc w:val="center"/>
              <w:rPr>
                <w:rFonts w:eastAsia="Calibri"/>
              </w:rPr>
            </w:pP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Ευρωπαϊκή Πλατφόρμα για τη βιώσιμη χρήση του φωσφόρου (ESPP)</w:t>
            </w:r>
          </w:p>
          <w:p w:rsidR="00E451E4" w:rsidRPr="00B0345A" w:rsidRDefault="00E451E4" w:rsidP="000A61DD">
            <w:pPr>
              <w:jc w:val="center"/>
              <w:rPr>
                <w:rFonts w:eastAsia="Calibri"/>
              </w:rPr>
            </w:pPr>
          </w:p>
          <w:p w:rsidR="00E451E4" w:rsidRPr="00B0345A" w:rsidRDefault="00E451E4" w:rsidP="000A61DD">
            <w:pPr>
              <w:jc w:val="center"/>
              <w:rPr>
                <w:rFonts w:eastAsia="Calibri"/>
              </w:rPr>
            </w:pP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Copa - Cogeca</w:t>
            </w:r>
          </w:p>
          <w:p w:rsidR="00E451E4" w:rsidRPr="00B0345A" w:rsidRDefault="00E451E4" w:rsidP="000A61DD">
            <w:pPr>
              <w:jc w:val="center"/>
              <w:rPr>
                <w:rFonts w:eastAsia="Calibri"/>
              </w:rPr>
            </w:pPr>
          </w:p>
          <w:p w:rsidR="00E451E4" w:rsidRPr="00B0345A" w:rsidRDefault="00E451E4" w:rsidP="000A61DD">
            <w:pPr>
              <w:jc w:val="center"/>
              <w:rPr>
                <w:rFonts w:eastAsia="Calibri"/>
              </w:rPr>
            </w:pP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Ευρωπαϊκό Δίκτυο επιβολής της νομοθεσίας για τις χημικές ουσίες (CLEEN)</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Fertisac</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Phosagro</w:t>
            </w:r>
          </w:p>
        </w:tc>
      </w:tr>
      <w:tr w:rsidR="00E451E4" w:rsidRPr="00E451E4"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E451E4" w:rsidRDefault="00E451E4" w:rsidP="000A61DD">
            <w:pPr>
              <w:jc w:val="center"/>
              <w:rPr>
                <w:rFonts w:eastAsia="Calibri"/>
              </w:rPr>
            </w:pPr>
            <w:r>
              <w:t>Πανεπιστήμιο Στοκχόλμης, Baltic Sea Centre (έργο Baltic Eye)</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GRODAN</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SOBAC</w:t>
            </w:r>
          </w:p>
          <w:p w:rsidR="00E451E4" w:rsidRPr="00B0345A" w:rsidRDefault="00E451E4" w:rsidP="000A61DD">
            <w:pPr>
              <w:jc w:val="center"/>
              <w:rPr>
                <w:rFonts w:eastAsia="Calibri"/>
              </w:rPr>
            </w:pP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Veolia</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SUEZ Group</w:t>
            </w:r>
          </w:p>
        </w:tc>
      </w:tr>
      <w:tr w:rsidR="00E451E4" w:rsidRPr="00FA3492"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032852" w:rsidRDefault="00E451E4" w:rsidP="000A61DD">
            <w:pPr>
              <w:jc w:val="center"/>
              <w:rPr>
                <w:rFonts w:eastAsia="Calibri"/>
              </w:rPr>
            </w:pPr>
            <w:r>
              <w:t>Office Chérifien des Phosphates (OCP)</w:t>
            </w:r>
          </w:p>
        </w:tc>
      </w:tr>
      <w:tr w:rsidR="00E451E4" w:rsidRPr="00B0345A" w:rsidTr="000A61DD">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E451E4" w:rsidRPr="00B0345A" w:rsidRDefault="00E451E4" w:rsidP="000A61DD">
            <w:pPr>
              <w:jc w:val="center"/>
              <w:rPr>
                <w:rFonts w:eastAsia="Calibri"/>
              </w:rPr>
            </w:pPr>
            <w:r>
              <w:t>BAYER</w:t>
            </w:r>
          </w:p>
        </w:tc>
      </w:tr>
    </w:tbl>
    <w:p w:rsidR="00E451E4" w:rsidRPr="00B0345A" w:rsidRDefault="00E451E4" w:rsidP="00E451E4"/>
    <w:p w:rsidR="00E451E4" w:rsidRPr="009B7BE3" w:rsidRDefault="00E451E4" w:rsidP="00E451E4">
      <w:r>
        <w:br w:type="page"/>
      </w:r>
    </w:p>
    <w:p w:rsidR="00E451E4" w:rsidRPr="009B7BE3" w:rsidRDefault="00E451E4" w:rsidP="00E451E4">
      <w:pPr>
        <w:pStyle w:val="ZDate"/>
        <w:spacing w:after="480"/>
      </w:pPr>
      <w:r>
        <w:rPr>
          <w:rStyle w:val="HideTWBExt"/>
          <w:noProof w:val="0"/>
          <w:color w:val="auto"/>
        </w:rPr>
        <w:t>&lt;Date&gt;</w:t>
      </w:r>
      <w:r w:rsidRPr="00AC4460">
        <w:rPr>
          <w:rStyle w:val="HideTWBInt"/>
          <w:color w:val="auto"/>
        </w:rPr>
        <w:t>{02/06/2017}</w:t>
      </w:r>
      <w:r w:rsidRPr="00AC4460">
        <w:t>2.6.2017</w:t>
      </w:r>
      <w:r>
        <w:rPr>
          <w:rStyle w:val="HideTWBExt"/>
          <w:noProof w:val="0"/>
          <w:color w:val="auto"/>
        </w:rPr>
        <w:t>&lt;/Date&gt;</w:t>
      </w:r>
    </w:p>
    <w:p w:rsidR="00E451E4" w:rsidRPr="009B7BE3" w:rsidRDefault="00E451E4" w:rsidP="00E451E4">
      <w:pPr>
        <w:pStyle w:val="PageHeading"/>
        <w:spacing w:before="0" w:after="720"/>
      </w:pPr>
      <w:bookmarkStart w:id="8" w:name="_Toc492553366"/>
      <w:r>
        <w:t xml:space="preserve">ΓΝΩΜΟΔΟΤΗΣΗ </w:t>
      </w:r>
      <w:r>
        <w:rPr>
          <w:rStyle w:val="HideTWBExt"/>
          <w:noProof w:val="0"/>
          <w:color w:val="auto"/>
        </w:rPr>
        <w:t>&lt;CommissionResp&gt;</w:t>
      </w:r>
      <w:bookmarkStart w:id="9" w:name="OpinionToc_1"/>
      <w:r>
        <w:rPr>
          <w:caps/>
        </w:rPr>
        <w:t>της Επιτροπής Περιβάλλοντος, Δημόσιας Υγείας και Ασφάλειας των Τροφίμων</w:t>
      </w:r>
      <w:bookmarkEnd w:id="9"/>
      <w:bookmarkEnd w:id="8"/>
      <w:r>
        <w:rPr>
          <w:rStyle w:val="HideTWBExt"/>
          <w:noProof w:val="0"/>
          <w:color w:val="auto"/>
        </w:rPr>
        <w:t>&lt;/CommissionResp&gt;</w:t>
      </w:r>
    </w:p>
    <w:p w:rsidR="00E451E4" w:rsidRPr="009B7BE3" w:rsidRDefault="00E451E4" w:rsidP="00E451E4">
      <w:pPr>
        <w:pStyle w:val="Cover24"/>
        <w:ind w:left="0"/>
      </w:pPr>
      <w:r>
        <w:rPr>
          <w:rStyle w:val="HideTWBExt"/>
          <w:noProof w:val="0"/>
          <w:color w:val="auto"/>
        </w:rPr>
        <w:t>&lt;CommissionInt&gt;</w:t>
      </w:r>
      <w:r w:rsidRPr="00AC4460">
        <w:t>προς την Επιτροπή Περιβάλλοντος, Δημόσιας Υγείας και Ασφάλειας των Τροφίμων</w:t>
      </w:r>
      <w:r>
        <w:rPr>
          <w:rStyle w:val="HideTWBExt"/>
          <w:noProof w:val="0"/>
          <w:color w:val="auto"/>
        </w:rPr>
        <w:t>&lt;/CommissionInt&gt;</w:t>
      </w:r>
    </w:p>
    <w:p w:rsidR="00E451E4" w:rsidRPr="009B7BE3" w:rsidRDefault="00E451E4" w:rsidP="00E451E4">
      <w:pPr>
        <w:pStyle w:val="CoverNormal"/>
        <w:ind w:left="0"/>
      </w:pPr>
      <w:r>
        <w:rPr>
          <w:rStyle w:val="HideTWBExt"/>
          <w:noProof w:val="0"/>
          <w:color w:val="auto"/>
        </w:rPr>
        <w:t>&lt;Titre&gt;</w:t>
      </w:r>
      <w:r>
        <w:t>σχετικά με πρόταση κανονισμού του Ευρωπαϊκού Κοινοβουλίου και του Συμβουλίου για τη θέσπιση κανόνων σχετικά με τη διάθεση προϊόντων λίπανσης με σήμανση CE στην αγορά και για την τροποποίηση των κανονισμών (ΕΚ) αριθ. 1069/2009 και (ΕΚ) αριθ. 1107/2009</w:t>
      </w:r>
      <w:r>
        <w:rPr>
          <w:rStyle w:val="HideTWBExt"/>
          <w:noProof w:val="0"/>
          <w:color w:val="auto"/>
        </w:rPr>
        <w:t>&lt;/Titre&gt;</w:t>
      </w:r>
    </w:p>
    <w:p w:rsidR="00E451E4" w:rsidRPr="009B7BE3" w:rsidRDefault="00E451E4" w:rsidP="00E451E4">
      <w:pPr>
        <w:pStyle w:val="Cover24"/>
        <w:ind w:left="0"/>
      </w:pPr>
      <w:r>
        <w:rPr>
          <w:rStyle w:val="HideTWBExt"/>
          <w:noProof w:val="0"/>
          <w:color w:val="auto"/>
        </w:rPr>
        <w:t>&lt;DocRef&gt;</w:t>
      </w:r>
      <w:r w:rsidRPr="00AC4460">
        <w:t>(COM(2016)0157 – C8-0123/2016 – 2016/0084(</w:t>
      </w:r>
      <w:bookmarkStart w:id="10" w:name="DocEPTmp"/>
      <w:bookmarkEnd w:id="10"/>
      <w:r w:rsidRPr="00AC4460">
        <w:t>COD))</w:t>
      </w:r>
      <w:r>
        <w:rPr>
          <w:rStyle w:val="HideTWBExt"/>
          <w:noProof w:val="0"/>
          <w:color w:val="auto"/>
        </w:rPr>
        <w:t>&lt;/DocRef&gt;</w:t>
      </w:r>
    </w:p>
    <w:p w:rsidR="00E451E4" w:rsidRPr="00135F02" w:rsidRDefault="00E451E4" w:rsidP="00E451E4">
      <w:pPr>
        <w:pStyle w:val="Cover24"/>
        <w:ind w:left="0"/>
      </w:pPr>
      <w:r w:rsidRPr="00AC4460">
        <w:t>Συντάκτρια γνωμοδότησης:</w:t>
      </w:r>
      <w:bookmarkStart w:id="11" w:name="DocEPTmp2"/>
      <w:bookmarkEnd w:id="11"/>
      <w:r w:rsidRPr="00AC4460">
        <w:t xml:space="preserve"> </w:t>
      </w:r>
      <w:r>
        <w:rPr>
          <w:rStyle w:val="HideTWBExt"/>
          <w:noProof w:val="0"/>
        </w:rPr>
        <w:t>&lt;Depute&gt;</w:t>
      </w:r>
      <w:r w:rsidRPr="00AC4460">
        <w:t>Elisabetta Gardini</w:t>
      </w:r>
      <w:r>
        <w:rPr>
          <w:rStyle w:val="HideTWBExt"/>
          <w:noProof w:val="0"/>
        </w:rPr>
        <w:t>&lt;/Depute&gt;</w:t>
      </w:r>
    </w:p>
    <w:p w:rsidR="00E451E4" w:rsidRPr="009B7BE3" w:rsidRDefault="00E451E4" w:rsidP="00E451E4">
      <w:pPr>
        <w:pStyle w:val="Cover24"/>
        <w:ind w:left="0"/>
      </w:pPr>
      <w:r>
        <w:t>(*) Διαδικασία συνδεδεμένων επιτροπών – Άρθρο 54 του Κανονισμού</w:t>
      </w:r>
    </w:p>
    <w:p w:rsidR="00E451E4" w:rsidRPr="009B7BE3" w:rsidRDefault="00E451E4" w:rsidP="00E451E4">
      <w:pPr>
        <w:pStyle w:val="Cover24"/>
        <w:ind w:left="0"/>
      </w:pPr>
    </w:p>
    <w:p w:rsidR="00E451E4" w:rsidRPr="009B7BE3" w:rsidRDefault="00E451E4" w:rsidP="000A61DD">
      <w:pPr>
        <w:pStyle w:val="PageHeadingNotTOC"/>
      </w:pPr>
      <w:r>
        <w:t>ΣΥΝ</w:t>
      </w:r>
      <w:r w:rsidR="00754953">
        <w:t xml:space="preserve">ΟΠΤΙΚΗ </w:t>
      </w:r>
      <w:r>
        <w:t>ΑΙΤΙΟΛΟΓΗΣΗ</w:t>
      </w:r>
    </w:p>
    <w:p w:rsidR="00E451E4" w:rsidRPr="009B7BE3" w:rsidRDefault="00E451E4" w:rsidP="000A61DD">
      <w:pPr>
        <w:pStyle w:val="Normal12"/>
        <w:rPr>
          <w:b/>
        </w:rPr>
      </w:pPr>
      <w:bookmarkStart w:id="12" w:name="restartB"/>
      <w:r>
        <w:rPr>
          <w:b/>
        </w:rPr>
        <w:t>Πλαίσιο</w:t>
      </w:r>
    </w:p>
    <w:p w:rsidR="00E451E4" w:rsidRPr="009421FD" w:rsidRDefault="00E451E4" w:rsidP="000A61DD">
      <w:pPr>
        <w:pStyle w:val="Normal12"/>
      </w:pPr>
      <w:r>
        <w:t>Τα προϊόντα λίπανσης χρησιμοποιούνται</w:t>
      </w:r>
      <w:r w:rsidR="00754953">
        <w:t xml:space="preserve"> </w:t>
      </w:r>
      <w:r>
        <w:t xml:space="preserve">για τη θρέψη των φυτών και τη βελτίωση της ανάπτυξής τους, κυρίως στη γεωργία. Μπορούν να ομαδοποιηθούν σε δύο ευρείες κατηγορίες: λιπάσματα, που παρέχουν θρεπτικά στοιχεία στα φυτά, και άλλα προϊόντα, πρωταρχικός στόχος των οποίων είναι η προώθηση της ανάπτυξης του φυτού με άλλα μέσα. Καθώς ο παγκόσμιος πληθυσμός αυξάνεται συνεχώς, τα λιπάσματα προσφέρουν βασικά οφέλη κυρίως επειδή ενισχύουν τις αποδόσεις των καλλιεργειών. Ωστόσο, υφίστανται ορισμένες προκλήσεις σε επίπεδο περιβάλλοντος, δημόσιας υγείας και ασφάλειας τροφίμων που σχετίζονται με τη χρήση λιπασμάτων. </w:t>
      </w:r>
    </w:p>
    <w:p w:rsidR="00E451E4" w:rsidRPr="009421FD" w:rsidRDefault="00E451E4" w:rsidP="000A61DD">
      <w:pPr>
        <w:pStyle w:val="Normal12"/>
      </w:pPr>
      <w:r>
        <w:t>Σύμφωνα με εκτιμήσεις της Επιτροπής, ο τομέας των προϊόντων λίπανσης έχει ετήσιο τζίρο που κυμαίνεται από 20 έως 25 δισεκατομμύρια ευρώ και παρέχει περίπου 100.000 θέσεις εργασίας· οι ΜΜΕ αποτελούν το 90</w:t>
      </w:r>
      <w:r w:rsidR="00754953">
        <w:t> </w:t>
      </w:r>
      <w:r>
        <w:t>% των επιχειρήσεων του τομέα. Σε μια εσωτερική μελέτη που δημοσιεύθηκε το 2015, επισημαίνεται επίσης ότι στα περισσότερα κράτη μέλη της ΕΕ, τα λιπάσματα αντιστοιχούν περίπου στο 10</w:t>
      </w:r>
      <w:r w:rsidR="00754953">
        <w:t> </w:t>
      </w:r>
      <w:r>
        <w:t>% των δαπανών των γεωργών, αν και το ποσοστό αυτό μπορεί να φθάσει μέχρι και το 20</w:t>
      </w:r>
      <w:r w:rsidR="00754953">
        <w:t> </w:t>
      </w:r>
      <w:r>
        <w:t>% στην Ιρλανδία ή να μην υπερβεί το 3,6</w:t>
      </w:r>
      <w:r w:rsidR="00754953">
        <w:t> </w:t>
      </w:r>
      <w:r>
        <w:t>% στη Μάλτα.</w:t>
      </w:r>
    </w:p>
    <w:p w:rsidR="00E451E4" w:rsidRPr="009421FD" w:rsidRDefault="00E451E4" w:rsidP="000A61DD">
      <w:pPr>
        <w:pStyle w:val="Normal12"/>
        <w:rPr>
          <w:b/>
        </w:rPr>
      </w:pPr>
      <w:r>
        <w:rPr>
          <w:b/>
        </w:rPr>
        <w:t>Ισχύον νομικό πλαίσιο</w:t>
      </w:r>
    </w:p>
    <w:p w:rsidR="00E451E4" w:rsidRPr="009421FD" w:rsidRDefault="00E451E4" w:rsidP="000A61DD">
      <w:pPr>
        <w:pStyle w:val="Normal12"/>
      </w:pPr>
      <w:r>
        <w:t>Ο κανονισμός του 2003 για τα λιπάσματα (κανονισμός (ΕΚ) αριθ. 2003/2003) ορίζει διαφορετικούς τύπους λιπασμάτων που έχουν εγκριθεί ως «λιπάσματα EΚ» και μπορούν να κυκλοφορούν ελεύθερα στην αγορά της ΕΕ. Μολονότι ο ισχύον κανονισμός καλύπτει διάφορους τύπους λιπασμάτων, τα υφιστάμενα «λιπάσματα EΚ» είναι στην ουσία συμβατικά και ανόργανα λιπάσματα που παράγονται από πρωτογενείς πρώτες ύλες, ενώ ορισμένα απαιτούν ενεργοβόρες διεργασίες παραγωγής και συνεπάγονται υψηλές εκπομπές CO</w:t>
      </w:r>
      <w:r>
        <w:rPr>
          <w:vertAlign w:val="subscript"/>
        </w:rPr>
        <w:t>2</w:t>
      </w:r>
      <w:r>
        <w:t xml:space="preserve">. Επιπλέον, ο κανονισμός δεν περιλαμβάνει όρια όσον αφορά το περιεχόμενο βαρέων μετάλλων και άλλων προσμείξεων, όπως είναι οι παθογόνοι οργανισμοί και οι φυσικές προσμείξεις. </w:t>
      </w:r>
    </w:p>
    <w:p w:rsidR="00E451E4" w:rsidRPr="009421FD" w:rsidRDefault="00E451E4" w:rsidP="000A61DD">
      <w:pPr>
        <w:pStyle w:val="Normal12"/>
      </w:pPr>
      <w:r>
        <w:t xml:space="preserve">Τον Μάρτιο του 2016, η Επιτροπή υπέβαλε νομοθετική πρόταση για τα προϊόντα λίπανσης, στο πλαίσιο της δέσμης μέτρων για την κυκλική οικονομία. Η πρόταση καλύπτει ευρύτερο φάσμα προϊόντων λίπανσης (συμπεριλαμβανομένων των προϊόντων που παράγονται από δευτερογενείς πρώτες ύλες), και επιπλέον ορίζει όρια για τα βαρέα μέταλλα και τις προσμείξεις που περιέχουν τα λιπάσματα. </w:t>
      </w:r>
    </w:p>
    <w:p w:rsidR="00E451E4" w:rsidRPr="009421FD" w:rsidRDefault="00E451E4" w:rsidP="000A61DD">
      <w:pPr>
        <w:pStyle w:val="Normal12"/>
        <w:rPr>
          <w:b/>
        </w:rPr>
      </w:pPr>
      <w:r>
        <w:rPr>
          <w:b/>
        </w:rPr>
        <w:t>Η θέση της συντάκτριας γνωμοδότησης</w:t>
      </w:r>
    </w:p>
    <w:p w:rsidR="00E451E4" w:rsidRPr="009421FD" w:rsidRDefault="00E451E4" w:rsidP="000A61DD">
      <w:pPr>
        <w:pStyle w:val="Normal12"/>
      </w:pPr>
      <w:r>
        <w:t xml:space="preserve">Η συντάκτρια γνωμοδότησης επικροτεί την πρόταση της Επιτροπής καθώς θα επιτρέψει την πρόσβαση όλων των λιπασμάτων στην εσωτερική αγορά και την εφαρμογή των αρχών της κυκλικής οικονομίας στην πράξη. Η συντάκτρια θεωρεί επίσης ότι η κάλυψη όλων των ειδών προϊόντων λίπανσης –και όχι μόνο των ανόργανων– από τη νομοθεσία της ΕΕ αποτελεί εξαιρετικά θετικό βήμα προόδου. Θα συμβάλει στη δημιουργία μιας πιο ολοκληρωμένης εσωτερικής αγοράς και θα βοηθήσει και θα ενισχύσει τις επενδύσεις των ΜΜΕ στην κυκλική οικονομία. </w:t>
      </w:r>
    </w:p>
    <w:p w:rsidR="00E451E4" w:rsidRPr="009421FD" w:rsidRDefault="00E451E4" w:rsidP="000A61DD">
      <w:pPr>
        <w:pStyle w:val="Normal12"/>
      </w:pPr>
      <w:r>
        <w:t xml:space="preserve">Ωστόσο, είναι εξίσου σημαντικό να τεθούν ρεαλιστικοί και εφικτοί στόχοι, έτσι ώστε να διασφαλιστεί η συμμόρφωση με τα όρια και τις απαιτήσεις. Προτεραιότητα θα πρέπει να δοθεί στην προστασία της υγείας των ανθρώπων και των ζώων καθώς και του περιβάλλοντος, κάτι το οποίο όμως θα πρέπει να εξισορροπηθεί με τις κοινωνικοοικονομικές επιπτώσεις που ενδέχεται να έχουν τα εν λόγω μέτρα. Επιπλέον, είναι σημαντικό να διαφυλάσσεται η επισιτιστική ασφάλεια και να διασφαλίζεται ότι ο εφοδιασμός τροφίμων θα μπορεί να ανταποκρίνεται στις απαιτήσεις του συνεχώς αυξανόμενου πληθυσμού. Οι νέοι κανόνες θα πρέπει να έχουν ισχυρή επιστημονική βάση και να στηρίζονται σε αξιόπιστες αξιολογήσεις κινδύνου και όχι απλώς στην αρχή της προφύλαξης, που θα μπορούσε να οδηγήσει σε αδικαιολόγητους περιορισμούς και στην άδικη απαγόρευση ορισμένων προϊόντων από την εσωτερική αγορά. Εκτός αν αξιόπιστα επιστημονικά δεδομένα αποδεικνύουν ότι υπάρχουν κίνδυνοι για το περιβάλλον ή για την υγεία των ανθρώπων και των ζώων, δεν θα πρέπει να καθορίζονται τεχνικώς μη ρεαλιστικές απαιτήσεις. Αυτή την προσέγγιση υιοθέτησε η συντάκτρια όσον αφορά την πρόταση και ιδίως όσον αφορά το ζήτημα των προσμείξεων. </w:t>
      </w:r>
    </w:p>
    <w:p w:rsidR="00E451E4" w:rsidRPr="009421FD" w:rsidRDefault="00E451E4" w:rsidP="000A61DD">
      <w:pPr>
        <w:pStyle w:val="Normal12"/>
      </w:pPr>
      <w:r>
        <w:t>Μεταξύ των προσμείξεων, το ζήτημα του καδμίου (Cd) έχει ιδιαίτερη σημασία. Το κάδμιο, που συναντάται κυρίως στα ανόργανα φωσφορικά λιπάσματα, εγείρει ιδιαίτερη ανησυχία καθώς μπορεί να συσσωρευτεί στο έδαφος, να μεταφερθεί στα τρόφιμα και ενδεχομένως να οδηγήσει σε αρνητικές επιπτώσεις για την υγεία, τη βιοποικιλότητα του εδάφους και την ποιότητα των υπόγειων υδάτων – χωρίς να αποφέρει κάποιο όφελος στα φυτά. Η περιεκτικότητα σε κάδμιο των φωσφορικών λιπασμάτων εξαρτάται από τον φωσφορίτη που χρησιμοποιείται, καθώς η ύλη αυτή περιέχεται στο πέτρωμα και δεν αποδεσμεύεται, ακόμη και μετά τη διαδικασία παραγωγής. Η περιεκτικότητα σε κάδμιο του φωσφορίτη κυμαίνεται από λιγότερο από 10 mg Cd/kg φωσφόρου (P</w:t>
      </w:r>
      <w:r>
        <w:rPr>
          <w:vertAlign w:val="subscript"/>
        </w:rPr>
        <w:t>2</w:t>
      </w:r>
      <w:r>
        <w:t>O</w:t>
      </w:r>
      <w:r>
        <w:rPr>
          <w:vertAlign w:val="subscript"/>
        </w:rPr>
        <w:t>5</w:t>
      </w:r>
      <w:r>
        <w:t>) έως 200 mg/kg, ανάλογα με το πού εξορύσσεται. Η πρόταση της Επιτροπής εισάγει μια σταδιακή μείωση του ανώτατου επιπέδου από 60 mg Cd/kg P</w:t>
      </w:r>
      <w:r>
        <w:rPr>
          <w:vertAlign w:val="subscript"/>
        </w:rPr>
        <w:t>2</w:t>
      </w:r>
      <w:r>
        <w:t>O</w:t>
      </w:r>
      <w:r>
        <w:rPr>
          <w:vertAlign w:val="subscript"/>
        </w:rPr>
        <w:t>5</w:t>
      </w:r>
      <w:r>
        <w:t xml:space="preserve"> σε 40 mg Cd/kg έπειτα από τρία έτη, και σε 20 mg Cd/kg έπειτα από 12 έτη. Αυτά θα είναι τα πλέον περιοριστικά όρια στον κόσμο. Η Ιαπωνία, η Αυστραλία, η Καλιφόρνια και η Νέα Ζηλανδία έχουν υψηλότερα όρια καδμίου – ενώ επί του παρόντος στην ΕΕ δεν εφαρμόζεται κανένα όριο.</w:t>
      </w:r>
      <w:r w:rsidR="000A61DD">
        <w:t xml:space="preserve"> </w:t>
      </w:r>
    </w:p>
    <w:p w:rsidR="00E451E4" w:rsidRPr="009421FD" w:rsidRDefault="00E451E4" w:rsidP="000A61DD">
      <w:pPr>
        <w:pStyle w:val="Normal12"/>
      </w:pPr>
      <w:r>
        <w:t xml:space="preserve">Τα προϊόντα λίπανσης στην ΕΕ παράγονται με τη χρήση πολλών και διαφόρων καθιερωμένων μεθόδων, πολλές από τις οποίες συνάδουν πλήρως με τις αρχές της κυκλικής οικονομίας. Είναι συνεπώς σημαντικό να διασφαλιστεί ότι οι εν λόγω μέθοδοι παραγωγής θα μπορούν να διατηρηθούν και ότι δεν θα θεσπιστούν κανόνες οι οποίοι θα αποβούν σε βάρος τους. </w:t>
      </w:r>
    </w:p>
    <w:p w:rsidR="00E451E4" w:rsidRPr="009421FD" w:rsidRDefault="00E451E4" w:rsidP="000A61DD">
      <w:pPr>
        <w:pStyle w:val="Normal12"/>
      </w:pPr>
      <w:r>
        <w:t xml:space="preserve">Επιπλέον, η συντάκτρια δεσμεύεται να μεριμνήσει για την εναρμόνιση μεταξύ των κανόνων που ισχύουν για τις διάφορες κατηγορίες λιπασμάτων έτσι ώστε να διασφαλιστεί ότι οι γεωργοί έχουν στη διάθεσή τους προϊόντα υψηλής ποιότητας και πολύ περισσότερες επιλογές. </w:t>
      </w:r>
    </w:p>
    <w:p w:rsidR="00E451E4" w:rsidRPr="009421FD" w:rsidRDefault="00E451E4" w:rsidP="000A61DD">
      <w:pPr>
        <w:pStyle w:val="Normal12"/>
      </w:pPr>
      <w:r>
        <w:t xml:space="preserve">Ορισμένα λιπάσματα, που ορίζονται ως προϊόντα «διπλής χρήσης», παράγονται από τις ίδιες χημικές ενώσεις με τα φυτοπροστατευτικά προϊόντα. Στην πρόταση της Επιτροπής, δεν υπάρχει καμία αναφορά στα εν λόγω προϊόντα, κάτι το οποίο θα πρέπει να διορθωθεί ούτως ώστε να διασφαλιστεί ότι γίνεται σαφής διάκριση μεταξύ των δύο κατηγοριών, οι οποίες έχουν διαφορετικά χαρακτηριστικά. </w:t>
      </w:r>
    </w:p>
    <w:p w:rsidR="00E451E4" w:rsidRPr="009421FD" w:rsidRDefault="00E451E4" w:rsidP="000A61DD">
      <w:pPr>
        <w:pStyle w:val="Normal12"/>
      </w:pPr>
      <w:r>
        <w:t xml:space="preserve">Η Επιτροπή προτείνει επίσης να αποκλειστούν από το πεδίο εφαρμογής του κανονισμού τα οργανικά και οργανοανόργανα λιπάσματα και οι βιοδιεγέρτες που παράγονται από ζωικά υποπροϊόντα (ABP). Επιπλέον, τα μόνα ABP που θα μπορούν να διατίθενται στο εμπόριο ως προϊόντα με σήμανση CE είναι εκείνα που έχουν φθάσει στο αποκαλούμενο «τελικό σημείο», προκειμένου να αποφευχθεί η δόλια χρήση αυτών ως ζωοτροφών. Ωστόσο, τα ABP που δεν έχουν φτάσει στο τελικό σημείο πρέπει να συμμορφώνονται με πολύ αυστηρές απαιτήσεις και συνεπώς θα πρέπει να είναι δυνατή η εμπορία και αυτών των ABP σε επίπεδο ΕΕ. </w:t>
      </w:r>
    </w:p>
    <w:p w:rsidR="00E451E4" w:rsidRPr="009421FD" w:rsidRDefault="00E451E4" w:rsidP="000A61DD">
      <w:pPr>
        <w:pStyle w:val="Normal12"/>
      </w:pPr>
      <w:r>
        <w:t xml:space="preserve">Εκτός από τα εν λόγω ζητήματα, θα πρέπει να βελτιωθούν διάφοροι όροι και ορισμοί προκειμένου να αντικατοπτρίζουν καλύτερα την τεχνολογική πρόοδο, και ειδικότερα σε σχέση με καινοτόμα προϊόντα, όπως οι βιοδιεγέρτες. </w:t>
      </w:r>
    </w:p>
    <w:p w:rsidR="00E451E4" w:rsidRPr="009421FD" w:rsidRDefault="00E451E4" w:rsidP="000A61DD">
      <w:pPr>
        <w:pStyle w:val="Normal12"/>
      </w:pPr>
      <w:r>
        <w:t xml:space="preserve">Είναι αναγκαίο επίσης να διασφαλιστεί ότι παρέχονται σαφέστερες πληροφορίες στους γεωργούς και τους καταναλωτές. Για τον σκοπό αυτόν, θα πρέπει να προσδιοριστούν τα θρεπτικά συστατικά που περιέχονται στο εκάστοτε ανόργανο λίπασμα και να βελτιωθούν οι γενικές απαιτήσεις επισήμανσης που ορίζονται στο παράρτημα III. Έτσι, γεωργοί και καταναλωτές θα μπορούν να βελτιστοποιήσουν τη χρήση των λιπασμάτων, και συνεπώς να μειώσουν τον περιβαλλοντικό αντίκτυπο αυτών των προϊόντων. </w:t>
      </w:r>
    </w:p>
    <w:p w:rsidR="00E451E4" w:rsidRPr="00E451E4" w:rsidRDefault="00E451E4" w:rsidP="000A61DD">
      <w:pPr>
        <w:pStyle w:val="Normal12"/>
      </w:pPr>
    </w:p>
    <w:p w:rsidR="00E451E4" w:rsidRPr="00E451E4" w:rsidRDefault="00E451E4" w:rsidP="000A61DD">
      <w:pPr>
        <w:pStyle w:val="Normal12"/>
      </w:pPr>
    </w:p>
    <w:p w:rsidR="00E451E4" w:rsidRPr="00135F02" w:rsidRDefault="00E451E4" w:rsidP="000A61DD">
      <w:pPr>
        <w:pStyle w:val="ConclusionsPA"/>
      </w:pPr>
      <w:r>
        <w:t>ΤΡΟΠΟΛΟΓΙΕΣ</w:t>
      </w:r>
    </w:p>
    <w:p w:rsidR="00E451E4" w:rsidRPr="009421FD" w:rsidRDefault="00E451E4" w:rsidP="000A61DD">
      <w:pPr>
        <w:pStyle w:val="Normal12Tab"/>
      </w:pPr>
      <w:r>
        <w:t>Η Επιτροπή Περιβάλλοντος, Δημόσιας Υγείας και Ασφάλειας των Τροφίμων καλεί την Επιτροπή Εσωτερικής Αγοράς και Προστασίας των Καταναλωτών, που είναι αρμόδια επί της ουσίας, να ενσωματώσει στην έκθεσή της τις ακόλουθες τροπολογίες:</w:t>
      </w:r>
    </w:p>
    <w:p w:rsidR="00E451E4" w:rsidRPr="009421FD" w:rsidRDefault="00E451E4" w:rsidP="000A61DD">
      <w:pPr>
        <w:pStyle w:val="AMNumberTabs"/>
        <w:keepNext/>
      </w:pPr>
      <w:r>
        <w:rPr>
          <w:rStyle w:val="HideTWBExt"/>
          <w:noProof w:val="0"/>
          <w:lang w:val="en-GB"/>
        </w:rPr>
        <w:t>&lt;RepeatBlock-Amend&gt;</w:t>
      </w: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w:t>
      </w:r>
      <w:r>
        <w:rPr>
          <w:rStyle w:val="HideTWBExt"/>
          <w:b w:val="0"/>
          <w:noProof w:val="0"/>
          <w:lang w:val="en-GB"/>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9421FD" w:rsidRDefault="00E451E4" w:rsidP="000A61DD">
      <w:pPr>
        <w:pStyle w:val="NormalBold"/>
      </w:pPr>
      <w:r>
        <w:rPr>
          <w:rStyle w:val="HideTWBExt"/>
          <w:b w:val="0"/>
          <w:noProof w:val="0"/>
          <w:lang w:val="en-GB"/>
        </w:rPr>
        <w:t>&lt;Article&gt;</w:t>
      </w:r>
      <w:r w:rsidRPr="00AC4460">
        <w:t>Tίτλος 1</w:t>
      </w:r>
      <w:r>
        <w:rPr>
          <w:rStyle w:val="HideTWBExt"/>
          <w:b w:val="0"/>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9421FD" w:rsidRDefault="00E451E4" w:rsidP="000A61DD">
            <w:pPr>
              <w:keepNext/>
              <w:rPr>
                <w:lang w:val="en-GB"/>
              </w:rPr>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pPr>
            <w:r w:rsidRPr="00AC4460">
              <w:t>Πρόταση</w:t>
            </w:r>
          </w:p>
        </w:tc>
        <w:tc>
          <w:tcPr>
            <w:tcW w:w="4876" w:type="dxa"/>
            <w:hideMark/>
          </w:tcPr>
          <w:p w:rsidR="00E451E4" w:rsidRPr="00AC4460" w:rsidRDefault="00E451E4" w:rsidP="000A61DD">
            <w:pPr>
              <w:pStyle w:val="Normal6"/>
              <w:rPr>
                <w:szCs w:val="24"/>
              </w:rPr>
            </w:pPr>
            <w:r w:rsidRPr="00AC4460">
              <w:t>Πρόταση</w:t>
            </w:r>
          </w:p>
        </w:tc>
      </w:tr>
      <w:tr w:rsidR="00E451E4" w:rsidRPr="009421FD" w:rsidTr="000A61DD">
        <w:trPr>
          <w:jc w:val="center"/>
        </w:trPr>
        <w:tc>
          <w:tcPr>
            <w:tcW w:w="4876" w:type="dxa"/>
            <w:hideMark/>
          </w:tcPr>
          <w:p w:rsidR="00E451E4" w:rsidRPr="00AC4460" w:rsidRDefault="00E451E4" w:rsidP="000A61DD">
            <w:pPr>
              <w:pStyle w:val="Normal6"/>
            </w:pPr>
            <w:r w:rsidRPr="00AC4460">
              <w:t>ΚΑΝΟΝΙΣΜΟΣ ΤΟΥ ΕΥΡΩΠΑΪΚΟΥ ΚΟΙΝΟΒΟΥΛΙΟΥ ΚΑΙ ΤΟΥ ΣΥΜΒΟΥΛΙΟΥ</w:t>
            </w:r>
          </w:p>
        </w:tc>
        <w:tc>
          <w:tcPr>
            <w:tcW w:w="4876" w:type="dxa"/>
            <w:hideMark/>
          </w:tcPr>
          <w:p w:rsidR="00E451E4" w:rsidRPr="00AC4460" w:rsidRDefault="00E451E4" w:rsidP="000A61DD">
            <w:pPr>
              <w:pStyle w:val="Normal6"/>
              <w:rPr>
                <w:szCs w:val="24"/>
              </w:rPr>
            </w:pPr>
            <w:r w:rsidRPr="00AC4460">
              <w:t>ΚΑΝΟΝΙΣΜΟΣ ΤΟΥ ΕΥΡΩΠΑΪΚΟΥ ΚΟΙΝΟΒΟΥΛΙΟΥ ΚΑΙ ΤΟΥ ΣΥΜΒΟΥΛΙΟΥ</w:t>
            </w:r>
          </w:p>
        </w:tc>
      </w:tr>
      <w:tr w:rsidR="00E451E4" w:rsidRPr="009421FD" w:rsidTr="000A61DD">
        <w:trPr>
          <w:jc w:val="center"/>
        </w:trPr>
        <w:tc>
          <w:tcPr>
            <w:tcW w:w="4876" w:type="dxa"/>
            <w:hideMark/>
          </w:tcPr>
          <w:p w:rsidR="00E451E4" w:rsidRPr="00AC4460" w:rsidRDefault="00E451E4" w:rsidP="000A61DD">
            <w:pPr>
              <w:pStyle w:val="Normal6"/>
            </w:pPr>
            <w:r w:rsidRPr="00AC4460">
              <w:t>για τη θέσπιση κανόνων σχετικά με τη διάθεση προϊόντων λίπανσης με σήμανση CE στην αγορά και για την τροποποίηση των κανονισμών (ΕΚ) αριθ. 1069/2009</w:t>
            </w:r>
            <w:r w:rsidRPr="00AC4460">
              <w:rPr>
                <w:b/>
                <w:i/>
              </w:rPr>
              <w:t xml:space="preserve"> και</w:t>
            </w:r>
            <w:r w:rsidRPr="00AC4460">
              <w:t xml:space="preserve"> (ΕΚ) αριθ. 1107/2009</w:t>
            </w:r>
          </w:p>
        </w:tc>
        <w:tc>
          <w:tcPr>
            <w:tcW w:w="4876" w:type="dxa"/>
            <w:hideMark/>
          </w:tcPr>
          <w:p w:rsidR="00E451E4" w:rsidRPr="00AC4460" w:rsidRDefault="00E451E4" w:rsidP="000A61DD">
            <w:pPr>
              <w:pStyle w:val="Normal6"/>
              <w:rPr>
                <w:szCs w:val="24"/>
              </w:rPr>
            </w:pPr>
            <w:r w:rsidRPr="00AC4460">
              <w:t>για τη θέσπιση κανόνων σχετικά με τη διάθεση προϊόντων λίπανσης με σήμανση CE στην αγορά και για την τροποποίηση των κανονισμών (ΕΚ) αριθ. 1069/2009</w:t>
            </w:r>
            <w:r w:rsidRPr="00AC4460">
              <w:rPr>
                <w:b/>
                <w:i/>
              </w:rPr>
              <w:t>,</w:t>
            </w:r>
            <w:r w:rsidRPr="00AC4460">
              <w:t xml:space="preserve"> (ΕΚ) αριθ. 1107/2009</w:t>
            </w:r>
            <w:r w:rsidRPr="00AC4460">
              <w:rPr>
                <w:b/>
                <w:i/>
              </w:rPr>
              <w:t xml:space="preserve"> και της οδηγίας 91/676/ΕΟΚ</w:t>
            </w:r>
          </w:p>
        </w:tc>
      </w:tr>
      <w:tr w:rsidR="00E451E4" w:rsidRPr="00135F02" w:rsidTr="000A61DD">
        <w:trPr>
          <w:jc w:val="center"/>
        </w:trPr>
        <w:tc>
          <w:tcPr>
            <w:tcW w:w="4876" w:type="dxa"/>
            <w:hideMark/>
          </w:tcPr>
          <w:p w:rsidR="00E451E4" w:rsidRPr="00AC4460" w:rsidRDefault="00E451E4" w:rsidP="000A61DD">
            <w:pPr>
              <w:pStyle w:val="Normal6"/>
            </w:pPr>
            <w:r w:rsidRPr="00AC4460">
              <w:t>(Κείμενο που παρουσιάζει ενδιαφέρον για τον ΕΟΧ)</w:t>
            </w:r>
          </w:p>
        </w:tc>
        <w:tc>
          <w:tcPr>
            <w:tcW w:w="4876" w:type="dxa"/>
            <w:hideMark/>
          </w:tcPr>
          <w:p w:rsidR="00E451E4" w:rsidRPr="00AC4460" w:rsidRDefault="00E451E4" w:rsidP="000A61DD">
            <w:pPr>
              <w:pStyle w:val="Normal6"/>
              <w:rPr>
                <w:szCs w:val="24"/>
              </w:rPr>
            </w:pPr>
            <w:r w:rsidRPr="00AC4460">
              <w:t>(Κείμενο που παρουσιάζει ενδιαφέρον για τον ΕΟΧ)</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Έχει καίρια σημασία να συνδυαστούν το εμπόριο και η χρήση λιπασμάτων, δηλαδή ο παρών κανονισμός και η οδηγία για τη νιτρορύπανση. Εάν το εμπόριο και η χρήση είναι εντελώς ασύνδετα, ο παρών κανονισμός κινδυνεύει να χάσει τη σκοπιμότητά του, διότι στην περίπτωση αυτή, τα κράτη μέλη ή οι περιφέρειες ενδέχεται μέσω της κανονιστικής ρύθμισης της χρήσης λιπασμάτων να απαγορεύσουν τη χρήση ορισμένων λιπασμάτων στην πράξη, π.χ. του κομπόστ από βιολογικά απόβλητα.</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rPr>
          <w:rStyle w:val="HideTWBExt"/>
          <w:noProof w:val="0"/>
          <w:lang w:val="en-GB"/>
        </w:rPr>
      </w:pP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Αιτιολογική σκέψη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(1)</w:t>
            </w:r>
            <w:r w:rsidRPr="00AC4460">
              <w:tab/>
              <w:t>Οι όροι για τη διάθεση λιπασμάτων στην εσωτερική αγορά εναρμονίστηκαν μερικώς μέσω του κανονισμού (ΕΚ) αριθ. 2003/2003 του Ευρωπαϊκού Κοινοβουλίου και του Συμβουλίου</w:t>
            </w:r>
            <w:r w:rsidRPr="00AC4460">
              <w:rPr>
                <w:vertAlign w:val="superscript"/>
              </w:rPr>
              <w:t>15</w:t>
            </w:r>
            <w:r w:rsidRPr="00AC4460">
              <w:t>, ο οποίος καλύπτει σχεδόν αποκλειστικά τα λιπάσματα από ορυκτά ή από χημικώς παραγόμενα ανόργανα υλικά. Υπάρχει επίσης ανάγκη να αξιοποιηθούν ανακυκλωμένα ή οργανικά υλικά για σκοπούς λίπανσης. Θα πρέπει να θεσπιστούν εναρμονισμένοι όροι για τη διάθεση λιπασμάτων παραγόμενων από τέτοια ανακυκλωμένα ή οργανικά υλικά σε ολόκληρη την εσωτερική αγορά προκειμένου να παρασχεθεί ένα σημαντικό κίνητρο για την περαιτέρω χρήση τους. Επομένως, το πεδίο εφαρμογής της εναρμόνισης θα πρέπει να διευρυνθεί ώστε να συμπεριλάβει ανακυκλωμένα και οργανικά υλικά.</w:t>
            </w:r>
          </w:p>
        </w:tc>
        <w:tc>
          <w:tcPr>
            <w:tcW w:w="4876" w:type="dxa"/>
            <w:hideMark/>
          </w:tcPr>
          <w:p w:rsidR="00E451E4" w:rsidRPr="00AC4460" w:rsidRDefault="00E451E4" w:rsidP="000A61DD">
            <w:pPr>
              <w:pStyle w:val="Normal6"/>
              <w:rPr>
                <w:szCs w:val="24"/>
              </w:rPr>
            </w:pPr>
            <w:r w:rsidRPr="00AC4460">
              <w:t>(1)</w:t>
            </w:r>
            <w:r w:rsidRPr="00AC4460">
              <w:tab/>
              <w:t>Οι όροι για τη διάθεση λιπασμάτων στην εσωτερική αγορά εναρμονίστηκαν μερικώς μέσω του κανονισμού (ΕΚ) αριθ. 2003/2003 του Ευρωπαϊκού Κοινοβουλίου και του Συμβουλίου</w:t>
            </w:r>
            <w:r w:rsidRPr="00AC4460">
              <w:rPr>
                <w:vertAlign w:val="superscript"/>
              </w:rPr>
              <w:t>15</w:t>
            </w:r>
            <w:r w:rsidRPr="00AC4460">
              <w:t xml:space="preserve">, ο οποίος καλύπτει σχεδόν αποκλειστικά τα λιπάσματα από ορυκτά ή από χημικώς παραγόμενα ανόργανα υλικά. Υπάρχει επίσης ανάγκη να αξιοποιηθούν ανακυκλωμένα ή οργανικά υλικά για σκοπούς λίπανσης. Θα πρέπει να θεσπιστούν εναρμονισμένοι όροι για τη διάθεση λιπασμάτων παραγόμενων από τέτοια ανακυκλωμένα ή οργανικά υλικά σε ολόκληρη την εσωτερική αγορά προκειμένου να παρασχεθεί ένα σημαντικό κίνητρο για την περαιτέρω χρήση τους. </w:t>
            </w:r>
            <w:r w:rsidRPr="00AC4460">
              <w:rPr>
                <w:b/>
                <w:i/>
              </w:rPr>
              <w:t>Η προώθηση της αυξημένης χρήσης ανακυκλωμένων θρεπτικών ουσιών θα συνέβαλε περαιτέρω στην κυκλική οικονομία και θα καθιστούσε δυνατή την πιο αποδοτική από άποψη πόρων συνολική χρήση των θρεπτικών ουσιών, ενώ παράλληλα θα μείωνε την εξάρτηση της Ένωσης από θρεπτικές ουσίες προέλευσης τρίτων χωρών.</w:t>
            </w:r>
            <w:r w:rsidRPr="00AC4460">
              <w:t xml:space="preserve"> Επομένως, το πεδίο εφαρμογής της εναρμόνισης θα πρέπει να διευρυνθεί ώστε να συμπεριλάβει ανακυκλωμένα και οργανικά υλικά.</w:t>
            </w:r>
          </w:p>
        </w:tc>
      </w:tr>
      <w:tr w:rsidR="00E451E4" w:rsidRPr="00135F02"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 xml:space="preserve">15 </w:t>
            </w:r>
            <w:r w:rsidRPr="00AC4460">
              <w:t>Κανονισμός (ΕΚ) αριθ. 2003/2003 του Ευρωπαϊκού Κοινοβουλίου και του Συμβουλίου, της 13ης Οκτωβρίου 2003, σχετικά με τα λιπάσματα (ΕΕ L 304 της 21.11.2003, σ. 1).</w:t>
            </w:r>
          </w:p>
        </w:tc>
        <w:tc>
          <w:tcPr>
            <w:tcW w:w="4876" w:type="dxa"/>
            <w:hideMark/>
          </w:tcPr>
          <w:p w:rsidR="00E451E4" w:rsidRPr="00AC4460" w:rsidRDefault="00E451E4" w:rsidP="000A61DD">
            <w:pPr>
              <w:pStyle w:val="Normal6"/>
              <w:rPr>
                <w:szCs w:val="24"/>
              </w:rPr>
            </w:pPr>
            <w:r w:rsidRPr="00AC4460">
              <w:rPr>
                <w:vertAlign w:val="superscript"/>
              </w:rPr>
              <w:t xml:space="preserve">15 </w:t>
            </w:r>
            <w:r w:rsidRPr="00AC4460">
              <w:t>Κανονισμός (ΕΚ) αριθ. 2003/2003 του Ευρωπαϊκού Κοινοβουλίου και του Συμβουλίου, της 13ης Οκτωβρίου 2003, σχετικά με τα λιπάσματα (ΕΕ L 304 της 21.11.2003, σ. 1).</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Αιτιολογική σκέψη 1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(1α)</w:t>
            </w:r>
            <w:r w:rsidRPr="00AC4460">
              <w:tab/>
            </w:r>
            <w:r w:rsidRPr="00AC4460">
              <w:rPr>
                <w:b/>
                <w:i/>
              </w:rPr>
              <w:t>Ο παρών κανονισμός θα πρέπει να προωθεί τους στόχους της κυκλικής οικονομίας, με την προϋπόθεση ότι εξασφαλίζει ταυτόχρονα την ασφάλεια του εφοδιασμού λιπασμάτων για τους γεωργούς καθώς και υψηλά επίπεδα αποτελεσματικότητας των εν λόγω προϊόντων. Η Επιτροπή θα πρέπει να υποβάλει στο Ευρωπαϊκό Κοινοβούλιο και στο Συμβούλιο έκθεση ανασκόπησης της εφαρμογής του παρόντος κανονισμού μέχρι ... [ΕΕ, εισάγετε την ημερομηνία: πέντε έτη μετά την έναρξη ισχύος του].</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rPr>
          <w:rStyle w:val="NormalBoldChar"/>
        </w:rPr>
      </w:pPr>
      <w:r>
        <w:rPr>
          <w:rStyle w:val="HideTWBExt"/>
          <w:noProof w:val="0"/>
        </w:rPr>
        <w:t>&lt;Article&gt;</w:t>
      </w:r>
      <w:r w:rsidRPr="00AC4460">
        <w:rPr>
          <w:rStyle w:val="NormalBoldChar"/>
        </w:rPr>
        <w:t>Αιτιολογική σκέψη 8</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(8)</w:t>
            </w:r>
            <w:r w:rsidRPr="00AC4460">
              <w:tab/>
              <w:t xml:space="preserve">Οι προσμείξεις στα προϊόντα λίπανσης με σήμανση CE, όπως το κάδμιο, συνιστούν </w:t>
            </w:r>
            <w:r w:rsidRPr="00AC4460">
              <w:rPr>
                <w:b/>
                <w:i/>
              </w:rPr>
              <w:t xml:space="preserve">δυνητικούς </w:t>
            </w:r>
            <w:r w:rsidRPr="00AC4460">
              <w:t>κινδύνους για την υγεία των ανθρώπων και των ζώων και για το περιβάλλον, καθώς συσσωρεύονται στο περιβάλλον και εισέρχονται στην τροφική αλυσίδα. Ως εκ τούτου, η περιεκτικότητα αυτών των προϊόντων σε τέτοιες ουσίες θα πρέπει να περιορίζεται. Επιπλέον, η παρουσία προσμείξεων, ιδίως πολυμερών αλλά και μετάλλου και γυαλιού, στα προϊόντα λίπανσης με σήμανση CE που παράγονται από βιολογικά απόβλητα θα πρέπει είτε να αποτρέπεται είτε να περιορίζεται στον βαθμό που αυτό είναι τεχνικώς εφικτό, μέσω ανίχνευσης τέτοιων προσμείξεων στα χωριστά συλλεγόμενα βιολογικά απόβλητα πριν από την επεξεργασία.</w:t>
            </w:r>
          </w:p>
        </w:tc>
        <w:tc>
          <w:tcPr>
            <w:tcW w:w="4876" w:type="dxa"/>
            <w:hideMark/>
          </w:tcPr>
          <w:p w:rsidR="00E451E4" w:rsidRPr="00AC4460" w:rsidRDefault="00E451E4" w:rsidP="000A61DD">
            <w:pPr>
              <w:pStyle w:val="Normal6"/>
            </w:pPr>
            <w:r w:rsidRPr="00AC4460">
              <w:t>(8)</w:t>
            </w:r>
            <w:r w:rsidRPr="00AC4460">
              <w:tab/>
              <w:t>Οι προσμείξεις στα προϊόντα λίπανσης με σήμανση CE, όπως το κάδμιο, συνιστούν κινδύνους για την υγεία των ανθρώπων και των ζώων και για το περιβάλλον, καθώς συσσωρεύονται στο περιβάλλον και εισέρχονται στην τροφική αλυσίδα</w:t>
            </w:r>
            <w:r w:rsidRPr="00AC4460">
              <w:rPr>
                <w:b/>
                <w:i/>
              </w:rPr>
              <w:t>. Αρκετά κράτη μέλη έχουν ήδη επιβάλει επίπεδα προσμείξεων για το κάδμιο λόγω του κινδύνου που ενέχει το τελευταίο για την υγεία των ανθρώπων και των ζώων και για το περιβάλλον</w:t>
            </w:r>
            <w:r w:rsidRPr="00AC4460">
              <w:t>. Ως εκ τούτου, η περιεκτικότητα αυτών των προϊόντων σε τέτοιες ουσίες θα πρέπει να περιορίζεται. Επιπλέον, η παρουσία προσμείξεων, ιδίως πολυμερών αλλά και μετάλλου και γυαλιού, στα προϊόντα λίπανσης με σήμανση CE που παράγονται από βιολογικά απόβλητα θα πρέπει είτε να αποτρέπεται είτε να περιορίζεται στον βαθμό που αυτό είναι τεχνικώς εφικτό, μέσω ανίχνευσης τέτοιων προσμείξεων στα χωριστά συλλεγόμενα βιολογικά απόβλητα πριν από την επεξεργασία.</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rPr>
          <w:rStyle w:val="NormalBoldChar"/>
        </w:rPr>
      </w:pPr>
      <w:r>
        <w:rPr>
          <w:rStyle w:val="HideTWBExt"/>
          <w:noProof w:val="0"/>
        </w:rPr>
        <w:t>&lt;Article&gt;</w:t>
      </w:r>
      <w:r w:rsidRPr="00AC4460">
        <w:rPr>
          <w:rStyle w:val="NormalBoldChar"/>
        </w:rPr>
        <w:t>Αιτιολογική σκέψη 8 α (νέα)</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9421FD" w:rsidTr="000A61DD">
        <w:trPr>
          <w:jc w:val="center"/>
        </w:trPr>
        <w:tc>
          <w:tcPr>
            <w:tcW w:w="4876" w:type="dxa"/>
          </w:tcPr>
          <w:p w:rsidR="00E451E4" w:rsidRPr="00AC4460" w:rsidRDefault="00E451E4" w:rsidP="000A61DD">
            <w:pPr>
              <w:spacing w:after="120"/>
            </w:pPr>
          </w:p>
        </w:tc>
        <w:tc>
          <w:tcPr>
            <w:tcW w:w="4876" w:type="dxa"/>
            <w:hideMark/>
          </w:tcPr>
          <w:p w:rsidR="00E451E4" w:rsidRPr="00AC4460" w:rsidRDefault="00E451E4" w:rsidP="000A61DD">
            <w:pPr>
              <w:pStyle w:val="Normal6"/>
              <w:rPr>
                <w:b/>
                <w:bCs/>
                <w:i/>
                <w:iCs/>
              </w:rPr>
            </w:pPr>
            <w:r w:rsidRPr="00AC4460">
              <w:rPr>
                <w:b/>
                <w:bCs/>
                <w:i/>
                <w:iCs/>
              </w:rPr>
              <w:t>(8α)</w:t>
            </w:r>
            <w:r w:rsidRPr="00AC4460">
              <w:rPr>
                <w:b/>
                <w:bCs/>
                <w:i/>
                <w:iCs/>
              </w:rPr>
              <w:tab/>
              <w:t xml:space="preserve">Τα κράτη μέλη τα οποία έχουν ήδη ορίσει αυστηρότερες εθνικές οριακές τιμές για το κάδμιο στα λιπάσματα θα πρέπει να μπορούν να διατηρήσουν αυτές τις οριακές τιμές έως ότου τα υπόλοιπα κράτη μέλη της Ένωσης φτάσουν σε ισοδύναμο επίπεδο φιλοδοξίας. </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rPr>
          <w:rStyle w:val="NormalBoldChar"/>
        </w:rPr>
      </w:pPr>
      <w:r>
        <w:rPr>
          <w:rStyle w:val="HideTWBExt"/>
          <w:noProof w:val="0"/>
        </w:rPr>
        <w:t>&lt;</w:t>
      </w:r>
      <w:r>
        <w:rPr>
          <w:rStyle w:val="HideTWBExt"/>
          <w:noProof w:val="0"/>
          <w:lang w:val="fr-FR"/>
        </w:rPr>
        <w:t>Article</w:t>
      </w:r>
      <w:r>
        <w:rPr>
          <w:rStyle w:val="HideTWBExt"/>
          <w:noProof w:val="0"/>
        </w:rPr>
        <w:t>&gt;</w:t>
      </w:r>
      <w:r w:rsidRPr="00AC4460">
        <w:rPr>
          <w:rStyle w:val="NormalBoldChar"/>
        </w:rPr>
        <w:t>Αιτιολογική σκέψη 8 β (νέα)</w:t>
      </w:r>
      <w:r>
        <w:rPr>
          <w:rStyle w:val="HideTWBExt"/>
          <w:noProof w:val="0"/>
        </w:rPr>
        <w:t>&lt;/</w:t>
      </w:r>
      <w:r>
        <w:rPr>
          <w:rStyle w:val="HideTWBExt"/>
          <w:noProof w:val="0"/>
          <w:lang w:val="fr-FR"/>
        </w:rPr>
        <w:t>Article</w:t>
      </w:r>
      <w:r>
        <w:rPr>
          <w:rStyle w:val="HideTWBExt"/>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9421FD" w:rsidTr="000A61DD">
        <w:trPr>
          <w:jc w:val="center"/>
        </w:trPr>
        <w:tc>
          <w:tcPr>
            <w:tcW w:w="4876" w:type="dxa"/>
          </w:tcPr>
          <w:p w:rsidR="00E451E4" w:rsidRPr="00AC4460" w:rsidRDefault="00E451E4" w:rsidP="000A61DD">
            <w:pPr>
              <w:spacing w:after="120"/>
            </w:pPr>
          </w:p>
        </w:tc>
        <w:tc>
          <w:tcPr>
            <w:tcW w:w="4876" w:type="dxa"/>
            <w:hideMark/>
          </w:tcPr>
          <w:p w:rsidR="00E451E4" w:rsidRPr="00AC4460" w:rsidRDefault="00E451E4" w:rsidP="000A61DD">
            <w:pPr>
              <w:pStyle w:val="Normal6"/>
              <w:rPr>
                <w:b/>
                <w:bCs/>
                <w:i/>
                <w:iCs/>
              </w:rPr>
            </w:pPr>
            <w:r w:rsidRPr="00AC4460">
              <w:rPr>
                <w:b/>
                <w:bCs/>
                <w:i/>
                <w:iCs/>
              </w:rPr>
              <w:t>(8β)</w:t>
            </w:r>
            <w:r w:rsidRPr="00AC4460">
              <w:rPr>
                <w:b/>
                <w:bCs/>
                <w:i/>
                <w:iCs/>
              </w:rPr>
              <w:tab/>
              <w:t>Θα πρέπει να θεσπιστεί σε ολόκληρη την Ένωση υποχρέωση επισήμανσης του περιεχόμενου καδμίου των προϊόντων λίπανσης με σήμανση CE, που θα αναφέρει την πραγματική περιεκτικότητα σε κάδμιο (Cd), σε mg ανά kg πεντοξειδίου του φωσφόρου (P</w:t>
            </w:r>
            <w:r w:rsidRPr="00AC4460">
              <w:rPr>
                <w:b/>
                <w:bCs/>
                <w:i/>
                <w:iCs/>
                <w:vertAlign w:val="subscript"/>
              </w:rPr>
              <w:t>2</w:t>
            </w:r>
            <w:r w:rsidRPr="00AC4460">
              <w:rPr>
                <w:b/>
                <w:bCs/>
                <w:i/>
                <w:iCs/>
              </w:rPr>
              <w:t>0</w:t>
            </w:r>
            <w:r w:rsidRPr="00AC4460">
              <w:rPr>
                <w:b/>
                <w:bCs/>
                <w:i/>
                <w:iCs/>
                <w:vertAlign w:val="subscript"/>
              </w:rPr>
              <w:t>5</w:t>
            </w:r>
            <w:r w:rsidRPr="00AC4460">
              <w:rPr>
                <w:b/>
                <w:bCs/>
                <w:i/>
                <w:iCs/>
              </w:rPr>
              <w:t>). Αυτή η υποχρέωση θα μπορούσε να υλοποιηθεί μέσω ευδιάκριτης ετικέτας χρωματικού κώδικα που θα τοποθετείται στο προϊόν, ώστε οι χρήστες να γνωρίζουν αμέσως εάν χρησιμοποιούν προϊόν με υψηλότερη ή χαμηλότερη περιεκτικότητα σε κάδμιο. Θα πρέπει να είναι δυνατή η εισαγωγή ειδικών ενδείξεων για προϊόντα λίπανσης με πραγματική περιεκτικότητα σε κάδμιο ίση ή χαμηλότερη από 20 mg/kg πεντοξειδίου του φωσφόρου (P</w:t>
            </w:r>
            <w:r w:rsidRPr="00AC4460">
              <w:rPr>
                <w:b/>
                <w:bCs/>
                <w:i/>
                <w:iCs/>
                <w:vertAlign w:val="subscript"/>
              </w:rPr>
              <w:t>2</w:t>
            </w:r>
            <w:r w:rsidRPr="00AC4460">
              <w:rPr>
                <w:b/>
                <w:bCs/>
                <w:i/>
                <w:iCs/>
              </w:rPr>
              <w:t>0</w:t>
            </w:r>
            <w:r w:rsidRPr="00AC4460">
              <w:rPr>
                <w:b/>
                <w:bCs/>
                <w:i/>
                <w:iCs/>
                <w:vertAlign w:val="subscript"/>
              </w:rPr>
              <w:t>5</w:t>
            </w:r>
            <w:r w:rsidRPr="00AC4460">
              <w:rPr>
                <w:b/>
                <w:bCs/>
                <w:i/>
                <w:iCs/>
              </w:rPr>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&lt;Article&gt;</w:t>
      </w:r>
      <w:r w:rsidRPr="00AC4460">
        <w:t>Αιτιολογική σκέψη 10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(10α)</w:t>
            </w:r>
            <w:r w:rsidRPr="00AC4460">
              <w:rPr>
                <w:b/>
                <w:i/>
              </w:rPr>
              <w:tab/>
              <w:t>Προκειμένου να αξιοποιηθεί η τεχνική πρόοδος όσον αφορά την πιθανή χρήση ζωικών υποπροϊόντων, η αντίστοιχη κατηγορία συστατικών υλικών θα πρέπει να διευρυνθεί περαιτέρω, χωρίς αδικαιολόγητη καθυστέρηση, και να συμπεριλάβει περισσότερα ζωικά υποπροϊόντα. Αυτή η διευρυμένη κατηγορία συστατικών υλικών θα μπορούσε να βοηθήσει στη δημιουργία περισσότερων ευκαιριών και ασφάλειας δικαίου για τους παραγωγούς και τις επιχειρήσεις, με την ελευθέρωση του δυναμικού καλύτερης αξιοποίησης των θρεπτικών συστατικών ζωικών υποπροϊόντων όπως η ζωική κόπρος. Ως εκ τούτου, θα πρέπει να ανατεθεί στην Επιτροπή η εξουσία έκδοσης κατ’ εξουσιοδότηση πράξεων σύμφωνα με το άρθρο 290 της Συνθήκης για τη λειτουργία της Ευρωπαϊκής Ένωσης όσον αφορά την προσθήκη, χωρίς αδικαιολόγητη καθυστέρηση, ορισμένων ζωικών υποπροϊόντων σε συγκεκριμένες κατηγορίες συστατικών υλικών.</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Αιτιολογική σκέψη 10 β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(10β)</w:t>
            </w:r>
            <w:r w:rsidRPr="00AC4460">
              <w:rPr>
                <w:b/>
                <w:i/>
              </w:rPr>
              <w:tab/>
              <w:t>Για ζωικά υποπροϊόντα που ήδη χρησιμοποιούνται ευρέως στα κράτη μέλη για την παραγωγή λιπασμάτων, όπως η επεξεργασμένη ζωική κόπρος, το τελικό σημείο θα πρέπει να καθοριστεί χωρίς αδικαιολόγητη καθυστέρηση, και το αργότερο μέχρι ... [ΕΕ, εισάγετε την ημερομηνία: έξι μήνες μετά την ημερομηνία έναρξης ισχύος του παρόντος κανονισμού].</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&lt;Article&gt;</w:t>
      </w:r>
      <w:r w:rsidRPr="00AC4460">
        <w:t>Αιτιολογική σκέψη 13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(13)</w:t>
            </w:r>
            <w:r w:rsidRPr="00AC4460">
              <w:tab/>
              <w:t>Για ορισμένα ανακτηθέντα απόβλητα κατά την έννοια της οδηγίας 2008/98/ΕΚ του Ευρωπαϊκού Κοινοβουλίου και του Συμβουλίου</w:t>
            </w:r>
            <w:r w:rsidRPr="00AC4460">
              <w:rPr>
                <w:vertAlign w:val="superscript"/>
              </w:rPr>
              <w:t>20</w:t>
            </w:r>
            <w:r w:rsidRPr="00AC4460">
              <w:t>, έχει διαπιστωθεί ζήτηση στην αγορά για τη χρήση τους ως προϊόντα λίπανσης. Επιπλέον, θα πρέπει να ισχύουν ορισμένες απαιτήσεις για τα απόβλητα που χρησιμοποιούνται ως υλικά εισροής στις δραστηριότητες ανάκτησης, για τις διεργασίες και τεχνικές επεξεργασίας, και για τα προϊόντα λίπανσης που προκύπτουν από τη δραστηριότητα ανάκτησης, προκειμένου να διασφαλιστεί ότι η χρήση των προϊόντων αυτών δεν συνεπάγεται συνολικά δυσμενείς επιπτώσεις για το περιβάλλον ή την ανθρώπινη υγεία. Για τα προϊόντα λίπανσης με σήμανση CE, οι εν λόγω απαιτήσεις θα πρέπει να καθοριστούν στον παρόντα κανονισμό. Ως εκ τούτου, από τη στιγμή που τα εν λόγω προϊόντα συμμορφώνονται με όλες τις απαιτήσεις του παρόντος κανονισμού, θα πρέπει να παύουν να θεωρούνται απόβλητα κατά την έννοια της οδηγίας 2008/98/ΕΚ.</w:t>
            </w:r>
          </w:p>
        </w:tc>
        <w:tc>
          <w:tcPr>
            <w:tcW w:w="4876" w:type="dxa"/>
          </w:tcPr>
          <w:p w:rsidR="00E451E4" w:rsidRPr="00AC4460" w:rsidRDefault="00E451E4" w:rsidP="000A61DD">
            <w:pPr>
              <w:pStyle w:val="Normal6"/>
            </w:pPr>
            <w:r w:rsidRPr="00AC4460">
              <w:t>(13)</w:t>
            </w:r>
            <w:r w:rsidRPr="00AC4460">
              <w:tab/>
              <w:t>Για ορισμένα ανακτηθέντα απόβλητα</w:t>
            </w:r>
            <w:r w:rsidRPr="00AC4460">
              <w:rPr>
                <w:b/>
                <w:i/>
              </w:rPr>
              <w:t>, όπως ο στρουβίτης, ο βιοξυλάνθρακας και προϊόντα με βάση τις τέφρες,</w:t>
            </w:r>
            <w:r w:rsidRPr="00AC4460">
              <w:t xml:space="preserve"> κατά την έννοια της οδηγίας 2008/98/ΕΚ του Ευρωπαϊκού Κοινοβουλίου και του Συμβουλίου</w:t>
            </w:r>
            <w:r w:rsidRPr="00AC4460">
              <w:rPr>
                <w:vertAlign w:val="superscript"/>
              </w:rPr>
              <w:t>20</w:t>
            </w:r>
            <w:r w:rsidRPr="00AC4460">
              <w:t xml:space="preserve">, έχει διαπιστωθεί ζήτηση στην αγορά για τη χρήση τους ως προϊόντων λίπανσης. Επιπλέον, θα πρέπει να ισχύουν ορισμένες απαιτήσεις για τα απόβλητα που χρησιμοποιούνται ως υλικά εισροής στις δραστηριότητες ανάκτησης, για τις διεργασίες και τεχνικές επεξεργασίας, και για τα προϊόντα λίπανσης που προκύπτουν από τη δραστηριότητα ανάκτησης, προκειμένου να διασφαλιστεί ότι η χρήση των προϊόντων αυτών δεν συνεπάγεται συνολικά δυσμενείς επιπτώσεις για το περιβάλλον ή την ανθρώπινη υγεία. Για τα προϊόντα λίπανσης με σήμανση CE, οι εν λόγω απαιτήσεις θα πρέπει να καθοριστούν στον παρόντα κανονισμό. Ως εκ τούτου, από τη στιγμή που τα εν λόγω προϊόντα συμμορφώνονται με όλες τις απαιτήσεις του παρόντος κανονισμού, θα πρέπει να παύουν να θεωρούνται απόβλητα κατά την έννοια της οδηγίας 2008/98/ΕΚ. </w:t>
            </w:r>
            <w:r w:rsidRPr="00AC4460">
              <w:rPr>
                <w:b/>
                <w:i/>
              </w:rPr>
              <w:t>Προκειμένου να αξιοποιηθούν οι τεχνικές εξελίξεις και να παρασχεθούν περισσότερα κίνητρα για καινοτομία στην ανάκτηση πολύτιμων ροών αποβλήτων, θα πρέπει να ανατεθεί στην Επιτροπή η εξουσία έκδοσης κατ’ εξουσιοδότηση πράξεων σύμφωνα με το άρθρο 290 της Συνθήκης για τη λειτουργία της Ευρωπαϊκής Ένωσης (ΣΛΕΕ), για την προσθήκη ή τη διεύρυνση των αντίστοιχων κατηγοριών συστατικών υλικών, ώστε να συμπεριληφθούν περισσότερα ανακτηθέντα απόβλητα κατάλληλα για χρήση στην παραγωγή προϊόντων λίπανσης με σήμανση CE, όπως ο στρουβίτης, ο βιοξυλάνθρακας και τα προϊόντα με βάση τις τέφρες. Η κατάλληλη αξιολόγηση και ο καθορισμός των απαιτήσεων επεξεργασίας θα πρέπει να ξεκινήσουν αμέσως μετά την έναρξη ισχύος του παρόντος κανονισμού.</w:t>
            </w:r>
          </w:p>
        </w:tc>
      </w:tr>
      <w:tr w:rsidR="00E451E4" w:rsidRPr="00135F02" w:rsidTr="000A61DD">
        <w:trPr>
          <w:jc w:val="center"/>
        </w:trPr>
        <w:tc>
          <w:tcPr>
            <w:tcW w:w="4876" w:type="dxa"/>
          </w:tcPr>
          <w:p w:rsidR="00E451E4" w:rsidRPr="00AC4460" w:rsidRDefault="00E451E4" w:rsidP="000A61DD">
            <w:pPr>
              <w:spacing w:after="120"/>
            </w:pPr>
            <w:r w:rsidRPr="00AC4460">
              <w:t>__________________</w:t>
            </w:r>
          </w:p>
        </w:tc>
        <w:tc>
          <w:tcPr>
            <w:tcW w:w="4876" w:type="dxa"/>
          </w:tcPr>
          <w:p w:rsidR="00E451E4" w:rsidRPr="00AC4460" w:rsidRDefault="00E451E4" w:rsidP="000A61DD">
            <w:pPr>
              <w:spacing w:after="120"/>
            </w:pPr>
            <w:r w:rsidRPr="00AC4460">
              <w:t>__________________</w:t>
            </w:r>
          </w:p>
        </w:tc>
      </w:tr>
      <w:tr w:rsidR="00E451E4" w:rsidRPr="009421FD" w:rsidTr="000A61DD">
        <w:trPr>
          <w:jc w:val="center"/>
        </w:trPr>
        <w:tc>
          <w:tcPr>
            <w:tcW w:w="4876" w:type="dxa"/>
          </w:tcPr>
          <w:p w:rsidR="00E451E4" w:rsidRPr="00AC4460" w:rsidRDefault="00E451E4" w:rsidP="000A61DD">
            <w:pPr>
              <w:pStyle w:val="Normal6"/>
            </w:pPr>
            <w:r w:rsidRPr="00AC4460">
              <w:rPr>
                <w:vertAlign w:val="superscript"/>
              </w:rPr>
              <w:t>20</w:t>
            </w:r>
            <w:r w:rsidRPr="00AC4460">
              <w:t xml:space="preserve"> Οδηγία 2008/98/ΕΚ του Ευρωπαϊκού Κοινοβουλίου και του Συμβουλίου για τα απόβλητα και την κατάργηση ορισμένων οδηγιών (ΕΕ L 312 της 22.11.2008, σ. 3).</w:t>
            </w:r>
          </w:p>
        </w:tc>
        <w:tc>
          <w:tcPr>
            <w:tcW w:w="4876" w:type="dxa"/>
          </w:tcPr>
          <w:p w:rsidR="00E451E4" w:rsidRPr="00AC4460" w:rsidRDefault="00E451E4" w:rsidP="000A61DD">
            <w:pPr>
              <w:pStyle w:val="Normal6"/>
            </w:pPr>
            <w:r w:rsidRPr="00AC4460">
              <w:rPr>
                <w:vertAlign w:val="superscript"/>
              </w:rPr>
              <w:t>20</w:t>
            </w:r>
            <w:r w:rsidRPr="00AC4460">
              <w:t xml:space="preserve"> Οδηγία 2008/98/ΕΚ του Ευρωπαϊκού Κοινοβουλίου και του Συμβουλίου για τα απόβλητα και την κατάργηση ορισμένων οδηγιών (ΕΕ L 312 της 22.11.2008, σ. 3).</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&lt;Article&gt;</w:t>
      </w:r>
      <w:r w:rsidRPr="00AC4460">
        <w:t>Αιτιολογική σκέψη 15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rPr>
                <w:szCs w:val="24"/>
              </w:rPr>
              <w:t>(15)</w:t>
            </w:r>
            <w:r w:rsidRPr="00AC4460">
              <w:rPr>
                <w:szCs w:val="24"/>
              </w:rPr>
              <w:tab/>
              <w:t xml:space="preserve">Ορισμένες ουσίες, </w:t>
            </w:r>
            <w:r w:rsidRPr="00AC4460">
              <w:rPr>
                <w:b/>
                <w:i/>
                <w:szCs w:val="24"/>
              </w:rPr>
              <w:t>μείγματα</w:t>
            </w:r>
            <w:r w:rsidRPr="00AC4460">
              <w:rPr>
                <w:szCs w:val="24"/>
              </w:rPr>
              <w:t xml:space="preserve"> και </w:t>
            </w:r>
            <w:r w:rsidRPr="00AC4460">
              <w:rPr>
                <w:b/>
                <w:i/>
                <w:szCs w:val="24"/>
              </w:rPr>
              <w:t>μικροοργανισμοί</w:t>
            </w:r>
            <w:r w:rsidRPr="00AC4460">
              <w:rPr>
                <w:szCs w:val="24"/>
              </w:rPr>
              <w:t>, που κοινώς καλούνται βιοδιεγέρτες φυτών, δεν είναι θρεπτικές ουσίες</w:t>
            </w:r>
            <w:r w:rsidRPr="00AC4460">
              <w:rPr>
                <w:b/>
                <w:i/>
                <w:szCs w:val="24"/>
              </w:rPr>
              <w:t xml:space="preserve"> τα ίδια </w:t>
            </w:r>
            <w:r w:rsidRPr="00AC4460">
              <w:rPr>
                <w:szCs w:val="24"/>
              </w:rPr>
              <w:t>αλλά διεγείρουν τις διεργασίες θρέψης των φυτών. Όταν τα προϊόντα αυτά αποσκοπούν αποκλειστικά στη βελτίωση της αποδοτικότητας της χρήσης των θρεπτικών ουσιών από τα φυτά, της αντοχής σε αβιοτικές καταπονήσεις</w:t>
            </w:r>
            <w:r w:rsidRPr="00AC4460">
              <w:rPr>
                <w:b/>
                <w:i/>
                <w:szCs w:val="24"/>
              </w:rPr>
              <w:t xml:space="preserve"> ή</w:t>
            </w:r>
            <w:r w:rsidRPr="00AC4460">
              <w:rPr>
                <w:szCs w:val="24"/>
              </w:rPr>
              <w:t xml:space="preserve"> των χαρακτηριστικών ποιότητας των </w:t>
            </w:r>
            <w:r w:rsidRPr="00AC4460">
              <w:rPr>
                <w:b/>
                <w:i/>
                <w:szCs w:val="24"/>
              </w:rPr>
              <w:t>καλλιεργειών</w:t>
            </w:r>
            <w:r w:rsidRPr="00AC4460">
              <w:rPr>
                <w:szCs w:val="24"/>
              </w:rPr>
              <w:t>, τότε είναι εκ της φύσεώς τους όμοια με προϊόντα λίπανσης μάλλον παρά με τις περισσότερες κατηγορίες φυτοπροστατευτικών προϊόντων. Τα προϊόντα αυτά θα πρέπει, συνεπώς, να είναι υποψήφια για σήμανση CE βάσει του παρόντος κανονισμού και να αποκλείονται από το πεδίο εφαρμογής του κανονισμού (ΕΚ) αριθ. 1107/2009 του Ευρωπαϊκού Κοινοβουλίου και του Συμβουλίου</w:t>
            </w:r>
            <w:r w:rsidRPr="00AC4460">
              <w:rPr>
                <w:szCs w:val="24"/>
                <w:vertAlign w:val="superscript"/>
              </w:rPr>
              <w:t>21</w:t>
            </w:r>
            <w:r w:rsidRPr="00AC4460">
              <w:rPr>
                <w:szCs w:val="24"/>
              </w:rPr>
              <w:t>. Συνεπώς, ο κανονισμός (ΕΚ) αριθ. 1107/2009 θα πρέπει να τροποποιηθεί αναλόγως.</w:t>
            </w:r>
          </w:p>
        </w:tc>
        <w:tc>
          <w:tcPr>
            <w:tcW w:w="4876" w:type="dxa"/>
          </w:tcPr>
          <w:p w:rsidR="00E451E4" w:rsidRPr="00AC4460" w:rsidRDefault="00E451E4" w:rsidP="000A61DD">
            <w:pPr>
              <w:pStyle w:val="Normal6"/>
              <w:rPr>
                <w:szCs w:val="24"/>
              </w:rPr>
            </w:pPr>
            <w:r w:rsidRPr="00AC4460">
              <w:rPr>
                <w:szCs w:val="24"/>
              </w:rPr>
              <w:t>(15)</w:t>
            </w:r>
            <w:r w:rsidRPr="00AC4460">
              <w:rPr>
                <w:szCs w:val="24"/>
              </w:rPr>
              <w:tab/>
              <w:t xml:space="preserve">Ορισμένες ουσίες, </w:t>
            </w:r>
            <w:r w:rsidRPr="00AC4460">
              <w:rPr>
                <w:b/>
                <w:i/>
                <w:szCs w:val="24"/>
              </w:rPr>
              <w:t>μικροοργανισμοί</w:t>
            </w:r>
            <w:r w:rsidRPr="00AC4460">
              <w:rPr>
                <w:szCs w:val="24"/>
              </w:rPr>
              <w:t xml:space="preserve"> και </w:t>
            </w:r>
            <w:r w:rsidRPr="00AC4460">
              <w:rPr>
                <w:b/>
                <w:i/>
                <w:szCs w:val="24"/>
              </w:rPr>
              <w:t>μείγματα αυτών</w:t>
            </w:r>
            <w:r w:rsidRPr="00AC4460">
              <w:rPr>
                <w:szCs w:val="24"/>
              </w:rPr>
              <w:t xml:space="preserve">, που κοινώς καλούνται βιοδιεγέρτες φυτών, δεν είναι </w:t>
            </w:r>
            <w:r w:rsidRPr="00AC4460">
              <w:rPr>
                <w:b/>
                <w:i/>
                <w:szCs w:val="24"/>
              </w:rPr>
              <w:t xml:space="preserve">απαραιτήτως </w:t>
            </w:r>
            <w:r w:rsidRPr="00AC4460">
              <w:rPr>
                <w:szCs w:val="24"/>
              </w:rPr>
              <w:t>θρεπτικές ουσίες</w:t>
            </w:r>
            <w:r w:rsidRPr="00AC4460">
              <w:rPr>
                <w:b/>
                <w:i/>
                <w:szCs w:val="24"/>
              </w:rPr>
              <w:t xml:space="preserve">, </w:t>
            </w:r>
            <w:r w:rsidRPr="00AC4460">
              <w:rPr>
                <w:szCs w:val="24"/>
              </w:rPr>
              <w:t>αλλά διεγείρουν</w:t>
            </w:r>
            <w:r w:rsidRPr="00AC4460">
              <w:rPr>
                <w:b/>
                <w:i/>
                <w:szCs w:val="24"/>
              </w:rPr>
              <w:t xml:space="preserve"> τη γενικότερη ευρωστία και</w:t>
            </w:r>
            <w:r w:rsidRPr="00AC4460">
              <w:rPr>
                <w:szCs w:val="24"/>
              </w:rPr>
              <w:t xml:space="preserve"> τις διεργασίες θρέψης των φυτών. Όταν τα προϊόντα αυτά αποσκοπούν αποκλειστικά στη βελτίωση της αποδοτικότητας της χρήσης των θρεπτικών ουσιών από τα φυτά, της </w:t>
            </w:r>
            <w:r w:rsidRPr="00AC4460">
              <w:rPr>
                <w:b/>
                <w:i/>
                <w:szCs w:val="24"/>
              </w:rPr>
              <w:t xml:space="preserve">διαθεσιμότητας των θρεπτικών ουσιών, της </w:t>
            </w:r>
            <w:r w:rsidRPr="00AC4460">
              <w:rPr>
                <w:szCs w:val="24"/>
              </w:rPr>
              <w:t>αντοχής σε αβιοτικές καταπονήσεις</w:t>
            </w:r>
            <w:r w:rsidRPr="00AC4460">
              <w:rPr>
                <w:b/>
                <w:i/>
                <w:szCs w:val="24"/>
              </w:rPr>
              <w:t>,</w:t>
            </w:r>
            <w:r w:rsidRPr="00AC4460">
              <w:rPr>
                <w:szCs w:val="24"/>
              </w:rPr>
              <w:t xml:space="preserve"> των χαρακτηριστικών ποιότητας των </w:t>
            </w:r>
            <w:r w:rsidRPr="00AC4460">
              <w:rPr>
                <w:b/>
                <w:i/>
                <w:szCs w:val="24"/>
              </w:rPr>
              <w:t>φυτών, της αποδόμησης της οργανικής ουσίας του εδάφους ή στην αύξηση της διαθεσιμότητας των θρεπτικών ουσιών που συγκρατούνται στο έδαφος ή στη ριζόσφαιρα</w:t>
            </w:r>
            <w:r w:rsidRPr="00AC4460">
              <w:rPr>
                <w:szCs w:val="24"/>
              </w:rPr>
              <w:t>,</w:t>
            </w:r>
            <w:r w:rsidRPr="00AC4460">
              <w:rPr>
                <w:b/>
                <w:i/>
                <w:szCs w:val="24"/>
              </w:rPr>
              <w:t xml:space="preserve"> ή της απόδοσης</w:t>
            </w:r>
            <w:r w:rsidRPr="00AC4460">
              <w:rPr>
                <w:szCs w:val="24"/>
              </w:rPr>
              <w:t xml:space="preserve"> τότε είναι εκ της φύσεώς τους όμοια με προϊόντα λίπανσης μάλλον παρά με τις περισσότερες κατηγορίες φυτοπροστατευτικών προϊόντων. Τα προϊόντα αυτά θα πρέπει, συνεπώς, να είναι υποψήφια για σήμανση CE βάσει του παρόντος κανονισμού και να αποκλείονται από το πεδίο εφαρμογής του κανονισμού (ΕΚ) αριθ. 1107/2009 του Ευρωπαϊκού Κοινοβουλίου και του Συμβουλίου</w:t>
            </w:r>
            <w:r w:rsidRPr="00AC4460">
              <w:rPr>
                <w:szCs w:val="24"/>
                <w:vertAlign w:val="superscript"/>
              </w:rPr>
              <w:t>21</w:t>
            </w:r>
            <w:r w:rsidRPr="00AC4460">
              <w:rPr>
                <w:szCs w:val="24"/>
              </w:rPr>
              <w:t xml:space="preserve">. Συνεπώς, ο κανονισμός (ΕΚ) αριθ. 1107/2009 θα πρέπει να τροποποιηθεί αναλόγως. </w:t>
            </w:r>
          </w:p>
        </w:tc>
      </w:tr>
      <w:tr w:rsidR="00E451E4" w:rsidRPr="00135F02" w:rsidTr="000A61DD">
        <w:trPr>
          <w:jc w:val="center"/>
        </w:trPr>
        <w:tc>
          <w:tcPr>
            <w:tcW w:w="4876" w:type="dxa"/>
          </w:tcPr>
          <w:p w:rsidR="00E451E4" w:rsidRPr="00AC4460" w:rsidRDefault="00E451E4" w:rsidP="000A61DD">
            <w:pPr>
              <w:pStyle w:val="Normal6"/>
              <w:rPr>
                <w:szCs w:val="24"/>
              </w:rPr>
            </w:pPr>
            <w:r w:rsidRPr="00AC4460">
              <w:rPr>
                <w:szCs w:val="24"/>
              </w:rPr>
              <w:t>_________________</w:t>
            </w:r>
          </w:p>
        </w:tc>
        <w:tc>
          <w:tcPr>
            <w:tcW w:w="4876" w:type="dxa"/>
          </w:tcPr>
          <w:p w:rsidR="00E451E4" w:rsidRPr="00AC4460" w:rsidRDefault="00E451E4" w:rsidP="000A61DD">
            <w:pPr>
              <w:pStyle w:val="Normal6"/>
              <w:rPr>
                <w:szCs w:val="24"/>
              </w:rPr>
            </w:pPr>
            <w:r w:rsidRPr="00AC4460">
              <w:rPr>
                <w:szCs w:val="24"/>
              </w:rPr>
              <w:t>_________________</w:t>
            </w:r>
          </w:p>
        </w:tc>
      </w:tr>
      <w:tr w:rsidR="00E451E4" w:rsidRPr="009421FD" w:rsidTr="000A61DD">
        <w:trPr>
          <w:jc w:val="center"/>
        </w:trPr>
        <w:tc>
          <w:tcPr>
            <w:tcW w:w="4876" w:type="dxa"/>
          </w:tcPr>
          <w:p w:rsidR="00E451E4" w:rsidRPr="00AC4460" w:rsidRDefault="00E451E4" w:rsidP="000A61DD">
            <w:pPr>
              <w:pStyle w:val="Normal6"/>
              <w:rPr>
                <w:szCs w:val="24"/>
              </w:rPr>
            </w:pPr>
            <w:r w:rsidRPr="00AC4460">
              <w:rPr>
                <w:szCs w:val="24"/>
                <w:vertAlign w:val="superscript"/>
              </w:rPr>
              <w:t>21</w:t>
            </w:r>
            <w:r w:rsidRPr="00AC4460">
              <w:rPr>
                <w:szCs w:val="24"/>
              </w:rPr>
              <w:t xml:space="preserve">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tc>
        <w:tc>
          <w:tcPr>
            <w:tcW w:w="4876" w:type="dxa"/>
          </w:tcPr>
          <w:p w:rsidR="00E451E4" w:rsidRPr="00AC4460" w:rsidRDefault="00E451E4" w:rsidP="000A61DD">
            <w:pPr>
              <w:pStyle w:val="Normal6"/>
              <w:rPr>
                <w:szCs w:val="24"/>
              </w:rPr>
            </w:pPr>
            <w:r w:rsidRPr="00AC4460">
              <w:rPr>
                <w:szCs w:val="24"/>
                <w:vertAlign w:val="superscript"/>
              </w:rPr>
              <w:t>21</w:t>
            </w:r>
            <w:r w:rsidRPr="00AC4460">
              <w:rPr>
                <w:szCs w:val="24"/>
              </w:rPr>
              <w:t xml:space="preserve">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Αιτιολογική σκέψη 17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(17)</w:t>
            </w:r>
            <w:r w:rsidRPr="00AC4460">
              <w:tab/>
              <w:t>Ο παρών κανονισμός δεν θα πρέπει να εμποδίζει την εφαρμογή της υφιστάμενης ενωσιακής νομοθεσίας σχετικά με πτυχές της προστασίας της υγείας, της ασφάλειας και του περιβάλλοντος που δεν καλύπτονται από τον παρόντα κανονισμό. Ως εκ τούτου, ο παρών κανονισμός θα πρέπει να ισχύει με την επιφύλαξη της οδηγίας 86/278/ΕΟΚ του Συμβουλίου</w:t>
            </w:r>
            <w:r w:rsidRPr="00AC4460">
              <w:rPr>
                <w:vertAlign w:val="superscript"/>
              </w:rPr>
              <w:t>22</w:t>
            </w:r>
            <w:r w:rsidRPr="00AC4460">
              <w:t>, της οδηγίας 89/391/ΕΟΚ του Συμβουλίου</w:t>
            </w:r>
            <w:r w:rsidRPr="00AC4460">
              <w:rPr>
                <w:vertAlign w:val="superscript"/>
              </w:rPr>
              <w:t>23</w:t>
            </w:r>
            <w:r w:rsidRPr="00AC4460">
              <w:t>, του κανονισμού (ΕΚ) αριθ. 1907/2006 του Ευρωπαϊκού Κοινοβουλίου και του Συμβουλίου</w:t>
            </w:r>
            <w:r w:rsidRPr="00AC4460">
              <w:rPr>
                <w:vertAlign w:val="superscript"/>
              </w:rPr>
              <w:t>24</w:t>
            </w:r>
            <w:r w:rsidRPr="00AC4460">
              <w:t>, του κανονισμού (ΕΚ) αριθ. 1272/2008 του Ευρωπαϊκού Κοινοβουλίου και του Συμβουλίου</w:t>
            </w:r>
            <w:r w:rsidRPr="00AC4460">
              <w:rPr>
                <w:vertAlign w:val="superscript"/>
              </w:rPr>
              <w:t>25</w:t>
            </w:r>
            <w:r w:rsidRPr="00AC4460">
              <w:t>, του κανονισμού (ΕΚ) αριθ. 1881/2006 της Επιτροπής</w:t>
            </w:r>
            <w:r w:rsidRPr="00AC4460">
              <w:rPr>
                <w:vertAlign w:val="superscript"/>
              </w:rPr>
              <w:t>26</w:t>
            </w:r>
            <w:r w:rsidRPr="00AC4460">
              <w:t>, της οδηγίας 2000/29/ΕΚ του Συμβουλίου</w:t>
            </w:r>
            <w:r w:rsidRPr="00AC4460">
              <w:rPr>
                <w:vertAlign w:val="superscript"/>
              </w:rPr>
              <w:t>27</w:t>
            </w:r>
            <w:r w:rsidRPr="00AC4460">
              <w:t>, του κανονισμού (ΕΚ) αριθ. 98/2013 του Ευρωπαϊκού Κοινοβουλίου και του Συμβουλίου</w:t>
            </w:r>
            <w:r w:rsidRPr="00AC4460">
              <w:rPr>
                <w:vertAlign w:val="superscript"/>
              </w:rPr>
              <w:t>28</w:t>
            </w:r>
            <w:r w:rsidRPr="00AC4460">
              <w:t xml:space="preserve"> και του κανονισμού (ΕΕ) αριθ. 1143/2014 του Ευρωπαϊκού Κοινοβουλίου και του Συμβουλίου</w:t>
            </w:r>
            <w:r w:rsidRPr="00AC4460">
              <w:rPr>
                <w:vertAlign w:val="superscript"/>
              </w:rPr>
              <w:t>29</w:t>
            </w:r>
            <w:r w:rsidRPr="00AC4460">
              <w:t>.</w:t>
            </w:r>
          </w:p>
        </w:tc>
        <w:tc>
          <w:tcPr>
            <w:tcW w:w="4876" w:type="dxa"/>
            <w:hideMark/>
          </w:tcPr>
          <w:p w:rsidR="00E451E4" w:rsidRPr="00AC4460" w:rsidRDefault="00E451E4" w:rsidP="000A61DD">
            <w:pPr>
              <w:pStyle w:val="Normal6"/>
              <w:rPr>
                <w:szCs w:val="24"/>
              </w:rPr>
            </w:pPr>
            <w:r w:rsidRPr="00AC4460">
              <w:t>(17)</w:t>
            </w:r>
            <w:r w:rsidRPr="00AC4460">
              <w:tab/>
              <w:t>Ο παρών κανονισμός δεν θα πρέπει να εμποδίζει την εφαρμογή της υφιστάμενης ενωσιακής νομοθεσίας σχετικά με πτυχές της προστασίας της υγείας, της ασφάλειας και του περιβάλλοντος που δεν καλύπτονται από τον παρόντα κανονισμό. Ως εκ τούτου, ο παρών κανονισμός θα πρέπει να ισχύει με την επιφύλαξη της οδηγίας 86/278/ΕΟΚ του Συμβουλίου</w:t>
            </w:r>
            <w:r w:rsidRPr="00AC4460">
              <w:rPr>
                <w:vertAlign w:val="superscript"/>
              </w:rPr>
              <w:t>22</w:t>
            </w:r>
            <w:r w:rsidRPr="00AC4460">
              <w:t xml:space="preserve">, της οδηγίας </w:t>
            </w:r>
            <w:r w:rsidRPr="00AC4460">
              <w:rPr>
                <w:b/>
                <w:i/>
              </w:rPr>
              <w:t>91/676/ΕΟΚ του Συμβουλίου</w:t>
            </w:r>
            <w:r w:rsidRPr="00AC4460">
              <w:rPr>
                <w:b/>
                <w:i/>
                <w:vertAlign w:val="superscript"/>
              </w:rPr>
              <w:t>22α</w:t>
            </w:r>
            <w:r w:rsidRPr="00AC4460">
              <w:rPr>
                <w:b/>
                <w:i/>
              </w:rPr>
              <w:t>, της οδηγίας 2000/60/ΕΚ του Συμβουλίου</w:t>
            </w:r>
            <w:r w:rsidRPr="00AC4460">
              <w:rPr>
                <w:b/>
                <w:i/>
                <w:vertAlign w:val="superscript"/>
              </w:rPr>
              <w:t>22β</w:t>
            </w:r>
            <w:r w:rsidRPr="00AC4460">
              <w:rPr>
                <w:b/>
                <w:i/>
              </w:rPr>
              <w:t xml:space="preserve">, της οδηγίας </w:t>
            </w:r>
            <w:r w:rsidRPr="00AC4460">
              <w:t>89/391/ΕΟΚ του Συμβουλίου</w:t>
            </w:r>
            <w:r w:rsidRPr="00AC4460">
              <w:rPr>
                <w:vertAlign w:val="superscript"/>
              </w:rPr>
              <w:t>23</w:t>
            </w:r>
            <w:r w:rsidRPr="00AC4460">
              <w:t>, του κανονισμού (ΕΚ) αριθ. 1907/2006 του Ευρωπαϊκού Κοινοβουλίου και του Συμβουλίου</w:t>
            </w:r>
            <w:r w:rsidRPr="00AC4460">
              <w:rPr>
                <w:vertAlign w:val="superscript"/>
              </w:rPr>
              <w:t>24</w:t>
            </w:r>
            <w:r w:rsidRPr="00AC4460">
              <w:t>, του κανονισμού (ΕΚ) αριθ. 1272/2008 του Ευρωπαϊκού Κοινοβουλίου και του Συμβουλίου</w:t>
            </w:r>
            <w:r w:rsidRPr="00AC4460">
              <w:rPr>
                <w:vertAlign w:val="superscript"/>
              </w:rPr>
              <w:t>25</w:t>
            </w:r>
            <w:r w:rsidRPr="00AC4460">
              <w:t>, του κανονισμού (ΕΚ) αριθ. 1881/2006 της Επιτροπής</w:t>
            </w:r>
            <w:r w:rsidRPr="00AC4460">
              <w:rPr>
                <w:vertAlign w:val="superscript"/>
              </w:rPr>
              <w:t>26</w:t>
            </w:r>
            <w:r w:rsidRPr="00AC4460">
              <w:t>, της οδηγίας 2000/29/ΕΚ του Συμβουλίου</w:t>
            </w:r>
            <w:r w:rsidRPr="00AC4460">
              <w:rPr>
                <w:vertAlign w:val="superscript"/>
              </w:rPr>
              <w:t>27</w:t>
            </w:r>
            <w:r w:rsidRPr="00AC4460">
              <w:t>, του κανονισμού (ΕΚ) αριθ. 98/2013 του Ευρωπαϊκού Κοινοβουλίου και του Συμβουλίου</w:t>
            </w:r>
            <w:r w:rsidRPr="00AC4460">
              <w:rPr>
                <w:vertAlign w:val="superscript"/>
              </w:rPr>
              <w:t>28</w:t>
            </w:r>
            <w:r w:rsidRPr="00AC4460">
              <w:t xml:space="preserve"> και του κανονισμού (ΕΕ) αριθ. 1143/2014 του Ευρωπαϊκού Κοινοβουλίου και του Συμβουλίου</w:t>
            </w:r>
            <w:r w:rsidRPr="00AC4460">
              <w:rPr>
                <w:vertAlign w:val="superscript"/>
              </w:rPr>
              <w:t>29</w:t>
            </w:r>
            <w:r w:rsidRPr="00AC4460">
              <w:rPr>
                <w:b/>
                <w:i/>
              </w:rPr>
              <w:t xml:space="preserve"> και του κανονισμού (ΕΚ) αριθ. 834/2007 του Συμβουλίου</w:t>
            </w:r>
            <w:r w:rsidRPr="00AC4460">
              <w:rPr>
                <w:b/>
                <w:i/>
                <w:vertAlign w:val="superscript"/>
              </w:rPr>
              <w:t>29α</w:t>
            </w:r>
            <w:r w:rsidRPr="00AC4460">
              <w:t>.</w:t>
            </w:r>
          </w:p>
        </w:tc>
      </w:tr>
      <w:tr w:rsidR="00E451E4" w:rsidRPr="00135F02"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22</w:t>
            </w:r>
            <w:r w:rsidRPr="00AC4460">
              <w:t xml:space="preserve"> 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 (ΕΕ L 181 της 4.7.1986, σ. 6).</w:t>
            </w:r>
          </w:p>
        </w:tc>
        <w:tc>
          <w:tcPr>
            <w:tcW w:w="4876" w:type="dxa"/>
            <w:hideMark/>
          </w:tcPr>
          <w:p w:rsidR="00E451E4" w:rsidRPr="00AC4460" w:rsidRDefault="00E451E4" w:rsidP="000A61DD">
            <w:pPr>
              <w:pStyle w:val="Normal6"/>
              <w:rPr>
                <w:szCs w:val="24"/>
              </w:rPr>
            </w:pPr>
            <w:r w:rsidRPr="00AC4460">
              <w:rPr>
                <w:vertAlign w:val="superscript"/>
              </w:rPr>
              <w:t>22</w:t>
            </w:r>
            <w:r w:rsidRPr="00AC4460">
              <w:t xml:space="preserve"> 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 (ΕΕ L 181 της 4.7.1986, σ. 6).</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22α</w:t>
            </w:r>
            <w:r w:rsidRPr="00AC4460">
              <w:rPr>
                <w:b/>
                <w:i/>
              </w:rPr>
              <w:t xml:space="preserve"> Οδηγία 91/676/ΕΟΚ του Συμβουλίου της 12ης Δεκεμβρίου 1991 για την προστασία των υδάτων από τη νιτρορύπανση γεωργικής προέλευσης (ΕΕ L 375 της 31.12.1991, σ. 1)</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22β</w:t>
            </w:r>
            <w:r w:rsidRPr="00AC4460">
              <w:rPr>
                <w:b/>
                <w:i/>
              </w:rPr>
              <w:t xml:space="preserve"> Οδηγία 2000/60/ΕΚ του Ευρωπαϊκού Κοινοβουλίου και του Συμβουλίου της 23ης Οκτωβρίου 2000 για τη θέσπιση πλαισίου κοινοτικής δράσης στον τομέα της πολιτικής των υδάτων (ΕΕ L 327 της 22.12.2000, σ. 1).</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23</w:t>
            </w:r>
            <w:r w:rsidRPr="00AC4460">
              <w:t xml:space="preserve"> 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w:t>
            </w:r>
          </w:p>
        </w:tc>
        <w:tc>
          <w:tcPr>
            <w:tcW w:w="4876" w:type="dxa"/>
            <w:hideMark/>
          </w:tcPr>
          <w:p w:rsidR="00E451E4" w:rsidRPr="00AC4460" w:rsidRDefault="00E451E4" w:rsidP="000A61DD">
            <w:pPr>
              <w:pStyle w:val="Normal6"/>
              <w:rPr>
                <w:szCs w:val="24"/>
              </w:rPr>
            </w:pPr>
            <w:r w:rsidRPr="00AC4460">
              <w:rPr>
                <w:vertAlign w:val="superscript"/>
              </w:rPr>
              <w:t>23</w:t>
            </w:r>
            <w:r w:rsidRPr="00AC4460">
              <w:t xml:space="preserve"> 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24</w:t>
            </w:r>
            <w:r w:rsidRPr="00AC4460">
              <w:t xml:space="preserve">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w:t>
            </w:r>
          </w:p>
        </w:tc>
        <w:tc>
          <w:tcPr>
            <w:tcW w:w="4876" w:type="dxa"/>
            <w:hideMark/>
          </w:tcPr>
          <w:p w:rsidR="00E451E4" w:rsidRPr="00AC4460" w:rsidRDefault="00E451E4" w:rsidP="000A61DD">
            <w:pPr>
              <w:pStyle w:val="Normal6"/>
              <w:rPr>
                <w:szCs w:val="24"/>
              </w:rPr>
            </w:pPr>
            <w:r w:rsidRPr="00AC4460">
              <w:rPr>
                <w:vertAlign w:val="superscript"/>
              </w:rPr>
              <w:t>24</w:t>
            </w:r>
            <w:r w:rsidRPr="00AC4460">
              <w:t xml:space="preserve">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25</w:t>
            </w:r>
            <w:r w:rsidRPr="00AC4460">
              <w:t xml:space="preserve"> 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tc>
        <w:tc>
          <w:tcPr>
            <w:tcW w:w="4876" w:type="dxa"/>
            <w:hideMark/>
          </w:tcPr>
          <w:p w:rsidR="00E451E4" w:rsidRPr="00AC4460" w:rsidRDefault="00E451E4" w:rsidP="000A61DD">
            <w:pPr>
              <w:pStyle w:val="Normal6"/>
              <w:rPr>
                <w:szCs w:val="24"/>
              </w:rPr>
            </w:pPr>
            <w:r w:rsidRPr="00AC4460">
              <w:rPr>
                <w:vertAlign w:val="superscript"/>
              </w:rPr>
              <w:t>25</w:t>
            </w:r>
            <w:r w:rsidRPr="00AC4460">
              <w:t xml:space="preserve"> 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26</w:t>
            </w:r>
            <w:r w:rsidRPr="00AC4460">
              <w:t xml:space="preserve">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 (ΕΕ L 364 της 20.12.2006, σ. 5).</w:t>
            </w:r>
          </w:p>
        </w:tc>
        <w:tc>
          <w:tcPr>
            <w:tcW w:w="4876" w:type="dxa"/>
            <w:hideMark/>
          </w:tcPr>
          <w:p w:rsidR="00E451E4" w:rsidRPr="00AC4460" w:rsidRDefault="00E451E4" w:rsidP="000A61DD">
            <w:pPr>
              <w:pStyle w:val="Normal6"/>
              <w:rPr>
                <w:szCs w:val="24"/>
              </w:rPr>
            </w:pPr>
            <w:r w:rsidRPr="00AC4460">
              <w:rPr>
                <w:vertAlign w:val="superscript"/>
              </w:rPr>
              <w:t>26</w:t>
            </w:r>
            <w:r w:rsidRPr="00AC4460">
              <w:t xml:space="preserve">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 (ΕΕ L 364 της 20.12.2006, σ. 5).</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27</w:t>
            </w:r>
            <w:r w:rsidRPr="00AC4460">
              <w:t xml:space="preserve"> Οδηγία 2000/29/ΕΚ του Συμβουλίου, της 8ης Μαΐου 2000, περί των μέτρων προστασίας κατά της εισαγωγής στην Κοινότητα οργανισμών επιβλαβών για τα φυτά ή τα φυτικά προϊόντα και κατά της εξάπλωσής τους στο εσωτερικό της Κοινότητας (ΕΕ L 169 της 10.7.2000, σ. 1).</w:t>
            </w:r>
          </w:p>
        </w:tc>
        <w:tc>
          <w:tcPr>
            <w:tcW w:w="4876" w:type="dxa"/>
            <w:hideMark/>
          </w:tcPr>
          <w:p w:rsidR="00E451E4" w:rsidRPr="00AC4460" w:rsidRDefault="00E451E4" w:rsidP="000A61DD">
            <w:pPr>
              <w:pStyle w:val="Normal6"/>
              <w:rPr>
                <w:szCs w:val="24"/>
              </w:rPr>
            </w:pPr>
            <w:r w:rsidRPr="00AC4460">
              <w:rPr>
                <w:vertAlign w:val="superscript"/>
              </w:rPr>
              <w:t>27</w:t>
            </w:r>
            <w:r w:rsidRPr="00AC4460">
              <w:t xml:space="preserve"> Οδηγία 2000/29/ΕΚ του Συμβουλίου, της 8ης Μαΐου 2000, περί των μέτρων προστασίας κατά της εισαγωγής στην Κοινότητα οργανισμών επιβλαβών για τα φυτά ή τα φυτικά προϊόντα και κατά της εξάπλωσής τους στο εσωτερικό της Κοινότητας (ΕΕ L 169 της 10.7.2000, σ. 1).</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28</w:t>
            </w:r>
            <w:r w:rsidRPr="00AC4460">
              <w:t xml:space="preserve"> Κανονισμός (ΕΕ) αριθ. 98/2013 του Ευρωπαϊκού Κοινοβουλίου και του Συμβουλίου, της 15ης Ιανουαρίου 2013, σχετικά με την κυκλοφορία στην αγορά και τη χρήση πρόδρομων ουσιών εκρηκτικών υλών (ΕΕ L 39 της 9.2.2013, σ. 1).</w:t>
            </w:r>
          </w:p>
        </w:tc>
        <w:tc>
          <w:tcPr>
            <w:tcW w:w="4876" w:type="dxa"/>
            <w:hideMark/>
          </w:tcPr>
          <w:p w:rsidR="00E451E4" w:rsidRPr="00AC4460" w:rsidRDefault="00E451E4" w:rsidP="000A61DD">
            <w:pPr>
              <w:pStyle w:val="Normal6"/>
              <w:rPr>
                <w:szCs w:val="24"/>
              </w:rPr>
            </w:pPr>
            <w:r w:rsidRPr="00AC4460">
              <w:rPr>
                <w:vertAlign w:val="superscript"/>
              </w:rPr>
              <w:t>28</w:t>
            </w:r>
            <w:r w:rsidRPr="00AC4460">
              <w:t xml:space="preserve"> Κανονισμός (ΕΕ) αριθ. 98/2013 του Ευρωπαϊκού Κοινοβουλίου και του Συμβουλίου, της 15ης Ιανουαρίου 2013, σχετικά με την κυκλοφορία στην αγορά και τη χρήση πρόδρομων ουσιών εκρηκτικών υλών (ΕΕ L 39 της 9.2.2013, σ. 1).</w:t>
            </w:r>
          </w:p>
        </w:tc>
      </w:tr>
      <w:tr w:rsidR="00E451E4" w:rsidRPr="009421FD" w:rsidTr="000A61DD">
        <w:trPr>
          <w:jc w:val="center"/>
        </w:trPr>
        <w:tc>
          <w:tcPr>
            <w:tcW w:w="4876" w:type="dxa"/>
            <w:hideMark/>
          </w:tcPr>
          <w:p w:rsidR="00E451E4" w:rsidRPr="00AC4460" w:rsidRDefault="00E451E4" w:rsidP="000A61DD">
            <w:pPr>
              <w:pStyle w:val="Normal6"/>
            </w:pPr>
            <w:r w:rsidRPr="00AC4460">
              <w:rPr>
                <w:vertAlign w:val="superscript"/>
              </w:rPr>
              <w:t>29</w:t>
            </w:r>
            <w:r w:rsidRPr="00AC4460">
              <w:t xml:space="preserve">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tc>
        <w:tc>
          <w:tcPr>
            <w:tcW w:w="4876" w:type="dxa"/>
            <w:hideMark/>
          </w:tcPr>
          <w:p w:rsidR="00E451E4" w:rsidRPr="00AC4460" w:rsidRDefault="00E451E4" w:rsidP="000A61DD">
            <w:pPr>
              <w:pStyle w:val="Normal6"/>
              <w:rPr>
                <w:szCs w:val="24"/>
              </w:rPr>
            </w:pPr>
            <w:r w:rsidRPr="00AC4460">
              <w:rPr>
                <w:vertAlign w:val="superscript"/>
              </w:rPr>
              <w:t>29</w:t>
            </w:r>
            <w:r w:rsidRPr="00AC4460">
              <w:t xml:space="preserve">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29α</w:t>
            </w:r>
            <w:r w:rsidRPr="00AC4460">
              <w:rPr>
                <w:b/>
                <w:i/>
              </w:rPr>
              <w:t xml:space="preserve"> Κανονισμός (ΕΚ) αριθ. 834/2007 του Συμβουλίου, της 28ης Ιουνίου 2007, για τη βιολογική παραγωγή και την επισήμανση των βιολογικών προϊόντων (ΕΕ L 189 της 20.7.2007, σ. 1).</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Το πεδίο εφαρμογής του κανονισμού για τα προϊόντα λίπανσης αποσκοπεί αποκλειστικά στη διασφάλιση της λειτουργίας της εσωτερικής αγοράς και στην εν μέρει εναρμόνιση των προϋποθέσεων για τη διάθεση στην αγορά προϊόντων λίπανσης με σήμανση CE, τα οποία μπορούν να διατίθενται στο εμπόριο στην εσωτερική αγορά. Η οδηγία για τη νιτρορύπανση, η οδηγία πλαίσιο για τα ύδατα (2000/60/ΕΚ) και ο κανονισμός του Συμβουλίου (ΕΚ) για τη βιολογική παραγωγή και την επισήμανση των βιολογικών προϊόντων (αριθ. 834/2007) δεν θα πρέπει να εμπίπτουν στο πεδίο εφαρμογής του κανονισμού για τα προϊόντα λίπανσης όσον αφορά τη διάθεση στην αγορά.</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&lt;Article&gt;</w:t>
      </w:r>
      <w:r w:rsidRPr="00AC4460">
        <w:t>Αιτιολογική σκέψη 55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(55)</w:t>
            </w:r>
            <w:r w:rsidRPr="00AC4460">
              <w:tab/>
              <w:t xml:space="preserve">Σημειώνεται ελπιδοφόρος τεχνολογική πρόοδος στον τομέα της ανακύκλωσης των αποβλήτων, όπως η ανακύκλωση φωσφόρου από λυματολάσπη, </w:t>
            </w:r>
            <w:r w:rsidRPr="00AC4460">
              <w:rPr>
                <w:b/>
                <w:i/>
              </w:rPr>
              <w:t>και</w:t>
            </w:r>
            <w:r w:rsidRPr="00AC4460">
              <w:t xml:space="preserve"> της παραγωγής προϊόντων από ζωικά υποπροϊόντα, όπως ο βιοξυλάνθρακας. Τα προϊόντα που περιέχουν ή που αποτελούνται από τέτοια υλικά θα πρέπει να έχουν πρόσβαση στην εσωτερική αγορά χωρίς </w:t>
            </w:r>
            <w:r w:rsidRPr="00AC4460">
              <w:rPr>
                <w:b/>
                <w:i/>
              </w:rPr>
              <w:t>περιττή</w:t>
            </w:r>
            <w:r w:rsidRPr="00AC4460">
              <w:t xml:space="preserve"> καθυστέρηση, όταν οι διαδικασίες παραγωγής έχουν αναλυθεί επιστημονικά και όταν έχουν καθοριστεί απαιτήσεις διεργασίας σε ενωσιακό επίπεδο. Για τον σκοπό αυτόν, πρέπει να εκχωρηθεί στην Επιτροπή η αρμοδιότητα να εκδίδει πράξεις σύμφωνα με το άρθρο 290 της </w:t>
            </w:r>
            <w:r w:rsidRPr="00AC4460">
              <w:rPr>
                <w:b/>
                <w:i/>
              </w:rPr>
              <w:t>Συνθήκης για τη λειτουργία της Ευρωπαϊκής Ένωσης</w:t>
            </w:r>
            <w:r w:rsidRPr="00AC4460">
              <w:t xml:space="preserve"> όσον αφορά τον καθορισμό μεγαλύτερων ή πρόσθετων κατηγοριών προϊόντων λίπανσης με σήμανση CE ή συστατικών υλικών κατάλληλων για χρήση στην παραγωγή τέτοιων προϊόντων. Για τα ζωικά υποπροϊόντα, κατηγορίες συστατικών υλικών θα πρέπει να προστίθενται ή να διευρύνονται μόνο στον βαθμό που θα έχει προσδιοριστεί ένα τελικό σημείο στην αλυσίδα παρασκευής, σύμφωνα με τις διαδικασίες που καθορίζονται στον κανονισμό (ΕΚ) αριθ. 1069/2009</w:t>
            </w:r>
            <w:r w:rsidRPr="00AC4460">
              <w:rPr>
                <w:b/>
                <w:i/>
              </w:rPr>
              <w:t>, αφού τα ζωικά υποπροϊόντα για τα οποία δεν έχει προσδιοριστεί τέτοιο τελικό σημείο εξαιρούνται ούτως ή άλλως από το πεδίο εφαρμογής του παρόντος κανονισμού</w:t>
            </w:r>
            <w:r w:rsidRPr="00AC4460">
              <w:t>.</w:t>
            </w:r>
          </w:p>
        </w:tc>
        <w:tc>
          <w:tcPr>
            <w:tcW w:w="4876" w:type="dxa"/>
          </w:tcPr>
          <w:p w:rsidR="00E451E4" w:rsidRPr="00AC4460" w:rsidRDefault="00E451E4" w:rsidP="000A61DD">
            <w:pPr>
              <w:pStyle w:val="Normal6"/>
            </w:pPr>
            <w:r w:rsidRPr="00AC4460">
              <w:t>(55)</w:t>
            </w:r>
            <w:r w:rsidRPr="00AC4460">
              <w:tab/>
              <w:t xml:space="preserve">Σημειώνεται ελπιδοφόρος τεχνολογική πρόοδος στον τομέα της ανακύκλωσης των αποβλήτων, όπως η ανακύκλωση φωσφόρου από λυματολάσπη, </w:t>
            </w:r>
            <w:r w:rsidRPr="00AC4460">
              <w:rPr>
                <w:b/>
                <w:i/>
              </w:rPr>
              <w:t>ιδίως στρουβίτη,</w:t>
            </w:r>
            <w:r w:rsidRPr="00AC4460">
              <w:t xml:space="preserve"> της παραγωγής προϊόντων από ζωικά υποπροϊόντα, όπως ο βιοξυλάνθρακας</w:t>
            </w:r>
            <w:r w:rsidRPr="00AC4460">
              <w:rPr>
                <w:b/>
                <w:i/>
              </w:rPr>
              <w:t>, και της ανάκτησης φωσφόρου μετά από καύση, ιδίως από προϊόντα με βάση τις τέφρες, ενώ θα πρέπει να ληφθεί υπόψη ότι τα προϊόντα αυτά έχουν ήδη εγκριθεί σε αρκετά κράτη μέλη σύμφωνα με εθνικές νομοθετικές διατάξεις</w:t>
            </w:r>
            <w:r w:rsidRPr="00AC4460">
              <w:t xml:space="preserve">. Τα προϊόντα που περιέχουν ή που αποτελούνται από τέτοια υλικά θα πρέπει να έχουν πρόσβαση στην εσωτερική αγορά χωρίς </w:t>
            </w:r>
            <w:r w:rsidRPr="00AC4460">
              <w:rPr>
                <w:b/>
                <w:i/>
              </w:rPr>
              <w:t>αδικαιολόγητη</w:t>
            </w:r>
            <w:r w:rsidRPr="00AC4460">
              <w:t xml:space="preserve"> καθυστέρηση, όταν οι διαδικασίες παραγωγής έχουν αναλυθεί επιστημονικά και όταν έχουν καθοριστεί απαιτήσεις διεργασίας σε ενωσιακό επίπεδο. Για τον σκοπό αυτόν, πρέπει να εκχωρηθεί στην Επιτροπή η αρμοδιότητα να εκδίδει πράξεις σύμφωνα με το άρθρο 290 της </w:t>
            </w:r>
            <w:r w:rsidRPr="00AC4460">
              <w:rPr>
                <w:b/>
                <w:i/>
              </w:rPr>
              <w:t>ΣΛΕΕ</w:t>
            </w:r>
            <w:r w:rsidRPr="00AC4460">
              <w:t xml:space="preserve"> όσον αφορά τον καθορισμό μεγαλύτερων ή πρόσθετων κατηγοριών προϊόντων λίπανσης με σήμανση CE ή συστατικών υλικών κατάλληλων για χρήση στην παραγωγή τέτοιων προϊόντων.</w:t>
            </w:r>
            <w:r w:rsidRPr="00AC4460">
              <w:rPr>
                <w:b/>
                <w:i/>
              </w:rPr>
              <w:t xml:space="preserve"> Συγκεκριμένα, μια κατ’ εξουσιοδότηση πράξη που θα προσθέτει τον στρουβίτη, τον βιοξυλάνθρακα και τα προϊόντα με βάση τις τέφρες στις κατηγορίες συστατικών υλικών θα πρέπει να εγκριθεί χωρίς αδικαιολόγητη καθυστέρηση μετά την έναρξη ισχύος του παρόντος κανονισμού.</w:t>
            </w:r>
            <w:r w:rsidRPr="00AC4460">
              <w:t xml:space="preserve"> Για τα ζωικά υποπροϊόντα, κατηγορίες συστατικών υλικών θα πρέπει να προστίθενται ή να διευρύνονται μόνο στον βαθμό που θα έχει προσδιοριστεί ένα τελικό σημείο στην αλυσίδα παρασκευής, σύμφωνα με τις διαδικασίες που καθορίζονται στον κανονισμό (ΕΚ) αριθ. 1069/2009.</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13</w:t>
      </w:r>
      <w:r>
        <w:rPr>
          <w:rStyle w:val="HideTWBExt"/>
          <w:b w:val="0"/>
          <w:noProof w:val="0"/>
          <w:lang w:val="en-GB"/>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&lt;Article&gt;</w:t>
      </w:r>
      <w:r w:rsidRPr="00AC4460">
        <w:t>Αιτιολογική σκέψη 56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(56)</w:t>
            </w:r>
            <w:r w:rsidRPr="00AC4460">
              <w:tab/>
              <w:t>Επιπλέον, θα πρέπει να υπάρχει η δυνατότητα άμεσης αντίδρασης σε νέα ευρήματα σχετικά με τις προϋποθέσεις που απαιτούνται ώστε τα προϊόντα λίπανσης με σήμανση CE να είναι επαρκώς αποτελεσματικά, καθώς και σε νέες αξιολογήσεις του κινδύνου για την υγεία του ανθρώπου, των ζώων ή των φυτών, για την ασφάλεια και για το περιβάλλον. Για τον σκοπό αυτόν, θα πρέπει να δοθεί στην Επιτροπή η αρμοδιότητα έκδοσης πράξεων σύμφωνα με το άρθρο 290 της Συνθήκης ώστε να τροποποιούνται οι απαιτήσεις που ισχύουν για τις διάφορες κατηγορίες προϊόντων λίπανσης με σήμανση CE.</w:t>
            </w:r>
          </w:p>
        </w:tc>
        <w:tc>
          <w:tcPr>
            <w:tcW w:w="4876" w:type="dxa"/>
            <w:hideMark/>
          </w:tcPr>
          <w:p w:rsidR="00E451E4" w:rsidRPr="00AC4460" w:rsidRDefault="00E451E4" w:rsidP="000A61DD">
            <w:pPr>
              <w:pStyle w:val="Normal6"/>
              <w:rPr>
                <w:szCs w:val="24"/>
              </w:rPr>
            </w:pPr>
            <w:r w:rsidRPr="00AC4460">
              <w:t>(56)</w:t>
            </w:r>
            <w:r w:rsidRPr="00AC4460">
              <w:tab/>
              <w:t>Επιπλέον, θα πρέπει να υπάρχει η δυνατότητα άμεσης αντίδρασης σε νέα ευρήματα σχετικά με τις προϋποθέσεις που απαιτούνται ώστε τα προϊόντα λίπανσης με σήμανση CE να είναι επαρκώς αποτελεσματικά, καθώς και σε νέες αξιολογήσεις του κινδύνου για την υγεία του ανθρώπου, των ζώων ή των φυτών, για την ασφάλεια και για το περιβάλλον</w:t>
            </w:r>
            <w:r w:rsidRPr="00AC4460">
              <w:rPr>
                <w:b/>
                <w:i/>
              </w:rPr>
              <w:t>, λαμβανομένων υπόψη των αξιολογήσεων που διενεργούνται από ή σε συνεργασία με αρχές στα κράτη μέλη</w:t>
            </w:r>
            <w:r w:rsidRPr="00AC4460">
              <w:t>. Για τον σκοπό αυτόν, θα πρέπει να δοθεί στην Επιτροπή η αρμοδιότητα έκδοσης πράξεων σύμφωνα με το άρθρο 290 της Συνθήκης ώστε να τροποποιούνται οι απαιτήσεις που ισχύουν για τις διάφορες κατηγορίες προϊόντων λίπανσης με σήμανση CE.</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Αιτιολογική σκέψη 59 α (νέα)</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(59α)</w:t>
            </w:r>
            <w:r w:rsidRPr="00AC4460">
              <w:tab/>
            </w:r>
            <w:r w:rsidRPr="00AC4460">
              <w:rPr>
                <w:b/>
                <w:i/>
              </w:rPr>
              <w:t>Θα πρέπει να εγκριθούν διατάξεις ώστε να συνεχίσει να είναι δυνατή η χρήση προϊόντων που διατέθηκαν στην αγορά στο πλαίσιο της αμοιβαίας αναγνώρισης δυνάμει του κανονισμού (ΕΚ) αριθ. 764/2008 του Ευρωπαϊκού Κοινοβουλίου και του Συμβουλίου</w:t>
            </w:r>
            <w:r w:rsidRPr="00AC4460">
              <w:rPr>
                <w:b/>
                <w:i/>
                <w:vertAlign w:val="superscript"/>
              </w:rPr>
              <w:t>1α</w:t>
            </w:r>
            <w:r w:rsidRPr="00AC4460">
              <w:rPr>
                <w:b/>
                <w:i/>
              </w:rPr>
              <w:t>.</w:t>
            </w:r>
          </w:p>
        </w:tc>
      </w:tr>
      <w:tr w:rsidR="00E451E4" w:rsidRPr="00135F02" w:rsidTr="000A61DD">
        <w:trPr>
          <w:jc w:val="center"/>
        </w:trPr>
        <w:tc>
          <w:tcPr>
            <w:tcW w:w="4876" w:type="dxa"/>
          </w:tcPr>
          <w:p w:rsidR="00E451E4" w:rsidRPr="00AC4460" w:rsidRDefault="00E451E4" w:rsidP="000A61DD">
            <w:pPr>
              <w:pStyle w:val="Normal6"/>
              <w:rPr>
                <w:lang w:val="en-GB"/>
              </w:rPr>
            </w:pPr>
          </w:p>
        </w:tc>
        <w:tc>
          <w:tcPr>
            <w:tcW w:w="4876" w:type="dxa"/>
            <w:hideMark/>
          </w:tcPr>
          <w:p w:rsidR="00E451E4" w:rsidRPr="00AC4460" w:rsidRDefault="00E451E4" w:rsidP="000A61DD">
            <w:pPr>
              <w:pStyle w:val="Normal6"/>
              <w:rPr>
                <w:szCs w:val="24"/>
              </w:rPr>
            </w:pPr>
            <w:r w:rsidRPr="00AC4460">
              <w:rPr>
                <w:b/>
                <w:i/>
              </w:rPr>
              <w:t>__________________</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1α</w:t>
            </w:r>
            <w:r w:rsidRPr="00AC4460">
              <w:rPr>
                <w:b/>
                <w:i/>
              </w:rPr>
              <w:t xml:space="preserve"> Κανονισμός (ΕΚ) αριθ. 764/2008 του Ευρωπαϊκού Κοινοβουλίου και του Συμβουλίου, της 9ης Ιουλίου 2008, για τη θέσπιση διαδικασιών σχετικά με την εφαρμογή ορισμένων εθνικών τεχνικών κανόνων στα προϊόντα που κυκλοφορούν νομίμως στην αγορά άλλου κράτους μέλους και για την κατάργηση της απόφασης αριθ. 3052/95/ΕΚ (ΕΕ L 218 της 13.8.2008, σ. 21).</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15</w:t>
      </w:r>
      <w:r>
        <w:rPr>
          <w:rStyle w:val="HideTWBExt"/>
          <w:b w:val="0"/>
          <w:noProof w:val="0"/>
          <w:lang w:val="en-GB"/>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1 – παράγραφος 2 – στοιχείο β α (νέο)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β α)</w:t>
            </w:r>
            <w:r w:rsidRPr="00AC4460">
              <w:rPr>
                <w:b/>
                <w:i/>
              </w:rPr>
              <w:tab/>
              <w:t>Οδηγία 91/676/ΕΟΚ·</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E451E4" w:rsidRDefault="00E451E4" w:rsidP="000A61DD">
      <w:pPr>
        <w:pStyle w:val="Normal12Italic"/>
      </w:pPr>
      <w:r>
        <w:t>The scope of the fertilising regulation is solely to guarantee the functioning of the internal market and to partially harmonise the conditions for placing in the market of CE marked fertilising products that can be traded in the internal market. Whereas the scope of the nitrates directive is the protection of water from agricultural pollution through certain restrictions of use of nutrients harmonised at EU level in already polluted areas. Amending the restriction on use in polluted areas included in the nitrates directive should fall outside of the scope of placing in the market of the fertilising regulation.</w:t>
      </w:r>
    </w:p>
    <w:p w:rsidR="00E451E4" w:rsidRPr="00E451E4"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1 – παράγραφος 2 – στοιχείο β β (νέο)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β β)</w:t>
            </w:r>
            <w:r w:rsidRPr="00AC4460">
              <w:rPr>
                <w:b/>
                <w:i/>
              </w:rPr>
              <w:tab/>
              <w:t>Οδηγία 2000/60/ΕΚ·</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Το πεδίο εφαρμογής του κανονισμού για τα προϊόντα λίπανσης αποσκοπεί αποκλειστικά στη διασφάλιση της λειτουργίας της εσωτερικής αγοράς και στην εν μέρει εναρμόνιση των προϋποθέσεων για τη διάθεση στην αγορά προϊόντων λίπανσης με σήμανση CE, τα οποία μπορούν να διατίθενται στο εμπόριο στην εσωτερική αγορά. Η οδηγία πλαίσιο για τα ύδατα σχετικά με την καλή ποιότητα των υδάτων στην Ευρώπη (2000/60/ΕΚ) δεν θα πρέπει να εμπίπτει στο πεδίο εφαρμογής του κανονισμού για τα προϊόντα λίπανσης όσον αφορά τη διάθεση στην αγορά.</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1 – παράγραφος 2 – στοιχείο η α (νέο)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η α)</w:t>
            </w:r>
            <w:r w:rsidRPr="00AC4460">
              <w:rPr>
                <w:b/>
                <w:i/>
              </w:rPr>
              <w:tab/>
              <w:t>Κανονισμός (ΕΚ) αριθ. 834/2007.</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Είναι σημαντικό να αναγνωριστούν η βιολογική γεωργία και οι ιδιαιτερότητές της στο πεδίο εφαρμογής του κανονισμού για τα προϊόντα λίπανσης.</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Άρθρο 2 – παράγραφος 1 – σημείο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(1)</w:t>
            </w:r>
            <w:r w:rsidRPr="00AC4460">
              <w:rPr>
                <w:szCs w:val="24"/>
              </w:rPr>
              <w:tab/>
              <w:t xml:space="preserve">«προϊόν λίπανσης»: κάθε ουσία, μείγμα, μικροοργανισμός ή οποιοδήποτε άλλο υλικό που χορηγείται ή προορίζεται να χορηγηθεί, είτε σε καθαρή μορφή είτε αναμεμειγμένο με άλλο υλικό, σε </w:t>
            </w:r>
            <w:r w:rsidRPr="00AC4460">
              <w:rPr>
                <w:b/>
                <w:i/>
                <w:szCs w:val="24"/>
              </w:rPr>
              <w:t>φυτά</w:t>
            </w:r>
            <w:r w:rsidRPr="00AC4460">
              <w:rPr>
                <w:szCs w:val="24"/>
              </w:rPr>
              <w:t xml:space="preserve"> ή στη </w:t>
            </w:r>
            <w:r w:rsidRPr="00AC4460">
              <w:rPr>
                <w:b/>
                <w:i/>
                <w:szCs w:val="24"/>
              </w:rPr>
              <w:t>ριζόσφαιρα φυτών</w:t>
            </w:r>
            <w:r w:rsidRPr="00AC4460">
              <w:rPr>
                <w:szCs w:val="24"/>
              </w:rPr>
              <w:t xml:space="preserve"> με σκοπό να προσφέρει θρεπτικές ουσίες ή να βελτιώσει την </w:t>
            </w:r>
            <w:r w:rsidRPr="00AC4460">
              <w:rPr>
                <w:b/>
                <w:i/>
                <w:szCs w:val="24"/>
              </w:rPr>
              <w:t>αποδοτικότητα</w:t>
            </w:r>
            <w:r w:rsidRPr="00AC4460">
              <w:rPr>
                <w:szCs w:val="24"/>
              </w:rPr>
              <w:t xml:space="preserve"> της θρέψης </w:t>
            </w:r>
            <w:r w:rsidRPr="00AC4460">
              <w:rPr>
                <w:b/>
                <w:i/>
                <w:szCs w:val="24"/>
              </w:rPr>
              <w:t>των φυτών·</w:t>
            </w:r>
          </w:p>
        </w:tc>
        <w:tc>
          <w:tcPr>
            <w:tcW w:w="4876" w:type="dxa"/>
          </w:tcPr>
          <w:p w:rsidR="00E451E4" w:rsidRPr="00AC4460" w:rsidRDefault="00E451E4" w:rsidP="000A61DD">
            <w:pPr>
              <w:pStyle w:val="Normal6"/>
              <w:rPr>
                <w:szCs w:val="24"/>
              </w:rPr>
            </w:pPr>
            <w:r w:rsidRPr="00AC4460">
              <w:rPr>
                <w:szCs w:val="24"/>
              </w:rPr>
              <w:t>(1)</w:t>
            </w:r>
            <w:r w:rsidRPr="00AC4460">
              <w:rPr>
                <w:szCs w:val="24"/>
              </w:rPr>
              <w:tab/>
              <w:t xml:space="preserve">«προϊόν λίπανσης»: κάθε ουσία, μείγμα, μικροοργανισμός ή οποιοδήποτε άλλο υλικό που χορηγείται ή προορίζεται να χορηγηθεί, είτε σε καθαρή μορφή είτε αναμεμειγμένο με άλλο υλικό, σε </w:t>
            </w:r>
            <w:r w:rsidRPr="00AC4460">
              <w:rPr>
                <w:b/>
                <w:i/>
                <w:szCs w:val="24"/>
              </w:rPr>
              <w:t>μύκητες</w:t>
            </w:r>
            <w:r w:rsidRPr="00AC4460">
              <w:rPr>
                <w:szCs w:val="24"/>
              </w:rPr>
              <w:t xml:space="preserve"> ή στη </w:t>
            </w:r>
            <w:r w:rsidRPr="00AC4460">
              <w:rPr>
                <w:b/>
                <w:i/>
                <w:szCs w:val="24"/>
              </w:rPr>
              <w:t>μυκητόσφαιρά τους ή σε φυτά σε οποιοδήποτε στάδιο ανάπτυξης, συμπεριλαμβανομένων των σπόρων, και/ή της ριζόσφαιρας,</w:t>
            </w:r>
            <w:r w:rsidRPr="00AC4460">
              <w:rPr>
                <w:szCs w:val="24"/>
              </w:rPr>
              <w:t xml:space="preserve"> με σκοπό να προσφέρει θρεπτικές ουσίες</w:t>
            </w:r>
            <w:r w:rsidRPr="00AC4460">
              <w:rPr>
                <w:b/>
                <w:i/>
                <w:szCs w:val="24"/>
              </w:rPr>
              <w:t xml:space="preserve"> στα φυτά ή στους μύκητες</w:t>
            </w:r>
            <w:r w:rsidRPr="00AC4460">
              <w:rPr>
                <w:szCs w:val="24"/>
              </w:rPr>
              <w:t xml:space="preserve"> ή να βελτιώσει </w:t>
            </w:r>
            <w:r w:rsidRPr="00AC4460">
              <w:rPr>
                <w:b/>
                <w:i/>
                <w:szCs w:val="24"/>
              </w:rPr>
              <w:t xml:space="preserve">τις συνθήκες φυσικής ή βιολογικής ανάπτυξής τους ή τη γενικότερη ευρωστία τους, τις αποδόσεις και </w:t>
            </w:r>
            <w:r w:rsidRPr="00AC4460">
              <w:rPr>
                <w:szCs w:val="24"/>
              </w:rPr>
              <w:t xml:space="preserve">την </w:t>
            </w:r>
            <w:r w:rsidRPr="00AC4460">
              <w:rPr>
                <w:b/>
                <w:i/>
                <w:szCs w:val="24"/>
              </w:rPr>
              <w:t>ποιότητα μέσω της ενίσχυσης της αποδοτικότητας</w:t>
            </w:r>
            <w:r w:rsidRPr="00AC4460">
              <w:rPr>
                <w:szCs w:val="24"/>
              </w:rPr>
              <w:t xml:space="preserve"> της θρέψης </w:t>
            </w:r>
            <w:r w:rsidRPr="00AC4460">
              <w:rPr>
                <w:b/>
                <w:i/>
                <w:szCs w:val="24"/>
              </w:rPr>
              <w:t>τους, μεταξύ άλλων με την ενίσχυση της ικανότητας του φυτού όσον αφορά την πρόσληψη θρεπτικών ουσιών από τη φυλλόσφαιρα (με εξαίρεση τα φυτοπροστατευτικά προϊόντα που καλύπτονται από τον κανονισμό (ΕΚ) αριθ. 1107/2009).</w:t>
            </w:r>
            <w:r w:rsidRPr="00AC4460">
              <w:rPr>
                <w:szCs w:val="24"/>
              </w:rPr>
              <w:t xml:space="preserve"> </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19</w:t>
      </w:r>
      <w:r>
        <w:rPr>
          <w:rStyle w:val="HideTWBExt"/>
          <w:b w:val="0"/>
          <w:noProof w:val="0"/>
          <w:lang w:val="en-GB"/>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&lt;Article&gt;</w:t>
      </w:r>
      <w:r w:rsidRPr="00AC4460">
        <w:t>Άρθρο 3 – παράγραφος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Τα κράτη μέλη δεν εμποδίζουν τη διάθεση στην αγορά όσων προϊόντων λίπανσης με σήμανση CE συμμορφώνονται με τον παρόντα κανονισμό.</w:t>
            </w:r>
          </w:p>
        </w:tc>
        <w:tc>
          <w:tcPr>
            <w:tcW w:w="4876" w:type="dxa"/>
            <w:hideMark/>
          </w:tcPr>
          <w:p w:rsidR="00E451E4" w:rsidRPr="00AC4460" w:rsidRDefault="00E451E4" w:rsidP="000A61DD">
            <w:pPr>
              <w:pStyle w:val="Normal6"/>
              <w:rPr>
                <w:szCs w:val="24"/>
              </w:rPr>
            </w:pPr>
            <w:r w:rsidRPr="00AC4460">
              <w:t>Τα κράτη μέλη δεν εμποδίζουν τη διάθεση στην αγορά όσων προϊόντων λίπανσης με σήμανση CE συμμορφώνονται με τον παρόντα κανονισμό</w:t>
            </w:r>
            <w:r w:rsidRPr="00AC4460">
              <w:rPr>
                <w:b/>
                <w:i/>
              </w:rPr>
              <w:t xml:space="preserve"> για λόγους που αφορούν τη σύνθεση, την επισήμανση ή άλλες διατάξεις του παρόντος κανονισμού. Όσον αφορά τη χρήση προϊόντων λίπανσης με σήμανση CE, τα κράτη μέλη δύνανται να διατηρούν ή να θεσπίζουν εθνικές διατάξεις με σκοπό την προστασία της ανθρώπινης υγείας και του περιβάλλοντος. Ωστόσο, οι διατάξεις αυτές δεν απαιτούν τροποποίηση των προϊόντων λίπανσης με σήμανση CE που συμμορφώνονται με τον παρόντα κανονισμό. Επίσης, οι διατάξεις αυτές δεν επηρεάζουν τις προϋποθέσεις για τη διάθεσή τους στην αγορά</w:t>
            </w:r>
            <w:r w:rsidRPr="00AC4460">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noProof w:val="0"/>
        </w:rPr>
        <w:t>&lt;</w:t>
      </w:r>
      <w:r>
        <w:rPr>
          <w:rStyle w:val="HideTWBExt"/>
          <w:noProof w:val="0"/>
          <w:lang w:val="en-GB"/>
        </w:rPr>
        <w:t>Amend</w:t>
      </w:r>
      <w:r>
        <w:rPr>
          <w:rStyle w:val="HideTWBExt"/>
          <w:noProof w:val="0"/>
        </w:rPr>
        <w:t>&gt;</w:t>
      </w:r>
      <w:r w:rsidRPr="00AC4460">
        <w:t>Τροπολογία</w:t>
      </w:r>
      <w:r w:rsidRPr="00AC4460">
        <w:tab/>
      </w:r>
      <w:r w:rsidRPr="00AC4460">
        <w:tab/>
      </w:r>
      <w:r>
        <w:rPr>
          <w:rStyle w:val="HideTWBExt"/>
          <w:noProof w:val="0"/>
        </w:rPr>
        <w:t>&lt;</w:t>
      </w:r>
      <w:r>
        <w:rPr>
          <w:rStyle w:val="HideTWBExt"/>
          <w:noProof w:val="0"/>
          <w:lang w:val="en-GB"/>
        </w:rPr>
        <w:t>NumAm</w:t>
      </w:r>
      <w:r>
        <w:rPr>
          <w:rStyle w:val="HideTWBExt"/>
          <w:noProof w:val="0"/>
        </w:rPr>
        <w:t>&gt;</w:t>
      </w:r>
      <w:r w:rsidRPr="00AC4460">
        <w:rPr>
          <w:bCs/>
        </w:rPr>
        <w:t>20</w:t>
      </w:r>
      <w:r>
        <w:rPr>
          <w:rStyle w:val="HideTWBExt"/>
          <w:noProof w:val="0"/>
        </w:rPr>
        <w:t>&lt;/</w:t>
      </w:r>
      <w:r>
        <w:rPr>
          <w:rStyle w:val="HideTWBExt"/>
          <w:noProof w:val="0"/>
          <w:lang w:val="en-GB"/>
        </w:rPr>
        <w:t>NumAm</w:t>
      </w:r>
      <w:r>
        <w:rPr>
          <w:rStyle w:val="HideTWBExt"/>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 – παράγραφος 2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9421FD" w:rsidTr="000A61DD">
        <w:trPr>
          <w:jc w:val="center"/>
        </w:trPr>
        <w:tc>
          <w:tcPr>
            <w:tcW w:w="4876" w:type="dxa"/>
          </w:tcPr>
          <w:p w:rsidR="00E451E4" w:rsidRPr="00AC4460" w:rsidRDefault="00E451E4" w:rsidP="000A61DD">
            <w:pPr>
              <w:spacing w:after="120"/>
            </w:pPr>
          </w:p>
        </w:tc>
        <w:tc>
          <w:tcPr>
            <w:tcW w:w="4876" w:type="dxa"/>
            <w:hideMark/>
          </w:tcPr>
          <w:p w:rsidR="00E451E4" w:rsidRPr="00AC4460" w:rsidRDefault="00E451E4" w:rsidP="000A61DD">
            <w:pPr>
              <w:pStyle w:val="Normal6"/>
              <w:rPr>
                <w:b/>
                <w:bCs/>
                <w:i/>
                <w:iCs/>
              </w:rPr>
            </w:pPr>
            <w:r w:rsidRPr="00AC4460">
              <w:rPr>
                <w:b/>
                <w:bCs/>
                <w:i/>
                <w:iCs/>
              </w:rPr>
              <w:t>2α.</w:t>
            </w:r>
            <w:r w:rsidRPr="00AC4460">
              <w:rPr>
                <w:b/>
                <w:bCs/>
                <w:i/>
                <w:iCs/>
              </w:rPr>
              <w:tab/>
              <w:t>Η Επιτροπή, ταυτόχρονα με τη δημοσίευση του παρόντος κανονισμού στην Επίσημη Εφημερίδα της Ευρωπαϊκής Ένωσης, δημοσιεύει έγγραφο καθοδήγησης που παρέχει σαφήνεια και παραδείγματα στους παρασκευαστές και στις αρχές εποπτείας της αγοράς σχετικά με τη μορφή της ετικέτας. Στο εν λόγω έγγραφο καθοδήγησης προσδιορίζονται επίσης άλλες συναφείς πληροφορίες, όπως αναφέρονται στο μέρος 1 παράγραφος 2 στοιχείο δ) του παραρτήματος ΙΙΙ.</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Προκειμένου να παρέχονται σαφείς πληροφορίες στους γεωργούς και να αποφεύγεται τυχόν εσφαλμένη εφαρμογή λιπασμάτων με αρνητικές επιπτώσεις για το περιβάλλον, η Ευρωπαϊκή Επιτροπή θα πρέπει να παράσχει σε έγγραφο καθοδήγησης συγκεκριμένες απαιτήσεις και οπτικά παραδείγματα των ετικετών ανόργανων λιπασμάτων.</w:t>
      </w:r>
    </w:p>
    <w:p w:rsidR="00E451E4" w:rsidRPr="009421FD" w:rsidRDefault="00E451E4" w:rsidP="000A61DD">
      <w:pPr>
        <w:rPr>
          <w:rStyle w:val="HideTWBExt"/>
          <w:noProof w:val="0"/>
        </w:rPr>
      </w:pPr>
      <w:r>
        <w:rPr>
          <w:rStyle w:val="HideTWBExt"/>
          <w:noProof w:val="0"/>
          <w:lang w:val="en-GB"/>
        </w:rPr>
        <w:t>&lt;/Amend&gt;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Άρθρο 6 – παράγραφος 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9.</w:t>
            </w:r>
            <w:r w:rsidRPr="00AC4460">
              <w:tab/>
              <w:t xml:space="preserve">Κατόπιν </w:t>
            </w:r>
            <w:r w:rsidRPr="00AC4460">
              <w:rPr>
                <w:b/>
                <w:i/>
              </w:rPr>
              <w:t xml:space="preserve">αιτιολογημένου </w:t>
            </w:r>
            <w:r w:rsidRPr="00AC4460">
              <w:t>αιτήματος, οι παρασκευαστές παρέχουν στην αρμόδια εθνική αρχή, σε έντυπη ή σε ηλεκτρονική μορφή, όλες τις πληροφορίες και τα έγγραφα τεκμηρίωσης που απαιτούνται για να αποδειχθεί η συμμόρφωση του προϊόντος λίπανσης με σήμανση CE προς τον παρόντα κανονισμό, σε γλώσσα εύκολα κατανοητή από την εν λόγω αρχή. Συνεργάζονται με την εν λόγω αρχή, κατόπιν αιτήματός της, στις ενέργειες που πρέπει να γίνουν ώστε να εξαλειφθούν οι κίνδυνοι από τα προϊόντα λίπανσης με σήμανση CE που αυτοί έχουν θέσει σε κυκλοφορία.</w:t>
            </w:r>
          </w:p>
        </w:tc>
        <w:tc>
          <w:tcPr>
            <w:tcW w:w="4876" w:type="dxa"/>
            <w:hideMark/>
          </w:tcPr>
          <w:p w:rsidR="00E451E4" w:rsidRPr="00AC4460" w:rsidRDefault="00E451E4" w:rsidP="000A61DD">
            <w:pPr>
              <w:pStyle w:val="Normal6"/>
              <w:rPr>
                <w:szCs w:val="24"/>
              </w:rPr>
            </w:pPr>
            <w:r w:rsidRPr="00AC4460">
              <w:t>9.</w:t>
            </w:r>
            <w:r w:rsidRPr="00AC4460">
              <w:tab/>
              <w:t>Κατόπιν αιτήματος, οι παρασκευαστές παρέχουν στην αρμόδια εθνική αρχή, σε έντυπη ή σε ηλεκτρονική μορφή, όλες τις πληροφορίες και τα έγγραφα τεκμηρίωσης που απαιτούνται για να αποδειχθεί η συμμόρφωση του προϊόντος λίπανσης με σήμανση CE προς τον παρόντα κανονισμό, σε γλώσσα εύκολα κατανοητή από την εν λόγω αρχή. Συνεργάζονται με την εν λόγω αρχή, κατόπιν αιτήματός της, στις ενέργειες που πρέπει να γίνουν ώστε να εξαλειφθούν οι κίνδυνοι από τα προϊόντα λίπανσης με σήμανση CE που αυτοί έχουν θέσει σε κυκλοφορία.</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6 – παράγραφος 10 – εδάφιο 1 – στοιχείο α</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α)</w:t>
            </w:r>
            <w:r w:rsidRPr="00AC4460">
              <w:tab/>
              <w:t>απλά ή σύνθετα στερεά ανόργανα μακροθρεπτικά λιπάσματα νιτρικού αμμωνίου με υψηλή περιεκτικότητα σε άζωτο, όπως καθορίζονται στην κατηγορία λειτουργίας προϊόντος 1(Γ)(I)(α)(i-ii)(Α) στο παράρτημα I·</w:t>
            </w:r>
          </w:p>
        </w:tc>
        <w:tc>
          <w:tcPr>
            <w:tcW w:w="4876" w:type="dxa"/>
            <w:hideMark/>
          </w:tcPr>
          <w:p w:rsidR="00E451E4" w:rsidRPr="00AC4460" w:rsidRDefault="00E451E4" w:rsidP="000A61DD">
            <w:pPr>
              <w:pStyle w:val="Normal6"/>
              <w:rPr>
                <w:szCs w:val="24"/>
              </w:rPr>
            </w:pPr>
            <w:r w:rsidRPr="00AC4460">
              <w:tab/>
              <w:t>(</w:t>
            </w:r>
            <w:r w:rsidRPr="00AC4460">
              <w:rPr>
                <w:i/>
              </w:rPr>
              <w:t xml:space="preserve">Δεν αφορά το ελληνικό κείμενο) </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p>
        </w:tc>
      </w:tr>
    </w:tbl>
    <w:p w:rsidR="00E451E4" w:rsidRPr="00135F02" w:rsidRDefault="00E451E4" w:rsidP="000A61DD">
      <w:r>
        <w:rPr>
          <w:rStyle w:val="HideTWBExt"/>
          <w:noProof w:val="0"/>
        </w:rPr>
        <w:t>&lt;/Amend&gt;</w:t>
      </w:r>
    </w:p>
    <w:p w:rsidR="00E451E4" w:rsidRPr="00135F02" w:rsidRDefault="00E451E4" w:rsidP="000A61DD">
      <w:pPr>
        <w:pStyle w:val="NormalBold"/>
        <w:keepNext/>
        <w:rPr>
          <w:rStyle w:val="HideTWBExt"/>
          <w:b w:val="0"/>
          <w:noProof w:val="0"/>
          <w:lang w:val="pt-PT"/>
        </w:rPr>
      </w:pP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w:t>
      </w:r>
      <w:r>
        <w:rPr>
          <w:rStyle w:val="HideTWBExt"/>
          <w:b w:val="0"/>
          <w:noProof w:val="0"/>
        </w:rPr>
        <w:t>&lt;/NumAm&gt;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7 – παράγραφος 2 – στοιχείο β</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β)</w:t>
            </w:r>
            <w:r w:rsidRPr="00AC4460">
              <w:tab/>
              <w:t xml:space="preserve">να παρέχει στην αρμόδια εθνική αρχή, κατόπιν </w:t>
            </w:r>
            <w:r w:rsidRPr="00AC4460">
              <w:rPr>
                <w:b/>
                <w:i/>
              </w:rPr>
              <w:t xml:space="preserve">αιτιολογημένου </w:t>
            </w:r>
            <w:r w:rsidRPr="00AC4460">
              <w:t>αιτήματος εκ μέρους της, όλες τις πληροφορίες και τα έγγραφα τεκμηρίωσης που απαιτούνται για να αποδειχθεί η συμμόρφωση ενός προϊόντος λίπανσης με σήμανση CE·</w:t>
            </w:r>
          </w:p>
        </w:tc>
        <w:tc>
          <w:tcPr>
            <w:tcW w:w="4876" w:type="dxa"/>
            <w:hideMark/>
          </w:tcPr>
          <w:p w:rsidR="00E451E4" w:rsidRPr="00AC4460" w:rsidRDefault="00E451E4" w:rsidP="000A61DD">
            <w:pPr>
              <w:pStyle w:val="Normal6"/>
              <w:rPr>
                <w:szCs w:val="24"/>
              </w:rPr>
            </w:pPr>
            <w:r w:rsidRPr="00AC4460">
              <w:t>β)</w:t>
            </w:r>
            <w:r w:rsidRPr="00AC4460">
              <w:tab/>
              <w:t>να παρέχει στην αρμόδια εθνική αρχή, κατόπιν αιτήματος εκ μέρους της, όλες τις πληροφορίες και τα έγγραφα τεκμηρίωσης που απαιτούνται για να αποδειχθεί η συμμόρφωση ενός προϊόντος λίπανσης με σήμανση CE·</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Άρθρο 9 – παράγραφος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5.</w:t>
            </w:r>
            <w:r w:rsidRPr="00AC4460">
              <w:tab/>
              <w:t xml:space="preserve">Κατόπιν </w:t>
            </w:r>
            <w:r w:rsidRPr="00AC4460">
              <w:rPr>
                <w:b/>
                <w:i/>
              </w:rPr>
              <w:t xml:space="preserve">αιτιολογημένου </w:t>
            </w:r>
            <w:r w:rsidRPr="00AC4460">
              <w:t>αιτήματος, οι διανομείς παρέχουν στην αρμόδια εθνική αρχή, σε έντυπη ή σε ηλεκτρονική μορφή, όλες τις πληροφορίες και τα έγγραφα τεκμηρίωσης που απαιτούνται για να αποδειχθεί η συμμόρφωση του προϊόντος λίπανσης με σήμανση CE. Συνεργάζονται με την εν λόγω αρχή, κατόπιν αιτήματός της, στις ενέργειες που πρέπει να γίνουν ώστε να εξαλειφθούν οι κίνδυνοι από τα προϊόντα λίπανσης με σήμανση CE που έχουν διαθέσει στην αγορά.</w:t>
            </w:r>
          </w:p>
        </w:tc>
        <w:tc>
          <w:tcPr>
            <w:tcW w:w="4876" w:type="dxa"/>
            <w:hideMark/>
          </w:tcPr>
          <w:p w:rsidR="00E451E4" w:rsidRPr="00AC4460" w:rsidRDefault="00E451E4" w:rsidP="000A61DD">
            <w:pPr>
              <w:pStyle w:val="Normal6"/>
              <w:rPr>
                <w:szCs w:val="24"/>
              </w:rPr>
            </w:pPr>
            <w:r w:rsidRPr="00AC4460">
              <w:t>5.</w:t>
            </w:r>
            <w:r w:rsidRPr="00AC4460">
              <w:tab/>
              <w:t>Κατόπιν αιτήματος, οι διανομείς παρέχουν στην αρμόδια εθνική αρχή, σε έντυπη ή σε ηλεκτρονική μορφή, όλες τις πληροφορίες και τα έγγραφα τεκμηρίωσης που απαιτούνται για να αποδειχθεί η συμμόρφωση του προϊόντος λίπανσης με σήμανση CE. Συνεργάζονται με την εν λόγω αρχή, κατόπιν αιτήματός της, στις ενέργειες που πρέπει να γίνουν ώστε να εξαλειφθούν οι κίνδυνοι από τα προϊόντα λίπανσης με σήμανση CE που έχουν διαθέσει στην αγορά.</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&lt;Article&gt;</w:t>
      </w:r>
      <w:r w:rsidRPr="00AC4460">
        <w:t>Άρθρο 18 –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(1)</w:t>
            </w:r>
            <w:r w:rsidRPr="00AC4460">
              <w:rPr>
                <w:szCs w:val="24"/>
              </w:rPr>
              <w:tab/>
            </w:r>
            <w:r w:rsidRPr="00AC4460">
              <w:rPr>
                <w:b/>
                <w:i/>
                <w:szCs w:val="24"/>
              </w:rPr>
              <w:t>Προϊόν λίπανσης με σήμανση CE που</w:t>
            </w:r>
            <w:r w:rsidRPr="00AC4460">
              <w:rPr>
                <w:szCs w:val="24"/>
              </w:rPr>
              <w:t xml:space="preserve"> έχει υποβληθεί σε δραστηριότητα ανάκτησης </w:t>
            </w:r>
            <w:r w:rsidRPr="00AC4460">
              <w:rPr>
                <w:b/>
                <w:i/>
                <w:szCs w:val="24"/>
              </w:rPr>
              <w:t>και συμμορφώνεται</w:t>
            </w:r>
            <w:r w:rsidRPr="00AC4460">
              <w:rPr>
                <w:szCs w:val="24"/>
              </w:rPr>
              <w:t xml:space="preserve"> με τις </w:t>
            </w:r>
            <w:r w:rsidRPr="00AC4460">
              <w:rPr>
                <w:b/>
                <w:i/>
                <w:szCs w:val="24"/>
              </w:rPr>
              <w:t>απαιτήσεις</w:t>
            </w:r>
            <w:r w:rsidRPr="00AC4460">
              <w:rPr>
                <w:szCs w:val="24"/>
              </w:rPr>
              <w:t xml:space="preserve"> του παρόντος κανονισμού θεωρείται ότι συμμορφώνεται με τους όρους που καθορίζονται στο άρθρο 6 παράγραφος 1 της οδηγίας 2008/98/ΕΚ και θα πρέπει, επομένως, να θεωρείται ότι έχει παύσει να αποτελεί απόβλητο.</w:t>
            </w:r>
          </w:p>
        </w:tc>
        <w:tc>
          <w:tcPr>
            <w:tcW w:w="4876" w:type="dxa"/>
          </w:tcPr>
          <w:p w:rsidR="00E451E4" w:rsidRPr="00AC4460" w:rsidRDefault="00E451E4" w:rsidP="000A61DD">
            <w:pPr>
              <w:pStyle w:val="Normal6"/>
              <w:rPr>
                <w:szCs w:val="24"/>
              </w:rPr>
            </w:pPr>
            <w:r w:rsidRPr="00AC4460">
              <w:t>(1)</w:t>
            </w:r>
            <w:r w:rsidRPr="00AC4460">
              <w:tab/>
            </w:r>
            <w:r w:rsidRPr="00AC4460">
              <w:rPr>
                <w:b/>
                <w:i/>
              </w:rPr>
              <w:t>Όταν ένα υλικό που ήταν απόβλητο</w:t>
            </w:r>
            <w:r w:rsidRPr="00AC4460">
              <w:t xml:space="preserve"> έχει υποβληθεί σε δραστηριότητα ανάκτησης </w:t>
            </w:r>
            <w:r w:rsidRPr="00AC4460">
              <w:rPr>
                <w:b/>
                <w:i/>
              </w:rPr>
              <w:t>σύμφωνα</w:t>
            </w:r>
            <w:r w:rsidRPr="00AC4460">
              <w:t xml:space="preserve"> με τις </w:t>
            </w:r>
            <w:r w:rsidRPr="00AC4460">
              <w:rPr>
                <w:b/>
                <w:i/>
              </w:rPr>
              <w:t>διατάξεις</w:t>
            </w:r>
            <w:r w:rsidRPr="00AC4460">
              <w:t xml:space="preserve"> του παρόντος κανονισμού </w:t>
            </w:r>
            <w:r w:rsidRPr="00AC4460">
              <w:rPr>
                <w:b/>
                <w:i/>
              </w:rPr>
              <w:t xml:space="preserve">και ένα συμμορφούμενο προϊόν λίπανσης με σήμανση ΕΕ περιέχει ή αποτελείται από το υλικό αυτό, το υλικό </w:t>
            </w:r>
            <w:r w:rsidRPr="00AC4460">
              <w:t>θεωρείται ότι συμμορφώνεται με τους όρους που καθορίζονται στο άρθρο 6 παράγραφος 1 της οδηγίας 2008/98/ΕΚ και θα πρέπει, επομένως, να θεωρείται ότι έχει παύσει να αποτελεί απόβλητο</w:t>
            </w:r>
            <w:r w:rsidRPr="00AC4460">
              <w:rPr>
                <w:b/>
                <w:i/>
              </w:rPr>
              <w:t xml:space="preserve"> από τη στιγμή που συντάσσεται η ενωσιακή δήλωση συμμόρφωσης</w:t>
            </w:r>
            <w:r w:rsidRPr="00AC4460">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23 – παράγραφος 3 – εδάφιο 2</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Ένας οργανισμός που ανήκει σε ένωση επιχειρήσεων ή επαγγελματική ομοσπονδία που εκπροσωπεί τις επιχειρήσεις που συμμετέχουν στον σχεδιασμό, την παρασκευή, την παροχή ή τη χρήση των προϊόντων λίπανσης με σήμανση CE τα οποία αξιολογεί μπορεί να θεωρείται οργανισμός αξιολόγησης</w:t>
            </w:r>
            <w:r w:rsidRPr="00AC4460">
              <w:rPr>
                <w:b/>
                <w:i/>
              </w:rPr>
              <w:t>, υπό την προϋπόθεση ότι η ανεξαρτησία του και η απουσία κάθε σύγκρουσης συμφερόντων είναι αποδεδειγμένες</w:t>
            </w:r>
            <w:r w:rsidRPr="00AC4460">
              <w:t>.</w:t>
            </w:r>
          </w:p>
        </w:tc>
        <w:tc>
          <w:tcPr>
            <w:tcW w:w="4876" w:type="dxa"/>
            <w:hideMark/>
          </w:tcPr>
          <w:p w:rsidR="00E451E4" w:rsidRPr="00AC4460" w:rsidRDefault="00E451E4" w:rsidP="000A61DD">
            <w:pPr>
              <w:pStyle w:val="Normal6"/>
              <w:rPr>
                <w:szCs w:val="24"/>
              </w:rPr>
            </w:pPr>
            <w:r w:rsidRPr="00AC4460">
              <w:t xml:space="preserve">Ένας οργανισμός που ανήκει σε ένωση επιχειρήσεων ή επαγγελματική ομοσπονδία που εκπροσωπεί τις επιχειρήσεις που συμμετέχουν στον σχεδιασμό, την παρασκευή, την παροχή ή τη χρήση των προϊόντων λίπανσης με σήμανση CE τα οποία αξιολογεί </w:t>
            </w:r>
            <w:r w:rsidRPr="00AC4460">
              <w:rPr>
                <w:b/>
                <w:i/>
              </w:rPr>
              <w:t xml:space="preserve">δεν </w:t>
            </w:r>
            <w:r w:rsidRPr="00AC4460">
              <w:t>μπορεί να θεωρείται οργανισμός αξιολόγησης.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23 – παράγραφος 8 – εδάφιο 1</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Η αμεροληψία του οργανισμού αξιολόγησης της συμμόρφωσης, των διευθυντικών στελεχών του και του προσωπικού που είναι αρμόδιο για την εκτέλεση των καθηκόντων αξιολόγησης της συμμόρφωσης είναι εγγυημένη.</w:t>
            </w:r>
          </w:p>
        </w:tc>
        <w:tc>
          <w:tcPr>
            <w:tcW w:w="4876" w:type="dxa"/>
            <w:hideMark/>
          </w:tcPr>
          <w:p w:rsidR="00E451E4" w:rsidRPr="00AC4460" w:rsidRDefault="00E451E4" w:rsidP="000A61DD">
            <w:pPr>
              <w:pStyle w:val="Normal6"/>
              <w:rPr>
                <w:szCs w:val="24"/>
              </w:rPr>
            </w:pPr>
            <w:r w:rsidRPr="00AC4460">
              <w:t xml:space="preserve">Η αμεροληψία του οργανισμού αξιολόγησης της συμμόρφωσης, των διευθυντικών στελεχών του και του προσωπικού που είναι αρμόδιο για την εκτέλεση των καθηκόντων αξιολόγησης της συμμόρφωσης είναι εγγυημένη. </w:t>
            </w:r>
            <w:r w:rsidRPr="00AC4460">
              <w:rPr>
                <w:b/>
                <w:i/>
              </w:rPr>
              <w:t>Διασφαλίζεται κατάλληλη προστασία, τουλάχιστον από αντίποινα, διακρίσεις ή άλλου είδους άδικη μεταχείριση, για τους εργαζόμενους οι οποίοι καταγγέλλουν παραβάσεις που διαπράττονται στους οργανισμούς αξιολόγησης της συμμόρφωσης.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Άρθρο 33 – παράγραφος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2.</w:t>
            </w:r>
            <w:r w:rsidRPr="00AC4460">
              <w:tab/>
            </w:r>
            <w:r w:rsidRPr="00AC4460">
              <w:rPr>
                <w:b/>
                <w:i/>
              </w:rPr>
              <w:t>Οι</w:t>
            </w:r>
            <w:r w:rsidRPr="00AC4460">
              <w:t xml:space="preserve"> κοινοποιημένοι οργανισμοί παρέχουν στους άλλους κοινοποιημένους δυνάμει του παρόντος κανονισμού οργανισμούς που διεξάγουν παρόμοιες δραστηριότητες αξιολόγησης της συμμόρφωσης και καλύπτουν τα ίδια προϊόντα λίπανσης με σήμανση CE, συναφείς πληροφορίες για ζητήματα που αφορούν αρνητικά και, κατόπιν αιτήματος, θετικά αποτελέσματα αξιολόγησης της συμμόρφωσης.</w:t>
            </w:r>
          </w:p>
        </w:tc>
        <w:tc>
          <w:tcPr>
            <w:tcW w:w="4876" w:type="dxa"/>
            <w:hideMark/>
          </w:tcPr>
          <w:p w:rsidR="00E451E4" w:rsidRPr="00AC4460" w:rsidRDefault="00E451E4" w:rsidP="000A61DD">
            <w:pPr>
              <w:pStyle w:val="Normal6"/>
              <w:rPr>
                <w:szCs w:val="24"/>
              </w:rPr>
            </w:pPr>
            <w:r w:rsidRPr="00AC4460">
              <w:t>2.</w:t>
            </w:r>
            <w:r w:rsidRPr="00AC4460">
              <w:tab/>
            </w:r>
            <w:r w:rsidRPr="00AC4460">
              <w:rPr>
                <w:b/>
                <w:i/>
              </w:rPr>
              <w:t>Με την επιφύλαξη υφιστάμενων ενωσιακών κανόνων σχετικά με την προστασία δεδομένων και την εμπιστευτικότητα των επιχειρηματικών πληροφοριών, καθώς και την προστασία των δοκιμών και των μελετών που υποβάλλονται για αξιολόγηση συμμόρφωσης, οι</w:t>
            </w:r>
            <w:r w:rsidRPr="00AC4460">
              <w:t xml:space="preserve"> κοινοποιημένοι οργανισμοί παρέχουν στους άλλους κοινοποιημένους δυνάμει του παρόντος κανονισμού οργανισμούς που διεξάγουν παρόμοιες δραστηριότητες αξιολόγησης της συμμόρφωσης και καλύπτουν τα ίδια προϊόντα λίπανσης με σήμανση CE, συναφείς πληροφορίες για ζητήματα που αφορούν αρνητικά και, κατόπιν αιτήματος, θετικά αποτελέσματα αξιολόγησης της συμμόρφωσης.</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Χωρίς την παρούσα προσθήκη, το άρθρο 33 παράγραφος 2 συνεπάγεται ότι οι κοινοποιημένοι οργανισμοί μπορούν να κοινοποιούν τα δεδομένα των αιτούντων μεταξύ τους χωρίς περιορισμό, κάτι που θα έθιγε την προστασία δεδομένων.</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29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rPr>
          <w:szCs w:val="24"/>
        </w:rPr>
        <w:t>Άρθρο 42 – παράγραφος 1 – εισαγωγικό μέρος</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1.</w:t>
            </w:r>
            <w:r w:rsidRPr="00AC4460">
              <w:rPr>
                <w:szCs w:val="24"/>
              </w:rPr>
              <w:tab/>
              <w:t>Η Επιτροπή εξουσιοδοτείται να εκδίδει κατ’ εξουσιοδότηση πράξεις σύμφωνα με το άρθρο 43 για την τροποποίηση των παραρτημάτων I έως IV, με σκοπό την προσαρμογή τους στην τεχνική πρόοδο και τη διευκόλυνση της πρόσβασης στην εσωτερική αγορά και της ελεύθερης κυκλοφορίας για τα προϊόντα λίπανσης με σήμανση CE</w:t>
            </w:r>
          </w:p>
        </w:tc>
        <w:tc>
          <w:tcPr>
            <w:tcW w:w="4876" w:type="dxa"/>
          </w:tcPr>
          <w:p w:rsidR="00E451E4" w:rsidRPr="00AC4460" w:rsidRDefault="00E451E4" w:rsidP="000A61DD">
            <w:pPr>
              <w:pStyle w:val="Normal6"/>
            </w:pPr>
            <w:r w:rsidRPr="00AC4460">
              <w:t>1.</w:t>
            </w:r>
            <w:r w:rsidRPr="00AC4460">
              <w:tab/>
              <w:t>Η Επιτροπή εξουσιοδοτείται να εκδίδει κατ’ εξουσιοδότηση πράξεις σύμφωνα με το άρθρο 43 για την τροποποίηση των παραρτημάτων I έως IV, με σκοπό την προσαρμογή τους στην τεχνική πρόοδο</w:t>
            </w:r>
            <w:r w:rsidRPr="00AC4460">
              <w:rPr>
                <w:b/>
                <w:i/>
              </w:rPr>
              <w:t>, ιδίως όσον αφορά την παραγωγή λιπασμάτων από ζωικά υποπροϊόντα</w:t>
            </w:r>
            <w:r w:rsidRPr="00AC4460">
              <w:t xml:space="preserve"> και </w:t>
            </w:r>
            <w:r w:rsidRPr="00AC4460">
              <w:rPr>
                <w:b/>
                <w:i/>
              </w:rPr>
              <w:t xml:space="preserve">προϊόντα που προέρχονται από ανάκτηση αποβλήτων ή τα οποία χρησιμοποιούνται από τους παρασκευαστές ως υποπροϊόντα ή παραπροϊόντα άλλων βιομηχανικών και/ή γεωργικών διεργασιών, καθώς και ανακυκλωμένα προϊόντα, λαμβανομένων υπόψη των προϊόντων και των υλικών που έχουν ήδη εγκριθεί σε κράτη μέλη, και για </w:t>
            </w:r>
            <w:r w:rsidRPr="00AC4460">
              <w:t>τη διευκόλυνση της πρόσβασης στην εσωτερική αγορά και της ελεύθερης κυκλοφορίας για τα προϊόντα λίπανσης με σήμανση CE</w:t>
            </w:r>
            <w:r w:rsidRPr="00AC4460">
              <w:rPr>
                <w:b/>
                <w:i/>
              </w:rPr>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rPr>
          <w:szCs w:val="24"/>
        </w:rPr>
        <w:t>Άρθρο 42 – παράγραφος 1 – στοιχείο 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rPr>
                <w:szCs w:val="24"/>
              </w:rPr>
            </w:pPr>
            <w:r w:rsidRPr="00AC4460">
              <w:rPr>
                <w:szCs w:val="24"/>
              </w:rPr>
              <w:t>α)</w:t>
            </w:r>
            <w:r w:rsidRPr="00AC4460">
              <w:rPr>
                <w:szCs w:val="24"/>
              </w:rPr>
              <w:tab/>
              <w:t xml:space="preserve">τα οποία </w:t>
            </w:r>
            <w:r w:rsidRPr="00AC4460">
              <w:rPr>
                <w:b/>
                <w:i/>
                <w:szCs w:val="24"/>
              </w:rPr>
              <w:t>αναμένεται</w:t>
            </w:r>
            <w:r w:rsidRPr="00AC4460">
              <w:rPr>
                <w:szCs w:val="24"/>
              </w:rPr>
              <w:t xml:space="preserve"> να αποτελέσουν αντικείμενο σημαντικών εμπορικών συναλλαγών στην εσωτερική αγορά, και</w:t>
            </w:r>
          </w:p>
        </w:tc>
        <w:tc>
          <w:tcPr>
            <w:tcW w:w="4876" w:type="dxa"/>
          </w:tcPr>
          <w:p w:rsidR="00E451E4" w:rsidRPr="00AC4460" w:rsidRDefault="00E451E4" w:rsidP="000A61DD">
            <w:pPr>
              <w:pStyle w:val="Normal6"/>
            </w:pPr>
            <w:r w:rsidRPr="00AC4460">
              <w:t>α)</w:t>
            </w:r>
            <w:r w:rsidRPr="00AC4460">
              <w:tab/>
              <w:t xml:space="preserve">τα οποία </w:t>
            </w:r>
            <w:r w:rsidRPr="00AC4460">
              <w:rPr>
                <w:b/>
                <w:i/>
              </w:rPr>
              <w:t>έχουν τη δυνατότητα</w:t>
            </w:r>
            <w:r w:rsidRPr="00AC4460">
              <w:t xml:space="preserve"> να αποτελέσουν αντικείμενο σημαντικών εμπορικών συναλλαγών στην εσωτερική αγορά, και </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rPr>
          <w:szCs w:val="24"/>
        </w:rPr>
        <w:t>Άρθρο 42 – παράγραφος 1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rPr>
                <w:szCs w:val="24"/>
              </w:rPr>
            </w:pPr>
          </w:p>
        </w:tc>
        <w:tc>
          <w:tcPr>
            <w:tcW w:w="4876" w:type="dxa"/>
          </w:tcPr>
          <w:p w:rsidR="00E451E4" w:rsidRPr="00AC4460" w:rsidRDefault="00E451E4" w:rsidP="000A61DD">
            <w:pPr>
              <w:pStyle w:val="Normal6"/>
              <w:rPr>
                <w:b/>
                <w:i/>
                <w:szCs w:val="24"/>
              </w:rPr>
            </w:pPr>
            <w:r w:rsidRPr="00AC4460">
              <w:rPr>
                <w:b/>
                <w:i/>
                <w:szCs w:val="24"/>
              </w:rPr>
              <w:t>1α.</w:t>
            </w:r>
            <w:r w:rsidRPr="00AC4460">
              <w:rPr>
                <w:b/>
                <w:i/>
                <w:szCs w:val="24"/>
              </w:rPr>
              <w:tab/>
              <w:t>Χωρίς αδικαιολόγητη καθυστέρηση μετά την έναρξη ισχύος του παρόντος κανονισμού, η Επιτροπή εκδίδει κατ’ εξουσιοδότηση πράξη, σύμφωνα με την παράγραφο 1, για την τροποποίηση των κατηγοριών συστατικών υλικών που καθορίζονται στο παράρτημα ΙΙ, με σκοπό ιδίως την προσθήκη των ζωικών υποπροϊόντων, του στρουβίτη, του βιοξυλάνθρακα και των προϊόντων με βάση τις τέφρες σε αυτές τις κατηγορίες συστατικών υλικών, καθώς και τον καθορισμό των απαιτήσεων για τη συμπερίληψη αυτών των προϊόντων στις εν λόγω κατηγορίες.</w:t>
            </w:r>
            <w:r w:rsidR="000A61DD">
              <w:rPr>
                <w:b/>
                <w:i/>
                <w:szCs w:val="24"/>
              </w:rPr>
              <w:t xml:space="preserve"> </w:t>
            </w:r>
            <w:r w:rsidRPr="00AC4460">
              <w:rPr>
                <w:b/>
                <w:i/>
                <w:szCs w:val="24"/>
              </w:rPr>
              <w:t>Η Επιτροπή λαμβάνει ειδικά υπόψη την τεχνολογική πρόοδο όσον αφορά την ανάκτηση θρεπτικών συστατικών.</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rPr>
          <w:szCs w:val="24"/>
        </w:rPr>
        <w:t>Άρθρο 42 – παράγραφος 1 β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rPr>
                <w:szCs w:val="24"/>
              </w:rPr>
            </w:pPr>
          </w:p>
        </w:tc>
        <w:tc>
          <w:tcPr>
            <w:tcW w:w="4876" w:type="dxa"/>
          </w:tcPr>
          <w:p w:rsidR="00E451E4" w:rsidRPr="00AC4460" w:rsidRDefault="00E451E4" w:rsidP="000A61DD">
            <w:pPr>
              <w:pStyle w:val="Normal6"/>
              <w:rPr>
                <w:b/>
                <w:i/>
                <w:szCs w:val="24"/>
              </w:rPr>
            </w:pPr>
            <w:r w:rsidRPr="00AC4460">
              <w:rPr>
                <w:b/>
                <w:i/>
                <w:szCs w:val="24"/>
              </w:rPr>
              <w:t>1β.</w:t>
            </w:r>
            <w:r w:rsidRPr="00AC4460">
              <w:rPr>
                <w:b/>
                <w:i/>
                <w:szCs w:val="24"/>
              </w:rPr>
              <w:tab/>
            </w:r>
            <w:r w:rsidRPr="00AC4460">
              <w:rPr>
                <w:b/>
                <w:bCs/>
                <w:i/>
                <w:iCs/>
                <w:szCs w:val="24"/>
              </w:rPr>
              <w:t xml:space="preserve">Μέχρι [ΕΕ, εισάγετε την ημερομηνία: </w:t>
            </w:r>
            <w:r w:rsidRPr="00AC4460">
              <w:rPr>
                <w:b/>
                <w:i/>
              </w:rPr>
              <w:t>έξι μήνες μετά την ημερομηνία δημοσίευσης του παρόντος κανονισμού], η Επιτροπή εκδίδει κατ’ εξουσιοδότηση πράξη σύμφωνα με την παράγραφο 1, για την τροποποίηση του παραρτήματος II, προκειμένου να εισαχθούν τα τελικά σημεία στην αλυσίδα παρασκευής που έχουν καθοριστεί σύμφωνα με το δεύτερο εδάφιο του άρθρου 5 παράγραφος 2 του κανονισμού (ΕΚ) αριθ. 1069/2009, όσον αφορά τα ζωικά υποπροϊόντα που απαριθμούνται στην ΚΣΥ 11 του παρόντος κανονισμού.</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42 – παράγραφος 2 – στοιχείο 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 xml:space="preserve">α) </w:t>
            </w:r>
            <w:r w:rsidRPr="00AC4460">
              <w:tab/>
              <w:t xml:space="preserve">ονομασία του μικροοργανισμού· </w:t>
            </w:r>
          </w:p>
        </w:tc>
        <w:tc>
          <w:tcPr>
            <w:tcW w:w="4876" w:type="dxa"/>
            <w:hideMark/>
          </w:tcPr>
          <w:p w:rsidR="00E451E4" w:rsidRPr="00AC4460" w:rsidRDefault="00E451E4" w:rsidP="000A61DD">
            <w:pPr>
              <w:pStyle w:val="Normal6"/>
              <w:rPr>
                <w:szCs w:val="24"/>
              </w:rPr>
            </w:pPr>
            <w:r w:rsidRPr="00AC4460">
              <w:t xml:space="preserve">α) </w:t>
            </w:r>
            <w:r w:rsidRPr="00AC4460">
              <w:tab/>
              <w:t>ονομασία του μικροοργανισμού</w:t>
            </w:r>
            <w:r w:rsidRPr="00AC4460">
              <w:rPr>
                <w:b/>
                <w:i/>
              </w:rPr>
              <w:t>, σε επίπεδο στελέχους</w:t>
            </w:r>
            <w:r w:rsidRPr="00AC4460">
              <w:t>·</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Τα διάφορα στελέχη του ίδιου είδους μπορεί να έχουν εξαιρετικά διαφορετικές ιδιότητες.</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42 – παράγραφος 2 – στοιχείο δ</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δ)</w:t>
            </w:r>
            <w:r w:rsidRPr="00AC4460">
              <w:tab/>
              <w:t>ταξινομική σχέση με είδη μικροοργανισμών που πληρούν τις απαιτήσεις για τεκμήριο αναγνωρισμένης ασφάλειας, όπως αυτό έχει προσδιοριστεί από την Ευρωπαϊκή Αρχή για την Ασφάλεια των Τροφίμων·</w:t>
            </w:r>
          </w:p>
        </w:tc>
        <w:tc>
          <w:tcPr>
            <w:tcW w:w="4876" w:type="dxa"/>
            <w:hideMark/>
          </w:tcPr>
          <w:p w:rsidR="00E451E4" w:rsidRPr="00AC4460" w:rsidRDefault="00E451E4" w:rsidP="000A61DD">
            <w:pPr>
              <w:pStyle w:val="Normal6"/>
              <w:rPr>
                <w:i/>
                <w:szCs w:val="24"/>
              </w:rPr>
            </w:pPr>
            <w:r w:rsidRPr="00AC4460">
              <w:tab/>
            </w:r>
            <w:r w:rsidRPr="00AC4460">
              <w:rPr>
                <w:i/>
              </w:rPr>
              <w:t>(Δεν αφορά το ελληνικό κείμενο)</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42 – παράγραφος 2 α (νέα)</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2α.</w:t>
            </w:r>
            <w:r w:rsidRPr="00AC4460">
              <w:rPr>
                <w:b/>
                <w:i/>
              </w:rPr>
              <w:tab/>
              <w:t>Η Επιτροπή εξουσιοδοτείται να εκδίδει κατ’ εξουσιοδότηση πράξεις σύμφωνα με το άρθρο 43 όσον αφορά τη θέσπιση απαιτήσεων για την αξιολόγηση της ασφάλειας νέων μικροοργανισμών για τον σκοπό της παραγράφου 2. Η πρώτη από τις εν λόγω κατ’ εξουσιοδότηση πράξεις υποβάλλεται στο Ευρωπαϊκό Κοινοβούλιο και στο Συμβούλιο το αργότερο ... [ΕΕ, εισάγετε την ημερομηνία: ένα έτος μετά την έναρξη ισχύος του παρόντος κανονισμού].</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Υπάρχουν πολλές δυνατότητες καινοτομίας και ανάπτυξης όσον αφορά τη χρήση μικροοργανισμών σε προϊόντα λίπανσης. Συνεπώς, είναι σημαντικό να διασφαλιστεί ότι ο παρών κανονισμός επιτρέπει, όσο το δυνατόν περισσότερο, την ανάπτυξη και καινοτομία σε αυτόν τον τομέα. Η διευκόλυνση της συμπερίληψης περισσότερων μικροοργανισμών στον παρόντα κανονισμό είναι ένα σημαντικό βήμα προς αυτή την κατεύθυνση.</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rPr>
          <w:szCs w:val="24"/>
        </w:rPr>
        <w:t>Άρθρο 42 – παράγραφος 4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4α.</w:t>
            </w:r>
            <w:r w:rsidRPr="00AC4460">
              <w:rPr>
                <w:b/>
                <w:i/>
                <w:szCs w:val="24"/>
              </w:rPr>
              <w:tab/>
              <w:t>Όσον αφορά το μέρος II του παραρτήματος I, η εξουσιοδότηση έκδοσης κατ’ εξουσιοδότηση πράξεων σύμφωνα με τις παραγράφους 1 και 4 εξαιρεί προσαρμογές στα όρια προσμείξεων που καθορίζονται, εκτός εάν απαιτούνται νέα όρια προσμείξεων συνεπεία της προσθήκης νέων συστατικών υλικών σύμφωνα με το παράρτημα II. Όταν καθορίζονται νέα όρια προσμείξεων, τα όρια αυτά εφαρμόζονται μόνο για τα νέα συστατικά υλικά που προστίθενται.</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42 – παράγραφος 4 β (νέα)</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4β.</w:t>
            </w:r>
            <w:r w:rsidRPr="00AC4460">
              <w:rPr>
                <w:b/>
                <w:i/>
              </w:rPr>
              <w:tab/>
              <w:t>Η Επιτροπή επανεξετάζει το μέρος II του παραρτήματος Ι μέχρι ... [ΕΕ, εισάγετε την ημερομηνία: δέκα έτη μετά την έναρξη ισχύος του παρόντος κανονισμού] ή σε περίπτωση που υπάρχουν διαθέσιμες νέες συναφείς επιστημονικές πληροφορίες όσον αφορά την τοξικότητα και την καρκινογένεση των σχετικών προσμείξεων ή τυχόν νέα τεχνολογική πρόοδος και καινοτομία στον τομέα της παραγωγής και της χρήσης προϊόντων λίπανσης.</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Οι απαιτήσεις που αφορούν τις προσμείξεις των κατηγοριών λειτουργίας προϊόντος εξαιρούνται από τις εξουσίες που ανατίθενται στην Ευρωπαϊκή Επιτροπή και επανεξετάζονται μέσω της συνήθους νομοθετικής διαδικασίας, δεδομένου ότι ένας από τους στόχους του νέου κανονισμού είναι η αντιμετώπιση των προβληματισμών σχετικά με το περιβάλλον που οφείλονται στη μόλυνση που προκαλούν τα λιπάσματα της ΕΚ στο έδαφος, στα εσωτερικά ύδατα, στα θαλάσσια ύδατα και, εν τέλει, στα τρόφιμα, με αποτέλεσμα να καθίσταται πρωταρχικό μέλημα για την ανθρώπινη υγεία.</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rPr>
          <w:szCs w:val="24"/>
        </w:rPr>
        <w:t>Άρθρο 45 – παράγραφος 1 – σημείο 1 α (νέο)</w:t>
      </w:r>
      <w:r>
        <w:rPr>
          <w:rStyle w:val="HideTWBExt"/>
          <w:b w:val="0"/>
          <w:noProof w:val="0"/>
        </w:rPr>
        <w:t>&lt;/</w:t>
      </w:r>
      <w:r>
        <w:rPr>
          <w:rStyle w:val="HideTWBExt"/>
          <w:b w:val="0"/>
          <w:noProof w:val="0"/>
          <w:lang w:val="fr-FR"/>
        </w:rPr>
        <w:t>Article</w:t>
      </w:r>
      <w:r>
        <w:rPr>
          <w:rStyle w:val="HideTWBExt"/>
          <w:b w:val="0"/>
          <w:noProof w:val="0"/>
        </w:rPr>
        <w:t>&gt;</w:t>
      </w:r>
    </w:p>
    <w:p w:rsidR="00E451E4" w:rsidRPr="009421FD" w:rsidRDefault="00E451E4" w:rsidP="000A61DD">
      <w:pPr>
        <w:keepNext/>
      </w:pPr>
      <w:r>
        <w:rPr>
          <w:rStyle w:val="HideTWBExt"/>
          <w:noProof w:val="0"/>
        </w:rPr>
        <w:t>&lt;</w:t>
      </w:r>
      <w:r>
        <w:rPr>
          <w:rStyle w:val="HideTWBExt"/>
          <w:noProof w:val="0"/>
          <w:lang w:val="en-GB"/>
        </w:rPr>
        <w:t>DocAmend</w:t>
      </w:r>
      <w:r>
        <w:rPr>
          <w:rStyle w:val="HideTWBExt"/>
          <w:noProof w:val="0"/>
        </w:rPr>
        <w:t>2&gt;</w:t>
      </w:r>
      <w:r w:rsidRPr="00AC4460">
        <w:t>Κανονισμός (ΕΚ) αριθ. 1069/2009</w:t>
      </w:r>
      <w:r>
        <w:rPr>
          <w:rStyle w:val="HideTWBExt"/>
          <w:noProof w:val="0"/>
        </w:rPr>
        <w:t>&lt;/</w:t>
      </w:r>
      <w:r>
        <w:rPr>
          <w:rStyle w:val="HideTWBExt"/>
          <w:noProof w:val="0"/>
          <w:lang w:val="en-GB"/>
        </w:rPr>
        <w:t>DocAmend</w:t>
      </w:r>
      <w:r>
        <w:rPr>
          <w:rStyle w:val="HideTWBExt"/>
          <w:noProof w:val="0"/>
        </w:rPr>
        <w:t>2&gt;</w:t>
      </w:r>
    </w:p>
    <w:p w:rsidR="00E451E4" w:rsidRPr="009421FD" w:rsidRDefault="00E451E4" w:rsidP="000A61DD">
      <w:pPr>
        <w:keepNext/>
      </w:pPr>
      <w:r>
        <w:rPr>
          <w:rStyle w:val="HideTWBExt"/>
          <w:noProof w:val="0"/>
        </w:rPr>
        <w:t>&lt;</w:t>
      </w:r>
      <w:r>
        <w:rPr>
          <w:rStyle w:val="HideTWBExt"/>
          <w:noProof w:val="0"/>
          <w:lang w:val="fr-FR"/>
        </w:rPr>
        <w:t>Article</w:t>
      </w:r>
      <w:r>
        <w:rPr>
          <w:rStyle w:val="HideTWBExt"/>
          <w:noProof w:val="0"/>
        </w:rPr>
        <w:t>2&gt;</w:t>
      </w:r>
      <w:r w:rsidRPr="00AC4460">
        <w:t>Άρθρο 5 – παράγραφος 2 – σημείο 1 α (νέο)</w:t>
      </w:r>
      <w:r>
        <w:rPr>
          <w:rStyle w:val="HideTWBExt"/>
          <w:noProof w:val="0"/>
        </w:rPr>
        <w:t>&lt;/</w:t>
      </w:r>
      <w:r>
        <w:rPr>
          <w:rStyle w:val="HideTWBExt"/>
          <w:noProof w:val="0"/>
          <w:lang w:val="fr-FR"/>
        </w:rPr>
        <w:t>Article</w:t>
      </w:r>
      <w:r>
        <w:rPr>
          <w:rStyle w:val="HideTWBExt"/>
          <w:noProof w:val="0"/>
        </w:rPr>
        <w:t>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(1α) </w:t>
            </w:r>
            <w:r w:rsidRPr="00AC4460">
              <w:rPr>
                <w:b/>
                <w:bCs/>
                <w:i/>
                <w:iCs/>
              </w:rPr>
              <w:tab/>
              <w:t>στην παράγραφο 2, μετά το πρώτο εδάφιο, προστίθεται το ακόλουθο εδάφιο:</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bCs/>
                <w:i/>
              </w:rPr>
              <w:t>«Για παράγωγα προϊόντα που εμπίπτουν στο πεδίο εφαρμογής του άρθρου 32 και ήδη χρησιμοποιούνται ευρέως στα κράτη μέλη για την παραγωγή λιπασμάτων, η Επιτροπή καθορίζει ένα τέτοιο τελικό σημείο μέχρι [Υπηρεσία Εκδόσεων, εισάγετε την ημερομηνία που αντιστοιχεί στην πάροδο έξι μηνών από την ημερομηνία δημοσίευσης του κανονισμού για τα λιπάσματα]».</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39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noProof w:val="0"/>
        </w:rPr>
        <w:t>&lt;</w:t>
      </w:r>
      <w:r>
        <w:rPr>
          <w:rStyle w:val="HideTWBExt"/>
          <w:noProof w:val="0"/>
          <w:lang w:val="fr-FR"/>
        </w:rPr>
        <w:t>Article</w:t>
      </w:r>
      <w:r>
        <w:rPr>
          <w:rStyle w:val="HideTWBExt"/>
          <w:noProof w:val="0"/>
        </w:rPr>
        <w:t>&gt;</w:t>
      </w:r>
      <w:r w:rsidRPr="00AC4460">
        <w:t>Άρθρο 46 – παράγραφος 1 – σημείο 2</w:t>
      </w:r>
      <w:r>
        <w:rPr>
          <w:rStyle w:val="HideTWBExt"/>
          <w:noProof w:val="0"/>
        </w:rPr>
        <w:t>&lt;/</w:t>
      </w:r>
      <w:r>
        <w:rPr>
          <w:rStyle w:val="HideTWBExt"/>
          <w:noProof w:val="0"/>
          <w:lang w:val="fr-FR"/>
        </w:rPr>
        <w:t>Article</w:t>
      </w:r>
      <w:r>
        <w:rPr>
          <w:rStyle w:val="HideTWBExt"/>
          <w:noProof w:val="0"/>
        </w:rPr>
        <w:t>&gt;</w:t>
      </w:r>
    </w:p>
    <w:p w:rsidR="00E451E4" w:rsidRPr="000B20D1" w:rsidRDefault="00E451E4" w:rsidP="000A61DD">
      <w:pPr>
        <w:keepNext/>
      </w:pPr>
      <w:r>
        <w:rPr>
          <w:rStyle w:val="HideTWBExt"/>
          <w:noProof w:val="0"/>
        </w:rPr>
        <w:t>&lt;</w:t>
      </w:r>
      <w:r>
        <w:rPr>
          <w:rStyle w:val="HideTWBExt"/>
          <w:noProof w:val="0"/>
          <w:lang w:val="fr-FR"/>
        </w:rPr>
        <w:t>DocAmend</w:t>
      </w:r>
      <w:r>
        <w:rPr>
          <w:rStyle w:val="HideTWBExt"/>
          <w:noProof w:val="0"/>
        </w:rPr>
        <w:t>2&gt;</w:t>
      </w:r>
      <w:r w:rsidRPr="00AC4460">
        <w:t>Κανονισμός (ΕΚ) αριθ. 1107/2009</w:t>
      </w:r>
      <w:r>
        <w:rPr>
          <w:rStyle w:val="HideTWBExt"/>
          <w:noProof w:val="0"/>
        </w:rPr>
        <w:t>&lt;/</w:t>
      </w:r>
      <w:r>
        <w:rPr>
          <w:rStyle w:val="HideTWBExt"/>
          <w:noProof w:val="0"/>
          <w:lang w:val="fr-FR"/>
        </w:rPr>
        <w:t>DocAmend</w:t>
      </w:r>
      <w:r>
        <w:rPr>
          <w:rStyle w:val="HideTWBExt"/>
          <w:noProof w:val="0"/>
        </w:rPr>
        <w:t>2&gt;</w:t>
      </w:r>
    </w:p>
    <w:p w:rsidR="00E451E4" w:rsidRPr="00135F02" w:rsidRDefault="00E451E4" w:rsidP="000A61DD">
      <w:r>
        <w:rPr>
          <w:rStyle w:val="HideTWBExt"/>
          <w:noProof w:val="0"/>
        </w:rPr>
        <w:t>&lt;</w:t>
      </w:r>
      <w:r>
        <w:rPr>
          <w:rStyle w:val="HideTWBExt"/>
          <w:noProof w:val="0"/>
          <w:lang w:val="fr-FR"/>
        </w:rPr>
        <w:t>Article</w:t>
      </w:r>
      <w:r>
        <w:rPr>
          <w:rStyle w:val="HideTWBExt"/>
          <w:noProof w:val="0"/>
        </w:rPr>
        <w:t>2&gt;</w:t>
      </w:r>
      <w:r w:rsidRPr="00AC4460">
        <w:t>Άρθρο 3 – σημείο 34 – εισαγωγικό μέρος</w:t>
      </w:r>
      <w:r>
        <w:rPr>
          <w:rStyle w:val="HideTWBExt"/>
          <w:noProof w:val="0"/>
        </w:rPr>
        <w:t>&lt;/</w:t>
      </w:r>
      <w:r>
        <w:rPr>
          <w:rStyle w:val="HideTWBExt"/>
          <w:noProof w:val="0"/>
          <w:lang w:val="fr-FR"/>
        </w:rPr>
        <w:t>Article</w:t>
      </w:r>
      <w:r>
        <w:rPr>
          <w:rStyle w:val="HideTWBExt"/>
          <w:noProof w:val="0"/>
        </w:rPr>
        <w:t>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(3)</w:t>
            </w:r>
            <w:r w:rsidRPr="00AC4460">
              <w:rPr>
                <w:szCs w:val="24"/>
              </w:rPr>
              <w:tab/>
              <w:t xml:space="preserve">«βιοδιεγέρτης φυτών»: προϊόν </w:t>
            </w:r>
            <w:r w:rsidRPr="00AC4460">
              <w:rPr>
                <w:b/>
                <w:i/>
                <w:szCs w:val="24"/>
              </w:rPr>
              <w:t>που</w:t>
            </w:r>
            <w:r w:rsidRPr="00AC4460">
              <w:rPr>
                <w:szCs w:val="24"/>
              </w:rPr>
              <w:t xml:space="preserve"> διεγείρει τις διαδικασίες θρέψης των φυτών ανεξάρτητα από την </w:t>
            </w:r>
            <w:r w:rsidRPr="00AC4460">
              <w:rPr>
                <w:b/>
                <w:i/>
                <w:szCs w:val="24"/>
              </w:rPr>
              <w:t>περιεκτικότητα</w:t>
            </w:r>
            <w:r w:rsidRPr="00AC4460">
              <w:rPr>
                <w:szCs w:val="24"/>
              </w:rPr>
              <w:t xml:space="preserve"> του</w:t>
            </w:r>
            <w:r w:rsidRPr="00AC4460">
              <w:rPr>
                <w:b/>
                <w:i/>
                <w:szCs w:val="24"/>
              </w:rPr>
              <w:t xml:space="preserve"> προϊόντος</w:t>
            </w:r>
            <w:r w:rsidRPr="00AC4460">
              <w:rPr>
                <w:szCs w:val="24"/>
              </w:rPr>
              <w:t xml:space="preserve"> σε θρεπτικά στοιχεία, με μοναδικό σκοπό τη βελτίωση ενός ή περισσοτέρων από τα ακόλουθα χαρακτηριστικά του φυτού:</w:t>
            </w:r>
          </w:p>
        </w:tc>
        <w:tc>
          <w:tcPr>
            <w:tcW w:w="4876" w:type="dxa"/>
          </w:tcPr>
          <w:p w:rsidR="00E451E4" w:rsidRPr="00AC4460" w:rsidRDefault="00E451E4" w:rsidP="000A61DD">
            <w:pPr>
              <w:pStyle w:val="Normal6"/>
            </w:pPr>
            <w:r w:rsidRPr="00AC4460">
              <w:t>(3)</w:t>
            </w:r>
            <w:r w:rsidRPr="00AC4460">
              <w:tab/>
              <w:t xml:space="preserve">«βιοδιεγέρτης φυτών»: προϊόν </w:t>
            </w:r>
            <w:r w:rsidRPr="00AC4460">
              <w:rPr>
                <w:b/>
                <w:i/>
              </w:rPr>
              <w:t>το οποίο περιέχει οποιαδήποτε ουσία ή μικροοργανισμό</w:t>
            </w:r>
            <w:r w:rsidRPr="00AC4460">
              <w:t xml:space="preserve"> διεγείρει τις διαδικασίες θρέψης των φυτών ανεξάρτητα από την </w:t>
            </w:r>
            <w:r w:rsidRPr="00AC4460">
              <w:rPr>
                <w:b/>
                <w:i/>
              </w:rPr>
              <w:t>περιεκτικότητά</w:t>
            </w:r>
            <w:r w:rsidRPr="00AC4460">
              <w:t xml:space="preserve"> του σε θρεπτικά στοιχεία, </w:t>
            </w:r>
            <w:r w:rsidRPr="00AC4460">
              <w:rPr>
                <w:b/>
                <w:i/>
              </w:rPr>
              <w:t xml:space="preserve">ή οποιονδήποτε συνδυασμό τέτοιων ουσιών και/ή μικροοργανισμών, </w:t>
            </w:r>
            <w:r w:rsidRPr="00AC4460">
              <w:t>με μοναδικό σκοπό τη βελτίωση ενός ή περισσοτέρων από τα ακόλουθα χαρακτηριστικά του φυτού</w:t>
            </w:r>
            <w:r w:rsidRPr="00AC4460">
              <w:rPr>
                <w:b/>
                <w:i/>
              </w:rPr>
              <w:t xml:space="preserve"> ή της ριζόσφαιρας του φυτού</w:t>
            </w:r>
            <w:r w:rsidRPr="00AC4460">
              <w:t xml:space="preserve">: </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noProof w:val="0"/>
        </w:rPr>
        <w:t>&lt;</w:t>
      </w:r>
      <w:r>
        <w:rPr>
          <w:rStyle w:val="HideTWBExt"/>
          <w:noProof w:val="0"/>
          <w:lang w:val="fr-FR"/>
        </w:rPr>
        <w:t>Article</w:t>
      </w:r>
      <w:r>
        <w:rPr>
          <w:rStyle w:val="HideTWBExt"/>
          <w:noProof w:val="0"/>
        </w:rPr>
        <w:t>&gt;</w:t>
      </w:r>
      <w:r w:rsidRPr="00AC4460">
        <w:t>Άρθρο 46 – παράγραφος 1 – σημείο 2</w:t>
      </w:r>
      <w:r>
        <w:rPr>
          <w:rStyle w:val="HideTWBExt"/>
          <w:noProof w:val="0"/>
        </w:rPr>
        <w:t>&lt;/</w:t>
      </w:r>
      <w:r>
        <w:rPr>
          <w:rStyle w:val="HideTWBExt"/>
          <w:noProof w:val="0"/>
          <w:lang w:val="fr-FR"/>
        </w:rPr>
        <w:t>Article</w:t>
      </w:r>
      <w:r>
        <w:rPr>
          <w:rStyle w:val="HideTWBExt"/>
          <w:noProof w:val="0"/>
        </w:rPr>
        <w:t>&gt;</w:t>
      </w:r>
    </w:p>
    <w:p w:rsidR="00E451E4" w:rsidRPr="00135F02" w:rsidRDefault="00E451E4" w:rsidP="000A61DD">
      <w:pPr>
        <w:keepNext/>
      </w:pPr>
      <w:r>
        <w:rPr>
          <w:rStyle w:val="HideTWBExt"/>
          <w:noProof w:val="0"/>
        </w:rPr>
        <w:t>&lt;</w:t>
      </w:r>
      <w:r>
        <w:rPr>
          <w:rStyle w:val="HideTWBExt"/>
          <w:noProof w:val="0"/>
          <w:lang w:val="fr-FR"/>
        </w:rPr>
        <w:t>DocAmend</w:t>
      </w:r>
      <w:r>
        <w:rPr>
          <w:rStyle w:val="HideTWBExt"/>
          <w:noProof w:val="0"/>
        </w:rPr>
        <w:t>2&gt;</w:t>
      </w:r>
      <w:r w:rsidRPr="00AC4460">
        <w:t>Κανονισμός (ΕΚ) αριθ. 1107/2009</w:t>
      </w:r>
      <w:r>
        <w:rPr>
          <w:rStyle w:val="HideTWBExt"/>
          <w:noProof w:val="0"/>
        </w:rPr>
        <w:t>&lt;/</w:t>
      </w:r>
      <w:r>
        <w:rPr>
          <w:rStyle w:val="HideTWBExt"/>
          <w:noProof w:val="0"/>
          <w:lang w:val="fr-FR"/>
        </w:rPr>
        <w:t>DocAmend</w:t>
      </w:r>
      <w:r>
        <w:rPr>
          <w:rStyle w:val="HideTWBExt"/>
          <w:noProof w:val="0"/>
        </w:rPr>
        <w:t>2&gt;</w:t>
      </w:r>
    </w:p>
    <w:p w:rsidR="00E451E4" w:rsidRPr="00135F02" w:rsidRDefault="00E451E4" w:rsidP="000A61DD">
      <w:r>
        <w:rPr>
          <w:rStyle w:val="HideTWBExt"/>
          <w:noProof w:val="0"/>
        </w:rPr>
        <w:t>&lt;</w:t>
      </w:r>
      <w:r>
        <w:rPr>
          <w:rStyle w:val="HideTWBExt"/>
          <w:noProof w:val="0"/>
          <w:lang w:val="fr-FR"/>
        </w:rPr>
        <w:t>Article</w:t>
      </w:r>
      <w:r>
        <w:rPr>
          <w:rStyle w:val="HideTWBExt"/>
          <w:noProof w:val="0"/>
        </w:rPr>
        <w:t>2&gt;</w:t>
      </w:r>
      <w:r w:rsidRPr="00AC4460">
        <w:t>Άρθρο 3 – παράγραφος 34 – στοιχείο γ α (νέο)</w:t>
      </w:r>
      <w:r>
        <w:rPr>
          <w:rStyle w:val="HideTWBExt"/>
          <w:noProof w:val="0"/>
        </w:rPr>
        <w:t>&lt;/</w:t>
      </w:r>
      <w:r>
        <w:rPr>
          <w:rStyle w:val="HideTWBExt"/>
          <w:noProof w:val="0"/>
          <w:lang w:val="fr-FR"/>
        </w:rPr>
        <w:t>Article</w:t>
      </w:r>
      <w:r>
        <w:rPr>
          <w:rStyle w:val="HideTWBExt"/>
          <w:noProof w:val="0"/>
        </w:rPr>
        <w:t>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γ α)</w:t>
            </w:r>
            <w:r w:rsidRPr="00AC4460">
              <w:rPr>
                <w:b/>
                <w:i/>
                <w:szCs w:val="24"/>
              </w:rPr>
              <w:tab/>
            </w:r>
            <w:r w:rsidRPr="00AC4460">
              <w:rPr>
                <w:b/>
                <w:i/>
              </w:rPr>
              <w:t>αποδόμηση οργανικής ουσίας στο έδαφος·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noProof w:val="0"/>
        </w:rPr>
        <w:t>&lt;</w:t>
      </w:r>
      <w:r>
        <w:rPr>
          <w:rStyle w:val="HideTWBExt"/>
          <w:noProof w:val="0"/>
          <w:lang w:val="fr-FR"/>
        </w:rPr>
        <w:t>Article</w:t>
      </w:r>
      <w:r>
        <w:rPr>
          <w:rStyle w:val="HideTWBExt"/>
          <w:noProof w:val="0"/>
        </w:rPr>
        <w:t>&gt;</w:t>
      </w:r>
      <w:r w:rsidRPr="00AC4460">
        <w:t>Άρθρο 46 – παράγραφος 1 – σημείο 2</w:t>
      </w:r>
      <w:r>
        <w:rPr>
          <w:rStyle w:val="HideTWBExt"/>
          <w:noProof w:val="0"/>
        </w:rPr>
        <w:t>&lt;/</w:t>
      </w:r>
      <w:r>
        <w:rPr>
          <w:rStyle w:val="HideTWBExt"/>
          <w:noProof w:val="0"/>
          <w:lang w:val="fr-FR"/>
        </w:rPr>
        <w:t>Article</w:t>
      </w:r>
      <w:r>
        <w:rPr>
          <w:rStyle w:val="HideTWBExt"/>
          <w:noProof w:val="0"/>
        </w:rPr>
        <w:t>&gt;</w:t>
      </w:r>
    </w:p>
    <w:p w:rsidR="00E451E4" w:rsidRPr="00135F02" w:rsidRDefault="00E451E4" w:rsidP="000A61DD">
      <w:pPr>
        <w:keepNext/>
      </w:pPr>
      <w:r>
        <w:rPr>
          <w:rStyle w:val="HideTWBExt"/>
          <w:noProof w:val="0"/>
        </w:rPr>
        <w:t>&lt;</w:t>
      </w:r>
      <w:r>
        <w:rPr>
          <w:rStyle w:val="HideTWBExt"/>
          <w:noProof w:val="0"/>
          <w:lang w:val="fr-FR"/>
        </w:rPr>
        <w:t>DocAmend</w:t>
      </w:r>
      <w:r>
        <w:rPr>
          <w:rStyle w:val="HideTWBExt"/>
          <w:noProof w:val="0"/>
        </w:rPr>
        <w:t>2&gt;</w:t>
      </w:r>
      <w:r w:rsidRPr="00AC4460">
        <w:t>Κανονισμός (ΕΚ) αριθ. 1107/2009</w:t>
      </w:r>
      <w:r>
        <w:rPr>
          <w:rStyle w:val="HideTWBExt"/>
          <w:noProof w:val="0"/>
        </w:rPr>
        <w:t>&lt;/</w:t>
      </w:r>
      <w:r>
        <w:rPr>
          <w:rStyle w:val="HideTWBExt"/>
          <w:noProof w:val="0"/>
          <w:lang w:val="fr-FR"/>
        </w:rPr>
        <w:t>DocAmend</w:t>
      </w:r>
      <w:r>
        <w:rPr>
          <w:rStyle w:val="HideTWBExt"/>
          <w:noProof w:val="0"/>
        </w:rPr>
        <w:t>2&gt;</w:t>
      </w:r>
    </w:p>
    <w:p w:rsidR="00E451E4" w:rsidRPr="00135F02" w:rsidRDefault="00E451E4" w:rsidP="000A61DD">
      <w:r>
        <w:rPr>
          <w:rStyle w:val="HideTWBExt"/>
          <w:noProof w:val="0"/>
        </w:rPr>
        <w:t>&lt;</w:t>
      </w:r>
      <w:r>
        <w:rPr>
          <w:rStyle w:val="HideTWBExt"/>
          <w:noProof w:val="0"/>
          <w:lang w:val="fr-FR"/>
        </w:rPr>
        <w:t>Article</w:t>
      </w:r>
      <w:r>
        <w:rPr>
          <w:rStyle w:val="HideTWBExt"/>
          <w:noProof w:val="0"/>
        </w:rPr>
        <w:t>2&gt;</w:t>
      </w:r>
      <w:r w:rsidRPr="00AC4460">
        <w:t>Άρθρο 3 – παράγραφος 34 – στοιχείο γ β (νέο)</w:t>
      </w:r>
      <w:r>
        <w:rPr>
          <w:rStyle w:val="HideTWBExt"/>
          <w:noProof w:val="0"/>
        </w:rPr>
        <w:t>&lt;/</w:t>
      </w:r>
      <w:r>
        <w:rPr>
          <w:rStyle w:val="HideTWBExt"/>
          <w:noProof w:val="0"/>
          <w:lang w:val="fr-FR"/>
        </w:rPr>
        <w:t>Article</w:t>
      </w:r>
      <w:r>
        <w:rPr>
          <w:rStyle w:val="HideTWBExt"/>
          <w:noProof w:val="0"/>
        </w:rPr>
        <w:t>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γ β)</w:t>
            </w:r>
            <w:r w:rsidRPr="00AC4460">
              <w:rPr>
                <w:b/>
                <w:i/>
                <w:szCs w:val="24"/>
              </w:rPr>
              <w:tab/>
            </w:r>
            <w:r w:rsidRPr="00AC4460">
              <w:rPr>
                <w:b/>
                <w:i/>
              </w:rPr>
              <w:t>αύξηση της διαθεσιμότητας των θρεπτικών ουσιών που συγκρατούνται στο έδαφος ή στη ριζόσφαιρα.</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keepNext/>
      </w:pPr>
      <w:r>
        <w:rPr>
          <w:rStyle w:val="HideTWBExt"/>
          <w:b/>
          <w:noProof w:val="0"/>
        </w:rPr>
        <w:t>&lt;</w:t>
      </w:r>
      <w:r>
        <w:rPr>
          <w:rStyle w:val="HideTWBExt"/>
          <w:b/>
          <w:noProof w:val="0"/>
          <w:lang w:val="fr-FR"/>
        </w:rPr>
        <w:t>Article</w:t>
      </w:r>
      <w:r>
        <w:rPr>
          <w:rStyle w:val="HideTWBExt"/>
          <w:b/>
          <w:noProof w:val="0"/>
        </w:rPr>
        <w:t>&gt;</w:t>
      </w:r>
      <w:r w:rsidRPr="00AC4460">
        <w:t>Άρθρο 46 α (νέο)</w:t>
      </w:r>
      <w:r>
        <w:rPr>
          <w:rStyle w:val="HideTWBExt"/>
          <w:b/>
          <w:noProof w:val="0"/>
        </w:rPr>
        <w:t>&lt;/</w:t>
      </w:r>
      <w:r>
        <w:rPr>
          <w:rStyle w:val="HideTWBExt"/>
          <w:b/>
          <w:noProof w:val="0"/>
          <w:lang w:val="fr-FR"/>
        </w:rPr>
        <w:t>Article</w:t>
      </w:r>
      <w:r>
        <w:rPr>
          <w:rStyle w:val="HideTWBExt"/>
          <w:b/>
          <w:noProof w:val="0"/>
        </w:rPr>
        <w:t>&gt;</w:t>
      </w:r>
    </w:p>
    <w:p w:rsidR="00E451E4" w:rsidRPr="000B20D1" w:rsidRDefault="00E451E4" w:rsidP="000A61DD">
      <w:r>
        <w:rPr>
          <w:rStyle w:val="HideTWBExt"/>
          <w:noProof w:val="0"/>
        </w:rPr>
        <w:t>&lt;</w:t>
      </w:r>
      <w:r>
        <w:rPr>
          <w:rStyle w:val="HideTWBExt"/>
          <w:noProof w:val="0"/>
          <w:lang w:val="fr-FR"/>
        </w:rPr>
        <w:t>DocAmend</w:t>
      </w:r>
      <w:r>
        <w:rPr>
          <w:rStyle w:val="HideTWBExt"/>
          <w:noProof w:val="0"/>
        </w:rPr>
        <w:t>2&gt;</w:t>
      </w:r>
      <w:r w:rsidRPr="00AC4460">
        <w:t>Οδηγία 91/676/ΕΟΚ</w:t>
      </w:r>
      <w:r>
        <w:rPr>
          <w:rStyle w:val="HideTWBExt"/>
          <w:noProof w:val="0"/>
        </w:rPr>
        <w:t>&lt;/</w:t>
      </w:r>
      <w:r>
        <w:rPr>
          <w:rStyle w:val="HideTWBExt"/>
          <w:noProof w:val="0"/>
          <w:lang w:val="fr-FR"/>
        </w:rPr>
        <w:t>DocAmend</w:t>
      </w:r>
      <w:r>
        <w:rPr>
          <w:rStyle w:val="HideTWBExt"/>
          <w:noProof w:val="0"/>
        </w:rPr>
        <w:t>2&gt;</w:t>
      </w:r>
    </w:p>
    <w:p w:rsidR="00E451E4" w:rsidRPr="000B20D1" w:rsidRDefault="00E451E4" w:rsidP="000A61DD">
      <w:pPr>
        <w:pStyle w:val="NormalBold"/>
        <w:rPr>
          <w:b w:val="0"/>
        </w:rPr>
      </w:pPr>
      <w:r>
        <w:rPr>
          <w:rStyle w:val="HideTWBExt"/>
          <w:b w:val="0"/>
          <w:noProof w:val="0"/>
        </w:rPr>
        <w:t>&lt;</w:t>
      </w:r>
      <w:r>
        <w:rPr>
          <w:rStyle w:val="HideTWBExt"/>
          <w:b w:val="0"/>
          <w:noProof w:val="0"/>
          <w:lang w:val="fr-FR"/>
        </w:rPr>
        <w:t>Article</w:t>
      </w:r>
      <w:r>
        <w:rPr>
          <w:rStyle w:val="HideTWBExt"/>
          <w:b w:val="0"/>
          <w:noProof w:val="0"/>
        </w:rPr>
        <w:t>2&gt;</w:t>
      </w:r>
      <w:r w:rsidRPr="00AC4460">
        <w:rPr>
          <w:b w:val="0"/>
        </w:rPr>
        <w:t>Άρθρο 2 – στοιχείο ζ</w:t>
      </w:r>
      <w:r>
        <w:rPr>
          <w:rStyle w:val="HideTWBExt"/>
          <w:b w:val="0"/>
          <w:noProof w:val="0"/>
        </w:rPr>
        <w:t>&lt;/</w:t>
      </w:r>
      <w:r>
        <w:rPr>
          <w:rStyle w:val="HideTWBExt"/>
          <w:b w:val="0"/>
          <w:noProof w:val="0"/>
          <w:lang w:val="fr-FR"/>
        </w:rPr>
        <w:t>Article</w:t>
      </w:r>
      <w:r>
        <w:rPr>
          <w:rStyle w:val="HideTWBExt"/>
          <w:b w:val="0"/>
          <w:noProof w:val="0"/>
        </w:rPr>
        <w:t>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jc w:val="center"/>
              <w:rPr>
                <w:szCs w:val="24"/>
              </w:rPr>
            </w:pPr>
            <w:r w:rsidRPr="00AC4460">
              <w:rPr>
                <w:b/>
                <w:i/>
              </w:rPr>
              <w:t>Άρθρο 46α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jc w:val="center"/>
              <w:rPr>
                <w:szCs w:val="24"/>
              </w:rPr>
            </w:pPr>
            <w:r w:rsidRPr="00AC4460">
              <w:rPr>
                <w:b/>
                <w:i/>
              </w:rPr>
              <w:t>Τροποποίηση της οδηγίας 91/676/ΕΟΚ</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Στην οδηγία 91/676/ΕΟΚ, το στοιχείο ζ) του άρθρου 2 αντικαθίσταται από το ακόλουθο κείμενο:</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«ζ) «ζωική κόπρος»: κατάλοιπα που απεκκρίνονται από ζώα ή μείγμα απορριμμάτων και καταλοίπων που απεκκρίνονται από ζώα, ακόμη και σε επεξεργασμένη μορφή, εκτός εάν τα προϊόντα αυτά έχουν υποστεί επεξεργασία σύμφωνα με τον κανονισμό (ΕΚ) αριθ. 1069/2009 και έχουν αξία αντικατάστασης νιτρικού λιπάσματος ίση με τουλάχιστον 90%.»</w:t>
            </w:r>
          </w:p>
        </w:tc>
      </w:tr>
    </w:tbl>
    <w:p w:rsidR="00E451E4" w:rsidRPr="009421FD" w:rsidRDefault="00E451E4" w:rsidP="000A61DD">
      <w:pPr>
        <w:pStyle w:val="JustificationTitle"/>
      </w:pPr>
      <w:r>
        <w:rPr>
          <w:rStyle w:val="HideTWBExt"/>
          <w:i w:val="0"/>
          <w:noProof w:val="0"/>
          <w:lang w:val="en-GB"/>
        </w:rPr>
        <w:t>&lt;TitreJust&gt;</w:t>
      </w:r>
      <w:r w:rsidRPr="00AC4460">
        <w:t>Αιτιολόγηση</w:t>
      </w:r>
      <w:r>
        <w:rPr>
          <w:rStyle w:val="HideTWBExt"/>
          <w:i w:val="0"/>
          <w:noProof w:val="0"/>
          <w:lang w:val="en-GB"/>
        </w:rPr>
        <w:t>&lt;/TitreJust&gt;</w:t>
      </w:r>
    </w:p>
    <w:p w:rsidR="00E451E4" w:rsidRPr="009421FD" w:rsidRDefault="00E451E4" w:rsidP="000A61DD">
      <w:pPr>
        <w:pStyle w:val="Normal12Italic"/>
      </w:pPr>
      <w:r>
        <w:t>Είναι σημαντικό να υπάρξει σύνδεση του παρόντος κανονισμού με την οδηγία για τη νιτρορύπανση.</w:t>
      </w:r>
    </w:p>
    <w:p w:rsidR="00E451E4" w:rsidRPr="009421FD" w:rsidRDefault="00E451E4" w:rsidP="000A61DD">
      <w:pPr>
        <w:pStyle w:val="Normal12Italic"/>
      </w:pPr>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46 β (νέο)</w:t>
      </w:r>
      <w:r>
        <w:rPr>
          <w:rStyle w:val="HideTWBExt"/>
          <w:b w:val="0"/>
          <w:noProof w:val="0"/>
        </w:rPr>
        <w:t>&lt;/</w:t>
      </w:r>
      <w:r>
        <w:rPr>
          <w:rStyle w:val="HideTWBExt"/>
          <w:b w:val="0"/>
          <w:noProof w:val="0"/>
          <w:lang w:val="fr-FR"/>
        </w:rPr>
        <w:t>Article</w:t>
      </w:r>
      <w:r>
        <w:rPr>
          <w:rStyle w:val="HideTWBExt"/>
          <w:b w:val="0"/>
          <w:noProof w:val="0"/>
        </w:rPr>
        <w:t>&gt;</w:t>
      </w:r>
    </w:p>
    <w:p w:rsidR="00E451E4" w:rsidRPr="009421FD" w:rsidRDefault="00E451E4" w:rsidP="000A61DD">
      <w:pPr>
        <w:keepNext/>
      </w:pPr>
      <w:r>
        <w:rPr>
          <w:rStyle w:val="HideTWBExt"/>
          <w:noProof w:val="0"/>
        </w:rPr>
        <w:t>&lt;</w:t>
      </w:r>
      <w:r>
        <w:rPr>
          <w:rStyle w:val="HideTWBExt"/>
          <w:noProof w:val="0"/>
          <w:lang w:val="en-GB"/>
        </w:rPr>
        <w:t>DocAmend</w:t>
      </w:r>
      <w:r>
        <w:rPr>
          <w:rStyle w:val="HideTWBExt"/>
          <w:noProof w:val="0"/>
        </w:rPr>
        <w:t>2&gt;</w:t>
      </w:r>
      <w:r w:rsidRPr="00AC4460">
        <w:t>Κανονισμός (ΕΚ) αριθ. 1907/2006</w:t>
      </w:r>
      <w:r>
        <w:rPr>
          <w:rStyle w:val="HideTWBExt"/>
          <w:noProof w:val="0"/>
        </w:rPr>
        <w:t>&lt;/</w:t>
      </w:r>
      <w:r>
        <w:rPr>
          <w:rStyle w:val="HideTWBExt"/>
          <w:noProof w:val="0"/>
          <w:lang w:val="en-GB"/>
        </w:rPr>
        <w:t>DocAmend</w:t>
      </w:r>
      <w:r>
        <w:rPr>
          <w:rStyle w:val="HideTWBExt"/>
          <w:noProof w:val="0"/>
        </w:rPr>
        <w:t>2&gt;</w:t>
      </w:r>
    </w:p>
    <w:p w:rsidR="00E451E4" w:rsidRPr="00135F02" w:rsidRDefault="00E451E4" w:rsidP="000A61DD">
      <w:r>
        <w:rPr>
          <w:rStyle w:val="HideTWBExt"/>
          <w:noProof w:val="0"/>
        </w:rPr>
        <w:t>&lt;</w:t>
      </w:r>
      <w:r>
        <w:rPr>
          <w:rStyle w:val="HideTWBExt"/>
          <w:noProof w:val="0"/>
          <w:lang w:val="fr-FR"/>
        </w:rPr>
        <w:t>Article</w:t>
      </w:r>
      <w:r>
        <w:rPr>
          <w:rStyle w:val="HideTWBExt"/>
          <w:noProof w:val="0"/>
        </w:rPr>
        <w:t>2&gt;</w:t>
      </w:r>
      <w:r w:rsidRPr="00AC4460">
        <w:t>Παράρτημα V – σημείο 12</w:t>
      </w:r>
      <w:r>
        <w:rPr>
          <w:rStyle w:val="HideTWBExt"/>
          <w:noProof w:val="0"/>
        </w:rPr>
        <w:t>&lt;/</w:t>
      </w:r>
      <w:r>
        <w:rPr>
          <w:rStyle w:val="HideTWBExt"/>
          <w:noProof w:val="0"/>
          <w:lang w:val="fr-FR"/>
        </w:rPr>
        <w:t>Article</w:t>
      </w:r>
      <w:r>
        <w:rPr>
          <w:rStyle w:val="HideTWBExt"/>
          <w:noProof w:val="0"/>
        </w:rPr>
        <w:t>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jc w:val="center"/>
              <w:rPr>
                <w:szCs w:val="24"/>
              </w:rPr>
            </w:pPr>
            <w:r w:rsidRPr="00AC4460">
              <w:rPr>
                <w:b/>
                <w:i/>
              </w:rPr>
              <w:t>Άρθρο 46β</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jc w:val="center"/>
              <w:rPr>
                <w:szCs w:val="24"/>
              </w:rPr>
            </w:pPr>
            <w:r w:rsidRPr="00AC4460">
              <w:rPr>
                <w:b/>
                <w:i/>
              </w:rPr>
              <w:t>Τροποποίηση του κανονισμού (ΕΚ) αριθ. 1907/2006</w:t>
            </w:r>
          </w:p>
        </w:tc>
      </w:tr>
      <w:tr w:rsidR="00E451E4" w:rsidRPr="009421FD" w:rsidTr="000A61DD">
        <w:trPr>
          <w:jc w:val="center"/>
        </w:trPr>
        <w:tc>
          <w:tcPr>
            <w:tcW w:w="4876" w:type="dxa"/>
          </w:tcPr>
          <w:p w:rsidR="00E451E4" w:rsidRPr="00AC4460" w:rsidRDefault="00E451E4" w:rsidP="000A61DD">
            <w:pPr>
              <w:pStyle w:val="Normal6"/>
              <w:rPr>
                <w:lang w:val="en-GB"/>
              </w:rPr>
            </w:pPr>
          </w:p>
        </w:tc>
        <w:tc>
          <w:tcPr>
            <w:tcW w:w="4876" w:type="dxa"/>
            <w:hideMark/>
          </w:tcPr>
          <w:p w:rsidR="00E451E4" w:rsidRPr="00AC4460" w:rsidRDefault="00E451E4" w:rsidP="000A61DD">
            <w:pPr>
              <w:pStyle w:val="Normal6"/>
              <w:rPr>
                <w:szCs w:val="24"/>
              </w:rPr>
            </w:pPr>
            <w:r w:rsidRPr="00AC4460">
              <w:rPr>
                <w:b/>
                <w:i/>
              </w:rPr>
              <w:t>Το σημείο 12 στο παράρτημα V αντικαθίσταται από το ακόλουθο κείμενο:</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«12. Κομπόστ, βιοαέριο και χωνεύματα»</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Προκειμένου να υποστηριχθούν η καινοτομία και η ανάπτυξη στην κυκλική οικονομία, απαιτείται ρυθμιστική ασφάλεια. Η παρακάτω προτεινόμενη τροπολογία καθιερώνει την ευρεία πρακτική εφαρμογής του κανονισμού (ΕΚ) αριθ. 1907/2006 (REACH) σύμφωνα με την οποία τα χωνεύματα δεν υπόκεινται σε καταχώριση σύμφωνα με αυτόν τον κανονισμό.</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Άρθρο 48 – παράγραφος 1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1α. </w:t>
            </w:r>
            <w:r w:rsidRPr="00AC4460">
              <w:rPr>
                <w:b/>
                <w:i/>
              </w:rPr>
              <w:tab/>
              <w:t>Τα κράτη μέλη που έχουν ήδη εφαρμόσει χαμηλότερο όριο για το κάδμιο (Cd) στα οργανοανόργανα και στα ανόργανα λιπάσματα, σύμφωνα με τις ΚΛΠ 1 (Β)(3)(a) και ΚΛΠ 1 (Γ)(I)(2)(a) στο παράρτημα Ι μέρος ΙΙ, μπορούν να διατηρήσουν αυτό το αυστηρότερο όριο μέχρι το όριο που προβλέπεται στον παρόντα κανονισμό γίνει ίσο ή χαμηλότερο. Τα κράτη μέλη κοινοποιούν τέτοια υφιστάμενα εθνικά μέτρα στην Επιτροπή μέχρι ... [ΕΕ, εισάγετε την ημερομηνία: έξι μήνες μετά την ημερομηνία έναρξης ισχύος του παρόντος κανονισμού].</w:t>
            </w:r>
          </w:p>
        </w:tc>
      </w:tr>
    </w:tbl>
    <w:p w:rsidR="00E451E4" w:rsidRPr="009421FD" w:rsidRDefault="00E451E4" w:rsidP="000A61DD">
      <w:pPr>
        <w:pStyle w:val="Normal12Italic"/>
      </w:pPr>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Άρθρο 49 – παράγραφος 2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2α. </w:t>
            </w:r>
            <w:r w:rsidRPr="00AC4460">
              <w:rPr>
                <w:b/>
                <w:bCs/>
                <w:i/>
                <w:iCs/>
              </w:rPr>
              <w:tab/>
              <w:t xml:space="preserve">Κατά παρέκκλιση από την παράγραφο 2 του παρόντος άρθρου, τα άρθρα 42 και 45 ισχύουν από ... </w:t>
            </w:r>
            <w:r w:rsidRPr="00AC4460">
              <w:rPr>
                <w:b/>
                <w:i/>
              </w:rPr>
              <w:t>[ΕΕ, εισάγετε την ημερομηνία:</w:t>
            </w:r>
            <w:r w:rsidRPr="00AC4460">
              <w:rPr>
                <w:b/>
                <w:bCs/>
                <w:i/>
                <w:iCs/>
              </w:rPr>
              <w:t xml:space="preserve"> </w:t>
            </w:r>
            <w:r w:rsidRPr="00AC4460">
              <w:rPr>
                <w:b/>
                <w:i/>
              </w:rPr>
              <w:t>ημερομηνία έναρξης ισχύος του κανονισμού].</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46</w:t>
      </w:r>
      <w:r>
        <w:rPr>
          <w:rStyle w:val="HideTWBExt"/>
          <w:b w:val="0"/>
          <w:noProof w:val="0"/>
          <w:lang w:val="en-GB"/>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&lt;Article&gt;</w:t>
      </w:r>
      <w:r w:rsidRPr="00AC4460">
        <w:t>Παράρτημα Ι – μέρος I – σημείο 5 – στοιχείο Α – σημείο I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Iα.</w:t>
            </w:r>
            <w:r w:rsidRPr="00AC4460">
              <w:rPr>
                <w:b/>
                <w:i/>
              </w:rPr>
              <w:tab/>
              <w:t>Αναστολέας απονίτρωσης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Είναι απαραίτητο να προστεθεί ο αναστολέας απονίτρωσης στην κατηγορία «γεωπονικά πρόσθετα». Οι αναστολείς απονίτρωσης είναι θεμελιώδεις ουσίες που έχουν ως στόχο την αποφυγή της ατμοσφαιρικής ρύπανσης μέσω της μείωσης του σχηματισμού διαζώτου από προϊόντα όπως η ζωική κόπρος και τα προϊόντα βιολογικής ζύμωσης.</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1(Α)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 xml:space="preserve">Ένα οργανικό λίπασμα περιέχει </w:t>
            </w:r>
          </w:p>
        </w:tc>
        <w:tc>
          <w:tcPr>
            <w:tcW w:w="4876" w:type="dxa"/>
          </w:tcPr>
          <w:p w:rsidR="00E451E4" w:rsidRPr="00AC4460" w:rsidRDefault="00E451E4" w:rsidP="000A61DD">
            <w:pPr>
              <w:pStyle w:val="Normal6"/>
            </w:pPr>
            <w:r w:rsidRPr="00AC4460">
              <w:t xml:space="preserve">Ένα οργανικό λίπασμα περιέχει </w:t>
            </w:r>
          </w:p>
        </w:tc>
      </w:tr>
      <w:tr w:rsidR="00E451E4" w:rsidRPr="00135F02" w:rsidTr="000A61DD">
        <w:trPr>
          <w:jc w:val="center"/>
        </w:trPr>
        <w:tc>
          <w:tcPr>
            <w:tcW w:w="4876" w:type="dxa"/>
          </w:tcPr>
          <w:p w:rsidR="00E451E4" w:rsidRPr="00AC4460" w:rsidRDefault="00E451E4" w:rsidP="000A61DD">
            <w:pPr>
              <w:pStyle w:val="Normal6"/>
              <w:rPr>
                <w:rFonts w:eastAsia="Calibri"/>
              </w:rPr>
            </w:pPr>
            <w:r w:rsidRPr="00AC4460">
              <w:t>-</w:t>
            </w:r>
            <w:r w:rsidRPr="00AC4460">
              <w:tab/>
              <w:t>άνθρακα (</w:t>
            </w:r>
            <w:r w:rsidRPr="00AC4460">
              <w:rPr>
                <w:b/>
                <w:i/>
              </w:rPr>
              <w:t>C</w:t>
            </w:r>
            <w:r w:rsidRPr="00AC4460">
              <w:t>) και</w:t>
            </w:r>
          </w:p>
        </w:tc>
        <w:tc>
          <w:tcPr>
            <w:tcW w:w="4876" w:type="dxa"/>
          </w:tcPr>
          <w:p w:rsidR="00E451E4" w:rsidRPr="00AC4460" w:rsidRDefault="00E451E4" w:rsidP="000A61DD">
            <w:pPr>
              <w:pStyle w:val="Normal6"/>
              <w:rPr>
                <w:rFonts w:eastAsia="Calibri"/>
              </w:rPr>
            </w:pPr>
            <w:r w:rsidRPr="00AC4460">
              <w:t>-</w:t>
            </w:r>
            <w:r w:rsidRPr="00AC4460">
              <w:tab/>
            </w:r>
            <w:r w:rsidRPr="00AC4460">
              <w:rPr>
                <w:b/>
                <w:i/>
              </w:rPr>
              <w:t xml:space="preserve">οργανικό </w:t>
            </w:r>
            <w:r w:rsidRPr="00AC4460">
              <w:t>άνθρακα (</w:t>
            </w:r>
            <w:r w:rsidRPr="00AC4460">
              <w:rPr>
                <w:b/>
                <w:i/>
              </w:rPr>
              <w:t>Corg</w:t>
            </w:r>
            <w:r w:rsidRPr="00AC4460">
              <w:t>) και</w:t>
            </w:r>
          </w:p>
        </w:tc>
      </w:tr>
      <w:tr w:rsidR="00E451E4" w:rsidRPr="00135F02" w:rsidTr="000A61DD">
        <w:trPr>
          <w:jc w:val="center"/>
        </w:trPr>
        <w:tc>
          <w:tcPr>
            <w:tcW w:w="4876" w:type="dxa"/>
          </w:tcPr>
          <w:p w:rsidR="00E451E4" w:rsidRPr="00AC4460" w:rsidRDefault="00E451E4" w:rsidP="000A61DD">
            <w:pPr>
              <w:pStyle w:val="Normal6"/>
              <w:rPr>
                <w:rFonts w:eastAsia="Calibri"/>
              </w:rPr>
            </w:pPr>
            <w:r w:rsidRPr="00AC4460">
              <w:t>-</w:t>
            </w:r>
            <w:r w:rsidRPr="00AC4460">
              <w:tab/>
              <w:t>θρεπτικά συστατικά</w:t>
            </w:r>
          </w:p>
        </w:tc>
        <w:tc>
          <w:tcPr>
            <w:tcW w:w="4876" w:type="dxa"/>
          </w:tcPr>
          <w:p w:rsidR="00E451E4" w:rsidRPr="00AC4460" w:rsidRDefault="00E451E4" w:rsidP="000A61DD">
            <w:pPr>
              <w:pStyle w:val="Normal6"/>
              <w:rPr>
                <w:rFonts w:eastAsia="Calibri"/>
              </w:rPr>
            </w:pPr>
            <w:r w:rsidRPr="00AC4460">
              <w:t>-</w:t>
            </w:r>
            <w:r w:rsidRPr="00AC4460">
              <w:tab/>
              <w:t>θρεπτικά συστατικά</w:t>
            </w:r>
          </w:p>
        </w:tc>
      </w:tr>
      <w:tr w:rsidR="00E451E4" w:rsidRPr="009421FD" w:rsidTr="000A61DD">
        <w:trPr>
          <w:jc w:val="center"/>
        </w:trPr>
        <w:tc>
          <w:tcPr>
            <w:tcW w:w="4876" w:type="dxa"/>
          </w:tcPr>
          <w:p w:rsidR="00E451E4" w:rsidRPr="00AC4460" w:rsidRDefault="00E451E4" w:rsidP="000A61DD">
            <w:pPr>
              <w:pStyle w:val="Normal6"/>
              <w:rPr>
                <w:rFonts w:eastAsia="Calibri"/>
              </w:rPr>
            </w:pPr>
            <w:r w:rsidRPr="00AC4460">
              <w:t xml:space="preserve">αποκλειστικά βιολογικής προέλευσης, εξαιρουμένων </w:t>
            </w:r>
            <w:r w:rsidRPr="00AC4460">
              <w:rPr>
                <w:b/>
                <w:i/>
              </w:rPr>
              <w:t>των</w:t>
            </w:r>
            <w:r w:rsidRPr="00AC4460">
              <w:t xml:space="preserve"> απολιθωμένων ή ενσωματωμένων σε γεωλογικούς σχηματισμούς υλικών.</w:t>
            </w:r>
          </w:p>
        </w:tc>
        <w:tc>
          <w:tcPr>
            <w:tcW w:w="4876" w:type="dxa"/>
          </w:tcPr>
          <w:p w:rsidR="00E451E4" w:rsidRPr="00AC4460" w:rsidRDefault="00E451E4" w:rsidP="000A61DD">
            <w:pPr>
              <w:pStyle w:val="Normal6"/>
              <w:rPr>
                <w:rFonts w:eastAsia="Calibri"/>
              </w:rPr>
            </w:pPr>
            <w:r w:rsidRPr="00AC4460">
              <w:t xml:space="preserve">αποκλειστικά βιολογικής προέλευσης, </w:t>
            </w:r>
            <w:r w:rsidRPr="00AC4460">
              <w:rPr>
                <w:b/>
                <w:i/>
              </w:rPr>
              <w:t xml:space="preserve">όπως η τύρφη, συμπεριλαμβανομένου του λεοναρδίτη, του λιγνίτη και ουσιών που λαμβάνονται από τα υλικά αυτά, </w:t>
            </w:r>
            <w:r w:rsidRPr="00AC4460">
              <w:t xml:space="preserve">εξαιρουμένων </w:t>
            </w:r>
            <w:r w:rsidRPr="00AC4460">
              <w:rPr>
                <w:b/>
                <w:i/>
              </w:rPr>
              <w:t>όμως άλλων</w:t>
            </w:r>
            <w:r w:rsidRPr="00AC4460">
              <w:t xml:space="preserve"> απολιθωμένων ή ενσωματωμένων σε γεωλογικούς σχηματισμούς υλικών.</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 xml:space="preserve"> Παράρτημα Ι – μέρος ΙΙ – ΚΛΠ 1(Α)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w:t>
            </w:r>
            <w:r w:rsidRPr="00AC4460">
              <w:tab/>
              <w:t>Κάδμιο (Cd) 1,</w:t>
            </w:r>
            <w:r w:rsidRPr="00AC4460">
              <w:rPr>
                <w:b/>
                <w:i/>
              </w:rPr>
              <w:t>5</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Κάδμιο (Cd) 1,</w:t>
            </w:r>
            <w:r w:rsidRPr="00AC4460">
              <w:rPr>
                <w:b/>
                <w:i/>
              </w:rPr>
              <w:t>0</w:t>
            </w:r>
            <w:r w:rsidRPr="00AC4460">
              <w:t xml:space="preserve"> mg/kg ξηράς ουσίας,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Δεδομένου ότι ένας από τους σκοπούς του ισχύοντος κανονισμού είναι η μείωση της χρήσης οργανοανόργανων και ανόργανων λιπασμάτων και η αύξηση της χρήσης οργανικών λιπασμάτων στην αγορά της ΕΕ, είναι καίριας σημασίας να τεθεί ως στόχος η όσο το δυνατόν μεγαλύτερη μείωση της συσσώρευσης καρκινογόνων ουσιών, όπως το κάδμιο, στην αρόσιμη γη της ΕΕ. Από το 2014, το κάδμιο συμπεριλαμβάνεται στον κατάλογο υποψήφιων ουσιών, δεδομένης της ταξινόμησής του ως C1A (γνωστή καρκινογόνος ουσία για τον άνθρωπο), σύμφωνα με τον κανονισμό REACH.</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49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 xml:space="preserve"> Παράρτημα Ι – μέρος ΙΙ – ΚΛΠ 1(Α) – παράγραφος 2 – πέμπτη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120</w:t>
            </w:r>
            <w:r w:rsidRPr="00AC4460">
              <w:t xml:space="preserve"> mg/kg ξηράς ουσίας, και</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 και</w:t>
            </w:r>
          </w:p>
        </w:tc>
      </w:tr>
    </w:tbl>
    <w:p w:rsidR="00E451E4" w:rsidRPr="00E451E4" w:rsidRDefault="00E451E4" w:rsidP="000A61DD">
      <w:pPr>
        <w:pStyle w:val="JustificationTitle"/>
      </w:pPr>
      <w:r>
        <w:rPr>
          <w:rStyle w:val="HideTWBExt"/>
          <w:i w:val="0"/>
          <w:noProof w:val="0"/>
          <w:lang w:val="en-GB"/>
        </w:rPr>
        <w:t>&lt;TitreJust&gt;</w:t>
      </w:r>
      <w:r w:rsidRPr="00AC4460">
        <w:t>Αιτιολόγηση</w:t>
      </w:r>
      <w:r>
        <w:rPr>
          <w:rStyle w:val="HideTWBExt"/>
          <w:i w:val="0"/>
          <w:noProof w:val="0"/>
          <w:lang w:val="en-GB"/>
        </w:rPr>
        <w:t>&lt;/TitreJust&gt;</w:t>
      </w:r>
    </w:p>
    <w:p w:rsidR="00E451E4" w:rsidRPr="00E451E4" w:rsidRDefault="00E451E4" w:rsidP="000A61DD">
      <w:pPr>
        <w:pStyle w:val="Normal12Italic"/>
      </w:pPr>
      <w:r>
        <w:t>The French Food Security Agency (ANSES) has concluded in a 2016 report that levels for Lead found in baby and child food are of extreme risk and non-acceptable and should immediately be lowered. Similarly, the European Commission’s study of the Joint Research Centre and the Institute for Reference Materials and Measurements in which the total lead in baby food in Europe was determined, Lead was found as very problematic substance for babies’ intake. Given the fact that presence of lead in fertilisers easily contaminates crops for human consumption, as it was confirmed by EFSA’s study on Lead dietary exposure in the European population, maximum limits for this toxic contaminant in contaminants should drastically be lowered for all fertilisers, including organic ones</w:t>
      </w:r>
    </w:p>
    <w:p w:rsidR="00E451E4" w:rsidRPr="00E451E4"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1(Α) – παράγραφος 2 – έκτη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075D2C" w:rsidTr="000A61DD">
        <w:trPr>
          <w:jc w:val="center"/>
        </w:trPr>
        <w:tc>
          <w:tcPr>
            <w:tcW w:w="4876" w:type="dxa"/>
            <w:hideMark/>
          </w:tcPr>
          <w:p w:rsidR="00E451E4" w:rsidRPr="00AC4460" w:rsidRDefault="00E451E4" w:rsidP="000A61DD">
            <w:pPr>
              <w:pStyle w:val="Normal6"/>
            </w:pPr>
            <w:r w:rsidRPr="00AC4460">
              <w:t>-</w:t>
            </w:r>
            <w:r w:rsidRPr="00AC4460">
              <w:tab/>
              <w:t>Διουρία (C</w:t>
            </w:r>
            <w:r w:rsidRPr="00AC4460">
              <w:rPr>
                <w:vertAlign w:val="subscript"/>
              </w:rPr>
              <w:t>2</w:t>
            </w:r>
            <w:r w:rsidRPr="00AC4460">
              <w:t>H</w:t>
            </w:r>
            <w:r w:rsidRPr="00AC4460">
              <w:rPr>
                <w:vertAlign w:val="subscript"/>
              </w:rPr>
              <w:t>5</w:t>
            </w:r>
            <w:r w:rsidRPr="00AC4460">
              <w:t>N</w:t>
            </w:r>
            <w:r w:rsidRPr="00AC4460">
              <w:rPr>
                <w:vertAlign w:val="subscript"/>
              </w:rPr>
              <w:t>3</w:t>
            </w:r>
            <w:r w:rsidRPr="00AC4460">
              <w:t>O</w:t>
            </w:r>
            <w:r w:rsidRPr="00AC4460">
              <w:rPr>
                <w:vertAlign w:val="subscript"/>
              </w:rPr>
              <w:t>2</w:t>
            </w:r>
            <w:r w:rsidRPr="00AC4460">
              <w:t xml:space="preserve">) </w:t>
            </w:r>
            <w:r w:rsidRPr="00AC4460">
              <w:rPr>
                <w:b/>
                <w:i/>
              </w:rPr>
              <w:t>12 g/kg ξηράς ουσίας</w:t>
            </w:r>
            <w:r w:rsidRPr="00AC4460">
              <w:t>.</w:t>
            </w:r>
          </w:p>
        </w:tc>
        <w:tc>
          <w:tcPr>
            <w:tcW w:w="4876" w:type="dxa"/>
            <w:hideMark/>
          </w:tcPr>
          <w:p w:rsidR="00E451E4" w:rsidRPr="00AC4460" w:rsidRDefault="00E451E4" w:rsidP="000A61DD">
            <w:pPr>
              <w:pStyle w:val="Normal6"/>
              <w:rPr>
                <w:szCs w:val="24"/>
              </w:rPr>
            </w:pPr>
            <w:r w:rsidRPr="00AC4460">
              <w:t>-</w:t>
            </w:r>
            <w:r w:rsidRPr="00AC4460">
              <w:tab/>
              <w:t>Διουρία (C</w:t>
            </w:r>
            <w:r w:rsidRPr="00AC4460">
              <w:rPr>
                <w:vertAlign w:val="subscript"/>
              </w:rPr>
              <w:t>2</w:t>
            </w:r>
            <w:r w:rsidRPr="00AC4460">
              <w:t>H</w:t>
            </w:r>
            <w:r w:rsidRPr="00AC4460">
              <w:rPr>
                <w:vertAlign w:val="subscript"/>
              </w:rPr>
              <w:t>5</w:t>
            </w:r>
            <w:r w:rsidRPr="00AC4460">
              <w:t>N3O</w:t>
            </w:r>
            <w:r w:rsidRPr="00AC4460">
              <w:rPr>
                <w:vertAlign w:val="subscript"/>
              </w:rPr>
              <w:t>2</w:t>
            </w:r>
            <w:r w:rsidRPr="00AC4460">
              <w:t xml:space="preserve">) </w:t>
            </w:r>
            <w:r w:rsidRPr="00AC4460">
              <w:rPr>
                <w:b/>
                <w:i/>
              </w:rPr>
              <w:t>κάτω από το όριο ανίχνευσης</w:t>
            </w:r>
            <w:r w:rsidRPr="00AC4460">
              <w:t>.</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Είναι απαραίτητο να καθοριστεί ένα χαμηλό όριο για τη διουρία (χημικό σύμπλοκο που συναντάται στην ουρία) προκειμένου να αποφεύγονται οι δόλιες χρήσεις της ουρίας η οποία, λόγω της χαμηλής τιμής της, θα μπορούσε να χρησιμοποιηθεί ως υποκατάστατο της οργανικής ουσίας.</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1(Α) – παράγραφος 3</w:t>
      </w:r>
      <w:r>
        <w:rPr>
          <w:rStyle w:val="HideTWBExt"/>
          <w:b w:val="0"/>
          <w:noProof w:val="0"/>
        </w:rPr>
        <w:t>&lt;/</w:t>
      </w:r>
      <w:r>
        <w:rPr>
          <w:rStyle w:val="HideTWBExt"/>
          <w:b w:val="0"/>
          <w:noProof w:val="0"/>
          <w:lang w:val="fr-FR"/>
        </w:rPr>
        <w:t>Article</w:t>
      </w:r>
      <w:r>
        <w:rPr>
          <w:rStyle w:val="HideTWBExt"/>
          <w:b w:val="0"/>
          <w:noProof w:val="0"/>
        </w:rPr>
        <w:t>&gt;</w:t>
      </w:r>
    </w:p>
    <w:tbl>
      <w:tblPr>
        <w:tblW w:w="9780" w:type="dxa"/>
        <w:jc w:val="center"/>
        <w:tblLayout w:type="fixed"/>
        <w:tblCellMar>
          <w:left w:w="340" w:type="dxa"/>
          <w:right w:w="340" w:type="dxa"/>
        </w:tblCellMar>
        <w:tblLook w:val="04A0" w:firstRow="1" w:lastRow="0" w:firstColumn="1" w:lastColumn="0" w:noHBand="0" w:noVBand="1"/>
      </w:tblPr>
      <w:tblGrid>
        <w:gridCol w:w="3245"/>
        <w:gridCol w:w="774"/>
        <w:gridCol w:w="999"/>
        <w:gridCol w:w="828"/>
        <w:gridCol w:w="3934"/>
      </w:tblGrid>
      <w:tr w:rsidR="00E451E4" w:rsidRPr="009421FD" w:rsidTr="000A61DD">
        <w:trPr>
          <w:jc w:val="center"/>
        </w:trPr>
        <w:tc>
          <w:tcPr>
            <w:tcW w:w="9780" w:type="dxa"/>
            <w:gridSpan w:val="5"/>
          </w:tcPr>
          <w:p w:rsidR="00E451E4" w:rsidRPr="00E451E4" w:rsidRDefault="00E451E4" w:rsidP="000A61DD">
            <w:pPr>
              <w:keepNext/>
            </w:pPr>
          </w:p>
        </w:tc>
      </w:tr>
      <w:tr w:rsidR="00E451E4" w:rsidRPr="009421FD" w:rsidTr="000A61DD">
        <w:trPr>
          <w:jc w:val="center"/>
        </w:trPr>
        <w:tc>
          <w:tcPr>
            <w:tcW w:w="9780" w:type="dxa"/>
            <w:gridSpan w:val="5"/>
            <w:hideMark/>
          </w:tcPr>
          <w:p w:rsidR="00E451E4" w:rsidRPr="009421FD" w:rsidRDefault="00E451E4" w:rsidP="000A61DD">
            <w:pPr>
              <w:pStyle w:val="ColumnHeading"/>
              <w:jc w:val="left"/>
              <w:rPr>
                <w:iCs/>
              </w:rPr>
            </w:pPr>
            <w:r>
              <w:t>Κείμενο που προτείνει η Επιτροπή</w:t>
            </w:r>
          </w:p>
        </w:tc>
      </w:tr>
      <w:tr w:rsidR="00E451E4" w:rsidRPr="009421FD" w:rsidTr="000A61DD">
        <w:trPr>
          <w:jc w:val="center"/>
        </w:trPr>
        <w:tc>
          <w:tcPr>
            <w:tcW w:w="9780" w:type="dxa"/>
            <w:gridSpan w:val="5"/>
            <w:hideMark/>
          </w:tcPr>
          <w:p w:rsidR="00E451E4" w:rsidRPr="009421FD" w:rsidRDefault="00E451E4" w:rsidP="000A61DD">
            <w:pPr>
              <w:pStyle w:val="Normal6"/>
              <w:rPr>
                <w:b/>
                <w:bCs/>
                <w:i/>
                <w:iCs/>
              </w:rPr>
            </w:pPr>
            <w:r>
              <w:t>3.</w:t>
            </w:r>
            <w:r>
              <w:tab/>
            </w:r>
            <w:r>
              <w:rPr>
                <w:b/>
                <w:bCs/>
                <w:i/>
                <w:iCs/>
              </w:rPr>
              <w:t>Δεν ανευρίσκονται Salmonella spp. σε δείγμα βάρους 25 g του προϊόντος λίπανσης με σήμανση CE·</w:t>
            </w:r>
          </w:p>
        </w:tc>
      </w:tr>
      <w:tr w:rsidR="00E451E4" w:rsidRPr="00135F02" w:rsidTr="000A61DD">
        <w:trPr>
          <w:jc w:val="center"/>
        </w:trPr>
        <w:tc>
          <w:tcPr>
            <w:tcW w:w="9780" w:type="dxa"/>
            <w:gridSpan w:val="5"/>
            <w:hideMark/>
          </w:tcPr>
          <w:p w:rsidR="00E451E4" w:rsidRPr="00135F02" w:rsidRDefault="00E451E4" w:rsidP="000A61DD">
            <w:pPr>
              <w:pStyle w:val="ColumnHeading"/>
              <w:jc w:val="left"/>
              <w:rPr>
                <w:iCs/>
              </w:rPr>
            </w:pPr>
            <w:r>
              <w:t>Τροπολογία</w:t>
            </w:r>
          </w:p>
        </w:tc>
      </w:tr>
      <w:tr w:rsidR="00E451E4" w:rsidRPr="009421FD" w:rsidTr="000A61DD">
        <w:trPr>
          <w:jc w:val="center"/>
        </w:trPr>
        <w:tc>
          <w:tcPr>
            <w:tcW w:w="9780" w:type="dxa"/>
            <w:gridSpan w:val="5"/>
            <w:tcBorders>
              <w:bottom w:val="single" w:sz="4" w:space="0" w:color="auto"/>
            </w:tcBorders>
          </w:tcPr>
          <w:p w:rsidR="00E451E4" w:rsidRPr="009421FD" w:rsidRDefault="00E451E4" w:rsidP="000A61DD">
            <w:pPr>
              <w:pStyle w:val="Normal6"/>
            </w:pPr>
            <w:r>
              <w:t>3.</w:t>
            </w:r>
            <w:r>
              <w:tab/>
            </w:r>
            <w:r>
              <w:rPr>
                <w:b/>
                <w:bCs/>
                <w:i/>
                <w:iCs/>
              </w:rPr>
              <w:t>Δεν πρέπει να περιέχονται παθογόνοι παράγοντες στο οργανικό λίπασμα σε συγκέντρωση μεγαλύτερη των αντίστοιχων ορίων που καθορίζονται στον κατωτέρω πίνακα:</w:t>
            </w:r>
          </w:p>
        </w:tc>
      </w:tr>
      <w:tr w:rsidR="00E451E4" w:rsidRPr="00135F02"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Μικροοργανισμός προς έλεγχο</w:t>
            </w:r>
          </w:p>
        </w:tc>
        <w:tc>
          <w:tcPr>
            <w:tcW w:w="2601" w:type="dxa"/>
            <w:gridSpan w:val="3"/>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Σχέδια δειγματοληψίας</w:t>
            </w:r>
          </w:p>
        </w:tc>
        <w:tc>
          <w:tcPr>
            <w:tcW w:w="3934"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Όριο</w:t>
            </w:r>
          </w:p>
        </w:tc>
      </w:tr>
      <w:tr w:rsidR="00E451E4" w:rsidRPr="00135F02"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n</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m</w:t>
            </w:r>
          </w:p>
        </w:tc>
        <w:tc>
          <w:tcPr>
            <w:tcW w:w="3934"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M</w:t>
            </w:r>
          </w:p>
        </w:tc>
      </w:tr>
      <w:tr w:rsidR="00E451E4" w:rsidRPr="009421FD"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4"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135F02" w:rsidTr="000A61DD">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4"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1000 σε 1 g ή 1 ml</w:t>
            </w:r>
          </w:p>
        </w:tc>
      </w:tr>
      <w:tr w:rsidR="00E451E4" w:rsidRPr="009421FD" w:rsidTr="000A61DD">
        <w:trPr>
          <w:jc w:val="center"/>
        </w:trPr>
        <w:tc>
          <w:tcPr>
            <w:tcW w:w="9780" w:type="dxa"/>
            <w:gridSpan w:val="5"/>
            <w:tcBorders>
              <w:top w:val="single" w:sz="4" w:space="0" w:color="auto"/>
            </w:tcBorders>
          </w:tcPr>
          <w:p w:rsidR="00E451E4" w:rsidRPr="009421FD" w:rsidRDefault="00E451E4" w:rsidP="000A61DD">
            <w:pPr>
              <w:pStyle w:val="Normal6"/>
              <w:rPr>
                <w:b/>
                <w:bCs/>
                <w:i/>
                <w:iCs/>
              </w:rPr>
            </w:pPr>
            <w:r>
              <w:rPr>
                <w:b/>
                <w:bCs/>
                <w:i/>
                <w:iCs/>
              </w:rPr>
              <w:t>όπου n = ο αριθμός των προς έλεγχο δειγμάτων</w:t>
            </w:r>
          </w:p>
        </w:tc>
      </w:tr>
      <w:tr w:rsidR="00E451E4" w:rsidRPr="009421FD" w:rsidTr="000A61DD">
        <w:trPr>
          <w:jc w:val="center"/>
        </w:trPr>
        <w:tc>
          <w:tcPr>
            <w:tcW w:w="9780" w:type="dxa"/>
            <w:gridSpan w:val="5"/>
          </w:tcPr>
          <w:p w:rsidR="00E451E4" w:rsidRPr="009421FD" w:rsidRDefault="00E451E4" w:rsidP="000A61DD">
            <w:pPr>
              <w:pStyle w:val="Normal6"/>
              <w:rPr>
                <w:b/>
                <w:bCs/>
                <w:i/>
                <w:iCs/>
              </w:rPr>
            </w:pPr>
            <w:r>
              <w:rPr>
                <w:b/>
                <w:bCs/>
                <w:i/>
                <w:iCs/>
              </w:rPr>
              <w:t>c = ο αριθμός των δειγμάτων στα οποία ο αριθμός των βακτηρίων που εκφράζονται σε CFU κυμαίνεται μεταξύ m and M</w:t>
            </w:r>
          </w:p>
        </w:tc>
      </w:tr>
      <w:tr w:rsidR="00E451E4" w:rsidRPr="009421FD" w:rsidTr="000A61DD">
        <w:trPr>
          <w:jc w:val="center"/>
        </w:trPr>
        <w:tc>
          <w:tcPr>
            <w:tcW w:w="9780" w:type="dxa"/>
            <w:gridSpan w:val="5"/>
          </w:tcPr>
          <w:p w:rsidR="00E451E4" w:rsidRPr="009421FD" w:rsidRDefault="00E451E4" w:rsidP="000A61DD">
            <w:pPr>
              <w:pStyle w:val="Normal6"/>
              <w:rPr>
                <w:b/>
                <w:bCs/>
                <w:i/>
                <w:iCs/>
              </w:rPr>
            </w:pPr>
            <w:r>
              <w:rPr>
                <w:b/>
                <w:bCs/>
                <w:i/>
                <w:iCs/>
              </w:rPr>
              <w:t>m = κατώτατη τιμή για τον αριθμό των βακτηρίων που εκφράζονται σε CFU, η οποία θεωρείται ικανοποιητική</w:t>
            </w:r>
          </w:p>
        </w:tc>
      </w:tr>
      <w:tr w:rsidR="00E451E4" w:rsidRPr="009421FD" w:rsidTr="000A61DD">
        <w:trPr>
          <w:jc w:val="center"/>
        </w:trPr>
        <w:tc>
          <w:tcPr>
            <w:tcW w:w="9780" w:type="dxa"/>
            <w:gridSpan w:val="5"/>
          </w:tcPr>
          <w:p w:rsidR="00E451E4" w:rsidRPr="009421FD" w:rsidRDefault="00E451E4" w:rsidP="000A61DD">
            <w:pPr>
              <w:pStyle w:val="Normal6"/>
              <w:rPr>
                <w:b/>
                <w:bCs/>
                <w:i/>
                <w:iCs/>
              </w:rPr>
            </w:pPr>
            <w:r>
              <w:rPr>
                <w:b/>
                <w:bCs/>
                <w:i/>
                <w:iCs/>
              </w:rPr>
              <w:t>Μ= μέγιστη τιμή για τον αριθμό βακτηρίων που εκφράζονται σε CFU</w:t>
            </w:r>
          </w:p>
        </w:tc>
      </w:tr>
      <w:tr w:rsidR="00E451E4" w:rsidRPr="009421FD" w:rsidTr="000A61DD">
        <w:trPr>
          <w:jc w:val="center"/>
        </w:trPr>
        <w:tc>
          <w:tcPr>
            <w:tcW w:w="9780" w:type="dxa"/>
            <w:gridSpan w:val="5"/>
          </w:tcPr>
          <w:p w:rsidR="00E451E4" w:rsidRPr="009421FD" w:rsidRDefault="00E451E4" w:rsidP="000A61DD">
            <w:pPr>
              <w:pStyle w:val="Normal6"/>
              <w:rPr>
                <w:b/>
                <w:bCs/>
                <w:i/>
                <w:iCs/>
              </w:rPr>
            </w:pPr>
            <w:r>
              <w:rPr>
                <w:b/>
                <w:i/>
                <w:szCs w:val="24"/>
              </w:rPr>
              <w:t>Τα παράσιτα Ascaris spp. και Toxocara spp., σε όλα τα στάδια της ανάπτυξής τους, δεν πρέπει να περιέχονται σε 100g ή 100ml του οργανικού λιπάσματος.</w:t>
            </w:r>
          </w:p>
        </w:tc>
      </w:tr>
    </w:tbl>
    <w:p w:rsidR="00E451E4" w:rsidRPr="009421FD" w:rsidRDefault="00E451E4" w:rsidP="000A61DD">
      <w:pPr>
        <w:rPr>
          <w:rStyle w:val="HideTWBExt"/>
          <w:b/>
          <w:noProof w:val="0"/>
        </w:rPr>
      </w:pPr>
      <w:r>
        <w:rPr>
          <w:rStyle w:val="HideTWBExt"/>
          <w:noProof w:val="0"/>
        </w:rPr>
        <w:t>&lt;/</w:t>
      </w:r>
      <w:r>
        <w:rPr>
          <w:rStyle w:val="HideTWBExt"/>
          <w:noProof w:val="0"/>
          <w:lang w:val="en-GB"/>
        </w:rPr>
        <w:t>Amend</w:t>
      </w:r>
      <w:r>
        <w:rPr>
          <w:rStyle w:val="HideTWBExt"/>
          <w:noProof w:val="0"/>
        </w:rPr>
        <w:t>&gt;</w:t>
      </w:r>
    </w:p>
    <w:p w:rsidR="00E451E4" w:rsidRPr="00E451E4" w:rsidRDefault="00E451E4" w:rsidP="000A61DD">
      <w:pPr>
        <w:pStyle w:val="AMNumberTabs"/>
        <w:keepNext/>
      </w:pP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&lt;Article&gt;</w:t>
      </w:r>
      <w:r w:rsidRPr="00AC4460">
        <w:t>Παράρτημα I – μέρος ΙΙ – ΚΛΠ 1(Α) (Ι) – παράγραφος 1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B20D1" w:rsidTr="000A61DD">
        <w:trPr>
          <w:jc w:val="center"/>
        </w:trPr>
        <w:tc>
          <w:tcPr>
            <w:tcW w:w="9752" w:type="dxa"/>
            <w:gridSpan w:val="2"/>
          </w:tcPr>
          <w:p w:rsidR="00E451E4" w:rsidRPr="000B20D1"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Το προϊόν λίπανσης με σήμανση CE περιέχει τουλάχιστον ένα από τα ακόλουθα δηλούμενα θρεπτικά στοιχεία: άζωτο (N), πεντοξείδιο του φωσφόρου (P</w:t>
            </w:r>
            <w:r w:rsidRPr="00AC4460">
              <w:rPr>
                <w:b/>
                <w:i/>
                <w:vertAlign w:val="subscript"/>
              </w:rPr>
              <w:t>2</w:t>
            </w:r>
            <w:r w:rsidRPr="00AC4460">
              <w:rPr>
                <w:b/>
                <w:i/>
              </w:rPr>
              <w:t>O</w:t>
            </w:r>
            <w:r w:rsidRPr="00AC4460">
              <w:rPr>
                <w:b/>
                <w:i/>
                <w:vertAlign w:val="subscript"/>
              </w:rPr>
              <w:t>5</w:t>
            </w:r>
            <w:r w:rsidRPr="00AC4460">
              <w:rPr>
                <w:b/>
                <w:i/>
              </w:rPr>
              <w:t>) ή οξείδιο του καλίου (K</w:t>
            </w:r>
            <w:r w:rsidRPr="00AC4460">
              <w:rPr>
                <w:b/>
                <w:i/>
                <w:vertAlign w:val="subscript"/>
              </w:rPr>
              <w:t>2</w:t>
            </w:r>
            <w:r w:rsidRPr="00AC4460">
              <w:rPr>
                <w:b/>
                <w:i/>
              </w:rPr>
              <w:t>O).</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Παράρτημα I – μέρος ΙΙ – ΚΛΠ 1(Α) (ΙΙ) – παράγραφος 1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Το προϊόν λίπανσης με σήμανση CE περιέχει τουλάχιστον ένα από τα ακόλουθα δηλούμενα θρεπτικά στοιχεία: άζωτο (N), πεντοξείδιο του φωσφόρου (P</w:t>
            </w:r>
            <w:r w:rsidRPr="00AC4460">
              <w:rPr>
                <w:b/>
                <w:i/>
                <w:vertAlign w:val="subscript"/>
              </w:rPr>
              <w:t>2</w:t>
            </w:r>
            <w:r w:rsidRPr="00AC4460">
              <w:rPr>
                <w:b/>
                <w:i/>
              </w:rPr>
              <w:t>O</w:t>
            </w:r>
            <w:r w:rsidRPr="00AC4460">
              <w:rPr>
                <w:b/>
                <w:i/>
                <w:vertAlign w:val="subscript"/>
              </w:rPr>
              <w:t>5</w:t>
            </w:r>
            <w:r w:rsidRPr="00AC4460">
              <w:rPr>
                <w:b/>
                <w:i/>
              </w:rPr>
              <w:t>) ή οξείδιο του καλίου (K</w:t>
            </w:r>
            <w:r w:rsidRPr="00AC4460">
              <w:rPr>
                <w:b/>
                <w:i/>
                <w:vertAlign w:val="subscript"/>
              </w:rPr>
              <w:t>2</w:t>
            </w:r>
            <w:r w:rsidRPr="00AC4460">
              <w:rPr>
                <w:b/>
                <w:i/>
              </w:rPr>
              <w:t>O).</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1(Α) (II)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ολικό άζωτο (N) </w:t>
            </w:r>
            <w:r w:rsidRPr="00AC4460">
              <w:rPr>
                <w:b/>
                <w:i/>
              </w:rPr>
              <w:t>2</w:t>
            </w:r>
            <w:r w:rsidRPr="00AC4460">
              <w:t>% κατά μάζα,</w:t>
            </w:r>
          </w:p>
        </w:tc>
        <w:tc>
          <w:tcPr>
            <w:tcW w:w="4876" w:type="dxa"/>
          </w:tcPr>
          <w:p w:rsidR="00E451E4" w:rsidRPr="00AC4460" w:rsidRDefault="00E451E4" w:rsidP="000A61DD">
            <w:pPr>
              <w:pStyle w:val="Normal6"/>
            </w:pPr>
            <w:r w:rsidRPr="00AC4460">
              <w:t>-</w:t>
            </w:r>
            <w:r w:rsidRPr="00AC4460">
              <w:tab/>
              <w:t xml:space="preserve">ολικό άζωτο (Ν) </w:t>
            </w:r>
            <w:r w:rsidRPr="00AC4460">
              <w:rPr>
                <w:b/>
                <w:i/>
              </w:rPr>
              <w:t>1</w:t>
            </w:r>
            <w:r w:rsidRPr="00AC4460">
              <w:t>% κατά μάζα,</w:t>
            </w:r>
            <w:r w:rsidRPr="00AC4460">
              <w:rPr>
                <w:b/>
                <w:i/>
              </w:rPr>
              <w:t xml:space="preserve"> και/ή</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1(Α) (II) – παράγραφος 2 – δεύτερη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xml:space="preserve">) </w:t>
            </w:r>
            <w:r w:rsidRPr="00AC4460">
              <w:rPr>
                <w:b/>
                <w:i/>
              </w:rPr>
              <w:t>1</w:t>
            </w:r>
            <w:r w:rsidRPr="00AC4460">
              <w:t>% κατά μάζα, ή</w:t>
            </w:r>
          </w:p>
        </w:tc>
        <w:tc>
          <w:tcPr>
            <w:tcW w:w="4876" w:type="dxa"/>
          </w:tcPr>
          <w:p w:rsidR="00E451E4" w:rsidRPr="00AC4460" w:rsidRDefault="00E451E4" w:rsidP="000A61DD">
            <w:pPr>
              <w:pStyle w:val="Normal6"/>
            </w:pPr>
            <w:r w:rsidRPr="00AC4460">
              <w:t>-</w:t>
            </w:r>
            <w:r w:rsidRPr="00AC4460">
              <w:tab/>
              <w:t>ολικό πεντοξείδιο του φωσφόρου (P</w:t>
            </w:r>
            <w:r w:rsidRPr="00AC4460">
              <w:rPr>
                <w:vertAlign w:val="subscript"/>
              </w:rPr>
              <w:t>2</w:t>
            </w:r>
            <w:r w:rsidRPr="00AC4460">
              <w:t>O</w:t>
            </w:r>
            <w:r w:rsidRPr="00AC4460">
              <w:rPr>
                <w:vertAlign w:val="subscript"/>
              </w:rPr>
              <w:t>5</w:t>
            </w:r>
            <w:r w:rsidRPr="00AC4460">
              <w:t xml:space="preserve">) </w:t>
            </w:r>
            <w:r w:rsidRPr="00AC4460">
              <w:rPr>
                <w:b/>
                <w:i/>
              </w:rPr>
              <w:t>0,5</w:t>
            </w:r>
            <w:r w:rsidRPr="00AC4460">
              <w:t xml:space="preserve">% κατά μάζα, </w:t>
            </w:r>
            <w:r w:rsidRPr="00AC4460">
              <w:rPr>
                <w:b/>
                <w:i/>
              </w:rPr>
              <w:t>και/</w:t>
            </w:r>
            <w:r w:rsidRPr="00AC4460">
              <w:t>ή</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1(Β)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w:t>
            </w:r>
            <w:r w:rsidRPr="00AC4460">
              <w:tab/>
              <w:t xml:space="preserve">Ένα οργανοανόργανο λίπασμα είναι συνδυασμένο παρασκεύασμα από </w:t>
            </w:r>
          </w:p>
        </w:tc>
        <w:tc>
          <w:tcPr>
            <w:tcW w:w="4876" w:type="dxa"/>
          </w:tcPr>
          <w:p w:rsidR="00E451E4" w:rsidRPr="00AC4460" w:rsidRDefault="00E451E4" w:rsidP="000A61DD">
            <w:pPr>
              <w:pStyle w:val="Normal6"/>
            </w:pPr>
            <w:r w:rsidRPr="00AC4460">
              <w:t>1.</w:t>
            </w:r>
            <w:r w:rsidRPr="00AC4460">
              <w:tab/>
              <w:t xml:space="preserve">Ένα οργανοανόργανο λίπασμα είναι συνδυασμένο παρασκεύασμα από </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w:t>
            </w:r>
            <w:r w:rsidRPr="00AC4460">
              <w:rPr>
                <w:szCs w:val="24"/>
              </w:rPr>
              <w:tab/>
              <w:t>ένα ή περισσότερα ανόργανα λιπάσματα, όπως ορίζονται στην ΚΛΠ 1(Γ) παρακάτω, και</w:t>
            </w:r>
          </w:p>
        </w:tc>
        <w:tc>
          <w:tcPr>
            <w:tcW w:w="4876" w:type="dxa"/>
          </w:tcPr>
          <w:p w:rsidR="00E451E4" w:rsidRPr="00AC4460" w:rsidRDefault="00E451E4" w:rsidP="000A61DD">
            <w:pPr>
              <w:pStyle w:val="Normal6"/>
            </w:pPr>
            <w:r w:rsidRPr="00AC4460">
              <w:rPr>
                <w:szCs w:val="24"/>
              </w:rPr>
              <w:t>–</w:t>
            </w:r>
            <w:r w:rsidRPr="00AC4460">
              <w:rPr>
                <w:szCs w:val="24"/>
              </w:rPr>
              <w:tab/>
              <w:t>ένα ή περισσότερα ανόργανα λιπάσματα, όπως ορίζονται στην ΚΛΠ 1(Γ) παρακάτω, και</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w:t>
            </w:r>
            <w:r w:rsidRPr="00AC4460">
              <w:rPr>
                <w:szCs w:val="24"/>
              </w:rPr>
              <w:tab/>
              <w:t xml:space="preserve">ένα </w:t>
            </w:r>
            <w:r w:rsidRPr="00AC4460">
              <w:rPr>
                <w:b/>
                <w:i/>
                <w:szCs w:val="24"/>
              </w:rPr>
              <w:t>υλικό</w:t>
            </w:r>
            <w:r w:rsidRPr="00AC4460">
              <w:rPr>
                <w:szCs w:val="24"/>
              </w:rPr>
              <w:t xml:space="preserve"> που </w:t>
            </w:r>
            <w:r w:rsidRPr="00AC4460">
              <w:rPr>
                <w:b/>
                <w:i/>
                <w:szCs w:val="24"/>
              </w:rPr>
              <w:t>περιέχει</w:t>
            </w:r>
            <w:r w:rsidRPr="00AC4460">
              <w:rPr>
                <w:szCs w:val="24"/>
              </w:rPr>
              <w:t xml:space="preserve"> οργανικό άνθρακα (</w:t>
            </w:r>
            <w:r w:rsidRPr="00AC4460">
              <w:rPr>
                <w:b/>
                <w:i/>
                <w:szCs w:val="24"/>
              </w:rPr>
              <w:t>C</w:t>
            </w:r>
            <w:r w:rsidRPr="00AC4460">
              <w:rPr>
                <w:szCs w:val="24"/>
              </w:rPr>
              <w:t>) και</w:t>
            </w:r>
          </w:p>
        </w:tc>
        <w:tc>
          <w:tcPr>
            <w:tcW w:w="4876" w:type="dxa"/>
          </w:tcPr>
          <w:p w:rsidR="00E451E4" w:rsidRPr="00AC4460" w:rsidRDefault="00E451E4" w:rsidP="000A61DD">
            <w:pPr>
              <w:pStyle w:val="Normal6"/>
            </w:pPr>
            <w:r w:rsidRPr="00AC4460">
              <w:rPr>
                <w:szCs w:val="24"/>
              </w:rPr>
              <w:t>–</w:t>
            </w:r>
            <w:r w:rsidRPr="00AC4460">
              <w:rPr>
                <w:szCs w:val="24"/>
              </w:rPr>
              <w:tab/>
              <w:t xml:space="preserve">ένα </w:t>
            </w:r>
            <w:r w:rsidRPr="00AC4460">
              <w:rPr>
                <w:b/>
                <w:i/>
                <w:szCs w:val="24"/>
              </w:rPr>
              <w:t>ή περισσότερα υλικά</w:t>
            </w:r>
            <w:r w:rsidRPr="00AC4460">
              <w:rPr>
                <w:szCs w:val="24"/>
              </w:rPr>
              <w:t xml:space="preserve"> που </w:t>
            </w:r>
            <w:r w:rsidRPr="00AC4460">
              <w:rPr>
                <w:b/>
                <w:i/>
                <w:szCs w:val="24"/>
              </w:rPr>
              <w:t>περιέχουν</w:t>
            </w:r>
            <w:r w:rsidRPr="00AC4460">
              <w:rPr>
                <w:szCs w:val="24"/>
              </w:rPr>
              <w:t xml:space="preserve"> οργανικό άνθρακα (</w:t>
            </w:r>
            <w:r w:rsidRPr="00AC4460">
              <w:rPr>
                <w:b/>
                <w:i/>
                <w:szCs w:val="24"/>
              </w:rPr>
              <w:t>Corg</w:t>
            </w:r>
            <w:r w:rsidRPr="00AC4460">
              <w:rPr>
                <w:szCs w:val="24"/>
              </w:rPr>
              <w:t>) και</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w:t>
            </w:r>
            <w:r w:rsidRPr="00AC4460">
              <w:rPr>
                <w:szCs w:val="24"/>
              </w:rPr>
              <w:tab/>
              <w:t xml:space="preserve">θρεπτικά συστατικά αποκλειστικά βιολογικής προέλευσης, εξαιρουμένων </w:t>
            </w:r>
            <w:r w:rsidRPr="00AC4460">
              <w:rPr>
                <w:b/>
                <w:i/>
                <w:szCs w:val="24"/>
              </w:rPr>
              <w:t>των</w:t>
            </w:r>
            <w:r w:rsidRPr="00AC4460">
              <w:rPr>
                <w:szCs w:val="24"/>
              </w:rPr>
              <w:t xml:space="preserve"> απολιθωμένων ή ενσωματωμένων σε γεωλογικούς σχηματισμούς υλικών.</w:t>
            </w:r>
          </w:p>
        </w:tc>
        <w:tc>
          <w:tcPr>
            <w:tcW w:w="4876" w:type="dxa"/>
          </w:tcPr>
          <w:p w:rsidR="00E451E4" w:rsidRPr="00AC4460" w:rsidRDefault="00E451E4" w:rsidP="000A61DD">
            <w:pPr>
              <w:pStyle w:val="Normal6"/>
            </w:pPr>
            <w:r w:rsidRPr="00AC4460">
              <w:rPr>
                <w:szCs w:val="24"/>
              </w:rPr>
              <w:t>–</w:t>
            </w:r>
            <w:r w:rsidRPr="00AC4460">
              <w:rPr>
                <w:szCs w:val="24"/>
              </w:rPr>
              <w:tab/>
              <w:t xml:space="preserve">θρεπτικά συστατικά αποκλειστικά βιολογικής προέλευσης, </w:t>
            </w:r>
            <w:r w:rsidRPr="00AC4460">
              <w:rPr>
                <w:b/>
                <w:i/>
                <w:szCs w:val="24"/>
              </w:rPr>
              <w:t xml:space="preserve">όπως η τύρφη, συμπεριλαμβανομένου του λεοναρδίτη, του λιγνίτη και ουσιών που λαμβάνονται από τα υλικά αυτά, </w:t>
            </w:r>
            <w:r w:rsidRPr="00AC4460">
              <w:rPr>
                <w:szCs w:val="24"/>
              </w:rPr>
              <w:t xml:space="preserve">εξαιρουμένων </w:t>
            </w:r>
            <w:r w:rsidRPr="00AC4460">
              <w:rPr>
                <w:b/>
                <w:i/>
                <w:szCs w:val="24"/>
              </w:rPr>
              <w:t>όμως άλλων</w:t>
            </w:r>
            <w:r w:rsidRPr="00AC4460">
              <w:rPr>
                <w:szCs w:val="24"/>
              </w:rPr>
              <w:t xml:space="preserve"> απολιθωμένων ή ενσωματωμένων σε γεωλογικούς σχηματισμούς υλικών.</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1(Β) – παράγραφος 3 – στοιχείο 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w:t>
            </w:r>
            <w:r w:rsidRPr="00AC4460">
              <w:tab/>
              <w:t>Όταν το προϊόν λίπανσης με σήμανση CE έχει περιεκτικότητα σε ολικό φώσφορο (P) χαμηλότερη του 5 % κατά μάζα σε ισοδύναμα πεντοξειδίου του φωσφόρου (P</w:t>
            </w:r>
            <w:r w:rsidRPr="00AC4460">
              <w:rPr>
                <w:vertAlign w:val="subscript"/>
              </w:rPr>
              <w:t>2</w:t>
            </w:r>
            <w:r w:rsidRPr="00AC4460">
              <w:t>O</w:t>
            </w:r>
            <w:r w:rsidRPr="00AC4460">
              <w:rPr>
                <w:vertAlign w:val="subscript"/>
              </w:rPr>
              <w:t>5</w:t>
            </w:r>
            <w:r w:rsidRPr="00AC4460">
              <w:t>): 3 mg/kg ξηράς ουσίας, ή</w:t>
            </w:r>
          </w:p>
        </w:tc>
        <w:tc>
          <w:tcPr>
            <w:tcW w:w="4876" w:type="dxa"/>
          </w:tcPr>
          <w:p w:rsidR="00E451E4" w:rsidRPr="00AC4460" w:rsidRDefault="00E451E4" w:rsidP="000A61DD">
            <w:pPr>
              <w:pStyle w:val="Normal6"/>
              <w:rPr>
                <w:szCs w:val="24"/>
              </w:rPr>
            </w:pPr>
            <w:r w:rsidRPr="00AC4460">
              <w:t>(1)</w:t>
            </w:r>
            <w:r w:rsidRPr="00AC4460">
              <w:tab/>
              <w:t>Όταν το προϊόν λίπανσης με σήμανση CE έχει περιεκτικότητα σε ολικό φώσφορο (P) χαμηλότερη του 5 % κατά μάζα σε ισοδύναμα πεντοξειδίου του φωσφόρου (P</w:t>
            </w:r>
            <w:r w:rsidRPr="00AC4460">
              <w:rPr>
                <w:vertAlign w:val="subscript"/>
              </w:rPr>
              <w:t>2</w:t>
            </w:r>
            <w:r w:rsidRPr="00AC4460">
              <w:t>O</w:t>
            </w:r>
            <w:r w:rsidRPr="00AC4460">
              <w:rPr>
                <w:vertAlign w:val="subscript"/>
              </w:rPr>
              <w:t>5</w:t>
            </w:r>
            <w:r w:rsidRPr="00AC4460">
              <w:t>): 3 mg/kg ξηράς ουσίας, ή</w:t>
            </w:r>
          </w:p>
        </w:tc>
      </w:tr>
      <w:tr w:rsidR="00E451E4" w:rsidRPr="009421FD" w:rsidTr="000A61DD">
        <w:trPr>
          <w:jc w:val="center"/>
        </w:trPr>
        <w:tc>
          <w:tcPr>
            <w:tcW w:w="4876" w:type="dxa"/>
          </w:tcPr>
          <w:p w:rsidR="00E451E4" w:rsidRPr="00AC4460" w:rsidRDefault="00E451E4" w:rsidP="000A61DD">
            <w:pPr>
              <w:pStyle w:val="Normal6"/>
            </w:pPr>
            <w:r w:rsidRPr="00AC4460">
              <w:t xml:space="preserve">(2) </w:t>
            </w:r>
            <w:r w:rsidRPr="00AC4460">
              <w:tab/>
              <w:t>Όταν το προϊόν λίπανσης με σήμανση CE έχει περιεκτικότητα σε ολικό φώσφορο (P) χαμηλότερη του 5 % κατά μάζα σε ισοδύναμα πεντοξειδίου του φωσφόρου (P</w:t>
            </w:r>
            <w:r w:rsidRPr="00AC4460">
              <w:rPr>
                <w:vertAlign w:val="subscript"/>
              </w:rPr>
              <w:t>2</w:t>
            </w:r>
            <w:r w:rsidRPr="00AC4460">
              <w:t>O</w:t>
            </w:r>
            <w:r w:rsidRPr="00AC4460">
              <w:rPr>
                <w:vertAlign w:val="subscript"/>
              </w:rPr>
              <w:t>5</w:t>
            </w:r>
            <w:r w:rsidRPr="00AC4460">
              <w:t>) («φωσφορικό λίπασμα»):</w:t>
            </w:r>
          </w:p>
        </w:tc>
        <w:tc>
          <w:tcPr>
            <w:tcW w:w="4876" w:type="dxa"/>
          </w:tcPr>
          <w:p w:rsidR="00E451E4" w:rsidRPr="00AC4460" w:rsidRDefault="00E451E4" w:rsidP="000A61DD">
            <w:pPr>
              <w:pStyle w:val="Normal6"/>
              <w:rPr>
                <w:szCs w:val="24"/>
              </w:rPr>
            </w:pPr>
            <w:r w:rsidRPr="00AC4460">
              <w:rPr>
                <w:szCs w:val="24"/>
              </w:rPr>
              <w:t xml:space="preserve">(2) </w:t>
            </w:r>
            <w:r w:rsidRPr="00AC4460">
              <w:rPr>
                <w:szCs w:val="24"/>
              </w:rPr>
              <w:tab/>
            </w:r>
            <w:r w:rsidRPr="00AC4460">
              <w:t>Όταν το προϊόν λίπανσης με σήμανση CE έχει περιεκτικότητα σε ολικό φώσφορο (P) χαμηλότερη του 5 % κατά μάζα σε ισοδύναμα πεντοξειδίου του φωσφόρου</w:t>
            </w:r>
            <w:r w:rsidRPr="00AC4460">
              <w:rPr>
                <w:szCs w:val="24"/>
              </w:rPr>
              <w:t xml:space="preserve"> </w:t>
            </w:r>
            <w:r w:rsidRPr="00AC4460">
              <w:t>(P</w:t>
            </w:r>
            <w:r w:rsidRPr="00AC4460">
              <w:rPr>
                <w:vertAlign w:val="subscript"/>
              </w:rPr>
              <w:t>2</w:t>
            </w:r>
            <w:r w:rsidRPr="00AC4460">
              <w:t>O</w:t>
            </w:r>
            <w:r w:rsidRPr="00AC4460">
              <w:rPr>
                <w:vertAlign w:val="subscript"/>
              </w:rPr>
              <w:t>5</w:t>
            </w:r>
            <w:r w:rsidRPr="00AC4460">
              <w:rPr>
                <w:szCs w:val="24"/>
              </w:rPr>
              <w:t>) («φωσφορικό λίπασμα»):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Από την </w:t>
            </w:r>
            <w:r w:rsidRPr="00AC4460">
              <w:rPr>
                <w:b/>
                <w:i/>
              </w:rPr>
              <w:t>[Publications office</w:t>
            </w:r>
            <w:r w:rsidRPr="00AC4460">
              <w:t xml:space="preserve">, </w:t>
            </w:r>
            <w:r w:rsidRPr="00AC4460">
              <w:rPr>
                <w:b/>
                <w:i/>
              </w:rPr>
              <w:t>please insert the date of application of this Regulation]</w:t>
            </w:r>
            <w:r w:rsidRPr="00AC4460">
              <w:t>: πεντοξείδιο του φωσφόρου (P</w:t>
            </w:r>
            <w:r w:rsidRPr="00AC4460">
              <w:rPr>
                <w:vertAlign w:val="subscript"/>
              </w:rPr>
              <w:t>2</w:t>
            </w:r>
            <w:r w:rsidRPr="00AC4460">
              <w:t>O</w:t>
            </w:r>
            <w:r w:rsidRPr="00AC4460">
              <w:rPr>
                <w:vertAlign w:val="subscript"/>
              </w:rPr>
              <w:t>5</w:t>
            </w:r>
            <w:r w:rsidRPr="00AC4460">
              <w:t>) 60 mg/kg,</w:t>
            </w:r>
          </w:p>
        </w:tc>
        <w:tc>
          <w:tcPr>
            <w:tcW w:w="4876" w:type="dxa"/>
          </w:tcPr>
          <w:p w:rsidR="00E451E4" w:rsidRPr="00AC4460" w:rsidRDefault="00E451E4" w:rsidP="000A61DD">
            <w:pPr>
              <w:pStyle w:val="Normal6"/>
            </w:pPr>
            <w:r w:rsidRPr="00AC4460">
              <w:t>-</w:t>
            </w:r>
            <w:r w:rsidRPr="00AC4460">
              <w:tab/>
              <w:t xml:space="preserve">Από την </w:t>
            </w:r>
            <w:r w:rsidRPr="00AC4460">
              <w:rPr>
                <w:b/>
                <w:i/>
              </w:rPr>
              <w:t>[Υπηρεσία Εκδόσεων</w:t>
            </w:r>
            <w:r w:rsidRPr="00AC4460">
              <w:t xml:space="preserve">, </w:t>
            </w:r>
            <w:r w:rsidRPr="00AC4460">
              <w:rPr>
                <w:b/>
                <w:i/>
              </w:rPr>
              <w:t>εισάγετε την ημερομηνία έναρξης εφαρμογής του παρόντος κανονισμού]</w:t>
            </w:r>
            <w:r w:rsidRPr="00AC4460">
              <w:t>: πεντοξείδιο του φωσφόρου (P</w:t>
            </w:r>
            <w:r w:rsidRPr="00AC4460">
              <w:rPr>
                <w:vertAlign w:val="subscript"/>
              </w:rPr>
              <w:t>2</w:t>
            </w:r>
            <w:r w:rsidRPr="00AC4460">
              <w:t>O</w:t>
            </w:r>
            <w:r w:rsidRPr="00AC4460">
              <w:rPr>
                <w:vertAlign w:val="subscript"/>
              </w:rPr>
              <w:t>5</w:t>
            </w:r>
            <w:r w:rsidRPr="00AC4460">
              <w:t>) 60 mg/kg,</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Από την </w:t>
            </w:r>
            <w:r w:rsidRPr="00AC4460">
              <w:rPr>
                <w:b/>
                <w:i/>
              </w:rPr>
              <w:t>[Publications office</w:t>
            </w:r>
            <w:r w:rsidRPr="00AC4460">
              <w:t xml:space="preserve">, </w:t>
            </w:r>
            <w:r w:rsidRPr="00AC4460">
              <w:rPr>
                <w:b/>
                <w:i/>
              </w:rPr>
              <w:t>please insert the date occurring three years after the date of application of this Regulation]</w:t>
            </w:r>
            <w:r w:rsidRPr="00AC4460">
              <w:t>: πεντοξείδιο του φωσφόρου (P</w:t>
            </w:r>
            <w:r w:rsidRPr="00AC4460">
              <w:rPr>
                <w:vertAlign w:val="subscript"/>
              </w:rPr>
              <w:t>2</w:t>
            </w:r>
            <w:r w:rsidRPr="00AC4460">
              <w:t>O</w:t>
            </w:r>
            <w:r w:rsidRPr="00AC4460">
              <w:rPr>
                <w:vertAlign w:val="subscript"/>
              </w:rPr>
              <w:t>5</w:t>
            </w:r>
            <w:r w:rsidRPr="00AC4460">
              <w:t>) 40 mg/kg, και</w:t>
            </w:r>
          </w:p>
        </w:tc>
        <w:tc>
          <w:tcPr>
            <w:tcW w:w="4876" w:type="dxa"/>
          </w:tcPr>
          <w:p w:rsidR="00E451E4" w:rsidRPr="00AC4460" w:rsidRDefault="00E451E4" w:rsidP="000A61DD">
            <w:pPr>
              <w:pStyle w:val="Normal6"/>
            </w:pPr>
            <w:r w:rsidRPr="00AC4460">
              <w:t>-</w:t>
            </w:r>
            <w:r w:rsidRPr="00AC4460">
              <w:tab/>
              <w:t xml:space="preserve">Από την </w:t>
            </w:r>
            <w:r w:rsidRPr="00AC4460">
              <w:rPr>
                <w:b/>
                <w:i/>
              </w:rPr>
              <w:t>[Υπηρεσία Εκδόσεων</w:t>
            </w:r>
            <w:r w:rsidRPr="00AC4460">
              <w:t xml:space="preserve">, </w:t>
            </w:r>
            <w:r w:rsidRPr="00AC4460">
              <w:rPr>
                <w:b/>
                <w:i/>
              </w:rPr>
              <w:t>εισάγετε την ημερομηνία που αντιστοιχεί στην πάροδο τριών ετών από την ημερομηνία έναρξης εφαρμογής του παρόντος κανονισμού]</w:t>
            </w:r>
            <w:r w:rsidRPr="00AC4460">
              <w:t>: πεντοξείδιο του φωσφόρου (P</w:t>
            </w:r>
            <w:r w:rsidRPr="00AC4460">
              <w:rPr>
                <w:vertAlign w:val="subscript"/>
              </w:rPr>
              <w:t>2</w:t>
            </w:r>
            <w:r w:rsidRPr="00AC4460">
              <w:t>O</w:t>
            </w:r>
            <w:r w:rsidRPr="00AC4460">
              <w:rPr>
                <w:vertAlign w:val="subscript"/>
              </w:rPr>
              <w:t>5</w:t>
            </w:r>
            <w:r w:rsidRPr="00AC4460">
              <w:t>) 40 mg/kg, και</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Από την </w:t>
            </w:r>
            <w:r w:rsidRPr="00AC4460">
              <w:rPr>
                <w:b/>
                <w:i/>
              </w:rPr>
              <w:t>[Publications office</w:t>
            </w:r>
            <w:r w:rsidRPr="00AC4460">
              <w:t xml:space="preserve">, </w:t>
            </w:r>
            <w:r w:rsidRPr="00AC4460">
              <w:rPr>
                <w:b/>
                <w:i/>
              </w:rPr>
              <w:t>please insert the date occurring twelve years after the date of application of this Regulation]</w:t>
            </w:r>
            <w:r w:rsidRPr="00AC4460">
              <w:t>: πεντοξείδιο του φωσφόρου (P</w:t>
            </w:r>
            <w:r w:rsidRPr="00AC4460">
              <w:rPr>
                <w:vertAlign w:val="subscript"/>
              </w:rPr>
              <w:t>2</w:t>
            </w:r>
            <w:r w:rsidRPr="00AC4460">
              <w:t>O</w:t>
            </w:r>
            <w:r w:rsidRPr="00AC4460">
              <w:rPr>
                <w:vertAlign w:val="subscript"/>
              </w:rPr>
              <w:t>5</w:t>
            </w:r>
            <w:r w:rsidRPr="00AC4460">
              <w:t>) 20 mg/kg,</w:t>
            </w:r>
          </w:p>
        </w:tc>
        <w:tc>
          <w:tcPr>
            <w:tcW w:w="4876" w:type="dxa"/>
          </w:tcPr>
          <w:p w:rsidR="00E451E4" w:rsidRPr="00AC4460" w:rsidRDefault="00E451E4" w:rsidP="000A61DD">
            <w:pPr>
              <w:pStyle w:val="Normal6"/>
            </w:pPr>
            <w:r w:rsidRPr="00AC4460">
              <w:t>-</w:t>
            </w:r>
            <w:r w:rsidRPr="00AC4460">
              <w:tab/>
              <w:t xml:space="preserve">Από την </w:t>
            </w:r>
            <w:r w:rsidRPr="00AC4460">
              <w:rPr>
                <w:b/>
                <w:i/>
              </w:rPr>
              <w:t>[Υπηρεσία Εκδόσεων</w:t>
            </w:r>
            <w:r w:rsidRPr="00AC4460">
              <w:t xml:space="preserve">, </w:t>
            </w:r>
            <w:r w:rsidRPr="00AC4460">
              <w:rPr>
                <w:b/>
                <w:i/>
              </w:rPr>
              <w:t>εισάγετε την ημερομηνία που αντιστοιχεί στην πάροδο εννέα ετών μετά την ημερομηνία έναρξης εφαρμογής του παρόντος κανονισμού]</w:t>
            </w:r>
            <w:r w:rsidRPr="00AC4460">
              <w:t>: πεντοξείδιο του φωσφόρου (P</w:t>
            </w:r>
            <w:r w:rsidRPr="00AC4460">
              <w:rPr>
                <w:vertAlign w:val="subscript"/>
              </w:rPr>
              <w:t>2</w:t>
            </w:r>
            <w:r w:rsidRPr="00AC4460">
              <w:t>O</w:t>
            </w:r>
            <w:r w:rsidRPr="00AC4460">
              <w:rPr>
                <w:vertAlign w:val="subscript"/>
              </w:rPr>
              <w:t>5</w:t>
            </w:r>
            <w:r w:rsidRPr="00AC4460">
              <w:t>) 20 mg/kg,</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1(Β) – παράγραφος 3 – στοιχείο ε</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ε)</w:t>
            </w:r>
            <w:r w:rsidRPr="00AC4460">
              <w:tab/>
              <w:t xml:space="preserve">Μόλυβδος (Pb) </w:t>
            </w:r>
            <w:r w:rsidRPr="00AC4460">
              <w:rPr>
                <w:b/>
                <w:i/>
              </w:rPr>
              <w:t>120</w:t>
            </w:r>
            <w:r w:rsidRPr="00AC4460">
              <w:t xml:space="preserve"> mg/kg ξηράς ουσίας.</w:t>
            </w:r>
          </w:p>
        </w:tc>
        <w:tc>
          <w:tcPr>
            <w:tcW w:w="4876" w:type="dxa"/>
          </w:tcPr>
          <w:p w:rsidR="00E451E4" w:rsidRPr="00AC4460" w:rsidRDefault="00E451E4" w:rsidP="000A61DD">
            <w:pPr>
              <w:pStyle w:val="Normal6"/>
              <w:rPr>
                <w:szCs w:val="24"/>
              </w:rPr>
            </w:pPr>
            <w:r w:rsidRPr="00AC4460">
              <w:t>ε)</w:t>
            </w:r>
            <w:r w:rsidRPr="00AC4460">
              <w:tab/>
              <w:t xml:space="preserve">Μόλυβδος (Pb) </w:t>
            </w:r>
            <w:r w:rsidRPr="00AC4460">
              <w:rPr>
                <w:b/>
                <w:i/>
              </w:rPr>
              <w:t>20</w:t>
            </w:r>
            <w:r w:rsidRPr="00AC4460">
              <w:t xml:space="preserve"> mg/kg ξηράς ουσίας.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Ο μόλυβδος συσσωρεύεται στον οργανισμό και έχει πολύ σοβαρές συνέπειες στην ανάπτυξη των κεντρικού νευρικού συστήματος στα βρέφη, τα παιδιά και τα έμβρυα. Δεν υπάρχει συνιστώμενο ανεκτό επίπεδο πρόσληψης καθώς δεν υπάρχουν στοιχεία κατώτατων ορίων για μια σειρά κρίσιμων επιπτώσεων στην υγεία. Στο πλαίσιο της ιδιαίτερης ανησυχίας για την έκθεση των παιδιών σε μόλυβδο, είναι σημαντική η αυστηρή ρύθμιση βασικών διατροφικών πηγών μολύβδου.</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59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1(Β) – παράγραφος 4</w:t>
      </w:r>
      <w:r>
        <w:rPr>
          <w:rStyle w:val="HideTWBExt"/>
          <w:b w:val="0"/>
          <w:noProof w:val="0"/>
        </w:rPr>
        <w:t>&lt;/</w:t>
      </w:r>
      <w:r>
        <w:rPr>
          <w:rStyle w:val="HideTWBExt"/>
          <w:b w:val="0"/>
          <w:noProof w:val="0"/>
          <w:lang w:val="fr-FR"/>
        </w:rPr>
        <w:t>Article</w:t>
      </w:r>
      <w:r>
        <w:rPr>
          <w:rStyle w:val="HideTWBExt"/>
          <w:b w:val="0"/>
          <w:noProof w:val="0"/>
        </w:rPr>
        <w:t>&gt;</w:t>
      </w:r>
    </w:p>
    <w:tbl>
      <w:tblPr>
        <w:tblW w:w="9780" w:type="dxa"/>
        <w:jc w:val="center"/>
        <w:tblLayout w:type="fixed"/>
        <w:tblCellMar>
          <w:left w:w="340" w:type="dxa"/>
          <w:right w:w="340" w:type="dxa"/>
        </w:tblCellMar>
        <w:tblLook w:val="0000" w:firstRow="0" w:lastRow="0" w:firstColumn="0" w:lastColumn="0" w:noHBand="0" w:noVBand="0"/>
      </w:tblPr>
      <w:tblGrid>
        <w:gridCol w:w="3245"/>
        <w:gridCol w:w="774"/>
        <w:gridCol w:w="999"/>
        <w:gridCol w:w="828"/>
        <w:gridCol w:w="3906"/>
        <w:gridCol w:w="28"/>
      </w:tblGrid>
      <w:tr w:rsidR="00E451E4" w:rsidRPr="00075D2C" w:rsidTr="000A61DD">
        <w:trPr>
          <w:gridAfter w:val="1"/>
          <w:wAfter w:w="28" w:type="dxa"/>
          <w:jc w:val="center"/>
        </w:trPr>
        <w:tc>
          <w:tcPr>
            <w:tcW w:w="9752" w:type="dxa"/>
            <w:gridSpan w:val="5"/>
          </w:tcPr>
          <w:p w:rsidR="00E451E4" w:rsidRPr="00E451E4" w:rsidRDefault="00E451E4" w:rsidP="000A61DD">
            <w:pPr>
              <w:keepNext/>
            </w:pP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ColumnHeading"/>
              <w:jc w:val="left"/>
            </w:pPr>
            <w:r>
              <w:t>Κείμενο που προτείνει η Επιτροπή</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t>4.</w:t>
            </w:r>
            <w:r>
              <w:tab/>
            </w:r>
            <w:r>
              <w:rPr>
                <w:b/>
                <w:bCs/>
                <w:i/>
                <w:iCs/>
              </w:rPr>
              <w:t>Δεν ανευρίσκονται Salmonella spp. σε δείγμα βάρους 25 g του προϊόντος λίπανσης με σήμανση CE.</w:t>
            </w:r>
          </w:p>
        </w:tc>
      </w:tr>
      <w:tr w:rsidR="00E451E4" w:rsidRPr="00135F02" w:rsidTr="000A61DD">
        <w:tblPrEx>
          <w:tblLook w:val="04A0" w:firstRow="1" w:lastRow="0" w:firstColumn="1" w:lastColumn="0" w:noHBand="0" w:noVBand="1"/>
        </w:tblPrEx>
        <w:trPr>
          <w:jc w:val="center"/>
        </w:trPr>
        <w:tc>
          <w:tcPr>
            <w:tcW w:w="9780" w:type="dxa"/>
            <w:gridSpan w:val="6"/>
          </w:tcPr>
          <w:p w:rsidR="00E451E4" w:rsidRPr="00135F02" w:rsidRDefault="00E451E4" w:rsidP="000A61DD">
            <w:pPr>
              <w:pStyle w:val="ColumnHeading"/>
              <w:jc w:val="left"/>
              <w:rPr>
                <w:b/>
                <w:bCs/>
                <w:i w:val="0"/>
                <w:iCs/>
              </w:rPr>
            </w:pPr>
            <w:r>
              <w:t>Τροπολογία</w:t>
            </w:r>
          </w:p>
        </w:tc>
      </w:tr>
      <w:tr w:rsidR="00E451E4" w:rsidRPr="009421FD" w:rsidTr="000A61DD">
        <w:tblPrEx>
          <w:tblLook w:val="04A0" w:firstRow="1" w:lastRow="0" w:firstColumn="1" w:lastColumn="0" w:noHBand="0" w:noVBand="1"/>
        </w:tblPrEx>
        <w:trPr>
          <w:jc w:val="center"/>
        </w:trPr>
        <w:tc>
          <w:tcPr>
            <w:tcW w:w="9780" w:type="dxa"/>
            <w:gridSpan w:val="6"/>
          </w:tcPr>
          <w:p w:rsidR="00E451E4" w:rsidRPr="009421FD" w:rsidRDefault="00E451E4" w:rsidP="000A61DD">
            <w:pPr>
              <w:pStyle w:val="Normal6"/>
              <w:rPr>
                <w:b/>
                <w:bCs/>
                <w:i/>
                <w:iCs/>
              </w:rPr>
            </w:pPr>
            <w:r>
              <w:t>4.</w:t>
            </w:r>
            <w:r>
              <w:tab/>
            </w:r>
            <w:r>
              <w:rPr>
                <w:b/>
                <w:bCs/>
                <w:i/>
                <w:iCs/>
              </w:rPr>
              <w:t>Παθογόνοι παράγοντες δεν πρέπει να περιέχονται στο οργανοανόργανο λίπασμα σε συγκέντρωση μεγαλύτερη των αντίστοιχων ορίων που καθορίζονται στον κατωτέρω πίνακα:</w:t>
            </w:r>
          </w:p>
        </w:tc>
      </w:tr>
      <w:tr w:rsidR="00E451E4" w:rsidRPr="00135F02"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Μικροοργανισμός προς έλεγχο</w:t>
            </w:r>
          </w:p>
        </w:tc>
        <w:tc>
          <w:tcPr>
            <w:tcW w:w="2601" w:type="dxa"/>
            <w:gridSpan w:val="3"/>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Σχέδια δειγματοληψίας</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Όριο</w:t>
            </w:r>
          </w:p>
        </w:tc>
      </w:tr>
      <w:tr w:rsidR="00E451E4" w:rsidRPr="00135F02"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n</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m</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M</w:t>
            </w:r>
          </w:p>
        </w:tc>
      </w:tr>
      <w:tr w:rsidR="00E451E4" w:rsidRPr="009421FD"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135F02"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1000 σε 1 g ή 1 ml</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όπου n = ο αριθμός των προς έλεγχο δειγμάτων</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c = ο αριθμός των δειγμάτων στα οποία ο αριθμός των βακτηρίων που εκφράζονται σε CFU κυμαίνεται μεταξύ m and M</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m = κατώτατη τιμή για τον αριθμό των βακτηρίων που εκφράζονται σε CFU, η οποία θεωρείται ικανοποιητική</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Μ = μέγιστη τιμή για τον αριθμό βακτηρίων που εκφράζονται σε CFU</w:t>
            </w:r>
          </w:p>
        </w:tc>
      </w:tr>
      <w:tr w:rsidR="00E451E4" w:rsidRPr="009421FD" w:rsidTr="000A61DD">
        <w:tblPrEx>
          <w:tblLook w:val="04A0" w:firstRow="1" w:lastRow="0" w:firstColumn="1" w:lastColumn="0" w:noHBand="0" w:noVBand="1"/>
        </w:tblPrEx>
        <w:trPr>
          <w:jc w:val="center"/>
        </w:trPr>
        <w:tc>
          <w:tcPr>
            <w:tcW w:w="9780" w:type="dxa"/>
            <w:gridSpan w:val="6"/>
          </w:tcPr>
          <w:p w:rsidR="00E451E4" w:rsidRPr="009421FD" w:rsidRDefault="00E451E4" w:rsidP="000A61DD">
            <w:pPr>
              <w:pStyle w:val="Normal6"/>
              <w:rPr>
                <w:b/>
                <w:bCs/>
                <w:i/>
                <w:iCs/>
              </w:rPr>
            </w:pPr>
            <w:r>
              <w:rPr>
                <w:b/>
                <w:bCs/>
                <w:i/>
                <w:iCs/>
              </w:rPr>
              <w:t>Τα παράσιτα Ascaris spp. και Toxocara spp., σε όλα τα στάδια της ανάπτυξής τους, δεν πρέπει να περιέχονται σε 100g ή 100ml του οργανοανόργανου λιπάσματος.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1(Β) (I)– παράγραφος 3</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3.</w:t>
            </w:r>
            <w:r w:rsidRPr="00AC4460">
              <w:tab/>
              <w:t xml:space="preserve">Η περιεκτικότητα του προϊόντος λίπανσης με σήμανση CE σε οργανικό άνθρακα (C) είναι τουλάχιστον </w:t>
            </w:r>
            <w:r w:rsidRPr="00AC4460">
              <w:rPr>
                <w:b/>
                <w:i/>
              </w:rPr>
              <w:t>3</w:t>
            </w:r>
            <w:r w:rsidRPr="00AC4460">
              <w:t xml:space="preserve"> % κατά μάζα.</w:t>
            </w:r>
          </w:p>
        </w:tc>
        <w:tc>
          <w:tcPr>
            <w:tcW w:w="4876" w:type="dxa"/>
          </w:tcPr>
          <w:p w:rsidR="00E451E4" w:rsidRPr="00AC4460" w:rsidRDefault="00E451E4" w:rsidP="000A61DD">
            <w:pPr>
              <w:pStyle w:val="Normal6"/>
              <w:rPr>
                <w:szCs w:val="24"/>
              </w:rPr>
            </w:pPr>
            <w:r w:rsidRPr="00AC4460">
              <w:t>3.</w:t>
            </w:r>
            <w:r w:rsidRPr="00AC4460">
              <w:tab/>
              <w:t xml:space="preserve">Η περιεκτικότητα του προϊόντος λίπανσης με σήμανση CE σε οργανικό άνθρακα (C) είναι τουλάχιστον </w:t>
            </w:r>
            <w:r w:rsidRPr="00AC4460">
              <w:rPr>
                <w:b/>
                <w:i/>
              </w:rPr>
              <w:t>1</w:t>
            </w:r>
            <w:r w:rsidRPr="00AC4460">
              <w:t xml:space="preserve"> % κατά μάζα.</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Παράρτημα I – μέρος ΙΙ – ΚΛΠ 1(Β) (Ι) – παράγραφος 3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3α.</w:t>
            </w:r>
            <w:r w:rsidRPr="00AC4460">
              <w:rPr>
                <w:b/>
                <w:i/>
              </w:rPr>
              <w:tab/>
              <w:t>Σε περιπτώσεις που ένα προϊόν λίπανσης με σήμανση CE περιέχει περισσότερα από ένα θρεπτικά συστατικά, το εν λόγω προϊόν περιέχει τα ακόλουθα δηλούμενα θρεπτικά συστατικά στις ελάχιστες ποσότητες που καθορίζονται κατωτέρω:</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 </w:t>
            </w:r>
            <w:r w:rsidRPr="00AC4460">
              <w:rPr>
                <w:b/>
                <w:i/>
              </w:rPr>
              <w:tab/>
              <w:t>ολικό άζωτο 1,0% κατά μάζα, εκ του οποίου 0,5% κατά μάζα του προϊόντος λίπανσης με σήμανση CE είναι οργανικό άζωτο (Ν), ή</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 </w:t>
            </w:r>
            <w:r w:rsidRPr="00AC4460">
              <w:rPr>
                <w:b/>
                <w:i/>
              </w:rPr>
              <w:tab/>
              <w:t>ολικό πεντοξείδιο του φωσφόρου (P</w:t>
            </w:r>
            <w:r w:rsidRPr="00AC4460">
              <w:rPr>
                <w:b/>
                <w:i/>
                <w:vertAlign w:val="subscript"/>
              </w:rPr>
              <w:t>2</w:t>
            </w:r>
            <w:r w:rsidRPr="00AC4460">
              <w:rPr>
                <w:b/>
                <w:i/>
              </w:rPr>
              <w:t>O</w:t>
            </w:r>
            <w:r w:rsidRPr="00AC4460">
              <w:rPr>
                <w:b/>
                <w:i/>
                <w:vertAlign w:val="subscript"/>
              </w:rPr>
              <w:t>5</w:t>
            </w:r>
            <w:r w:rsidRPr="00AC4460">
              <w:rPr>
                <w:b/>
                <w:i/>
              </w:rPr>
              <w:t>) 1,0% κατά μάζα, ή</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 </w:t>
            </w:r>
            <w:r w:rsidRPr="00AC4460">
              <w:rPr>
                <w:b/>
                <w:i/>
              </w:rPr>
              <w:tab/>
              <w:t>ολικό οξείδιο του καλίου (K</w:t>
            </w:r>
            <w:r w:rsidRPr="00AC4460">
              <w:rPr>
                <w:b/>
                <w:i/>
                <w:vertAlign w:val="subscript"/>
              </w:rPr>
              <w:t>2</w:t>
            </w:r>
            <w:r w:rsidRPr="00AC4460">
              <w:rPr>
                <w:b/>
                <w:i/>
              </w:rPr>
              <w:t>O) 1,0% κατά μάζα και</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 </w:t>
            </w:r>
            <w:r w:rsidRPr="00AC4460">
              <w:rPr>
                <w:b/>
                <w:i/>
              </w:rPr>
              <w:tab/>
              <w:t>3,0% κατά μάζα του συνολικού αθροίσματος των θρεπτικών συστατικών.</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 (Γ)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 xml:space="preserve">Ένα ανόργανο λίπασμα είναι κάθε λίπασμα </w:t>
            </w:r>
            <w:r w:rsidRPr="00AC4460">
              <w:rPr>
                <w:b/>
                <w:i/>
                <w:szCs w:val="24"/>
              </w:rPr>
              <w:t>εκτός των οργανικών</w:t>
            </w:r>
            <w:r w:rsidRPr="00AC4460">
              <w:rPr>
                <w:szCs w:val="24"/>
              </w:rPr>
              <w:t xml:space="preserve"> και </w:t>
            </w:r>
            <w:r w:rsidRPr="00AC4460">
              <w:rPr>
                <w:b/>
                <w:i/>
                <w:szCs w:val="24"/>
              </w:rPr>
              <w:t>των οργανοανόργανων λιπασμάτων</w:t>
            </w:r>
            <w:r w:rsidRPr="00AC4460">
              <w:rPr>
                <w:szCs w:val="24"/>
              </w:rPr>
              <w:t>.</w:t>
            </w:r>
          </w:p>
        </w:tc>
        <w:tc>
          <w:tcPr>
            <w:tcW w:w="4876" w:type="dxa"/>
          </w:tcPr>
          <w:p w:rsidR="00E451E4" w:rsidRPr="00AC4460" w:rsidRDefault="00E451E4" w:rsidP="000A61DD">
            <w:pPr>
              <w:pStyle w:val="Normal6"/>
              <w:rPr>
                <w:szCs w:val="24"/>
              </w:rPr>
            </w:pPr>
            <w:r w:rsidRPr="00AC4460">
              <w:rPr>
                <w:szCs w:val="24"/>
              </w:rPr>
              <w:t xml:space="preserve">Ένα ανόργανο λίπασμα είναι κάθε λίπασμα </w:t>
            </w:r>
            <w:r w:rsidRPr="00AC4460">
              <w:rPr>
                <w:b/>
                <w:i/>
                <w:szCs w:val="24"/>
              </w:rPr>
              <w:t>που περιέχει θρεπτικά συστατικά σε ανόργανη μορφή ή επεξεργασμένα σε ανόργανη μορφή. Το ασβεστοκυαναμίδιο, η ουρία και τα προϊόντα συμπύκνωσης και συνδυασμού αυτής θεωρείται ότι περιέχουν θρεπτικά συστατικά σε ανόργανη μορφή.</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Παράρτημα I – μέρος ΙΙ – ΚΛΠ 1(Γ) – παράγραφος 1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Η συνολική δηλωτέα περιεκτικότητα σε άζωτο προκύπτει από το σύνολο του αμμωνιακού αζώτου, του νιτρικού αζώτου, του ουρεϊκού αζώτου, του αζώτου από μεθυλενουρία, του αζώτου από ισοβουτυλιδενοδιουρία, και του αζώτου από κροτωνυλιδενοδιουρία. Η δηλωτέα περιεκτικότητα σε φώσφορο προκύπτει από τη φωσφορική μορφή Ρ. Νέες μορφές δύνανται να προστεθούν έπειτα από επιστημονική εξέταση, σύμφωνα με το άρθρο 42.</w:t>
            </w:r>
            <w:r w:rsidRPr="00AC4460">
              <w:t xml:space="preserve"> </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Η Ευρωπαϊκή Επιτροπή προτείνει στη συνολική δηλούμενη περιεκτικότητα σε θρεπτικά συστατικά να περιλαμβάνονται εξ ορισμού όλες οι μορφές θρεπτικών συστατικών, ακόμη και εκείνες που δεν θα είναι διαθέσιμες στα φυτά. Μόνο τα θρεπτικά συστατικά που είναι διαθέσιμα στα φυτά θα πρέπει να δηλώνονται και να επισημαίνονται, διότι για άλλες μορφές αζώτου ή φωσφόρου δεν έχει αποδειχθεί ότι συμβάλλουν στη θρέψη των φυτών. Διαφορετικά, οι γεωργοί δεν θα χορηγούν στις καλλιέργειές τους την ποσότητα θρεπτικών συστατικών που ανέμεναν να χρησιμοποιήσουν σύμφωνα με την πρόταση, γεγονός που θα οδηγήσει σε παρανόηση λόγω της δήλωσης συνολικής περιεκτικότητας σε θρεπτικά συστατικά.</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&lt;Article&gt;</w:t>
      </w:r>
      <w:r w:rsidRPr="00AC4460">
        <w:t>Παράρτημα I – μέρος ΙΙ – ΚΛΠ 1(Γ) (Ι) – παράγραφος 1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1α.</w:t>
            </w:r>
            <w:r w:rsidRPr="00AC4460">
              <w:rPr>
                <w:b/>
                <w:bCs/>
                <w:i/>
                <w:iCs/>
              </w:rPr>
              <w:tab/>
              <w:t>Προκειμένου να είναι διαθέσιμα στα φυτά, τα φωσφορικά λιπάσματα δυνάμει του παρόντος κανονισμού πρέπει να συμμορφώνονται με τουλάχιστον ένα από τα ακόλουθα ελάχιστα επίπεδα διαλυτότητας:</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w:t>
            </w:r>
            <w:r w:rsidRPr="00AC4460">
              <w:rPr>
                <w:b/>
                <w:bCs/>
                <w:i/>
                <w:iCs/>
              </w:rPr>
              <w:tab/>
              <w:t>διαλυτότητα στο νερό: ελάχιστο επίπεδο 40 % επί του ολικού φωσφόρου, ή</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w:t>
            </w:r>
            <w:r w:rsidRPr="00AC4460">
              <w:rPr>
                <w:b/>
                <w:bCs/>
                <w:i/>
                <w:iCs/>
              </w:rPr>
              <w:tab/>
              <w:t>διαλυτότητα σε ουδέτερο κιτρικό αμμώνιο: ελάχιστο επίπεδο 75% επί του ολικού φωσφόρου, ή</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w:t>
            </w:r>
            <w:r w:rsidRPr="00AC4460">
              <w:rPr>
                <w:b/>
                <w:bCs/>
                <w:i/>
                <w:iCs/>
              </w:rPr>
              <w:tab/>
              <w:t>διαλυτότητα σε μυρμηκικό οξύ (μόνο για μαλακά ορυκτά φωσφορικά άλατα): ελάχιστο επίπεδο 55% επί του ολικού φωσφόρου.</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 – μέρος ΙΙ – ΚΛΠ 1(Γ) (Ι) – παράγραφος 1 β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1β.</w:t>
            </w:r>
            <w:r w:rsidRPr="00AC4460">
              <w:rPr>
                <w:b/>
                <w:i/>
              </w:rPr>
              <w:tab/>
              <w:t>Η συνολική δηλούμενη περιεκτικότητα σε άζωτο προκύπτει από το σύνολο του αμμωνιακού αζώτου, του νιτρικού αζώτου, του ουρεϊκού αζώτου, του αζώτου από μεθυλενουρία, του αζώτου από ισοβουτυλιδενοδιουρία, του αζώτου από κροτωνυλιδενοδιουρία και του αζώτου από κυαναμίδιο.</w:t>
            </w:r>
            <w:r w:rsidRPr="00AC4460">
              <w:t xml:space="preserve"> </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Η Ευρωπαϊκή Επιτροπή προτείνει στη συνολική δηλούμενη περιεκτικότητα σε θρεπτικά συστατικά να περιλαμβάνονται εξ ορισμού όλες οι μορφές θρεπτικών συστατικών, ακόμη και εκείνες που δεν θα είναι διαθέσιμες στα φυτά. Μόνο τα θρεπτικά συστατικά που είναι διαθέσιμα στα φυτά θα πρέπει να δηλώνονται και να επισημαίνονται, διότι για άλλες μορφές αζώτου ή φωσφόρου δεν έχει αποδειχθεί ότι συμβάλλουν στη θρέψη των φυτών. Διαφορετικά, οι γεωργοί δεν θα χορηγούν στις καλλιέργειές τους την ποσότητα θρεπτικών συστατικών που ανέμεναν να χρησιμοποιήσουν σύμφωνα με την πρόταση, γεγονός που θα οδηγήσει σε παρανόηση λόγω της δήλωσης συνολικής περιεκτικότητας σε θρεπτικά συστατικά.</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1(Γ) (I) – παράγραφος 2 – στοιχείο α – σημείο 2 – τρίτη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Από την </w:t>
            </w:r>
            <w:r w:rsidRPr="00AC4460">
              <w:rPr>
                <w:b/>
                <w:i/>
              </w:rPr>
              <w:t>[Publications office</w:t>
            </w:r>
            <w:r w:rsidRPr="00AC4460">
              <w:t xml:space="preserve">, </w:t>
            </w:r>
            <w:r w:rsidRPr="00AC4460">
              <w:rPr>
                <w:b/>
                <w:i/>
              </w:rPr>
              <w:t>please insert the date occurring twelve years after the date of application of this Regulation]</w:t>
            </w:r>
            <w:r w:rsidRPr="00AC4460">
              <w:t>: πεντοξείδιο του φωσφόρου (P</w:t>
            </w:r>
            <w:r w:rsidRPr="00AC4460">
              <w:rPr>
                <w:vertAlign w:val="subscript"/>
              </w:rPr>
              <w:t>2</w:t>
            </w:r>
            <w:r w:rsidRPr="00AC4460">
              <w:t>O</w:t>
            </w:r>
            <w:r w:rsidRPr="00AC4460">
              <w:rPr>
                <w:vertAlign w:val="subscript"/>
              </w:rPr>
              <w:t>5</w:t>
            </w:r>
            <w:r w:rsidRPr="00AC4460">
              <w:t>) 20 mg/kg,</w:t>
            </w:r>
          </w:p>
        </w:tc>
        <w:tc>
          <w:tcPr>
            <w:tcW w:w="4876" w:type="dxa"/>
          </w:tcPr>
          <w:p w:rsidR="00E451E4" w:rsidRPr="00AC4460" w:rsidRDefault="00E451E4" w:rsidP="000A61DD">
            <w:pPr>
              <w:pStyle w:val="Normal6"/>
            </w:pPr>
            <w:r w:rsidRPr="00AC4460">
              <w:t>-</w:t>
            </w:r>
            <w:r w:rsidRPr="00AC4460">
              <w:tab/>
              <w:t xml:space="preserve">Από την </w:t>
            </w:r>
            <w:r w:rsidRPr="00AC4460">
              <w:rPr>
                <w:b/>
                <w:i/>
              </w:rPr>
              <w:t>[Υπηρεσία Εκδόσεων</w:t>
            </w:r>
            <w:r w:rsidRPr="00AC4460">
              <w:t xml:space="preserve">, </w:t>
            </w:r>
            <w:r w:rsidRPr="00AC4460">
              <w:rPr>
                <w:b/>
                <w:i/>
              </w:rPr>
              <w:t>εισάγετε την ημερομηνία που αντιστοιχεί στην πάροδο εννέα ετών από την ημερομηνία έναρξης εφαρμογής του παρόντος κανονισμού]</w:t>
            </w:r>
            <w:r w:rsidRPr="00AC4460">
              <w:t>: πεντοξείδιο του φωσφόρου (P</w:t>
            </w:r>
            <w:r w:rsidRPr="00AC4460">
              <w:rPr>
                <w:vertAlign w:val="subscript"/>
              </w:rPr>
              <w:t>2</w:t>
            </w:r>
            <w:r w:rsidRPr="00AC4460">
              <w:t>O</w:t>
            </w:r>
            <w:r w:rsidRPr="00AC4460">
              <w:rPr>
                <w:vertAlign w:val="subscript"/>
              </w:rPr>
              <w:t>5</w:t>
            </w:r>
            <w:r w:rsidRPr="00AC4460">
              <w:t>) 20 mg/kg,</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 xml:space="preserve">Παράρτημα I – μέρος ΙΙ – ΚΛΠ 1(Γ) (Ι) – παράγραφος 2 – στοιχείο ε </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ε)</w:t>
            </w:r>
            <w:r w:rsidRPr="00AC4460">
              <w:tab/>
              <w:t xml:space="preserve">Μόλυβδος (Pb) </w:t>
            </w:r>
            <w:r w:rsidRPr="00AC4460">
              <w:rPr>
                <w:b/>
                <w:i/>
              </w:rPr>
              <w:t>150</w:t>
            </w:r>
            <w:r w:rsidRPr="00AC4460">
              <w:t xml:space="preserve"> mg/kg ξηράς ουσίας,</w:t>
            </w:r>
          </w:p>
        </w:tc>
        <w:tc>
          <w:tcPr>
            <w:tcW w:w="4876" w:type="dxa"/>
          </w:tcPr>
          <w:p w:rsidR="00E451E4" w:rsidRPr="00AC4460" w:rsidRDefault="00E451E4" w:rsidP="000A61DD">
            <w:pPr>
              <w:pStyle w:val="Normal6"/>
              <w:rPr>
                <w:szCs w:val="24"/>
              </w:rPr>
            </w:pPr>
            <w:r w:rsidRPr="00AC4460">
              <w:t>ε)</w:t>
            </w:r>
            <w:r w:rsidRPr="00AC4460">
              <w:tab/>
              <w:t xml:space="preserve">Μόλυβδος (Pb) </w:t>
            </w:r>
            <w:r w:rsidRPr="00AC4460">
              <w:rPr>
                <w:b/>
                <w:i/>
              </w:rPr>
              <w:t>20</w:t>
            </w:r>
            <w:r w:rsidRPr="00AC4460">
              <w:t xml:space="preserve"> mg/kg ξηράς ουσίας,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Ο μόλυβδος συσσωρεύεται στον οργανισμό και έχει πολύ σοβαρές συνέπειες στην ανάπτυξη των κεντρικού νευρικού συστήματος στα βρέφη, τα παιδιά και τα έμβρυα. Δεν υπάρχει συνιστώμενο ανεκτό επίπεδο πρόσληψης καθώς δεν υπάρχουν στοιχεία κατώτατων ορίων για μια σειρά κρίσιμων επιπτώσεων στην υγεία. Στο πλαίσιο της ιδιαίτερης ανησυχίας για την έκθεση των παιδιών σε μόλυβδο, είναι σημαντική η αυστηρή ρύθμιση βασικών διατροφικών πηγών μολύβδου.</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 – μέρος ΙΙ – ΚΛΠ 1(Γ) (Ι) – παράγραφος 2 – στοιχείο στ</w:t>
      </w:r>
      <w:r w:rsidRPr="00AC4460">
        <w:rPr>
          <w:vanish/>
        </w:rPr>
        <w:t xml:space="preserve"> </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στ)</w:t>
            </w:r>
            <w:r w:rsidRPr="00AC4460">
              <w:tab/>
              <w:t xml:space="preserve">Αρσενικό (As) </w:t>
            </w:r>
            <w:r w:rsidRPr="00AC4460">
              <w:rPr>
                <w:b/>
                <w:i/>
              </w:rPr>
              <w:t>60</w:t>
            </w:r>
            <w:r w:rsidRPr="00AC4460">
              <w:t xml:space="preserve"> mg/kg ξηράς ουσίας,</w:t>
            </w:r>
          </w:p>
        </w:tc>
        <w:tc>
          <w:tcPr>
            <w:tcW w:w="4876" w:type="dxa"/>
          </w:tcPr>
          <w:p w:rsidR="00E451E4" w:rsidRPr="00AC4460" w:rsidRDefault="00E451E4" w:rsidP="000A61DD">
            <w:pPr>
              <w:pStyle w:val="Normal6"/>
              <w:rPr>
                <w:szCs w:val="24"/>
              </w:rPr>
            </w:pPr>
            <w:r w:rsidRPr="00AC4460">
              <w:t>στ)</w:t>
            </w:r>
            <w:r w:rsidRPr="00AC4460">
              <w:tab/>
              <w:t xml:space="preserve">Αρσενικό (As) </w:t>
            </w:r>
            <w:r w:rsidRPr="00AC4460">
              <w:rPr>
                <w:b/>
                <w:i/>
              </w:rPr>
              <w:t>20</w:t>
            </w:r>
            <w:r w:rsidRPr="00AC4460">
              <w:t xml:space="preserve"> mg/kg ξηράς ουσίας,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69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 – μέρος ΙΙ – ΚΛΠ 1(Γ) (ΙΙ)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1.</w:t>
            </w:r>
            <w:r w:rsidRPr="00AC4460">
              <w:tab/>
              <w:t>Ένα ανόργανο μικροθρεπτικό λίπασμα είναι ανόργανο λίπασμα άλλο από τα μακροθρεπτικά λιπάσματα, που αποσκοπεί στο να παρέχει ένα ή περισσότερα από τα παρακάτω θρεπτικά συστατικά: βόριο (B), κοβάλτιο (Co), χαλκό (Cu), σίδηρο (Fe), μαγγάνιο (Mn), μολυβδαίνιο (Mo) ή ψευδάργυρο (Zn).</w:t>
            </w:r>
          </w:p>
        </w:tc>
        <w:tc>
          <w:tcPr>
            <w:tcW w:w="4876" w:type="dxa"/>
          </w:tcPr>
          <w:p w:rsidR="00E451E4" w:rsidRPr="00AC4460" w:rsidRDefault="00E451E4" w:rsidP="000A61DD">
            <w:pPr>
              <w:pStyle w:val="Normal6"/>
              <w:rPr>
                <w:szCs w:val="24"/>
              </w:rPr>
            </w:pPr>
            <w:r w:rsidRPr="00AC4460">
              <w:t>1.</w:t>
            </w:r>
            <w:r w:rsidRPr="00AC4460">
              <w:tab/>
              <w:t>Ένα ανόργανο μικροθρεπτικό λίπασμα είναι ανόργανο λίπασμα άλλο από τα μακροθρεπτικά λιπάσματα, που αποσκοπεί στο να παρέχει ένα ή περισσότερα από τα παρακάτω θρεπτικά συστατικά: βόριο (B), κοβάλτιο (Co), χαλκό (Cu), σίδηρο (Fe), μαγγάνιο (Mn), μολυβδαίνιο (Mo)</w:t>
            </w:r>
            <w:r w:rsidRPr="00AC4460">
              <w:rPr>
                <w:b/>
                <w:i/>
              </w:rPr>
              <w:t>, σελήνιο (Se), πυρίτιο (Si)</w:t>
            </w:r>
            <w:r w:rsidRPr="00AC4460">
              <w:t xml:space="preserve"> ή ψευδάργυρο (Zn).</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Το σελήνιο χρησιμοποιείται στο χορτάρι για τη βελτίωση της διατροφής των ζώων. Το πυρίτιο χρησιμοποιείται για τη θρέψη των φυτών.</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2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w:t>
            </w:r>
            <w:r w:rsidRPr="00AC4460">
              <w:t xml:space="preserve"> mg/kg ξηράς ουσίας,</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w:t>
      </w:r>
      <w:r>
        <w:rPr>
          <w:rStyle w:val="HideTWBExt"/>
          <w:b w:val="0"/>
          <w:noProof w:val="0"/>
          <w:lang w:val="nl-NL"/>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nl-NL"/>
        </w:rPr>
        <w:t>NumAm</w:t>
      </w:r>
      <w:r>
        <w:rPr>
          <w:rStyle w:val="HideTWBExt"/>
          <w:b w:val="0"/>
          <w:noProof w:val="0"/>
        </w:rPr>
        <w:t>&gt;</w:t>
      </w:r>
      <w:r w:rsidRPr="00AC4460">
        <w:t>71</w:t>
      </w:r>
      <w:r>
        <w:rPr>
          <w:rStyle w:val="HideTWBExt"/>
          <w:b w:val="0"/>
          <w:noProof w:val="0"/>
        </w:rPr>
        <w:t>&lt;/</w:t>
      </w:r>
      <w:r>
        <w:rPr>
          <w:rStyle w:val="HideTWBExt"/>
          <w:b w:val="0"/>
          <w:noProof w:val="0"/>
          <w:lang w:val="nl-NL"/>
        </w:rPr>
        <w:t>NumAm</w:t>
      </w:r>
      <w:r>
        <w:rPr>
          <w:rStyle w:val="HideTWBExt"/>
          <w:b w:val="0"/>
          <w:noProof w:val="0"/>
        </w:rPr>
        <w:t>&gt;</w:t>
      </w:r>
    </w:p>
    <w:p w:rsidR="00E451E4" w:rsidRPr="00075D2C"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2 – παράγραφος 2 – πέμπτη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200</w:t>
            </w:r>
            <w:r w:rsidRPr="00AC4460">
              <w:t xml:space="preserve"> mg/kg ξηράς ουσίας, και</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 και</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Ο μόλυβδος συσσωρεύεται στον οργανισμό και έχει πολύ σοβαρές συνέπειες στην ανάπτυξη των κεντρικού νευρικού συστήματος στα βρέφη, τα παιδιά και τα έμβρυα. Δεν υπάρχει συνιστώμενο ανεκτό επίπεδο πρόσληψης καθώς δεν υπάρχουν στοιχεία κατώτατων ορίων για μια σειρά κρίσιμων επιπτώσεων στην υγεία. Στο πλαίσιο της ιδιαίτερης ανησυχίας για την έκθεση των παιδιών σε μόλυβδο, είναι σημαντική η αυστηρή ρύθμιση βασικών διατροφικών πηγών μολύβδου.</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2 – παράγραφος 2 – έκτη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Αρσενικό (As) </w:t>
            </w:r>
            <w:r w:rsidRPr="00AC4460">
              <w:rPr>
                <w:b/>
                <w:i/>
              </w:rPr>
              <w:t>120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Αρσενικό (As) </w:t>
            </w:r>
            <w:r w:rsidRPr="00AC4460">
              <w:rPr>
                <w:b/>
                <w:i/>
              </w:rPr>
              <w:t>20</w:t>
            </w:r>
            <w:r w:rsidRPr="00AC4460">
              <w:t xml:space="preserve"> mg/kg ξηράς ουσίας.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 xml:space="preserve">Ένα βελτιωτικό εδάφους είναι </w:t>
            </w:r>
            <w:r w:rsidRPr="00AC4460">
              <w:rPr>
                <w:b/>
                <w:i/>
              </w:rPr>
              <w:t>προϊόν λίπανσης με σήμανση CE</w:t>
            </w:r>
            <w:r w:rsidRPr="00AC4460">
              <w:t xml:space="preserve"> που </w:t>
            </w:r>
            <w:r w:rsidRPr="00AC4460">
              <w:rPr>
                <w:b/>
                <w:i/>
              </w:rPr>
              <w:t>προορίζεται να προστεθεί</w:t>
            </w:r>
            <w:r w:rsidRPr="00AC4460">
              <w:t xml:space="preserve"> στο έδαφος </w:t>
            </w:r>
            <w:r w:rsidRPr="00AC4460">
              <w:rPr>
                <w:b/>
                <w:i/>
              </w:rPr>
              <w:t>με στόχο τη διατήρηση, τη βελτίωση</w:t>
            </w:r>
            <w:r w:rsidRPr="00AC4460">
              <w:t xml:space="preserve"> ή </w:t>
            </w:r>
            <w:r w:rsidRPr="00AC4460">
              <w:rPr>
                <w:b/>
                <w:i/>
              </w:rPr>
              <w:t>την προστασία</w:t>
            </w:r>
            <w:r w:rsidRPr="00AC4460">
              <w:t xml:space="preserve"> των φυσικών </w:t>
            </w:r>
            <w:r w:rsidRPr="00AC4460">
              <w:rPr>
                <w:b/>
                <w:i/>
              </w:rPr>
              <w:t>ή χημικών</w:t>
            </w:r>
            <w:r w:rsidRPr="00AC4460">
              <w:t xml:space="preserve"> ιδιοτήτων, </w:t>
            </w:r>
            <w:r w:rsidRPr="00AC4460">
              <w:rPr>
                <w:b/>
                <w:i/>
              </w:rPr>
              <w:t xml:space="preserve">της δομής </w:t>
            </w:r>
            <w:r w:rsidRPr="00AC4460">
              <w:t xml:space="preserve">ή </w:t>
            </w:r>
            <w:r w:rsidRPr="00AC4460">
              <w:rPr>
                <w:b/>
                <w:i/>
              </w:rPr>
              <w:t>της βιολογικής δραστηριότητας</w:t>
            </w:r>
            <w:r w:rsidRPr="00AC4460">
              <w:t xml:space="preserve"> του εδάφους.</w:t>
            </w:r>
          </w:p>
        </w:tc>
        <w:tc>
          <w:tcPr>
            <w:tcW w:w="4876" w:type="dxa"/>
          </w:tcPr>
          <w:p w:rsidR="00E451E4" w:rsidRPr="00AC4460" w:rsidRDefault="00E451E4" w:rsidP="000A61DD">
            <w:pPr>
              <w:pStyle w:val="Normal6"/>
              <w:rPr>
                <w:szCs w:val="24"/>
              </w:rPr>
            </w:pPr>
            <w:r w:rsidRPr="00AC4460">
              <w:t xml:space="preserve">Ένα βελτιωτικό εδάφους είναι </w:t>
            </w:r>
            <w:r w:rsidRPr="00AC4460">
              <w:rPr>
                <w:b/>
                <w:i/>
              </w:rPr>
              <w:t>ένα υλικό (συμπεριλαμβανομένης της εδαφοκάλυψης)</w:t>
            </w:r>
            <w:r w:rsidRPr="00AC4460">
              <w:t xml:space="preserve"> που </w:t>
            </w:r>
            <w:r w:rsidRPr="00AC4460">
              <w:rPr>
                <w:b/>
                <w:i/>
              </w:rPr>
              <w:t>προστίθεται</w:t>
            </w:r>
            <w:r w:rsidRPr="00AC4460">
              <w:t xml:space="preserve"> στο έδαφος </w:t>
            </w:r>
            <w:r w:rsidRPr="00AC4460">
              <w:rPr>
                <w:b/>
                <w:i/>
              </w:rPr>
              <w:t>επιτόπου, κατά κύριο λόγο για διατήρηση</w:t>
            </w:r>
            <w:r w:rsidRPr="00AC4460">
              <w:t xml:space="preserve"> ή </w:t>
            </w:r>
            <w:r w:rsidRPr="00AC4460">
              <w:rPr>
                <w:b/>
                <w:i/>
              </w:rPr>
              <w:t>βελτίωση</w:t>
            </w:r>
            <w:r w:rsidRPr="00AC4460">
              <w:t xml:space="preserve"> των φυσικών </w:t>
            </w:r>
            <w:r w:rsidRPr="00AC4460">
              <w:rPr>
                <w:b/>
                <w:i/>
              </w:rPr>
              <w:t>του</w:t>
            </w:r>
            <w:r w:rsidRPr="00AC4460">
              <w:t xml:space="preserve"> ιδιοτήτων, </w:t>
            </w:r>
            <w:r w:rsidRPr="00AC4460">
              <w:rPr>
                <w:b/>
                <w:i/>
              </w:rPr>
              <w:t>και το οποίο ενδέχεται να βελτιώσει τις χημικές και/</w:t>
            </w:r>
            <w:r w:rsidRPr="00AC4460">
              <w:t xml:space="preserve">ή </w:t>
            </w:r>
            <w:r w:rsidRPr="00AC4460">
              <w:rPr>
                <w:b/>
                <w:i/>
              </w:rPr>
              <w:t>βιολογικές ιδιότητες ή τη δραστηριότητα</w:t>
            </w:r>
            <w:r w:rsidRPr="00AC4460">
              <w:t xml:space="preserve"> του εδάφους.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3(Α)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w:t>
            </w:r>
            <w:r w:rsidRPr="00AC4460">
              <w:tab/>
              <w:t xml:space="preserve">Ένα οργανικό βελτιωτικό εδάφους αποτελείται αποκλειστικά από υλικά βιολογικής προέλευσης, εξαιρουμένων </w:t>
            </w:r>
            <w:r w:rsidRPr="00AC4460">
              <w:rPr>
                <w:b/>
                <w:i/>
              </w:rPr>
              <w:t>των</w:t>
            </w:r>
            <w:r w:rsidRPr="00AC4460">
              <w:t xml:space="preserve"> απολιθωμένων ή ενσωματωμένων σε γεωλογικούς σχηματισμούς υλικών.</w:t>
            </w:r>
          </w:p>
        </w:tc>
        <w:tc>
          <w:tcPr>
            <w:tcW w:w="4876" w:type="dxa"/>
          </w:tcPr>
          <w:p w:rsidR="00E451E4" w:rsidRPr="00AC4460" w:rsidRDefault="00E451E4" w:rsidP="000A61DD">
            <w:pPr>
              <w:pStyle w:val="Normal6"/>
              <w:rPr>
                <w:szCs w:val="24"/>
              </w:rPr>
            </w:pPr>
            <w:r w:rsidRPr="00AC4460">
              <w:t>1.</w:t>
            </w:r>
            <w:r w:rsidRPr="00AC4460">
              <w:tab/>
              <w:t xml:space="preserve">Ένα οργανικό βελτιωτικό εδάφους αποτελείται αποκλειστικά από υλικά βιολογικής προέλευσης, </w:t>
            </w:r>
            <w:r w:rsidRPr="00AC4460">
              <w:rPr>
                <w:b/>
                <w:i/>
              </w:rPr>
              <w:t xml:space="preserve">συμπεριλαμβανομένης της τύρφης, του λεοναρδίτη, του λιγνίτη και ουσιών που λαμβάνονται από αυτά τα υλικά, </w:t>
            </w:r>
            <w:r w:rsidRPr="00AC4460">
              <w:t xml:space="preserve">εξαιρουμένων </w:t>
            </w:r>
            <w:r w:rsidRPr="00AC4460">
              <w:rPr>
                <w:b/>
                <w:i/>
              </w:rPr>
              <w:t>όμως άλλων</w:t>
            </w:r>
            <w:r w:rsidRPr="00AC4460">
              <w:t xml:space="preserve"> απολιθωμένων ή ενσωματωμένων σε γεωλογικούς σχηματισμούς υλικών.</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3(Α)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1,5</w:t>
            </w:r>
            <w:r w:rsidRPr="00AC4460">
              <w:t xml:space="preserve"> mg/kg ξηράς ουσίας,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Για να ευθυγραμμιστούν τα όρια των προσμείξεων μεταξύ των οργανικών βελτιωτικών εδάφους, των υλικών ασβέστωσης, των υποστρωμάτων καλλιέργειας και των βιοδιεγερτών φυτών, το όριο καδμίου σε όλες τις προαναφερθείσες κατηγορίες θα πρέπει να αλλάξει από 3 σε 1,5 mg/kg.</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3(Α) – παράγραφος 2 – δεύτερη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w:t>
            </w:r>
            <w:r w:rsidRPr="00AC4460">
              <w:tab/>
              <w:t xml:space="preserve">Εξασθενές χρώμιο (Cr VI) </w:t>
            </w:r>
            <w:r w:rsidRPr="00AC4460">
              <w:rPr>
                <w:b/>
                <w:i/>
              </w:rPr>
              <w:t>2</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Εξασθενές χρώμιο (Cr VI) </w:t>
            </w:r>
            <w:r w:rsidRPr="00AC4460">
              <w:rPr>
                <w:b/>
                <w:i/>
              </w:rPr>
              <w:t>1</w:t>
            </w:r>
            <w:r w:rsidRPr="00AC4460">
              <w:t xml:space="preserve"> mg/kg ξηράς ουσίας,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3(Α) – παράγραφος 2 – πέμπτη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120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3(Α) – παράγραφος 3 – στοιχείο α</w:t>
      </w:r>
      <w:r>
        <w:rPr>
          <w:rStyle w:val="HideTWBExt"/>
          <w:b w:val="0"/>
          <w:noProof w:val="0"/>
        </w:rPr>
        <w:t>&lt;/</w:t>
      </w:r>
      <w:r>
        <w:rPr>
          <w:rStyle w:val="HideTWBExt"/>
          <w:b w:val="0"/>
          <w:noProof w:val="0"/>
          <w:lang w:val="fr-FR"/>
        </w:rPr>
        <w:t>Article</w:t>
      </w:r>
      <w:r>
        <w:rPr>
          <w:rStyle w:val="HideTWBExt"/>
          <w:b w:val="0"/>
          <w:noProof w:val="0"/>
        </w:rPr>
        <w:t>&gt;</w:t>
      </w:r>
    </w:p>
    <w:tbl>
      <w:tblPr>
        <w:tblW w:w="9780" w:type="dxa"/>
        <w:jc w:val="center"/>
        <w:tblLayout w:type="fixed"/>
        <w:tblCellMar>
          <w:left w:w="340" w:type="dxa"/>
          <w:right w:w="340" w:type="dxa"/>
        </w:tblCellMar>
        <w:tblLook w:val="0000" w:firstRow="0" w:lastRow="0" w:firstColumn="0" w:lastColumn="0" w:noHBand="0" w:noVBand="0"/>
      </w:tblPr>
      <w:tblGrid>
        <w:gridCol w:w="3245"/>
        <w:gridCol w:w="774"/>
        <w:gridCol w:w="999"/>
        <w:gridCol w:w="828"/>
        <w:gridCol w:w="3906"/>
        <w:gridCol w:w="28"/>
      </w:tblGrid>
      <w:tr w:rsidR="00E451E4" w:rsidRPr="00075D2C" w:rsidTr="000A61DD">
        <w:trPr>
          <w:gridAfter w:val="1"/>
          <w:wAfter w:w="28" w:type="dxa"/>
          <w:jc w:val="center"/>
        </w:trPr>
        <w:tc>
          <w:tcPr>
            <w:tcW w:w="9752" w:type="dxa"/>
            <w:gridSpan w:val="5"/>
          </w:tcPr>
          <w:p w:rsidR="00E451E4" w:rsidRPr="00E451E4" w:rsidRDefault="00E451E4" w:rsidP="000A61DD">
            <w:pPr>
              <w:keepNext/>
            </w:pP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ColumnHeading"/>
              <w:jc w:val="left"/>
              <w:rPr>
                <w:iCs/>
              </w:rPr>
            </w:pPr>
            <w:r>
              <w:t>Κείμενο που προτείνει η Επιτροπή</w:t>
            </w:r>
          </w:p>
        </w:tc>
      </w:tr>
      <w:tr w:rsidR="00E451E4" w:rsidRPr="009421FD" w:rsidTr="000A61DD">
        <w:tblPrEx>
          <w:tblLook w:val="04A0" w:firstRow="1" w:lastRow="0" w:firstColumn="1" w:lastColumn="0" w:noHBand="0" w:noVBand="1"/>
        </w:tblPrEx>
        <w:trPr>
          <w:jc w:val="center"/>
        </w:trPr>
        <w:tc>
          <w:tcPr>
            <w:tcW w:w="9780" w:type="dxa"/>
            <w:gridSpan w:val="6"/>
          </w:tcPr>
          <w:p w:rsidR="00E451E4" w:rsidRPr="009421FD" w:rsidRDefault="00E451E4" w:rsidP="000A61DD">
            <w:pPr>
              <w:pStyle w:val="Normal6"/>
              <w:rPr>
                <w:b/>
                <w:bCs/>
                <w:i/>
                <w:iCs/>
              </w:rPr>
            </w:pPr>
            <w:r>
              <w:t>α)</w:t>
            </w:r>
            <w:r>
              <w:tab/>
            </w:r>
            <w:r>
              <w:rPr>
                <w:b/>
                <w:i/>
              </w:rPr>
              <w:t>δεν ανευρίσκονται Salmonella spp. σε δείγμα βάρους 25 g του προϊόντος λίπανσης με σήμανση CE·</w:t>
            </w:r>
          </w:p>
        </w:tc>
      </w:tr>
      <w:tr w:rsidR="00E451E4" w:rsidRPr="00135F02" w:rsidTr="000A61DD">
        <w:tblPrEx>
          <w:tblLook w:val="04A0" w:firstRow="1" w:lastRow="0" w:firstColumn="1" w:lastColumn="0" w:noHBand="0" w:noVBand="1"/>
        </w:tblPrEx>
        <w:trPr>
          <w:jc w:val="center"/>
        </w:trPr>
        <w:tc>
          <w:tcPr>
            <w:tcW w:w="9780" w:type="dxa"/>
            <w:gridSpan w:val="6"/>
          </w:tcPr>
          <w:p w:rsidR="00E451E4" w:rsidRPr="00135F02" w:rsidRDefault="00E451E4" w:rsidP="000A61DD">
            <w:pPr>
              <w:pStyle w:val="ColumnHeading"/>
              <w:jc w:val="left"/>
              <w:rPr>
                <w:b/>
                <w:bCs/>
                <w:i w:val="0"/>
                <w:iCs/>
              </w:rPr>
            </w:pPr>
            <w:r>
              <w:t>Τροπολογία</w:t>
            </w:r>
          </w:p>
        </w:tc>
      </w:tr>
      <w:tr w:rsidR="00E451E4" w:rsidRPr="009421FD" w:rsidTr="000A61DD">
        <w:tblPrEx>
          <w:tblLook w:val="04A0" w:firstRow="1" w:lastRow="0" w:firstColumn="1" w:lastColumn="0" w:noHBand="0" w:noVBand="1"/>
        </w:tblPrEx>
        <w:trPr>
          <w:jc w:val="center"/>
        </w:trPr>
        <w:tc>
          <w:tcPr>
            <w:tcW w:w="9780" w:type="dxa"/>
            <w:gridSpan w:val="6"/>
          </w:tcPr>
          <w:p w:rsidR="00E451E4" w:rsidRPr="009421FD" w:rsidRDefault="00E451E4" w:rsidP="000A61DD">
            <w:pPr>
              <w:pStyle w:val="Normal6"/>
              <w:rPr>
                <w:b/>
                <w:bCs/>
                <w:i/>
                <w:iCs/>
              </w:rPr>
            </w:pPr>
            <w:r>
              <w:t>α)</w:t>
            </w:r>
            <w:r>
              <w:tab/>
            </w:r>
            <w:r>
              <w:rPr>
                <w:b/>
                <w:i/>
              </w:rPr>
              <w:t>παθογόνοι παράγοντες δεν πρέπει να περιέχονται στο οργανικό βελτιωτικό εδάφους σε συγκέντρωση μεγαλύτερη των αντίστοιχων ορίων που καθορίζονται στον κατωτέρω πίνακα:</w:t>
            </w:r>
          </w:p>
        </w:tc>
      </w:tr>
      <w:tr w:rsidR="00E451E4" w:rsidRPr="00135F02"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Μικροοργανισμός προς έλεγχο</w:t>
            </w:r>
          </w:p>
        </w:tc>
        <w:tc>
          <w:tcPr>
            <w:tcW w:w="2601" w:type="dxa"/>
            <w:gridSpan w:val="3"/>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Σχέδια δειγματοληψίας</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Όριο</w:t>
            </w:r>
          </w:p>
        </w:tc>
      </w:tr>
      <w:tr w:rsidR="00E451E4" w:rsidRPr="00135F02"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n</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m</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M</w:t>
            </w:r>
          </w:p>
        </w:tc>
      </w:tr>
      <w:tr w:rsidR="00E451E4" w:rsidRPr="009421FD"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135F02" w:rsidTr="000A61DD">
        <w:tblPrEx>
          <w:tblLook w:val="04A0" w:firstRow="1" w:lastRow="0" w:firstColumn="1" w:lastColumn="0" w:noHBand="0" w:noVBand="1"/>
        </w:tblPrEx>
        <w:trPr>
          <w:jc w:val="center"/>
        </w:trPr>
        <w:tc>
          <w:tcPr>
            <w:tcW w:w="3245"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999"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4"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1000 σε 1 g ή 1 ml</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όπου n = ο αριθμός των προς έλεγχο δειγμάτων</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c = ο αριθμός των δειγμάτων στα οποία ο αριθμός των βακτηρίων που εκφράζονται σε CFU κυμαίνεται μεταξύ m and M</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m = κατώτατη τιμή για τον αριθμό των βακτηρίων που εκφράζονται σε CFU, η οποία θεωρείται ικανοποιητική</w:t>
            </w:r>
          </w:p>
        </w:tc>
      </w:tr>
      <w:tr w:rsidR="00E451E4" w:rsidRPr="009421FD" w:rsidTr="000A61DD">
        <w:tblPrEx>
          <w:tblLook w:val="04A0" w:firstRow="1" w:lastRow="0" w:firstColumn="1" w:lastColumn="0" w:noHBand="0" w:noVBand="1"/>
        </w:tblPrEx>
        <w:trPr>
          <w:jc w:val="center"/>
        </w:trPr>
        <w:tc>
          <w:tcPr>
            <w:tcW w:w="9780" w:type="dxa"/>
            <w:gridSpan w:val="6"/>
            <w:hideMark/>
          </w:tcPr>
          <w:p w:rsidR="00E451E4" w:rsidRPr="009421FD" w:rsidRDefault="00E451E4" w:rsidP="000A61DD">
            <w:pPr>
              <w:pStyle w:val="Normal6"/>
              <w:rPr>
                <w:b/>
                <w:bCs/>
                <w:i/>
                <w:iCs/>
              </w:rPr>
            </w:pPr>
            <w:r>
              <w:rPr>
                <w:b/>
                <w:bCs/>
                <w:i/>
                <w:iCs/>
              </w:rPr>
              <w:t>Μ = μέγιστη τιμή για τον αριθμό βακτηρίων που εκφράζονται σε CFU</w:t>
            </w:r>
          </w:p>
        </w:tc>
      </w:tr>
      <w:tr w:rsidR="00E451E4" w:rsidRPr="009421FD" w:rsidTr="000A61DD">
        <w:tblPrEx>
          <w:tblLook w:val="04A0" w:firstRow="1" w:lastRow="0" w:firstColumn="1" w:lastColumn="0" w:noHBand="0" w:noVBand="1"/>
        </w:tblPrEx>
        <w:trPr>
          <w:jc w:val="center"/>
        </w:trPr>
        <w:tc>
          <w:tcPr>
            <w:tcW w:w="9780" w:type="dxa"/>
            <w:gridSpan w:val="6"/>
          </w:tcPr>
          <w:p w:rsidR="00E451E4" w:rsidRPr="009421FD" w:rsidRDefault="00E451E4" w:rsidP="000A61DD">
            <w:pPr>
              <w:pStyle w:val="Normal6"/>
              <w:rPr>
                <w:b/>
                <w:bCs/>
                <w:i/>
                <w:iCs/>
              </w:rPr>
            </w:pPr>
            <w:r>
              <w:rPr>
                <w:b/>
                <w:bCs/>
                <w:i/>
                <w:iCs/>
              </w:rPr>
              <w:t>Τα παράσιτα Ascaris spp. και Toxocara spp., σε όλα τα στάδια της ανάπτυξής τους, δεν πρέπει να περιέχονται σε 100g ή 100ml του οργανικού βελτιωτικού εδάφους.</w:t>
            </w:r>
          </w:p>
        </w:tc>
      </w:tr>
    </w:tbl>
    <w:p w:rsidR="00E451E4" w:rsidRPr="009421FD" w:rsidRDefault="00E451E4" w:rsidP="000A61DD">
      <w:pPr>
        <w:rPr>
          <w:rStyle w:val="HideTWBExt"/>
          <w:b/>
          <w:noProof w:val="0"/>
        </w:rPr>
      </w:pPr>
      <w:r>
        <w:rPr>
          <w:rStyle w:val="HideTWBExt"/>
          <w:noProof w:val="0"/>
        </w:rPr>
        <w:t>&lt;/</w:t>
      </w:r>
      <w:r>
        <w:rPr>
          <w:rStyle w:val="HideTWBExt"/>
          <w:noProof w:val="0"/>
          <w:lang w:val="en-GB"/>
        </w:rPr>
        <w:t>Amend</w:t>
      </w:r>
      <w:r>
        <w:rPr>
          <w:rStyle w:val="HideTWBExt"/>
          <w:noProof w:val="0"/>
        </w:rPr>
        <w:t>&gt;</w:t>
      </w:r>
    </w:p>
    <w:p w:rsidR="00E451E4" w:rsidRPr="00E451E4" w:rsidRDefault="00E451E4" w:rsidP="000A61DD">
      <w:pPr>
        <w:pStyle w:val="AMNumberTabs"/>
        <w:keepNext/>
      </w:pP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79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3(Β)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w:t>
            </w:r>
            <w:r w:rsidRPr="00AC4460">
              <w:tab/>
              <w:t>Ένα ανόργανο βελτιωτικό του εδάφους είναι βελτιωτικό εδάφους άλλο από τα οργανικά βελτιωτικά εδάφους.</w:t>
            </w:r>
          </w:p>
        </w:tc>
        <w:tc>
          <w:tcPr>
            <w:tcW w:w="4876" w:type="dxa"/>
          </w:tcPr>
          <w:p w:rsidR="00E451E4" w:rsidRPr="00AC4460" w:rsidRDefault="00E451E4" w:rsidP="000A61DD">
            <w:pPr>
              <w:pStyle w:val="Normal6"/>
              <w:rPr>
                <w:szCs w:val="24"/>
              </w:rPr>
            </w:pPr>
            <w:r w:rsidRPr="00AC4460">
              <w:t>1.</w:t>
            </w:r>
            <w:r w:rsidRPr="00AC4460">
              <w:tab/>
              <w:t>Ένα ανόργανο βελτιωτικό του εδάφους είναι βελτιωτικό εδάφους άλλο από τα οργανικά βελτιωτικά εδάφους</w:t>
            </w:r>
            <w:r w:rsidRPr="00AC4460">
              <w:rPr>
                <w:b/>
                <w:i/>
              </w:rPr>
              <w:t xml:space="preserve"> και περιλαμβάνει στρώσεις εδαφοκάλυψης. </w:t>
            </w:r>
            <w:r w:rsidRPr="00AC4460">
              <w:rPr>
                <w:b/>
                <w:bCs/>
                <w:i/>
                <w:iCs/>
              </w:rPr>
              <w:t>Μια βιοδιασπώμενη στρώση εδαφοκάλυψης είναι μια βιοδιασπώμενη στρώση πολυμερούς, η οποία συμμορφώνεται συγκεκριμένα με τις απαιτήσεις του παραρτήματος ΙΙ ΚΣΥ 10 σημεία 2α και 3 και προορίζεται να τοποθετηθεί στο έδαφος επιτόπου για την προστασία της δομής του, την καταστολή της ανάπτυξης ζιζανίων, τη μείωση της απώλειας υγρασίας ή την αποφυγή διάβρωσης του εδάφους.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3(Β) – παράγραφος 2 – πέμπτη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150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4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w:t>
            </w:r>
            <w:r w:rsidRPr="00AC4460">
              <w:tab/>
              <w:t>Ένα υπόστρωμα καλλιέργειας είναι υλικό άλλο από το χώμα</w:t>
            </w:r>
            <w:r w:rsidRPr="00AC4460">
              <w:rPr>
                <w:b/>
                <w:i/>
              </w:rPr>
              <w:t>, που προορίζεται για χρήση ως υπόστρωμα</w:t>
            </w:r>
            <w:r w:rsidRPr="00AC4460">
              <w:t xml:space="preserve"> για την ανάπτυξη </w:t>
            </w:r>
            <w:r w:rsidRPr="00AC4460">
              <w:rPr>
                <w:b/>
                <w:i/>
              </w:rPr>
              <w:t>των ριζών</w:t>
            </w:r>
            <w:r w:rsidRPr="00AC4460">
              <w:t>.</w:t>
            </w:r>
          </w:p>
        </w:tc>
        <w:tc>
          <w:tcPr>
            <w:tcW w:w="4876" w:type="dxa"/>
          </w:tcPr>
          <w:p w:rsidR="00E451E4" w:rsidRPr="00AC4460" w:rsidRDefault="00E451E4" w:rsidP="000A61DD">
            <w:pPr>
              <w:pStyle w:val="Normal6"/>
              <w:rPr>
                <w:szCs w:val="24"/>
              </w:rPr>
            </w:pPr>
            <w:r w:rsidRPr="00AC4460">
              <w:t>1.</w:t>
            </w:r>
            <w:r w:rsidRPr="00AC4460">
              <w:tab/>
              <w:t>Ένα υπόστρωμα καλλιέργειας είναι υλικό άλλο από το χώμα</w:t>
            </w:r>
            <w:r w:rsidRPr="00AC4460">
              <w:rPr>
                <w:b/>
                <w:i/>
              </w:rPr>
              <w:t xml:space="preserve"> επιτόπου</w:t>
            </w:r>
            <w:r w:rsidRPr="00AC4460">
              <w:t xml:space="preserve"> για την ανάπτυξη </w:t>
            </w:r>
            <w:r w:rsidRPr="00AC4460">
              <w:rPr>
                <w:b/>
                <w:i/>
              </w:rPr>
              <w:t>φυτών και μανιταριών</w:t>
            </w:r>
            <w:r w:rsidRPr="00AC4460">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4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1,5</w:t>
            </w:r>
            <w:r w:rsidRPr="00AC4460">
              <w:t xml:space="preserve"> mg/kg ξηράς ουσίας,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Για να ευθυγραμμιστούν τα όρια των προσμείξεων μεταξύ των οργανικών βελτιωτικών εδάφους, των υλικών ασβέστωσης, των υποστρωμάτων καλλιέργειας και των βιοδιεγερτών φυτών, το όριο καδμίου σε όλες τις προαναφερθείσες κατηγορίες θα πρέπει να αλλάξει από 3 σε 1,5 mg/kg.</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4 – παράγραφος 2 – πέμπτη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 xml:space="preserve">Μόλυβδος (Pb) </w:t>
            </w:r>
            <w:r w:rsidRPr="00AC4460">
              <w:rPr>
                <w:b/>
                <w:i/>
              </w:rPr>
              <w:t>150</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Μόλυβδος (Pb) </w:t>
            </w:r>
            <w:r w:rsidRPr="00AC4460">
              <w:rPr>
                <w:b/>
                <w:i/>
              </w:rPr>
              <w:t>20</w:t>
            </w:r>
            <w:r w:rsidRPr="00AC4460">
              <w:t xml:space="preserve"> mg/kg ξηράς ουσίας.</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Ο μόλυβδος συσσωρεύεται στον οργανισμό και έχει πολύ σοβαρές συνέπειες στην ανάπτυξη των κεντρικού νευρικού συστήματος στα βρέφη, τα παιδιά και τα έμβρυα. Δεν υπάρχει συνιστώμενο ανεκτό επίπεδο πρόσληψης καθώς δεν υπάρχουν στοιχεία κατώτατων ορίων για μια σειρά κρίσιμων επιπτώσεων στην υγεία. Στο πλαίσιο της ιδιαίτερης ανησυχίας για την έκθεση των παιδιών σε μόλυβδο, είναι σημαντική η αυστηρή ρύθμιση βασικών διατροφικών πηγών μολύβδου.</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4 – παράγραφος 3</w:t>
      </w:r>
      <w:r>
        <w:rPr>
          <w:rStyle w:val="HideTWBExt"/>
          <w:b w:val="0"/>
          <w:noProof w:val="0"/>
        </w:rPr>
        <w:t>&lt;/</w:t>
      </w:r>
      <w:r>
        <w:rPr>
          <w:rStyle w:val="HideTWBExt"/>
          <w:b w:val="0"/>
          <w:noProof w:val="0"/>
          <w:lang w:val="fr-FR"/>
        </w:rPr>
        <w:t>Article</w:t>
      </w:r>
      <w:r>
        <w:rPr>
          <w:rStyle w:val="HideTWBExt"/>
          <w:b w:val="0"/>
          <w:noProof w:val="0"/>
        </w:rPr>
        <w:t>&gt;</w:t>
      </w:r>
    </w:p>
    <w:tbl>
      <w:tblPr>
        <w:tblW w:w="9785" w:type="dxa"/>
        <w:jc w:val="center"/>
        <w:tblLayout w:type="fixed"/>
        <w:tblCellMar>
          <w:left w:w="340" w:type="dxa"/>
          <w:right w:w="340" w:type="dxa"/>
        </w:tblCellMar>
        <w:tblLook w:val="0000" w:firstRow="0" w:lastRow="0" w:firstColumn="0" w:lastColumn="0" w:noHBand="0" w:noVBand="0"/>
      </w:tblPr>
      <w:tblGrid>
        <w:gridCol w:w="3247"/>
        <w:gridCol w:w="774"/>
        <w:gridCol w:w="1000"/>
        <w:gridCol w:w="828"/>
        <w:gridCol w:w="3903"/>
        <w:gridCol w:w="33"/>
      </w:tblGrid>
      <w:tr w:rsidR="00E451E4" w:rsidRPr="00075D2C" w:rsidTr="000A61DD">
        <w:trPr>
          <w:gridAfter w:val="1"/>
          <w:wAfter w:w="33" w:type="dxa"/>
          <w:jc w:val="center"/>
        </w:trPr>
        <w:tc>
          <w:tcPr>
            <w:tcW w:w="9752" w:type="dxa"/>
            <w:gridSpan w:val="5"/>
          </w:tcPr>
          <w:p w:rsidR="00E451E4" w:rsidRPr="00E451E4" w:rsidRDefault="00E451E4" w:rsidP="000A61DD">
            <w:pPr>
              <w:keepNext/>
            </w:pPr>
          </w:p>
        </w:tc>
      </w:tr>
      <w:tr w:rsidR="00E451E4" w:rsidRPr="009421FD" w:rsidTr="000A61DD">
        <w:tblPrEx>
          <w:tblLook w:val="04A0" w:firstRow="1" w:lastRow="0" w:firstColumn="1" w:lastColumn="0" w:noHBand="0" w:noVBand="1"/>
        </w:tblPrEx>
        <w:trPr>
          <w:jc w:val="center"/>
        </w:trPr>
        <w:tc>
          <w:tcPr>
            <w:tcW w:w="9785" w:type="dxa"/>
            <w:gridSpan w:val="6"/>
            <w:hideMark/>
          </w:tcPr>
          <w:p w:rsidR="00E451E4" w:rsidRPr="009421FD" w:rsidRDefault="00E451E4" w:rsidP="000A61DD">
            <w:pPr>
              <w:pStyle w:val="ColumnHeading"/>
              <w:jc w:val="left"/>
              <w:rPr>
                <w:iCs/>
              </w:rPr>
            </w:pPr>
            <w:r>
              <w:t>Κείμενο που προτείνει η Επιτροπή</w:t>
            </w:r>
          </w:p>
        </w:tc>
      </w:tr>
      <w:tr w:rsidR="00E451E4" w:rsidRPr="009421FD" w:rsidTr="000A61DD">
        <w:tblPrEx>
          <w:tblLook w:val="04A0" w:firstRow="1" w:lastRow="0" w:firstColumn="1" w:lastColumn="0" w:noHBand="0" w:noVBand="1"/>
        </w:tblPrEx>
        <w:trPr>
          <w:jc w:val="center"/>
        </w:trPr>
        <w:tc>
          <w:tcPr>
            <w:tcW w:w="9785" w:type="dxa"/>
            <w:gridSpan w:val="6"/>
            <w:hideMark/>
          </w:tcPr>
          <w:p w:rsidR="00E451E4" w:rsidRPr="009421FD" w:rsidRDefault="00E451E4" w:rsidP="000A61DD">
            <w:pPr>
              <w:pStyle w:val="Normal6"/>
              <w:rPr>
                <w:b/>
                <w:bCs/>
                <w:i/>
                <w:iCs/>
              </w:rPr>
            </w:pPr>
            <w:r>
              <w:rPr>
                <w:b/>
                <w:bCs/>
                <w:i/>
                <w:iCs/>
              </w:rPr>
              <w:t>3.</w:t>
            </w:r>
            <w:r>
              <w:rPr>
                <w:b/>
                <w:bCs/>
                <w:i/>
                <w:iCs/>
              </w:rPr>
              <w:tab/>
              <w:t>Δεν ανευρίσκονται Salmonella spp. σε δείγμα βάρους 25 g του προϊόντος λίπανσης με σήμανση CE.</w:t>
            </w:r>
          </w:p>
        </w:tc>
      </w:tr>
      <w:tr w:rsidR="00E451E4" w:rsidRPr="00135F02" w:rsidTr="000A61DD">
        <w:tblPrEx>
          <w:tblLook w:val="04A0" w:firstRow="1" w:lastRow="0" w:firstColumn="1" w:lastColumn="0" w:noHBand="0" w:noVBand="1"/>
        </w:tblPrEx>
        <w:trPr>
          <w:jc w:val="center"/>
        </w:trPr>
        <w:tc>
          <w:tcPr>
            <w:tcW w:w="9785" w:type="dxa"/>
            <w:gridSpan w:val="6"/>
          </w:tcPr>
          <w:p w:rsidR="00E451E4" w:rsidRPr="00135F02" w:rsidRDefault="00E451E4" w:rsidP="000A61DD">
            <w:pPr>
              <w:pStyle w:val="ColumnHeading"/>
              <w:jc w:val="left"/>
              <w:rPr>
                <w:b/>
                <w:bCs/>
                <w:i w:val="0"/>
                <w:iCs/>
              </w:rPr>
            </w:pPr>
            <w:r>
              <w:t>Τροπολογία</w:t>
            </w:r>
          </w:p>
        </w:tc>
      </w:tr>
      <w:tr w:rsidR="00E451E4" w:rsidRPr="009421FD" w:rsidTr="000A61DD">
        <w:tblPrEx>
          <w:tblLook w:val="04A0" w:firstRow="1" w:lastRow="0" w:firstColumn="1" w:lastColumn="0" w:noHBand="0" w:noVBand="1"/>
        </w:tblPrEx>
        <w:trPr>
          <w:jc w:val="center"/>
        </w:trPr>
        <w:tc>
          <w:tcPr>
            <w:tcW w:w="9785" w:type="dxa"/>
            <w:gridSpan w:val="6"/>
          </w:tcPr>
          <w:p w:rsidR="00E451E4" w:rsidRPr="009421FD" w:rsidRDefault="00E451E4" w:rsidP="000A61DD">
            <w:pPr>
              <w:pStyle w:val="Normal6"/>
            </w:pPr>
            <w:r>
              <w:t>3</w:t>
            </w:r>
            <w:r>
              <w:rPr>
                <w:b/>
                <w:bCs/>
                <w:i/>
                <w:iCs/>
              </w:rPr>
              <w:t>.</w:t>
            </w:r>
            <w:r>
              <w:rPr>
                <w:b/>
                <w:bCs/>
                <w:i/>
                <w:iCs/>
              </w:rPr>
              <w:tab/>
              <w:t>Παθογόνοι παράγοντες δεν πρέπει να περιέχονται στο υπόστρωμα καλλιέργειας σε συγκέντρωση μεγαλύτερη των αντίστοιχων ορίων που καθορίζονται στον κατωτέρω πίνακα:</w:t>
            </w:r>
          </w:p>
        </w:tc>
      </w:tr>
      <w:tr w:rsidR="00E451E4" w:rsidRPr="00135F02"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Μικροοργανισμός προς έλεγχο</w:t>
            </w:r>
          </w:p>
        </w:tc>
        <w:tc>
          <w:tcPr>
            <w:tcW w:w="2602" w:type="dxa"/>
            <w:gridSpan w:val="3"/>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Σχέδια δειγματοληψίας</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Όριο</w:t>
            </w:r>
          </w:p>
        </w:tc>
      </w:tr>
      <w:tr w:rsidR="00E451E4" w:rsidRPr="00135F02"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n</w:t>
            </w:r>
          </w:p>
        </w:tc>
        <w:tc>
          <w:tcPr>
            <w:tcW w:w="1000"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c</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m</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M</w:t>
            </w:r>
          </w:p>
        </w:tc>
      </w:tr>
      <w:tr w:rsidR="00E451E4" w:rsidRPr="009421FD"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Salmonella spp</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000"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135F02" w:rsidTr="000A61DD">
        <w:tblPrEx>
          <w:tblLook w:val="04A0" w:firstRow="1" w:lastRow="0" w:firstColumn="1" w:lastColumn="0" w:noHBand="0" w:noVBand="1"/>
        </w:tblPrEx>
        <w:trPr>
          <w:jc w:val="center"/>
        </w:trPr>
        <w:tc>
          <w:tcPr>
            <w:tcW w:w="3247"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Escherichia coli ή Enterococcaceae</w:t>
            </w:r>
          </w:p>
        </w:tc>
        <w:tc>
          <w:tcPr>
            <w:tcW w:w="774"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000"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828"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3936" w:type="dxa"/>
            <w:gridSpan w:val="2"/>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1000 σε 1 g ή 1 ml</w:t>
            </w:r>
          </w:p>
        </w:tc>
      </w:tr>
      <w:tr w:rsidR="00E451E4" w:rsidRPr="009421FD" w:rsidTr="000A61DD">
        <w:tblPrEx>
          <w:tblLook w:val="04A0" w:firstRow="1" w:lastRow="0" w:firstColumn="1" w:lastColumn="0" w:noHBand="0" w:noVBand="1"/>
        </w:tblPrEx>
        <w:trPr>
          <w:jc w:val="center"/>
        </w:trPr>
        <w:tc>
          <w:tcPr>
            <w:tcW w:w="9785" w:type="dxa"/>
            <w:gridSpan w:val="6"/>
            <w:hideMark/>
          </w:tcPr>
          <w:p w:rsidR="00E451E4" w:rsidRPr="009421FD" w:rsidRDefault="00E451E4" w:rsidP="000A61DD">
            <w:pPr>
              <w:pStyle w:val="Normal6"/>
              <w:rPr>
                <w:b/>
                <w:bCs/>
                <w:i/>
                <w:iCs/>
              </w:rPr>
            </w:pPr>
            <w:r>
              <w:rPr>
                <w:b/>
                <w:bCs/>
                <w:i/>
                <w:iCs/>
              </w:rPr>
              <w:t>όπου n = ο αριθμός των προς έλεγχο δειγμάτων</w:t>
            </w:r>
          </w:p>
        </w:tc>
      </w:tr>
      <w:tr w:rsidR="00E451E4" w:rsidRPr="009421FD" w:rsidTr="000A61DD">
        <w:tblPrEx>
          <w:tblLook w:val="04A0" w:firstRow="1" w:lastRow="0" w:firstColumn="1" w:lastColumn="0" w:noHBand="0" w:noVBand="1"/>
        </w:tblPrEx>
        <w:trPr>
          <w:jc w:val="center"/>
        </w:trPr>
        <w:tc>
          <w:tcPr>
            <w:tcW w:w="9785" w:type="dxa"/>
            <w:gridSpan w:val="6"/>
            <w:hideMark/>
          </w:tcPr>
          <w:p w:rsidR="00E451E4" w:rsidRPr="009421FD" w:rsidRDefault="00E451E4" w:rsidP="000A61DD">
            <w:pPr>
              <w:pStyle w:val="Normal6"/>
              <w:rPr>
                <w:b/>
                <w:bCs/>
                <w:i/>
                <w:iCs/>
              </w:rPr>
            </w:pPr>
            <w:r>
              <w:rPr>
                <w:b/>
                <w:bCs/>
                <w:i/>
                <w:iCs/>
              </w:rPr>
              <w:t>c = ο αριθμός των δειγμάτων στα οποία ο αριθμός των βακτηρίων που εκφράζονται σε CFU κυμαίνεται μεταξύ m and M</w:t>
            </w:r>
          </w:p>
        </w:tc>
      </w:tr>
      <w:tr w:rsidR="00E451E4" w:rsidRPr="009421FD" w:rsidTr="000A61DD">
        <w:tblPrEx>
          <w:tblLook w:val="04A0" w:firstRow="1" w:lastRow="0" w:firstColumn="1" w:lastColumn="0" w:noHBand="0" w:noVBand="1"/>
        </w:tblPrEx>
        <w:trPr>
          <w:jc w:val="center"/>
        </w:trPr>
        <w:tc>
          <w:tcPr>
            <w:tcW w:w="9785" w:type="dxa"/>
            <w:gridSpan w:val="6"/>
            <w:hideMark/>
          </w:tcPr>
          <w:p w:rsidR="00E451E4" w:rsidRPr="009421FD" w:rsidRDefault="00E451E4" w:rsidP="000A61DD">
            <w:pPr>
              <w:pStyle w:val="Normal6"/>
              <w:rPr>
                <w:b/>
                <w:bCs/>
                <w:i/>
                <w:iCs/>
              </w:rPr>
            </w:pPr>
            <w:r>
              <w:rPr>
                <w:b/>
                <w:bCs/>
                <w:i/>
                <w:iCs/>
              </w:rPr>
              <w:t>m = κατώτατη τιμή για τον αριθμό των βακτηρίων που εκφράζονται σε CFU, η οποία θεωρείται ικανοποιητική</w:t>
            </w:r>
          </w:p>
        </w:tc>
      </w:tr>
      <w:tr w:rsidR="00E451E4" w:rsidRPr="009421FD" w:rsidTr="000A61DD">
        <w:tblPrEx>
          <w:tblLook w:val="04A0" w:firstRow="1" w:lastRow="0" w:firstColumn="1" w:lastColumn="0" w:noHBand="0" w:noVBand="1"/>
        </w:tblPrEx>
        <w:trPr>
          <w:jc w:val="center"/>
        </w:trPr>
        <w:tc>
          <w:tcPr>
            <w:tcW w:w="9785" w:type="dxa"/>
            <w:gridSpan w:val="6"/>
            <w:hideMark/>
          </w:tcPr>
          <w:p w:rsidR="00E451E4" w:rsidRPr="009421FD" w:rsidRDefault="00E451E4" w:rsidP="000A61DD">
            <w:pPr>
              <w:pStyle w:val="Normal6"/>
              <w:rPr>
                <w:b/>
                <w:bCs/>
                <w:i/>
                <w:iCs/>
              </w:rPr>
            </w:pPr>
            <w:r>
              <w:rPr>
                <w:b/>
                <w:bCs/>
                <w:i/>
                <w:iCs/>
              </w:rPr>
              <w:t>Μ = μέγιστη τιμή για τον αριθμό βακτηρίων που εκφράζονται σε CFU</w:t>
            </w:r>
          </w:p>
        </w:tc>
      </w:tr>
      <w:tr w:rsidR="00E451E4" w:rsidRPr="009421FD" w:rsidTr="000A61DD">
        <w:tblPrEx>
          <w:tblLook w:val="04A0" w:firstRow="1" w:lastRow="0" w:firstColumn="1" w:lastColumn="0" w:noHBand="0" w:noVBand="1"/>
        </w:tblPrEx>
        <w:trPr>
          <w:jc w:val="center"/>
        </w:trPr>
        <w:tc>
          <w:tcPr>
            <w:tcW w:w="9785" w:type="dxa"/>
            <w:gridSpan w:val="6"/>
          </w:tcPr>
          <w:p w:rsidR="00E451E4" w:rsidRPr="009421FD" w:rsidRDefault="00E451E4" w:rsidP="000A61DD">
            <w:pPr>
              <w:pStyle w:val="Normal6"/>
              <w:rPr>
                <w:b/>
                <w:bCs/>
                <w:i/>
                <w:iCs/>
              </w:rPr>
            </w:pPr>
            <w:r>
              <w:rPr>
                <w:b/>
                <w:bCs/>
                <w:i/>
                <w:iCs/>
              </w:rPr>
              <w:t>Τα παράσιτα Ascaris spp. και Toxocara spp., σε όλα τα στάδια της ανάπτυξής τους, δεν πρέπει να περιέχονται σε 100g ή 100ml του οργανικού λιπάσματος.</w:t>
            </w:r>
          </w:p>
        </w:tc>
      </w:tr>
    </w:tbl>
    <w:p w:rsidR="00E451E4" w:rsidRPr="00E451E4" w:rsidRDefault="00E451E4" w:rsidP="000A61DD"/>
    <w:p w:rsidR="00E451E4" w:rsidRPr="009421FD" w:rsidRDefault="00E451E4" w:rsidP="000A61DD">
      <w:pPr>
        <w:rPr>
          <w:rStyle w:val="HideTWBExt"/>
          <w:b/>
          <w:noProof w:val="0"/>
        </w:rPr>
      </w:pPr>
      <w:r>
        <w:rPr>
          <w:rStyle w:val="HideTWBExt"/>
          <w:noProof w:val="0"/>
        </w:rPr>
        <w:t>&lt;/</w:t>
      </w:r>
      <w:r>
        <w:rPr>
          <w:rStyle w:val="HideTWBExt"/>
          <w:noProof w:val="0"/>
          <w:lang w:val="en-GB"/>
        </w:rPr>
        <w:t>Amend</w:t>
      </w:r>
      <w:r>
        <w:rPr>
          <w:rStyle w:val="HideTWBExt"/>
          <w:noProof w:val="0"/>
        </w:rPr>
        <w:t>&gt;</w:t>
      </w:r>
    </w:p>
    <w:p w:rsidR="00E451E4" w:rsidRPr="00E451E4" w:rsidRDefault="00E451E4" w:rsidP="000A61DD">
      <w:pPr>
        <w:pStyle w:val="AMNumberTabs"/>
        <w:keepNext/>
      </w:pP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noProof w:val="0"/>
        </w:rPr>
        <w:t>&lt;</w:t>
      </w:r>
      <w:r>
        <w:rPr>
          <w:rStyle w:val="HideTWBExt"/>
          <w:noProof w:val="0"/>
          <w:lang w:val="fr-FR"/>
        </w:rPr>
        <w:t>Article</w:t>
      </w:r>
      <w:r>
        <w:rPr>
          <w:rStyle w:val="HideTWBExt"/>
          <w:noProof w:val="0"/>
        </w:rPr>
        <w:t>&gt;</w:t>
      </w:r>
      <w:r w:rsidRPr="00AC4460">
        <w:t>Παράρτημα Ι – μέρος ΙΙ – ΚΛΠ 6 – παράγραφος 1</w:t>
      </w:r>
      <w:r>
        <w:rPr>
          <w:rStyle w:val="HideTWBExt"/>
          <w:noProof w:val="0"/>
        </w:rPr>
        <w:t>&lt;/</w:t>
      </w:r>
      <w:r>
        <w:rPr>
          <w:rStyle w:val="HideTWBExt"/>
          <w:noProof w:val="0"/>
          <w:lang w:val="fr-FR"/>
        </w:rPr>
        <w:t>Article</w:t>
      </w:r>
      <w:r>
        <w:rPr>
          <w:rStyle w:val="HideTWBExt"/>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rPr>
                <w:szCs w:val="24"/>
              </w:rPr>
              <w:t>1.</w:t>
            </w:r>
            <w:r w:rsidRPr="00AC4460">
              <w:rPr>
                <w:szCs w:val="24"/>
              </w:rPr>
              <w:tab/>
              <w:t>Ένας βιοδιεγέρτης φυτών είναι προϊόν λίπανσης με σήμανση CE που διεγείρει τις διαδικασίες θρέψης των φυτών ανεξάρτητα από την περιεκτικότητα του προϊόντος σε θρεπτικά συστατικά, με μοναδικό σκοπό τη βελτίωση ενός ή περισσότερων από τα ακόλουθα χαρακτηριστικά του φυτού:</w:t>
            </w:r>
          </w:p>
        </w:tc>
        <w:tc>
          <w:tcPr>
            <w:tcW w:w="4876" w:type="dxa"/>
          </w:tcPr>
          <w:p w:rsidR="00E451E4" w:rsidRPr="00AC4460" w:rsidRDefault="00E451E4" w:rsidP="000A61DD">
            <w:pPr>
              <w:pStyle w:val="Normal6"/>
              <w:rPr>
                <w:szCs w:val="24"/>
              </w:rPr>
            </w:pPr>
            <w:r w:rsidRPr="00AC4460">
              <w:rPr>
                <w:szCs w:val="24"/>
              </w:rPr>
              <w:t>1.</w:t>
            </w:r>
            <w:r w:rsidRPr="00AC4460">
              <w:rPr>
                <w:szCs w:val="24"/>
              </w:rPr>
              <w:tab/>
              <w:t xml:space="preserve">Ένας βιοδιεγέρτης φυτών είναι προϊόν λίπανσης με σήμανση CE που </w:t>
            </w:r>
            <w:r w:rsidRPr="00AC4460">
              <w:rPr>
                <w:b/>
                <w:i/>
                <w:szCs w:val="24"/>
              </w:rPr>
              <w:t xml:space="preserve">περιέχει οποιεσδήποτε ουσίες ή μικροοργανισμούς και </w:t>
            </w:r>
            <w:r w:rsidRPr="00AC4460">
              <w:rPr>
                <w:szCs w:val="24"/>
              </w:rPr>
              <w:t xml:space="preserve">διεγείρει τις διαδικασίες θρέψης των φυτών ανεξάρτητα από την περιεκτικότητα του προϊόντος σε θρεπτικά συστατικά, </w:t>
            </w:r>
            <w:r w:rsidRPr="00AC4460">
              <w:rPr>
                <w:b/>
                <w:i/>
                <w:szCs w:val="24"/>
              </w:rPr>
              <w:t xml:space="preserve">ή οποιονδήποτε συνδυασμό των εν λόγω ουσιών ή/και μικροοργανισμών, </w:t>
            </w:r>
            <w:r w:rsidRPr="00AC4460">
              <w:rPr>
                <w:szCs w:val="24"/>
              </w:rPr>
              <w:t>με μοναδικό σκοπό τη βελτίωση ενός ή περισσότερων από τα ακόλουθα χαρακτηριστικά</w:t>
            </w:r>
            <w:r w:rsidRPr="00AC4460">
              <w:rPr>
                <w:b/>
                <w:i/>
                <w:szCs w:val="24"/>
              </w:rPr>
              <w:t xml:space="preserve"> του φυτού ή της ριζόσφαιρας</w:t>
            </w:r>
            <w:r w:rsidRPr="00AC4460">
              <w:rPr>
                <w:szCs w:val="24"/>
              </w:rPr>
              <w:t xml:space="preserve"> του φυτού:</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noProof w:val="0"/>
        </w:rPr>
        <w:t>&lt;Article&gt;</w:t>
      </w:r>
      <w:r w:rsidRPr="00AC4460">
        <w:t>Παράρτημα I – μέρος II – ΚΛΠ 6 – παράγραφος 1 – στοιχείο γ α (νέο)</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γ α)</w:t>
            </w:r>
            <w:r w:rsidRPr="00AC4460">
              <w:rPr>
                <w:szCs w:val="24"/>
              </w:rPr>
              <w:tab/>
            </w:r>
            <w:r w:rsidRPr="00AC4460">
              <w:rPr>
                <w:b/>
                <w:i/>
              </w:rPr>
              <w:t>αποδόμηση οργανικής ουσίας στο έδαφος· ή</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noProof w:val="0"/>
        </w:rPr>
        <w:t>&lt;</w:t>
      </w:r>
      <w:r>
        <w:rPr>
          <w:rStyle w:val="HideTWBExt"/>
          <w:noProof w:val="0"/>
          <w:lang w:val="fr-FR"/>
        </w:rPr>
        <w:t>Article</w:t>
      </w:r>
      <w:r>
        <w:rPr>
          <w:rStyle w:val="HideTWBExt"/>
          <w:noProof w:val="0"/>
        </w:rPr>
        <w:t>&gt;</w:t>
      </w:r>
      <w:r w:rsidRPr="00AC4460">
        <w:t>Παράρτημα Ι – μέρος ΙΙ – ΚΛΠ 6 – παράγραφος 1 – στοιχείο γ β (νέο)</w:t>
      </w:r>
      <w:r>
        <w:rPr>
          <w:rStyle w:val="HideTWBExt"/>
          <w:noProof w:val="0"/>
        </w:rPr>
        <w:t>&lt;/</w:t>
      </w:r>
      <w:r>
        <w:rPr>
          <w:rStyle w:val="HideTWBExt"/>
          <w:noProof w:val="0"/>
          <w:lang w:val="fr-FR"/>
        </w:rPr>
        <w:t>Article</w:t>
      </w:r>
      <w:r>
        <w:rPr>
          <w:rStyle w:val="HideTWBExt"/>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γ β)</w:t>
            </w:r>
            <w:r w:rsidRPr="00AC4460">
              <w:rPr>
                <w:szCs w:val="24"/>
              </w:rPr>
              <w:tab/>
            </w:r>
            <w:r w:rsidRPr="00AC4460">
              <w:rPr>
                <w:b/>
                <w:i/>
              </w:rPr>
              <w:t>αύξηση της διαθεσιμότητας των θρεπτικών στοιχείων που συγκρατούνται στο έδαφος ή στη ριζόσφαιρα.</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t>-</w:t>
            </w:r>
            <w:r w:rsidRPr="00AC4460">
              <w:tab/>
              <w:t xml:space="preserve">Κάδμιο (Cd) </w:t>
            </w:r>
            <w:r w:rsidRPr="00AC4460">
              <w:rPr>
                <w:b/>
                <w:i/>
              </w:rPr>
              <w:t>3</w:t>
            </w:r>
            <w:r w:rsidRPr="00AC4460">
              <w:t xml:space="preserve"> mg/kg ξηράς ουσίας,</w:t>
            </w:r>
          </w:p>
        </w:tc>
        <w:tc>
          <w:tcPr>
            <w:tcW w:w="4876" w:type="dxa"/>
          </w:tcPr>
          <w:p w:rsidR="00E451E4" w:rsidRPr="00AC4460" w:rsidRDefault="00E451E4" w:rsidP="000A61DD">
            <w:pPr>
              <w:pStyle w:val="Normal6"/>
              <w:rPr>
                <w:szCs w:val="24"/>
              </w:rPr>
            </w:pPr>
            <w:r w:rsidRPr="00AC4460">
              <w:t>-</w:t>
            </w:r>
            <w:r w:rsidRPr="00AC4460">
              <w:tab/>
              <w:t xml:space="preserve">Κάδμιο (Cd) </w:t>
            </w:r>
            <w:r w:rsidRPr="00AC4460">
              <w:rPr>
                <w:b/>
                <w:i/>
              </w:rPr>
              <w:t>1,5</w:t>
            </w:r>
            <w:r w:rsidRPr="00AC4460">
              <w:t xml:space="preserve"> mg/kg ξηράς ουσίας,</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Για να ευθυγραμμιστούν τα όρια των προσμείξεων μεταξύ των οργανικών βελτιωτικών εδάφους, των υλικών ασβέστωσης, των υποστρωμάτων καλλιέργειας και των βιοδιεγερτών φυτών, το όριο καδμίου σε όλες τις προαναφερθείσες κατηγορίες θα πρέπει να αλλάξει από 3 σε 1,5 mg/kg.</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89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 παράγραφος 3</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3.</w:t>
            </w:r>
            <w:r w:rsidRPr="00AC4460">
              <w:tab/>
              <w:t xml:space="preserve">Ο βιοδιεγέρτης φυτών επιτυγχάνει τα αποτελέσματα που δηλώνονται στην ετικέτα για </w:t>
            </w:r>
            <w:r w:rsidRPr="00AC4460">
              <w:rPr>
                <w:b/>
                <w:i/>
              </w:rPr>
              <w:t>τις καλλιέργειες</w:t>
            </w:r>
            <w:r w:rsidRPr="00AC4460">
              <w:t xml:space="preserve"> που </w:t>
            </w:r>
            <w:r w:rsidRPr="00AC4460">
              <w:rPr>
                <w:b/>
                <w:i/>
              </w:rPr>
              <w:t>προσδιορίζονται</w:t>
            </w:r>
            <w:r w:rsidRPr="00AC4460">
              <w:t xml:space="preserve"> εκεί.</w:t>
            </w:r>
          </w:p>
        </w:tc>
        <w:tc>
          <w:tcPr>
            <w:tcW w:w="4876" w:type="dxa"/>
          </w:tcPr>
          <w:p w:rsidR="00E451E4" w:rsidRPr="00AC4460" w:rsidRDefault="00E451E4" w:rsidP="000A61DD">
            <w:pPr>
              <w:pStyle w:val="Normal6"/>
              <w:rPr>
                <w:szCs w:val="24"/>
              </w:rPr>
            </w:pPr>
            <w:r w:rsidRPr="00AC4460">
              <w:t>3.</w:t>
            </w:r>
            <w:r w:rsidRPr="00AC4460">
              <w:tab/>
              <w:t xml:space="preserve">Ο βιοδιεγέρτης φυτών επιτυγχάνει τα αποτελέσματα που δηλώνονται στην ετικέτα για </w:t>
            </w:r>
            <w:r w:rsidRPr="00AC4460">
              <w:rPr>
                <w:b/>
                <w:i/>
              </w:rPr>
              <w:t>το φυτό</w:t>
            </w:r>
            <w:r w:rsidRPr="00AC4460">
              <w:t xml:space="preserve"> που </w:t>
            </w:r>
            <w:r w:rsidRPr="00AC4460">
              <w:rPr>
                <w:b/>
                <w:i/>
              </w:rPr>
              <w:t>προσδιορίζεται</w:t>
            </w:r>
            <w:r w:rsidRPr="00AC4460">
              <w:t xml:space="preserve"> εκεί.</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90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3</w:t>
      </w:r>
      <w:r>
        <w:rPr>
          <w:rStyle w:val="HideTWBExt"/>
          <w:b w:val="0"/>
          <w:noProof w:val="0"/>
        </w:rPr>
        <w:t>&lt;/</w:t>
      </w:r>
      <w:r>
        <w:rPr>
          <w:rStyle w:val="HideTWBExt"/>
          <w:b w:val="0"/>
          <w:noProof w:val="0"/>
          <w:lang w:val="fr-FR"/>
        </w:rPr>
        <w:t>Article</w:t>
      </w:r>
      <w:r>
        <w:rPr>
          <w:rStyle w:val="HideTWBExt"/>
          <w:b w:val="0"/>
          <w:noProof w:val="0"/>
        </w:rPr>
        <w:t>&gt;</w:t>
      </w:r>
    </w:p>
    <w:tbl>
      <w:tblPr>
        <w:tblW w:w="9780" w:type="dxa"/>
        <w:jc w:val="center"/>
        <w:tblLayout w:type="fixed"/>
        <w:tblCellMar>
          <w:left w:w="340" w:type="dxa"/>
          <w:right w:w="340" w:type="dxa"/>
        </w:tblCellMar>
        <w:tblLook w:val="04A0" w:firstRow="1" w:lastRow="0" w:firstColumn="1" w:lastColumn="0" w:noHBand="0" w:noVBand="1"/>
      </w:tblPr>
      <w:tblGrid>
        <w:gridCol w:w="3213"/>
        <w:gridCol w:w="1323"/>
        <w:gridCol w:w="1202"/>
        <w:gridCol w:w="4042"/>
      </w:tblGrid>
      <w:tr w:rsidR="00E451E4" w:rsidRPr="00075D2C" w:rsidTr="000A61DD">
        <w:trPr>
          <w:jc w:val="center"/>
        </w:trPr>
        <w:tc>
          <w:tcPr>
            <w:tcW w:w="9780" w:type="dxa"/>
            <w:gridSpan w:val="4"/>
          </w:tcPr>
          <w:p w:rsidR="00E451E4" w:rsidRPr="00E451E4" w:rsidRDefault="00E451E4" w:rsidP="000A61DD">
            <w:pPr>
              <w:keepNext/>
            </w:pPr>
          </w:p>
        </w:tc>
      </w:tr>
      <w:tr w:rsidR="00E451E4" w:rsidRPr="009421FD" w:rsidTr="000A61DD">
        <w:trPr>
          <w:jc w:val="center"/>
        </w:trPr>
        <w:tc>
          <w:tcPr>
            <w:tcW w:w="9780" w:type="dxa"/>
            <w:gridSpan w:val="4"/>
            <w:hideMark/>
          </w:tcPr>
          <w:p w:rsidR="00E451E4" w:rsidRPr="009421FD" w:rsidRDefault="00E451E4" w:rsidP="000A61DD">
            <w:pPr>
              <w:pStyle w:val="ColumnHeading"/>
              <w:jc w:val="left"/>
              <w:rPr>
                <w:iCs/>
              </w:rPr>
            </w:pPr>
            <w:r>
              <w:t>Κείμενο που προτείνει η Επιτροπή</w:t>
            </w:r>
          </w:p>
        </w:tc>
      </w:tr>
      <w:tr w:rsidR="00E451E4" w:rsidRPr="009421FD" w:rsidTr="000A61DD">
        <w:trPr>
          <w:jc w:val="center"/>
        </w:trPr>
        <w:tc>
          <w:tcPr>
            <w:tcW w:w="9780" w:type="dxa"/>
            <w:gridSpan w:val="4"/>
            <w:hideMark/>
          </w:tcPr>
          <w:p w:rsidR="00E451E4" w:rsidRPr="009421FD" w:rsidRDefault="00E451E4" w:rsidP="000A61DD">
            <w:pPr>
              <w:pStyle w:val="Normal6"/>
              <w:rPr>
                <w:b/>
                <w:bCs/>
                <w:i/>
                <w:iCs/>
              </w:rPr>
            </w:pPr>
            <w:r>
              <w:rPr>
                <w:b/>
                <w:bCs/>
                <w:i/>
                <w:iCs/>
              </w:rPr>
              <w:t>3.</w:t>
            </w:r>
            <w:r>
              <w:rPr>
                <w:b/>
                <w:bCs/>
                <w:i/>
                <w:iCs/>
              </w:rPr>
              <w:tab/>
              <w:t>Δεν ανευρίσκονται Salmonella spp. σε δείγμα βάρους 25 g ή όγκου 25 ml του προϊόντος λίπανσης με σήμανση CE.</w:t>
            </w:r>
          </w:p>
        </w:tc>
      </w:tr>
      <w:tr w:rsidR="00E451E4" w:rsidRPr="009421FD" w:rsidTr="000A61DD">
        <w:trPr>
          <w:jc w:val="center"/>
        </w:trPr>
        <w:tc>
          <w:tcPr>
            <w:tcW w:w="9780" w:type="dxa"/>
            <w:gridSpan w:val="4"/>
          </w:tcPr>
          <w:p w:rsidR="00E451E4" w:rsidRPr="00E451E4" w:rsidRDefault="00E451E4" w:rsidP="000A61DD">
            <w:pPr>
              <w:pStyle w:val="Normal6"/>
              <w:spacing w:line="256" w:lineRule="auto"/>
            </w:pPr>
          </w:p>
        </w:tc>
      </w:tr>
      <w:tr w:rsidR="00E451E4" w:rsidRPr="00135F02" w:rsidTr="000A61DD">
        <w:trPr>
          <w:jc w:val="center"/>
        </w:trPr>
        <w:tc>
          <w:tcPr>
            <w:tcW w:w="9780" w:type="dxa"/>
            <w:gridSpan w:val="4"/>
            <w:hideMark/>
          </w:tcPr>
          <w:p w:rsidR="00E451E4" w:rsidRPr="00135F02" w:rsidRDefault="00E451E4" w:rsidP="000A61DD">
            <w:pPr>
              <w:pStyle w:val="ColumnHeading"/>
              <w:jc w:val="left"/>
              <w:rPr>
                <w:iCs/>
              </w:rPr>
            </w:pPr>
            <w:r>
              <w:t>Τροπολογία</w:t>
            </w:r>
          </w:p>
        </w:tc>
      </w:tr>
      <w:tr w:rsidR="00E451E4" w:rsidRPr="009421FD" w:rsidTr="000A61DD">
        <w:trPr>
          <w:jc w:val="center"/>
        </w:trPr>
        <w:tc>
          <w:tcPr>
            <w:tcW w:w="9780" w:type="dxa"/>
            <w:gridSpan w:val="4"/>
            <w:tcBorders>
              <w:bottom w:val="single" w:sz="4" w:space="0" w:color="auto"/>
            </w:tcBorders>
            <w:hideMark/>
          </w:tcPr>
          <w:p w:rsidR="00E451E4" w:rsidRPr="009421FD" w:rsidRDefault="00E451E4" w:rsidP="000A61DD">
            <w:pPr>
              <w:pStyle w:val="Normal6"/>
              <w:rPr>
                <w:b/>
                <w:bCs/>
                <w:i/>
                <w:iCs/>
              </w:rPr>
            </w:pPr>
            <w:r>
              <w:rPr>
                <w:b/>
                <w:bCs/>
                <w:i/>
                <w:iCs/>
              </w:rPr>
              <w:t>3.</w:t>
            </w:r>
            <w:r>
              <w:rPr>
                <w:b/>
                <w:bCs/>
                <w:i/>
                <w:iCs/>
              </w:rPr>
              <w:tab/>
              <w:t>Παθογόνοι παράγοντες δεν πρέπει να περιέχονται στον μικροβιακό βιοδιεγέρτη φυτών σε συγκέντρωση μεγαλύτερη των αντίστοιχων ορίων που καθορίζονται στον κατωτέρω πίνακα:</w:t>
            </w:r>
          </w:p>
        </w:tc>
      </w:tr>
      <w:tr w:rsidR="00E451E4" w:rsidRPr="00135F02"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Μικροοργανισμοί/οι τοξίνες και οι μεταβολίτες τους</w:t>
            </w:r>
          </w:p>
        </w:tc>
        <w:tc>
          <w:tcPr>
            <w:tcW w:w="2525" w:type="dxa"/>
            <w:gridSpan w:val="2"/>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Σχέδια δειγματοληψίας</w:t>
            </w:r>
          </w:p>
        </w:tc>
        <w:tc>
          <w:tcPr>
            <w:tcW w:w="4042"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Όριο</w:t>
            </w:r>
          </w:p>
        </w:tc>
      </w:tr>
      <w:tr w:rsidR="00E451E4" w:rsidRPr="00135F02"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n</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c</w:t>
            </w:r>
          </w:p>
        </w:tc>
        <w:tc>
          <w:tcPr>
            <w:tcW w:w="4042"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p>
        </w:tc>
      </w:tr>
      <w:tr w:rsidR="00E451E4" w:rsidRPr="009421FD"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Salmonella spp</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9421FD"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 xml:space="preserve">Escherichia coli </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1g ή 1ml</w:t>
            </w:r>
          </w:p>
        </w:tc>
      </w:tr>
      <w:tr w:rsidR="00E451E4" w:rsidRPr="009421FD"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Listeria monocytogenes</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9421FD"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Vibrio spp</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9421FD"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Salmonella spp</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9421FD"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Staphylococcus aureus</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0</w:t>
            </w:r>
          </w:p>
        </w:tc>
        <w:tc>
          <w:tcPr>
            <w:tcW w:w="4042"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Απουσία σε 25 g ή 25 ml</w:t>
            </w:r>
          </w:p>
        </w:tc>
      </w:tr>
      <w:tr w:rsidR="00E451E4" w:rsidRPr="00135F02"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Enterococcaceae.</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2</w:t>
            </w:r>
          </w:p>
        </w:tc>
        <w:tc>
          <w:tcPr>
            <w:tcW w:w="4042"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 CFU/g</w:t>
            </w:r>
          </w:p>
        </w:tc>
      </w:tr>
      <w:tr w:rsidR="00E451E4" w:rsidRPr="00135F02"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Αριθμός αναερόβιων αποικιών, εκτός εάν ο μικροβιακός βιοδιεγέρτης είναι αερόβιο βακτήριο</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2</w:t>
            </w:r>
          </w:p>
        </w:tc>
        <w:tc>
          <w:tcPr>
            <w:tcW w:w="4042"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w:t>
            </w:r>
            <w:r>
              <w:rPr>
                <w:b/>
                <w:bCs/>
                <w:i/>
                <w:iCs/>
                <w:vertAlign w:val="superscript"/>
              </w:rPr>
              <w:t>5</w:t>
            </w:r>
            <w:r>
              <w:rPr>
                <w:b/>
                <w:bCs/>
                <w:i/>
                <w:iCs/>
              </w:rPr>
              <w:t xml:space="preserve"> CFU/g ή ml</w:t>
            </w:r>
          </w:p>
        </w:tc>
      </w:tr>
      <w:tr w:rsidR="00E451E4" w:rsidRPr="00135F02" w:rsidTr="000A61DD">
        <w:trPr>
          <w:jc w:val="center"/>
        </w:trPr>
        <w:tc>
          <w:tcPr>
            <w:tcW w:w="3213" w:type="dxa"/>
            <w:tcBorders>
              <w:top w:val="single" w:sz="4" w:space="0" w:color="auto"/>
              <w:left w:val="single" w:sz="4" w:space="0" w:color="auto"/>
              <w:bottom w:val="single" w:sz="4" w:space="0" w:color="auto"/>
              <w:right w:val="single" w:sz="4" w:space="0" w:color="auto"/>
            </w:tcBorders>
          </w:tcPr>
          <w:p w:rsidR="00E451E4" w:rsidRPr="009421FD" w:rsidRDefault="00E451E4" w:rsidP="000A61DD">
            <w:pPr>
              <w:pStyle w:val="Normal6"/>
              <w:rPr>
                <w:b/>
                <w:bCs/>
                <w:i/>
                <w:iCs/>
              </w:rPr>
            </w:pPr>
            <w:r>
              <w:rPr>
                <w:b/>
                <w:bCs/>
                <w:i/>
                <w:iCs/>
              </w:rPr>
              <w:t>Αριθμός ζυμομυκήτων και υφομυκήτων, εκτός εάν ο μικροβιακός βιοδιεγέρτης είναι μύκητας</w:t>
            </w:r>
          </w:p>
        </w:tc>
        <w:tc>
          <w:tcPr>
            <w:tcW w:w="1323"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5</w:t>
            </w:r>
          </w:p>
        </w:tc>
        <w:tc>
          <w:tcPr>
            <w:tcW w:w="1202" w:type="dxa"/>
            <w:tcBorders>
              <w:top w:val="single" w:sz="4" w:space="0" w:color="auto"/>
              <w:left w:val="single" w:sz="4" w:space="0" w:color="auto"/>
              <w:bottom w:val="single" w:sz="4" w:space="0" w:color="auto"/>
            </w:tcBorders>
          </w:tcPr>
          <w:p w:rsidR="00E451E4" w:rsidRPr="00135F02" w:rsidRDefault="00E451E4" w:rsidP="000A61DD">
            <w:pPr>
              <w:pStyle w:val="Normal6"/>
              <w:rPr>
                <w:b/>
                <w:bCs/>
                <w:i/>
                <w:iCs/>
              </w:rPr>
            </w:pPr>
            <w:r>
              <w:rPr>
                <w:b/>
                <w:bCs/>
                <w:i/>
                <w:iCs/>
              </w:rPr>
              <w:t>2</w:t>
            </w:r>
          </w:p>
        </w:tc>
        <w:tc>
          <w:tcPr>
            <w:tcW w:w="4042" w:type="dxa"/>
            <w:tcBorders>
              <w:top w:val="single" w:sz="4" w:space="0" w:color="auto"/>
              <w:left w:val="single" w:sz="4" w:space="0" w:color="auto"/>
              <w:bottom w:val="single" w:sz="4" w:space="0" w:color="auto"/>
              <w:right w:val="single" w:sz="4" w:space="0" w:color="auto"/>
            </w:tcBorders>
          </w:tcPr>
          <w:p w:rsidR="00E451E4" w:rsidRPr="00135F02" w:rsidRDefault="00E451E4" w:rsidP="000A61DD">
            <w:pPr>
              <w:pStyle w:val="Normal6"/>
              <w:rPr>
                <w:b/>
                <w:bCs/>
                <w:i/>
                <w:iCs/>
              </w:rPr>
            </w:pPr>
            <w:r>
              <w:rPr>
                <w:b/>
                <w:bCs/>
                <w:i/>
                <w:iCs/>
              </w:rPr>
              <w:t>1000 CFU/g ή ml</w:t>
            </w:r>
          </w:p>
        </w:tc>
      </w:tr>
      <w:tr w:rsidR="00E451E4" w:rsidRPr="009421FD" w:rsidTr="000A61DD">
        <w:trPr>
          <w:jc w:val="center"/>
        </w:trPr>
        <w:tc>
          <w:tcPr>
            <w:tcW w:w="9780" w:type="dxa"/>
            <w:gridSpan w:val="4"/>
            <w:tcBorders>
              <w:top w:val="single" w:sz="4" w:space="0" w:color="auto"/>
            </w:tcBorders>
            <w:hideMark/>
          </w:tcPr>
          <w:p w:rsidR="00E451E4" w:rsidRPr="009421FD" w:rsidRDefault="00E451E4" w:rsidP="000A61DD">
            <w:pPr>
              <w:pStyle w:val="Normal6"/>
              <w:rPr>
                <w:b/>
                <w:bCs/>
                <w:i/>
                <w:iCs/>
              </w:rPr>
            </w:pPr>
            <w:r>
              <w:rPr>
                <w:b/>
                <w:bCs/>
                <w:i/>
                <w:iCs/>
              </w:rPr>
              <w:t>όπου</w:t>
            </w:r>
            <w:r>
              <w:rPr>
                <w:b/>
                <w:bCs/>
                <w:i/>
                <w:iCs/>
              </w:rPr>
              <w:tab/>
              <w:t>n = αριθμός μονάδων που συνιστούν το δείγμα· c = αριθμός μονάδων δειγματοληψίας με τιμές μεγαλύτερες του καθορισμένου ορίου.</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91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4</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pPr>
            <w:r w:rsidRPr="00AC4460">
              <w:rPr>
                <w:b/>
                <w:i/>
              </w:rPr>
              <w:t>4.</w:t>
            </w:r>
            <w:r w:rsidRPr="00AC4460">
              <w:rPr>
                <w:b/>
                <w:i/>
              </w:rPr>
              <w:tab/>
              <w:t>Δεν ανευρίσκεται Escherichia coli σε δείγμα βάρους 1 g ή όγκου 1 ml του προϊόντος λίπανσης με σήμανση CE.</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92</w:t>
      </w:r>
      <w:r>
        <w:rPr>
          <w:rStyle w:val="HideTWBExt"/>
          <w:b w:val="0"/>
          <w:noProof w:val="0"/>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5</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pPr>
            <w:r w:rsidRPr="00AC4460">
              <w:rPr>
                <w:b/>
                <w:i/>
              </w:rPr>
              <w:t>5.</w:t>
            </w:r>
            <w:r w:rsidRPr="00AC4460">
              <w:rPr>
                <w:b/>
                <w:i/>
              </w:rPr>
              <w:tab/>
              <w:t>Δεν ανευρίσκονται Enterococcaceae στο προϊόν λίπανσης με σήμανση CE σε αριθμό μεγαλύτερο από 10 CFU/g νωπής μάζας.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93</w:t>
      </w:r>
      <w:r>
        <w:rPr>
          <w:rStyle w:val="HideTWBExt"/>
          <w:b w:val="0"/>
          <w:noProof w:val="0"/>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6</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rPr>
                <w:b/>
                <w:bCs/>
                <w:i/>
                <w:iCs/>
              </w:rPr>
            </w:pPr>
            <w:r w:rsidRPr="00AC4460">
              <w:rPr>
                <w:b/>
                <w:bCs/>
                <w:i/>
                <w:iCs/>
              </w:rPr>
              <w:t>6.</w:t>
            </w:r>
            <w:r w:rsidRPr="00AC4460">
              <w:rPr>
                <w:b/>
                <w:bCs/>
                <w:i/>
                <w:iCs/>
              </w:rPr>
              <w:tab/>
              <w:t>Δεν ανευρίσκεται Listeria monocytogenes σε δείγμα βάρους 25 g ή όγκου 25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94</w:t>
      </w:r>
      <w:r>
        <w:rPr>
          <w:rStyle w:val="HideTWBExt"/>
          <w:b w:val="0"/>
          <w:noProof w:val="0"/>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7</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rPr>
                <w:b/>
                <w:bCs/>
                <w:i/>
                <w:iCs/>
              </w:rPr>
            </w:pPr>
            <w:r w:rsidRPr="00AC4460">
              <w:rPr>
                <w:b/>
                <w:bCs/>
                <w:i/>
                <w:iCs/>
              </w:rPr>
              <w:t>7.</w:t>
            </w:r>
            <w:r w:rsidRPr="00AC4460">
              <w:rPr>
                <w:b/>
                <w:bCs/>
                <w:i/>
                <w:iCs/>
              </w:rPr>
              <w:tab/>
              <w:t>Δεν ανευρίσκονται Vibrio spp. σε δείγμα βάρους 25 g ή όγκου 25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95</w:t>
      </w:r>
      <w:r>
        <w:rPr>
          <w:rStyle w:val="HideTWBExt"/>
          <w:b w:val="0"/>
          <w:noProof w:val="0"/>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8</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rPr>
                <w:b/>
                <w:bCs/>
                <w:i/>
                <w:iCs/>
              </w:rPr>
            </w:pPr>
            <w:r w:rsidRPr="00AC4460">
              <w:rPr>
                <w:b/>
                <w:bCs/>
                <w:i/>
                <w:iCs/>
              </w:rPr>
              <w:t>8.</w:t>
            </w:r>
            <w:r w:rsidRPr="00AC4460">
              <w:rPr>
                <w:b/>
                <w:bCs/>
                <w:i/>
                <w:iCs/>
              </w:rPr>
              <w:tab/>
              <w:t>Δεν ανευρίσκονται Shigella spp. σε δείγμα βάρους 25 g ή όγκου 25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96</w:t>
      </w:r>
      <w:r>
        <w:rPr>
          <w:rStyle w:val="HideTWBExt"/>
          <w:b w:val="0"/>
          <w:noProof w:val="0"/>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9</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rPr>
                <w:b/>
                <w:bCs/>
                <w:i/>
                <w:iCs/>
              </w:rPr>
            </w:pPr>
            <w:r w:rsidRPr="00AC4460">
              <w:rPr>
                <w:b/>
                <w:bCs/>
                <w:i/>
                <w:iCs/>
              </w:rPr>
              <w:t>9.</w:t>
            </w:r>
            <w:r w:rsidRPr="00AC4460">
              <w:rPr>
                <w:b/>
                <w:bCs/>
                <w:i/>
                <w:iCs/>
              </w:rPr>
              <w:tab/>
              <w:t>Δεν ανευρίσκεται Staphylococcus aureus σε δείγμα βάρους 1 g ή όγκου 1 ml του προϊόντος λίπανσης με σήμανση CE.</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97</w:t>
      </w:r>
      <w:r>
        <w:rPr>
          <w:rStyle w:val="HideTWBExt"/>
          <w:b w:val="0"/>
          <w:noProof w:val="0"/>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10</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pPr>
            <w:r w:rsidRPr="00AC4460">
              <w:t>Κείμενο που προτείνει η Επιτροπή</w:t>
            </w:r>
          </w:p>
        </w:tc>
        <w:tc>
          <w:tcPr>
            <w:tcW w:w="4876" w:type="dxa"/>
            <w:hideMark/>
          </w:tcPr>
          <w:p w:rsidR="00E451E4" w:rsidRPr="00AC4460" w:rsidRDefault="00E451E4" w:rsidP="000A61DD">
            <w:pPr>
              <w:pStyle w:val="ColumnHeading"/>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rPr>
                <w:b/>
                <w:bCs/>
                <w:i/>
                <w:iCs/>
              </w:rPr>
            </w:pPr>
            <w:r w:rsidRPr="00AC4460">
              <w:rPr>
                <w:b/>
                <w:bCs/>
                <w:i/>
                <w:iCs/>
              </w:rPr>
              <w:t>10.</w:t>
            </w:r>
            <w:r w:rsidRPr="00AC4460">
              <w:rPr>
                <w:b/>
                <w:bCs/>
                <w:i/>
                <w:iCs/>
              </w:rPr>
              <w:tab/>
              <w:t>Ο αριθμός αερόβιων ορατών αποικιών δεν υπερβαίνει τις 10</w:t>
            </w:r>
            <w:r w:rsidRPr="00AC4460">
              <w:rPr>
                <w:b/>
                <w:bCs/>
                <w:i/>
                <w:iCs/>
                <w:vertAlign w:val="superscript"/>
              </w:rPr>
              <w:t xml:space="preserve">5 </w:t>
            </w:r>
            <w:r w:rsidRPr="00AC4460">
              <w:rPr>
                <w:b/>
                <w:bCs/>
                <w:i/>
                <w:iCs/>
              </w:rPr>
              <w:t>CFU/g ή ml δείγματος προϊόντος λίπανσης με σήμανση CE, εκτός εάν ο μικροβιακός βιοδιεγέρτης είναι αερόβιο βακτήριο.</w:t>
            </w:r>
          </w:p>
        </w:tc>
        <w:tc>
          <w:tcPr>
            <w:tcW w:w="4876" w:type="dxa"/>
            <w:hideMark/>
          </w:tcPr>
          <w:p w:rsidR="00E451E4" w:rsidRPr="00AC4460" w:rsidRDefault="00E451E4" w:rsidP="000A61DD">
            <w:pPr>
              <w:pStyle w:val="Normal6"/>
              <w:rPr>
                <w:b/>
                <w:bCs/>
                <w:i/>
                <w:iCs/>
                <w:szCs w:val="24"/>
              </w:rPr>
            </w:pPr>
            <w:r w:rsidRPr="00AC4460">
              <w:rPr>
                <w:b/>
                <w:bCs/>
                <w:i/>
                <w:iCs/>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lang w:val="nl-NL"/>
        </w:rPr>
        <w:t>&lt;Amend&gt;</w:t>
      </w:r>
      <w:r w:rsidRPr="00AC4460">
        <w:t>Τροπολογία</w:t>
      </w:r>
      <w:r w:rsidRPr="00AC4460">
        <w:tab/>
      </w:r>
      <w:r w:rsidRPr="00AC4460">
        <w:tab/>
      </w:r>
      <w:r>
        <w:rPr>
          <w:rStyle w:val="HideTWBExt"/>
          <w:b w:val="0"/>
          <w:noProof w:val="0"/>
          <w:lang w:val="nl-NL"/>
        </w:rPr>
        <w:t>&lt;NumAm&gt;</w:t>
      </w:r>
      <w:r w:rsidRPr="00AC4460">
        <w:t>98</w:t>
      </w:r>
      <w:r>
        <w:rPr>
          <w:rStyle w:val="HideTWBExt"/>
          <w:b w:val="0"/>
          <w:noProof w:val="0"/>
          <w:lang w:val="nl-NL"/>
        </w:rPr>
        <w:t>&lt;/NumAm&gt;</w:t>
      </w:r>
    </w:p>
    <w:p w:rsidR="00E451E4" w:rsidRPr="00075D2C"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6(Α) – παράγραφος 12 – δεύτερο εδάφιο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rPr>
                <w:b/>
                <w:i/>
              </w:rPr>
              <w:t>ο βιοδιεγέρτης φυτών έχει pH υψηλότερο ή ίσο με 4.</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99</w:t>
      </w:r>
      <w:r>
        <w:rPr>
          <w:rStyle w:val="HideTWBExt"/>
          <w:b w:val="0"/>
          <w:noProof w:val="0"/>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 – μέρος ΙΙ – ΚΛΠ 6 (Α) – παράγραφος 13</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r w:rsidRPr="00AC4460">
              <w:rPr>
                <w:b/>
                <w:i/>
              </w:rPr>
              <w:t>13.</w:t>
            </w:r>
            <w:r w:rsidRPr="00AC4460">
              <w:rPr>
                <w:b/>
                <w:i/>
              </w:rPr>
              <w:tab/>
              <w:t>Η διάρκεια ζωής του μικροβιακού βιοδιεγέρτη φυτών είναι τουλάχιστον 6 μήνες υπό τις συνθήκες αποθήκευσης που καθορίζονται στην ετικέτα.</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Η πρόταση της Επιτροπής να καταστεί υποχρεωτική η εξάμηνη διάρκεια ζωής του μικροβιακού βιοδιεγέρτη φυτών δημιουργεί τον κίνδυνο να εξαιρεθούν προϊόντα ορθής λειτουργίας που έχουν μικρότερη διάρκεια ζωής. Δεν είναι σημαντική εν προκειμένω η ρύθμιση της διάρκειας ζωής ενός προϊόντος εφόσον ο καταναλωτής των σχετικών προϊόντων έχει ενημερωθεί δεόντως. Συνεπώς, θα πρέπει, αντί τούτου, να τεθεί σε εφαρμογή απαίτηση επισήμανσης.</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2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1.</w:t>
            </w:r>
            <w:r w:rsidRPr="00AC4460">
              <w:tab/>
              <w:t>Ένα προϊόν λίπανσης με σήμανση CE επιτρέπεται να περιέχει φυτά, μέρη φυτών ή εκχυλίσματα φυτών που δεν έχουν υποστεί καμία άλλη επεξεργασία πέραν της κοπής, της άλεσης, της φυγοκέντρησης, της συμπίεσης, της ξήρανσης, της λυοφιλίωσης ή της εκχύλισης με νερό.</w:t>
            </w:r>
          </w:p>
        </w:tc>
        <w:tc>
          <w:tcPr>
            <w:tcW w:w="4876" w:type="dxa"/>
          </w:tcPr>
          <w:p w:rsidR="00E451E4" w:rsidRPr="00AC4460" w:rsidRDefault="00E451E4" w:rsidP="000A61DD">
            <w:pPr>
              <w:pStyle w:val="Normal6"/>
            </w:pPr>
            <w:r w:rsidRPr="00AC4460">
              <w:t>1.</w:t>
            </w:r>
            <w:r w:rsidRPr="00AC4460">
              <w:tab/>
              <w:t xml:space="preserve">Ένα προϊόν λίπανσης με σήμανση CE επιτρέπεται να περιέχει φυτά, μέρη φυτών ή εκχυλίσματα φυτών που δεν έχουν υποστεί καμία άλλη επεξεργασία πέραν της κοπής, της άλεσης, της φυγοκέντρησης, της </w:t>
            </w:r>
            <w:r w:rsidRPr="00AC4460">
              <w:rPr>
                <w:b/>
                <w:i/>
              </w:rPr>
              <w:t xml:space="preserve">κοσκίνισης, της λειοτρίβησης, της </w:t>
            </w:r>
            <w:r w:rsidRPr="00AC4460">
              <w:t>συμπίεσης, της ξήρανσης, της λυοφιλίωσης</w:t>
            </w:r>
            <w:r w:rsidRPr="00AC4460">
              <w:rPr>
                <w:b/>
                <w:i/>
              </w:rPr>
              <w:t>, της απόπλυσης, της εξώθησης, της ακτινοβόλησης, της επεξεργασίας κατάψυξης, της απολύμανσης με τη χρήση θερμότητας</w:t>
            </w:r>
            <w:r w:rsidRPr="00AC4460">
              <w:t xml:space="preserve"> ή της εκχύλισης με νερό</w:t>
            </w:r>
            <w:r w:rsidRPr="00AC4460">
              <w:rPr>
                <w:b/>
                <w:i/>
              </w:rPr>
              <w:t xml:space="preserve"> ή οποιαδήποτε άλλη προετοιμασία ή επεξεργασία που δεν έχει ως αποτέλεσμα την υπαγωγή της τελικής ουσίας σε καταχώριση σύμφωνα με τον κανονισμό (ΕΚ) αριθ. 1907/2006</w:t>
            </w:r>
            <w:r w:rsidRPr="00AC4460">
              <w:t>.</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101</w:t>
      </w:r>
      <w:r>
        <w:rPr>
          <w:rStyle w:val="HideTWBExt"/>
          <w:b w:val="0"/>
          <w:noProof w:val="0"/>
          <w:lang w:val="en-GB"/>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2 – παράγραφος 2</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2.</w:t>
            </w:r>
            <w:r w:rsidRPr="00AC4460">
              <w:tab/>
              <w:t>Για τους σκοπούς της παραγράφου 1 θεωρείται ότι στα φυτά περιλαμβάνονται τα φύκη</w:t>
            </w:r>
            <w:r w:rsidRPr="00AC4460">
              <w:rPr>
                <w:b/>
                <w:i/>
              </w:rPr>
              <w:t xml:space="preserve"> και δεν περιλαμβάνονται</w:t>
            </w:r>
            <w:r w:rsidRPr="00AC4460">
              <w:t xml:space="preserve"> τα κυανοφύκη.</w:t>
            </w:r>
          </w:p>
        </w:tc>
        <w:tc>
          <w:tcPr>
            <w:tcW w:w="4876" w:type="dxa"/>
          </w:tcPr>
          <w:p w:rsidR="00E451E4" w:rsidRPr="00AC4460" w:rsidRDefault="00E451E4" w:rsidP="000A61DD">
            <w:pPr>
              <w:pStyle w:val="Normal6"/>
            </w:pPr>
            <w:r w:rsidRPr="00AC4460">
              <w:rPr>
                <w:szCs w:val="24"/>
              </w:rPr>
              <w:t>2.</w:t>
            </w:r>
            <w:r w:rsidRPr="00AC4460">
              <w:rPr>
                <w:szCs w:val="24"/>
              </w:rPr>
              <w:tab/>
              <w:t>Για τους σκοπούς της παραγράφου 1 θεωρείται ότι στα φυτά περιλαμβάνονται τα φύκη</w:t>
            </w:r>
            <w:r w:rsidRPr="00AC4460">
              <w:rPr>
                <w:b/>
                <w:i/>
                <w:szCs w:val="24"/>
              </w:rPr>
              <w:t>, εκτός από</w:t>
            </w:r>
            <w:r w:rsidRPr="00AC4460">
              <w:rPr>
                <w:szCs w:val="24"/>
              </w:rPr>
              <w:t xml:space="preserve"> τα κυανοφύκη</w:t>
            </w:r>
            <w:r w:rsidRPr="00AC4460">
              <w:rPr>
                <w:b/>
                <w:i/>
                <w:szCs w:val="24"/>
              </w:rPr>
              <w:t>, που παράγουν κυανοτοξίνες οι οποίες ταξινομούνται ως επικίνδυνες σύμφωνα με τον κανονισμό (ΕΚ) αριθ. 1272/2008 για την ταξινόμηση, την επισήμανση και τη συσκευασία των ουσιών και των μειγμάτων</w:t>
            </w:r>
            <w:r w:rsidRPr="00AC4460">
              <w:rPr>
                <w:szCs w:val="24"/>
              </w:rPr>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E451E4" w:rsidRDefault="00E451E4" w:rsidP="000A61DD">
      <w:pPr>
        <w:pStyle w:val="AMNumberTabs"/>
        <w:keepNext/>
      </w:pP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3 – παράγραφος 2 – πρώτη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w:t>
            </w:r>
            <w:r w:rsidRPr="00AC4460">
              <w:tab/>
              <w:t>όπου πραγματοποιείται επεξεργασία αποκλειστικά και μόνο των υλικών εισροής που αναφέρονται στην παράγραφο 1 παραπάνω, και</w:t>
            </w:r>
          </w:p>
        </w:tc>
        <w:tc>
          <w:tcPr>
            <w:tcW w:w="4876" w:type="dxa"/>
          </w:tcPr>
          <w:p w:rsidR="00E451E4" w:rsidRPr="00AC4460" w:rsidRDefault="00E451E4" w:rsidP="000A61DD">
            <w:pPr>
              <w:pStyle w:val="Normal6"/>
              <w:rPr>
                <w:szCs w:val="24"/>
              </w:rPr>
            </w:pPr>
            <w:r w:rsidRPr="00AC4460">
              <w:t>-</w:t>
            </w:r>
            <w:r w:rsidRPr="00AC4460">
              <w:tab/>
              <w:t xml:space="preserve">όπου πραγματοποιείται επεξεργασία αποκλειστικά και μόνο των υλικών εισροής που αναφέρονται στην παράγραφο 1 παραπάνω, </w:t>
            </w:r>
            <w:r w:rsidRPr="00AC4460">
              <w:rPr>
                <w:b/>
                <w:i/>
              </w:rPr>
              <w:t xml:space="preserve">σε γραμμές παραγωγής που διαχωρίζονται σαφώς από τις γραμμές παραγωγής που επεξεργάζονται υλικά εισροής διαφορετικά από αυτά που αναφέρονται στην παράγραφο 1, </w:t>
            </w:r>
            <w:r w:rsidRPr="00AC4460">
              <w:t>και</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103</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3 – παράγραφος 5</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5.</w:t>
            </w:r>
            <w:r w:rsidRPr="00AC4460">
              <w:tab/>
              <w:t xml:space="preserve">Από την </w:t>
            </w:r>
            <w:r w:rsidRPr="00AC4460">
              <w:rPr>
                <w:b/>
                <w:i/>
              </w:rPr>
              <w:t>[Publications office</w:t>
            </w:r>
            <w:r w:rsidRPr="00AC4460">
              <w:t xml:space="preserve">: </w:t>
            </w:r>
            <w:r w:rsidRPr="00AC4460">
              <w:rPr>
                <w:b/>
                <w:i/>
              </w:rPr>
              <w:t>Please insert the date occurring 5 years after the date of application of this Regulation]</w:t>
            </w:r>
            <w:r w:rsidRPr="00AC4460">
              <w:t xml:space="preserve">, το κομπόστ δεν περιέχει μακροσκοπικές προσμείξεις σε μορφή πλαστικού μεγέθους άνω των 2 mm σε ποσότητα μεγαλύτερη από 2,5 g/kg ξηράς ουσίας. Μέχρι την </w:t>
            </w:r>
            <w:r w:rsidRPr="00AC4460">
              <w:rPr>
                <w:b/>
                <w:i/>
              </w:rPr>
              <w:t>[Publications office</w:t>
            </w:r>
            <w:r w:rsidRPr="00AC4460">
              <w:t xml:space="preserve">: </w:t>
            </w:r>
            <w:r w:rsidRPr="00AC4460">
              <w:rPr>
                <w:b/>
                <w:i/>
              </w:rPr>
              <w:t>Please insert the date occurring 8 years after the date of application of this Regulation]</w:t>
            </w:r>
            <w:r w:rsidRPr="00AC4460">
              <w:t xml:space="preserve"> η οριακή τιμή των 2,5 g/kg ξηράς ουσίας θα έχει επανεξεταστεί προκειμένου να ληφθεί υπόψη η πρόοδος που θα έχει επιτευχθεί στον τομέα της χωριστής συλλογής των βιολογικών αποβλήτων.</w:t>
            </w:r>
          </w:p>
        </w:tc>
        <w:tc>
          <w:tcPr>
            <w:tcW w:w="4876" w:type="dxa"/>
          </w:tcPr>
          <w:p w:rsidR="00E451E4" w:rsidRPr="00AC4460" w:rsidRDefault="00E451E4" w:rsidP="000A61DD">
            <w:pPr>
              <w:pStyle w:val="Normal6"/>
              <w:rPr>
                <w:szCs w:val="24"/>
              </w:rPr>
            </w:pPr>
            <w:r w:rsidRPr="00AC4460">
              <w:t>5.</w:t>
            </w:r>
            <w:r w:rsidRPr="00AC4460">
              <w:tab/>
              <w:t xml:space="preserve">Από την </w:t>
            </w:r>
            <w:r w:rsidRPr="00AC4460">
              <w:rPr>
                <w:b/>
                <w:i/>
              </w:rPr>
              <w:t>[Υπηρεσία Εκδόσεων</w:t>
            </w:r>
            <w:r w:rsidRPr="00AC4460">
              <w:t xml:space="preserve">: </w:t>
            </w:r>
            <w:r w:rsidRPr="00AC4460">
              <w:rPr>
                <w:b/>
                <w:i/>
              </w:rPr>
              <w:t>εισάγετε την ημερομηνία που αντιστοιχεί στην πάροδο δύο ετών από την ημερομηνία έναρξης εφαρμογής του παρόντος κανονισμού]</w:t>
            </w:r>
            <w:r w:rsidRPr="00AC4460">
              <w:t xml:space="preserve">, το κομπόστ δεν περιέχει μακροσκοπικές προσμείξεις σε μορφή πλαστικού μεγέθους άνω των 2 mm σε ποσότητα μεγαλύτερη από 2,5 g/kg ξηράς ουσίας. Μέχρι την </w:t>
            </w:r>
            <w:r w:rsidRPr="00AC4460">
              <w:rPr>
                <w:b/>
                <w:i/>
              </w:rPr>
              <w:t>[Υπηρεσία Εκδόσεων</w:t>
            </w:r>
            <w:r w:rsidRPr="00AC4460">
              <w:t xml:space="preserve">: </w:t>
            </w:r>
            <w:r w:rsidRPr="00AC4460">
              <w:rPr>
                <w:b/>
                <w:i/>
              </w:rPr>
              <w:t>εισάγετε την ημερομηνία που αντιστοιχεί στην πάροδο πέντε ετών από την ημερομηνία έναρξης εφαρμογής του παρόντος κανονισμού]</w:t>
            </w:r>
            <w:r w:rsidRPr="00AC4460">
              <w:t xml:space="preserve"> η οριακή τιμή των 2,5 g/kg ξηράς ουσίας θα έχει επανεξεταστεί προκειμένου να ληφθεί υπόψη η πρόοδος που θα έχει επιτευχθεί στον τομέα της χωριστής συλλογής των βιολογικών αποβλήτων.</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Δεν υπάρχει λόγος να επιτρέπεται πλαστικό έως 5 g/kg σε κομπόστ για πέντε έτη. Το επίπεδο των 2,5 g/kg θα πρέπει να τεθεί σε ισχύ δύο έτη μετά την ημερομηνία εφαρμογής και θα πρέπει να επανεξεταστεί ύστερα από 5 έτη.</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&lt;Article&gt;</w:t>
      </w:r>
      <w:r w:rsidRPr="00AC4460">
        <w:t>Παράρτημα II – μέρος ΙΙ – ΚΣΥ 4 – τίτλος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135F02" w:rsidTr="000A61DD">
        <w:trPr>
          <w:jc w:val="center"/>
        </w:trPr>
        <w:tc>
          <w:tcPr>
            <w:tcW w:w="9752" w:type="dxa"/>
            <w:gridSpan w:val="2"/>
          </w:tcPr>
          <w:p w:rsidR="00E451E4" w:rsidRPr="00135F02"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CMC 4: Χώνευμα ενεργειακών καλλιεργειών</w:t>
            </w:r>
          </w:p>
        </w:tc>
        <w:tc>
          <w:tcPr>
            <w:tcW w:w="4876" w:type="dxa"/>
          </w:tcPr>
          <w:p w:rsidR="00E451E4" w:rsidRPr="00AC4460" w:rsidRDefault="00E451E4" w:rsidP="000A61DD">
            <w:pPr>
              <w:pStyle w:val="Normal6"/>
              <w:rPr>
                <w:szCs w:val="24"/>
              </w:rPr>
            </w:pPr>
            <w:r w:rsidRPr="00AC4460">
              <w:t>CMC 4: Χώνευμα ενεργειακών καλλιεργειών</w:t>
            </w:r>
            <w:r w:rsidRPr="00AC4460">
              <w:rPr>
                <w:b/>
                <w:i/>
              </w:rPr>
              <w:t xml:space="preserve"> και βιολογικά απόβλητα φυτικής προέλευσης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II – ΚΣΥ 4 – παράγραφος 1 – στοιχείο γ</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γ)</w:t>
            </w:r>
            <w:r w:rsidRPr="00AC4460">
              <w:tab/>
              <w:t>Οποιοδήποτε υλικό που αναφέρεται στα σημεία α) ή β) και το οποίο έχει προηγουμένως υποστεί χώνευση.</w:t>
            </w:r>
          </w:p>
        </w:tc>
        <w:tc>
          <w:tcPr>
            <w:tcW w:w="4876" w:type="dxa"/>
            <w:hideMark/>
          </w:tcPr>
          <w:p w:rsidR="00E451E4" w:rsidRPr="00AC4460" w:rsidRDefault="00E451E4" w:rsidP="000A61DD">
            <w:pPr>
              <w:pStyle w:val="Normal6"/>
              <w:rPr>
                <w:szCs w:val="24"/>
              </w:rPr>
            </w:pPr>
            <w:r w:rsidRPr="00AC4460">
              <w:t>γ)</w:t>
            </w:r>
            <w:r w:rsidRPr="00AC4460">
              <w:tab/>
              <w:t>Οποιοδήποτε υλικό αναφέρεται στα σημεία α) ή β) και το οποίο έχει προηγουμένως υποστεί χώνευση</w:t>
            </w:r>
            <w:r w:rsidRPr="00AC4460">
              <w:rPr>
                <w:b/>
                <w:i/>
              </w:rPr>
              <w:t xml:space="preserve"> και δεν περιέχει κανένα ίχνος από αφλατοξίνες</w:t>
            </w:r>
            <w:r w:rsidRPr="00AC4460">
              <w:t>.</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Οι αφλατοξίνες είναι χημικές ουσίες που παράγονται από μύκητες και είναι πολύ επικίνδυνες για την υγεία ανθρώπων και ζώων.</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 xml:space="preserve"> Παράρτημα II – μέρος ΙΙ – ΚΣΥ 4 – παράγραφος 3 – στοιχείο β</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στάδιο παστερίωσης (70 °C επί</w:t>
            </w:r>
            <w:r w:rsidRPr="00AC4460">
              <w:t xml:space="preserve"> </w:t>
            </w:r>
            <w:r w:rsidRPr="00AC4460">
              <w:rPr>
                <w:b/>
                <w:i/>
              </w:rPr>
              <w:t>1</w:t>
            </w:r>
            <w:r w:rsidRPr="00AC4460">
              <w:t xml:space="preserve"> </w:t>
            </w:r>
            <w:r w:rsidRPr="00AC4460">
              <w:rPr>
                <w:b/>
                <w:i/>
              </w:rPr>
              <w:t>ώρα</w:t>
            </w:r>
            <w:r w:rsidRPr="00AC4460">
              <w:t>)</w:t>
            </w:r>
            <w:r w:rsidRPr="00AC4460">
              <w:rPr>
                <w:b/>
                <w:i/>
              </w:rPr>
              <w:t>·</w:t>
            </w:r>
          </w:p>
        </w:tc>
        <w:tc>
          <w:tcPr>
            <w:tcW w:w="4876" w:type="dxa"/>
          </w:tcPr>
          <w:p w:rsidR="00E451E4" w:rsidRPr="00AC4460" w:rsidRDefault="00E451E4" w:rsidP="000A61DD">
            <w:pPr>
              <w:pStyle w:val="Normal6"/>
              <w:rPr>
                <w:szCs w:val="24"/>
              </w:rPr>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w:t>
            </w:r>
            <w:r w:rsidRPr="00AC4460">
              <w:rPr>
                <w:b/>
                <w:i/>
              </w:rPr>
              <w:t>1</w:t>
            </w:r>
            <w:r w:rsidRPr="00AC4460">
              <w:t xml:space="preserve"> </w:t>
            </w:r>
            <w:r w:rsidRPr="00AC4460">
              <w:rPr>
                <w:b/>
                <w:i/>
              </w:rPr>
              <w:t>του κανονισμού (ΕΕ</w:t>
            </w:r>
            <w:r w:rsidRPr="00AC4460">
              <w:t>)</w:t>
            </w:r>
            <w:r w:rsidRPr="00AC4460">
              <w:rPr>
                <w:b/>
                <w:i/>
              </w:rPr>
              <w:t xml:space="preserve"> αριθ. 142/2011 της Επιτροπής</w:t>
            </w:r>
            <w:r w:rsidRPr="00AC4460">
              <w:rPr>
                <w:b/>
                <w:i/>
                <w:vertAlign w:val="superscript"/>
              </w:rPr>
              <w:t>1α</w:t>
            </w:r>
            <w:r w:rsidRPr="00AC4460">
              <w:rPr>
                <w:b/>
                <w:i/>
              </w:rPr>
              <w:t>·</w:t>
            </w:r>
          </w:p>
        </w:tc>
      </w:tr>
      <w:tr w:rsidR="00E451E4" w:rsidRPr="00135F02" w:rsidTr="000A61DD">
        <w:trPr>
          <w:jc w:val="center"/>
        </w:trPr>
        <w:tc>
          <w:tcPr>
            <w:tcW w:w="4876" w:type="dxa"/>
          </w:tcPr>
          <w:p w:rsidR="00E451E4" w:rsidRPr="00AC4460" w:rsidRDefault="00E451E4" w:rsidP="000A61DD">
            <w:pPr>
              <w:pStyle w:val="Normal6"/>
              <w:rPr>
                <w:lang w:val="en-GB"/>
              </w:rPr>
            </w:pPr>
          </w:p>
        </w:tc>
        <w:tc>
          <w:tcPr>
            <w:tcW w:w="4876" w:type="dxa"/>
          </w:tcPr>
          <w:p w:rsidR="00E451E4" w:rsidRPr="00AC4460" w:rsidRDefault="00E451E4" w:rsidP="000A61DD">
            <w:pPr>
              <w:pStyle w:val="Normal6"/>
            </w:pPr>
            <w:r w:rsidRPr="00AC4460">
              <w:rPr>
                <w:szCs w:val="24"/>
              </w:rPr>
              <w:t>_________________</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vertAlign w:val="superscript"/>
              </w:rPr>
              <w:t>1α</w:t>
            </w:r>
            <w:r w:rsidRPr="00AC4460">
              <w:rPr>
                <w:b/>
                <w:i/>
                <w:szCs w:val="24"/>
              </w:rPr>
              <w:t xml:space="preserve"> Κανονισμός (ΕΕ) αριθ. 142/2011 της Επιτροπής, της 25ης Φεβρουαρίου 2011, για την εφαρμογή του κανονισμού (ΕΚ) αριθ. 1069/2009 του Ευρωπαϊκού Κοινοβουλίου και του Συμβουλίου περί υγειονομικών κανόνων για ζωικά υποπροϊόντα και παράγωγα προϊόντα που δεν προορίζονται για κατανάλωση από τον άνθρωπο και για την εφαρμογή της οδηγίας 97/78/ΕΚ του Συμβουλίου όσον αφορά ορισμένα δείγματα και τεμάχια που εξαιρούνται από κτηνιατρικούς ελέγχους στα σύνορα οι οποίοι αναφέρονται στην εν λόγω οδηγία (ΕΕ L 054 της 26.2.2011, σ. 1).</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4 – παράγραφος 3 – στοιχείο δ</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δ)</w:t>
            </w:r>
            <w:r w:rsidRPr="00AC4460">
              <w:tab/>
              <w:t>Μεσόφιλη αναερόβια χώνευση σε θερμοκρασία 37</w:t>
            </w:r>
            <w:r w:rsidRPr="00AC4460">
              <w:rPr>
                <w:b/>
                <w:i/>
              </w:rPr>
              <w:t>–</w:t>
            </w:r>
            <w:r w:rsidRPr="00AC4460">
              <w:t>40</w:t>
            </w:r>
            <w:r w:rsidRPr="00AC4460">
              <w:rPr>
                <w:b/>
                <w:i/>
              </w:rPr>
              <w:t xml:space="preserve"> </w:t>
            </w:r>
            <w:r w:rsidRPr="00AC4460">
              <w:t xml:space="preserve">°C με διεργασία μεταχείρισης που περιλαμβάνει </w:t>
            </w:r>
            <w:r w:rsidRPr="00AC4460">
              <w:rPr>
                <w:b/>
                <w:i/>
              </w:rPr>
              <w:t>στάδιο παστερίωσης (70 °C επί</w:t>
            </w:r>
            <w:r w:rsidRPr="00AC4460">
              <w:t xml:space="preserve"> </w:t>
            </w:r>
            <w:r w:rsidRPr="00AC4460">
              <w:rPr>
                <w:b/>
                <w:i/>
              </w:rPr>
              <w:t>1</w:t>
            </w:r>
            <w:r w:rsidRPr="00AC4460">
              <w:t xml:space="preserve"> </w:t>
            </w:r>
            <w:r w:rsidRPr="00AC4460">
              <w:rPr>
                <w:b/>
                <w:i/>
              </w:rPr>
              <w:t>ώρα</w:t>
            </w:r>
            <w:r w:rsidRPr="00AC4460">
              <w:t>)</w:t>
            </w:r>
            <w:r w:rsidRPr="00AC4460">
              <w:rPr>
                <w:b/>
                <w:i/>
              </w:rPr>
              <w:t>·</w:t>
            </w:r>
            <w:r w:rsidRPr="00AC4460">
              <w:t xml:space="preserve"> ή</w:t>
            </w:r>
          </w:p>
        </w:tc>
        <w:tc>
          <w:tcPr>
            <w:tcW w:w="4876" w:type="dxa"/>
          </w:tcPr>
          <w:p w:rsidR="00E451E4" w:rsidRPr="00AC4460" w:rsidRDefault="00E451E4" w:rsidP="000A61DD">
            <w:pPr>
              <w:pStyle w:val="Normal6"/>
              <w:rPr>
                <w:szCs w:val="24"/>
              </w:rPr>
            </w:pPr>
            <w:r w:rsidRPr="00AC4460">
              <w:t>δ)</w:t>
            </w:r>
            <w:r w:rsidRPr="00AC4460">
              <w:tab/>
              <w:t>Μεσόφιλη αναερόβια χώνευση σε θερμοκρασία 37</w:t>
            </w:r>
            <w:r w:rsidRPr="00AC4460">
              <w:rPr>
                <w:b/>
                <w:i/>
              </w:rPr>
              <w:t>-</w:t>
            </w:r>
            <w:r w:rsidRPr="00AC4460">
              <w:t xml:space="preserve">40°C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w:t>
            </w:r>
            <w:r w:rsidRPr="00AC4460">
              <w:rPr>
                <w:b/>
                <w:i/>
              </w:rPr>
              <w:t>1</w:t>
            </w:r>
            <w:r w:rsidRPr="00AC4460">
              <w:t xml:space="preserve"> </w:t>
            </w:r>
            <w:r w:rsidRPr="00AC4460">
              <w:rPr>
                <w:b/>
                <w:i/>
              </w:rPr>
              <w:t>του κανονισμού (ΕΕ</w:t>
            </w:r>
            <w:r w:rsidRPr="00AC4460">
              <w:t>)</w:t>
            </w:r>
            <w:r w:rsidRPr="00AC4460">
              <w:rPr>
                <w:b/>
                <w:i/>
              </w:rPr>
              <w:t xml:space="preserve"> αριθ. 142/2011·</w:t>
            </w:r>
            <w:r w:rsidRPr="00AC4460">
              <w:t xml:space="preserve"> ή</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108</w:t>
      </w:r>
      <w:r>
        <w:rPr>
          <w:rStyle w:val="HideTWBExt"/>
          <w:b w:val="0"/>
          <w:noProof w:val="0"/>
          <w:lang w:val="en-GB"/>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II – ΚΣΥ 5 – παράγραφος 1 – στοιχείο ε – εισαγωγικό μέρος</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ε)</w:t>
            </w:r>
            <w:r w:rsidRPr="00AC4460">
              <w:tab/>
              <w:t>Οποιοδήποτε υλικό που αναφέρεται στα σημεία α) έως δ) και το οποίο</w:t>
            </w:r>
          </w:p>
        </w:tc>
        <w:tc>
          <w:tcPr>
            <w:tcW w:w="4876" w:type="dxa"/>
            <w:hideMark/>
          </w:tcPr>
          <w:p w:rsidR="00E451E4" w:rsidRPr="00AC4460" w:rsidRDefault="00E451E4" w:rsidP="000A61DD">
            <w:pPr>
              <w:pStyle w:val="Normal6"/>
              <w:rPr>
                <w:szCs w:val="24"/>
              </w:rPr>
            </w:pPr>
            <w:r w:rsidRPr="00AC4460">
              <w:t>ε)</w:t>
            </w:r>
            <w:r w:rsidRPr="00AC4460">
              <w:tab/>
              <w:t xml:space="preserve">Οποιοδήποτε υλικό </w:t>
            </w:r>
            <w:r w:rsidRPr="00AC4460">
              <w:rPr>
                <w:b/>
                <w:i/>
              </w:rPr>
              <w:t xml:space="preserve">χωρίς αφλατοξίνες, </w:t>
            </w:r>
            <w:r w:rsidRPr="00AC4460">
              <w:t>που αναφέρεται στα σημεία α) έως δ) και το οποίο</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Οι αφλατοξίνες είναι χημικές ουσίες που παράγονται από μύκητες και είναι πολύ επικίνδυνες για την υγεία ανθρώπων και ζώων.</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109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5 – παράγραφος 3 – στοιχείο β</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στάδιο παστερίωσης (70 °C επί</w:t>
            </w:r>
            <w:r w:rsidRPr="00AC4460">
              <w:t xml:space="preserve"> </w:t>
            </w:r>
            <w:r w:rsidRPr="00AC4460">
              <w:rPr>
                <w:b/>
                <w:i/>
              </w:rPr>
              <w:t>1</w:t>
            </w:r>
            <w:r w:rsidRPr="00AC4460">
              <w:t xml:space="preserve"> </w:t>
            </w:r>
            <w:r w:rsidRPr="00AC4460">
              <w:rPr>
                <w:b/>
                <w:i/>
              </w:rPr>
              <w:t>ώρα</w:t>
            </w:r>
            <w:r w:rsidRPr="00AC4460">
              <w:t>)·</w:t>
            </w:r>
          </w:p>
        </w:tc>
        <w:tc>
          <w:tcPr>
            <w:tcW w:w="4876" w:type="dxa"/>
          </w:tcPr>
          <w:p w:rsidR="00E451E4" w:rsidRPr="00AC4460" w:rsidRDefault="00E451E4" w:rsidP="000A61DD">
            <w:pPr>
              <w:pStyle w:val="Normal6"/>
              <w:rPr>
                <w:szCs w:val="24"/>
              </w:rPr>
            </w:pPr>
            <w:r w:rsidRPr="00AC4460">
              <w:t>β)</w:t>
            </w:r>
            <w:r w:rsidRPr="00AC4460">
              <w:tab/>
              <w:t xml:space="preserve">Θερμόφιλη αναερόβια χώνευση σε θερμοκρασία 55 °C με διεργασία μεταχείρισης που περιλαμβάνει </w:t>
            </w:r>
            <w:r w:rsidRPr="00AC4460">
              <w:rPr>
                <w:b/>
                <w:i/>
              </w:rPr>
              <w:t>παστερίωση, όπως περιγράφεται στο παράρτημα V κεφάλαιο I τμήμα</w:t>
            </w:r>
            <w:r w:rsidRPr="00AC4460">
              <w:t xml:space="preserve"> </w:t>
            </w:r>
            <w:r w:rsidRPr="00AC4460">
              <w:rPr>
                <w:b/>
                <w:i/>
              </w:rPr>
              <w:t>1</w:t>
            </w:r>
            <w:r w:rsidRPr="00AC4460">
              <w:t xml:space="preserve"> </w:t>
            </w:r>
            <w:r w:rsidRPr="00AC4460">
              <w:rPr>
                <w:b/>
                <w:i/>
              </w:rPr>
              <w:t>του κανονισμού (ΕΕ</w:t>
            </w:r>
            <w:r w:rsidRPr="00AC4460">
              <w:t>)</w:t>
            </w:r>
            <w:r w:rsidRPr="00AC4460">
              <w:rPr>
                <w:b/>
                <w:i/>
              </w:rPr>
              <w:t xml:space="preserve"> αριθ. 142/2011</w:t>
            </w:r>
            <w:r w:rsidRPr="00AC4460">
              <w:t>·</w:t>
            </w:r>
            <w:r w:rsidRPr="00AC4460">
              <w:rPr>
                <w:b/>
                <w:i/>
              </w:rPr>
              <w:t xml:space="preserve"> </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110</w:t>
      </w:r>
      <w:r>
        <w:rPr>
          <w:rStyle w:val="HideTWBExt"/>
          <w:b w:val="0"/>
          <w:noProof w:val="0"/>
          <w:lang w:val="en-GB"/>
        </w:rPr>
        <w:t>&lt;/NumAm&gt;</w:t>
      </w:r>
    </w:p>
    <w:p w:rsidR="00E451E4" w:rsidRPr="009421FD" w:rsidRDefault="00E451E4" w:rsidP="000A61DD">
      <w:pPr>
        <w:pStyle w:val="NormalBold12b"/>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5 – παράγραφος 3 – στοιχείο δ</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δ)</w:t>
            </w:r>
            <w:r w:rsidRPr="00AC4460">
              <w:tab/>
              <w:t>Μεσόφιλη αναερόβια χώνευση σε θερμοκρασία 37</w:t>
            </w:r>
            <w:r w:rsidRPr="00AC4460">
              <w:rPr>
                <w:b/>
                <w:i/>
              </w:rPr>
              <w:t>–</w:t>
            </w:r>
            <w:r w:rsidRPr="00AC4460">
              <w:t>40</w:t>
            </w:r>
            <w:r w:rsidRPr="00AC4460">
              <w:rPr>
                <w:b/>
                <w:i/>
              </w:rPr>
              <w:t xml:space="preserve"> </w:t>
            </w:r>
            <w:r w:rsidRPr="00AC4460">
              <w:t xml:space="preserve">°C με διεργασία μεταχείρισης που περιλαμβάνει </w:t>
            </w:r>
            <w:r w:rsidRPr="00AC4460">
              <w:rPr>
                <w:b/>
                <w:i/>
              </w:rPr>
              <w:t>στάδιο παστερίωσης (70 °C επί</w:t>
            </w:r>
            <w:r w:rsidRPr="00AC4460">
              <w:t xml:space="preserve"> </w:t>
            </w:r>
            <w:r w:rsidRPr="00AC4460">
              <w:rPr>
                <w:b/>
                <w:i/>
              </w:rPr>
              <w:t>1</w:t>
            </w:r>
            <w:r w:rsidRPr="00AC4460">
              <w:t xml:space="preserve"> </w:t>
            </w:r>
            <w:r w:rsidRPr="00AC4460">
              <w:rPr>
                <w:b/>
                <w:i/>
              </w:rPr>
              <w:t>ώρα</w:t>
            </w:r>
            <w:r w:rsidRPr="00AC4460">
              <w:t>)</w:t>
            </w:r>
            <w:r w:rsidRPr="00AC4460">
              <w:rPr>
                <w:b/>
                <w:i/>
              </w:rPr>
              <w:t>·</w:t>
            </w:r>
            <w:r w:rsidRPr="00AC4460">
              <w:t xml:space="preserve"> ή</w:t>
            </w:r>
          </w:p>
        </w:tc>
        <w:tc>
          <w:tcPr>
            <w:tcW w:w="4876" w:type="dxa"/>
          </w:tcPr>
          <w:p w:rsidR="00E451E4" w:rsidRPr="00AC4460" w:rsidRDefault="00E451E4" w:rsidP="000A61DD">
            <w:pPr>
              <w:pStyle w:val="Normal6"/>
              <w:rPr>
                <w:szCs w:val="24"/>
              </w:rPr>
            </w:pPr>
            <w:r w:rsidRPr="00AC4460">
              <w:t>δ)</w:t>
            </w:r>
            <w:r w:rsidRPr="00AC4460">
              <w:tab/>
              <w:t>Μεσόφιλη αναερόβια χώνευση σε θερμοκρασία 37</w:t>
            </w:r>
            <w:r w:rsidRPr="00AC4460">
              <w:rPr>
                <w:b/>
                <w:i/>
              </w:rPr>
              <w:t>-</w:t>
            </w:r>
            <w:r w:rsidRPr="00AC4460">
              <w:t xml:space="preserve">40°C με διεργασία μεταχείρισης που περιλαμβάνει </w:t>
            </w:r>
            <w:r w:rsidRPr="00AC4460">
              <w:rPr>
                <w:b/>
                <w:i/>
              </w:rPr>
              <w:t>παστερίωση, όπως περιγράφεται στο παράρτημα V κεφάλαιο I τμήμα 1</w:t>
            </w:r>
            <w:r w:rsidRPr="00AC4460">
              <w:t xml:space="preserve"> </w:t>
            </w:r>
            <w:r w:rsidRPr="00AC4460">
              <w:rPr>
                <w:b/>
                <w:i/>
              </w:rPr>
              <w:t>του κανονισμού (ΕΕ</w:t>
            </w:r>
            <w:r w:rsidRPr="00AC4460">
              <w:t>)</w:t>
            </w:r>
            <w:r w:rsidRPr="00AC4460">
              <w:rPr>
                <w:b/>
                <w:i/>
              </w:rPr>
              <w:t xml:space="preserve"> αριθ. 142/2011·</w:t>
            </w:r>
            <w:r w:rsidRPr="00AC4460">
              <w:t xml:space="preserve"> ή</w:t>
            </w:r>
          </w:p>
        </w:tc>
      </w:tr>
    </w:tbl>
    <w:p w:rsidR="00E451E4" w:rsidRPr="009421FD"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111</w:t>
      </w:r>
      <w:r>
        <w:rPr>
          <w:rStyle w:val="HideTWBExt"/>
          <w:b w:val="0"/>
          <w:noProof w:val="0"/>
          <w:lang w:val="en-GB"/>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ΙI – μέρος ΙΙ – ΚΣΥ 6 – παράγραφος 2 – εδάφιο 2 α (νέο)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Η ποσότητα αφλατοξινών σε όλες τις ουσίες είναι χαμηλότερη από το όριο ανίχνευσης.</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Οι αφλατοξίνες είναι χημικές ουσίες που παράγονται από μύκητες και είναι πολύ επικίνδυνες για την υγεία ανθρώπων και ζώων.</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7 – δεύτερη περίπτωση</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hideMark/>
          </w:tcPr>
          <w:p w:rsidR="00E451E4" w:rsidRPr="00AC4460" w:rsidRDefault="00E451E4" w:rsidP="000A61DD">
            <w:pPr>
              <w:pStyle w:val="Normal6"/>
            </w:pPr>
            <w:r w:rsidRPr="00AC4460">
              <w:rPr>
                <w:b/>
                <w:i/>
              </w:rPr>
              <w:t>-</w:t>
            </w:r>
            <w:r w:rsidRPr="00AC4460">
              <w:rPr>
                <w:b/>
                <w:i/>
              </w:rPr>
              <w:tab/>
              <w:t>παρατίθενται στον παρακάτω πίνακα:</w:t>
            </w:r>
          </w:p>
        </w:tc>
        <w:tc>
          <w:tcPr>
            <w:tcW w:w="4876" w:type="dxa"/>
            <w:hideMark/>
          </w:tcPr>
          <w:p w:rsidR="00E451E4" w:rsidRPr="00AC4460" w:rsidRDefault="00E451E4" w:rsidP="000A61DD">
            <w:pPr>
              <w:pStyle w:val="Normal6"/>
              <w:rPr>
                <w:szCs w:val="24"/>
              </w:rPr>
            </w:pPr>
            <w:r w:rsidRPr="00AC4460">
              <w:rPr>
                <w:b/>
                <w:i/>
              </w:rPr>
              <w:t>διαγράφεται</w:t>
            </w:r>
          </w:p>
        </w:tc>
      </w:tr>
      <w:tr w:rsidR="00E451E4" w:rsidRPr="00135F02" w:rsidTr="000A61DD">
        <w:trPr>
          <w:jc w:val="center"/>
        </w:trPr>
        <w:tc>
          <w:tcPr>
            <w:tcW w:w="4876" w:type="dxa"/>
            <w:hideMark/>
          </w:tcPr>
          <w:p w:rsidR="00E451E4" w:rsidRPr="00AC4460" w:rsidRDefault="00E451E4" w:rsidP="000A61DD">
            <w:pPr>
              <w:pStyle w:val="Normal6"/>
            </w:pPr>
            <w:r w:rsidRPr="00AC4460">
              <w:rPr>
                <w:b/>
                <w:i/>
              </w:rPr>
              <w:t>Azotobacter spp.</w:t>
            </w:r>
          </w:p>
        </w:tc>
        <w:tc>
          <w:tcPr>
            <w:tcW w:w="4876" w:type="dxa"/>
          </w:tcPr>
          <w:p w:rsidR="00E451E4" w:rsidRPr="00AC4460" w:rsidRDefault="00E451E4" w:rsidP="000A61DD">
            <w:pPr>
              <w:pStyle w:val="Normal6"/>
              <w:rPr>
                <w:szCs w:val="24"/>
              </w:rPr>
            </w:pPr>
          </w:p>
        </w:tc>
      </w:tr>
      <w:tr w:rsidR="00E451E4" w:rsidRPr="00135F02" w:rsidTr="000A61DD">
        <w:trPr>
          <w:jc w:val="center"/>
        </w:trPr>
        <w:tc>
          <w:tcPr>
            <w:tcW w:w="4876" w:type="dxa"/>
            <w:hideMark/>
          </w:tcPr>
          <w:p w:rsidR="00E451E4" w:rsidRPr="00AC4460" w:rsidRDefault="00E451E4" w:rsidP="000A61DD">
            <w:pPr>
              <w:pStyle w:val="Normal6"/>
            </w:pPr>
            <w:r w:rsidRPr="00AC4460">
              <w:rPr>
                <w:b/>
                <w:i/>
              </w:rPr>
              <w:t>Μυκορριζικοί μύκητες</w:t>
            </w:r>
          </w:p>
        </w:tc>
        <w:tc>
          <w:tcPr>
            <w:tcW w:w="4876" w:type="dxa"/>
          </w:tcPr>
          <w:p w:rsidR="00E451E4" w:rsidRPr="00AC4460" w:rsidRDefault="00E451E4" w:rsidP="000A61DD">
            <w:pPr>
              <w:pStyle w:val="Normal6"/>
              <w:rPr>
                <w:szCs w:val="24"/>
              </w:rPr>
            </w:pPr>
          </w:p>
        </w:tc>
      </w:tr>
      <w:tr w:rsidR="00E451E4" w:rsidRPr="00135F02" w:rsidTr="000A61DD">
        <w:trPr>
          <w:jc w:val="center"/>
        </w:trPr>
        <w:tc>
          <w:tcPr>
            <w:tcW w:w="4876" w:type="dxa"/>
            <w:hideMark/>
          </w:tcPr>
          <w:p w:rsidR="00E451E4" w:rsidRPr="00AC4460" w:rsidRDefault="00E451E4" w:rsidP="000A61DD">
            <w:pPr>
              <w:pStyle w:val="Normal6"/>
            </w:pPr>
            <w:r w:rsidRPr="00AC4460">
              <w:rPr>
                <w:b/>
                <w:i/>
              </w:rPr>
              <w:t>Rhizobium spp.</w:t>
            </w:r>
          </w:p>
        </w:tc>
        <w:tc>
          <w:tcPr>
            <w:tcW w:w="4876" w:type="dxa"/>
          </w:tcPr>
          <w:p w:rsidR="00E451E4" w:rsidRPr="00AC4460" w:rsidRDefault="00E451E4" w:rsidP="000A61DD">
            <w:pPr>
              <w:pStyle w:val="Normal6"/>
              <w:rPr>
                <w:szCs w:val="24"/>
              </w:rPr>
            </w:pPr>
          </w:p>
        </w:tc>
      </w:tr>
      <w:tr w:rsidR="00E451E4" w:rsidRPr="00135F02" w:rsidTr="000A61DD">
        <w:trPr>
          <w:jc w:val="center"/>
        </w:trPr>
        <w:tc>
          <w:tcPr>
            <w:tcW w:w="4876" w:type="dxa"/>
            <w:hideMark/>
          </w:tcPr>
          <w:p w:rsidR="00E451E4" w:rsidRPr="00AC4460" w:rsidRDefault="00E451E4" w:rsidP="000A61DD">
            <w:pPr>
              <w:pStyle w:val="Normal6"/>
            </w:pPr>
            <w:r w:rsidRPr="00AC4460">
              <w:rPr>
                <w:b/>
                <w:i/>
              </w:rPr>
              <w:t>Azospirillum spp.</w:t>
            </w:r>
          </w:p>
        </w:tc>
        <w:tc>
          <w:tcPr>
            <w:tcW w:w="4876" w:type="dxa"/>
          </w:tcPr>
          <w:p w:rsidR="00E451E4" w:rsidRPr="00AC4460" w:rsidRDefault="00E451E4" w:rsidP="000A61DD">
            <w:pPr>
              <w:pStyle w:val="Normal6"/>
              <w:rPr>
                <w:szCs w:val="24"/>
              </w:rPr>
            </w:pPr>
          </w:p>
        </w:tc>
      </w:tr>
    </w:tbl>
    <w:p w:rsidR="00E451E4" w:rsidRPr="00135F02" w:rsidRDefault="00E451E4" w:rsidP="000A61DD">
      <w:r>
        <w:rPr>
          <w:rStyle w:val="HideTWBExt"/>
          <w:noProof w:val="0"/>
        </w:rPr>
        <w:t>&lt;/Amend&gt;</w:t>
      </w:r>
    </w:p>
    <w:p w:rsidR="00E451E4" w:rsidRPr="00135F02"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113</w:t>
      </w:r>
      <w:r>
        <w:rPr>
          <w:rStyle w:val="HideTWBExt"/>
          <w:b w:val="0"/>
          <w:noProof w:val="0"/>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10 – παράγραφος 1</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rPr>
                <w:rFonts w:eastAsia="Calibri"/>
              </w:rPr>
            </w:pPr>
            <w:r w:rsidRPr="00AC4460">
              <w:t>1.</w:t>
            </w:r>
            <w:r w:rsidRPr="00AC4460">
              <w:tab/>
              <w:t xml:space="preserve">Ένα προϊόν λίπανσης με σήμανση CE μπορεί να περιέχει πολυμερή άλλα από τα πολυμερή θρεπτικών συστατικών μόνον εφόσον στόχος του πολυμερούς είναι </w:t>
            </w:r>
          </w:p>
        </w:tc>
        <w:tc>
          <w:tcPr>
            <w:tcW w:w="4876" w:type="dxa"/>
          </w:tcPr>
          <w:p w:rsidR="00E451E4" w:rsidRPr="00AC4460" w:rsidRDefault="00E451E4" w:rsidP="000A61DD">
            <w:pPr>
              <w:pStyle w:val="Normal6"/>
              <w:rPr>
                <w:rFonts w:eastAsia="Calibri"/>
              </w:rPr>
            </w:pPr>
            <w:r w:rsidRPr="00AC4460">
              <w:t>1.</w:t>
            </w:r>
            <w:r w:rsidRPr="00AC4460">
              <w:tab/>
              <w:t xml:space="preserve">Ένα προϊόν λίπανσης με σήμανση CE μπορεί να περιέχει πολυμερή άλλα από τα πολυμερή θρεπτικών συστατικών μόνον εφόσον στόχος του πολυμερούς είναι </w:t>
            </w:r>
          </w:p>
        </w:tc>
      </w:tr>
      <w:tr w:rsidR="00E451E4" w:rsidRPr="009421FD" w:rsidTr="000A61DD">
        <w:trPr>
          <w:jc w:val="center"/>
        </w:trPr>
        <w:tc>
          <w:tcPr>
            <w:tcW w:w="4876" w:type="dxa"/>
          </w:tcPr>
          <w:p w:rsidR="00E451E4" w:rsidRPr="00AC4460" w:rsidRDefault="00E451E4" w:rsidP="000A61DD">
            <w:pPr>
              <w:pStyle w:val="Normal6"/>
              <w:rPr>
                <w:rFonts w:eastAsia="Calibri"/>
              </w:rPr>
            </w:pPr>
            <w:r w:rsidRPr="00AC4460">
              <w:t xml:space="preserve">α) </w:t>
            </w:r>
            <w:r w:rsidRPr="00AC4460">
              <w:tab/>
              <w:t>ο έλεγχος της διείσδυσης του ύδατος σε σωματίδια θρεπτικών συστατικών και, ως εκ τούτου, της απελευθέρωσης των θρεπτικών συστατικών (οπότε το πολυμερές ονομάζεται κοινώς «παράγοντας επικάλυψης»), ή</w:t>
            </w:r>
          </w:p>
        </w:tc>
        <w:tc>
          <w:tcPr>
            <w:tcW w:w="4876" w:type="dxa"/>
          </w:tcPr>
          <w:p w:rsidR="00E451E4" w:rsidRPr="00AC4460" w:rsidRDefault="00E451E4" w:rsidP="000A61DD">
            <w:pPr>
              <w:pStyle w:val="Normal6"/>
              <w:rPr>
                <w:rFonts w:eastAsia="Calibri"/>
              </w:rPr>
            </w:pPr>
            <w:r w:rsidRPr="00AC4460">
              <w:t xml:space="preserve">α) </w:t>
            </w:r>
            <w:r w:rsidRPr="00AC4460">
              <w:tab/>
              <w:t>ο έλεγχος της διείσδυσης του ύδατος σε σωματίδια θρεπτικών συστατικών και, ως εκ τούτου, της απελευθέρωσης των θρεπτικών συστατικών (οπότε το πολυμερές ονομάζεται κοινώς «παράγοντας επικάλυψης»), ή</w:t>
            </w:r>
          </w:p>
        </w:tc>
      </w:tr>
      <w:tr w:rsidR="00E451E4" w:rsidRPr="009421FD" w:rsidTr="000A61DD">
        <w:trPr>
          <w:jc w:val="center"/>
        </w:trPr>
        <w:tc>
          <w:tcPr>
            <w:tcW w:w="4876" w:type="dxa"/>
          </w:tcPr>
          <w:p w:rsidR="00E451E4" w:rsidRPr="00AC4460" w:rsidRDefault="00E451E4" w:rsidP="000A61DD">
            <w:pPr>
              <w:pStyle w:val="Normal6"/>
              <w:rPr>
                <w:rFonts w:eastAsia="Calibri"/>
              </w:rPr>
            </w:pPr>
            <w:r w:rsidRPr="00AC4460">
              <w:t xml:space="preserve">β) </w:t>
            </w:r>
            <w:r w:rsidRPr="00AC4460">
              <w:tab/>
              <w:t>η αύξηση της ικανότητας κατακράτησης ύδατος του προϊόντος λίπανσης με σήμανση CE</w:t>
            </w:r>
            <w:r w:rsidRPr="00AC4460">
              <w:rPr>
                <w:b/>
                <w:i/>
              </w:rPr>
              <w:t>.</w:t>
            </w:r>
          </w:p>
        </w:tc>
        <w:tc>
          <w:tcPr>
            <w:tcW w:w="4876" w:type="dxa"/>
          </w:tcPr>
          <w:p w:rsidR="00E451E4" w:rsidRPr="00AC4460" w:rsidRDefault="00E451E4" w:rsidP="000A61DD">
            <w:pPr>
              <w:pStyle w:val="Normal6"/>
              <w:rPr>
                <w:rFonts w:eastAsia="Calibri"/>
              </w:rPr>
            </w:pPr>
            <w:r w:rsidRPr="00AC4460">
              <w:t xml:space="preserve">β) </w:t>
            </w:r>
            <w:r w:rsidRPr="00AC4460">
              <w:tab/>
              <w:t>η αύξηση της ικανότητας κατακράτησης ύδατος του προϊόντος λίπανσης με σήμανση CE</w:t>
            </w:r>
            <w:r w:rsidRPr="00AC4460">
              <w:rPr>
                <w:b/>
                <w:i/>
              </w:rPr>
              <w:t>, ή</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β α)</w:t>
            </w:r>
            <w:r w:rsidRPr="00AC4460">
              <w:rPr>
                <w:b/>
                <w:i/>
                <w:szCs w:val="24"/>
              </w:rPr>
              <w:tab/>
            </w:r>
            <w:r w:rsidRPr="00AC4460">
              <w:rPr>
                <w:b/>
                <w:i/>
              </w:rPr>
              <w:t>η βελτίωση του εδάφους με βιοδιασπώμενη στρώση εδαφοκάλυψης, που συμμορφώνεται συγκεκριμένα προς τις απαιτήσεις της ΚΣΥ 10 σημεία 2α και 3, ή</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szCs w:val="24"/>
              </w:rPr>
              <w:t>β β)</w:t>
            </w:r>
            <w:r w:rsidRPr="00AC4460">
              <w:rPr>
                <w:b/>
                <w:i/>
                <w:szCs w:val="24"/>
              </w:rPr>
              <w:tab/>
            </w:r>
            <w:r w:rsidRPr="00AC4460">
              <w:rPr>
                <w:b/>
                <w:i/>
              </w:rPr>
              <w:t>η βελτίωση της σταθερότητας των προϊόντων λίπανσης με σήμανση CE.</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ΙΙ – ΚΣΥ 10 – παράγραφος 2</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rPr>
                <w:rFonts w:eastAsia="Calibri"/>
                <w:b/>
                <w:i/>
              </w:rPr>
            </w:pPr>
            <w:r w:rsidRPr="00AC4460">
              <w:t xml:space="preserve">2. </w:t>
            </w:r>
            <w:r w:rsidRPr="00AC4460">
              <w:tab/>
              <w:t xml:space="preserve">Από την </w:t>
            </w:r>
            <w:r w:rsidRPr="00AC4460">
              <w:rPr>
                <w:b/>
                <w:i/>
              </w:rPr>
              <w:t>[Publications office</w:t>
            </w:r>
            <w:r w:rsidRPr="00AC4460">
              <w:t xml:space="preserve">, </w:t>
            </w:r>
            <w:r w:rsidRPr="00AC4460">
              <w:rPr>
                <w:b/>
                <w:i/>
              </w:rPr>
              <w:t>please insert the date occurring three years after the date of application of this Regulation], επιβάλλεται η συμμόρφωση με το παρακάτω κριτήριο:</w:t>
            </w:r>
            <w:r w:rsidRPr="00AC4460">
              <w:t xml:space="preserve"> </w:t>
            </w:r>
            <w:r w:rsidRPr="00AC4460">
              <w:rPr>
                <w:b/>
                <w:i/>
              </w:rPr>
              <w:t>Το πολυμερές είναι ικανό να υποστεί φυσική ή βιολογική αποσύνθεση έτσι ώστε το μεγαλύτερο μέρος του να αποσυντίθεται τελικώς προς διοξείδιο του άνθρακα (CO</w:t>
            </w:r>
            <w:r w:rsidRPr="00AC4460">
              <w:rPr>
                <w:b/>
                <w:i/>
                <w:vertAlign w:val="subscript"/>
              </w:rPr>
              <w:t>2</w:t>
            </w:r>
            <w:r w:rsidRPr="00AC4460">
              <w:rPr>
                <w:b/>
                <w:i/>
              </w:rPr>
              <w:t>), βιομάζα και νερό. Τουλάχιστον το 90 % του οργανικού άνθρακα μετατρέπεται σε CO</w:t>
            </w:r>
            <w:r w:rsidRPr="00AC4460">
              <w:rPr>
                <w:b/>
                <w:i/>
                <w:vertAlign w:val="subscript"/>
              </w:rPr>
              <w:t>2</w:t>
            </w:r>
            <w:r w:rsidRPr="00AC4460">
              <w:rPr>
                <w:b/>
                <w:i/>
              </w:rPr>
              <w:t xml:space="preserve"> εντός 24 μηνών το αργότερο σε δοκιμή βιοαποδομησιμότητας όπως καθορίζεται στα σημεία α) έως γ) παρακάτω.</w:t>
            </w:r>
          </w:p>
        </w:tc>
        <w:tc>
          <w:tcPr>
            <w:tcW w:w="4876" w:type="dxa"/>
          </w:tcPr>
          <w:p w:rsidR="00E451E4" w:rsidRPr="00AC4460" w:rsidRDefault="00E451E4" w:rsidP="000A61DD">
            <w:pPr>
              <w:pStyle w:val="Normal6"/>
              <w:rPr>
                <w:szCs w:val="24"/>
              </w:rPr>
            </w:pPr>
            <w:r w:rsidRPr="00AC4460">
              <w:t xml:space="preserve">2. </w:t>
            </w:r>
            <w:r w:rsidRPr="00AC4460">
              <w:tab/>
              <w:t xml:space="preserve">Από την </w:t>
            </w:r>
            <w:r w:rsidRPr="00AC4460">
              <w:rPr>
                <w:b/>
                <w:i/>
              </w:rPr>
              <w:t>[Υπηρεσία Εκδόσεων</w:t>
            </w:r>
            <w:r w:rsidRPr="00AC4460">
              <w:t xml:space="preserve">, </w:t>
            </w:r>
            <w:r w:rsidRPr="00AC4460">
              <w:rPr>
                <w:b/>
                <w:i/>
              </w:rPr>
              <w:t>εισάγετε την ημερομηνία που αντιστοιχεί στην πάροδο πέντε ετών από την ημερομηνία έναρξης εφαρμογής του παρόντος κανονισμού], η Επιτροπή εκδίδει κατ’ εξουσιοδότηση πράξεις, σύμφωνα με</w:t>
            </w:r>
            <w:r w:rsidRPr="00AC4460">
              <w:t xml:space="preserve"> το </w:t>
            </w:r>
            <w:r w:rsidRPr="00AC4460">
              <w:rPr>
                <w:b/>
                <w:i/>
              </w:rPr>
              <w:t>άρθρο 42 παράγραφος 1</w:t>
            </w:r>
            <w:r w:rsidRPr="00AC4460">
              <w:t xml:space="preserve"> του </w:t>
            </w:r>
            <w:r w:rsidRPr="00AC4460">
              <w:rPr>
                <w:b/>
                <w:i/>
              </w:rPr>
              <w:t>παρόντος κανονισμού</w:t>
            </w:r>
            <w:r w:rsidRPr="00AC4460">
              <w:t xml:space="preserve">, και </w:t>
            </w:r>
            <w:r w:rsidRPr="00AC4460">
              <w:rPr>
                <w:b/>
                <w:i/>
              </w:rPr>
              <w:t>θεσπίζει:</w:t>
            </w:r>
          </w:p>
        </w:tc>
      </w:tr>
      <w:tr w:rsidR="00E451E4" w:rsidRPr="009421FD" w:rsidTr="000A61DD">
        <w:trPr>
          <w:jc w:val="center"/>
        </w:trPr>
        <w:tc>
          <w:tcPr>
            <w:tcW w:w="4876" w:type="dxa"/>
          </w:tcPr>
          <w:p w:rsidR="00E451E4" w:rsidRPr="00AC4460" w:rsidRDefault="00E451E4" w:rsidP="000A61DD">
            <w:pPr>
              <w:pStyle w:val="Normal6"/>
              <w:rPr>
                <w:rFonts w:eastAsia="Calibri"/>
                <w:b/>
                <w:bCs/>
                <w:i/>
                <w:iCs/>
              </w:rPr>
            </w:pPr>
            <w:r w:rsidRPr="00AC4460">
              <w:t xml:space="preserve">α) </w:t>
            </w:r>
            <w:r w:rsidRPr="00AC4460">
              <w:tab/>
            </w:r>
            <w:r w:rsidRPr="00AC4460">
              <w:rPr>
                <w:b/>
                <w:bCs/>
                <w:i/>
                <w:iCs/>
              </w:rPr>
              <w:t>Η δοκιμή διεξάγεται σε θερμοκρασία 25 °C ± 2 °C.</w:t>
            </w:r>
          </w:p>
        </w:tc>
        <w:tc>
          <w:tcPr>
            <w:tcW w:w="4876" w:type="dxa"/>
          </w:tcPr>
          <w:p w:rsidR="00E451E4" w:rsidRPr="00AC4460" w:rsidRDefault="00E451E4" w:rsidP="000A61DD">
            <w:pPr>
              <w:pStyle w:val="Normal6"/>
              <w:rPr>
                <w:b/>
                <w:bCs/>
                <w:i/>
                <w:iCs/>
                <w:szCs w:val="24"/>
              </w:rPr>
            </w:pPr>
            <w:r w:rsidRPr="00AC4460">
              <w:t xml:space="preserve">α) </w:t>
            </w:r>
            <w:r w:rsidRPr="00AC4460">
              <w:tab/>
            </w:r>
            <w:r w:rsidRPr="00AC4460">
              <w:rPr>
                <w:b/>
                <w:bCs/>
                <w:i/>
                <w:iCs/>
              </w:rPr>
              <w:t>ένα πρότυπο για τη βιοδιασπασιμότητα, με τον καθορισμό χρονικού διαστήματος εντός του οποίου τουλάχιστον το 90 % του οργανικού άνθρακα μετατρέπεται σε CO</w:t>
            </w:r>
            <w:r w:rsidRPr="00AC4460">
              <w:rPr>
                <w:b/>
                <w:bCs/>
                <w:i/>
                <w:iCs/>
                <w:vertAlign w:val="subscript"/>
              </w:rPr>
              <w:t>2</w:t>
            </w:r>
            <w:r w:rsidRPr="00AC4460">
              <w:rPr>
                <w:b/>
                <w:bCs/>
                <w:i/>
                <w:iCs/>
              </w:rPr>
              <w:t>, αφού έχει τηρηθεί ο σύμφωνα με τους ισχυρισμούς χρόνος αποδέσμευσης του πολυμερούς, και</w:t>
            </w:r>
          </w:p>
        </w:tc>
      </w:tr>
      <w:tr w:rsidR="00E451E4" w:rsidRPr="009421FD" w:rsidTr="000A61DD">
        <w:trPr>
          <w:jc w:val="center"/>
        </w:trPr>
        <w:tc>
          <w:tcPr>
            <w:tcW w:w="4876" w:type="dxa"/>
          </w:tcPr>
          <w:p w:rsidR="00E451E4" w:rsidRPr="00AC4460" w:rsidRDefault="00E451E4" w:rsidP="000A61DD">
            <w:pPr>
              <w:pStyle w:val="Normal6"/>
              <w:rPr>
                <w:rFonts w:eastAsia="Calibri"/>
                <w:b/>
                <w:bCs/>
                <w:i/>
                <w:iCs/>
              </w:rPr>
            </w:pPr>
            <w:r w:rsidRPr="00AC4460">
              <w:t xml:space="preserve">β) </w:t>
            </w:r>
            <w:r w:rsidRPr="00AC4460">
              <w:tab/>
            </w:r>
            <w:r w:rsidRPr="00AC4460">
              <w:rPr>
                <w:b/>
                <w:bCs/>
                <w:i/>
                <w:iCs/>
              </w:rPr>
              <w:t>Η δοκιμή διεξάγεται σύμφωνα με μέθοδο για τον προσδιορισμό της τελικής αερόβιας βιοαποδομησιμότητας πλαστικών υλικών στο έδαφος με μέτρηση των απαιτήσεων σε οξυγόνο ή της ποσότητας του διοξειδίου του άνθρακα που εκλύεται.</w:t>
            </w:r>
          </w:p>
        </w:tc>
        <w:tc>
          <w:tcPr>
            <w:tcW w:w="4876" w:type="dxa"/>
          </w:tcPr>
          <w:p w:rsidR="00E451E4" w:rsidRPr="00AC4460" w:rsidRDefault="00E451E4" w:rsidP="000A61DD">
            <w:pPr>
              <w:pStyle w:val="Normal6"/>
              <w:rPr>
                <w:b/>
                <w:bCs/>
                <w:i/>
                <w:iCs/>
                <w:szCs w:val="24"/>
              </w:rPr>
            </w:pPr>
            <w:r w:rsidRPr="00AC4460">
              <w:t xml:space="preserve">β) </w:t>
            </w:r>
            <w:r w:rsidRPr="00AC4460">
              <w:tab/>
            </w:r>
            <w:r w:rsidRPr="00AC4460">
              <w:rPr>
                <w:b/>
                <w:bCs/>
                <w:i/>
                <w:iCs/>
              </w:rPr>
              <w:t>μια δοκιμή βιοδιασπασιμότητας που συμμορφώνεται προς το ακόλουθο κριτήριο: το πολυμερές είναι ικανό να υποστεί φυσική ή βιολογική αποσύνθεση, έτσι ώστε το μεγαλύτερο μέρος του να αποσυντίθεται τελικώς προς διοξείδιο του άνθρακα (CO</w:t>
            </w:r>
            <w:r w:rsidRPr="00AC4460">
              <w:rPr>
                <w:b/>
                <w:bCs/>
                <w:i/>
                <w:iCs/>
                <w:vertAlign w:val="subscript"/>
              </w:rPr>
              <w:t>2</w:t>
            </w:r>
            <w:r w:rsidRPr="00AC4460">
              <w:rPr>
                <w:b/>
                <w:bCs/>
                <w:i/>
                <w:iCs/>
              </w:rPr>
              <w:t>), βιομάζα και νερό.</w:t>
            </w:r>
          </w:p>
        </w:tc>
      </w:tr>
      <w:tr w:rsidR="00E451E4" w:rsidRPr="009421FD" w:rsidTr="000A61DD">
        <w:trPr>
          <w:jc w:val="center"/>
        </w:trPr>
        <w:tc>
          <w:tcPr>
            <w:tcW w:w="4876" w:type="dxa"/>
          </w:tcPr>
          <w:p w:rsidR="00E451E4" w:rsidRPr="00AC4460" w:rsidRDefault="00E451E4" w:rsidP="000A61DD">
            <w:pPr>
              <w:pStyle w:val="Normal6"/>
              <w:rPr>
                <w:rFonts w:eastAsia="Calibri"/>
                <w:b/>
                <w:bCs/>
                <w:i/>
                <w:iCs/>
              </w:rPr>
            </w:pPr>
            <w:r w:rsidRPr="00AC4460">
              <w:rPr>
                <w:b/>
                <w:bCs/>
                <w:i/>
                <w:iCs/>
              </w:rPr>
              <w:t xml:space="preserve">γ) </w:t>
            </w:r>
            <w:r w:rsidRPr="00AC4460">
              <w:rPr>
                <w:b/>
                <w:bCs/>
                <w:i/>
                <w:iCs/>
              </w:rPr>
              <w:tab/>
              <w:t>Σκόνη μικροκρυσταλλικής κυτταρίνης με τις ίδιες διαστάσεις όπως και το δοκιμαζόμενο υλικό χρησιμοποιείται ως υλικό αναφοράς στη δοκιμή.</w:t>
            </w:r>
          </w:p>
        </w:tc>
        <w:tc>
          <w:tcPr>
            <w:tcW w:w="4876" w:type="dxa"/>
          </w:tcPr>
          <w:p w:rsidR="00E451E4" w:rsidRPr="00AC4460" w:rsidRDefault="00E451E4" w:rsidP="000A61DD">
            <w:pPr>
              <w:pStyle w:val="Normal6"/>
              <w:rPr>
                <w:b/>
                <w:bCs/>
                <w:i/>
                <w:iCs/>
                <w:szCs w:val="24"/>
              </w:rPr>
            </w:pPr>
          </w:p>
        </w:tc>
      </w:tr>
      <w:tr w:rsidR="00E451E4" w:rsidRPr="009421FD" w:rsidTr="000A61DD">
        <w:trPr>
          <w:jc w:val="center"/>
        </w:trPr>
        <w:tc>
          <w:tcPr>
            <w:tcW w:w="4876" w:type="dxa"/>
          </w:tcPr>
          <w:p w:rsidR="00E451E4" w:rsidRPr="00AC4460" w:rsidRDefault="00E451E4" w:rsidP="000A61DD">
            <w:pPr>
              <w:pStyle w:val="Normal6"/>
              <w:rPr>
                <w:b/>
                <w:bCs/>
                <w:i/>
                <w:iCs/>
              </w:rPr>
            </w:pPr>
            <w:r w:rsidRPr="00AC4460">
              <w:rPr>
                <w:b/>
                <w:bCs/>
                <w:i/>
                <w:iCs/>
              </w:rPr>
              <w:t xml:space="preserve">δ) </w:t>
            </w:r>
            <w:r w:rsidRPr="00AC4460">
              <w:rPr>
                <w:b/>
                <w:bCs/>
                <w:i/>
                <w:iCs/>
              </w:rPr>
              <w:tab/>
              <w:t>Πριν από τη δοκιμή, το δοκιμαζόμενο υλικό δεν εκτίθεται σε συνθήκες ή διαδικασίες που αποσκοπούν στην επιτάχυνση της αποδόμησης της μεμβράνης, όπως η έκθεση σε θερμότητα ή φως.</w:t>
            </w:r>
          </w:p>
        </w:tc>
        <w:tc>
          <w:tcPr>
            <w:tcW w:w="4876" w:type="dxa"/>
          </w:tcPr>
          <w:p w:rsidR="00E451E4" w:rsidRPr="00AC4460" w:rsidRDefault="00E451E4" w:rsidP="000A61DD">
            <w:pPr>
              <w:pStyle w:val="Normal6"/>
              <w:rPr>
                <w:b/>
                <w:bCs/>
                <w:i/>
                <w:iCs/>
                <w:szCs w:val="24"/>
              </w:rPr>
            </w:pP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II – ΚΣΥ 10 – παράγραφος 2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rPr>
                <w:rFonts w:eastAsia="Calibri"/>
                <w:b/>
                <w:bCs/>
                <w:i/>
                <w:iCs/>
                <w:lang w:bidi="ar-LY"/>
              </w:rPr>
            </w:pPr>
          </w:p>
        </w:tc>
        <w:tc>
          <w:tcPr>
            <w:tcW w:w="4876" w:type="dxa"/>
          </w:tcPr>
          <w:p w:rsidR="00E451E4" w:rsidRPr="00AC4460" w:rsidRDefault="00E451E4" w:rsidP="000A61DD">
            <w:pPr>
              <w:pStyle w:val="Normal6"/>
              <w:rPr>
                <w:b/>
                <w:bCs/>
                <w:i/>
                <w:iCs/>
                <w:szCs w:val="24"/>
              </w:rPr>
            </w:pPr>
            <w:r w:rsidRPr="00AC4460">
              <w:rPr>
                <w:b/>
                <w:bCs/>
                <w:i/>
                <w:iCs/>
                <w:szCs w:val="24"/>
              </w:rPr>
              <w:t>2α.</w:t>
            </w:r>
            <w:r w:rsidRPr="00AC4460">
              <w:rPr>
                <w:b/>
                <w:bCs/>
                <w:i/>
                <w:iCs/>
                <w:szCs w:val="24"/>
              </w:rPr>
              <w:tab/>
              <w:t xml:space="preserve">Οι βιοδιασπώμενες στρώσεις εδαφοκάλυψης που αναφέρονται στην ΚΛΠ 3 (Β) συμμορφώνονται με το ακόλουθο κριτήριο: </w:t>
            </w:r>
          </w:p>
        </w:tc>
      </w:tr>
      <w:tr w:rsidR="00E451E4" w:rsidRPr="009421FD" w:rsidTr="000A61DD">
        <w:trPr>
          <w:jc w:val="center"/>
        </w:trPr>
        <w:tc>
          <w:tcPr>
            <w:tcW w:w="4876" w:type="dxa"/>
          </w:tcPr>
          <w:p w:rsidR="00E451E4" w:rsidRPr="00AC4460" w:rsidRDefault="00E451E4" w:rsidP="000A61DD">
            <w:pPr>
              <w:pStyle w:val="Normal6"/>
              <w:rPr>
                <w:rFonts w:eastAsia="Calibri"/>
                <w:b/>
                <w:bCs/>
                <w:i/>
                <w:iCs/>
                <w:lang w:bidi="ar-LY"/>
              </w:rPr>
            </w:pPr>
          </w:p>
        </w:tc>
        <w:tc>
          <w:tcPr>
            <w:tcW w:w="4876" w:type="dxa"/>
          </w:tcPr>
          <w:p w:rsidR="00E451E4" w:rsidRPr="00AC4460" w:rsidRDefault="00E451E4" w:rsidP="000A61DD">
            <w:pPr>
              <w:pStyle w:val="Normal6"/>
              <w:rPr>
                <w:rFonts w:eastAsia="Calibri"/>
                <w:b/>
                <w:bCs/>
                <w:i/>
                <w:iCs/>
                <w:szCs w:val="24"/>
              </w:rPr>
            </w:pPr>
            <w:r w:rsidRPr="00AC4460">
              <w:rPr>
                <w:b/>
                <w:bCs/>
                <w:i/>
                <w:iCs/>
                <w:szCs w:val="24"/>
              </w:rPr>
              <w:t>το πολυμερές είναι ικανό να υφίσταται φυσική ή βιολογική αποσύνθεση, έτσι ώστε να αποσυντίθεται τελικώς σε διοξείδιο του άνθρακα (CO</w:t>
            </w:r>
            <w:r w:rsidRPr="00AC4460">
              <w:rPr>
                <w:b/>
                <w:bCs/>
                <w:i/>
                <w:iCs/>
                <w:szCs w:val="24"/>
                <w:vertAlign w:val="subscript"/>
              </w:rPr>
              <w:t>2</w:t>
            </w:r>
            <w:r w:rsidRPr="00AC4460">
              <w:rPr>
                <w:b/>
                <w:bCs/>
                <w:i/>
                <w:iCs/>
                <w:szCs w:val="24"/>
              </w:rPr>
              <w:t>), βιομάζα και νερό και τουλάχιστον το 90 % – σε απόλυτη ή σχετική τιμή σε σχέση με το υλικό αναφοράς – του οργανικού άνθρακα μετατρέπεται σε CO</w:t>
            </w:r>
            <w:r w:rsidRPr="00AC4460">
              <w:rPr>
                <w:b/>
                <w:bCs/>
                <w:i/>
                <w:iCs/>
                <w:szCs w:val="24"/>
                <w:vertAlign w:val="subscript"/>
              </w:rPr>
              <w:t>2</w:t>
            </w:r>
            <w:r w:rsidRPr="00AC4460">
              <w:rPr>
                <w:b/>
                <w:bCs/>
                <w:i/>
                <w:iCs/>
                <w:szCs w:val="24"/>
              </w:rPr>
              <w:t>, εντός 24 μηνών το αργότερο, σε δοκιμή βιοδιασπασιμότητας σύμφωνα με τα ενωσιακά πρότυπα για τη βιοδιασπασιμότητα πολυμερών στο έδαφος.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II – ΚΣΥ 10 – παράγραφος 3 α (νέα)</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3α.</w:t>
            </w:r>
            <w:r w:rsidRPr="00AC4460">
              <w:rPr>
                <w:b/>
                <w:i/>
              </w:rPr>
              <w:tab/>
              <w:t>Τα πολυμερή που χρησιμοποιούνται αποκλειστικά ως συνδετικό υλικό σε προϊόν λίπανσης με σήμανση CE και τα οποία δεν έρχονται σε επαφή με το έδαφος εξαιρούνται από τις απαιτήσεις που ορίζονται στις παραγράφους 1, 2 και 3.</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II – ΚΣΥ 11</w:t>
      </w:r>
      <w:r>
        <w:rPr>
          <w:rStyle w:val="HideTWBExt"/>
          <w:b w:val="0"/>
          <w:noProof w:val="0"/>
        </w:rPr>
        <w:t>&lt;/</w:t>
      </w:r>
      <w:r>
        <w:rPr>
          <w:rStyle w:val="HideTWBExt"/>
          <w:b w:val="0"/>
          <w:noProof w:val="0"/>
          <w:lang w:val="fr-FR"/>
        </w:rPr>
        <w:t>Article</w:t>
      </w:r>
      <w:r>
        <w:rPr>
          <w:rStyle w:val="HideTWBExt"/>
          <w:b w:val="0"/>
          <w:noProof w:val="0"/>
        </w:rPr>
        <w:t>&gt;</w:t>
      </w:r>
    </w:p>
    <w:tbl>
      <w:tblPr>
        <w:tblW w:w="9780" w:type="dxa"/>
        <w:jc w:val="center"/>
        <w:tblLayout w:type="fixed"/>
        <w:tblCellMar>
          <w:left w:w="340" w:type="dxa"/>
          <w:right w:w="340" w:type="dxa"/>
        </w:tblCellMar>
        <w:tblLook w:val="0000" w:firstRow="0" w:lastRow="0" w:firstColumn="0" w:lastColumn="0" w:noHBand="0" w:noVBand="0"/>
      </w:tblPr>
      <w:tblGrid>
        <w:gridCol w:w="661"/>
        <w:gridCol w:w="6"/>
        <w:gridCol w:w="2777"/>
        <w:gridCol w:w="6308"/>
        <w:gridCol w:w="28"/>
      </w:tblGrid>
      <w:tr w:rsidR="00E451E4" w:rsidRPr="00075D2C" w:rsidTr="000A61DD">
        <w:trPr>
          <w:gridAfter w:val="1"/>
          <w:wAfter w:w="28" w:type="dxa"/>
          <w:jc w:val="center"/>
        </w:trPr>
        <w:tc>
          <w:tcPr>
            <w:tcW w:w="9752" w:type="dxa"/>
            <w:gridSpan w:val="4"/>
          </w:tcPr>
          <w:p w:rsidR="00E451E4" w:rsidRPr="00E451E4" w:rsidRDefault="00E451E4" w:rsidP="000A61DD">
            <w:pPr>
              <w:keepNext/>
            </w:pPr>
          </w:p>
        </w:tc>
      </w:tr>
      <w:tr w:rsidR="00E451E4" w:rsidRPr="009421FD" w:rsidTr="000A61DD">
        <w:tblPrEx>
          <w:tblLook w:val="04A0" w:firstRow="1" w:lastRow="0" w:firstColumn="1" w:lastColumn="0" w:noHBand="0" w:noVBand="1"/>
        </w:tblPrEx>
        <w:trPr>
          <w:jc w:val="center"/>
        </w:trPr>
        <w:tc>
          <w:tcPr>
            <w:tcW w:w="9780" w:type="dxa"/>
            <w:gridSpan w:val="5"/>
            <w:hideMark/>
          </w:tcPr>
          <w:p w:rsidR="00E451E4" w:rsidRPr="009421FD" w:rsidRDefault="00E451E4" w:rsidP="000A61DD">
            <w:pPr>
              <w:pStyle w:val="ColumnHeading"/>
              <w:jc w:val="left"/>
              <w:rPr>
                <w:iCs/>
              </w:rPr>
            </w:pPr>
            <w:r>
              <w:t>Κείμενο που προτείνει η Επιτροπή</w:t>
            </w:r>
          </w:p>
        </w:tc>
      </w:tr>
      <w:tr w:rsidR="00E451E4" w:rsidRPr="009421FD" w:rsidTr="000A61DD">
        <w:tblPrEx>
          <w:tblLook w:val="04A0" w:firstRow="1" w:lastRow="0" w:firstColumn="1" w:lastColumn="0" w:noHBand="0" w:noVBand="1"/>
        </w:tblPrEx>
        <w:trPr>
          <w:jc w:val="center"/>
        </w:trPr>
        <w:tc>
          <w:tcPr>
            <w:tcW w:w="9780" w:type="dxa"/>
            <w:gridSpan w:val="5"/>
            <w:hideMark/>
          </w:tcPr>
          <w:p w:rsidR="00E451E4" w:rsidRPr="009421FD" w:rsidRDefault="00E451E4" w:rsidP="000A61DD">
            <w:pPr>
              <w:pStyle w:val="Normal6"/>
              <w:rPr>
                <w:b/>
                <w:i/>
              </w:rPr>
            </w:pPr>
            <w:r>
              <w:rPr>
                <w:b/>
                <w:i/>
              </w:rPr>
              <w:t>Ένα</w:t>
            </w:r>
            <w:r>
              <w:t xml:space="preserve"> προϊόν λίπανσης με σήμανση CE επιτρέπεται να περιέχει ζωικά υποπροϊόντα κατά την έννοια του κανονισμού (ΕΚ) αριθ. 1069/2009 τα οποία έχουν φθάσει στο τελικό σημείο στην αλυσίδα παρασκευής, όπως αυτό καθορίζεται σύμφωνα με τον εν λόγω κανονισμό, και τα οποία παρατίθενται στον παρακάτω πίνακα και όπως καθορίζεται εκεί</w:t>
            </w:r>
            <w:r>
              <w:rPr>
                <w:b/>
                <w:i/>
              </w:rPr>
              <w:t>:</w:t>
            </w:r>
          </w:p>
        </w:tc>
      </w:tr>
      <w:tr w:rsidR="00E451E4" w:rsidRPr="009421FD" w:rsidTr="000A61DD">
        <w:tblPrEx>
          <w:tblLook w:val="04A0" w:firstRow="1" w:lastRow="0" w:firstColumn="1" w:lastColumn="0" w:noHBand="0" w:noVBand="1"/>
        </w:tblPrEx>
        <w:trPr>
          <w:jc w:val="center"/>
        </w:trPr>
        <w:tc>
          <w:tcPr>
            <w:tcW w:w="9780" w:type="dxa"/>
            <w:gridSpan w:val="5"/>
          </w:tcPr>
          <w:p w:rsidR="00E451E4" w:rsidRPr="00E451E4" w:rsidRDefault="00E451E4" w:rsidP="000A61DD">
            <w:pPr>
              <w:spacing w:after="120"/>
              <w:rPr>
                <w:rStyle w:val="Normal6Char"/>
              </w:rPr>
            </w:pPr>
          </w:p>
        </w:tc>
      </w:tr>
      <w:tr w:rsidR="00E451E4" w:rsidRPr="00135F02" w:rsidTr="000A61DD">
        <w:tblPrEx>
          <w:tblLook w:val="04A0" w:firstRow="1" w:lastRow="0" w:firstColumn="1" w:lastColumn="0" w:noHBand="0" w:noVBand="1"/>
        </w:tblPrEx>
        <w:trPr>
          <w:jc w:val="center"/>
        </w:trPr>
        <w:tc>
          <w:tcPr>
            <w:tcW w:w="9780" w:type="dxa"/>
            <w:gridSpan w:val="5"/>
            <w:hideMark/>
          </w:tcPr>
          <w:p w:rsidR="00E451E4" w:rsidRPr="00135F02" w:rsidRDefault="00E451E4" w:rsidP="000A61DD">
            <w:pPr>
              <w:pStyle w:val="ColumnHeading"/>
              <w:jc w:val="left"/>
              <w:rPr>
                <w:iCs/>
              </w:rPr>
            </w:pPr>
            <w:r>
              <w:t>Τροπολογία</w:t>
            </w:r>
          </w:p>
        </w:tc>
      </w:tr>
      <w:tr w:rsidR="00E451E4" w:rsidRPr="009421FD" w:rsidTr="000A61DD">
        <w:tblPrEx>
          <w:tblLook w:val="04A0" w:firstRow="1" w:lastRow="0" w:firstColumn="1" w:lastColumn="0" w:noHBand="0" w:noVBand="1"/>
        </w:tblPrEx>
        <w:trPr>
          <w:jc w:val="center"/>
        </w:trPr>
        <w:tc>
          <w:tcPr>
            <w:tcW w:w="9780" w:type="dxa"/>
            <w:gridSpan w:val="5"/>
            <w:hideMark/>
          </w:tcPr>
          <w:p w:rsidR="00E451E4" w:rsidRPr="009421FD" w:rsidRDefault="00E451E4" w:rsidP="000A61DD">
            <w:pPr>
              <w:pStyle w:val="Normal6"/>
              <w:rPr>
                <w:b/>
                <w:i/>
              </w:rPr>
            </w:pPr>
            <w:r>
              <w:rPr>
                <w:b/>
                <w:i/>
              </w:rPr>
              <w:t>Με την επιφύλαξη της έκδοσης των κατ’ εξουσιοδότηση πράξεων από την Επιτροπή σύμφωνα με το άρθρο 42, ένα</w:t>
            </w:r>
            <w:r>
              <w:t xml:space="preserve"> προϊόν λίπανσης με σήμανση CE επιτρέπεται να περιέχει ζωικά υποπροϊόντα κατά την έννοια του κανονισμού (ΕΚ) αριθ. 1069/2009 τα οποία έχουν φθάσει στο τελικό σημείο στην αλυσίδα παρασκευής, όπως αυτό καθορίζεται σύμφωνα με τον εν λόγω κανονισμό, και τα οποία παρατίθενται στον παρακάτω πίνακα και όπως καθορίζεται εκεί</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E451E4" w:rsidRDefault="00E451E4" w:rsidP="000A61DD">
            <w:pPr>
              <w:pStyle w:val="Normal6"/>
              <w:rPr>
                <w:b/>
                <w:bCs/>
                <w:i/>
                <w:iCs/>
                <w:lang w:bidi="ar-LY"/>
              </w:rPr>
            </w:pPr>
          </w:p>
        </w:tc>
        <w:tc>
          <w:tcPr>
            <w:tcW w:w="2783" w:type="dxa"/>
            <w:gridSpan w:val="2"/>
            <w:shd w:val="clear" w:color="auto" w:fill="auto"/>
          </w:tcPr>
          <w:p w:rsidR="00E451E4" w:rsidRPr="00135F02" w:rsidRDefault="00E451E4" w:rsidP="000A61DD">
            <w:pPr>
              <w:pStyle w:val="Normal6"/>
              <w:rPr>
                <w:b/>
                <w:bCs/>
                <w:i/>
                <w:iCs/>
              </w:rPr>
            </w:pPr>
            <w:r>
              <w:rPr>
                <w:b/>
                <w:bCs/>
                <w:i/>
                <w:iCs/>
              </w:rPr>
              <w:t>Παράγωγο προϊόν</w:t>
            </w:r>
          </w:p>
        </w:tc>
        <w:tc>
          <w:tcPr>
            <w:tcW w:w="6308" w:type="dxa"/>
            <w:shd w:val="clear" w:color="auto" w:fill="auto"/>
          </w:tcPr>
          <w:p w:rsidR="00E451E4" w:rsidRPr="009421FD" w:rsidRDefault="00E451E4" w:rsidP="000A61DD">
            <w:pPr>
              <w:pStyle w:val="Normal6"/>
              <w:rPr>
                <w:b/>
                <w:bCs/>
                <w:i/>
                <w:iCs/>
              </w:rPr>
            </w:pPr>
            <w:r>
              <w:rPr>
                <w:b/>
                <w:bCs/>
                <w:i/>
                <w:iCs/>
              </w:rPr>
              <w:t>Πρότυπα επεξεργασίας για την επίτευξη του τελικού σημείου στην αλυσίδα παρασκευής</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1</w:t>
            </w:r>
          </w:p>
        </w:tc>
        <w:tc>
          <w:tcPr>
            <w:tcW w:w="2783" w:type="dxa"/>
            <w:gridSpan w:val="2"/>
            <w:shd w:val="clear" w:color="auto" w:fill="auto"/>
          </w:tcPr>
          <w:p w:rsidR="00E451E4" w:rsidRPr="00135F02" w:rsidRDefault="00E451E4" w:rsidP="000A61DD">
            <w:pPr>
              <w:pStyle w:val="Normal6"/>
              <w:rPr>
                <w:b/>
                <w:bCs/>
                <w:i/>
                <w:iCs/>
              </w:rPr>
            </w:pPr>
            <w:r>
              <w:rPr>
                <w:b/>
                <w:bCs/>
                <w:i/>
                <w:iCs/>
              </w:rPr>
              <w:t>Κρεατάλευρο</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2</w:t>
            </w:r>
          </w:p>
        </w:tc>
        <w:tc>
          <w:tcPr>
            <w:tcW w:w="2783" w:type="dxa"/>
            <w:gridSpan w:val="2"/>
            <w:shd w:val="clear" w:color="auto" w:fill="auto"/>
          </w:tcPr>
          <w:p w:rsidR="00E451E4" w:rsidRPr="00135F02" w:rsidRDefault="00E451E4" w:rsidP="000A61DD">
            <w:pPr>
              <w:pStyle w:val="Normal6"/>
              <w:rPr>
                <w:b/>
                <w:bCs/>
                <w:i/>
                <w:iCs/>
              </w:rPr>
            </w:pPr>
            <w:r>
              <w:rPr>
                <w:b/>
                <w:bCs/>
                <w:i/>
                <w:iCs/>
              </w:rPr>
              <w:t xml:space="preserve">Οστεάλευρο </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3</w:t>
            </w:r>
          </w:p>
        </w:tc>
        <w:tc>
          <w:tcPr>
            <w:tcW w:w="2783" w:type="dxa"/>
            <w:gridSpan w:val="2"/>
            <w:shd w:val="clear" w:color="auto" w:fill="auto"/>
          </w:tcPr>
          <w:p w:rsidR="00E451E4" w:rsidRPr="00135F02" w:rsidRDefault="00E451E4" w:rsidP="000A61DD">
            <w:pPr>
              <w:pStyle w:val="Normal6"/>
              <w:rPr>
                <w:b/>
                <w:bCs/>
                <w:i/>
                <w:iCs/>
              </w:rPr>
            </w:pPr>
            <w:r>
              <w:rPr>
                <w:b/>
                <w:bCs/>
                <w:i/>
                <w:iCs/>
              </w:rPr>
              <w:t>Κρεατάλευρο και οστεάλευρο</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4</w:t>
            </w:r>
          </w:p>
        </w:tc>
        <w:tc>
          <w:tcPr>
            <w:tcW w:w="2783" w:type="dxa"/>
            <w:gridSpan w:val="2"/>
            <w:shd w:val="clear" w:color="auto" w:fill="auto"/>
          </w:tcPr>
          <w:p w:rsidR="00E451E4" w:rsidRPr="00135F02" w:rsidRDefault="00E451E4" w:rsidP="000A61DD">
            <w:pPr>
              <w:pStyle w:val="Normal6"/>
              <w:rPr>
                <w:b/>
                <w:bCs/>
                <w:i/>
                <w:iCs/>
              </w:rPr>
            </w:pPr>
            <w:r>
              <w:rPr>
                <w:b/>
                <w:bCs/>
                <w:i/>
                <w:iCs/>
              </w:rPr>
              <w:t>Αίμα ζώων</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5</w:t>
            </w:r>
          </w:p>
        </w:tc>
        <w:tc>
          <w:tcPr>
            <w:tcW w:w="2783" w:type="dxa"/>
            <w:gridSpan w:val="2"/>
            <w:shd w:val="clear" w:color="auto" w:fill="auto"/>
          </w:tcPr>
          <w:p w:rsidR="00E451E4" w:rsidRPr="009421FD" w:rsidRDefault="00E451E4" w:rsidP="000A61DD">
            <w:pPr>
              <w:pStyle w:val="Normal6"/>
              <w:rPr>
                <w:b/>
                <w:bCs/>
                <w:i/>
                <w:iCs/>
              </w:rPr>
            </w:pPr>
            <w:r>
              <w:rPr>
                <w:b/>
                <w:bCs/>
                <w:i/>
                <w:iCs/>
              </w:rPr>
              <w:t>Υδρολυμένες πρωτεΐνες της κατηγορίας III - σύμφωνα με τον κανονισμό αριθ. 1069/2009</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6</w:t>
            </w:r>
          </w:p>
        </w:tc>
        <w:tc>
          <w:tcPr>
            <w:tcW w:w="2783" w:type="dxa"/>
            <w:gridSpan w:val="2"/>
            <w:shd w:val="clear" w:color="auto" w:fill="auto"/>
          </w:tcPr>
          <w:p w:rsidR="00E451E4" w:rsidRPr="00135F02" w:rsidRDefault="00E451E4" w:rsidP="000A61DD">
            <w:pPr>
              <w:pStyle w:val="Normal6"/>
              <w:rPr>
                <w:b/>
                <w:bCs/>
                <w:i/>
                <w:iCs/>
              </w:rPr>
            </w:pPr>
            <w:r>
              <w:rPr>
                <w:b/>
                <w:bCs/>
                <w:i/>
                <w:iCs/>
              </w:rPr>
              <w:t>Επεξεργασμένη κόπρος</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7</w:t>
            </w:r>
          </w:p>
        </w:tc>
        <w:tc>
          <w:tcPr>
            <w:tcW w:w="2783" w:type="dxa"/>
            <w:gridSpan w:val="2"/>
            <w:shd w:val="clear" w:color="auto" w:fill="auto"/>
          </w:tcPr>
          <w:p w:rsidR="00E451E4" w:rsidRPr="00135F02" w:rsidRDefault="00E451E4" w:rsidP="000A61DD">
            <w:pPr>
              <w:pStyle w:val="Normal6"/>
              <w:rPr>
                <w:b/>
                <w:bCs/>
                <w:i/>
                <w:iCs/>
              </w:rPr>
            </w:pPr>
            <w:r>
              <w:rPr>
                <w:b/>
                <w:bCs/>
                <w:i/>
                <w:iCs/>
              </w:rPr>
              <w:t xml:space="preserve">Κομπόστ </w:t>
            </w:r>
            <w:r>
              <w:rPr>
                <w:b/>
                <w:bCs/>
                <w:i/>
                <w:iCs/>
                <w:vertAlign w:val="superscript"/>
              </w:rPr>
              <w:t>(1)</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1" w:type="dxa"/>
            <w:shd w:val="clear" w:color="auto" w:fill="auto"/>
          </w:tcPr>
          <w:p w:rsidR="00E451E4" w:rsidRPr="00135F02" w:rsidRDefault="00E451E4" w:rsidP="000A61DD">
            <w:pPr>
              <w:pStyle w:val="Normal6"/>
              <w:rPr>
                <w:b/>
                <w:bCs/>
                <w:i/>
                <w:iCs/>
              </w:rPr>
            </w:pPr>
            <w:r>
              <w:rPr>
                <w:b/>
                <w:bCs/>
                <w:i/>
                <w:iCs/>
              </w:rPr>
              <w:t>8</w:t>
            </w:r>
          </w:p>
        </w:tc>
        <w:tc>
          <w:tcPr>
            <w:tcW w:w="2783" w:type="dxa"/>
            <w:gridSpan w:val="2"/>
            <w:shd w:val="clear" w:color="auto" w:fill="auto"/>
          </w:tcPr>
          <w:p w:rsidR="00E451E4" w:rsidRPr="00135F02" w:rsidRDefault="00E451E4" w:rsidP="000A61DD">
            <w:pPr>
              <w:pStyle w:val="Normal6"/>
              <w:rPr>
                <w:b/>
                <w:bCs/>
                <w:i/>
                <w:iCs/>
              </w:rPr>
            </w:pPr>
            <w:r>
              <w:rPr>
                <w:b/>
                <w:bCs/>
                <w:i/>
                <w:iCs/>
              </w:rPr>
              <w:t xml:space="preserve">Υπολείμματα βιοαερίου από τη χώνευση </w:t>
            </w:r>
            <w:r>
              <w:rPr>
                <w:b/>
                <w:bCs/>
                <w:i/>
                <w:iCs/>
                <w:vertAlign w:val="superscript"/>
              </w:rPr>
              <w:t>(1)</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9</w:t>
            </w:r>
          </w:p>
        </w:tc>
        <w:tc>
          <w:tcPr>
            <w:tcW w:w="2777" w:type="dxa"/>
            <w:shd w:val="clear" w:color="auto" w:fill="auto"/>
          </w:tcPr>
          <w:p w:rsidR="00E451E4" w:rsidRPr="00135F02" w:rsidRDefault="00E451E4" w:rsidP="000A61DD">
            <w:pPr>
              <w:pStyle w:val="Normal6"/>
              <w:rPr>
                <w:b/>
                <w:bCs/>
                <w:i/>
                <w:iCs/>
              </w:rPr>
            </w:pPr>
            <w:r>
              <w:rPr>
                <w:b/>
                <w:bCs/>
                <w:i/>
                <w:iCs/>
              </w:rPr>
              <w:t>Πτεράλευρο</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10</w:t>
            </w:r>
          </w:p>
        </w:tc>
        <w:tc>
          <w:tcPr>
            <w:tcW w:w="2777" w:type="dxa"/>
            <w:shd w:val="clear" w:color="auto" w:fill="auto"/>
          </w:tcPr>
          <w:p w:rsidR="00E451E4" w:rsidRPr="00135F02" w:rsidRDefault="00E451E4" w:rsidP="000A61DD">
            <w:pPr>
              <w:pStyle w:val="Normal6"/>
              <w:rPr>
                <w:b/>
                <w:bCs/>
                <w:i/>
                <w:iCs/>
              </w:rPr>
            </w:pPr>
            <w:r>
              <w:rPr>
                <w:b/>
                <w:bCs/>
                <w:i/>
                <w:iCs/>
              </w:rPr>
              <w:t>Δορές και δέρματα</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11</w:t>
            </w:r>
          </w:p>
        </w:tc>
        <w:tc>
          <w:tcPr>
            <w:tcW w:w="2777" w:type="dxa"/>
            <w:shd w:val="clear" w:color="auto" w:fill="auto"/>
          </w:tcPr>
          <w:p w:rsidR="00E451E4" w:rsidRPr="00135F02" w:rsidRDefault="00E451E4" w:rsidP="000A61DD">
            <w:pPr>
              <w:pStyle w:val="Normal6"/>
              <w:rPr>
                <w:b/>
                <w:bCs/>
                <w:i/>
                <w:iCs/>
              </w:rPr>
            </w:pPr>
            <w:r>
              <w:rPr>
                <w:b/>
                <w:bCs/>
                <w:i/>
                <w:iCs/>
              </w:rPr>
              <w:t>Οπλές και κέρατα</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12</w:t>
            </w:r>
          </w:p>
        </w:tc>
        <w:tc>
          <w:tcPr>
            <w:tcW w:w="2777" w:type="dxa"/>
            <w:shd w:val="clear" w:color="auto" w:fill="auto"/>
          </w:tcPr>
          <w:p w:rsidR="00E451E4" w:rsidRPr="00135F02" w:rsidRDefault="00E451E4" w:rsidP="000A61DD">
            <w:pPr>
              <w:pStyle w:val="Normal6"/>
              <w:rPr>
                <w:b/>
                <w:bCs/>
                <w:i/>
                <w:iCs/>
              </w:rPr>
            </w:pPr>
            <w:r>
              <w:rPr>
                <w:b/>
                <w:bCs/>
                <w:i/>
                <w:iCs/>
              </w:rPr>
              <w:t>Γκουανό νυχτερίδων</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13</w:t>
            </w:r>
          </w:p>
        </w:tc>
        <w:tc>
          <w:tcPr>
            <w:tcW w:w="2777" w:type="dxa"/>
            <w:shd w:val="clear" w:color="auto" w:fill="auto"/>
          </w:tcPr>
          <w:p w:rsidR="00E451E4" w:rsidRPr="00135F02" w:rsidRDefault="00E451E4" w:rsidP="000A61DD">
            <w:pPr>
              <w:pStyle w:val="Normal6"/>
              <w:rPr>
                <w:b/>
                <w:bCs/>
                <w:i/>
                <w:iCs/>
              </w:rPr>
            </w:pPr>
            <w:r>
              <w:rPr>
                <w:b/>
                <w:bCs/>
                <w:i/>
                <w:iCs/>
              </w:rPr>
              <w:t>Μαλλί και τρίχες</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14</w:t>
            </w:r>
          </w:p>
        </w:tc>
        <w:tc>
          <w:tcPr>
            <w:tcW w:w="2777" w:type="dxa"/>
            <w:shd w:val="clear" w:color="auto" w:fill="auto"/>
          </w:tcPr>
          <w:p w:rsidR="00E451E4" w:rsidRPr="00135F02" w:rsidRDefault="00E451E4" w:rsidP="000A61DD">
            <w:pPr>
              <w:pStyle w:val="Normal6"/>
              <w:rPr>
                <w:b/>
                <w:bCs/>
                <w:i/>
                <w:iCs/>
              </w:rPr>
            </w:pPr>
            <w:r>
              <w:rPr>
                <w:b/>
                <w:bCs/>
                <w:i/>
                <w:iCs/>
              </w:rPr>
              <w:t>Φτερά και πούπουλα</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15</w:t>
            </w:r>
          </w:p>
        </w:tc>
        <w:tc>
          <w:tcPr>
            <w:tcW w:w="2777" w:type="dxa"/>
            <w:shd w:val="clear" w:color="auto" w:fill="auto"/>
          </w:tcPr>
          <w:p w:rsidR="00E451E4" w:rsidRPr="00135F02" w:rsidRDefault="00E451E4" w:rsidP="000A61DD">
            <w:pPr>
              <w:pStyle w:val="Normal6"/>
              <w:rPr>
                <w:b/>
                <w:bCs/>
                <w:i/>
                <w:iCs/>
              </w:rPr>
            </w:pPr>
            <w:r>
              <w:rPr>
                <w:b/>
                <w:bCs/>
                <w:i/>
                <w:iCs/>
              </w:rPr>
              <w:t>Τρίχες χοίρων</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16</w:t>
            </w:r>
          </w:p>
        </w:tc>
        <w:tc>
          <w:tcPr>
            <w:tcW w:w="2777" w:type="dxa"/>
            <w:shd w:val="clear" w:color="auto" w:fill="auto"/>
          </w:tcPr>
          <w:p w:rsidR="00E451E4" w:rsidRPr="009421FD" w:rsidRDefault="00E451E4" w:rsidP="000A61DD">
            <w:pPr>
              <w:pStyle w:val="Normal6"/>
              <w:rPr>
                <w:b/>
                <w:bCs/>
                <w:i/>
                <w:iCs/>
              </w:rPr>
            </w:pPr>
            <w:r>
              <w:rPr>
                <w:b/>
                <w:bCs/>
                <w:i/>
                <w:iCs/>
              </w:rPr>
              <w:t>Γλυκερίνη και άλλα προϊόντα από υλικά της κατηγορίας 2 και της κατηγορίας 3, που προκύπτουν από την παραγωγή βιοντίζελ και ανανεώσιμων καυσίμων</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667" w:type="dxa"/>
            <w:gridSpan w:val="2"/>
            <w:shd w:val="clear" w:color="auto" w:fill="auto"/>
          </w:tcPr>
          <w:p w:rsidR="00E451E4" w:rsidRPr="00135F02" w:rsidRDefault="00E451E4" w:rsidP="000A61DD">
            <w:pPr>
              <w:pStyle w:val="Normal6"/>
              <w:rPr>
                <w:b/>
                <w:bCs/>
                <w:i/>
                <w:iCs/>
              </w:rPr>
            </w:pPr>
            <w:r>
              <w:rPr>
                <w:b/>
                <w:bCs/>
                <w:i/>
                <w:iCs/>
              </w:rPr>
              <w:t>17</w:t>
            </w:r>
          </w:p>
        </w:tc>
        <w:tc>
          <w:tcPr>
            <w:tcW w:w="2777" w:type="dxa"/>
            <w:shd w:val="clear" w:color="auto" w:fill="auto"/>
          </w:tcPr>
          <w:p w:rsidR="00E451E4" w:rsidRPr="009421FD" w:rsidRDefault="00E451E4" w:rsidP="000A61DD">
            <w:pPr>
              <w:pStyle w:val="Normal6"/>
              <w:rPr>
                <w:b/>
                <w:bCs/>
                <w:i/>
                <w:iCs/>
              </w:rPr>
            </w:pPr>
            <w:r>
              <w:rPr>
                <w:b/>
                <w:bCs/>
                <w:i/>
                <w:iCs/>
              </w:rPr>
              <w:t xml:space="preserve">Τροφές για ζώα συντροφιάς και τεχνητά κόκαλα για σκύλους που έχουν αποσυρθεί για εμπορικούς λόγους ή εξαιτίας τεχνικών αστοχιών </w:t>
            </w:r>
          </w:p>
        </w:tc>
        <w:tc>
          <w:tcPr>
            <w:tcW w:w="6308" w:type="dxa"/>
            <w:shd w:val="clear" w:color="auto" w:fill="auto"/>
          </w:tcPr>
          <w:p w:rsidR="00E451E4" w:rsidRPr="009421FD" w:rsidRDefault="00E451E4" w:rsidP="000A61DD">
            <w:pPr>
              <w:pStyle w:val="Normal6"/>
              <w:rPr>
                <w:b/>
                <w:bCs/>
                <w:i/>
                <w:iCs/>
              </w:rPr>
            </w:pPr>
            <w:r>
              <w:rPr>
                <w:b/>
                <w:bCs/>
                <w:i/>
                <w:iCs/>
              </w:rPr>
              <w:t>Έχει καθοριστεί σύμφωνα με το [νέο δεύτερο] εδάφιο του άρθρου 5 παράγραφος 2 του κανονισμού (ΕΚ) αριθ. 1069/2009</w:t>
            </w:r>
          </w:p>
        </w:tc>
      </w:tr>
      <w:tr w:rsidR="00E451E4" w:rsidRPr="009421FD" w:rsidTr="000A61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3" w:type="dxa"/>
        </w:trPr>
        <w:tc>
          <w:tcPr>
            <w:tcW w:w="9752" w:type="dxa"/>
            <w:gridSpan w:val="4"/>
            <w:shd w:val="clear" w:color="auto" w:fill="auto"/>
          </w:tcPr>
          <w:p w:rsidR="00E451E4" w:rsidRPr="009421FD" w:rsidRDefault="00E451E4" w:rsidP="000A61DD">
            <w:pPr>
              <w:pStyle w:val="Normal6"/>
              <w:rPr>
                <w:b/>
                <w:bCs/>
                <w:i/>
                <w:iCs/>
              </w:rPr>
            </w:pPr>
            <w:r>
              <w:rPr>
                <w:b/>
                <w:bCs/>
                <w:i/>
                <w:iCs/>
                <w:vertAlign w:val="superscript"/>
              </w:rPr>
              <w:t>(1)</w:t>
            </w:r>
            <w:r>
              <w:rPr>
                <w:b/>
                <w:bCs/>
                <w:i/>
                <w:iCs/>
              </w:rPr>
              <w:t xml:space="preserve"> παράγονται από υλικά της κατηγορίας 2 και της κατηγορίας 3, εκτός του κρεατάλευρου και του οστεάλευρου και της επεξεργασμένης ζωικής πρωτεΐνης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9421FD" w:rsidRDefault="00E451E4" w:rsidP="000A61DD">
      <w:pPr>
        <w:pStyle w:val="NormalBold"/>
      </w:pPr>
      <w:r>
        <w:rPr>
          <w:rStyle w:val="HideTWBExt"/>
          <w:b w:val="0"/>
          <w:noProof w:val="0"/>
        </w:rPr>
        <w:t>&lt;</w:t>
      </w:r>
      <w:r>
        <w:rPr>
          <w:rStyle w:val="HideTWBExt"/>
          <w:b w:val="0"/>
          <w:noProof w:val="0"/>
          <w:lang w:val="en-GB"/>
        </w:rPr>
        <w:t>Article</w:t>
      </w:r>
      <w:r>
        <w:rPr>
          <w:rStyle w:val="HideTWBExt"/>
          <w:b w:val="0"/>
          <w:noProof w:val="0"/>
        </w:rPr>
        <w:t>&gt;</w:t>
      </w:r>
      <w:r w:rsidRPr="00AC4460">
        <w:t xml:space="preserve">Παράρτημα II – μέρος ΙΙ –ΚΣΥ 11 α (νέα) – τίτλος </w:t>
      </w:r>
      <w:r>
        <w:rPr>
          <w:rStyle w:val="HideTWBExt"/>
          <w:b w:val="0"/>
          <w:noProof w:val="0"/>
        </w:rPr>
        <w:t>&lt;/</w:t>
      </w:r>
      <w:r>
        <w:rPr>
          <w:rStyle w:val="HideTWBExt"/>
          <w:b w:val="0"/>
          <w:noProof w:val="0"/>
          <w:lang w:val="en-GB"/>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9421FD"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ΚΣΥ 11α: Λοιπά υποπροϊόντα της βιομηχανίας</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119</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 – μέρος II – ΚΣΥ 11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Ένα προϊόν λίπανσης με σήμανση CE μπορεί να περιέχει άλλα υποπροϊόντα της βιομηχανίας που προέρχονται από ειδικές βιομηχανικές διεργασίες, τα οποία δεν συμπεριλαμβάνονται στην ΚΣΥ 1 και παρατίθενται στον παρακάτω πίνακα και όπως καθορίζεται εκεί:</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Τα περιεχόμενα του πίνακα θα καθορίζονται από την Επιτροπή. Βλέπε τροπολογία για τα υποπροϊόντα της βιομηχανίας – Άρθρο 42 – παράγραφος 1 – στοιχείο γ (νέο).</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120</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III – μέρος Ι – παράγραφος 2 – στοιχείο ε α (νέο)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α)</w:t>
            </w:r>
            <w:r w:rsidRPr="00AC4460">
              <w:rPr>
                <w:b/>
                <w:i/>
              </w:rPr>
              <w:tab/>
              <w:t>στην περίπτωση τυχόν προϊόντος που περιέχει υλικά τα οποία προέρχονται από οργανικά απόβλητα ή υποπροϊόντα, το οποίο δεν έχει υποβληθεί σε διαδικασία που να έχει καταστρέψει όλα τα οργανικά υλικά, η ετικέτα προσδιορίζει τα απόβλητα και τα υποπροϊόντα που χρησιμοποιήθηκαν και έναν αριθμό παρτίδας ή χρονολογικής σειράς παραγωγής. Ο αριθμός αυτός παραπέμπει στα δεδομένα ιχνηλασιμότητας που τηρεί ο παραγωγός και βάσει των οποίων εντοπίζονται οι επιμέρους πηγές (αγροκτήματα, εργοστάσια, κ.λπ.) κάθε οργανικού απόβλητου/υποπροϊόντος που χρησιμοποιήθηκε στην παρτίδα/χρονολογική σειρά. Η Επιτροπή δημοσιεύει, κατόπιν δημόσιας διαβούλευσης και εντός διαστήματος δύο ετών από ... [ΕΕ, εισάγετε την ημερομηνία έναρξης ισχύος του παρόντος κανονισμού], προδιαγραφές για την εφαρμογή της εν λόγω διάταξης, οι οποίες θα τεθούν σε ισχύ εντός 3 ετών από τη δημοσίευση των προδιαγραφών αυτών. Προκειμένου να ελαχιστοποιηθεί ο διοικητικός φόρτος για τους φορείς εκμετάλλευσης και τις αρχές εποπτείας της αγοράς, οι προδιαγραφές της Επιτροπής λαμβάνουν υπόψη τόσο τις απαιτήσεις του άρθρου 6 παράγραφοι 5 έως 7 και του άρθρου 11 όσο και τα ισχύοντα συστήματα ιχνηλασιμότητας (π.χ. για ζωικά υποπροϊόντα ή βιομηχανικά συστήματα), καθώς και τους κωδικούς ταξινόμησης αποβλήτων της ΕΕ.</w:t>
            </w:r>
          </w:p>
        </w:tc>
      </w:tr>
    </w:tbl>
    <w:p w:rsidR="00E451E4" w:rsidRPr="00E451E4" w:rsidRDefault="00E451E4" w:rsidP="000A61DD">
      <w:pPr>
        <w:pStyle w:val="JustificationTitle"/>
      </w:pPr>
      <w:r>
        <w:rPr>
          <w:rStyle w:val="HideTWBExt"/>
          <w:i w:val="0"/>
          <w:noProof w:val="0"/>
          <w:lang w:val="en-GB"/>
        </w:rPr>
        <w:t>&lt;TitreJust&gt;</w:t>
      </w:r>
      <w:r w:rsidRPr="00AC4460">
        <w:t>Αιτιολόγηση</w:t>
      </w:r>
      <w:r>
        <w:rPr>
          <w:rStyle w:val="HideTWBExt"/>
          <w:i w:val="0"/>
          <w:noProof w:val="0"/>
          <w:lang w:val="en-GB"/>
        </w:rPr>
        <w:t>&lt;/TitreJust&gt;</w:t>
      </w:r>
    </w:p>
    <w:p w:rsidR="00E451E4" w:rsidRPr="00E451E4" w:rsidRDefault="00E451E4" w:rsidP="000A61DD">
      <w:pPr>
        <w:pStyle w:val="Normal12Italic"/>
      </w:pPr>
      <w:r>
        <w:t>Phosphorous is a limited substance, therefore to recycle this very important nutrient and apply the circular economy approach for the production of fertilisers should be supported. In order to establish trust and ensure confidence and safety for fertiliser products susceptible to contain organic materials, a traceability system from input material source to field for organic fertiliser products based on the existing system used for animal by-products is highly recommended. Because the Fertilisers Regulation effectively results in “end of waste” status for animal by-products which become EU fertilisers, and because CMC11 (category of certain animal by-products) is currently a blank box, it should be made explicit that the current traceability for animal by-products (e.g. manures, slaughter house by-products) is maintained. This traceability should also be extended to all organic materials, e.g. fertilisers made out of sludge, food waste, food industry by-products.</w:t>
      </w:r>
    </w:p>
    <w:p w:rsidR="00E451E4" w:rsidRPr="00E451E4"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121</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III – μέρος Ι – παράγραφος 5</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hideMark/>
          </w:tcPr>
          <w:p w:rsidR="00E451E4" w:rsidRPr="00AC4460" w:rsidRDefault="00E451E4" w:rsidP="000A61DD">
            <w:pPr>
              <w:pStyle w:val="Normal6"/>
            </w:pPr>
            <w:r w:rsidRPr="00AC4460">
              <w:t>5.</w:t>
            </w:r>
            <w:r w:rsidRPr="00AC4460">
              <w:tab/>
              <w:t>Όταν το προϊόν λίπανσης με σήμανση CE περιέχει ουσία για την οποία έχουν θεσπιστεί ανώτατα όρια υπολειμμάτων στα τρόφιμα και τις ζωοτροφές σύμφωνα με τον κανονισμό (ΕΟΚ) αριθ. 315/93, τον κανονισμό (ΕΚ) αριθ. 396/2005, τον κανονισμό (ΕΚ) αριθ. 470/2009 ή την οδηγία 2002/32/ΕΚ, οι οδηγίες που αναφέρονται στην παράγραφο 2 στοιχείο γ) διασφαλίζουν ότι η χρήση για την οποία προορίζεται το προϊόν λίπανσης δεν συνεπάγεται υπέρβαση των ορίων αυτών σε τρόφιμα ή ζωοτροφές.</w:t>
            </w:r>
          </w:p>
        </w:tc>
        <w:tc>
          <w:tcPr>
            <w:tcW w:w="4876" w:type="dxa"/>
            <w:hideMark/>
          </w:tcPr>
          <w:p w:rsidR="00E451E4" w:rsidRPr="00AC4460" w:rsidRDefault="00E451E4" w:rsidP="000A61DD">
            <w:pPr>
              <w:pStyle w:val="Normal6"/>
              <w:rPr>
                <w:b/>
                <w:i/>
                <w:szCs w:val="24"/>
              </w:rPr>
            </w:pPr>
            <w:r w:rsidRPr="00AC4460">
              <w:t>5.</w:t>
            </w:r>
            <w:r w:rsidRPr="00AC4460">
              <w:tab/>
              <w:t xml:space="preserve">Όταν το προϊόν λίπανσης με σήμανση CE περιέχει ουσία για την οποία έχουν θεσπιστεί ανώτατα όρια υπολειμμάτων στα τρόφιμα και τις ζωοτροφές σύμφωνα με τον κανονισμό (ΕΟΚ) αριθ. 315/93, τον κανονισμό (ΕΚ) αριθ. 396/2005, τον κανονισμό (ΕΚ) αριθ. 470/2009 ή την οδηγία 2002/32/ΕΚ, οι οδηγίες που αναφέρονται στην παράγραφο 2 στοιχείο γ) διασφαλίζουν ότι η χρήση για την οποία προορίζεται το προϊόν λίπανσης δεν συνεπάγεται υπέρβαση των ορίων αυτών σε τρόφιμα ή ζωοτροφές. </w:t>
            </w:r>
            <w:r w:rsidRPr="00AC4460">
              <w:rPr>
                <w:b/>
                <w:i/>
              </w:rPr>
              <w:t>Σε περίπτωση που επιτρέπεται η χρήση του προϊόντος λίπανσης με σήμανση CE στη βιολογική γεωργία σύμφωνα με τον κανονισμό (ΕΚ) αριθ. 889/2008</w:t>
            </w:r>
            <w:r w:rsidRPr="00AC4460">
              <w:rPr>
                <w:b/>
                <w:i/>
                <w:vertAlign w:val="superscript"/>
              </w:rPr>
              <w:t>1α</w:t>
            </w:r>
            <w:r w:rsidRPr="00AC4460">
              <w:rPr>
                <w:b/>
                <w:i/>
              </w:rPr>
              <w:t>, τότε φέρει τη φράση «επιτρέπεται η χρήση του στη βιολογική γεωργία σύμφωνα με τον κανονισμό (ΕΚ) αριθ. 889/2008».</w:t>
            </w:r>
            <w:r w:rsidRPr="00AC4460">
              <w:rPr>
                <w:b/>
                <w:i/>
                <w:szCs w:val="24"/>
              </w:rPr>
              <w:t xml:space="preserve"> </w:t>
            </w:r>
          </w:p>
        </w:tc>
      </w:tr>
      <w:tr w:rsidR="00E451E4" w:rsidRPr="00135F02" w:rsidTr="000A61DD">
        <w:trPr>
          <w:jc w:val="center"/>
        </w:trPr>
        <w:tc>
          <w:tcPr>
            <w:tcW w:w="4876" w:type="dxa"/>
          </w:tcPr>
          <w:p w:rsidR="00E451E4" w:rsidRPr="00AC4460" w:rsidRDefault="00E451E4" w:rsidP="000A61DD">
            <w:pPr>
              <w:pStyle w:val="Normal6"/>
              <w:rPr>
                <w:lang w:val="en-GB"/>
              </w:rPr>
            </w:pPr>
          </w:p>
        </w:tc>
        <w:tc>
          <w:tcPr>
            <w:tcW w:w="4876" w:type="dxa"/>
          </w:tcPr>
          <w:p w:rsidR="00E451E4" w:rsidRPr="00AC4460" w:rsidRDefault="00E451E4" w:rsidP="000A61DD">
            <w:pPr>
              <w:pStyle w:val="Normal6"/>
            </w:pPr>
            <w:r w:rsidRPr="00AC4460">
              <w:t>__________________</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szCs w:val="24"/>
                <w:vertAlign w:val="superscript"/>
              </w:rPr>
              <w:t>1α</w:t>
            </w:r>
            <w:r w:rsidRPr="00AC4460">
              <w:rPr>
                <w:b/>
                <w:i/>
                <w:szCs w:val="24"/>
              </w:rPr>
              <w:t xml:space="preserve"> Κανονισμός (ΕΚ) αριθ. 889/2008 της Επιτροπής, της 5ης Σεπτεμβρίου 2008, σχετικά με τη θέσπιση λεπτομερών κανόνων εφαρμογής του κανονισμού (ΕΚ) αριθ. 834/2007 του Συμβουλίου για τη βιολογική παραγωγή και την επισήμανση των βιολογικών προϊόντων όσον αφορά τον βιολογικό τρόπο παραγωγής, την επισήμανση και τον έλεγχο των προϊόντων (ΕΕ L 250 της 18.9.2008, σ. 1).</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Προκειμένου να βελτιωθεί η πληροφόρηση του τελικού χρήστη, είναι αναγκαία η κατάλληλη επισήμανση των προϊόντων των οποίων επιτρέπεται η χρήση στη βιολογική γεωργία.</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122</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III – μέρος Ι – παράγραφος 7 α (νέα)</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7α.</w:t>
            </w:r>
            <w:r w:rsidRPr="00AC4460">
              <w:rPr>
                <w:b/>
                <w:i/>
              </w:rPr>
              <w:tab/>
              <w:t>Σε περίπτωση που επιτρέπεται η χρήση του προϊόντος λίπανσης με σήμανση CE στη βιολογική γεωργία σύμφωνα με τον κανονισμό (ΕΚ) αριθ. 834/2007, προσδιορίζεται στην ετικέτα ότι «επιτρέπεται η χρήση στη βιολογική γεωργία σύμφωνα με τον κανονισμό (ΕΚ) αριθ. 834/2007».</w:t>
            </w:r>
          </w:p>
        </w:tc>
      </w:tr>
      <w:tr w:rsidR="00E451E4" w:rsidRPr="009421FD" w:rsidTr="000A61DD">
        <w:trPr>
          <w:jc w:val="center"/>
        </w:trPr>
        <w:tc>
          <w:tcPr>
            <w:tcW w:w="4876" w:type="dxa"/>
          </w:tcPr>
          <w:p w:rsidR="00E451E4" w:rsidRPr="00AC4460" w:rsidRDefault="00E451E4" w:rsidP="000A61DD">
            <w:pPr>
              <w:pStyle w:val="Normal6"/>
              <w:rPr>
                <w:lang w:val="en-GB"/>
              </w:rPr>
            </w:pPr>
          </w:p>
        </w:tc>
        <w:tc>
          <w:tcPr>
            <w:tcW w:w="4876" w:type="dxa"/>
          </w:tcPr>
          <w:p w:rsidR="00E451E4" w:rsidRPr="00AC4460" w:rsidRDefault="00E451E4" w:rsidP="000A61DD">
            <w:pPr>
              <w:pStyle w:val="Normal6"/>
              <w:rPr>
                <w:szCs w:val="24"/>
              </w:rPr>
            </w:pPr>
            <w:r w:rsidRPr="00AC4460">
              <w:rPr>
                <w:b/>
                <w:i/>
              </w:rPr>
              <w:t xml:space="preserve">Για προϊόντα λίπανσης με σήμανση CE που δεν είναι κατάλληλα για βιολογική γεωργία σύμφωνα με τον κανονισμό (ΕΚ) αριθ. 834/2007, και έχουν εμπορική ονομασία που ανακαλεί όρους που αναφέρονται στο άρθρο 23 του κανονισμού (ΕΚ) αριθ. 834/2007 και οι οποίοι μπορεί να παραπλανήσουν τον τελικό χρήστη σχετικά με τη χρήση τους στη βιολογική γεωργία, προσδιορίζεται στην ετικέτα ότι «δεν επιτρέπεται η χρήση στη βιολογική γεωργία σύμφωνα με τον κανονισμό (ΕΚ) αριθ. 834/2007». </w:t>
            </w:r>
          </w:p>
        </w:tc>
      </w:tr>
    </w:tbl>
    <w:p w:rsidR="00E451E4" w:rsidRPr="009421FD" w:rsidRDefault="00E451E4" w:rsidP="000A61DD">
      <w:r>
        <w:rPr>
          <w:rStyle w:val="HideTWBExt"/>
          <w:noProof w:val="0"/>
          <w:lang w:val="en-GB"/>
        </w:rPr>
        <w:t>&lt;/Amend&gt;</w:t>
      </w:r>
    </w:p>
    <w:p w:rsidR="00E451E4" w:rsidRPr="009421FD" w:rsidRDefault="00E451E4" w:rsidP="000A61DD">
      <w:pPr>
        <w:pStyle w:val="NormalBold"/>
        <w:rPr>
          <w:lang w:val="en-GB"/>
        </w:rPr>
      </w:pPr>
    </w:p>
    <w:p w:rsidR="00E451E4" w:rsidRPr="009421FD" w:rsidRDefault="00E451E4" w:rsidP="000A61DD">
      <w:pPr>
        <w:pStyle w:val="AMNumberTabs"/>
        <w:keepNext/>
        <w:rPr>
          <w:lang w:val="en-GB"/>
        </w:rPr>
      </w:pPr>
    </w:p>
    <w:p w:rsidR="00E451E4" w:rsidRPr="009421FD" w:rsidRDefault="00E451E4" w:rsidP="000A61DD">
      <w:pPr>
        <w:pStyle w:val="AMNumberTabs"/>
        <w:keepNext/>
      </w:pPr>
      <w:r>
        <w:rPr>
          <w:rStyle w:val="HideTWBExt"/>
          <w:b w:val="0"/>
          <w:noProof w:val="0"/>
          <w:lang w:val="en-GB"/>
        </w:rPr>
        <w:t>&lt;Amend&gt;</w:t>
      </w:r>
      <w:r w:rsidRPr="00AC4460">
        <w:t>Τροπολογία</w:t>
      </w:r>
      <w:r w:rsidRPr="00AC4460">
        <w:tab/>
      </w:r>
      <w:r w:rsidRPr="00AC4460">
        <w:tab/>
      </w:r>
      <w:r>
        <w:rPr>
          <w:rStyle w:val="HideTWBExt"/>
          <w:b w:val="0"/>
          <w:noProof w:val="0"/>
          <w:lang w:val="en-GB"/>
        </w:rPr>
        <w:t>&lt;NumAm&gt;</w:t>
      </w:r>
      <w:r w:rsidRPr="00AC4460">
        <w:t>123</w:t>
      </w:r>
      <w:r>
        <w:rPr>
          <w:rStyle w:val="HideTWBExt"/>
          <w:b w:val="0"/>
          <w:noProof w:val="0"/>
          <w:lang w:val="en-GB"/>
        </w:rPr>
        <w:t>&lt;/NumAm&gt;</w:t>
      </w:r>
    </w:p>
    <w:p w:rsidR="00E451E4" w:rsidRPr="009421FD" w:rsidRDefault="00E451E4" w:rsidP="000A61DD">
      <w:pPr>
        <w:pStyle w:val="NormalBold12b"/>
        <w:keepNext/>
      </w:pPr>
      <w:r>
        <w:rPr>
          <w:rStyle w:val="HideTWBExt"/>
          <w:b w:val="0"/>
          <w:noProof w:val="0"/>
          <w:lang w:val="en-GB"/>
        </w:rPr>
        <w:t>&lt;DocAmend&gt;</w:t>
      </w:r>
      <w:r w:rsidRPr="00AC4460">
        <w:t>Πρόταση κανονισμού</w:t>
      </w:r>
      <w:r>
        <w:rPr>
          <w:rStyle w:val="HideTWBExt"/>
          <w:b w:val="0"/>
          <w:noProof w:val="0"/>
          <w:lang w:val="en-GB"/>
        </w:rPr>
        <w:t>&lt;/DocAmend&gt;</w:t>
      </w:r>
    </w:p>
    <w:p w:rsidR="00E451E4" w:rsidRPr="00075D2C" w:rsidRDefault="00E451E4" w:rsidP="000A61DD">
      <w:pPr>
        <w:pStyle w:val="NormalBold"/>
        <w:keepNext/>
      </w:pPr>
      <w:r>
        <w:rPr>
          <w:rStyle w:val="HideTWBExt"/>
          <w:noProof w:val="0"/>
        </w:rPr>
        <w:t>&lt;</w:t>
      </w:r>
      <w:r>
        <w:rPr>
          <w:rStyle w:val="HideTWBExt"/>
          <w:noProof w:val="0"/>
          <w:lang w:val="fr-FR"/>
        </w:rPr>
        <w:t>Article</w:t>
      </w:r>
      <w:r>
        <w:rPr>
          <w:rStyle w:val="HideTWBExt"/>
          <w:noProof w:val="0"/>
        </w:rPr>
        <w:t>&gt;</w:t>
      </w:r>
      <w:r w:rsidRPr="00AC4460">
        <w:t>Παράρτημα IΙΙ – μέρος ΙΙ – ΚΛΠ 1(Β) – παράγραφος 2 α (νέα)</w:t>
      </w:r>
      <w:r>
        <w:rPr>
          <w:rStyle w:val="HideTWBExt"/>
          <w:noProof w:val="0"/>
        </w:rPr>
        <w:t>&lt;/</w:t>
      </w:r>
      <w:r>
        <w:rPr>
          <w:rStyle w:val="HideTWBExt"/>
          <w:noProof w:val="0"/>
          <w:lang w:val="fr-FR"/>
        </w:rPr>
        <w:t>Article</w:t>
      </w:r>
      <w:r>
        <w:rPr>
          <w:rStyle w:val="HideTWBExt"/>
          <w:noProof w:val="0"/>
        </w:rPr>
        <w:t>&gt;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51E4" w:rsidRPr="00075D2C" w:rsidTr="000A61DD">
        <w:trPr>
          <w:jc w:val="center"/>
        </w:trPr>
        <w:tc>
          <w:tcPr>
            <w:tcW w:w="9750" w:type="dxa"/>
            <w:gridSpan w:val="2"/>
          </w:tcPr>
          <w:p w:rsidR="00E451E4" w:rsidRPr="00E451E4" w:rsidRDefault="00E451E4" w:rsidP="000A61DD">
            <w:pPr>
              <w:keepNext/>
            </w:pPr>
          </w:p>
        </w:tc>
      </w:tr>
      <w:tr w:rsidR="00E451E4" w:rsidRPr="00135F02" w:rsidTr="000A61DD">
        <w:trPr>
          <w:jc w:val="center"/>
        </w:trPr>
        <w:tc>
          <w:tcPr>
            <w:tcW w:w="4875" w:type="dxa"/>
            <w:hideMark/>
          </w:tcPr>
          <w:p w:rsidR="00E451E4" w:rsidRPr="00AC4460" w:rsidRDefault="00E451E4" w:rsidP="000A61DD">
            <w:pPr>
              <w:pStyle w:val="ColumnHeading"/>
            </w:pPr>
            <w:r w:rsidRPr="00AC4460">
              <w:t>Κείμενο που προτείνει η Επιτροπή</w:t>
            </w:r>
          </w:p>
        </w:tc>
        <w:tc>
          <w:tcPr>
            <w:tcW w:w="4875" w:type="dxa"/>
            <w:hideMark/>
          </w:tcPr>
          <w:p w:rsidR="00E451E4" w:rsidRPr="00AC4460" w:rsidRDefault="00E451E4" w:rsidP="000A61DD">
            <w:pPr>
              <w:pStyle w:val="ColumnHeading"/>
            </w:pPr>
            <w:r w:rsidRPr="00AC4460">
              <w:t>Τροπολογία</w:t>
            </w:r>
          </w:p>
        </w:tc>
      </w:tr>
      <w:tr w:rsidR="00E451E4" w:rsidRPr="009421FD" w:rsidTr="000A61DD">
        <w:trPr>
          <w:jc w:val="center"/>
        </w:trPr>
        <w:tc>
          <w:tcPr>
            <w:tcW w:w="4875" w:type="dxa"/>
          </w:tcPr>
          <w:p w:rsidR="00E451E4" w:rsidRPr="00AC4460" w:rsidRDefault="00E451E4" w:rsidP="000A61DD">
            <w:pPr>
              <w:spacing w:after="120"/>
            </w:pPr>
          </w:p>
        </w:tc>
        <w:tc>
          <w:tcPr>
            <w:tcW w:w="4875" w:type="dxa"/>
            <w:hideMark/>
          </w:tcPr>
          <w:p w:rsidR="00E451E4" w:rsidRPr="00AC4460" w:rsidRDefault="00E451E4" w:rsidP="000A61DD">
            <w:pPr>
              <w:pStyle w:val="Normal6"/>
              <w:rPr>
                <w:b/>
                <w:bCs/>
                <w:i/>
                <w:iCs/>
              </w:rPr>
            </w:pPr>
            <w:r w:rsidRPr="00AC4460">
              <w:rPr>
                <w:b/>
                <w:bCs/>
                <w:i/>
                <w:iCs/>
              </w:rPr>
              <w:t>2α.</w:t>
            </w:r>
            <w:r w:rsidRPr="00AC4460">
              <w:rPr>
                <w:b/>
                <w:bCs/>
                <w:i/>
                <w:iCs/>
              </w:rPr>
              <w:tab/>
              <w:t>Όταν το προϊόν λίπανσης με σήμανση CE έχει περιεκτικότητα σε ολικό φώσφορο (P) 5% κατά μάζα ή μεγαλύτερη σε ισοδύναμα πεντοξειδίου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 («φωσφορικό λίπασμα»)</w:t>
            </w:r>
          </w:p>
        </w:tc>
      </w:tr>
      <w:tr w:rsidR="00E451E4" w:rsidRPr="009421FD" w:rsidTr="000A61DD">
        <w:trPr>
          <w:jc w:val="center"/>
        </w:trPr>
        <w:tc>
          <w:tcPr>
            <w:tcW w:w="4875" w:type="dxa"/>
          </w:tcPr>
          <w:p w:rsidR="00E451E4" w:rsidRPr="00AC4460" w:rsidRDefault="00E451E4" w:rsidP="000A61DD">
            <w:pPr>
              <w:spacing w:after="120"/>
            </w:pPr>
          </w:p>
        </w:tc>
        <w:tc>
          <w:tcPr>
            <w:tcW w:w="4875" w:type="dxa"/>
            <w:hideMark/>
          </w:tcPr>
          <w:p w:rsidR="00E451E4" w:rsidRPr="00AC4460" w:rsidRDefault="00E451E4" w:rsidP="000A61DD">
            <w:pPr>
              <w:pStyle w:val="Normal6"/>
              <w:rPr>
                <w:b/>
                <w:bCs/>
                <w:i/>
                <w:iCs/>
              </w:rPr>
            </w:pPr>
            <w:r w:rsidRPr="00AC4460">
              <w:rPr>
                <w:b/>
                <w:bCs/>
                <w:i/>
                <w:iCs/>
              </w:rPr>
              <w:t xml:space="preserve">α) </w:t>
            </w:r>
            <w:r w:rsidRPr="00AC4460">
              <w:rPr>
                <w:b/>
                <w:bCs/>
                <w:i/>
                <w:iCs/>
              </w:rPr>
              <w:tab/>
              <w:t>δηλώνεται σαφώς η πραγματική περιεκτικότητα σε κάδμιο (Cd) σε mg/kg πεντοξειδίου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 και</w:t>
            </w:r>
          </w:p>
        </w:tc>
      </w:tr>
      <w:tr w:rsidR="00E451E4" w:rsidRPr="009421FD" w:rsidTr="000A61DD">
        <w:trPr>
          <w:jc w:val="center"/>
        </w:trPr>
        <w:tc>
          <w:tcPr>
            <w:tcW w:w="4875" w:type="dxa"/>
          </w:tcPr>
          <w:p w:rsidR="00E451E4" w:rsidRPr="00AC4460" w:rsidRDefault="00E451E4" w:rsidP="000A61DD">
            <w:pPr>
              <w:spacing w:after="120"/>
            </w:pPr>
          </w:p>
        </w:tc>
        <w:tc>
          <w:tcPr>
            <w:tcW w:w="4875" w:type="dxa"/>
            <w:hideMark/>
          </w:tcPr>
          <w:p w:rsidR="00E451E4" w:rsidRPr="00AC4460" w:rsidRDefault="00E451E4" w:rsidP="000A61DD">
            <w:pPr>
              <w:pStyle w:val="Normal6"/>
              <w:rPr>
                <w:b/>
                <w:bCs/>
                <w:i/>
                <w:iCs/>
              </w:rPr>
            </w:pPr>
            <w:r w:rsidRPr="00AC4460">
              <w:rPr>
                <w:b/>
                <w:bCs/>
                <w:i/>
                <w:iCs/>
              </w:rPr>
              <w:t xml:space="preserve">β) </w:t>
            </w:r>
            <w:r w:rsidRPr="00AC4460">
              <w:rPr>
                <w:b/>
                <w:bCs/>
                <w:i/>
                <w:iCs/>
              </w:rPr>
              <w:tab/>
              <w:t>η φράση «χαμηλή περιεκτικότητα σε κάδμιο» ή παρόμοια φράση ή ένα λογότυπο με αυτό το μήνυμα μπορούν να αναγράφονται μόνον εάν το περιεχόμενο του καδμίου (Cd) είναι ίσο ή μικρότερο από 20 mg/kg πεντοξειδίου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w:t>
            </w:r>
          </w:p>
        </w:tc>
      </w:tr>
    </w:tbl>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E451E4" w:rsidRDefault="00E451E4" w:rsidP="000A61DD"/>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124</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III – μέρος ΙΙ – ΚΛΠ 1(Γ)(Ι) – παράγραφος – στοιχείο δ α (νέο)</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135F02"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δ α)</w:t>
            </w:r>
            <w:r w:rsidRPr="00AC4460">
              <w:rPr>
                <w:b/>
                <w:i/>
              </w:rPr>
              <w:tab/>
              <w:t>pH</w:t>
            </w:r>
          </w:p>
        </w:tc>
      </w:tr>
    </w:tbl>
    <w:p w:rsidR="00E451E4" w:rsidRPr="00135F02"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9421FD" w:rsidRDefault="00E451E4" w:rsidP="000A61DD">
      <w:pPr>
        <w:pStyle w:val="Normal12Italic"/>
      </w:pPr>
      <w:r>
        <w:t>Το pH του λιπάσματος είναι μια σημαντική ένδειξη για τους γεωργούς ώστε να προσαρμόζουν την παραγωγή τους βάσει του τύπου εδάφους και των καλλιεργειών που χρησιμοποιούνται.</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125</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135F02"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IΙΙ – μέρος 2 – ΚΛΠ 1(Γ) (Ι) – παράγραφος 1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rPr>
                <w:b/>
                <w:i/>
              </w:rPr>
              <w:tab/>
              <w:t>Τα προϊόντα λίπανσης που περιέχουν κάδμιο, αρσενικό, μόλυβδο, εξασθενές χρώμιο και υδράργυρο λιγότερο από 5 ppm, αντίστοιχα, είναι επιλέξιμα για χρησιμοποίηση ορατού «οικολογικού σήματος» στη συσκευασία και την ετικέτα τους. Η Επιτροπή εξουσιοδοτείται να εκδίδει κατ’ εξουσιοδότηση πράξεις σύμφωνα με το άρθρο 43, για τη συμπλήρωση του παρόντος κανονισμού, για να θεσπίσει τις τεχνικές προδιαγραφές τέτοιων ετικετών.</w:t>
            </w:r>
          </w:p>
        </w:tc>
      </w:tr>
    </w:tbl>
    <w:p w:rsidR="00E451E4" w:rsidRPr="00E451E4" w:rsidRDefault="00E451E4" w:rsidP="000A61DD">
      <w:pPr>
        <w:pStyle w:val="JustificationTitle"/>
      </w:pPr>
      <w:r>
        <w:rPr>
          <w:rStyle w:val="HideTWBExt"/>
          <w:i w:val="0"/>
          <w:noProof w:val="0"/>
          <w:lang w:val="en-GB"/>
        </w:rPr>
        <w:t>&lt;TitreJust&gt;</w:t>
      </w:r>
      <w:r w:rsidRPr="00AC4460">
        <w:t>Αιτιολόγηση</w:t>
      </w:r>
      <w:r>
        <w:rPr>
          <w:rStyle w:val="HideTWBExt"/>
          <w:i w:val="0"/>
          <w:noProof w:val="0"/>
          <w:lang w:val="en-GB"/>
        </w:rPr>
        <w:t>&lt;/TitreJust&gt;</w:t>
      </w:r>
    </w:p>
    <w:p w:rsidR="00E451E4" w:rsidRPr="00E451E4" w:rsidRDefault="00E451E4" w:rsidP="000A61DD">
      <w:pPr>
        <w:pStyle w:val="Normal12Italic"/>
      </w:pPr>
      <w:r>
        <w:t>The European Union should ensure transparency for farmers and consumers and promote the use of greener, non-contaminated products in fertilising practices. In order to foster the usage of non-contaminated products in arable soil, we must increase visibility of those products in the market. The introduction of a “green label” in exceptionally low-contaminants products will facilitate the choice of farmers for these products, ensure their full knowledge on the contents of contaminants in their fertilisers, and ultimately encourage a move towards sustainable farming and safer products in the food chain. The introduction of a green label for those fertilisers with a content of below 5ppm of Cadmium, Arsenic, Lead Chromium VI and Mercury (the most toxic and common contaminants in inorganic and organo-mineral fertilisers” will support the transition towards greener fertilisers in the EU market.</w:t>
      </w:r>
    </w:p>
    <w:p w:rsidR="00E451E4" w:rsidRPr="00E451E4" w:rsidRDefault="00E451E4" w:rsidP="000A61DD">
      <w:r>
        <w:rPr>
          <w:rStyle w:val="HideTWBExt"/>
          <w:noProof w:val="0"/>
          <w:lang w:val="en-GB"/>
        </w:rPr>
        <w:t>&lt;/Amend&gt;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126</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keepNext/>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75D2C" w:rsidRDefault="00E451E4" w:rsidP="000A61DD">
      <w:pPr>
        <w:pStyle w:val="NormalBold"/>
        <w:keepNext/>
      </w:pPr>
      <w:r>
        <w:rPr>
          <w:rStyle w:val="HideTWBExt"/>
          <w:b w:val="0"/>
          <w:noProof w:val="0"/>
        </w:rPr>
        <w:t>&lt;</w:t>
      </w:r>
      <w:r>
        <w:rPr>
          <w:rStyle w:val="HideTWBExt"/>
          <w:b w:val="0"/>
          <w:noProof w:val="0"/>
          <w:lang w:val="fr-FR"/>
        </w:rPr>
        <w:t>Article</w:t>
      </w:r>
      <w:r>
        <w:rPr>
          <w:rStyle w:val="HideTWBExt"/>
          <w:b w:val="0"/>
          <w:noProof w:val="0"/>
        </w:rPr>
        <w:t>&gt;</w:t>
      </w:r>
      <w:r w:rsidRPr="00AC4460">
        <w:t>Παράρτημα IΙΙ – μέρος ΙΙ – ΚΛΠ 1(Γ) (Ι) – παράγραφος 1 α (νέα)</w:t>
      </w:r>
      <w:r>
        <w:rPr>
          <w:rStyle w:val="HideTWBExt"/>
          <w:b w:val="0"/>
          <w:noProof w:val="0"/>
        </w:rPr>
        <w:t>&lt;/</w:t>
      </w:r>
      <w:r>
        <w:rPr>
          <w:rStyle w:val="HideTWBExt"/>
          <w:b w:val="0"/>
          <w:noProof w:val="0"/>
          <w:lang w:val="fr-FR"/>
        </w:rPr>
        <w:t>Article</w:t>
      </w:r>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1α.</w:t>
            </w:r>
            <w:r w:rsidRPr="00AC4460">
              <w:rPr>
                <w:b/>
                <w:bCs/>
                <w:i/>
                <w:iCs/>
              </w:rPr>
              <w:tab/>
              <w:t>Όταν το προϊόν λίπανσης με σήμανση CE έχει περιεκτικότητα σε ολικό φώσφορο (P) 5% κατά μάζα ή μεγαλύτερη σε ισοδύναμα πεντοξειδίου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 («φωσφορικό λίπασμα»)</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α) </w:t>
            </w:r>
            <w:r w:rsidRPr="00AC4460">
              <w:rPr>
                <w:b/>
                <w:bCs/>
                <w:i/>
                <w:iCs/>
              </w:rPr>
              <w:tab/>
              <w:t>δηλώνεται σαφώς η πραγματική περιεκτικότητα σε κάδμιο (Cd) σε mg/kg πεντοξειδίου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 και</w:t>
            </w:r>
          </w:p>
        </w:tc>
      </w:tr>
      <w:tr w:rsidR="00E451E4" w:rsidRPr="009421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β) </w:t>
            </w:r>
            <w:r w:rsidRPr="00AC4460">
              <w:rPr>
                <w:b/>
                <w:bCs/>
                <w:i/>
                <w:iCs/>
              </w:rPr>
              <w:tab/>
              <w:t>η φράση «χαμηλή περιεκτικότητα σε κάδμιο» ή παρόμοια φράση ή ένα λογότυπο με αυτό το μήνυμα μπορούν να αναγράφονται μόνον εάν το περιεχόμενο του καδμίου (Cd) είναι ίσο ή μικρότερο από 20 mg/kg πεντοξειδίου του φωσφόρου (P</w:t>
            </w:r>
            <w:r w:rsidRPr="00AC4460">
              <w:rPr>
                <w:b/>
                <w:bCs/>
                <w:i/>
                <w:iCs/>
                <w:vertAlign w:val="subscript"/>
              </w:rPr>
              <w:t>2</w:t>
            </w:r>
            <w:r w:rsidRPr="00AC4460">
              <w:rPr>
                <w:b/>
                <w:bCs/>
                <w:i/>
                <w:iCs/>
              </w:rPr>
              <w:t>O</w:t>
            </w:r>
            <w:r w:rsidRPr="00AC4460">
              <w:rPr>
                <w:b/>
                <w:bCs/>
                <w:i/>
                <w:iCs/>
                <w:vertAlign w:val="subscript"/>
              </w:rPr>
              <w:t>5</w:t>
            </w:r>
            <w:r w:rsidRPr="00AC4460">
              <w:rPr>
                <w:b/>
                <w:bCs/>
                <w:i/>
                <w:iCs/>
              </w:rPr>
              <w:t>).</w:t>
            </w:r>
          </w:p>
        </w:tc>
      </w:tr>
    </w:tbl>
    <w:p w:rsidR="00E451E4" w:rsidRPr="00135F02" w:rsidRDefault="00E451E4" w:rsidP="000A61DD">
      <w:r>
        <w:rPr>
          <w:rStyle w:val="HideTWBExt"/>
          <w:noProof w:val="0"/>
        </w:rPr>
        <w:t>&lt;/Amend&gt;</w:t>
      </w:r>
    </w:p>
    <w:p w:rsidR="00E451E4" w:rsidRPr="009421FD" w:rsidRDefault="00E451E4" w:rsidP="000A61DD">
      <w:pPr>
        <w:pStyle w:val="AMNumberTabs"/>
        <w:keepNext/>
      </w:pPr>
      <w:bookmarkStart w:id="13" w:name="EndB"/>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127</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III – μέρος ΙΙΙ – ΚΛΠ 1(Γ) (Ι) – παράγραφος 2</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Ποσότητα:</w:t>
            </w:r>
            <w:r w:rsidR="000A61DD">
              <w:rPr>
                <w:b/>
                <w:i/>
              </w:rPr>
              <w:t xml:space="preserve"> </w:t>
            </w:r>
            <w:r w:rsidRPr="00AC4460">
              <w:t xml:space="preserve">± </w:t>
            </w:r>
            <w:r w:rsidRPr="00AC4460">
              <w:rPr>
                <w:b/>
                <w:i/>
              </w:rPr>
              <w:t>5</w:t>
            </w:r>
            <w:r w:rsidRPr="00AC4460">
              <w:t xml:space="preserve"> % σχετική απόκλιση από τη δηλούμενη τιμή</w:t>
            </w:r>
          </w:p>
        </w:tc>
        <w:tc>
          <w:tcPr>
            <w:tcW w:w="4876" w:type="dxa"/>
          </w:tcPr>
          <w:p w:rsidR="00E451E4" w:rsidRPr="00AC4460" w:rsidRDefault="00E451E4" w:rsidP="000A61DD">
            <w:pPr>
              <w:pStyle w:val="Normal6"/>
              <w:rPr>
                <w:szCs w:val="24"/>
              </w:rPr>
            </w:pPr>
            <w:r w:rsidRPr="00AC4460">
              <w:t xml:space="preserve">Ποσότητα: ± </w:t>
            </w:r>
            <w:r w:rsidRPr="00AC4460">
              <w:rPr>
                <w:b/>
                <w:i/>
              </w:rPr>
              <w:t>3</w:t>
            </w:r>
            <w:r w:rsidRPr="00AC4460">
              <w:t xml:space="preserve"> % σχετική απόκλιση από τη δηλούμενη τιμή</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rPr>
          <w:szCs w:val="24"/>
        </w:rPr>
      </w:pPr>
      <w:r>
        <w:t xml:space="preserve">Η σχετική απόκλιση ± 5 % από τη δηλούμενη τιμή για την ποσότητα είναι υπερβολικά υψηλή. </w:t>
      </w:r>
    </w:p>
    <w:p w:rsidR="00E451E4" w:rsidRPr="009421FD" w:rsidRDefault="00E451E4" w:rsidP="000A61DD">
      <w:r>
        <w:rPr>
          <w:rStyle w:val="HideTWBExt"/>
          <w:noProof w:val="0"/>
        </w:rPr>
        <w:t>&lt;/</w:t>
      </w:r>
      <w:r>
        <w:rPr>
          <w:rStyle w:val="HideTWBExt"/>
          <w:noProof w:val="0"/>
          <w:lang w:val="en-GB"/>
        </w:rPr>
        <w:t>Amend</w:t>
      </w:r>
      <w:r>
        <w:rPr>
          <w:rStyle w:val="HideTWBExt"/>
          <w:noProof w:val="0"/>
        </w:rPr>
        <w:t>&gt;</w:t>
      </w:r>
    </w:p>
    <w:p w:rsidR="00E451E4" w:rsidRPr="009421FD" w:rsidRDefault="00E451E4" w:rsidP="000A61DD">
      <w:pPr>
        <w:pStyle w:val="AMNumberTabs"/>
        <w:keepNext/>
      </w:pPr>
      <w:r>
        <w:rPr>
          <w:rStyle w:val="HideTWBExt"/>
          <w:b w:val="0"/>
          <w:noProof w:val="0"/>
        </w:rPr>
        <w:t>&lt;</w:t>
      </w:r>
      <w:r>
        <w:rPr>
          <w:rStyle w:val="HideTWBExt"/>
          <w:b w:val="0"/>
          <w:noProof w:val="0"/>
          <w:lang w:val="en-GB"/>
        </w:rPr>
        <w:t>Amend</w:t>
      </w:r>
      <w:r>
        <w:rPr>
          <w:rStyle w:val="HideTWBExt"/>
          <w:b w:val="0"/>
          <w:noProof w:val="0"/>
        </w:rPr>
        <w:t>&gt;</w:t>
      </w:r>
      <w:r w:rsidRPr="00AC4460">
        <w:t>Τροπολογία</w:t>
      </w:r>
      <w:r w:rsidRPr="00AC4460">
        <w:tab/>
      </w:r>
      <w:r w:rsidRPr="00AC4460">
        <w:tab/>
      </w:r>
      <w:r>
        <w:rPr>
          <w:rStyle w:val="HideTWBExt"/>
          <w:b w:val="0"/>
          <w:noProof w:val="0"/>
        </w:rPr>
        <w:t>&lt;</w:t>
      </w:r>
      <w:r>
        <w:rPr>
          <w:rStyle w:val="HideTWBExt"/>
          <w:b w:val="0"/>
          <w:noProof w:val="0"/>
          <w:lang w:val="en-GB"/>
        </w:rPr>
        <w:t>NumAm</w:t>
      </w:r>
      <w:r>
        <w:rPr>
          <w:rStyle w:val="HideTWBExt"/>
          <w:b w:val="0"/>
          <w:noProof w:val="0"/>
        </w:rPr>
        <w:t>&gt;</w:t>
      </w:r>
      <w:r w:rsidRPr="00AC4460">
        <w:t>128</w:t>
      </w:r>
      <w:r>
        <w:rPr>
          <w:rStyle w:val="HideTWBExt"/>
          <w:b w:val="0"/>
          <w:noProof w:val="0"/>
        </w:rPr>
        <w:t>&lt;/</w:t>
      </w:r>
      <w:r>
        <w:rPr>
          <w:rStyle w:val="HideTWBExt"/>
          <w:b w:val="0"/>
          <w:noProof w:val="0"/>
          <w:lang w:val="en-GB"/>
        </w:rPr>
        <w:t>NumAm</w:t>
      </w:r>
      <w:r>
        <w:rPr>
          <w:rStyle w:val="HideTWBExt"/>
          <w:b w:val="0"/>
          <w:noProof w:val="0"/>
        </w:rPr>
        <w:t>&gt;</w:t>
      </w:r>
    </w:p>
    <w:p w:rsidR="00E451E4" w:rsidRPr="009421FD" w:rsidRDefault="00E451E4" w:rsidP="000A61DD">
      <w:pPr>
        <w:pStyle w:val="NormalBold12b"/>
      </w:pPr>
      <w:r>
        <w:rPr>
          <w:rStyle w:val="HideTWBExt"/>
          <w:b w:val="0"/>
          <w:noProof w:val="0"/>
        </w:rPr>
        <w:t>&lt;</w:t>
      </w:r>
      <w:r>
        <w:rPr>
          <w:rStyle w:val="HideTWBExt"/>
          <w:b w:val="0"/>
          <w:noProof w:val="0"/>
          <w:lang w:val="en-GB"/>
        </w:rPr>
        <w:t>DocAmend</w:t>
      </w:r>
      <w:r>
        <w:rPr>
          <w:rStyle w:val="HideTWBExt"/>
          <w:b w:val="0"/>
          <w:noProof w:val="0"/>
        </w:rPr>
        <w:t>&gt;</w:t>
      </w:r>
      <w:r w:rsidRPr="00AC4460">
        <w:t>Πρόταση κανονισμού</w:t>
      </w:r>
      <w:r>
        <w:rPr>
          <w:rStyle w:val="HideTWBExt"/>
          <w:b w:val="0"/>
          <w:noProof w:val="0"/>
        </w:rPr>
        <w:t>&lt;/</w:t>
      </w:r>
      <w:r>
        <w:rPr>
          <w:rStyle w:val="HideTWBExt"/>
          <w:b w:val="0"/>
          <w:noProof w:val="0"/>
          <w:lang w:val="en-GB"/>
        </w:rPr>
        <w:t>DocAmend</w:t>
      </w:r>
      <w:r>
        <w:rPr>
          <w:rStyle w:val="HideTWBExt"/>
          <w:b w:val="0"/>
          <w:noProof w:val="0"/>
        </w:rPr>
        <w:t>&gt;</w:t>
      </w:r>
    </w:p>
    <w:p w:rsidR="00E451E4" w:rsidRPr="000B20D1" w:rsidRDefault="00E451E4" w:rsidP="000A61DD">
      <w:pPr>
        <w:pStyle w:val="NormalBold"/>
      </w:pPr>
      <w:r>
        <w:rPr>
          <w:rStyle w:val="HideTWBExt"/>
          <w:b w:val="0"/>
          <w:noProof w:val="0"/>
        </w:rPr>
        <w:t>&lt;</w:t>
      </w:r>
      <w:r>
        <w:rPr>
          <w:rStyle w:val="HideTWBExt"/>
          <w:b w:val="0"/>
          <w:noProof w:val="0"/>
          <w:lang w:val="fr-FR"/>
        </w:rPr>
        <w:t>Article</w:t>
      </w:r>
      <w:r>
        <w:rPr>
          <w:rStyle w:val="HideTWBExt"/>
          <w:b w:val="0"/>
          <w:noProof w:val="0"/>
        </w:rPr>
        <w:t>&gt;</w:t>
      </w:r>
      <w:r w:rsidRPr="00AC4460">
        <w:t>Παράρτημα IV – μέρος Ι – παράγραφος 1 – εδάφιο 1 – στοιχείο β</w:t>
      </w:r>
      <w:r>
        <w:rPr>
          <w:rStyle w:val="HideTWBExt"/>
          <w:b w:val="0"/>
          <w:noProof w:val="0"/>
        </w:rPr>
        <w:t>&lt;/</w:t>
      </w:r>
      <w:r>
        <w:rPr>
          <w:rStyle w:val="HideTWBExt"/>
          <w:b w:val="0"/>
          <w:noProof w:val="0"/>
          <w:lang w:val="fr-FR"/>
        </w:rPr>
        <w:t>Article</w:t>
      </w:r>
      <w:r>
        <w:rPr>
          <w:rStyle w:val="HideTWBExt"/>
          <w:b w:val="0"/>
          <w:noProof w:val="0"/>
        </w:rPr>
        <w:t>&gt;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075D2C" w:rsidTr="000A61DD">
        <w:trPr>
          <w:jc w:val="center"/>
        </w:trPr>
        <w:tc>
          <w:tcPr>
            <w:tcW w:w="9752" w:type="dxa"/>
            <w:gridSpan w:val="2"/>
          </w:tcPr>
          <w:p w:rsidR="00E451E4" w:rsidRPr="00E451E4" w:rsidRDefault="00E451E4" w:rsidP="000A61DD">
            <w:pPr>
              <w:keepNext/>
            </w:pPr>
          </w:p>
        </w:tc>
      </w:tr>
      <w:tr w:rsidR="00E451E4" w:rsidRPr="00135F02"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9421FD" w:rsidTr="000A61DD">
        <w:trPr>
          <w:jc w:val="center"/>
        </w:trPr>
        <w:tc>
          <w:tcPr>
            <w:tcW w:w="4876" w:type="dxa"/>
          </w:tcPr>
          <w:p w:rsidR="00E451E4" w:rsidRPr="00AC4460" w:rsidRDefault="00E451E4" w:rsidP="000A61DD">
            <w:pPr>
              <w:pStyle w:val="Normal6"/>
            </w:pPr>
            <w:r w:rsidRPr="00AC4460">
              <w:t>β)</w:t>
            </w:r>
            <w:r w:rsidRPr="00AC4460">
              <w:tab/>
              <w:t>χωνεύματα ενεργειακών καλλιεργειών, όπως ορίζονται στην ΚΣΥ 4,</w:t>
            </w:r>
          </w:p>
        </w:tc>
        <w:tc>
          <w:tcPr>
            <w:tcW w:w="4876" w:type="dxa"/>
          </w:tcPr>
          <w:p w:rsidR="00E451E4" w:rsidRPr="00AC4460" w:rsidRDefault="00E451E4" w:rsidP="000A61DD">
            <w:pPr>
              <w:pStyle w:val="Normal6"/>
              <w:rPr>
                <w:szCs w:val="24"/>
              </w:rPr>
            </w:pPr>
            <w:r w:rsidRPr="00AC4460">
              <w:t>β)</w:t>
            </w:r>
            <w:r w:rsidRPr="00AC4460">
              <w:tab/>
              <w:t>χωνεύματα ενεργειακών καλλιεργειών</w:t>
            </w:r>
            <w:r w:rsidRPr="00AC4460">
              <w:rPr>
                <w:b/>
                <w:i/>
              </w:rPr>
              <w:t xml:space="preserve"> και βιολογικά απόβλητα φυτικής προέλευσης</w:t>
            </w:r>
            <w:r w:rsidRPr="00AC4460">
              <w:t>, όπως ορίζονται στην ΚΣΥ 4,</w:t>
            </w:r>
          </w:p>
        </w:tc>
      </w:tr>
    </w:tbl>
    <w:p w:rsidR="00E451E4" w:rsidRPr="009421FD" w:rsidRDefault="00E451E4" w:rsidP="000A61DD">
      <w:pPr>
        <w:pStyle w:val="JustificationTitle"/>
      </w:pPr>
      <w:r>
        <w:rPr>
          <w:rStyle w:val="HideTWBExt"/>
          <w:i w:val="0"/>
          <w:noProof w:val="0"/>
        </w:rPr>
        <w:t>&lt;</w:t>
      </w:r>
      <w:r>
        <w:rPr>
          <w:rStyle w:val="HideTWBExt"/>
          <w:i w:val="0"/>
          <w:noProof w:val="0"/>
          <w:lang w:val="en-GB"/>
        </w:rPr>
        <w:t>TitreJust</w:t>
      </w:r>
      <w:r>
        <w:rPr>
          <w:rStyle w:val="HideTWBExt"/>
          <w:i w:val="0"/>
          <w:noProof w:val="0"/>
        </w:rPr>
        <w:t>&gt;</w:t>
      </w:r>
      <w:r w:rsidRPr="00AC4460">
        <w:t>Αιτιολόγηση</w:t>
      </w:r>
      <w:r>
        <w:rPr>
          <w:rStyle w:val="HideTWBExt"/>
          <w:i w:val="0"/>
          <w:noProof w:val="0"/>
        </w:rPr>
        <w:t>&lt;/</w:t>
      </w:r>
      <w:r>
        <w:rPr>
          <w:rStyle w:val="HideTWBExt"/>
          <w:i w:val="0"/>
          <w:noProof w:val="0"/>
          <w:lang w:val="en-GB"/>
        </w:rPr>
        <w:t>TitreJust</w:t>
      </w:r>
      <w:r>
        <w:rPr>
          <w:rStyle w:val="HideTWBExt"/>
          <w:i w:val="0"/>
          <w:noProof w:val="0"/>
        </w:rPr>
        <w:t>&gt;</w:t>
      </w:r>
    </w:p>
    <w:p w:rsidR="00E451E4" w:rsidRPr="009421FD" w:rsidRDefault="00E451E4" w:rsidP="000A61DD">
      <w:pPr>
        <w:pStyle w:val="Normal12Italic"/>
      </w:pPr>
      <w:r>
        <w:t>Όπως προτείνεται για την ΚΣΥ 4 και την ΚΣΥ 6, θα πρέπει να εφαρμόζονται εσωτερικοί έλεγχοι παραγωγής για χωνεύματα αποβλήτων γεωργικών τροφίμων (παράρτημα IV ενότητα Α). Η παρούσα τροπολογία ευθυγραμμίζει τις διατάξεις με τις αλλαγές που πραγματοποιήθηκαν σύμφωνα με το παράρτημα ΙΙ.</w:t>
      </w:r>
    </w:p>
    <w:p w:rsidR="00E451E4" w:rsidRPr="009421FD" w:rsidRDefault="00E451E4" w:rsidP="000A61DD">
      <w:r>
        <w:rPr>
          <w:rStyle w:val="HideTWBExt"/>
          <w:noProof w:val="0"/>
        </w:rPr>
        <w:t>&lt;/</w:t>
      </w:r>
      <w:r>
        <w:rPr>
          <w:rStyle w:val="HideTWBExt"/>
          <w:noProof w:val="0"/>
          <w:lang w:val="en-GB"/>
        </w:rPr>
        <w:t>Amend</w:t>
      </w:r>
      <w:r>
        <w:rPr>
          <w:rStyle w:val="HideTWBExt"/>
          <w:noProof w:val="0"/>
        </w:rPr>
        <w:t>&gt;&lt;/</w:t>
      </w:r>
      <w:r>
        <w:rPr>
          <w:rStyle w:val="HideTWBExt"/>
          <w:noProof w:val="0"/>
          <w:lang w:val="en-GB"/>
        </w:rPr>
        <w:t>RepeatBlock</w:t>
      </w:r>
      <w:r>
        <w:rPr>
          <w:rStyle w:val="HideTWBExt"/>
          <w:noProof w:val="0"/>
        </w:rPr>
        <w:t>-</w:t>
      </w:r>
      <w:r>
        <w:rPr>
          <w:rStyle w:val="HideTWBExt"/>
          <w:noProof w:val="0"/>
          <w:lang w:val="en-GB"/>
        </w:rPr>
        <w:t>Amend</w:t>
      </w:r>
      <w:r>
        <w:rPr>
          <w:rStyle w:val="HideTWBExt"/>
          <w:noProof w:val="0"/>
        </w:rPr>
        <w:t>&gt;</w:t>
      </w:r>
      <w:bookmarkEnd w:id="13"/>
    </w:p>
    <w:p w:rsidR="00E451E4" w:rsidRPr="00E451E4" w:rsidRDefault="00E451E4" w:rsidP="000A61DD">
      <w:pPr>
        <w:pStyle w:val="Normal12"/>
      </w:pPr>
    </w:p>
    <w:p w:rsidR="00E451E4" w:rsidRPr="00A8270B" w:rsidRDefault="00E451E4" w:rsidP="000A61DD">
      <w:pPr>
        <w:pStyle w:val="Olang"/>
        <w:rPr>
          <w:noProof w:val="0"/>
        </w:rPr>
      </w:pPr>
      <w:r w:rsidRPr="009B7BE3">
        <w:rPr>
          <w:noProof w:val="0"/>
        </w:rPr>
        <w:t xml:space="preserve"> </w:t>
      </w:r>
      <w:bookmarkEnd w:id="12"/>
    </w:p>
    <w:p w:rsidR="00E451E4" w:rsidRDefault="00E451E4" w:rsidP="000A61DD">
      <w:pPr>
        <w:pStyle w:val="PageHeadingNotTOC"/>
      </w:pPr>
      <w:r>
        <w:br w:type="page"/>
        <w:t>ΔΙΑΔΙΚΑΣΙΑ ΤΗΣ ΓΝΩΜΟΔΟΤΙΚΗΣ ΕΠΙΤΡΟΠΗΣ</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Θέσπιση κανόνων σχετικά με τη διάθεση προϊόντων λίπανσης με σήμανση CE στην αγορά</w:t>
            </w:r>
          </w:p>
        </w:tc>
      </w:tr>
      <w:tr w:rsidR="00E451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COM(2016)0157 – C8-0123/2016 – 2016/0084(COD)</w:t>
            </w:r>
          </w:p>
        </w:tc>
      </w:tr>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Επιτροπή αρμόδια επί της ουσίας</w:t>
            </w:r>
          </w:p>
          <w:p w:rsidR="00E451E4" w:rsidRDefault="00754953">
            <w:pPr>
              <w:autoSpaceDE w:val="0"/>
              <w:autoSpaceDN w:val="0"/>
              <w:adjustRightInd w:val="0"/>
              <w:rPr>
                <w:color w:val="000000"/>
                <w:sz w:val="20"/>
              </w:rPr>
            </w:pPr>
            <w:r>
              <w:rPr>
                <w:color w:val="000000"/>
                <w:sz w:val="20"/>
              </w:rPr>
              <w:t xml:space="preserve">  </w:t>
            </w:r>
            <w:r w:rsidR="00E451E4">
              <w:rPr>
                <w:color w:val="000000"/>
                <w:sz w:val="20"/>
              </w:rPr>
              <w:t>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IMCO</w:t>
            </w:r>
          </w:p>
          <w:p w:rsidR="00E451E4" w:rsidRDefault="00E451E4">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r>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Γνωμοδότηση της</w:t>
            </w:r>
          </w:p>
          <w:p w:rsidR="00E451E4" w:rsidRDefault="00754953">
            <w:pPr>
              <w:autoSpaceDE w:val="0"/>
              <w:autoSpaceDN w:val="0"/>
              <w:adjustRightInd w:val="0"/>
              <w:rPr>
                <w:color w:val="000000"/>
                <w:sz w:val="20"/>
              </w:rPr>
            </w:pPr>
            <w:r>
              <w:rPr>
                <w:color w:val="000000"/>
                <w:sz w:val="20"/>
              </w:rPr>
              <w:t xml:space="preserve">  </w:t>
            </w:r>
            <w:r w:rsidR="00E451E4">
              <w:rPr>
                <w:color w:val="000000"/>
                <w:sz w:val="20"/>
              </w:rPr>
              <w:t>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ENVI</w:t>
            </w:r>
          </w:p>
          <w:p w:rsidR="00E451E4" w:rsidRDefault="00E451E4">
            <w:pPr>
              <w:autoSpaceDE w:val="0"/>
              <w:autoSpaceDN w:val="0"/>
              <w:adjustRightInd w:val="0"/>
              <w:rPr>
                <w:color w:val="000000"/>
                <w:sz w:val="20"/>
              </w:rPr>
            </w:pPr>
            <w:r>
              <w:rPr>
                <w:color w:val="000000"/>
                <w:sz w:val="20"/>
              </w:rPr>
              <w:t>11.4.2016</w:t>
            </w:r>
          </w:p>
        </w:tc>
      </w:tr>
      <w:tr w:rsidR="00E451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Συνδεδεμένες επιτροπές - Ημερομ. αναγγελίας στην ολομέλεια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27.10.2016</w:t>
            </w:r>
          </w:p>
        </w:tc>
      </w:tr>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Συντάκτης(τρια) γνωμοδότησης</w:t>
            </w:r>
          </w:p>
          <w:p w:rsidR="00E451E4" w:rsidRDefault="00754953">
            <w:pPr>
              <w:autoSpaceDE w:val="0"/>
              <w:autoSpaceDN w:val="0"/>
              <w:adjustRightInd w:val="0"/>
              <w:rPr>
                <w:color w:val="000000"/>
                <w:sz w:val="20"/>
              </w:rPr>
            </w:pPr>
            <w:r>
              <w:rPr>
                <w:color w:val="000000"/>
                <w:sz w:val="20"/>
              </w:rPr>
              <w:t xml:space="preserve">  </w:t>
            </w:r>
            <w:r w:rsidR="00E451E4">
              <w:rPr>
                <w:color w:val="000000"/>
                <w:sz w:val="20"/>
              </w:rPr>
              <w:t>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Elisabetta Gardini</w:t>
            </w:r>
          </w:p>
          <w:p w:rsidR="00E451E4" w:rsidRDefault="00E451E4">
            <w:pPr>
              <w:autoSpaceDE w:val="0"/>
              <w:autoSpaceDN w:val="0"/>
              <w:adjustRightInd w:val="0"/>
              <w:rPr>
                <w:color w:val="000000"/>
                <w:sz w:val="20"/>
              </w:rPr>
            </w:pPr>
            <w:r>
              <w:rPr>
                <w:color w:val="000000"/>
                <w:sz w:val="20"/>
              </w:rPr>
              <w:t>21.9.2016</w:t>
            </w:r>
          </w:p>
        </w:tc>
      </w:tr>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27.2.2017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24.4.2017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r>
      <w:tr w:rsidR="00E451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30.5.2017</w:t>
            </w:r>
          </w:p>
        </w:tc>
        <w:tc>
          <w:tcPr>
            <w:tcW w:w="1474" w:type="dxa"/>
            <w:tcBorders>
              <w:top w:val="nil"/>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rFonts w:ascii="sans-serif" w:hAnsi="sans-serif" w:cs="sans-serif"/>
                <w:color w:val="000000"/>
              </w:rPr>
            </w:pPr>
          </w:p>
        </w:tc>
      </w:tr>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w:t>
            </w:r>
          </w:p>
          <w:p w:rsidR="00E451E4" w:rsidRDefault="00E451E4">
            <w:pPr>
              <w:autoSpaceDE w:val="0"/>
              <w:autoSpaceDN w:val="0"/>
              <w:adjustRightInd w:val="0"/>
              <w:rPr>
                <w:color w:val="000000"/>
                <w:sz w:val="20"/>
              </w:rPr>
            </w:pPr>
            <w:r>
              <w:rPr>
                <w:color w:val="000000"/>
                <w:sz w:val="20"/>
              </w:rPr>
              <w:t>–:</w:t>
            </w:r>
          </w:p>
          <w:p w:rsidR="00E451E4" w:rsidRDefault="00E451E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34</w:t>
            </w:r>
          </w:p>
          <w:p w:rsidR="00E451E4" w:rsidRDefault="00E451E4">
            <w:pPr>
              <w:autoSpaceDE w:val="0"/>
              <w:autoSpaceDN w:val="0"/>
              <w:adjustRightInd w:val="0"/>
              <w:rPr>
                <w:color w:val="000000"/>
                <w:sz w:val="20"/>
              </w:rPr>
            </w:pPr>
            <w:r>
              <w:rPr>
                <w:color w:val="000000"/>
                <w:sz w:val="20"/>
              </w:rPr>
              <w:t>15</w:t>
            </w:r>
          </w:p>
          <w:p w:rsidR="00E451E4" w:rsidRDefault="00E451E4">
            <w:pPr>
              <w:autoSpaceDE w:val="0"/>
              <w:autoSpaceDN w:val="0"/>
              <w:adjustRightInd w:val="0"/>
              <w:rPr>
                <w:color w:val="000000"/>
                <w:sz w:val="20"/>
              </w:rPr>
            </w:pPr>
            <w:r>
              <w:rPr>
                <w:color w:val="000000"/>
                <w:sz w:val="20"/>
              </w:rPr>
              <w:t>17</w:t>
            </w:r>
          </w:p>
        </w:tc>
      </w:tr>
      <w:tr w:rsidR="00E451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Marco Affronte, Margrete Auken, Pilar Ayuso, Zoltán Balczó, Catherine Bearder, Ivo Belet, Simona Bonafè, Biljana Borzan, Paul Brannen, Nessa Childers, Birgit Collin-Langen, Mireille D’Ornano, Miriam Dalli, Seb Dance, Angélique Delahaye, Mark Demesmaeker, Stefan Eck, Bas Eickhout, José Inácio Faria, Karl-Heinz Florenz, Francesc Gambús, Elisabetta Gardini, Gerben-Jan Gerbrandy, Arne Gericke, Jens Gieseke, Julie Girling, Françoise Grossetête, Andrzej Grzyb, Jytte Guteland, Anneli Jäätteenmäki, Jean-François Jalkh, Benedek Jávor, Josu Juaristi Abaunz, Karin Kadenbach, Urszula Krupa, Giovanni La Via, Jo Leinen, Peter Liese, Norbert Lins, Valentinas Mazuronis, Susanne Melior, Miroslav Mikolášik, Massimo Paolucci, Gilles Pargneaux, Pavel Poc, Frédérique Ries, Daciana Octavia Sârbu, Annie Schreijer-Pierik, Davor Škrlec, Renate Sommer, Claudiu Ciprian Tănăsescu, Ivica Tolić, Estefanía Torres Martínez, Nils Torvalds, Adina-Ioana Vălean, Jadwiga Wiśniewska, Damiano Zoffoli</w:t>
            </w:r>
          </w:p>
        </w:tc>
      </w:tr>
      <w:tr w:rsidR="00E451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Jørn Dohrmann, Eleonora Evi, Robert Jarosław Iwaszkiewicz, Merja Kyllönen, Stefano Maullu, James Nicholson, Christel Schaldemose</w:t>
            </w:r>
          </w:p>
        </w:tc>
      </w:tr>
      <w:tr w:rsidR="00E451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Default="00E451E4">
            <w:pPr>
              <w:autoSpaceDE w:val="0"/>
              <w:autoSpaceDN w:val="0"/>
              <w:adjustRightInd w:val="0"/>
              <w:rPr>
                <w:color w:val="000000"/>
                <w:sz w:val="20"/>
              </w:rPr>
            </w:pPr>
            <w:r>
              <w:rPr>
                <w:color w:val="000000"/>
                <w:sz w:val="20"/>
              </w:rPr>
              <w:t>Pál Csáky, Siôn Simon</w:t>
            </w:r>
          </w:p>
        </w:tc>
      </w:tr>
    </w:tbl>
    <w:p w:rsidR="00E451E4" w:rsidRDefault="00E451E4">
      <w:pPr>
        <w:autoSpaceDE w:val="0"/>
        <w:autoSpaceDN w:val="0"/>
        <w:adjustRightInd w:val="0"/>
        <w:rPr>
          <w:rFonts w:ascii="Arial" w:hAnsi="Arial" w:cs="Arial"/>
        </w:rPr>
      </w:pPr>
    </w:p>
    <w:p w:rsidR="00E451E4" w:rsidRPr="009421FD" w:rsidRDefault="00E451E4" w:rsidP="000A61DD">
      <w:pPr>
        <w:pStyle w:val="PageHeadingNotTOC"/>
      </w:pPr>
      <w:r>
        <w:br w:type="page"/>
        <w:t>ΤΕΛΙΚΗ ΨΗΦΟΦΟΡΙΑ ΜΕ ΟΝΟΜΑΣΤΙΚΗ ΚΛΗΣΗ ΣΤΗ ΓΝΩΜΟΔΟΤΙΚΗ ΕΠΙΤΡΟΠΗ</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135F02" w:rsidTr="000A61DD">
        <w:trPr>
          <w:cantSplit/>
        </w:trPr>
        <w:tc>
          <w:tcPr>
            <w:tcW w:w="1701" w:type="dxa"/>
            <w:shd w:val="pct10" w:color="000000" w:fill="FFFFFF"/>
            <w:vAlign w:val="center"/>
          </w:tcPr>
          <w:p w:rsidR="00E451E4" w:rsidRPr="00135F02" w:rsidRDefault="00E451E4" w:rsidP="000A61DD">
            <w:pPr>
              <w:spacing w:before="120" w:after="120"/>
              <w:jc w:val="center"/>
              <w:rPr>
                <w:b/>
                <w:sz w:val="20"/>
              </w:rPr>
            </w:pPr>
            <w:r>
              <w:rPr>
                <w:b/>
                <w:sz w:val="20"/>
              </w:rPr>
              <w:t>34</w:t>
            </w:r>
          </w:p>
        </w:tc>
        <w:tc>
          <w:tcPr>
            <w:tcW w:w="7371" w:type="dxa"/>
            <w:shd w:val="pct10" w:color="000000" w:fill="FFFFFF"/>
          </w:tcPr>
          <w:p w:rsidR="00E451E4" w:rsidRPr="00135F02" w:rsidRDefault="00E451E4" w:rsidP="000A61DD">
            <w:pPr>
              <w:spacing w:before="120" w:after="120"/>
              <w:jc w:val="center"/>
              <w:rPr>
                <w:rFonts w:ascii="Arial" w:hAnsi="Arial" w:cs="Arial"/>
                <w:b/>
                <w:sz w:val="28"/>
                <w:szCs w:val="28"/>
              </w:rPr>
            </w:pPr>
            <w:r>
              <w:rPr>
                <w:rFonts w:ascii="Arial" w:hAnsi="Arial"/>
                <w:b/>
                <w:sz w:val="28"/>
                <w:szCs w:val="28"/>
              </w:rPr>
              <w:t>+</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ALDE</w:t>
            </w:r>
          </w:p>
        </w:tc>
        <w:tc>
          <w:tcPr>
            <w:tcW w:w="7371" w:type="dxa"/>
            <w:shd w:val="clear" w:color="auto" w:fill="FFFFFF"/>
          </w:tcPr>
          <w:p w:rsidR="00E451E4" w:rsidRPr="00135F02" w:rsidRDefault="00E451E4" w:rsidP="000A61DD">
            <w:pPr>
              <w:spacing w:before="120" w:after="120"/>
              <w:rPr>
                <w:sz w:val="20"/>
              </w:rPr>
            </w:pPr>
            <w:r>
              <w:rPr>
                <w:sz w:val="20"/>
              </w:rPr>
              <w:t>Catherine Bearder, Gerben-Jan Gerbrandy, Anneli Jäätteenmäki, Valentinas Mazuronis, Nils Torvalds</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EFDD</w:t>
            </w:r>
          </w:p>
        </w:tc>
        <w:tc>
          <w:tcPr>
            <w:tcW w:w="7371" w:type="dxa"/>
            <w:shd w:val="clear" w:color="auto" w:fill="FFFFFF"/>
          </w:tcPr>
          <w:p w:rsidR="00E451E4" w:rsidRPr="00135F02" w:rsidRDefault="00E451E4" w:rsidP="000A61DD">
            <w:pPr>
              <w:spacing w:before="120" w:after="120"/>
              <w:rPr>
                <w:sz w:val="20"/>
              </w:rPr>
            </w:pPr>
            <w:r>
              <w:rPr>
                <w:sz w:val="20"/>
              </w:rPr>
              <w:t>Eleonora Evi</w:t>
            </w:r>
          </w:p>
        </w:tc>
      </w:tr>
      <w:tr w:rsidR="00E451E4" w:rsidRPr="00E451E4" w:rsidTr="000A61DD">
        <w:trPr>
          <w:cantSplit/>
        </w:trPr>
        <w:tc>
          <w:tcPr>
            <w:tcW w:w="1701" w:type="dxa"/>
            <w:shd w:val="clear" w:color="auto" w:fill="FFFFFF"/>
          </w:tcPr>
          <w:p w:rsidR="00E451E4" w:rsidRPr="00135F02" w:rsidRDefault="00E451E4" w:rsidP="000A61DD">
            <w:pPr>
              <w:spacing w:before="120" w:after="120"/>
              <w:rPr>
                <w:sz w:val="20"/>
              </w:rPr>
            </w:pPr>
            <w:r>
              <w:rPr>
                <w:sz w:val="20"/>
              </w:rPr>
              <w:t>GUE/NGL</w:t>
            </w:r>
          </w:p>
        </w:tc>
        <w:tc>
          <w:tcPr>
            <w:tcW w:w="7371" w:type="dxa"/>
            <w:shd w:val="clear" w:color="auto" w:fill="FFFFFF"/>
          </w:tcPr>
          <w:p w:rsidR="00E451E4" w:rsidRPr="00E451E4" w:rsidRDefault="00E451E4" w:rsidP="000A61DD">
            <w:pPr>
              <w:spacing w:before="120" w:after="120"/>
              <w:rPr>
                <w:sz w:val="20"/>
              </w:rPr>
            </w:pPr>
            <w:r>
              <w:rPr>
                <w:sz w:val="20"/>
              </w:rPr>
              <w:t>Stefan Eck, Josu Juaristi Abaunz, Merja Kyllönen, Estefanía Torres Martínez</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NI</w:t>
            </w:r>
          </w:p>
        </w:tc>
        <w:tc>
          <w:tcPr>
            <w:tcW w:w="7371" w:type="dxa"/>
            <w:shd w:val="clear" w:color="auto" w:fill="FFFFFF"/>
          </w:tcPr>
          <w:p w:rsidR="00E451E4" w:rsidRPr="00135F02" w:rsidRDefault="00E451E4" w:rsidP="000A61DD">
            <w:pPr>
              <w:spacing w:before="120" w:after="120"/>
              <w:rPr>
                <w:sz w:val="20"/>
              </w:rPr>
            </w:pPr>
            <w:r>
              <w:rPr>
                <w:sz w:val="20"/>
              </w:rPr>
              <w:t>Zoltán Balczó</w:t>
            </w:r>
          </w:p>
        </w:tc>
      </w:tr>
      <w:tr w:rsidR="00E451E4" w:rsidRPr="00075D2C" w:rsidTr="000A61DD">
        <w:trPr>
          <w:cantSplit/>
        </w:trPr>
        <w:tc>
          <w:tcPr>
            <w:tcW w:w="1701" w:type="dxa"/>
            <w:shd w:val="clear" w:color="auto" w:fill="FFFFFF"/>
          </w:tcPr>
          <w:p w:rsidR="00E451E4" w:rsidRPr="00135F02" w:rsidRDefault="00E451E4" w:rsidP="000A61DD">
            <w:pPr>
              <w:spacing w:before="120" w:after="120"/>
              <w:rPr>
                <w:sz w:val="20"/>
              </w:rPr>
            </w:pPr>
            <w:r>
              <w:rPr>
                <w:sz w:val="20"/>
              </w:rPr>
              <w:t>S&amp;D</w:t>
            </w:r>
          </w:p>
        </w:tc>
        <w:tc>
          <w:tcPr>
            <w:tcW w:w="7371" w:type="dxa"/>
            <w:shd w:val="clear" w:color="auto" w:fill="FFFFFF"/>
          </w:tcPr>
          <w:p w:rsidR="00E451E4" w:rsidRPr="00135F02" w:rsidRDefault="00E451E4" w:rsidP="000A61DD">
            <w:pPr>
              <w:spacing w:before="120" w:after="120"/>
              <w:rPr>
                <w:sz w:val="20"/>
              </w:rPr>
            </w:pPr>
            <w:r>
              <w:rPr>
                <w:sz w:val="20"/>
              </w:rPr>
              <w:t>Simona Bonafè, Biljana Borzan, Paul Brannen, Nessa Childers, Miriam Dalli, Seb Dance, Jytte Guteland, Karin Kadenbach, Jo Leinen, Susanne Melior, Massimo Paolucci, Gilles Pargneaux, Pavel Poc, Christel Schaldemose, Siôn Simon, Daciana Octavia Sârbu, Claudiu Ciprian Tănăsescu, Damiano Zoffoli</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VERTS/ALE</w:t>
            </w:r>
          </w:p>
        </w:tc>
        <w:tc>
          <w:tcPr>
            <w:tcW w:w="7371" w:type="dxa"/>
            <w:shd w:val="clear" w:color="auto" w:fill="FFFFFF"/>
          </w:tcPr>
          <w:p w:rsidR="00E451E4" w:rsidRPr="00135F02" w:rsidRDefault="00E451E4" w:rsidP="000A61DD">
            <w:pPr>
              <w:spacing w:before="120" w:after="120"/>
              <w:rPr>
                <w:sz w:val="20"/>
              </w:rPr>
            </w:pPr>
            <w:r>
              <w:rPr>
                <w:sz w:val="20"/>
              </w:rPr>
              <w:t>Marco Affronte, Margrete Auken, Bas Eickhout, Benedek Jávor, Davor Škrlec</w:t>
            </w:r>
          </w:p>
        </w:tc>
      </w:tr>
    </w:tbl>
    <w:p w:rsidR="00E451E4" w:rsidRPr="00135F02" w:rsidRDefault="00E451E4" w:rsidP="000A61DD">
      <w:pPr>
        <w:rPr>
          <w:lang w:val="es-ES_tradnl"/>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135F02" w:rsidTr="000A61DD">
        <w:trPr>
          <w:cantSplit/>
        </w:trPr>
        <w:tc>
          <w:tcPr>
            <w:tcW w:w="1701" w:type="dxa"/>
            <w:shd w:val="pct10" w:color="000000" w:fill="FFFFFF"/>
            <w:vAlign w:val="center"/>
          </w:tcPr>
          <w:p w:rsidR="00E451E4" w:rsidRPr="00135F02" w:rsidRDefault="00E451E4" w:rsidP="000A61DD">
            <w:pPr>
              <w:spacing w:before="120" w:after="120"/>
              <w:jc w:val="center"/>
              <w:rPr>
                <w:b/>
                <w:sz w:val="16"/>
              </w:rPr>
            </w:pPr>
            <w:r>
              <w:rPr>
                <w:b/>
                <w:sz w:val="20"/>
              </w:rPr>
              <w:t>15</w:t>
            </w:r>
          </w:p>
        </w:tc>
        <w:tc>
          <w:tcPr>
            <w:tcW w:w="7371" w:type="dxa"/>
            <w:shd w:val="pct10" w:color="000000" w:fill="FFFFFF"/>
          </w:tcPr>
          <w:p w:rsidR="00E451E4" w:rsidRPr="00135F02" w:rsidRDefault="00E451E4" w:rsidP="000A61DD">
            <w:pPr>
              <w:spacing w:before="120" w:after="120"/>
              <w:jc w:val="center"/>
              <w:rPr>
                <w:sz w:val="28"/>
                <w:szCs w:val="28"/>
              </w:rPr>
            </w:pPr>
            <w:r>
              <w:rPr>
                <w:rFonts w:ascii="Arial" w:hAnsi="Arial"/>
                <w:b/>
                <w:sz w:val="28"/>
                <w:szCs w:val="28"/>
              </w:rPr>
              <w:t>-</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ECR</w:t>
            </w:r>
          </w:p>
        </w:tc>
        <w:tc>
          <w:tcPr>
            <w:tcW w:w="7371" w:type="dxa"/>
            <w:shd w:val="clear" w:color="auto" w:fill="FFFFFF"/>
          </w:tcPr>
          <w:p w:rsidR="00E451E4" w:rsidRPr="00135F02" w:rsidRDefault="00E451E4" w:rsidP="000A61DD">
            <w:pPr>
              <w:spacing w:before="120" w:after="120"/>
              <w:rPr>
                <w:sz w:val="20"/>
              </w:rPr>
            </w:pPr>
            <w:r>
              <w:rPr>
                <w:sz w:val="20"/>
              </w:rPr>
              <w:t>Jørn Dohrmann, Arne Gericke, Julie Girling, Urszula Krupa, James Nicholson, Jadwiga Wiśniewska</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EFDD</w:t>
            </w:r>
          </w:p>
        </w:tc>
        <w:tc>
          <w:tcPr>
            <w:tcW w:w="7371" w:type="dxa"/>
            <w:shd w:val="clear" w:color="auto" w:fill="FFFFFF"/>
          </w:tcPr>
          <w:p w:rsidR="00E451E4" w:rsidRPr="00135F02" w:rsidRDefault="00E451E4" w:rsidP="000A61DD">
            <w:pPr>
              <w:spacing w:before="120" w:after="120"/>
              <w:rPr>
                <w:sz w:val="20"/>
              </w:rPr>
            </w:pPr>
            <w:r>
              <w:rPr>
                <w:sz w:val="20"/>
              </w:rPr>
              <w:t>Robert Jarosław Iwaszkiewicz</w:t>
            </w:r>
          </w:p>
        </w:tc>
      </w:tr>
      <w:tr w:rsidR="00E451E4" w:rsidRPr="00E451E4" w:rsidTr="000A61DD">
        <w:trPr>
          <w:cantSplit/>
        </w:trPr>
        <w:tc>
          <w:tcPr>
            <w:tcW w:w="1701" w:type="dxa"/>
            <w:shd w:val="clear" w:color="auto" w:fill="FFFFFF"/>
          </w:tcPr>
          <w:p w:rsidR="00E451E4" w:rsidRPr="00135F02" w:rsidRDefault="00E451E4" w:rsidP="000A61DD">
            <w:pPr>
              <w:spacing w:before="120" w:after="120"/>
              <w:rPr>
                <w:sz w:val="20"/>
              </w:rPr>
            </w:pPr>
            <w:r>
              <w:rPr>
                <w:sz w:val="20"/>
              </w:rPr>
              <w:t>ENF</w:t>
            </w:r>
          </w:p>
        </w:tc>
        <w:tc>
          <w:tcPr>
            <w:tcW w:w="7371" w:type="dxa"/>
            <w:shd w:val="clear" w:color="auto" w:fill="FFFFFF"/>
          </w:tcPr>
          <w:p w:rsidR="00E451E4" w:rsidRPr="00E451E4" w:rsidRDefault="00E451E4" w:rsidP="000A61DD">
            <w:pPr>
              <w:spacing w:before="120" w:after="120"/>
              <w:rPr>
                <w:sz w:val="20"/>
              </w:rPr>
            </w:pPr>
            <w:r>
              <w:rPr>
                <w:sz w:val="20"/>
              </w:rPr>
              <w:t>Mireille D'Ornano, Jean-François Jalkh</w:t>
            </w:r>
          </w:p>
        </w:tc>
      </w:tr>
      <w:tr w:rsidR="00E451E4" w:rsidRPr="00075D2C" w:rsidTr="000A61DD">
        <w:trPr>
          <w:cantSplit/>
        </w:trPr>
        <w:tc>
          <w:tcPr>
            <w:tcW w:w="1701" w:type="dxa"/>
            <w:shd w:val="clear" w:color="auto" w:fill="FFFFFF"/>
          </w:tcPr>
          <w:p w:rsidR="00E451E4" w:rsidRPr="00135F02" w:rsidRDefault="00E451E4" w:rsidP="000A61DD">
            <w:pPr>
              <w:spacing w:before="120" w:after="120"/>
              <w:rPr>
                <w:sz w:val="20"/>
              </w:rPr>
            </w:pPr>
            <w:r>
              <w:rPr>
                <w:sz w:val="20"/>
              </w:rPr>
              <w:t>PPE</w:t>
            </w:r>
          </w:p>
        </w:tc>
        <w:tc>
          <w:tcPr>
            <w:tcW w:w="7371" w:type="dxa"/>
            <w:shd w:val="clear" w:color="auto" w:fill="FFFFFF"/>
          </w:tcPr>
          <w:p w:rsidR="00E451E4" w:rsidRPr="00135F02" w:rsidRDefault="00E451E4" w:rsidP="000A61DD">
            <w:pPr>
              <w:spacing w:before="120" w:after="120"/>
              <w:rPr>
                <w:sz w:val="20"/>
              </w:rPr>
            </w:pPr>
            <w:r>
              <w:rPr>
                <w:sz w:val="20"/>
              </w:rPr>
              <w:t>Angélique Delahaye, Jens Gieseke, Françoise Grossetête, Andrzej Grzyb, Annie Schreijer-Pierik, Renate Sommer</w:t>
            </w:r>
          </w:p>
        </w:tc>
      </w:tr>
    </w:tbl>
    <w:p w:rsidR="00E451E4" w:rsidRPr="00E451E4" w:rsidRDefault="00E451E4" w:rsidP="000A61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135F02" w:rsidTr="000A61DD">
        <w:trPr>
          <w:cantSplit/>
        </w:trPr>
        <w:tc>
          <w:tcPr>
            <w:tcW w:w="1701" w:type="dxa"/>
            <w:shd w:val="pct10" w:color="000000" w:fill="FFFFFF"/>
            <w:vAlign w:val="center"/>
          </w:tcPr>
          <w:p w:rsidR="00E451E4" w:rsidRPr="00135F02" w:rsidRDefault="00E451E4" w:rsidP="000A61DD">
            <w:pPr>
              <w:spacing w:before="120" w:after="120"/>
              <w:jc w:val="center"/>
              <w:rPr>
                <w:b/>
                <w:sz w:val="16"/>
              </w:rPr>
            </w:pPr>
            <w:r>
              <w:rPr>
                <w:b/>
                <w:sz w:val="20"/>
              </w:rPr>
              <w:t>17</w:t>
            </w:r>
          </w:p>
        </w:tc>
        <w:tc>
          <w:tcPr>
            <w:tcW w:w="7371" w:type="dxa"/>
            <w:shd w:val="pct10" w:color="000000" w:fill="FFFFFF"/>
          </w:tcPr>
          <w:p w:rsidR="00E451E4" w:rsidRPr="00135F02" w:rsidRDefault="00E451E4" w:rsidP="000A61DD">
            <w:pPr>
              <w:spacing w:before="120" w:after="120"/>
              <w:jc w:val="center"/>
              <w:rPr>
                <w:sz w:val="28"/>
                <w:szCs w:val="28"/>
              </w:rPr>
            </w:pPr>
            <w:r>
              <w:rPr>
                <w:rFonts w:ascii="Arial" w:hAnsi="Arial"/>
                <w:b/>
                <w:sz w:val="28"/>
                <w:szCs w:val="28"/>
              </w:rPr>
              <w:t>0</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ALDE</w:t>
            </w:r>
          </w:p>
        </w:tc>
        <w:tc>
          <w:tcPr>
            <w:tcW w:w="7371" w:type="dxa"/>
            <w:shd w:val="clear" w:color="auto" w:fill="FFFFFF"/>
          </w:tcPr>
          <w:p w:rsidR="00E451E4" w:rsidRPr="00135F02" w:rsidRDefault="00E451E4" w:rsidP="000A61DD">
            <w:pPr>
              <w:spacing w:before="120" w:after="120"/>
              <w:rPr>
                <w:sz w:val="20"/>
              </w:rPr>
            </w:pPr>
            <w:r>
              <w:rPr>
                <w:sz w:val="20"/>
              </w:rPr>
              <w:t>Frédérique Ries</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ECR</w:t>
            </w:r>
          </w:p>
        </w:tc>
        <w:tc>
          <w:tcPr>
            <w:tcW w:w="7371" w:type="dxa"/>
            <w:shd w:val="clear" w:color="auto" w:fill="FFFFFF"/>
          </w:tcPr>
          <w:p w:rsidR="00E451E4" w:rsidRPr="00135F02" w:rsidRDefault="00E451E4" w:rsidP="000A61DD">
            <w:pPr>
              <w:spacing w:before="120" w:after="120"/>
              <w:rPr>
                <w:sz w:val="20"/>
              </w:rPr>
            </w:pPr>
            <w:r>
              <w:rPr>
                <w:sz w:val="20"/>
              </w:rPr>
              <w:t>Mark Demesmaeker</w:t>
            </w:r>
          </w:p>
        </w:tc>
      </w:tr>
      <w:tr w:rsidR="00E451E4" w:rsidRPr="00135F02" w:rsidTr="000A61DD">
        <w:trPr>
          <w:cantSplit/>
        </w:trPr>
        <w:tc>
          <w:tcPr>
            <w:tcW w:w="1701" w:type="dxa"/>
            <w:shd w:val="clear" w:color="auto" w:fill="FFFFFF"/>
          </w:tcPr>
          <w:p w:rsidR="00E451E4" w:rsidRPr="00135F02" w:rsidRDefault="00E451E4" w:rsidP="000A61DD">
            <w:pPr>
              <w:spacing w:before="120" w:after="120"/>
              <w:rPr>
                <w:sz w:val="20"/>
              </w:rPr>
            </w:pPr>
            <w:r>
              <w:rPr>
                <w:sz w:val="20"/>
              </w:rPr>
              <w:t>PPE</w:t>
            </w:r>
          </w:p>
        </w:tc>
        <w:tc>
          <w:tcPr>
            <w:tcW w:w="7371" w:type="dxa"/>
            <w:shd w:val="clear" w:color="auto" w:fill="FFFFFF"/>
          </w:tcPr>
          <w:p w:rsidR="00E451E4" w:rsidRPr="00135F02" w:rsidRDefault="00E451E4" w:rsidP="000A61DD">
            <w:pPr>
              <w:spacing w:before="120" w:after="120"/>
              <w:rPr>
                <w:sz w:val="20"/>
              </w:rPr>
            </w:pPr>
            <w:r>
              <w:rPr>
                <w:sz w:val="20"/>
              </w:rPr>
              <w:t>Pilar Ayuso, Ivo Belet, Birgit Collin-Langen, Pál Csáky, José Inácio Faria, Karl-Heinz Florenz, Francesc Gambús, Elisabetta Gardini, Giovanni La Via, Peter Liese, Norbert Lins, Stefano Maullu, Miroslav Mikolášik, Ivica Tolić, Adina-Ioana Vălean</w:t>
            </w:r>
          </w:p>
        </w:tc>
      </w:tr>
    </w:tbl>
    <w:p w:rsidR="00E451E4" w:rsidRPr="00135F02" w:rsidRDefault="00E451E4" w:rsidP="000A61DD">
      <w:pPr>
        <w:pStyle w:val="Normal12"/>
      </w:pPr>
    </w:p>
    <w:p w:rsidR="00E451E4" w:rsidRPr="009421FD" w:rsidRDefault="00E451E4" w:rsidP="000A61DD">
      <w:r>
        <w:t>Υπόμνημα των χρησιμοποιούμενων συμβόλων:</w:t>
      </w:r>
    </w:p>
    <w:p w:rsidR="00E451E4" w:rsidRPr="00135F02" w:rsidRDefault="00E451E4" w:rsidP="000A61DD">
      <w:pPr>
        <w:pStyle w:val="NormalTabs"/>
      </w:pPr>
      <w:r>
        <w:t>+</w:t>
      </w:r>
      <w:r>
        <w:tab/>
        <w:t>:</w:t>
      </w:r>
      <w:r>
        <w:tab/>
        <w:t>υπέρ</w:t>
      </w:r>
    </w:p>
    <w:p w:rsidR="00E451E4" w:rsidRPr="00135F02" w:rsidRDefault="00E451E4" w:rsidP="000A61DD">
      <w:pPr>
        <w:pStyle w:val="NormalTabs"/>
      </w:pPr>
      <w:r>
        <w:t>-</w:t>
      </w:r>
      <w:r>
        <w:tab/>
        <w:t>:</w:t>
      </w:r>
      <w:r>
        <w:tab/>
        <w:t>κατά</w:t>
      </w:r>
    </w:p>
    <w:p w:rsidR="00E451E4" w:rsidRPr="00135F02" w:rsidRDefault="00E451E4" w:rsidP="000A61DD">
      <w:pPr>
        <w:pStyle w:val="NormalTabs"/>
      </w:pPr>
      <w:r>
        <w:t>0</w:t>
      </w:r>
      <w:r>
        <w:tab/>
        <w:t>:</w:t>
      </w:r>
      <w:r>
        <w:tab/>
        <w:t>αποχή</w:t>
      </w:r>
    </w:p>
    <w:p w:rsidR="00E451E4" w:rsidRPr="00135F02" w:rsidRDefault="00E451E4" w:rsidP="000A61DD"/>
    <w:p w:rsidR="00E451E4" w:rsidRPr="00A8270B" w:rsidRDefault="00E451E4" w:rsidP="000A61DD"/>
    <w:p w:rsidR="00E451E4" w:rsidRPr="00CB12FD" w:rsidRDefault="00E451E4" w:rsidP="00E451E4"/>
    <w:p w:rsidR="00E451E4" w:rsidRPr="00CB12FD" w:rsidRDefault="00E451E4" w:rsidP="00E451E4">
      <w:pPr>
        <w:pStyle w:val="ZDate"/>
        <w:spacing w:after="480"/>
      </w:pPr>
      <w:r>
        <w:rPr>
          <w:rStyle w:val="HideTWBExt"/>
          <w:noProof w:val="0"/>
        </w:rPr>
        <w:t>&lt;Date&gt;</w:t>
      </w:r>
      <w:r w:rsidRPr="00AC4460">
        <w:rPr>
          <w:rStyle w:val="HideTWBInt"/>
          <w:color w:val="auto"/>
        </w:rPr>
        <w:t>{09/06/2017}</w:t>
      </w:r>
      <w:r w:rsidRPr="00AC4460">
        <w:t>9.6.2017</w:t>
      </w:r>
      <w:r>
        <w:rPr>
          <w:rStyle w:val="HideTWBExt"/>
          <w:noProof w:val="0"/>
        </w:rPr>
        <w:t>&lt;/Date&gt;</w:t>
      </w:r>
    </w:p>
    <w:p w:rsidR="00E451E4" w:rsidRPr="00CB12FD" w:rsidRDefault="00E451E4" w:rsidP="00E451E4">
      <w:pPr>
        <w:pStyle w:val="PageHeading"/>
        <w:spacing w:before="0" w:after="720"/>
      </w:pPr>
      <w:bookmarkStart w:id="14" w:name="_Toc492553367"/>
      <w:r>
        <w:t xml:space="preserve">ΓΝΩΜΟΔΟΤΗΣΗ </w:t>
      </w:r>
      <w:r>
        <w:rPr>
          <w:rStyle w:val="HideTWBExt"/>
          <w:noProof w:val="0"/>
        </w:rPr>
        <w:t>&lt;CommissionResp&gt;</w:t>
      </w:r>
      <w:bookmarkStart w:id="15" w:name="OpinionToc_2"/>
      <w:r>
        <w:rPr>
          <w:caps/>
        </w:rPr>
        <w:t>της Επιτροπής Γεωργίας και Ανάπτυξης της Υπαίθρου</w:t>
      </w:r>
      <w:bookmarkEnd w:id="15"/>
      <w:bookmarkEnd w:id="14"/>
      <w:r>
        <w:rPr>
          <w:rStyle w:val="HideTWBExt"/>
          <w:noProof w:val="0"/>
        </w:rPr>
        <w:t>&lt;/CommissionResp&gt;</w:t>
      </w:r>
    </w:p>
    <w:p w:rsidR="00E451E4" w:rsidRPr="00CB12FD" w:rsidRDefault="00E451E4" w:rsidP="00E451E4">
      <w:pPr>
        <w:pStyle w:val="Cover24"/>
        <w:ind w:left="0"/>
      </w:pPr>
      <w:r>
        <w:rPr>
          <w:rStyle w:val="HideTWBExt"/>
          <w:noProof w:val="0"/>
        </w:rPr>
        <w:t>&lt;CommissionInt&gt;</w:t>
      </w:r>
      <w:r w:rsidRPr="00AC4460">
        <w:t>προς την Επιτροπή Εσωτερικής Αγοράς και Προστασίας των Καταναλωτών</w:t>
      </w:r>
      <w:r>
        <w:rPr>
          <w:rStyle w:val="HideTWBExt"/>
          <w:noProof w:val="0"/>
        </w:rPr>
        <w:t>&lt;/CommissionInt&gt;</w:t>
      </w:r>
    </w:p>
    <w:p w:rsidR="00E451E4" w:rsidRPr="00CB12FD" w:rsidRDefault="00E451E4" w:rsidP="00E451E4">
      <w:pPr>
        <w:pStyle w:val="CoverNormal"/>
        <w:ind w:left="0"/>
      </w:pPr>
      <w:r>
        <w:rPr>
          <w:rStyle w:val="HideTWBExt"/>
          <w:noProof w:val="0"/>
        </w:rPr>
        <w:t>&lt;Titre&gt;</w:t>
      </w:r>
      <w:r>
        <w:t>σχετικά με την πρόταση κανονισμού του Ευρωπαϊκού Κοινοβουλίου και του Συμβουλίου για τη θέσπιση κανόνων σχετικά με τη διάθεση προϊόντων λίπανσης με σήμανση CE στην αγορά και για την τροποποίηση των κανονισμών (ΕΚ) αριθ. 1069/2009 και (ΕΚ) αριθ. 1107/2009</w:t>
      </w:r>
      <w:r>
        <w:rPr>
          <w:rStyle w:val="HideTWBExt"/>
          <w:noProof w:val="0"/>
        </w:rPr>
        <w:t>&lt;/Titre&gt;</w:t>
      </w:r>
    </w:p>
    <w:p w:rsidR="00E451E4" w:rsidRPr="00CB12FD" w:rsidRDefault="00E451E4" w:rsidP="00E451E4">
      <w:pPr>
        <w:pStyle w:val="Cover24"/>
        <w:ind w:left="0"/>
      </w:pPr>
      <w:r>
        <w:rPr>
          <w:rStyle w:val="HideTWBExt"/>
          <w:noProof w:val="0"/>
        </w:rPr>
        <w:t>&lt;DocRef&gt;</w:t>
      </w:r>
      <w:r w:rsidRPr="00AC4460">
        <w:t>(COM(2016)0157 – C8-0123/2016 – 2016/0084(COD))</w:t>
      </w:r>
      <w:r>
        <w:rPr>
          <w:rStyle w:val="HideTWBExt"/>
          <w:noProof w:val="0"/>
        </w:rPr>
        <w:t>&lt;/DocRef&gt;</w:t>
      </w:r>
    </w:p>
    <w:p w:rsidR="00E451E4" w:rsidRPr="00CB12FD" w:rsidRDefault="00E451E4" w:rsidP="00E451E4">
      <w:pPr>
        <w:pStyle w:val="Cover24"/>
        <w:ind w:left="0"/>
      </w:pPr>
      <w:r w:rsidRPr="00AC4460">
        <w:t xml:space="preserve">Συντάκτης γνωμοδότησης: </w:t>
      </w:r>
      <w:r>
        <w:rPr>
          <w:rStyle w:val="HideTWBExt"/>
          <w:noProof w:val="0"/>
        </w:rPr>
        <w:t>&lt;Depute&gt;</w:t>
      </w:r>
      <w:r w:rsidRPr="00AC4460">
        <w:t>Jan Huitema</w:t>
      </w:r>
      <w:r>
        <w:rPr>
          <w:rStyle w:val="HideTWBExt"/>
          <w:noProof w:val="0"/>
        </w:rPr>
        <w:t>&lt;/Depute&gt;</w:t>
      </w:r>
    </w:p>
    <w:p w:rsidR="00E451E4" w:rsidRPr="00CB12FD" w:rsidRDefault="00E451E4" w:rsidP="00E451E4">
      <w:pPr>
        <w:pStyle w:val="CoverNormal"/>
        <w:ind w:left="0"/>
      </w:pPr>
    </w:p>
    <w:p w:rsidR="00E451E4" w:rsidRPr="00CB12FD" w:rsidRDefault="00E451E4" w:rsidP="000A61DD">
      <w:pPr>
        <w:tabs>
          <w:tab w:val="center" w:pos="4677"/>
        </w:tabs>
      </w:pPr>
    </w:p>
    <w:p w:rsidR="00E451E4" w:rsidRPr="00CB12FD" w:rsidRDefault="00E451E4" w:rsidP="000A61DD">
      <w:pPr>
        <w:pStyle w:val="PageHeadingNotTOC"/>
      </w:pPr>
      <w:r>
        <w:t>ΣΥΝΟΠΤΙΚΗ ΑΙΤΙΟΛΟΓΗΣΗ</w:t>
      </w:r>
    </w:p>
    <w:p w:rsidR="00E451E4" w:rsidRPr="00CB12FD" w:rsidRDefault="00E451E4" w:rsidP="000A61DD">
      <w:pPr>
        <w:pStyle w:val="Normal12"/>
      </w:pPr>
      <w:r>
        <w:t xml:space="preserve"> Τα λιπάσματα είναι απαραίτητα για τη γεωργική παραγωγή. Τα προϊόντα λίπανσης εξασφαλίζουν στους γεωργούς ότι οι καλλιέργειές τους προσλαμβάνουν τις απαραίτητες θρεπτικές ουσίες. Η ανάγκη παραγωγής περισσότερων προϊόντων με λιγότερα μέσα αποκτά όλο και μεγαλύτερη σημασία για την ικανοποίηση των διατροφικών αναγκών και τη διαφύλαξη του περιβάλλοντός μας. Τα λιπάσματα διαδραματίζουν σημαντικό ρόλο στο πλαίσιο της πρόκλησης αυτής. </w:t>
      </w:r>
    </w:p>
    <w:p w:rsidR="00E451E4" w:rsidRPr="00CB12FD" w:rsidRDefault="00E451E4" w:rsidP="000A61DD">
      <w:pPr>
        <w:pStyle w:val="Normal12"/>
      </w:pPr>
      <w:r>
        <w:t>Περίπου το 50% των λιπασμάτων που υπάρχουν σήμερα στην αγορά εξαιρείται από το πεδίο εφαρμογής του υφιστάμενου κανονισμού, ιδίως δε τα προϊόντα λίπανσης που περιέχουν ή αποτελούνται από ανακυκλωμένα οργανικά υλικά. Σύμφωνα με εκτιμήσεις, σχεδόν το 30% των ανόργανων λιπασμάτων θα μπορούσε να αντικατασταθεί από οργανικά λιπάσματα εάν αξιοποιούνταν περισσότερο τα βιολογικά απόβλητα και χρησιμοποιούνταν πλήρως οι δυνατότητες ανακύκλωσης. Αυτό θα μπορούσε να συμβάλει στην κυκλική οικονομία με τη μείωση των αποβλήτων και το κλείσιμο του κύκλου των ανόργανων υλικών και θα βοηθούσε επίσης στην αντιμετώπιση των ανησυχιών ως προς την εξάρτηση της Ευρωπαϊκής Ένωσης από τις εισαγωγές πρώτων υλών από τρίτες χώρες και τις ενεργοβόρες διαδικασίες που χρησιμοποιούνται για την παραγωγή ανόργανων λιπασμάτων.</w:t>
      </w:r>
    </w:p>
    <w:p w:rsidR="00E451E4" w:rsidRPr="00CB12FD" w:rsidRDefault="00E451E4" w:rsidP="000A61DD">
      <w:pPr>
        <w:pStyle w:val="Normal12"/>
      </w:pPr>
      <w:r>
        <w:t xml:space="preserve">Ως εκ τούτου, ο συντάκτης γνωμοδότησης εκφράζει την ικανοποίησή του για την αναθεώρηση του υφιστάμενου κανονισμού για τα λιπάσματα ώστε να δοθεί η δυνατότητα εισόδου οργανικών προϊόντων λίπανσης στην εσωτερική αγορά και να παρασχεθεί μεγαλύτερη ελευθερία επιλογής στους αγρότες. Επιπλέον, η επέκταση του πεδίου εφαρμογής και η αυξημένη εναρμόνιση θα τονώσουν την επιχειρηματικότητα και θα ενισχύσουν το δυναμικό καινοτομίας του τομέα των γεωργικών προϊόντων διατροφής, ιδίως όσον αφορά την ανάπτυξη τεχνικών που ανακτούν τις πολύτιμες θρεπτικές ουσίες από τις ροές οργανικών αποβλήτων και τις χρησιμοποιούν για την παραγωγή προϊόντων λίπανσης. </w:t>
      </w:r>
    </w:p>
    <w:p w:rsidR="00E451E4" w:rsidRPr="00CB12FD" w:rsidRDefault="00E451E4" w:rsidP="000A61DD">
      <w:pPr>
        <w:pStyle w:val="Normal12"/>
      </w:pPr>
      <w:r>
        <w:t xml:space="preserve">Οι δυνατότητες ανακύκλωσης των ροών οργανικών αποβλήτων είναι τεράστιες και ο γεωργικός τομέας διαδραματίζει απαραίτητο ρόλο στο πλαίσιο αυτό. Ένα σχετικό παράδειγμα είναι η ανάκτηση θρεπτικών ουσιών από τη ζωική κόπρο. Η κόπρος είναι το λίπασμα που χρησιμοποιείται συνηθέστερα στη γεωργική γη στην Ευρωπαϊκή Ένωση και αντιπροσωπεύει σχεδόν το 50% των θρεπτικών ουσιών που χρησιμοποιούνται στις γεωργικές εκτάσεις της ΕΕ. Χάρη στις καινοτόμες τεχνικές που ανακτούν τις θρεπτικές ουσίες από τη ζωική κόπρο και τη μετατρέπουν σε εξαιρετικά αποδοτικά ορυκτά συμπυκνώματα (άζωτο + κάλιο), οι γεωργοί έχουν τη δυνατότητα να ανακυκλώνουν τις θρεπτικές ουσίες με πιο βιώσιμο τρόπο. </w:t>
      </w:r>
    </w:p>
    <w:p w:rsidR="00E451E4" w:rsidRPr="00CB12FD" w:rsidRDefault="00E451E4" w:rsidP="000A61DD">
      <w:pPr>
        <w:pStyle w:val="Normal12"/>
      </w:pPr>
      <w:r>
        <w:t xml:space="preserve">Ωστόσο, το κίνητρο για τη χρήση προϊόντων λίπανσης που περιέχουν ή αποτελούνται από επεξεργασμένη ζωική κόπρο υπονομεύεται από τους εκτελεστικούς κανόνες για την εφαρμογή λιπασμάτων όπως περιγράφονται στην οδηγία για τη νιτρορύπανση, δεδομένου ότι η χρήση επεξεργασμένης κόπρου υπόκειται στους ίδιους κανόνες με την ανεπεξέργαστη κόπρο. </w:t>
      </w:r>
    </w:p>
    <w:p w:rsidR="00E451E4" w:rsidRPr="00CB12FD" w:rsidRDefault="00E451E4" w:rsidP="000A61DD">
      <w:pPr>
        <w:pStyle w:val="Normal12"/>
      </w:pPr>
      <w:r>
        <w:t>Ο συντάκτης γνωμοδότησης δεν αμφισβητεί τους στόχους της οδηγίας για τη νιτρορύπανση ούτε επιθυμεί να μεταβάλει το όριο του αζώτου στη ζωική κοπριά που επιτρέπεται να εφαρμόζεται στις γεωργικές εκτάσεις. Ωστόσο, είναι αδικαιολόγητο τα προϊόντα λίπανσης που περιέχουν ή αποτελούνται από επεξεργασμένη ζωική κόπρο, τα οποία ισοδυναμούν από άποψη γεωπονικής αποδοτικότητας με τα ανόργανα λιπάσματα και δεν θέτουν σε κίνδυνο τους περιβαλλοντικούς στόχους της οδηγίας για τη νιτρορύπανση, να υπόκεινται στους ίδιους κανόνες με την ανεπεξέργαστη κόπρο και με τον τρόπο αυτόν να περιορίζεται η χρήση τους. Η ανάκτηση θρεπτικών ουσιών από τη ζωική κόπρο δεν έχει μόνο περιβαλλοντικά οφέλη, χάρη στο κλείσιμο του κύκλου των ανόργανων υλικών, αλλά περιορίζει επίσης το κόστος για τους αγρότες, καθώς θα εξαρτώνται λιγότερο από την αγορά ανόργανων λιπασμάτων.</w:t>
      </w:r>
    </w:p>
    <w:p w:rsidR="00E451E4" w:rsidRPr="00CB12FD" w:rsidRDefault="00E451E4" w:rsidP="000A61DD">
      <w:pPr>
        <w:pStyle w:val="Normal12"/>
      </w:pPr>
      <w:r>
        <w:t xml:space="preserve">Κατά συνέπεια, ο συντάκτης γνωμοδότησης προτείνει μια τροπολογία για την προσαρμογή του ορισμού της «ζωικής κόπρου» στην οδηγία σχετικά με τη νιτρορύπανση, προκειμένου να διασφαλιστεί ότι δεν υφίσταται αδικαιολόγητη διάκριση εις βάρος των προϊόντων λίπανσης που περιέχουν ή αποτελούνται από επεξεργασμένη ζωική κόπρο, τα οποία πληρούν τις προϋποθέσεις του κανονισμού για τα λιπάσματα και έχουν αποδεδειγμένα επαρκές γεωπονικό δυναμικό. Πέραν αυτών, είναι αναγκαίο να καθοριστούν σαφείς και αυστηρές απαιτήσεις για τον έλεγχο τη αποδοτικότητας και της ποιότητας των προϊόντων, προκειμένου να διασφαλιστεί η εκπλήρωση των περιβαλλοντικών στόχων της οδηγίας για τη νιτρορύπανση. </w:t>
      </w:r>
    </w:p>
    <w:p w:rsidR="00E451E4" w:rsidRPr="00CB12FD" w:rsidRDefault="00E451E4" w:rsidP="000A61DD">
      <w:pPr>
        <w:pStyle w:val="Normal12"/>
      </w:pPr>
      <w:r>
        <w:t>Ένα άλλο πολλά υποσχόμενο προϊόν με μεγάλο δυναμικό για τη γεωργία είναι η κατηγορία των βιοδιεγερτών. Ο συντάκτης γνωμοδότησης είναι της άποψης ότι η χρήση βιοδιεγερτών θα μπορούσε να διαδραματίσει σημαντικό ρόλο στην αύξηση της αποδοτικότητας και, κατά συνέπεια, στη χρήση λιπασμάτων, δεδομένου ότι ενισχύουν την πρόσληψη των θρεπτικών ουσιών από τις καλλιέργειες. Παράλληλα, μπορούν επίσης να έχουν πολλά άλλα ευεργετικά αποτελέσματα που καθιστούν έμμεσα το φυτό ανθεκτικότερο σε εξωτερικές επιδράσεις όπως τα παράσιτα.</w:t>
      </w:r>
    </w:p>
    <w:p w:rsidR="00E451E4" w:rsidRPr="00CB12FD" w:rsidRDefault="00E451E4" w:rsidP="000A61DD">
      <w:pPr>
        <w:pStyle w:val="Normal12"/>
      </w:pPr>
      <w:r>
        <w:t>Ωστόσο, η παρούσα πρόταση δεν συμβιβάζεται πλήρως με τις ταχείες εξελίξεις όσον αφορά τους νέους βιοδιεγέρτες, ιδίως δε τους μικροβιακούς βιοδιεγέρτες φυτών. Δεν θα πρέπει να επιτραπεί ο αποκλεισμός αυτών των πολλά υποσχόμενων ευεργετικών προϊόντων από το πεδίο εφαρμογής του κανονισμού για τα λιπάσματα. Ως εκ τούτου, θα πρέπει να προβλεφθούν σαφείς απαιτήσεις με τις οποίες θα πρέπει να συμμορφώνονται οι παραγωγοί μικροβιακών βιοδιεγερτών φυτών, δεδομένου ότι δεν υπάρχουν σήμερα σαφείς απαιτήσεις για την αξιολόγηση ασφαλείας προκειμένου να προσδιοριστεί κατά πόσον οι νεοανακαλυφθέντες μικροοργανισμοί είναι ασφαλείς για χρήση στα προϊόντα λίπανσης με σήμανση CE. Με τον τρόπο αυτόν καθυστερούν οι καινοτομίες προϊόντων δεδομένου ότι οι παραγωγοί χρειάζονται σαφήνεια.</w:t>
      </w:r>
    </w:p>
    <w:p w:rsidR="00E451E4" w:rsidRPr="00CB12FD" w:rsidRDefault="00E451E4" w:rsidP="000A61DD">
      <w:pPr>
        <w:pStyle w:val="Normal12"/>
      </w:pPr>
      <w:r>
        <w:t>Το ίδιο ισχύει για τις απαιτήσεις βιοαποδομησιμότητας για τα λιπάσματα ελεγχόμενης αποδέσμευσης. Ο συντάκτης γνωμοδότησης συμφωνεί ότι πρέπει να αποτρέπεται, στο μέτρο του δυνατού, η ρύπανση των εδαφών από πλαστικά πολυμερή. Ωστόσο, ένα χρονικό διάστημα 24 μηνών δεν διασφαλίζει τη λειτουργία ενός βιοαποδομήσιμου πολυμερούς, δεδομένου ότι ορισμένα προϊόντα πρέπει να διατηρούν τη λειτουργία αποδέσμευσης θρεπτικών ουσιών για μεγαλύτερο χρονικό διάστημα. Επιπλέον, είναι απίθανο να επιτευχθεί βιοαποδομησιμότητα της τάξης του 90% εντός 24 μηνών με τις σημερινές γνώσεις και τη διαθέσιμη τεχνολογία. Κατά συνέπεια, το χρονικό διάστημα μετά το οποίο το πολυμερές αρχίζει να αποδομείται πρέπει να ξεκινά αφού περάσει ο σύμφωνα με τους ισχυρισμούς χρόνος αποδέσμευσης. Παράλληλα, θα πρέπει να δοθεί στη βιομηχανία περισσότερος χρόνος για να καθορίσει εφικτό χρονικό διάστημα μετά το οποίο το πολυμερές επιτυγχάνει βιοαποδομησιμότητα 90%. Πρέπει επίσης να αναπτυχθούν κατάλληλες δοκιμές βιοαποδομησιμότητας.</w:t>
      </w:r>
    </w:p>
    <w:p w:rsidR="00E451E4" w:rsidRPr="00CB12FD" w:rsidRDefault="00E451E4" w:rsidP="000A61DD">
      <w:pPr>
        <w:pStyle w:val="Normal12"/>
      </w:pPr>
    </w:p>
    <w:p w:rsidR="00E451E4" w:rsidRPr="00CB12FD" w:rsidRDefault="00E451E4" w:rsidP="000A61DD">
      <w:pPr>
        <w:pStyle w:val="ConclusionsPA"/>
      </w:pPr>
      <w:r>
        <w:t>ΤΡΟΠΟΛΟΓΙΕΣ</w:t>
      </w:r>
    </w:p>
    <w:p w:rsidR="00E451E4" w:rsidRPr="00CB12FD" w:rsidRDefault="00E451E4" w:rsidP="000A61DD">
      <w:pPr>
        <w:pStyle w:val="Normal12Tab"/>
      </w:pPr>
      <w:bookmarkStart w:id="16" w:name="IntroA"/>
      <w:r>
        <w:t xml:space="preserve">Η Επιτροπή Γεωργίας και Ανάπτυξης της Υπαίθρου καλεί την Επιτροπή Εσωτερικής Αγοράς και Προστασίας των Καταναλωτών, που είναι αρμόδια επί της ουσίας, να λάβει υπόψη τις ακόλουθες τροπολογίες: </w:t>
      </w:r>
    </w:p>
    <w:p w:rsidR="00E451E4" w:rsidRPr="00CB12FD" w:rsidRDefault="00E451E4" w:rsidP="000A61DD">
      <w:pPr>
        <w:pStyle w:val="AMNumberTabs"/>
        <w:keepNext/>
      </w:pPr>
      <w:r>
        <w:rPr>
          <w:rStyle w:val="HideTWBExt"/>
          <w:b w:val="0"/>
          <w:noProof w:val="0"/>
        </w:rPr>
        <w:t>&lt;RepeatBlock-Amend&gt;&lt;Amend&gt;</w:t>
      </w:r>
      <w:r w:rsidRPr="00AC4460">
        <w:t>Τροπολογία</w:t>
      </w:r>
      <w:r w:rsidRPr="00AC4460">
        <w:tab/>
      </w:r>
      <w:r w:rsidRPr="00AC4460">
        <w:tab/>
      </w:r>
      <w:r>
        <w:rPr>
          <w:rStyle w:val="HideTWBExt"/>
          <w:b w:val="0"/>
          <w:noProof w:val="0"/>
        </w:rPr>
        <w:t>&lt;NumAm&gt;</w:t>
      </w:r>
      <w:r w:rsidRPr="00AC4460">
        <w:t>1</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Τίτλος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Πρόταση</w:t>
            </w:r>
          </w:p>
        </w:tc>
        <w:tc>
          <w:tcPr>
            <w:tcW w:w="4876" w:type="dxa"/>
          </w:tcPr>
          <w:p w:rsidR="00E451E4" w:rsidRPr="00AC4460" w:rsidRDefault="00E451E4" w:rsidP="000A61DD">
            <w:pPr>
              <w:pStyle w:val="Normal6"/>
              <w:rPr>
                <w:szCs w:val="24"/>
              </w:rPr>
            </w:pPr>
            <w:r w:rsidRPr="00AC4460">
              <w:t>Πρόταση</w:t>
            </w:r>
          </w:p>
        </w:tc>
      </w:tr>
      <w:tr w:rsidR="00E451E4" w:rsidRPr="00CB12FD" w:rsidTr="000A61DD">
        <w:trPr>
          <w:jc w:val="center"/>
        </w:trPr>
        <w:tc>
          <w:tcPr>
            <w:tcW w:w="4876" w:type="dxa"/>
          </w:tcPr>
          <w:p w:rsidR="00E451E4" w:rsidRPr="00AC4460" w:rsidRDefault="00E451E4" w:rsidP="000A61DD">
            <w:pPr>
              <w:pStyle w:val="Normal6"/>
            </w:pPr>
            <w:r w:rsidRPr="00AC4460">
              <w:t>ΚΑΝΟΝΙΣΜΟΣ ΤΟΥ ΕΥΡΩΠΑΪΚΟΥ ΚΟΙΝΟΒΟΥΛΙΟΥ ΚΑΙ ΤΟΥ ΣΥΜΒΟΥΛΙΟΥ</w:t>
            </w:r>
          </w:p>
        </w:tc>
        <w:tc>
          <w:tcPr>
            <w:tcW w:w="4876" w:type="dxa"/>
          </w:tcPr>
          <w:p w:rsidR="00E451E4" w:rsidRPr="00AC4460" w:rsidRDefault="00E451E4" w:rsidP="000A61DD">
            <w:pPr>
              <w:pStyle w:val="Normal6"/>
              <w:rPr>
                <w:szCs w:val="24"/>
              </w:rPr>
            </w:pPr>
            <w:r w:rsidRPr="00AC4460">
              <w:t>ΚΑΝΟΝΙΣΜΟΣ ΤΟΥ ΕΥΡΩΠΑΪΚΟΥ ΚΟΙΝΟΒΟΥΛΙΟΥ ΚΑΙ ΤΟΥ ΣΥΜΒΟΥΛΙΟΥ</w:t>
            </w:r>
          </w:p>
        </w:tc>
      </w:tr>
      <w:tr w:rsidR="00E451E4" w:rsidRPr="00CB12FD" w:rsidTr="000A61DD">
        <w:trPr>
          <w:jc w:val="center"/>
        </w:trPr>
        <w:tc>
          <w:tcPr>
            <w:tcW w:w="4876" w:type="dxa"/>
          </w:tcPr>
          <w:p w:rsidR="00E451E4" w:rsidRPr="00AC4460" w:rsidRDefault="00E451E4" w:rsidP="000A61DD">
            <w:pPr>
              <w:pStyle w:val="Normal6"/>
            </w:pPr>
            <w:r w:rsidRPr="00AC4460">
              <w:t xml:space="preserve">για τη θέσπιση κανόνων σχετικά με τη διάθεση προϊόντων </w:t>
            </w:r>
            <w:r w:rsidRPr="00AC4460">
              <w:rPr>
                <w:b/>
                <w:i/>
              </w:rPr>
              <w:t>λίπανσης</w:t>
            </w:r>
            <w:r w:rsidRPr="00AC4460">
              <w:t xml:space="preserve"> με σήμανση CE στην αγορά και για την τροποποίηση των κανονισμών (ΕΚ) αριθ. 1069/2009</w:t>
            </w:r>
            <w:r w:rsidRPr="00AC4460">
              <w:rPr>
                <w:b/>
                <w:i/>
              </w:rPr>
              <w:t xml:space="preserve"> και</w:t>
            </w:r>
            <w:r w:rsidRPr="00AC4460">
              <w:t xml:space="preserve"> (ΕΚ) αριθ. 1107/2009</w:t>
            </w:r>
          </w:p>
        </w:tc>
        <w:tc>
          <w:tcPr>
            <w:tcW w:w="4876" w:type="dxa"/>
          </w:tcPr>
          <w:p w:rsidR="00E451E4" w:rsidRPr="00AC4460" w:rsidRDefault="00E451E4" w:rsidP="000A61DD">
            <w:pPr>
              <w:pStyle w:val="Normal6"/>
              <w:rPr>
                <w:szCs w:val="24"/>
              </w:rPr>
            </w:pPr>
            <w:r w:rsidRPr="00AC4460">
              <w:t xml:space="preserve">για τη θέσπιση κανόνων σχετικά με τη διάθεση </w:t>
            </w:r>
            <w:r w:rsidRPr="00AC4460">
              <w:rPr>
                <w:b/>
                <w:i/>
              </w:rPr>
              <w:t xml:space="preserve">λιπασμάτων και </w:t>
            </w:r>
            <w:r w:rsidRPr="00AC4460">
              <w:t xml:space="preserve">προϊόντων </w:t>
            </w:r>
            <w:r w:rsidRPr="00AC4460">
              <w:rPr>
                <w:b/>
                <w:i/>
              </w:rPr>
              <w:t>για τη βελτίωση της αποδοτικότητας της θρέψης</w:t>
            </w:r>
            <w:r w:rsidRPr="00AC4460">
              <w:t xml:space="preserve"> με σήμανση CE στην αγορά και για την τροποποίηση των κανονισμών (ΕΚ) αριθ. 1069/2009</w:t>
            </w:r>
            <w:r w:rsidRPr="00AC4460">
              <w:rPr>
                <w:b/>
                <w:i/>
              </w:rPr>
              <w:t>,</w:t>
            </w:r>
            <w:r w:rsidRPr="00AC4460">
              <w:t xml:space="preserve"> (ΕΚ) αριθ. 1107/2009</w:t>
            </w:r>
            <w:r w:rsidRPr="00AC4460">
              <w:rPr>
                <w:b/>
                <w:i/>
              </w:rPr>
              <w:t xml:space="preserve"> και (ΕΚ) αριθ. 1907/2006</w:t>
            </w:r>
          </w:p>
        </w:tc>
      </w:tr>
      <w:tr w:rsidR="00E451E4" w:rsidRPr="00CB12FD" w:rsidTr="000A61DD">
        <w:trPr>
          <w:jc w:val="center"/>
        </w:trPr>
        <w:tc>
          <w:tcPr>
            <w:tcW w:w="4876" w:type="dxa"/>
          </w:tcPr>
          <w:p w:rsidR="00E451E4" w:rsidRPr="00AC4460" w:rsidRDefault="00E451E4" w:rsidP="000A61DD">
            <w:pPr>
              <w:pStyle w:val="Normal6"/>
            </w:pPr>
            <w:r w:rsidRPr="00AC4460">
              <w:t>(Κείμενο που παρουσιάζει ενδιαφέρον για τον ΕΟΧ)</w:t>
            </w:r>
          </w:p>
        </w:tc>
        <w:tc>
          <w:tcPr>
            <w:tcW w:w="4876" w:type="dxa"/>
          </w:tcPr>
          <w:p w:rsidR="00E451E4" w:rsidRPr="00AC4460" w:rsidRDefault="00E451E4" w:rsidP="000A61DD">
            <w:pPr>
              <w:pStyle w:val="Normal6"/>
              <w:rPr>
                <w:szCs w:val="24"/>
              </w:rPr>
            </w:pPr>
            <w:r w:rsidRPr="00AC4460">
              <w:t>(Κείμενο που παρουσιάζει ενδιαφέρον για τον ΕΟΧ)</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(Ο όρος «λίπασμα» θα πρέπει να αφαιρεθεί από όλο το κείμενο για τα προϊόντα που προορίζονται για τη βελτίωση της αποδοτικότητας της θρέψης των φυτών.)</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w:t>
            </w:r>
            <w:r w:rsidRPr="00AC4460">
              <w:tab/>
              <w:t>Οι όροι για τη διάθεση λιπασμάτων στην εσωτερική αγορά εναρμονίστηκαν μερικώς μέσω του κανονισμού (ΕΚ) αριθ. 2003/2003 του Ευρωπαϊκού Κοινοβουλίου και του Συμβουλίου</w:t>
            </w:r>
            <w:r w:rsidRPr="00AC4460">
              <w:rPr>
                <w:vertAlign w:val="superscript"/>
              </w:rPr>
              <w:t>15</w:t>
            </w:r>
            <w:r w:rsidRPr="00AC4460">
              <w:t xml:space="preserve">, ο οποίος καλύπτει σχεδόν αποκλειστικά τα λιπάσματα από ορυκτά ή από χημικώς παραγόμενα ανόργανα υλικά. Υπάρχει επίσης ανάγκη να αξιοποιηθούν ανακυκλωμένα ή οργανικά υλικά για σκοπούς λίπανσης. Θα πρέπει να θεσπιστούν εναρμονισμένοι όροι για τη διάθεση λιπασμάτων παραγόμενων από τέτοια ανακυκλωμένα ή οργανικά υλικά σε ολόκληρη την εσωτερική αγορά προκειμένου να παρασχεθεί ένα σημαντικό κίνητρο για την περαιτέρω </w:t>
            </w:r>
            <w:r w:rsidRPr="00AC4460">
              <w:rPr>
                <w:b/>
                <w:i/>
              </w:rPr>
              <w:t>χρήση</w:t>
            </w:r>
            <w:r w:rsidRPr="00AC4460">
              <w:t xml:space="preserve"> τους. Επομένως, το πεδίο εφαρμογής της εναρμόνισης θα πρέπει να διευρυνθεί ώστε να συμπεριλάβει ανακυκλωμένα και οργανικά υλικά.</w:t>
            </w:r>
          </w:p>
        </w:tc>
        <w:tc>
          <w:tcPr>
            <w:tcW w:w="4876" w:type="dxa"/>
          </w:tcPr>
          <w:p w:rsidR="00E451E4" w:rsidRPr="00AC4460" w:rsidRDefault="00E451E4" w:rsidP="000A61DD">
            <w:pPr>
              <w:pStyle w:val="Normal6"/>
              <w:rPr>
                <w:szCs w:val="24"/>
              </w:rPr>
            </w:pPr>
            <w:r w:rsidRPr="00AC4460">
              <w:t>(1)</w:t>
            </w:r>
            <w:r w:rsidRPr="00AC4460">
              <w:tab/>
            </w:r>
            <w:r w:rsidRPr="00AC4460">
              <w:rPr>
                <w:b/>
                <w:i/>
              </w:rPr>
              <w:t xml:space="preserve">Ο παρών κανονισμός θα πρέπει να αποσκοπεί στην προώθηση των στόχων της κυκλικής οικονομίας και να εξασφαλίζει την ασφάλεια και τη βιωσιμότητα του εφοδιασμού των γεωργών με υψηλής αποτελεσματικότητας λιπάσματα. </w:t>
            </w:r>
            <w:r w:rsidRPr="00AC4460">
              <w:t>Οι όροι για τη διάθεση λιπασμάτων στην εσωτερική αγορά εναρμονίστηκαν μερικώς μέσω του κανονισμού (ΕΚ) αριθ. 2003/2003 του Ευρωπαϊκού Κοινοβουλίου και του Συμβουλίου</w:t>
            </w:r>
            <w:r w:rsidRPr="00AC4460">
              <w:rPr>
                <w:vertAlign w:val="superscript"/>
              </w:rPr>
              <w:t>15</w:t>
            </w:r>
            <w:r w:rsidRPr="00AC4460">
              <w:t xml:space="preserve">, ο οποίος καλύπτει σχεδόν αποκλειστικά τα λιπάσματα από ορυκτά ή από χημικώς παραγόμενα ανόργανα υλικά. Υπάρχει επίσης ανάγκη να αξιοποιηθούν ανακυκλωμένα ή οργανικά υλικά για σκοπούς λίπανσης. Θα πρέπει να θεσπιστούν εναρμονισμένοι όροι για τη διάθεση λιπασμάτων παραγόμενων από τέτοια ανακυκλωμένα ή οργανικά υλικά σε ολόκληρη την εσωτερική αγορά προκειμένου να παρασχεθεί ένα σημαντικό κίνητρο για την </w:t>
            </w:r>
            <w:r w:rsidRPr="00AC4460">
              <w:rPr>
                <w:b/>
                <w:i/>
              </w:rPr>
              <w:t xml:space="preserve">προώθηση της </w:t>
            </w:r>
            <w:r w:rsidRPr="00AC4460">
              <w:t xml:space="preserve">περαιτέρω </w:t>
            </w:r>
            <w:r w:rsidRPr="00AC4460">
              <w:rPr>
                <w:b/>
                <w:i/>
              </w:rPr>
              <w:t>χρήσης</w:t>
            </w:r>
            <w:r w:rsidRPr="00AC4460">
              <w:t xml:space="preserve"> τους.</w:t>
            </w:r>
            <w:r w:rsidRPr="00AC4460">
              <w:rPr>
                <w:b/>
                <w:i/>
              </w:rPr>
              <w:t xml:space="preserve"> Αυτό είναι ζωτικής σημασίας για τη μείωση της εξάρτησης της Ένωσης από τις εισαγωγές θρεπτικών ουσιών από τρίτες χώρες και για την προώθηση της κυκλικής οικονομίας.</w:t>
            </w:r>
            <w:r w:rsidRPr="00AC4460">
              <w:t xml:space="preserve"> Επομένως, το πεδίο εφαρμογής της εναρμόνισης θα πρέπει να διευρυνθεί ώστε να συμπεριλάβει ανακυκλωμένα και οργανικά υλικά. </w:t>
            </w:r>
            <w:r w:rsidRPr="00AC4460">
              <w:rPr>
                <w:b/>
                <w:i/>
              </w:rPr>
              <w:t>Θα πρέπει να υπάρχει σαφήνεια όσον αφορά τη χρήση του όρου «οργανικό» και σαφής διάκριση μεταξύ του όρου «βιολογικό», όπως ορίζεται στον κανονισμό (ΕΚ) αριθ. 834/2007 του Συμβουλίου και του όρου «οργανικό» ως κατηγορία λιπάσματος που περιέχει κυρίως οργανικά υλικά και όχι ανόργανα συστατικά.</w:t>
            </w:r>
            <w:r w:rsidRPr="00AC4460">
              <w:rPr>
                <w:b/>
                <w:bCs/>
                <w:i/>
                <w:iCs/>
              </w:rPr>
              <w:t xml:space="preserve"> Η Επιτροπή θα πρέπει να υποβάλει στο Ευρωπαϊκό Κοινοβούλιο και το Συμβούλιο έκθεση ανασκόπησης της εφαρμογής του παρόντος κανονισμού πέντε έτη μετά την έναρξη ισχύος του.</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15</w:t>
            </w:r>
            <w:r w:rsidRPr="00AC4460">
              <w:t xml:space="preserve"> Κανονισμός (ΕΚ) αριθ. 2003/2003 του Ευρωπαϊκού Κοινοβουλίου και του Συμβουλίου, της 13ης Οκτωβρίου 2003, σχετικά με τα λιπάσματα (ΕΕ L 304 της 21.11.2003, σ. 1).</w:t>
            </w:r>
          </w:p>
        </w:tc>
        <w:tc>
          <w:tcPr>
            <w:tcW w:w="4876" w:type="dxa"/>
          </w:tcPr>
          <w:p w:rsidR="00E451E4" w:rsidRPr="00AC4460" w:rsidRDefault="00E451E4" w:rsidP="000A61DD">
            <w:pPr>
              <w:pStyle w:val="Normal6"/>
              <w:rPr>
                <w:szCs w:val="24"/>
              </w:rPr>
            </w:pPr>
            <w:r w:rsidRPr="00AC4460">
              <w:rPr>
                <w:vertAlign w:val="superscript"/>
              </w:rPr>
              <w:t>15</w:t>
            </w:r>
            <w:r w:rsidRPr="00AC4460">
              <w:t xml:space="preserve"> Κανονισμός (ΕΚ) αριθ. 2003/2003 του Ευρωπαϊκού Κοινοβουλίου και του Συμβουλίου, της 13ης Οκτωβρίου 2003, σχετικά με τα λιπάσματα (ΕΕ L 304 της 21.11.2003, σ. 1).</w:t>
            </w:r>
          </w:p>
        </w:tc>
      </w:tr>
      <w:tr w:rsidR="00E451E4" w:rsidRPr="00CB12FD" w:rsidTr="000A61DD">
        <w:trPr>
          <w:jc w:val="center"/>
        </w:trPr>
        <w:tc>
          <w:tcPr>
            <w:tcW w:w="4876" w:type="dxa"/>
          </w:tcPr>
          <w:p w:rsidR="00E451E4" w:rsidRPr="00AC4460" w:rsidRDefault="00E451E4" w:rsidP="000A61DD">
            <w:pPr>
              <w:pStyle w:val="Normal6"/>
              <w:rPr>
                <w:vertAlign w:val="superscript"/>
              </w:rPr>
            </w:pPr>
          </w:p>
        </w:tc>
        <w:tc>
          <w:tcPr>
            <w:tcW w:w="4876" w:type="dxa"/>
          </w:tcPr>
          <w:p w:rsidR="00E451E4" w:rsidRPr="00AC4460" w:rsidRDefault="00E451E4" w:rsidP="000A61DD">
            <w:pPr>
              <w:pStyle w:val="Normal6"/>
              <w:rPr>
                <w:b/>
                <w:i/>
                <w:vertAlign w:val="superscript"/>
              </w:rPr>
            </w:pPr>
            <w:r w:rsidRPr="00AC4460">
              <w:rPr>
                <w:b/>
                <w:i/>
                <w:vertAlign w:val="superscript"/>
              </w:rPr>
              <w:t>15α</w:t>
            </w:r>
            <w:r w:rsidRPr="00AC4460">
              <w:rPr>
                <w:b/>
                <w:i/>
              </w:rPr>
              <w:t xml:space="preserve"> Κανονισμός (ΕΚ) αριθ. 834/2007 του Συμβουλίου, της 28ης Ιουνίου 2007, για τη βιολογική παραγωγή και την επισήμανση των βιολογικών προϊόντων (ΕΕ L 189 της 20.7.2007, σ. 20).</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2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(2α)</w:t>
            </w:r>
            <w:r w:rsidRPr="00AC4460">
              <w:rPr>
                <w:b/>
                <w:i/>
              </w:rPr>
              <w:tab/>
              <w:t>Τα θρεπτικά συστατικά των τροφίμων προέρχονται από το έδαφος· υγιές και πλούσιο σε θρεπτικά συστατικά έδαφος σημαίνει υγιείς και πλούσιες σε θρεπτικά συστατικά καλλιέργειες και τρόφιμα. Οι γεωργοί χρειάζεται να έχουν στη διάθεσή τους ένα ευρύ φάσμα λιπασμάτων, οργανικών και συνθετικών, για να μπορούν να ενισχύουν την ποιότητα των εδαφών τους. Όταν το έδαφος δεν διαθέτει ή διαθέτει ελάχιστα θρεπτικά συστατικά, τα φυτά θα έχουν ελλιπή θρέψη και μπορεί είτε να σταματήσουν να αναπτύσσονται ή να μην έχουν θρεπτική αξία για τον άνθρωπο.</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(8)</w:t>
            </w:r>
            <w:r w:rsidRPr="00AC4460">
              <w:tab/>
              <w:t>Οι προσμείξεις στα προϊόντα λίπανσης με σήμανση CE, όπως το κάδμιο, συνιστούν δυνητικούς κινδύνους για την υγεία των ανθρώπων και των ζώων και για το περιβάλλον, καθώς συσσωρεύονται στο περιβάλλον και εισέρχονται στην τροφική αλυσίδα. Ως εκ τούτου, η περιεκτικότητα αυτών των προϊόντων σε τέτοιες ουσίες θα πρέπει να περιορίζεται. Επιπλέον, η παρουσία προσμείξεων, ιδίως πολυμερών αλλά και μετάλλου και γυαλιού, στα προϊόντα λίπανσης με σήμανση CE που παράγονται από βιολογικά απόβλητα θα πρέπει είτε να αποτρέπεται είτε να περιορίζεται στον βαθμό που αυτό είναι τεχνικώς εφικτό, μέσω ανίχνευσης τέτοιων προσμείξεων στα χωριστά συλλεγόμενα βιολογικά απόβλητα πριν από την επεξεργασία.</w:t>
            </w:r>
          </w:p>
        </w:tc>
        <w:tc>
          <w:tcPr>
            <w:tcW w:w="4876" w:type="dxa"/>
            <w:hideMark/>
          </w:tcPr>
          <w:p w:rsidR="00E451E4" w:rsidRPr="00AC4460" w:rsidRDefault="00E451E4" w:rsidP="000A61DD">
            <w:pPr>
              <w:pStyle w:val="Normal6"/>
              <w:rPr>
                <w:szCs w:val="24"/>
              </w:rPr>
            </w:pPr>
            <w:r w:rsidRPr="00AC4460">
              <w:t>(8)</w:t>
            </w:r>
            <w:r w:rsidRPr="00AC4460">
              <w:tab/>
              <w:t xml:space="preserve">Οι προσμείξεις στα προϊόντα λίπανσης με σήμανση CE, όπως το κάδμιο, </w:t>
            </w:r>
            <w:r w:rsidRPr="00AC4460">
              <w:rPr>
                <w:b/>
                <w:i/>
              </w:rPr>
              <w:t xml:space="preserve">εάν δεν χρησιμοποιηθούν σωστά, </w:t>
            </w:r>
            <w:r w:rsidRPr="00AC4460">
              <w:t>συνιστούν δυνητικούς κινδύνους για την υγεία των ανθρώπων και των ζώων και για το περιβάλλον, καθώς συσσωρεύονται στο περιβάλλον και εισέρχονται στην τροφική αλυσίδα. Ως εκ τούτου, η περιεκτικότητα αυτών των προϊόντων σε τέτοιες ουσίες θα πρέπει να περιορίζεται. Επιπλέον, η παρουσία προσμείξεων, ιδίως πολυμερών αλλά και μετάλλου και γυαλιού, στα προϊόντα λίπανσης με σήμανση CE που παράγονται από βιολογικά απόβλητα θα πρέπει είτε να αποτρέπεται είτε να περιορίζεται στον βαθμό που αυτό είναι τεχνικώς εφικτό, μέσω ανίχνευσης τέτοιων προσμείξεων στα χωριστά συλλεγόμενα βιολογικά απόβλητα πριν από την επεξεργασία.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10</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(10)</w:t>
            </w:r>
            <w:r w:rsidRPr="00AC4460">
              <w:tab/>
              <w:t>Το τελικό σημείο στην αλυσίδα παρασκευής θα πρέπει να προσδιορίζεται για κάθε σχετικό συστατικό υλικό το οποίο περιέχει ζωικά υποπροϊόντα σύμφωνα με τις διαδικασίες που καθορίζονται στον κανονισμό (ΕΚ) αριθ. 1069/2009. Όταν μια διαδικασία παρασκευής που διέπεται από τον παρόντα κανονισμό ξεκινά πριν από το εν λόγω τελικό σημείο, οι απαιτήσεις διεργασίας που ορίζει τόσο ο κανονισμός (ΕΚ) αριθ. 1069/2009 όσο και ο παρών κανονισμός θα πρέπει να εφαρμόζονται σωρευτικά στο προϊόν λίπανσης με σήμανση CE, γεγονός που σημαίνει πως όπου κάποια παράμετρος ρυθμίζεται και από τους δύο κανονισμούς θα ισχύει η αυστηρότερη από τις δύο απαιτήσεις.</w:t>
            </w:r>
          </w:p>
        </w:tc>
        <w:tc>
          <w:tcPr>
            <w:tcW w:w="4876" w:type="dxa"/>
          </w:tcPr>
          <w:p w:rsidR="00E451E4" w:rsidRPr="00AC4460" w:rsidRDefault="00E451E4" w:rsidP="000A61DD">
            <w:pPr>
              <w:pStyle w:val="Normal6"/>
              <w:rPr>
                <w:szCs w:val="24"/>
              </w:rPr>
            </w:pPr>
            <w:r w:rsidRPr="00AC4460">
              <w:t>(10)</w:t>
            </w:r>
            <w:r w:rsidRPr="00AC4460">
              <w:tab/>
              <w:t xml:space="preserve">Το τελικό σημείο στην αλυσίδα παρασκευής θα πρέπει να προσδιορίζεται για κάθε σχετικό συστατικό υλικό το οποίο περιέχει ζωικά υποπροϊόντα σύμφωνα με τις διαδικασίες που καθορίζονται στον κανονισμό (ΕΚ) αριθ. 1069/2009. </w:t>
            </w:r>
            <w:r w:rsidRPr="00AC4460">
              <w:rPr>
                <w:b/>
                <w:i/>
              </w:rPr>
              <w:t>Η θέσπιση μεθόδων επεξεργασίας και κανόνων ανάκτησης των ζωικών υποπροϊόντων για τα οποία έχει καθοριστεί τελικό σημείο στην αλυσίδα παρασκευής, θα πρέπει να αρχίσει αμέσως μετά την έναρξη ισχύος του παρόντος κανονισμού. Ως εκ τούτου, θα πρέπει να ανατεθεί στην Επιτροπή η εξουσία έκδοσης πράξεων σύμφωνα με το άρθρο 290 της Συνθήκης για τη λειτουργία της Ευρωπαϊκής Ένωσης όσον αφορά τη διεύρυνση ή την προσθήκη, χωρίς περιττή καθυστέρηση, ορισμένων ζωικών υποπροϊόντων σε συγκεκριμένες κατηγορίες συστατικών υλικών προκειμένου να δημιουργηθούν περισσότερες ευκαιρίες και ασφάλεια δικαίου για τους παραγωγούς και τις επιχειρήσεις με την ελευθέρωση του δυναμικού μεγαλύτερης αξιοποίησης των θρεπτικών συστατικών ζωικών υποπροϊόντων, όπως η ζωική κόπρος.</w:t>
            </w:r>
            <w:r w:rsidRPr="00AC4460">
              <w:t xml:space="preserve"> Όταν μια διαδικασία παρασκευής που διέπεται από τον παρόντα κανονισμό ξεκινά πριν από το εν λόγω τελικό σημείο, οι απαιτήσεις διεργασίας που ορίζει τόσο ο κανονισμός (ΕΚ) αριθ. 1069/2009 όσο και ο παρών κανονισμός θα πρέπει να εφαρμόζονται σωρευτικά στο προϊόν λίπανσης με σήμανση CE, γεγονός που σημαίνει πως όπου κάποια παράμετρος ρυθμίζεται και από τους δύο κανονισμούς θα ισχύει η αυστηρότερη από τις δύο απαιτήσεις.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11.</w:t>
            </w:r>
            <w:r w:rsidRPr="00AC4460">
              <w:tab/>
              <w:t xml:space="preserve">Στην περίπτωση κινδύνων για </w:t>
            </w:r>
            <w:r w:rsidRPr="00AC4460">
              <w:rPr>
                <w:b/>
                <w:i/>
              </w:rPr>
              <w:t>τη δημόσια</w:t>
            </w:r>
            <w:r w:rsidRPr="00AC4460">
              <w:t xml:space="preserve"> υγεία ή την υγεία των ζώων από προϊόντα λίπανσης με σήμανση CE που προέρχονται από ζωικά υποπροϊόντα, θα πρέπει να είναι εφικτή η προσφυγή σε μέτρα διασφάλισης σύμφωνα με τον κανονισμό (ΕΚ) αριθ. 178/2002 του Ευρωπαϊκού Κοινοβουλίου και του Συμβουλίου</w:t>
            </w:r>
            <w:r w:rsidRPr="00AC4460">
              <w:rPr>
                <w:b/>
                <w:i/>
                <w:vertAlign w:val="superscript"/>
              </w:rPr>
              <w:t>19</w:t>
            </w:r>
            <w:r w:rsidRPr="00AC4460">
              <w:t>, όπως συμβαίνει για τις υπόλοιπες κατηγορίες προϊόντων που παράγονται από ζωικά υποπροϊόντα.</w:t>
            </w:r>
          </w:p>
        </w:tc>
        <w:tc>
          <w:tcPr>
            <w:tcW w:w="4876" w:type="dxa"/>
            <w:hideMark/>
          </w:tcPr>
          <w:p w:rsidR="00E451E4" w:rsidRPr="00AC4460" w:rsidRDefault="00E451E4" w:rsidP="000A61DD">
            <w:pPr>
              <w:pStyle w:val="Normal6"/>
              <w:rPr>
                <w:szCs w:val="24"/>
              </w:rPr>
            </w:pPr>
            <w:r w:rsidRPr="00AC4460">
              <w:t>(11)</w:t>
            </w:r>
            <w:r w:rsidRPr="00AC4460">
              <w:tab/>
              <w:t>Στην περίπτωση</w:t>
            </w:r>
            <w:r w:rsidRPr="00AC4460">
              <w:rPr>
                <w:b/>
                <w:i/>
              </w:rPr>
              <w:t xml:space="preserve"> αναλογικών</w:t>
            </w:r>
            <w:r w:rsidRPr="00AC4460">
              <w:t xml:space="preserve"> κινδύνων για </w:t>
            </w:r>
            <w:r w:rsidRPr="00AC4460">
              <w:rPr>
                <w:b/>
                <w:i/>
              </w:rPr>
              <w:t>την ανθρώπινη</w:t>
            </w:r>
            <w:r w:rsidRPr="00AC4460">
              <w:t xml:space="preserve"> υγεία ή την υγεία των ζώων από προϊόντα λίπανσης με σήμανση CE που προέρχονται από ζωικά υποπροϊόντα, θα πρέπει να είναι εφικτή η προσφυγή σε μέτρα διασφάλισης σύμφωνα με τον κανονισμό (ΕΚ) αριθ. 178/2002 του Ευρωπαϊκού Κοινοβουλίου και του Συμβουλίου, όπως συμβαίνει για τις υπόλοιπες κατηγορίες προϊόντων που παράγονται από ζωικά υποπροϊόντα.</w:t>
            </w:r>
          </w:p>
        </w:tc>
      </w:tr>
      <w:tr w:rsidR="00E451E4" w:rsidRPr="00CB12FD"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19</w:t>
            </w:r>
            <w:r w:rsidRPr="00AC4460">
              <w:t xml:space="preserve"> 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(ΕΕ L 31 της 1.2.2002, σ. 1)</w:t>
            </w:r>
          </w:p>
        </w:tc>
        <w:tc>
          <w:tcPr>
            <w:tcW w:w="4876" w:type="dxa"/>
            <w:hideMark/>
          </w:tcPr>
          <w:p w:rsidR="00E451E4" w:rsidRPr="00AC4460" w:rsidRDefault="00E451E4" w:rsidP="000A61DD">
            <w:pPr>
              <w:pStyle w:val="Normal6"/>
              <w:rPr>
                <w:szCs w:val="24"/>
              </w:rPr>
            </w:pPr>
            <w:r w:rsidRPr="00AC4460">
              <w:rPr>
                <w:vertAlign w:val="superscript"/>
              </w:rPr>
              <w:t>19</w:t>
            </w:r>
            <w:r w:rsidRPr="00AC4460">
              <w:t xml:space="preserve"> 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(ΕΕ L 31 της 1.2.2002, σ. 1)</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13.</w:t>
            </w:r>
            <w:r w:rsidRPr="00AC4460">
              <w:tab/>
              <w:t>Για ορισμένα ανακτηθέντα απόβλητα κατά την έννοια της οδηγίας 2008/98/ΕΚ του Ευρωπαϊκού Κοινοβουλίου και του Συμβουλίου</w:t>
            </w:r>
            <w:r w:rsidRPr="00AC4460">
              <w:rPr>
                <w:vertAlign w:val="superscript"/>
              </w:rPr>
              <w:t>20</w:t>
            </w:r>
            <w:r w:rsidRPr="00AC4460">
              <w:t>, έχει διαπιστωθεί ζήτηση στην αγορά για τη χρήση τους ως προϊόντα λίπανσης. Επιπλέον, θα πρέπει να ισχύουν ορισμένες απαιτήσεις για τα απόβλητα που χρησιμοποιούνται ως υλικά εισροής στις δραστηριότητες ανάκτησης, για τις διεργασίες και τεχνικές επεξεργασίας, και για τα προϊόντα λίπανσης που προκύπτουν από τη δραστηριότητα ανάκτησης, προκειμένου να διασφαλιστεί ότι η χρήση των προϊόντων αυτών δεν συνεπάγεται συνολικά δυσμενείς επιπτώσεις για το περιβάλλον ή την ανθρώπινη υγεία. Για τα προϊόντα λίπανσης με σήμανση CE, οι εν λόγω απαιτήσεις θα πρέπει να καθοριστούν στον παρόντα κανονισμό. Ως εκ τούτου, από τη στιγμή που τα εν λόγω προϊόντα συμμορφώνονται με όλες τις απαιτήσεις του παρόντος κανονισμού, θα πρέπει να παύουν να θεωρούνται απόβλητα κατά την έννοια της οδηγίας 2008/98/ΕΚ.</w:t>
            </w:r>
          </w:p>
        </w:tc>
        <w:tc>
          <w:tcPr>
            <w:tcW w:w="4876" w:type="dxa"/>
          </w:tcPr>
          <w:p w:rsidR="00E451E4" w:rsidRPr="00AC4460" w:rsidRDefault="00E451E4" w:rsidP="000A61DD">
            <w:pPr>
              <w:pStyle w:val="Normal6"/>
              <w:rPr>
                <w:szCs w:val="24"/>
              </w:rPr>
            </w:pPr>
            <w:r w:rsidRPr="00AC4460">
              <w:t>(13)</w:t>
            </w:r>
            <w:r w:rsidRPr="00AC4460">
              <w:tab/>
              <w:t>Για ορισμένα ανακτηθέντα απόβλητα</w:t>
            </w:r>
            <w:r w:rsidRPr="00AC4460">
              <w:rPr>
                <w:b/>
                <w:i/>
              </w:rPr>
              <w:t>, όπως ο στρουβίτης, ο βιοξυλάνθρακας και προϊόντα με βάση τις τέφρες,</w:t>
            </w:r>
            <w:r w:rsidRPr="00AC4460">
              <w:t xml:space="preserve"> κατά την έννοια της οδηγίας 2008/98/ΕΚ του Ευρωπαϊκού Κοινοβουλίου και του Συμβουλίου</w:t>
            </w:r>
            <w:r w:rsidRPr="00AC4460">
              <w:rPr>
                <w:vertAlign w:val="superscript"/>
              </w:rPr>
              <w:t>20</w:t>
            </w:r>
            <w:r w:rsidRPr="00AC4460">
              <w:t>, έχει διαπιστωθεί ζήτηση στην αγορά για τη χρήση τους ως προϊόντων λίπανσης. Επιπλέον, θα πρέπει να ισχύουν ορισμένες απαιτήσεις για τα απόβλητα που χρησιμοποιούνται ως υλικά εισροής στις δραστηριότητες ανάκτησης, για τις διεργασίες και τεχνικές επεξεργασίας, και για τα προϊόντα λίπανσης που προκύπτουν από τη δραστηριότητα ανάκτησης, προκειμένου να διασφαλιστεί ότι η χρήση των προϊόντων αυτών δεν συνεπάγεται συνολικά δυσμενείς επιπτώσεις για το περιβάλλον ή την ανθρώπινη υγεία. Για τα προϊόντα λίπανσης με σήμανση CE, οι εν λόγω απαιτήσεις θα πρέπει να καθοριστούν στον παρόντα κανονισμό. Ως εκ τούτου, από τη στιγμή που τα εν λόγω προϊόντα συμμορφώνονται με όλες τις απαιτήσεις του παρόντος κανονισμού, θα πρέπει να παύουν να θεωρούνται απόβλητα</w:t>
            </w:r>
            <w:r w:rsidRPr="00AC4460">
              <w:rPr>
                <w:b/>
                <w:i/>
              </w:rPr>
              <w:t>,</w:t>
            </w:r>
            <w:r w:rsidRPr="00AC4460">
              <w:t xml:space="preserve"> κατά την έννοια της οδηγίας 2008/98/ΕΚ</w:t>
            </w:r>
            <w:r w:rsidRPr="00AC4460">
              <w:rPr>
                <w:b/>
                <w:i/>
              </w:rPr>
              <w:t>, και συνεπώς τα προϊόντα που περιέχουν ή που αποτελούνται από τέτοια ανακτηθέντα υλικά αποβλήτων θα πρέπει να μπορούν να έχουν πρόσβαση στην εσωτερική αγορά</w:t>
            </w:r>
            <w:r w:rsidRPr="00AC4460">
              <w:t>.</w:t>
            </w:r>
            <w:r w:rsidRPr="00AC4460">
              <w:rPr>
                <w:b/>
                <w:i/>
              </w:rPr>
              <w:t xml:space="preserve"> Προκειμένου να διασφαλιστεί ασφάλεια δικαίου και να ενισχυθεί περαιτέρω το κίνητρο των παραγωγών για μεγαλύτερη χρήση πολύτιμων ροών αποβλήτων, η διενέργεια επιστημονικών αναλύσεων και ο καθορισμός απαιτήσεων διεργασίας σε επίπεδο Ένωσης για τα προϊόντα αυτά θα πρέπει να ξεκινήσουν αμέσως μετά την έναρξη ισχύος του παρόντος κανονισμού. Κατά συνέπεια, θα πρέπει να ανατεθεί στην Επιτροπή η εξουσία έκδοσης πράξεων σύμφωνα με το άρθρο 290 της Συνθήκης όσον αφορά τον καθορισμό, χωρίς περιττή καθυστέρηση, μεγαλύτερων ή πρόσθετων κατηγοριών συστατικών υλικών κατάλληλων για χρήση στην παραγωγή προϊόντων λίπανσης με σήμανση CE, όπως ο στρουβίτης, ο βιοξυλάνθρακας και τα προϊόντα με βάση τις τέφρες. </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20</w:t>
            </w:r>
            <w:r w:rsidRPr="00AC4460">
              <w:t xml:space="preserve"> Οδηγία 2008/98/ΕΚ του Ευρωπαϊκού Κοινοβουλίου και του Συμβουλίου για τα απόβλητα και την κατάργηση ορισμένων οδηγιών (ΕΕ L 312 της 22.11.2008, σ. 3).</w:t>
            </w:r>
          </w:p>
        </w:tc>
        <w:tc>
          <w:tcPr>
            <w:tcW w:w="4876" w:type="dxa"/>
          </w:tcPr>
          <w:p w:rsidR="00E451E4" w:rsidRPr="00AC4460" w:rsidRDefault="00E451E4" w:rsidP="000A61DD">
            <w:pPr>
              <w:pStyle w:val="Normal6"/>
              <w:rPr>
                <w:szCs w:val="24"/>
              </w:rPr>
            </w:pPr>
            <w:r w:rsidRPr="00AC4460">
              <w:rPr>
                <w:vertAlign w:val="superscript"/>
              </w:rPr>
              <w:t>20</w:t>
            </w:r>
            <w:r w:rsidRPr="00AC4460">
              <w:t xml:space="preserve"> Οδηγία 2008/98/ΕΚ του Ευρωπαϊκού Κοινοβουλίου και του Συμβουλίου για τα απόβλητα και την κατάργηση ορισμένων οδηγιών (ΕΕ L 312 της 22.11.2008, σ. 3).</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13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(13α)</w:t>
            </w:r>
            <w:r w:rsidRPr="00AC4460">
              <w:rPr>
                <w:b/>
                <w:i/>
              </w:rPr>
              <w:tab/>
              <w:t>Οι παρασκευαστές λιπασμάτων και προϊόντων για τη βελτίωση της αποδοτικότητας της θρέψης (INEP) θα πρέπει να αποδεικνύουν την αποτελεσματικότητά τους πριν από τη διάθεσή τους στην αγορά, με στόχο την εξασφάλιση υψηλού επιπέδου ποιότητας για τους καταναλωτές.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13 β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(13β)</w:t>
            </w:r>
            <w:r w:rsidRPr="00AC4460">
              <w:rPr>
                <w:b/>
                <w:i/>
              </w:rPr>
              <w:tab/>
              <w:t>Ορισμένα υποπροϊόντα, παραπροϊόντα ή ανακυκλωμένα προϊόντα της βιομηχανίας που προέρχονται από ειδικές βιομηχανικές διεργασίες χρησιμοποιούνται επί του παρόντος από τους παρασκευαστές ως συστατικό προϊόντων λίπανσης με σήμανση CE. Όσον αφορά τα συστατικά των προϊόντων λίπανσης με σήμανση CE, οι απαιτήσεις σχετικά με τις κατηγορίες συστατικών υλικών θα πρέπει να ορίζονται στον παρόντα κανονισμό. Κατά περίπτωση, από τη στιγμή που τα εν λόγω προϊόντα συμμορφώνονται με όλες τις απαιτήσεις του παρόντος κανονισμού, θα πρέπει να παύουν να θεωρούνται απόβλητα κατά την έννοια της οδηγίας 2008/98/ΕΚ.</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(14)</w:t>
            </w:r>
            <w:r w:rsidRPr="00AC4460">
              <w:tab/>
              <w:t>Ορισμένες ουσίες και μείγματα, που κοινώς καλούνται γεωπονικά πρόσθετα, βελτιώνουν τον τρόπο απελευθέρωσης των θρεπτικών ουσιών από τα λιπάσματα. Οι ουσίες και τα μείγματα που διατίθενται στην αγορά προοριζόμενα να προστεθούν σε προϊόντα λίπανσης με σήμανση CE για τον σκοπό αυτόν θα πρέπει να πληρούν ορισμένα κριτήρια απόδοσης με ευθύνη του παρασκευαστή των εν λόγω ουσιών ή μειγμάτων, και ως εκ τούτου πρέπει να θεωρούνται προϊόντα λίπανσης με σήμανση CE βάσει του παρόντος κανονισμού. Επιπλέον, τα προϊόντα λίπανσης με σήμανση CE που περιέχουν τέτοιες ουσίες ή μείγματα πρέπει να υπόκεινται σε ορισμένα κριτήρια απόδοσης και ασφάλειας. Συνεπώς, οι εν λόγω ουσίες και μείγματα θα πρέπει να ρυθμίζονται ως συστατικά υλικά για προϊόντα λίπανσης με σήμανση CE.</w:t>
            </w:r>
          </w:p>
        </w:tc>
        <w:tc>
          <w:tcPr>
            <w:tcW w:w="4876" w:type="dxa"/>
            <w:hideMark/>
          </w:tcPr>
          <w:p w:rsidR="00E451E4" w:rsidRPr="00AC4460" w:rsidRDefault="00E451E4" w:rsidP="000A61DD">
            <w:pPr>
              <w:pStyle w:val="Normal6"/>
              <w:rPr>
                <w:szCs w:val="24"/>
              </w:rPr>
            </w:pPr>
            <w:r w:rsidRPr="00AC4460">
              <w:t>(14)</w:t>
            </w:r>
            <w:r w:rsidRPr="00AC4460">
              <w:tab/>
              <w:t xml:space="preserve">Ορισμένες ουσίες και μείγματα, που κοινώς καλούνται γεωπονικά πρόσθετα, βελτιώνουν τον τρόπο απελευθέρωσης των θρεπτικών ουσιών από τα λιπάσματα. Οι ουσίες και τα μείγματα που διατίθενται στην αγορά προοριζόμενα να προστεθούν σε προϊόντα λίπανσης </w:t>
            </w:r>
            <w:r w:rsidRPr="00AC4460">
              <w:rPr>
                <w:b/>
                <w:i/>
              </w:rPr>
              <w:t xml:space="preserve">ή οργανικής λίπανσης που παράγονται σε εκμεταλλεύσεις </w:t>
            </w:r>
            <w:r w:rsidRPr="00AC4460">
              <w:t>με σήμανση CE για τον σκοπό αυτόν θα πρέπει να πληρούν ορισμένα κριτήρια απόδοσης</w:t>
            </w:r>
            <w:r w:rsidRPr="00AC4460">
              <w:rPr>
                <w:b/>
                <w:i/>
              </w:rPr>
              <w:t xml:space="preserve"> και ασφάλειας, καθώς και περιβαλλοντικά,</w:t>
            </w:r>
            <w:r w:rsidRPr="00AC4460">
              <w:t xml:space="preserve"> με ευθύνη του παρασκευαστή των εν λόγω ουσιών ή μειγμάτων, και ως εκ τούτου πρέπει να θεωρούνται προϊόντα λίπανσης με σήμανση CE βάσει του παρόντος κανονισμού. Επιπλέον, τα προϊόντα λίπανσης με σήμανση CE που περιέχουν τέτοιες ουσίες ή μείγματα πρέπει να υπόκεινται σε ορισμένα κριτήρια απόδοσης και ασφάλειας</w:t>
            </w:r>
            <w:r w:rsidRPr="00AC4460">
              <w:rPr>
                <w:b/>
                <w:i/>
              </w:rPr>
              <w:t>, καθώς και σε ορισμένα περιβαλλοντικά κριτήρια</w:t>
            </w:r>
            <w:r w:rsidRPr="00AC4460">
              <w:t>. Συνεπώς, οι εν λόγω ουσίες και μείγματα θα πρέπει να ρυθμίζονται ως συστατικά υλικά για προϊόντα λίπανσης με σήμανση CE.</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(15)</w:t>
            </w:r>
            <w:r w:rsidRPr="00AC4460">
              <w:tab/>
              <w:t>Ορισμένες ουσίες, μείγματα και μικροοργανισμοί, που κοινώς καλούνται βιοδιεγέρτες φυτών, δεν είναι θρεπτικές ουσίες τα ίδια αλλά διεγείρουν τις διεργασίες θρέψης των φυτών. Όταν τα προϊόντα αυτά αποσκοπούν αποκλειστικά στη βελτίωση της αποδοτικότητας της χρήσης των θρεπτικών ουσιών από τα φυτά, της αντοχής σε αβιοτικές καταπονήσεις</w:t>
            </w:r>
            <w:r w:rsidRPr="00AC4460">
              <w:rPr>
                <w:b/>
                <w:i/>
              </w:rPr>
              <w:t xml:space="preserve"> ή</w:t>
            </w:r>
            <w:r w:rsidRPr="00AC4460">
              <w:t xml:space="preserve"> των χαρακτηριστικών ποιότητας των καλλιεργειών, τότε είναι εκ της φύσεώς τους όμοια με προϊόντα λίπανσης μάλλον παρά με τις περισσότερες κατηγορίες φυτοπροστατευτικών προϊόντων. Τα προϊόντα αυτά θα πρέπει, συνεπώς, να είναι υποψήφια για σήμανση CE βάσει του παρόντος κανονισμού και να αποκλείονται από το πεδίο εφαρμογής του κανονισμού (ΕΚ) αριθ. 1107/2009 του Ευρωπαϊκού Κοινοβουλίου και του Συμβουλίου</w:t>
            </w:r>
            <w:r w:rsidRPr="00AC4460">
              <w:rPr>
                <w:vertAlign w:val="superscript"/>
              </w:rPr>
              <w:t>21</w:t>
            </w:r>
            <w:r w:rsidRPr="00AC4460">
              <w:t>. Συνεπώς, ο κανονισμός (ΕΚ) αριθ. 1107/2009 θα πρέπει να τροποποιηθεί αναλόγως.</w:t>
            </w:r>
          </w:p>
        </w:tc>
        <w:tc>
          <w:tcPr>
            <w:tcW w:w="4876" w:type="dxa"/>
          </w:tcPr>
          <w:p w:rsidR="00E451E4" w:rsidRPr="00AC4460" w:rsidRDefault="00E451E4" w:rsidP="000A61DD">
            <w:pPr>
              <w:pStyle w:val="Normal6"/>
              <w:rPr>
                <w:szCs w:val="24"/>
              </w:rPr>
            </w:pPr>
            <w:r w:rsidRPr="00AC4460">
              <w:t>(15)</w:t>
            </w:r>
            <w:r w:rsidRPr="00AC4460">
              <w:tab/>
              <w:t>Ορισμένες ουσίες, μείγματα και μικροοργανισμοί, που κοινώς καλούνται βιοδιεγέρτες φυτών, δεν είναι θρεπτικές ουσίες τα ίδια αλλά διεγείρουν τις διεργασίες θρέψης των φυτών. Όταν τα προϊόντα αυτά αποσκοπούν αποκλειστικά στη βελτίωση της αποδοτικότητας της χρήσης των θρεπτικών ουσιών από τα φυτά, της αντοχής σε αβιοτικές καταπονήσεις</w:t>
            </w:r>
            <w:r w:rsidRPr="00AC4460">
              <w:rPr>
                <w:b/>
                <w:i/>
              </w:rPr>
              <w:t>,</w:t>
            </w:r>
            <w:r w:rsidRPr="00AC4460">
              <w:t xml:space="preserve"> των χαρακτηριστικών ποιότητας των καλλιεργειών, </w:t>
            </w:r>
            <w:r w:rsidRPr="00AC4460">
              <w:rPr>
                <w:b/>
                <w:i/>
              </w:rPr>
              <w:t xml:space="preserve">της χουμοποίησης ή της αύξησης της διαθεσιμότητας των θρεπτικών ουσιών που συγκρατούνται στο έδαφος, </w:t>
            </w:r>
            <w:r w:rsidRPr="00AC4460">
              <w:t>τότε είναι εκ της φύσεώς τους όμοια με προϊόντα λίπανσης μάλλον παρά με τις περισσότερες κατηγορίες φυτοπροστατευτικών προϊόντων</w:t>
            </w:r>
            <w:r w:rsidRPr="00AC4460">
              <w:rPr>
                <w:b/>
                <w:i/>
              </w:rPr>
              <w:t>.</w:t>
            </w:r>
            <w:r w:rsidRPr="00AC4460">
              <w:t xml:space="preserve"> </w:t>
            </w:r>
            <w:r w:rsidRPr="00AC4460">
              <w:rPr>
                <w:b/>
                <w:i/>
              </w:rPr>
              <w:t>Ως εκ τούτου, μπορούν να δράσουν συμπληρωματικά με τα λιπάσματα, προκειμένου να μεγιστοποιηθεί η αποτελεσματικότητα των λιπασμάτων και να μειωθούν οι απαιτούμενες ποσότητες. Εκτός από το ότι αυξάνουν την ικανότητα παραγωγής, τα εν λόγω προϊόντα μπορούν να συμβάλουν στην υποστήριξη των υπηρεσιών οικοσυστημάτων και να καταστήσουν τις καλλιέργειες πιο ανθεκτικές στις επιπτώσεις της κλιματικής αλλαγής</w:t>
            </w:r>
            <w:r w:rsidRPr="00AC4460">
              <w:t>. Τα προϊόντα αυτά θα πρέπει, συνεπώς, να είναι υποψήφια για σήμανση CE βάσει του παρόντος κανονισμού και να αποκλείονται από το πεδίο εφαρμογής του κανονισμού (ΕΚ) αριθ. 1107/2009 του Ευρωπαϊκού Κοινοβουλίου και του Συμβουλίου</w:t>
            </w:r>
            <w:r w:rsidRPr="00AC4460">
              <w:rPr>
                <w:vertAlign w:val="superscript"/>
              </w:rPr>
              <w:t>21</w:t>
            </w:r>
            <w:r w:rsidRPr="00AC4460">
              <w:t>. Συνεπώς, ο κανονισμός (ΕΚ) αριθ. 1107/2009 θα πρέπει να τροποποιηθεί αναλόγως.</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21</w:t>
            </w:r>
            <w:r w:rsidRPr="00AC4460">
              <w:t xml:space="preserve">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tc>
        <w:tc>
          <w:tcPr>
            <w:tcW w:w="4876" w:type="dxa"/>
          </w:tcPr>
          <w:p w:rsidR="00E451E4" w:rsidRPr="00AC4460" w:rsidRDefault="00E451E4" w:rsidP="000A61DD">
            <w:pPr>
              <w:pStyle w:val="Normal6"/>
              <w:rPr>
                <w:szCs w:val="24"/>
              </w:rPr>
            </w:pPr>
            <w:r w:rsidRPr="00AC4460">
              <w:rPr>
                <w:vertAlign w:val="superscript"/>
              </w:rPr>
              <w:t>21</w:t>
            </w:r>
            <w:r w:rsidRPr="00AC4460">
              <w:t xml:space="preserve"> Κανονισμός (ΕΚ) αριθ. 1107/2009 του Ευρωπαϊκού Κοινοβουλίου και του Συμβουλίου, της 21ης Οκτωβρίου 2009, σχετικά με τη διάθεση φυτοπροστατευτικών προϊόντων στην αγορά και την κατάργηση των οδηγιών 79/117/ΕΟΚ και 91/414/ΕΟΚ του Συμβουλίου (ΕΕ L 309 της 24.11.2009, σ. 1).</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15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(15α)</w:t>
            </w:r>
            <w:r w:rsidRPr="00AC4460">
              <w:rPr>
                <w:b/>
                <w:i/>
              </w:rPr>
              <w:tab/>
              <w:t xml:space="preserve">Για τους μικροοργανισμούς, οι κατηγορίες συστατικών υλικών θα πρέπει να διευρύνονται ή να προστίθενται προκειμένου να διασφαλιστεί και να ενισχυθεί το δυναμικό καινοτομίας όσον αφορά την ανάπτυξη και ανακάλυψη νέων προϊόντων μικροβιακών βιοδιεγερτών φυτών. Προκειμένου να τονωθεί η καινοτομία και να δημιουργηθεί ασφάλεια δικαίου για τους παραγωγούς όσον αφορά τις απαιτήσεις που πρέπει να πληρούνται για την καταχώριση νέων μικροοργανισμών ως συστατικών για τα προϊόντα λίπανσης με σήμανση CE, πρέπει να προσδιοριστούν με σαφήνεια εναρμονισμένες μέθοδοι για την αξιολόγηση της ασφάλειας των μικροοργανισμών. Οι προπαρασκευαστικές εργασίες για τον καθορισμό αυτών των μεθόδων αξιολόγησης της ασφάλειας θα πρέπει να ξεκινήσουν αμέσως μετά την έναρξη ισχύος του παρόντος κανονισμού. Θα πρέπει να ανατεθεί στην Επιτροπή η εξουσία έκδοσης πράξεων σύμφωνα με το άρθρο 290 της Συνθήκης όσον αφορά τον καθορισμό, χωρίς καμία περιττή καθυστέρηση, των απαιτήσεων με τις οποίες πρέπει να συμμορφώνονται οι παραγωγοί όταν καταδεικνύουν την ασφάλεια των νέων μικροοργανισμών προκειμένου να καταχωριστούν για χρήση στα προϊόντα λίπανσης με σήμανση CE. </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(16)</w:t>
            </w:r>
            <w:r w:rsidRPr="00AC4460">
              <w:tab/>
              <w:t xml:space="preserve">Προϊόντα </w:t>
            </w:r>
            <w:r w:rsidRPr="00AC4460">
              <w:rPr>
                <w:b/>
                <w:i/>
              </w:rPr>
              <w:t>με</w:t>
            </w:r>
            <w:r w:rsidRPr="00AC4460">
              <w:t xml:space="preserve"> μία ή περισσότερες λειτουργίες, μία από </w:t>
            </w:r>
            <w:r w:rsidRPr="00AC4460">
              <w:rPr>
                <w:b/>
                <w:i/>
              </w:rPr>
              <w:t>τις οποίες</w:t>
            </w:r>
            <w:r w:rsidRPr="00AC4460">
              <w:t xml:space="preserve"> εμπίπτει στο πεδίο εφαρμογής του κανονισμού (ΕΚ) αριθ. 1107/2009, </w:t>
            </w:r>
            <w:r w:rsidRPr="00AC4460">
              <w:rPr>
                <w:b/>
                <w:i/>
              </w:rPr>
              <w:t>θα πρέπει να</w:t>
            </w:r>
            <w:r w:rsidRPr="00AC4460">
              <w:t xml:space="preserve"> παραμένουν υπό καθεστώς ελέγχου ειδικά σχεδιασμένου για τέτοια προϊόντα όπως προβλέπεται από τον εν λόγω κανονισμό. Όταν ένα τέτοιο προϊόν λειτουργεί επιπλέον και ως προϊόν λίπανσης, θα ήταν παραπλανητικό να προβλέπεται η σήμανση CE του προϊόντος σύμφωνα με τον παρόντα κανονισμό, αφού η διάθεση ενός φυτοπροστατευτικού προϊόντος στην αγορά εξαρτάται από την ύπαρξη έγκυρης άδειας για το προϊόν στο εκάστοτε κράτος μέλος. Συνεπώς, τέτοια προϊόντα θα πρέπει να εξαιρούνται από το πεδίο εφαρμογής του παρόντος κανονισμού.</w:t>
            </w:r>
          </w:p>
        </w:tc>
        <w:tc>
          <w:tcPr>
            <w:tcW w:w="4876" w:type="dxa"/>
            <w:hideMark/>
          </w:tcPr>
          <w:p w:rsidR="00E451E4" w:rsidRPr="00AC4460" w:rsidRDefault="00E451E4" w:rsidP="000A61DD">
            <w:pPr>
              <w:pStyle w:val="Normal6"/>
              <w:rPr>
                <w:szCs w:val="24"/>
              </w:rPr>
            </w:pPr>
            <w:r w:rsidRPr="00AC4460">
              <w:t>(16)</w:t>
            </w:r>
            <w:r w:rsidRPr="00AC4460">
              <w:tab/>
              <w:t xml:space="preserve">Προϊόντα </w:t>
            </w:r>
            <w:r w:rsidRPr="00AC4460">
              <w:rPr>
                <w:b/>
                <w:i/>
              </w:rPr>
              <w:t>που διατίθενται στην αγορά και η προβλεπόμενη χρήση τους αφορά</w:t>
            </w:r>
            <w:r w:rsidRPr="00AC4460">
              <w:t xml:space="preserve"> μία ή περισσότερες λειτουργίες, </w:t>
            </w:r>
            <w:r w:rsidRPr="00AC4460">
              <w:rPr>
                <w:b/>
                <w:i/>
              </w:rPr>
              <w:t xml:space="preserve">και τουλάχιστον </w:t>
            </w:r>
            <w:r w:rsidRPr="00AC4460">
              <w:t xml:space="preserve">μία από </w:t>
            </w:r>
            <w:r w:rsidRPr="00AC4460">
              <w:rPr>
                <w:b/>
                <w:i/>
              </w:rPr>
              <w:t>αυτές</w:t>
            </w:r>
            <w:r w:rsidRPr="00AC4460">
              <w:t xml:space="preserve"> εμπίπτει στο πεδίο εφαρμογής του κανονισμού (ΕΚ) αριθ. 1107/2009, </w:t>
            </w:r>
            <w:r w:rsidRPr="00AC4460">
              <w:rPr>
                <w:b/>
                <w:i/>
              </w:rPr>
              <w:t>είναι φυτοπροστατευτικά προϊόντα και</w:t>
            </w:r>
            <w:r w:rsidRPr="00AC4460">
              <w:t xml:space="preserve"> παραμένουν υπό καθεστώς ελέγχου ειδικά σχεδιασμένου για τέτοια προϊόντα όπως προβλέπεται από τον εν λόγω κανονισμό. Όταν ένα τέτοιο προϊόν λειτουργεί επιπλέον και ως προϊόν λίπανσης, θα ήταν παραπλανητικό να προβλέπεται η σήμανση CE του προϊόντος σύμφωνα με τον παρόντα κανονισμό, αφού η διάθεση ενός φυτοπροστατευτικού προϊόντος στην αγορά εξαρτάται από την ύπαρξη έγκυρης άδειας για το προϊόν στο εκάστοτε κράτος μέλος. Συνεπώς, τέτοια προϊόντα θα πρέπει να εξαιρούνται από το πεδίο εφαρμογής του παρόντος κανονισμού. </w:t>
            </w:r>
            <w:r w:rsidRPr="00AC4460">
              <w:rPr>
                <w:b/>
                <w:i/>
              </w:rPr>
              <w:t>Προϊόντα που περιέχουν συστατικά που είναι καταχωρισμένα σύμφωνα με τον κανονισμό (ΕΚ) αριθ. 1107/2009 είναι δυνατό να έχουν μία ή περισσότερες λειτουργίες λίπανσης και, ως εκ τούτου, να καλύπτονται από το πεδίο εφαρμογής του παρόντος κανονισμού.</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Στην παρούσα τροπολογία γίνεται η σημαντική διάκριση μεταξύ των προϊόντων και των μεμονωμένων συστατικών, δεδομένου ότι υπάρχει μεγάλη σύγχυση στο θέμα αυτό και έχει καίρια σημασία η σωστή ισορροπία μεταξύ των ακόλουθων παραμέτρων: σαφής οριοθέτηση, διευκόλυνση της καινοτομίας και μέριμνα ώστε η νομοθεσία για την προστασία των φυτών να μην απαγορεύει τη χρήση οποιασδήποτε ουσίας είναι καταχωρισμένη σύμφωνα με τον κανονισμό (ΕΚ) 1107/2009 για οποιονδήποτε άλλο σκοπό.</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(17)</w:t>
            </w:r>
            <w:r w:rsidRPr="00AC4460">
              <w:tab/>
              <w:t>Ο παρών κανονισμός δεν θα πρέπει να εμποδίζει την εφαρμογή της υφιστάμενης ενωσιακής νομοθεσίας σχετικά με πτυχές της προστασίας της υγείας, της ασφάλειας και του περιβάλλοντος που δεν καλύπτονται από τον παρόντα κανονισμό. Ως εκ τούτου, ο παρών κανονισμός θα πρέπει να ισχύει με την επιφύλαξη της οδηγίας 86/278/ΕΟΚ</w:t>
            </w:r>
            <w:r w:rsidRPr="00AC4460">
              <w:rPr>
                <w:vertAlign w:val="superscript"/>
              </w:rPr>
              <w:t>22</w:t>
            </w:r>
            <w:r w:rsidRPr="00AC4460">
              <w:t xml:space="preserve"> του Συμβουλίου, της οδηγίας 89/391/ΕΟΚ</w:t>
            </w:r>
            <w:r w:rsidRPr="00AC4460">
              <w:rPr>
                <w:vertAlign w:val="superscript"/>
              </w:rPr>
              <w:t>23</w:t>
            </w:r>
            <w:r w:rsidRPr="00AC4460">
              <w:t xml:space="preserve"> του Συμβουλίου, του κανονισμού (ΕΚ) αριθ. 1907/2006 του Ευρωπαϊκού Κοινοβουλίου και του Συμβουλίου</w:t>
            </w:r>
            <w:r w:rsidRPr="00AC4460">
              <w:rPr>
                <w:vertAlign w:val="superscript"/>
              </w:rPr>
              <w:t>24</w:t>
            </w:r>
            <w:r w:rsidRPr="00AC4460">
              <w:t>, του κανονισμού (ΕΚ) αριθ. 1272/2008 του Ευρωπαϊκού Κοινοβουλίου και του Συμβουλίου</w:t>
            </w:r>
            <w:r w:rsidRPr="00AC4460">
              <w:rPr>
                <w:vertAlign w:val="superscript"/>
              </w:rPr>
              <w:t>25</w:t>
            </w:r>
            <w:r w:rsidRPr="00AC4460">
              <w:t>, του κανονισμού (ΕΚ) αριθ. 1881/2006</w:t>
            </w:r>
            <w:r w:rsidRPr="00AC4460">
              <w:rPr>
                <w:vertAlign w:val="superscript"/>
              </w:rPr>
              <w:t>26</w:t>
            </w:r>
            <w:r w:rsidRPr="00AC4460">
              <w:t>της Επιτροπής, της οδηγίας 2000/29/ΕΚ</w:t>
            </w:r>
            <w:r w:rsidRPr="00AC4460">
              <w:rPr>
                <w:vertAlign w:val="superscript"/>
              </w:rPr>
              <w:t>27</w:t>
            </w:r>
            <w:r w:rsidRPr="00AC4460">
              <w:t>του Συμβουλίου, του κανονισμού (ΕΚ) αριθ. 98/2013 του Ευρωπαϊκού Κοινοβουλίου και του Συμβουλίου</w:t>
            </w:r>
            <w:r w:rsidRPr="00AC4460">
              <w:rPr>
                <w:vertAlign w:val="superscript"/>
              </w:rPr>
              <w:t>28</w:t>
            </w:r>
            <w:r w:rsidRPr="00AC4460">
              <w:t xml:space="preserve"> και του κανονισμού (ΕΕ) αριθ. 1143/2014 του Ευρωπαϊκού Κοινοβουλίου και του Συμβουλίου</w:t>
            </w:r>
            <w:r w:rsidRPr="00AC4460">
              <w:rPr>
                <w:vertAlign w:val="superscript"/>
              </w:rPr>
              <w:t>29</w:t>
            </w:r>
            <w:r w:rsidRPr="00AC4460">
              <w:t>.</w:t>
            </w:r>
          </w:p>
        </w:tc>
        <w:tc>
          <w:tcPr>
            <w:tcW w:w="4876" w:type="dxa"/>
            <w:hideMark/>
          </w:tcPr>
          <w:p w:rsidR="00E451E4" w:rsidRPr="00AC4460" w:rsidRDefault="00E451E4" w:rsidP="000A61DD">
            <w:pPr>
              <w:pStyle w:val="Normal6"/>
              <w:rPr>
                <w:szCs w:val="24"/>
              </w:rPr>
            </w:pPr>
            <w:r w:rsidRPr="00AC4460">
              <w:t>(17)</w:t>
            </w:r>
            <w:r w:rsidRPr="00AC4460">
              <w:tab/>
              <w:t>Ο παρών κανονισμός δεν θα πρέπει να εμποδίζει την εφαρμογή της υφιστάμενης ενωσιακής νομοθεσίας σχετικά με πτυχές της προστασίας της υγείας, της ασφάλειας και του περιβάλλοντος που δεν καλύπτονται από τον παρόντα κανονισμό. Ως εκ τούτου, ο παρών κανονισμός θα πρέπει να ισχύει με την επιφύλαξη της οδηγίας 86/278/ΕΟΚ</w:t>
            </w:r>
            <w:r w:rsidRPr="00AC4460">
              <w:rPr>
                <w:vertAlign w:val="superscript"/>
              </w:rPr>
              <w:t>22</w:t>
            </w:r>
            <w:r w:rsidRPr="00AC4460">
              <w:t xml:space="preserve"> του Συμβουλίου, της οδηγίας </w:t>
            </w:r>
            <w:r w:rsidRPr="00AC4460">
              <w:rPr>
                <w:b/>
                <w:i/>
              </w:rPr>
              <w:t>91/676/ΕΟΚ</w:t>
            </w:r>
            <w:r w:rsidRPr="00AC4460">
              <w:rPr>
                <w:b/>
                <w:i/>
                <w:vertAlign w:val="superscript"/>
              </w:rPr>
              <w:t>22α</w:t>
            </w:r>
            <w:r w:rsidRPr="00AC4460">
              <w:rPr>
                <w:b/>
                <w:i/>
              </w:rPr>
              <w:t xml:space="preserve"> του Συμβουλίου, της οδηγίας 2000/60/ΕΚ</w:t>
            </w:r>
            <w:r w:rsidRPr="00AC4460">
              <w:rPr>
                <w:b/>
                <w:i/>
                <w:vertAlign w:val="superscript"/>
              </w:rPr>
              <w:t>22β</w:t>
            </w:r>
            <w:r w:rsidRPr="00AC4460">
              <w:rPr>
                <w:b/>
                <w:i/>
              </w:rPr>
              <w:t xml:space="preserve"> του Συμβουλίου, της οδηγίας </w:t>
            </w:r>
            <w:r w:rsidRPr="00AC4460">
              <w:t>89/391/ΕΟΚ</w:t>
            </w:r>
            <w:r w:rsidRPr="00AC4460">
              <w:rPr>
                <w:vertAlign w:val="superscript"/>
              </w:rPr>
              <w:t>23</w:t>
            </w:r>
            <w:r w:rsidRPr="00AC4460">
              <w:t xml:space="preserve"> του Συμβουλίου, του κανονισμού (ΕΚ) αριθ. 1907/2006 του Ευρωπαϊκού Κοινοβουλίου και του Συμβουλίου</w:t>
            </w:r>
            <w:r w:rsidRPr="00AC4460">
              <w:rPr>
                <w:vertAlign w:val="superscript"/>
              </w:rPr>
              <w:t>24</w:t>
            </w:r>
            <w:r w:rsidRPr="00AC4460">
              <w:t>, του κανονισμού (ΕΚ) αριθ. 1272/2008 του Ευρωπαϊκού Κοινοβουλίου και του Συμβουλίου</w:t>
            </w:r>
            <w:r w:rsidRPr="00AC4460">
              <w:rPr>
                <w:vertAlign w:val="superscript"/>
              </w:rPr>
              <w:t>25</w:t>
            </w:r>
            <w:r w:rsidRPr="00AC4460">
              <w:t>, του κανονισμού (ΕΚ) αριθ. 1881/2006</w:t>
            </w:r>
            <w:r w:rsidRPr="00AC4460">
              <w:rPr>
                <w:vertAlign w:val="superscript"/>
              </w:rPr>
              <w:t>26</w:t>
            </w:r>
            <w:r w:rsidRPr="00AC4460">
              <w:t>της Επιτροπής, της οδηγίας 2000/29/ΕΚ</w:t>
            </w:r>
            <w:r w:rsidRPr="00AC4460">
              <w:rPr>
                <w:vertAlign w:val="superscript"/>
              </w:rPr>
              <w:t>27</w:t>
            </w:r>
            <w:r w:rsidRPr="00AC4460">
              <w:t>του Συμβουλίου, του κανονισμού (ΕΚ) αριθ. 98/2013 του Ευρωπαϊκού Κοινοβουλίου και του Συμβουλίου</w:t>
            </w:r>
            <w:r w:rsidRPr="00AC4460">
              <w:rPr>
                <w:vertAlign w:val="superscript"/>
              </w:rPr>
              <w:t>28</w:t>
            </w:r>
            <w:r w:rsidRPr="00AC4460">
              <w:t xml:space="preserve"> και του κανονισμού (ΕΕ) αριθ. 1143/2014 του Ευρωπαϊκού Κοινοβουλίου και του Συμβουλίου</w:t>
            </w:r>
            <w:r w:rsidRPr="00AC4460">
              <w:rPr>
                <w:vertAlign w:val="superscript"/>
              </w:rPr>
              <w:t>29</w:t>
            </w:r>
            <w:r w:rsidRPr="00AC4460">
              <w:rPr>
                <w:b/>
                <w:i/>
              </w:rPr>
              <w:t xml:space="preserve"> και του κανονισμού (ΕΚ) αριθ. 834/2007</w:t>
            </w:r>
            <w:r w:rsidRPr="00AC4460">
              <w:rPr>
                <w:b/>
                <w:i/>
                <w:vertAlign w:val="superscript"/>
              </w:rPr>
              <w:t>29α</w:t>
            </w:r>
            <w:r w:rsidRPr="00AC4460">
              <w:t>.</w:t>
            </w:r>
          </w:p>
        </w:tc>
      </w:tr>
      <w:tr w:rsidR="00E451E4" w:rsidRPr="00CB12FD"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22</w:t>
            </w:r>
            <w:r w:rsidRPr="00AC4460">
              <w:t xml:space="preserve"> 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 (ΕΕ L 181 της 4.7.1986, σ. 6).</w:t>
            </w:r>
          </w:p>
        </w:tc>
        <w:tc>
          <w:tcPr>
            <w:tcW w:w="4876" w:type="dxa"/>
            <w:hideMark/>
          </w:tcPr>
          <w:p w:rsidR="00E451E4" w:rsidRPr="00AC4460" w:rsidRDefault="00E451E4" w:rsidP="000A61DD">
            <w:pPr>
              <w:pStyle w:val="Normal6"/>
              <w:rPr>
                <w:szCs w:val="24"/>
              </w:rPr>
            </w:pPr>
            <w:r w:rsidRPr="00AC4460">
              <w:rPr>
                <w:vertAlign w:val="superscript"/>
              </w:rPr>
              <w:t>22</w:t>
            </w:r>
            <w:r w:rsidRPr="00AC4460">
              <w:t xml:space="preserve"> Οδηγία 86/278/ΕΟΚ του Συμβουλίου, της 12ης Ιουνίου 1986, σχετικά με την προστασία του περιβάλλοντος και ιδίως του εδάφους κατά τη χρησιμοποίηση της ιλύος καθαρισμού λυμάτων στη γεωργία (ΕΕ L 181 της 4.7.1986, σ. 6).</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22α</w:t>
            </w:r>
            <w:r w:rsidRPr="00AC4460">
              <w:rPr>
                <w:b/>
                <w:i/>
              </w:rPr>
              <w:t xml:space="preserve"> Οδηγία 91/676/ΕΟΚ του Συμβουλίου της 12ης Δεκεμβρίου 1991 για την προστασία των υδάτων από τη νιτρορύπανση γεωργικής προέλευσης (ΕΕ L 375 της 31.12.1991, σ. 1) </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22β</w:t>
            </w:r>
            <w:r w:rsidRPr="00AC4460">
              <w:t xml:space="preserve"> </w:t>
            </w:r>
            <w:r w:rsidRPr="00AC4460">
              <w:rPr>
                <w:b/>
                <w:i/>
              </w:rPr>
              <w:t xml:space="preserve">Οδηγία 2000/60/ΕΚ του Ευρωπαϊκού Κοινοβουλίου και του Συμβουλίου της 23ης Οκτωβρίου 2000 για τη θέσπιση πλαισίου κοινοτικής δράσης στον τομέα της πολιτικής των υδάτων (ΕΕ L 327 της 22.12.2000, σ. 1). </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23</w:t>
            </w:r>
            <w:r w:rsidRPr="00AC4460">
              <w:t xml:space="preserve"> 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w:t>
            </w:r>
          </w:p>
        </w:tc>
        <w:tc>
          <w:tcPr>
            <w:tcW w:w="4876" w:type="dxa"/>
            <w:hideMark/>
          </w:tcPr>
          <w:p w:rsidR="00E451E4" w:rsidRPr="00AC4460" w:rsidRDefault="00E451E4" w:rsidP="000A61DD">
            <w:pPr>
              <w:pStyle w:val="Normal6"/>
              <w:rPr>
                <w:szCs w:val="24"/>
              </w:rPr>
            </w:pPr>
            <w:r w:rsidRPr="00AC4460">
              <w:rPr>
                <w:vertAlign w:val="superscript"/>
              </w:rPr>
              <w:t>23</w:t>
            </w:r>
            <w:r w:rsidRPr="00AC4460">
              <w:t xml:space="preserve"> 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24</w:t>
            </w:r>
            <w:r w:rsidRPr="00AC4460">
              <w:t xml:space="preserve">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w:t>
            </w:r>
          </w:p>
        </w:tc>
        <w:tc>
          <w:tcPr>
            <w:tcW w:w="4876" w:type="dxa"/>
            <w:hideMark/>
          </w:tcPr>
          <w:p w:rsidR="00E451E4" w:rsidRPr="00AC4460" w:rsidRDefault="00E451E4" w:rsidP="000A61DD">
            <w:pPr>
              <w:pStyle w:val="Normal6"/>
              <w:rPr>
                <w:szCs w:val="24"/>
              </w:rPr>
            </w:pPr>
            <w:r w:rsidRPr="00AC4460">
              <w:rPr>
                <w:vertAlign w:val="superscript"/>
              </w:rPr>
              <w:t>24</w:t>
            </w:r>
            <w:r w:rsidRPr="00AC4460">
              <w:t xml:space="preserve">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(ΕΕ L 396 της 30.12.2006, σ. 1).</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25</w:t>
            </w:r>
            <w:r w:rsidRPr="00AC4460">
              <w:t xml:space="preserve"> 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tc>
        <w:tc>
          <w:tcPr>
            <w:tcW w:w="4876" w:type="dxa"/>
            <w:hideMark/>
          </w:tcPr>
          <w:p w:rsidR="00E451E4" w:rsidRPr="00AC4460" w:rsidRDefault="00E451E4" w:rsidP="000A61DD">
            <w:pPr>
              <w:pStyle w:val="Normal6"/>
              <w:rPr>
                <w:szCs w:val="24"/>
              </w:rPr>
            </w:pPr>
            <w:r w:rsidRPr="00AC4460">
              <w:rPr>
                <w:vertAlign w:val="superscript"/>
              </w:rPr>
              <w:t>25</w:t>
            </w:r>
            <w:r w:rsidRPr="00AC4460">
              <w:t xml:space="preserve"> 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26</w:t>
            </w:r>
            <w:r w:rsidRPr="00AC4460">
              <w:t xml:space="preserve">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 (ΕΕ L 364 της 20.12.2006, σ. 5).</w:t>
            </w:r>
          </w:p>
        </w:tc>
        <w:tc>
          <w:tcPr>
            <w:tcW w:w="4876" w:type="dxa"/>
            <w:hideMark/>
          </w:tcPr>
          <w:p w:rsidR="00E451E4" w:rsidRPr="00AC4460" w:rsidRDefault="00E451E4" w:rsidP="000A61DD">
            <w:pPr>
              <w:pStyle w:val="Normal6"/>
              <w:rPr>
                <w:szCs w:val="24"/>
              </w:rPr>
            </w:pPr>
            <w:r w:rsidRPr="00AC4460">
              <w:rPr>
                <w:vertAlign w:val="superscript"/>
              </w:rPr>
              <w:t>26</w:t>
            </w:r>
            <w:r w:rsidRPr="00AC4460">
              <w:t xml:space="preserve"> 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 (ΕΕ L 364 της 20.12.2006, σ. 5).</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27</w:t>
            </w:r>
            <w:r w:rsidRPr="00AC4460">
              <w:t xml:space="preserve"> Οδηγία 2000/29/ΕΚ του Συμβουλίου, της 8ης Μαΐου 2000, περί των μέτρων προστασίας κατά της εισαγωγής στην Κοινότητα οργανισμών επιβλαβών για τα φυτά ή τα φυτικά προϊόντα και κατά της εξάπλωσής τους στο εσωτερικό της Κοινότητας (ΕΕ L 169 της 10.7.2000, σ. 1).</w:t>
            </w:r>
          </w:p>
        </w:tc>
        <w:tc>
          <w:tcPr>
            <w:tcW w:w="4876" w:type="dxa"/>
            <w:hideMark/>
          </w:tcPr>
          <w:p w:rsidR="00E451E4" w:rsidRPr="00AC4460" w:rsidRDefault="00E451E4" w:rsidP="000A61DD">
            <w:pPr>
              <w:pStyle w:val="Normal6"/>
              <w:rPr>
                <w:szCs w:val="24"/>
              </w:rPr>
            </w:pPr>
            <w:r w:rsidRPr="00AC4460">
              <w:rPr>
                <w:vertAlign w:val="superscript"/>
              </w:rPr>
              <w:t>27</w:t>
            </w:r>
            <w:r w:rsidRPr="00AC4460">
              <w:t xml:space="preserve"> Οδηγία 2000/29/ΕΚ του Συμβουλίου, της 8ης Μαΐου 2000, περί των μέτρων προστασίας κατά της εισαγωγής στην Κοινότητα οργανισμών επιβλαβών για τα φυτά ή τα φυτικά προϊόντα και κατά της εξάπλωσής τους στο εσωτερικό της Κοινότητας (ΕΕ L 169 της 10.7.2000, σ. 1).</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28</w:t>
            </w:r>
            <w:r w:rsidRPr="00AC4460">
              <w:t xml:space="preserve"> Κανονισμός (ΕΕ) αριθ. 98/2013 του Ευρωπαϊκού Κοινοβουλίου και του Συμβουλίου, της 15ης Ιανουαρίου 2013, σχετικά με την κυκλοφορία στην αγορά και τη χρήση πρόδρομων ουσιών εκρηκτικών υλών (ΕΕ L 39 της 9.2.2013, σ. 1).</w:t>
            </w:r>
          </w:p>
        </w:tc>
        <w:tc>
          <w:tcPr>
            <w:tcW w:w="4876" w:type="dxa"/>
            <w:hideMark/>
          </w:tcPr>
          <w:p w:rsidR="00E451E4" w:rsidRPr="00AC4460" w:rsidRDefault="00E451E4" w:rsidP="000A61DD">
            <w:pPr>
              <w:pStyle w:val="Normal6"/>
              <w:rPr>
                <w:szCs w:val="24"/>
              </w:rPr>
            </w:pPr>
            <w:r w:rsidRPr="00AC4460">
              <w:rPr>
                <w:vertAlign w:val="superscript"/>
              </w:rPr>
              <w:t>28</w:t>
            </w:r>
            <w:r w:rsidRPr="00AC4460">
              <w:t xml:space="preserve"> Κανονισμός (ΕΕ) αριθ. 98/2013 του Ευρωπαϊκού Κοινοβουλίου και του Συμβουλίου, της 15ης Ιανουαρίου 2013, σχετικά με την κυκλοφορία στην αγορά και τη χρήση πρόδρομων ουσιών εκρηκτικών υλών (ΕΕ L 39 της 9.2.2013, σ. 1).</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29</w:t>
            </w:r>
            <w:r w:rsidRPr="00AC4460">
              <w:t xml:space="preserve">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tc>
        <w:tc>
          <w:tcPr>
            <w:tcW w:w="4876" w:type="dxa"/>
            <w:hideMark/>
          </w:tcPr>
          <w:p w:rsidR="00E451E4" w:rsidRPr="00AC4460" w:rsidRDefault="00E451E4" w:rsidP="000A61DD">
            <w:pPr>
              <w:pStyle w:val="Normal6"/>
              <w:rPr>
                <w:szCs w:val="24"/>
              </w:rPr>
            </w:pPr>
            <w:r w:rsidRPr="00AC4460">
              <w:rPr>
                <w:vertAlign w:val="superscript"/>
              </w:rPr>
              <w:t>29</w:t>
            </w:r>
            <w:r w:rsidRPr="00AC4460">
              <w:t xml:space="preserve">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 (ΕΕ L 317 της 4.11.2014, σ. 35).</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29α</w:t>
            </w:r>
            <w:r w:rsidRPr="00AC4460">
              <w:rPr>
                <w:b/>
                <w:i/>
              </w:rPr>
              <w:t xml:space="preserve"> Κανονισμός (ΕΚ) αριθ. 834/2007 του Συμβουλίου, της 28ης Ιουνίου 2007, για τη βιολογική παραγωγή και την επισήμανση των βιολογικών προϊόντων (ΕΕ L 189 της 20.7.2007, σ. 1).</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17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(17α)</w:t>
            </w:r>
            <w:r w:rsidRPr="00AC4460">
              <w:rPr>
                <w:b/>
                <w:i/>
              </w:rPr>
              <w:tab/>
              <w:t>Τα προϊόντα λίπανσης που φέρουν σήμανση CE σύμφωνα με τον παρόντα κανονισμό θα πρέπει να τυγχάνουν ίσης μεταχείρισης και να μην υφίστανται αδικαιολόγητες διακρίσεις από κανόνες που έχουν θεσπιστεί σε άλλες νομοθετικές διατάξεις της Ένωσης. Προκειμένου να ενισχυθεί το κίνητρο χρήσης προϊόντων λίπανσης από ανακυκλωμένα και οργανικά υλικά, θα πρέπει να εφαρμόζονται τεχνολογικά ουδέτεροι κανόνες προκειμένου να εξασφαλιστεί νομική σαφήνεια για τους παραγωγούς που επενδύουν στην παραγωγή καινοτόμων προϊόντων λίπανσης και να διασφαλιστεί ο θεμιτός ανταγωνισμός μεταξύ των διαφόρων κατηγοριών προϊόντων λίπανσης. Εφόσον τα προϊόντα λίπανσης που περιέχουν ή αποτελούνται από επεξεργασμένη ζωική κόπρο είναι επαρκώς αποδοτικά από γεωπονική άποψη ούτως ώστε να εξυπηρετούν τους περιβαλλοντικούς στόχους της οδηγίας 91/676/ΕΟΚ</w:t>
            </w:r>
            <w:r w:rsidRPr="00AC4460">
              <w:rPr>
                <w:b/>
                <w:i/>
                <w:vertAlign w:val="superscript"/>
              </w:rPr>
              <w:t>1α</w:t>
            </w:r>
            <w:r w:rsidRPr="00AC4460">
              <w:rPr>
                <w:b/>
                <w:i/>
              </w:rPr>
              <w:t xml:space="preserve"> και αυτή η αποδοτικότητα αποδεικνύεται με τεχνική τεκμηρίωση η οποία ελέγχεται από τους μηχανισμούς που προβλέπονται στον παρόντα κανονισμό, θα ήταν αδικαιολόγητος ο περιορισμός της διασποράς αυτών των προϊόντων λίπανσης κάτω από τα όρια διασποράς των αζωτούχων ενώσεων από ζωική κόπρο που έχουν καθοριστεί σύμφωνα με την οδηγία 91/676/ΕΟΚ. Ως εκ τούτου, η οδηγία 91/676/ΕΟΚ θα πρέπει να τροποποιηθεί προκειμένου να αποφευχθούν οι διακρίσεις εις βάρος των προϊόντων που περιέχουν ή αποτελούνται από επεξεργασμένη ζωική κόπρο.</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__________________</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vertAlign w:val="superscript"/>
              </w:rPr>
              <w:t>1α</w:t>
            </w:r>
            <w:r w:rsidRPr="00AC4460">
              <w:rPr>
                <w:b/>
                <w:i/>
              </w:rPr>
              <w:t xml:space="preserve"> Οδηγία 91/676/ΕΟΚ του Συμβουλίου της 12ης Δεκεμβρίου 1991 για την προστασία των υδάτων από τη νιτρορύπανση γεωργικής προέλευσης (ΕΕ L 375 της 31.12.1991, σ. 1)</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17 β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(17β)</w:t>
            </w:r>
            <w:r w:rsidRPr="00AC4460">
              <w:tab/>
            </w:r>
            <w:r w:rsidRPr="00AC4460">
              <w:rPr>
                <w:b/>
                <w:i/>
              </w:rPr>
              <w:t>Θα πρέπει να εξασφαλιστεί η ιχνηλασιμότητα προϊόντων ευάλωτων σε οργανικές προσμείξεις από συγκεκριμένες δυνητικές προβληματικές πηγές (ή που θεωρούνται τέτοιες), έως και την πηγή της οργανικής ύλης. Αυτό είναι αναγκαίο: α) για την εξασφάλιση της εμπιστοσύνης των καταναλωτών και β) για τον περιορισμό των βλαβών, σε περίπτωση τοπικής μόλυνσης. Έτσι, είναι εφικτός ο εντοπισμός των επιχειρήσεων που χρησιμοποιούν λιπάσματα τα οποία περιέχουν οργανικά υλικά από αυτές τις πηγές. Αυτό θα πρέπει να είναι υποχρεωτικό για προϊόντα που περιέχουν υλικά από απόβλητα ή υποπροϊόντα τα οποία δεν έχουν υποβληθεί σε καμία διεργασία για την καταστροφή οργανικών επιμείξεων, παθογόνων οργανισμών και γενετικού υλικού. Στόχος είναι όχι μόνον ο περιορισμός των κινδύνων για την υγεία και το περιβάλλον, αλλά και η ενημέρωση της κοινής γνώμης και η αντιμετώπιση της ανησυχίας των γεωργών σχετικά με τους παθογόνους οργανισμούς, τις οργανικές προσμείξεις και το γενετικό υλικό. Για την προστασία των ιδιοκτητών γης από ρύπανση για την οποία δεν ευθύνονται οι ίδιοι, τα κράτη μέλη καλούνται να θεσπίσουν κατάλληλες ρυθμίσεις όσον αφορά την ευθύνη.</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17 γ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(17γ)</w:t>
            </w:r>
            <w:r w:rsidRPr="00AC4460">
              <w:tab/>
            </w:r>
            <w:r w:rsidRPr="00AC4460">
              <w:rPr>
                <w:b/>
                <w:i/>
              </w:rPr>
              <w:t>Τα μη επεξεργασμένα υποπροϊόντα της ζωικής παραγωγής δεν θα πρέπει να υπάγονται στον παρόντα κανονισμό.</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(18)</w:t>
            </w:r>
            <w:r w:rsidRPr="00AC4460">
              <w:tab/>
              <w:t xml:space="preserve">Όταν ένα προϊόν λίπανσης με σήμανση CE περιέχει ουσία ή μείγμα κατά την έννοια του κανονισμού (ΕΚ) αριθ. 1907/2006, η ασφάλεια των συστατικών ουσιών του για την προβλεπόμενη χρήση θα πρέπει να βεβαιωθεί μέσω καταχώρισης σύμφωνα με τον εν λόγω κανονισμό. </w:t>
            </w:r>
            <w:r w:rsidRPr="00AC4460">
              <w:rPr>
                <w:b/>
                <w:i/>
              </w:rPr>
              <w:t>Οι απαιτήσεις πληροφόρησης θα πρέπει να διασφαλίζουν ότι η ασφάλεια της προβλεπόμενης χρήσης του προϊόντος λίπανσης με σήμανση CE καταδεικνύεται με τρόπο συγκρίσιμο με εκείνον που επιτυγχάνεται μέσω άλλων κανονιστικών καθεστώτων για τα προϊόντα που προορίζονται για χρήση σε καλλιεργήσιμα εδάφη ή σε καλλιέργειες, και ιδίως μέσω της εθνικής νομοθεσίας των κρατών μελών για τα λιπάσματα και του κανονισμού (ΕΚ) αριθ. 1107/2009. Συνεπώς, όταν οι πραγματικές ποσότητες που τίθενται σε κυκλοφορία είναι χαμηλότερες από 10 τόνους ανά εταιρεία ανά έτος, οι απαιτήσεις πληροφόρησης που καθορίζονται στον κανονισμό (ΕΚ) αριθ. 1907/2006 για την καταχώριση ουσιών σε ποσότητες μεταξύ 10 και 100 τόνων θα πρέπει κατ’ εξαίρεση να εφαρμόζονται ως προϋπόθεση για τη διάθεση του προϊόντος σύμφωνα με τον παρόντα κανονισμό.</w:t>
            </w:r>
          </w:p>
        </w:tc>
        <w:tc>
          <w:tcPr>
            <w:tcW w:w="4876" w:type="dxa"/>
            <w:hideMark/>
          </w:tcPr>
          <w:p w:rsidR="00E451E4" w:rsidRPr="00AC4460" w:rsidRDefault="00E451E4" w:rsidP="000A61DD">
            <w:pPr>
              <w:pStyle w:val="Normal6"/>
              <w:rPr>
                <w:szCs w:val="24"/>
              </w:rPr>
            </w:pPr>
            <w:r w:rsidRPr="00AC4460">
              <w:t>(18)</w:t>
            </w:r>
            <w:r w:rsidRPr="00AC4460">
              <w:tab/>
              <w:t>Όταν ένα προϊόν λίπανσης με σήμανση CE περιέχει ουσία ή μείγμα κατά την έννοια του κανονισμού (ΕΚ) αριθ. 1907/2006, η ασφάλεια των συστατικών ουσιών του για την προβλεπόμενη χρήση θα πρέπει να βεβαιωθεί μέσω καταχώρισης σύμφωνα με τον εν λόγω κανονισμό.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18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(18α)</w:t>
            </w:r>
            <w:r w:rsidRPr="00AC4460">
              <w:rPr>
                <w:b/>
                <w:i/>
              </w:rPr>
              <w:tab/>
              <w:t>Παρότι τα χωνεύματα δεν θα πρέπει να υπόκεινται σε καταχώριση σύμφωνα με τον κανονισμό (ΕΚ) αριθ. 1907/2006, αυτό δεν είναι εντελώς σαφές από τη διατύπωση του παραρτήματος V του εν λόγω κανονισμού. Απαιτείται συνεπώς η αναθεώρηση του παραρτήματος αυτού προκειμένου να κωδικοποιηθεί η τρέχουσα πρακτική εφαρμογής.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55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(55)</w:t>
            </w:r>
            <w:r w:rsidRPr="00AC4460">
              <w:tab/>
              <w:t xml:space="preserve">Σημειώνεται ελπιδοφόρος τεχνολογική πρόοδος στον τομέα της ανακύκλωσης των αποβλήτων, όπως η ανακύκλωση φωσφόρου από λυματολάσπη, </w:t>
            </w:r>
            <w:r w:rsidRPr="00AC4460">
              <w:rPr>
                <w:b/>
                <w:i/>
              </w:rPr>
              <w:t>και</w:t>
            </w:r>
            <w:r w:rsidRPr="00AC4460">
              <w:t xml:space="preserve"> της παραγωγής προϊόντων από ζωικά υποπροϊόντα, όπως ο βιοξυλάνθρακας. Τα προϊόντα που περιέχουν ή που αποτελούνται από τέτοια υλικά θα πρέπει να έχουν πρόσβαση στην εσωτερική αγορά</w:t>
            </w:r>
            <w:r w:rsidRPr="00AC4460">
              <w:rPr>
                <w:b/>
                <w:i/>
              </w:rPr>
              <w:t xml:space="preserve"> χωρίς περιττή καθυστέρηση</w:t>
            </w:r>
            <w:r w:rsidRPr="00AC4460">
              <w:t>, όταν οι διαδικασίες παραγωγής έχουν αναλυθεί επιστημονικά και όταν έχουν καθοριστεί απαιτήσεις διεργασίας σε ενωσιακό επίπεδο. Για τον σκοπό αυτόν, πρέπει να εκχωρηθεί στην Επιτροπή η αρμοδιότητα να εκδίδει πράξεις σύμφωνα με το άρθρο 290 της Συνθήκης για τη λειτουργία της Ευρωπαϊκής Ένωσης όσον αφορά τον καθορισμό μεγαλύτερων ή πρόσθετων κατηγοριών προϊόντων λίπανσης με σήμανση CE ή συστατικών υλικών κατάλληλων για χρήση στην παραγωγή τέτοιων προϊόντων. Για τα ζωικά υποπροϊόντα, κατηγορίες συστατικών υλικών θα πρέπει να προστίθενται ή να διευρύνονται μόνο στον βαθμό που θα έχει προσδιοριστεί ένα τελικό σημείο στην αλυσίδα παρασκευής, σύμφωνα με τις διαδικασίες που καθορίζονται στον κανονισμό (ΕΚ) αριθ. 1069/2009, αφού τα ζωικά υποπροϊόντα για τα οποία δεν έχει προσδιοριστεί τέτοιο τελικό σημείο εξαιρούνται ούτως ή άλλως από το πεδίο εφαρμογής του παρόντος κανονισμού.</w:t>
            </w:r>
          </w:p>
        </w:tc>
        <w:tc>
          <w:tcPr>
            <w:tcW w:w="4876" w:type="dxa"/>
          </w:tcPr>
          <w:p w:rsidR="00E451E4" w:rsidRPr="00AC4460" w:rsidRDefault="00E451E4" w:rsidP="000A61DD">
            <w:pPr>
              <w:pStyle w:val="Normal6"/>
              <w:rPr>
                <w:szCs w:val="24"/>
              </w:rPr>
            </w:pPr>
            <w:r w:rsidRPr="00AC4460">
              <w:t>(55)</w:t>
            </w:r>
            <w:r w:rsidRPr="00AC4460">
              <w:tab/>
              <w:t xml:space="preserve">Σημειώνεται ελπιδοφόρος τεχνολογική πρόοδος στον τομέα της ανακύκλωσης των αποβλήτων, όπως η ανακύκλωση φωσφόρου από λυματολάσπη, </w:t>
            </w:r>
            <w:r w:rsidRPr="00AC4460">
              <w:rPr>
                <w:b/>
                <w:i/>
              </w:rPr>
              <w:t>ιδίως στρουβίτη,</w:t>
            </w:r>
            <w:r w:rsidRPr="00AC4460">
              <w:t xml:space="preserve"> της παραγωγής προϊόντων από ζωικά υποπροϊόντα, όπως ο βιοξυλάνθρακας</w:t>
            </w:r>
            <w:r w:rsidRPr="00AC4460">
              <w:rPr>
                <w:b/>
                <w:i/>
              </w:rPr>
              <w:t>, και της ανάκτησης φωσφόρου μετά την καύση, ιδίως προϊόντων με βάση τις τέφρες</w:t>
            </w:r>
            <w:r w:rsidRPr="00AC4460">
              <w:t>.</w:t>
            </w:r>
            <w:r w:rsidRPr="00AC4460">
              <w:rPr>
                <w:b/>
                <w:i/>
              </w:rPr>
              <w:t xml:space="preserve"> Επομένως,</w:t>
            </w:r>
            <w:r w:rsidRPr="00AC4460">
              <w:t xml:space="preserve"> τα προϊόντα που περιέχουν ή που αποτελούνται από τέτοια υλικά θα πρέπει να έχουν πρόσβαση στην εσωτερική αγορά, όταν οι διαδικασίες παραγωγής έχουν αναλυθεί επιστημονικά και όταν έχουν καθοριστεί απαιτήσεις διεργασίας σε ενωσιακό επίπεδο. Για τον σκοπό αυτόν, πρέπει να εκχωρηθεί στην Επιτροπή η αρμοδιότητα να εκδίδει πράξεις σύμφωνα με το άρθρο 290 της Συνθήκης για τη λειτουργία της Ευρωπαϊκής Ένωσης όσον αφορά τον καθορισμό μεγαλύτερων ή πρόσθετων κατηγοριών προϊόντων λίπανσης με σήμανση CE ή συστατικών υλικών κατάλληλων για χρήση στην παραγωγή τέτοιων προϊόντων. </w:t>
            </w:r>
            <w:r w:rsidRPr="00AC4460">
              <w:rPr>
                <w:b/>
                <w:i/>
              </w:rPr>
              <w:t>Η πρώτη από αυτές τις κατ’ εξουσιοδότηση πράξεις θα πρέπει, συγκεκριμένα, να προσθέτει τον στρουβίτη, τον βιοξυλάνθρακα και τα προϊόντα με βάση τις τέφρες στις κατηγορίες συστατικών υλικών και θα πρέπει να εγκριθεί το συντομότερο δυνατό μετά την έναρξη ισχύος του παρόντος κανονισμού.</w:t>
            </w:r>
            <w:r w:rsidRPr="00AC4460">
              <w:t xml:space="preserve"> Για τα ζωικά υποπροϊόντα, κατηγορίες συστατικών υλικών θα πρέπει να προστίθενται ή να διευρύνονται μόνο στον βαθμό που θα έχει προσδιοριστεί ένα τελικό σημείο στην αλυσίδα παρασκευής, σύμφωνα με τις διαδικασίες που καθορίζονται στον κανονισμό (ΕΚ) αριθ. 1069/2009, αφού τα ζωικά υποπροϊόντα για τα οποία δεν έχει προσδιοριστεί τέτοιο τελικό σημείο εξαιρούνται ούτως ή άλλως από το πεδίο εφαρμογής του παρόντος κανονισμού. </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55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(55α)</w:t>
            </w:r>
            <w:r w:rsidRPr="00AC4460">
              <w:rPr>
                <w:b/>
                <w:i/>
              </w:rPr>
              <w:tab/>
              <w:t>Οι τρέχουσες παρασκευαστικές πρακτικές που χρησιμοποιούν άλλα υποπροϊόντα ή ανακυκλωμένα προϊόντα της βιομηχανίας ως συστατικό ανόργανου λιπάσματος πρέπει να διασφαλιστούν μέσω του παρόντος κανονισμού, προκειμένου να διατηρηθεί και να στηριχθεί η συμβολή τους στην κυκλική οικονομία στην Ένωση. Θα πρέπει να υπάρχει η δυνατότητα τα συστατικά αυτά να είναι επιλέξιμα ως συστατικό σύμφωνα με τις απαιτήσεις που ορίζονται στον παρόντα κανονισμό, χωρίς περιττή καθυστέρηση, μόλις οι διαδικασίες παρασκευής αναλυθούν επιστημονικά και θεσπιστούν απαιτήσεις διεργασίας σε επίπεδο Ένωσης. Για τον σκοπό αυτόν, πρέπει να ανατεθεί στην Επιτροπή η εξουσία να εκδίδει κατ’ εξουσιοδότηση πράξεις σύμφωνα με το άρθρο 290 της Συνθήκης για τη λειτουργία της Ευρωπαϊκής Ένωσης όσον αφορά τον καθορισμό μεγαλύτερων ή πρόσθετων συστατικών υλικών επιλέξιμων για χρήση στην παραγωγή τέτοιων προϊόντων.</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Αιτιολογική σκέψη 59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(59α)</w:t>
            </w:r>
            <w:r w:rsidRPr="00AC4460">
              <w:tab/>
            </w:r>
            <w:r w:rsidRPr="00AC4460">
              <w:rPr>
                <w:b/>
                <w:i/>
              </w:rPr>
              <w:t>Πρέπει να προβλεφθεί ότι θα εξακολουθεί να είναι δυνατή η χρήση προϊόντων που διατέθηκαν στην αγορά στο πλαίσιο των κανόνων αμοιβαίας αναγνώρισης δυνάμει του κανονισμού (ΕΚ) αριθ. 764/2008</w:t>
            </w:r>
            <w:r w:rsidRPr="00AC4460">
              <w:rPr>
                <w:b/>
                <w:i/>
                <w:vertAlign w:val="superscript"/>
              </w:rPr>
              <w:t>1α</w:t>
            </w:r>
            <w:r w:rsidRPr="00AC4460">
              <w:rPr>
                <w:b/>
                <w:i/>
              </w:rPr>
              <w:t>.</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__________________</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vertAlign w:val="superscript"/>
              </w:rPr>
              <w:t>1α</w:t>
            </w:r>
            <w:r w:rsidRPr="00AC4460">
              <w:rPr>
                <w:b/>
                <w:i/>
              </w:rPr>
              <w:t xml:space="preserve"> Κανονισμός (ΕΚ) αριθ. 764/2008 του Ευρωπαϊκού Κοινοβουλίου και του Συμβουλίου, της 9ης Ιουλίου 2008, για τη θέσπιση διαδικασιών σχετικά με την εφαρμογή ορισμένων εθνικών τεχνικών κανόνων στα προϊόντα που κυκλοφορούν νομίμως στην αγορά άλλου κράτους μέλους και για την κατάργηση της απόφασης αριθ. 3052/95/ΕΚ (ΕΕ L 218 της 13.8.2008, σ. 21).</w:t>
            </w:r>
          </w:p>
        </w:tc>
      </w:tr>
    </w:tbl>
    <w:p w:rsidR="00E451E4" w:rsidRPr="00CB12FD" w:rsidRDefault="00E451E4" w:rsidP="000A61DD">
      <w:pPr>
        <w:pStyle w:val="Normal6"/>
      </w:pPr>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1 – παράγραφος 2 – στοιχείο β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β α)</w:t>
            </w:r>
            <w:r w:rsidRPr="00AC4460">
              <w:rPr>
                <w:b/>
                <w:i/>
              </w:rPr>
              <w:tab/>
              <w:t>Οδηγία 2000/60/ΕΚ·</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1 – παράγραφος 2 – στοιχείο η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η α)</w:t>
            </w:r>
            <w:r w:rsidRPr="00AC4460">
              <w:rPr>
                <w:b/>
                <w:i/>
              </w:rPr>
              <w:tab/>
              <w:t>Κανονισμός (ΕΚ) αριθ. 834/2007 για τη βιολογική παραγωγή και την επισήμανση των βιολογικών προϊόντων και την κατάργηση του κανονισμού (ΕΟΚ) αριθ. 2092/91.</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να αναγνωριστούν η βιολογική γεωργία και οι ιδιαιτερότητές της στο πεδίο εφαρμογής του κανονισμού για τα λιπάσματα.</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2 – παράγραφος 1 – σημείο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(1)</w:t>
            </w:r>
            <w:r w:rsidRPr="00AC4460">
              <w:rPr>
                <w:b/>
                <w:i/>
              </w:rPr>
              <w:tab/>
              <w:t>«προϊόν λίπανσης»: κάθε ουσία, μείγμα, μικροοργανισμός ή οποιοδήποτε άλλο υλικό που χορηγείται ή προορίζεται να χορηγηθεί, είτε σε καθαρή μορφή είτε αναμεμειγμένο με άλλο υλικό, σε φυτά ή στη ριζόσφαιρα φυτών με σκοπό να προσφέρει θρεπτικές ουσίες ή να βελτιώσει την αποδοτικότητα της θρέψης των φυτών·</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Δεδομένου ότι υπάρχουν δύο διαφορετικές κατηγορίες προϊόντων, θα πρέπει να υπάρχουν δύο ορισμοί και όχι ένας.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2 – παράγραφος 1 – σημείο 1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(1α)</w:t>
            </w:r>
            <w:r w:rsidRPr="00AC4460">
              <w:rPr>
                <w:b/>
                <w:i/>
              </w:rPr>
              <w:tab/>
              <w:t>«λίπασμα»: κάθε ουσία ή μείγμα ουσιών που προορίζεται να προσφέρει θρεπτικά συστατικά στα φυτά·</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Δεδομένου ότι υπάρχουν δύο διαφορετικές κατηγορίες προϊόντων, θα πρέπει να υπάρχουν δύο ορισμοί και όχι ένας.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2 – παράγραφος 1 – σημείο 1 β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(1β)</w:t>
            </w:r>
            <w:r w:rsidRPr="00AC4460">
              <w:rPr>
                <w:b/>
                <w:i/>
              </w:rPr>
              <w:tab/>
              <w:t>«προϊόν για τη βελτίωση της αποδοτικότητας της θρέψης»: κάθε ουσία ή μείγμα ουσιών, μικροοργανισμός ή οποιοδήποτε άλλο υλικό που εφαρμόζεται σε φυτά ή στη ριζόσφαιρά τους με σκοπό τη βελτίωση της αποδοτικότητας της θρέψης τους·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2 – παράγραφος 1 – σημείο 1 γ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(1γ)</w:t>
            </w:r>
            <w:r w:rsidRPr="00AC4460">
              <w:rPr>
                <w:b/>
                <w:i/>
              </w:rPr>
              <w:tab/>
              <w:t>«κύριο θρεπτικό συστατικό»: μόνον τα στοιχεία άζωτο, φώσφορος και κάλιο·</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2 – παράγραφος 1 – σημείο 1 δ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(1δ)</w:t>
            </w:r>
            <w:r w:rsidRPr="00AC4460">
              <w:rPr>
                <w:b/>
                <w:i/>
              </w:rPr>
              <w:tab/>
              <w:t>«δευτερεύον θρεπτικό συστατικό»: τα στοιχεία ασβέστιο, μαγνήσιο, νάτριο και θείο·</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 – παράγραφος 2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2a.</w:t>
            </w:r>
            <w:r w:rsidRPr="00AC4460">
              <w:rPr>
                <w:b/>
                <w:i/>
              </w:rPr>
              <w:tab/>
              <w:t>Η Επιτροπή, ταυτόχρονα με τη δημοσίευση του παρόντος κανονισμού στην Επίσημη Εφημερίδα της Ευρωπαϊκής Ένωσης, δημοσιεύει έγγραφο καθοδήγησης με το οποίο παρέχονται διευκρινίσεις και παραδείγματα στους παρασκευαστές και τις αρχές εποπτείας της αγοράς σχετικά με τη μορφή που θα πρέπει να έχει η ετικέτα. Στο εν λόγω έγγραφο καθοδήγησης προσδιορίζονται επίσης άλλες σημαντικές πληροφορίες όπως αναφέρονται στο παράρτημα ΙΙΙ μέρος 1 παράγραφος 2 στοιχείο δ).</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Προκειμένου να παρασχεθούν σαφείς πληροφορίες στους γεωργούς και να αποφευχθεί τυχόν εσφαλμένη διασπορά λιπασμάτων με αρνητικές επιπτώσεις για το περιβάλλον, η Ευρωπαϊκή Επιτροπή θα πρέπει να παράσχει σε έγγραφο καθοδήγησης συγκεκριμένες απαιτήσεις και οπτικές πτυχές των ετικετών ανόργανων λιπασμάτων.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6 – παράγραφος 10 – εδάφιο 1 – στοιχείο β</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β)</w:t>
            </w:r>
            <w:r w:rsidRPr="00AC4460">
              <w:tab/>
            </w:r>
            <w:r w:rsidRPr="00AC4460">
              <w:rPr>
                <w:b/>
                <w:i/>
              </w:rPr>
              <w:t>σύμμεικτα προϊόντα λίπανσης</w:t>
            </w:r>
            <w:r w:rsidRPr="00AC4460">
              <w:t xml:space="preserve">, όπως </w:t>
            </w:r>
            <w:r w:rsidRPr="00AC4460">
              <w:rPr>
                <w:b/>
                <w:i/>
              </w:rPr>
              <w:t>καθορίζονται</w:t>
            </w:r>
            <w:r w:rsidRPr="00AC4460">
              <w:t xml:space="preserve"> στην κατηγορία λειτουργίας προϊόντος 7 στο παράρτημα I, </w:t>
            </w:r>
            <w:r w:rsidRPr="00AC4460">
              <w:rPr>
                <w:b/>
                <w:i/>
              </w:rPr>
              <w:t>τα οποία περιέχουν</w:t>
            </w:r>
            <w:r w:rsidRPr="00AC4460">
              <w:t xml:space="preserve"> ένα από τα λιπάσματα που αναφέρονται στο στοιχείο α).</w:t>
            </w:r>
          </w:p>
        </w:tc>
        <w:tc>
          <w:tcPr>
            <w:tcW w:w="4876" w:type="dxa"/>
            <w:hideMark/>
          </w:tcPr>
          <w:p w:rsidR="00E451E4" w:rsidRPr="00AC4460" w:rsidRDefault="00E451E4" w:rsidP="000A61DD">
            <w:pPr>
              <w:pStyle w:val="Normal6"/>
              <w:rPr>
                <w:szCs w:val="24"/>
              </w:rPr>
            </w:pPr>
            <w:r w:rsidRPr="00AC4460">
              <w:t>β)</w:t>
            </w:r>
            <w:r w:rsidRPr="00AC4460">
              <w:tab/>
            </w:r>
            <w:r w:rsidRPr="00AC4460">
              <w:rPr>
                <w:b/>
                <w:i/>
              </w:rPr>
              <w:t>συνδυασμός κατηγοριών λειτουργίας προϊόντος</w:t>
            </w:r>
            <w:r w:rsidRPr="00AC4460">
              <w:t xml:space="preserve">, όπως </w:t>
            </w:r>
            <w:r w:rsidRPr="00AC4460">
              <w:rPr>
                <w:b/>
                <w:i/>
              </w:rPr>
              <w:t>καθορίζεται</w:t>
            </w:r>
            <w:r w:rsidRPr="00AC4460">
              <w:t xml:space="preserve"> στην κατηγορία λειτουργίας προϊόντος 7 στο παράρτημα I, </w:t>
            </w:r>
            <w:r w:rsidRPr="00AC4460">
              <w:rPr>
                <w:b/>
                <w:i/>
              </w:rPr>
              <w:t>ο οποίος περιέχει</w:t>
            </w:r>
            <w:r w:rsidRPr="00AC4460">
              <w:t xml:space="preserve"> ένα από τα λιπάσματα που αναφέρονται στο στοιχείο 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(Η παρούσα τροπολογία, που αλλάζει τον όρο «σύμμεικτα προϊόντα λίπανσης» σε «συνδυασμό κατηγοριών λειτουργίας προϊόντος», αφορά το σύνολο του κειμένου.</w:t>
            </w:r>
            <w:r w:rsidRPr="00AC4460">
              <w:rPr>
                <w:i/>
              </w:rPr>
              <w:t xml:space="preserve"> </w:t>
            </w:r>
            <w:r w:rsidRPr="00AC4460">
              <w:rPr>
                <w:b/>
                <w:i/>
              </w:rPr>
              <w:t>Η έγκρισή της απαιτεί αντίστοιχες προσαρμογές σε όλο το κείμενο.)</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προτεινόμενη ονομασία της ΚΛΠ 7, «σύμμεικτα προϊόντα λίπανσης», δημιουργεί σύγχυση και δεν αντιστοιχεί στην πραγματικότητα της παγκόσμιας αγοράς λιπασμάτων στο πλαίσιο της οποίας τα «σύμμεικτα λιπάσματα» λαμβάνονται με ξηρά ανάμειξη διαφόρων λιπασμάτων, χωρίς χημική αντίδραση. Για λόγους σαφήνειας, η ονομασία της ΚΛΠ 7 θα πρέπει να τροποποιηθεί σε ολόκληρο τον κανονισμό.</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18 – παράγραφος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Προϊόν λίπανσης με σήμανση CE που</w:t>
            </w:r>
            <w:r w:rsidRPr="00AC4460">
              <w:t xml:space="preserve"> έχει υποβληθεί σε δραστηριότητα ανάκτησης </w:t>
            </w:r>
            <w:r w:rsidRPr="00AC4460">
              <w:rPr>
                <w:b/>
                <w:i/>
              </w:rPr>
              <w:t>και συμμορφώνεται</w:t>
            </w:r>
            <w:r w:rsidRPr="00AC4460">
              <w:t xml:space="preserve"> με τις </w:t>
            </w:r>
            <w:r w:rsidRPr="00AC4460">
              <w:rPr>
                <w:b/>
                <w:i/>
              </w:rPr>
              <w:t>απαιτήσεις</w:t>
            </w:r>
            <w:r w:rsidRPr="00AC4460">
              <w:t xml:space="preserve"> του παρόντος κανονισμού θεωρείται ότι συμμορφώνεται με τους όρους που καθορίζονται στο άρθρο 6 παράγραφος 1 της οδηγίας 2008/98/ΕΚ και θα πρέπει, επομένως, να θεωρείται ότι έχει παύσει να αποτελεί απόβλητο.</w:t>
            </w:r>
          </w:p>
        </w:tc>
        <w:tc>
          <w:tcPr>
            <w:tcW w:w="4876" w:type="dxa"/>
          </w:tcPr>
          <w:p w:rsidR="00E451E4" w:rsidRPr="00AC4460" w:rsidRDefault="00E451E4" w:rsidP="000A61DD">
            <w:pPr>
              <w:pStyle w:val="Normal6"/>
              <w:rPr>
                <w:szCs w:val="24"/>
              </w:rPr>
            </w:pPr>
            <w:r w:rsidRPr="00AC4460">
              <w:rPr>
                <w:b/>
                <w:i/>
              </w:rPr>
              <w:t>Όταν ένα υλικό που ήταν απόβλητο</w:t>
            </w:r>
            <w:r w:rsidRPr="00AC4460">
              <w:t xml:space="preserve"> έχει υποβληθεί σε δραστηριότητα ανάκτησης </w:t>
            </w:r>
            <w:r w:rsidRPr="00AC4460">
              <w:rPr>
                <w:b/>
                <w:i/>
              </w:rPr>
              <w:t>σύμφωνα</w:t>
            </w:r>
            <w:r w:rsidRPr="00AC4460">
              <w:t xml:space="preserve"> με τις </w:t>
            </w:r>
            <w:r w:rsidRPr="00AC4460">
              <w:rPr>
                <w:b/>
                <w:i/>
              </w:rPr>
              <w:t>διατάξεις</w:t>
            </w:r>
            <w:r w:rsidRPr="00AC4460">
              <w:t xml:space="preserve"> του παρόντος κανονισμού </w:t>
            </w:r>
            <w:r w:rsidRPr="00AC4460">
              <w:rPr>
                <w:b/>
                <w:i/>
              </w:rPr>
              <w:t xml:space="preserve">και ένα συμμορφούμενο προϊόν με σήμανση ΕΕ περιέχει ή αποτελείται από το υλικό αυτό, το υλικό </w:t>
            </w:r>
            <w:r w:rsidRPr="00AC4460">
              <w:t>θεωρείται ότι συμμορφώνεται με τους όρους που καθορίζονται στο άρθρο 6 παράγραφος 1 της οδηγίας 2008/98/ΕΚ και θα πρέπει, επομένως, να θεωρείται ότι έχει παύσει να αποτελεί απόβλητο</w:t>
            </w:r>
            <w:r w:rsidRPr="00AC4460">
              <w:rPr>
                <w:b/>
                <w:i/>
              </w:rPr>
              <w:t xml:space="preserve"> από τη στιγμή που συντάσσεται η δήλωση συμμόρφωσης ΕΕ</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33</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1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w:t>
            </w:r>
            <w:r w:rsidRPr="00AC4460">
              <w:tab/>
              <w:t>Η Επιτροπή εξουσιοδοτείται να εκδίδει κατ’ εξουσιοδότηση πράξεις σύμφωνα με το άρθρο 43 για την τροποποίηση των παραρτημάτων I έως IV, με σκοπό την προσαρμογή τους στην τεχνική πρόοδο και τη διευκόλυνση της πρόσβασης στην εσωτερική αγορά και της ελεύθερης κυκλοφορίας για τα προϊόντα λίπανσης με σήμανση CE</w:t>
            </w:r>
          </w:p>
        </w:tc>
        <w:tc>
          <w:tcPr>
            <w:tcW w:w="4876" w:type="dxa"/>
          </w:tcPr>
          <w:p w:rsidR="00E451E4" w:rsidRPr="00AC4460" w:rsidRDefault="00E451E4" w:rsidP="000A61DD">
            <w:pPr>
              <w:pStyle w:val="Normal6"/>
              <w:rPr>
                <w:szCs w:val="24"/>
              </w:rPr>
            </w:pPr>
            <w:r w:rsidRPr="00AC4460">
              <w:t>1.</w:t>
            </w:r>
            <w:r w:rsidRPr="00AC4460">
              <w:tab/>
              <w:t xml:space="preserve">Η Επιτροπή εξουσιοδοτείται να εκδίδει κατ’ εξουσιοδότηση πράξεις σύμφωνα με το άρθρο 43 για την τροποποίηση των παραρτημάτων I έως IV, με σκοπό την προσαρμογή τους στην τεχνική </w:t>
            </w:r>
            <w:r w:rsidRPr="00AC4460">
              <w:rPr>
                <w:b/>
                <w:i/>
              </w:rPr>
              <w:t xml:space="preserve">και επιστημονική </w:t>
            </w:r>
            <w:r w:rsidRPr="00AC4460">
              <w:t>πρόοδο</w:t>
            </w:r>
            <w:r w:rsidRPr="00AC4460">
              <w:rPr>
                <w:b/>
                <w:i/>
              </w:rPr>
              <w:t>, ιδίως όσον αφορά την παραγωγή λιπασμάτων από ζωικά υποπροϊόντα και από προϊόντα προερχόμενα από ανάκτηση αποβλήτων,</w:t>
            </w:r>
            <w:r w:rsidRPr="00AC4460">
              <w:t xml:space="preserve"> και τη διευκόλυνση της πρόσβασης στην εσωτερική αγορά και της ελεύθερης κυκλοφορίας για τα προϊόντα λίπανσης με σήμανση CE</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1 – στοιχείο β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β α)</w:t>
            </w:r>
            <w:r w:rsidRPr="00AC4460">
              <w:rPr>
                <w:b/>
                <w:i/>
              </w:rPr>
              <w:tab/>
              <w:t>τα οποία επί του παρόντος χρησιμοποιούνται από τους παρασκευαστές ως υποπροϊόντα ή παραπροϊόντα άλλων βιομηχανικών και/ή γεωργικών διεργασιών, καθώς και ως ανακυκλωμένα προϊόντα.</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35</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1 – εδάφιο 1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Έως ... [ένα έτος από την έναρξη ισχύος του παρόντος κανονισμού], η Επιτροπή εκδίδει κατ’ εξουσιοδότηση πράξη, σύμφωνα με το πρώτο εδάφιο, για την τροποποίηση, για πρώτη φορά, των κατηγοριών συστατικών υλικών που καθορίζονται στο παράρτημα ΙΙ, με σκοπό ιδίως την προσθήκη των ζωικών υποπροϊόντων, του στρουβίτη, των προϊόντων με βάση τις τέφρες και του βιοξυλάνθρακα σε αυτές τις κατηγορίες συστατικών υλικών. Κατά την έκδοση αυτής της κατ’ εξουσιοδότηση πράξης, η Επιτροπή επικεντρώνεται συγκεκριμένα στην τεχνολογική πρόοδο που έχει επιτευχθεί στον τομέα της ανάκτησης των θρεπτικών συστατικών.</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36</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2 – στοιχείο 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α)</w:t>
            </w:r>
            <w:r w:rsidRPr="00AC4460">
              <w:tab/>
              <w:t>ονομασία του μικροοργανισμού·</w:t>
            </w:r>
          </w:p>
        </w:tc>
        <w:tc>
          <w:tcPr>
            <w:tcW w:w="4876" w:type="dxa"/>
          </w:tcPr>
          <w:p w:rsidR="00E451E4" w:rsidRPr="00AC4460" w:rsidRDefault="00E451E4" w:rsidP="000A61DD">
            <w:pPr>
              <w:pStyle w:val="Normal6"/>
              <w:rPr>
                <w:szCs w:val="24"/>
              </w:rPr>
            </w:pPr>
            <w:r w:rsidRPr="00AC4460">
              <w:t>α)</w:t>
            </w:r>
            <w:r w:rsidRPr="00AC4460">
              <w:tab/>
              <w:t xml:space="preserve">ονομασία του μικροοργανισμού </w:t>
            </w:r>
            <w:r w:rsidRPr="00AC4460">
              <w:rPr>
                <w:b/>
                <w:i/>
              </w:rPr>
              <w:t>σε επίπεδο στελέχους</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2 – στοιχείο δ</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δ)</w:t>
            </w:r>
            <w:r w:rsidRPr="00AC4460">
              <w:tab/>
              <w:t>ταξινομική σχέση με είδη μικροοργανισμών που πληρούν τις απαιτήσεις για τεκμήριο αναγνωρισμένης ασφάλειας, όπως αυτό έχει προσδιοριστεί από την Ευρωπαϊκή Αρχή για την Ασφάλεια των Τροφίμων·</w:t>
            </w:r>
          </w:p>
        </w:tc>
        <w:tc>
          <w:tcPr>
            <w:tcW w:w="4876" w:type="dxa"/>
            <w:hideMark/>
          </w:tcPr>
          <w:p w:rsidR="00E451E4" w:rsidRPr="00AC4460" w:rsidRDefault="00E451E4" w:rsidP="000A61DD">
            <w:pPr>
              <w:pStyle w:val="Normal6"/>
              <w:rPr>
                <w:szCs w:val="24"/>
              </w:rPr>
            </w:pPr>
            <w:r w:rsidRPr="00AC4460">
              <w:t>δ)</w:t>
            </w:r>
            <w:r w:rsidRPr="00AC4460">
              <w:tab/>
              <w:t>ταξινομική σχέση με είδη μικροοργανισμών που πληρούν τις απαιτήσεις για τεκμήριο αναγνωρισμένης ασφάλειας, όπως αυτό έχει προσδιοριστεί από την Ευρωπαϊκή Αρχή για την Ασφάλεια των Τροφίμων</w:t>
            </w:r>
            <w:r w:rsidRPr="00AC4460">
              <w:rPr>
                <w:b/>
                <w:i/>
              </w:rPr>
              <w:t>, ή αναφορά δηλωθείσας συμμόρφωσης με τα ανάλογα εναρμονισμένα πρότυπα για την ασφάλεια των μικροοργανισμών που χρησιμοποιούνται και έχουν δημοσιευθεί στην Επίσημη Εφημερίδα της Ευρωπαϊκής Ένωσης, ή συμμόρφωση με τις απαιτήσεις για την αξιολόγηση της ασφάλειας των νέων μικροοργανισμών που έχει εγκρίνει η Επιτροπή, όταν δεν εφαρμόζονται τέτοια εναρμονισμένα πρότυπα</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38</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2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2α.</w:t>
            </w:r>
            <w:r w:rsidRPr="00AC4460">
              <w:rPr>
                <w:b/>
                <w:i/>
              </w:rPr>
              <w:tab/>
              <w:t>Για τους σκοπούς της παραγράφου 2 του παρόντος άρθρου, η Επιτροπή εξουσιοδοτείται να εκδίδει κατ’ εξουσιοδότηση πράξεις σύμφωνα με το άρθρο 43 όσον αφορά τον καθορισμό απαιτήσεων για την αξιολόγηση της ασφάλειας νέων μικροοργανισμών. Η πρώτη από αυτές τις κατ’ εξουσιοδότηση πράξεις εκδίδεται έως ... [ένα έτος μετά την έναρξη ισχύος του παρόντος κανονισμού].</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4.</w:t>
            </w:r>
            <w:r w:rsidRPr="00AC4460">
              <w:tab/>
              <w:t xml:space="preserve">Η Επιτροπή εξουσιοδοτείται επίσης να εκδίδει κατ' εξουσιοδότηση πράξεις σύμφωνα με το άρθρο 43 για την τροποποίηση των παραρτημάτων I έως IV </w:t>
            </w:r>
            <w:r w:rsidRPr="00AC4460">
              <w:rPr>
                <w:b/>
                <w:i/>
              </w:rPr>
              <w:t>με βάση νέα επιστημονικά στοιχεία</w:t>
            </w:r>
            <w:r w:rsidRPr="00AC4460">
              <w:t xml:space="preserve">. Η Επιτροπή χρησιμοποιεί την εξουσιοδότηση αυτή όποτε απαιτείται τροποποίηση, με βάση αξιολόγηση κινδύνου, προκειμένου να διασφαλιστεί ότι κάθε προϊόν λίπανσης με σήμανση CE που συμμορφώνεται με τις απαιτήσεις του παρόντος κανονισμού, υπό </w:t>
            </w:r>
            <w:r w:rsidRPr="00AC4460">
              <w:rPr>
                <w:b/>
                <w:i/>
              </w:rPr>
              <w:t>κανονικές συνθήκες χρήσης</w:t>
            </w:r>
            <w:r w:rsidRPr="00AC4460">
              <w:t>, δεν συνιστά απαράδεκτο κίνδυνο για την υγεία του ανθρώπου, των ζώων ή των φυτών, για την ασφάλεια ή για το περιβάλλον.</w:t>
            </w:r>
          </w:p>
        </w:tc>
        <w:tc>
          <w:tcPr>
            <w:tcW w:w="4876" w:type="dxa"/>
            <w:hideMark/>
          </w:tcPr>
          <w:p w:rsidR="00E451E4" w:rsidRPr="00AC4460" w:rsidRDefault="00E451E4" w:rsidP="000A61DD">
            <w:pPr>
              <w:pStyle w:val="Normal6"/>
              <w:rPr>
                <w:szCs w:val="24"/>
              </w:rPr>
            </w:pPr>
            <w:r w:rsidRPr="00AC4460">
              <w:t>4.</w:t>
            </w:r>
            <w:r w:rsidRPr="00AC4460">
              <w:tab/>
              <w:t xml:space="preserve">Η Επιτροπή εξουσιοδοτείται επίσης να εκδίδει κατ' εξουσιοδότηση πράξεις σύμφωνα με το άρθρο 43 για την τροποποίηση των παραρτημάτων I έως IV </w:t>
            </w:r>
            <w:r w:rsidRPr="00AC4460">
              <w:rPr>
                <w:b/>
                <w:i/>
              </w:rPr>
              <w:t>κατόπιν εξέτασης νέων επιστημονικών στοιχείων</w:t>
            </w:r>
            <w:r w:rsidRPr="00AC4460">
              <w:t xml:space="preserve">. Η Επιτροπή χρησιμοποιεί την εξουσιοδότηση αυτή όποτε απαιτείται τροποποίηση, με βάση αξιολόγηση κινδύνου, προκειμένου να διασφαλιστεί ότι κάθε προϊόν λίπανσης με σήμανση CE που συμμορφώνεται με τις απαιτήσεις του παρόντος κανονισμού, υπό </w:t>
            </w:r>
            <w:r w:rsidRPr="00AC4460">
              <w:rPr>
                <w:b/>
                <w:i/>
              </w:rPr>
              <w:t>ορθή χρήση</w:t>
            </w:r>
            <w:r w:rsidRPr="00AC4460">
              <w:t>, δεν συνιστά απαράδεκτο κίνδυνο για την υγεία του ανθρώπου, των ζώων ή των φυτών, για την ασφάλεια ή για το περιβάλλον.</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42 – παράγραφος 4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4a.</w:t>
            </w:r>
            <w:r w:rsidRPr="00AC4460">
              <w:rPr>
                <w:b/>
                <w:i/>
              </w:rPr>
              <w:tab/>
              <w:t>Για τους σκοπούς του παραρτήματος ΙΙ ΚΣΥ 10, η Επιτροπή εξουσιοδοτείται να εκδίδει κατ’ εξουσιοδότηση πράξεις σύμφωνα με το άρθρο 43 για τον καθορισμό των απαιτήσεων για το πρότυπο σχετικά με τα κριτήρια βιοαποδομησιμότητας και την ανάπτυξη κατάλληλης μεθόδου δοκιμής για τη βιοαποδόμηση. Οι εν λόγω απαιτήσεις και η μέθοδος δοκιμής αξιολογούνται με βάση τα πιο πρόσφατα επιστημονικά στοιχεία και ισχύουν από ... [πέντε έτη από την ημερομηνία έναρξης ισχύος του παρόντος κανονισμού].</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παρούσα τροπολογία αναφέρεται σε κατ' εξουσιοδότηση πράξη προκειμένου να δημιουργηθεί ένα πρότυπο βιοαποδόμησης και μια μέθοδος δοκιμής για τα λιπάσματα ελεγχόμενης απελευθέρωσης. Αντίστοιχη τροπολογία του παραρτήματος ΙΙ ΚΣΥ 10.</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46 – παράγραφος 1 – σημείο 2</w:t>
      </w:r>
      <w:r>
        <w:rPr>
          <w:rStyle w:val="HideTWBExt"/>
          <w:b w:val="0"/>
          <w:noProof w:val="0"/>
        </w:rPr>
        <w:t>&lt;/Article&gt;</w:t>
      </w:r>
    </w:p>
    <w:p w:rsidR="00E451E4" w:rsidRPr="00CB12FD" w:rsidRDefault="00E451E4" w:rsidP="000A61DD">
      <w:pPr>
        <w:keepNext/>
      </w:pPr>
      <w:r>
        <w:rPr>
          <w:rStyle w:val="HideTWBExt"/>
          <w:noProof w:val="0"/>
        </w:rPr>
        <w:t>&lt;DocAmend2&gt;</w:t>
      </w:r>
      <w:r w:rsidRPr="00AC4460">
        <w:t>Κανονισμός (ΕΚ) αριθ. 1107/2009</w:t>
      </w:r>
      <w:r>
        <w:rPr>
          <w:rStyle w:val="HideTWBExt"/>
          <w:noProof w:val="0"/>
        </w:rPr>
        <w:t>&lt;/DocAmend2&gt;</w:t>
      </w:r>
    </w:p>
    <w:p w:rsidR="00E451E4" w:rsidRPr="00CB12FD" w:rsidRDefault="00E451E4" w:rsidP="000A61DD">
      <w:r>
        <w:rPr>
          <w:rStyle w:val="HideTWBExt"/>
          <w:noProof w:val="0"/>
        </w:rPr>
        <w:t>&lt;Article2&gt;</w:t>
      </w:r>
      <w:r w:rsidRPr="00AC4460">
        <w:t>Άρθρο 3 – παράγραφος 34 – στοιχείο γ</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γ)</w:t>
            </w:r>
            <w:r w:rsidRPr="00AC4460">
              <w:tab/>
            </w:r>
            <w:r w:rsidRPr="00AC4460">
              <w:rPr>
                <w:b/>
                <w:i/>
              </w:rPr>
              <w:t>χαρακτηριστικά ποιότητας</w:t>
            </w:r>
            <w:r w:rsidRPr="00AC4460">
              <w:t xml:space="preserve"> της καλλιέργειας.</w:t>
            </w:r>
          </w:p>
        </w:tc>
        <w:tc>
          <w:tcPr>
            <w:tcW w:w="4876" w:type="dxa"/>
            <w:hideMark/>
          </w:tcPr>
          <w:p w:rsidR="00E451E4" w:rsidRPr="00AC4460" w:rsidRDefault="00E451E4" w:rsidP="000A61DD">
            <w:pPr>
              <w:pStyle w:val="Normal6"/>
              <w:rPr>
                <w:szCs w:val="24"/>
              </w:rPr>
            </w:pPr>
            <w:r w:rsidRPr="00AC4460">
              <w:t>γ)</w:t>
            </w:r>
            <w:r w:rsidRPr="00AC4460">
              <w:tab/>
            </w:r>
            <w:r w:rsidRPr="00AC4460">
              <w:rPr>
                <w:b/>
                <w:i/>
              </w:rPr>
              <w:t>ποιότητα</w:t>
            </w:r>
            <w:r w:rsidRPr="00AC4460">
              <w:t xml:space="preserve"> της καλλιέργειας.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46 – παράγραφος 1 – σημείο 2</w:t>
      </w:r>
      <w:r>
        <w:rPr>
          <w:rStyle w:val="HideTWBExt"/>
          <w:b w:val="0"/>
          <w:noProof w:val="0"/>
        </w:rPr>
        <w:t>&lt;/Article&gt;</w:t>
      </w:r>
    </w:p>
    <w:p w:rsidR="00E451E4" w:rsidRPr="00CB12FD" w:rsidRDefault="00E451E4" w:rsidP="000A61DD">
      <w:pPr>
        <w:keepNext/>
      </w:pPr>
      <w:r>
        <w:rPr>
          <w:rStyle w:val="HideTWBExt"/>
          <w:noProof w:val="0"/>
        </w:rPr>
        <w:t>&lt;DocAmend2&gt;</w:t>
      </w:r>
      <w:r w:rsidRPr="00AC4460">
        <w:t>Κανονισμός (ΕΚ) αριθ. 1107/2009</w:t>
      </w:r>
      <w:r>
        <w:rPr>
          <w:rStyle w:val="HideTWBExt"/>
          <w:noProof w:val="0"/>
        </w:rPr>
        <w:t>&lt;/DocAmend2&gt;</w:t>
      </w:r>
    </w:p>
    <w:p w:rsidR="00E451E4" w:rsidRPr="00CB12FD" w:rsidRDefault="00E451E4" w:rsidP="000A61DD">
      <w:r>
        <w:rPr>
          <w:rStyle w:val="HideTWBExt"/>
          <w:noProof w:val="0"/>
        </w:rPr>
        <w:t>&lt;Article2&gt;</w:t>
      </w:r>
      <w:r w:rsidRPr="00AC4460">
        <w:t>Άρθρο 3 – παράγραφος 34 – στοιχείο γ α (νέο)</w:t>
      </w:r>
      <w:r>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α)</w:t>
            </w:r>
            <w:r w:rsidRPr="00AC4460">
              <w:rPr>
                <w:b/>
                <w:i/>
              </w:rPr>
              <w:tab/>
              <w:t>χουμοποίηση·</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46 – παράγραφος 1 – σημείο 2</w:t>
      </w:r>
      <w:r>
        <w:rPr>
          <w:rStyle w:val="HideTWBExt"/>
          <w:b w:val="0"/>
          <w:noProof w:val="0"/>
        </w:rPr>
        <w:t>&lt;/Article&gt;</w:t>
      </w:r>
    </w:p>
    <w:p w:rsidR="00E451E4" w:rsidRPr="00CB12FD" w:rsidRDefault="00E451E4" w:rsidP="000A61DD">
      <w:pPr>
        <w:keepNext/>
      </w:pPr>
      <w:r>
        <w:rPr>
          <w:rStyle w:val="HideTWBExt"/>
          <w:noProof w:val="0"/>
        </w:rPr>
        <w:t>&lt;DocAmend2&gt;</w:t>
      </w:r>
      <w:r w:rsidRPr="00AC4460">
        <w:t>Κανονισμός (ΕΚ) αριθ. 1107/2009</w:t>
      </w:r>
      <w:r>
        <w:rPr>
          <w:rStyle w:val="HideTWBExt"/>
          <w:noProof w:val="0"/>
        </w:rPr>
        <w:t>&lt;/DocAmend2&gt;</w:t>
      </w:r>
    </w:p>
    <w:p w:rsidR="00E451E4" w:rsidRPr="00CB12FD" w:rsidRDefault="00E451E4" w:rsidP="000A61DD">
      <w:r>
        <w:rPr>
          <w:rStyle w:val="HideTWBExt"/>
          <w:noProof w:val="0"/>
        </w:rPr>
        <w:t>&lt;Article2&gt;</w:t>
      </w:r>
      <w:r w:rsidRPr="00AC4460">
        <w:t>Άρθρο 3 – παράγραφος 34 – στοιχείο γ β (νέο)</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γ β)</w:t>
            </w:r>
            <w:r w:rsidRPr="00AC4460">
              <w:rPr>
                <w:b/>
                <w:i/>
              </w:rPr>
              <w:tab/>
              <w:t>αύξηση της διαθεσιμότητας των θρεπτικών ουσιών που συγκρατούνται στο έδαφος και στη ριζόσφαιρα.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44</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46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jc w:val="center"/>
              <w:rPr>
                <w:szCs w:val="24"/>
              </w:rPr>
            </w:pPr>
            <w:r w:rsidRPr="00AC4460">
              <w:rPr>
                <w:b/>
                <w:i/>
              </w:rPr>
              <w:t>Άρθρο 46 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jc w:val="center"/>
              <w:rPr>
                <w:szCs w:val="24"/>
              </w:rPr>
            </w:pPr>
            <w:r w:rsidRPr="00AC4460">
              <w:rPr>
                <w:b/>
                <w:i/>
              </w:rPr>
              <w:t>Τροποποίηση του κανονισμού (ΕΚ) αριθ. 1907/2006</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Στο παράρτημα V, το σημείο 12 αντικαθίσταται από το ακόλουθο κείμενο:</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 xml:space="preserve">«12. </w:t>
            </w:r>
            <w:r w:rsidRPr="00AC4460">
              <w:rPr>
                <w:b/>
                <w:i/>
              </w:rPr>
              <w:tab/>
              <w:t>Κομπόστ, βιοαέριο και χωνεύματα.»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Άρθρο 48 – παράγραφος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 xml:space="preserve">Τα κράτη μέλη δεν εμποδίζουν τη διάθεση στην αγορά όσων προϊόντων είχαν τεθεί σε κυκλοφορία ως λιπάσματα με την ένδειξη «λίπασμα ΕΚ» σύμφωνα με τον κανονισμό (ΕΚ) αριθ. 2003/2003 πριν από την </w:t>
            </w:r>
            <w:r w:rsidRPr="00AC4460">
              <w:rPr>
                <w:b/>
                <w:i/>
              </w:rPr>
              <w:t>[Publications office</w:t>
            </w:r>
            <w:r w:rsidRPr="00AC4460">
              <w:t xml:space="preserve">, </w:t>
            </w:r>
            <w:r w:rsidRPr="00AC4460">
              <w:rPr>
                <w:b/>
                <w:i/>
              </w:rPr>
              <w:t>please insert the date of application of this Regulation]</w:t>
            </w:r>
            <w:r w:rsidRPr="00AC4460">
              <w:t>. Ωστόσο, οι διατάξεις του κεφαλαίου 5 εφαρμόζονται στα προϊόντα αυτά, mutatis mutandis.</w:t>
            </w:r>
          </w:p>
        </w:tc>
        <w:tc>
          <w:tcPr>
            <w:tcW w:w="4876" w:type="dxa"/>
            <w:hideMark/>
          </w:tcPr>
          <w:p w:rsidR="00E451E4" w:rsidRPr="00AC4460" w:rsidRDefault="00E451E4" w:rsidP="000A61DD">
            <w:pPr>
              <w:pStyle w:val="Normal6"/>
              <w:rPr>
                <w:szCs w:val="24"/>
              </w:rPr>
            </w:pPr>
            <w:r w:rsidRPr="00AC4460">
              <w:t xml:space="preserve">Τα κράτη μέλη δεν εμποδίζουν τη διάθεση στην αγορά όσων προϊόντων είχαν τεθεί σε κυκλοφορία ως λιπάσματα με την ένδειξη «λίπασμα ΕΚ» σύμφωνα με τον κανονισμό (ΕΚ) αριθ. 2003/2003 πριν από την </w:t>
            </w:r>
            <w:r w:rsidRPr="00AC4460">
              <w:rPr>
                <w:b/>
                <w:i/>
              </w:rPr>
              <w:t>[Υπηρεσία Εκδόσεων</w:t>
            </w:r>
            <w:r w:rsidRPr="00AC4460">
              <w:t xml:space="preserve">, </w:t>
            </w:r>
            <w:r w:rsidRPr="00AC4460">
              <w:rPr>
                <w:b/>
                <w:i/>
              </w:rPr>
              <w:t>εισάγετε την ημερομηνία: δώδεκα μήνες από την ημερομηνία έναρξης ισχύος του παρόντος κανονισμού]</w:t>
            </w:r>
            <w:r w:rsidRPr="00AC4460">
              <w:t>. Ωστόσο, οι διατάξεις του κεφαλαίου 5 εφαρμόζονται στα προϊόντα αυτά, mutatis mutandis.</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χρονικό διάστημα που προβλέπεται στο άρθρο 48 για τη μεταβατική περίοδο δεν θεωρείται αρκετά ρεαλιστικό. Μια περίοδος δώδεκα μηνών από τη δημοσίευση της παρούσας οδηγίας θα ήταν πιο ρεαλιστική.</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46</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 – μέρος I – παράγραφος 1 – στοιχείο Γ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trHeight w:val="570"/>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Γ.</w:t>
            </w:r>
            <w:r w:rsidRPr="00AC4460">
              <w:tab/>
            </w:r>
            <w:r w:rsidRPr="00AC4460">
              <w:rPr>
                <w:b/>
                <w:i/>
              </w:rPr>
              <w:t>Ανόργανο</w:t>
            </w:r>
            <w:r w:rsidRPr="00AC4460">
              <w:t xml:space="preserve"> λίπασμα</w:t>
            </w:r>
          </w:p>
        </w:tc>
        <w:tc>
          <w:tcPr>
            <w:tcW w:w="4876" w:type="dxa"/>
          </w:tcPr>
          <w:p w:rsidR="00E451E4" w:rsidRPr="00AC4460" w:rsidRDefault="00E451E4" w:rsidP="000A61DD">
            <w:pPr>
              <w:pStyle w:val="Normal6"/>
              <w:rPr>
                <w:i/>
                <w:szCs w:val="24"/>
              </w:rPr>
            </w:pPr>
            <w:r w:rsidRPr="00AC4460">
              <w:rPr>
                <w:i/>
                <w:szCs w:val="24"/>
              </w:rPr>
              <w:t>(Δεν αφορά το ελληνικό κείμενο).</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i/>
                <w:szCs w:val="24"/>
              </w:rPr>
            </w:pPr>
          </w:p>
        </w:tc>
      </w:tr>
    </w:tbl>
    <w:p w:rsidR="00E451E4" w:rsidRPr="00CB12FD" w:rsidRDefault="00E451E4" w:rsidP="000A61DD">
      <w:r>
        <w:rPr>
          <w:rStyle w:val="HideTWBExt"/>
          <w:noProof w:val="0"/>
        </w:rPr>
        <w:t>&lt;/Amend&gt;</w:t>
      </w: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47</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 – μέρος 1 –</w:t>
      </w:r>
      <w:r w:rsidR="000A61DD">
        <w:t xml:space="preserve"> </w:t>
      </w:r>
      <w:r w:rsidRPr="00AC4460">
        <w:t>παράγραφος 1 – στοιχείο Γ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trHeight w:val="570"/>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t>Γα.</w:t>
            </w:r>
            <w:r w:rsidRPr="00AC4460">
              <w:tab/>
            </w:r>
            <w:r w:rsidRPr="00AC4460">
              <w:rPr>
                <w:b/>
                <w:i/>
              </w:rPr>
              <w:t>Λίπασμα χαμηλής περιεκτικότητας σε άνθρακα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i/>
                <w:szCs w:val="24"/>
              </w:rPr>
              <w:t>(Η τροπολογία αφορά το σύνολο του κειμένου. Η έγκρισή της απαιτεί αντίστοιχες προσαρμογές σε όλο το κείμενο.)</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σημείο 4 – παράγραφος 1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Συστατικά που υποβάλλονται για έγκριση ή εκ νέου έγκριση δυνάμει του κανονισμού (ΕΚ) αριθ. 1107/2009, αλλά δεν περιλαμβάνονται στον εκτελεστικό κανονισμό (ΕΕ) αριθ. 540/2011 της Επιτροπής, δεν χρησιμοποιούνται σε προϊόντα λίπανσης όταν η μη συμπερίληψή τους δικαιολογείται δυνάμει του άρθρου 1 σημείο 4 του κανονισμού (ΕΚ) αριθ. 1107/2009.</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Σε περίπτωση που τα συστατικά δεν έχουν εγκριθεί ως συστατικά δυνάμει του κανονισμού (ΕΚ) αριθ. 1107/2009 για λόγους ασφαλείας, δεν θα ήταν σκόπιμο να επιτραπεί η χρήση τους σε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1(Α) – σημείο 1 – πρώτη περίπτωση</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άνθρακα (</w:t>
            </w:r>
            <w:r w:rsidRPr="00AC4460">
              <w:rPr>
                <w:b/>
                <w:i/>
              </w:rPr>
              <w:t>C</w:t>
            </w:r>
            <w:r w:rsidRPr="00AC4460">
              <w:t>) και</w:t>
            </w:r>
          </w:p>
        </w:tc>
        <w:tc>
          <w:tcPr>
            <w:tcW w:w="4876" w:type="dxa"/>
            <w:hideMark/>
          </w:tcPr>
          <w:p w:rsidR="00E451E4" w:rsidRPr="00AC4460" w:rsidRDefault="00E451E4" w:rsidP="000A61DD">
            <w:pPr>
              <w:pStyle w:val="Normal6"/>
              <w:rPr>
                <w:szCs w:val="24"/>
              </w:rPr>
            </w:pPr>
            <w:r w:rsidRPr="00AC4460">
              <w:t>-</w:t>
            </w:r>
            <w:r w:rsidRPr="00AC4460">
              <w:tab/>
            </w:r>
            <w:r w:rsidRPr="00AC4460">
              <w:rPr>
                <w:b/>
                <w:i/>
              </w:rPr>
              <w:t xml:space="preserve">οργανικό </w:t>
            </w:r>
            <w:r w:rsidRPr="00AC4460">
              <w:t>άνθρακα (</w:t>
            </w:r>
            <w:r w:rsidRPr="00AC4460">
              <w:rPr>
                <w:b/>
                <w:i/>
              </w:rPr>
              <w:t>Corg</w:t>
            </w:r>
            <w:r w:rsidRPr="00AC4460">
              <w:t>) και</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50</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1(Α) – σημείο 1 – εδάφιο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αποκλειστικά βιολογικής προέλευσης, εξαιρουμένων των απολιθωμένων ή ενσωματωμένων σε γεωλογικούς σχηματισμούς υλικών.</w:t>
            </w:r>
          </w:p>
        </w:tc>
        <w:tc>
          <w:tcPr>
            <w:tcW w:w="4876" w:type="dxa"/>
          </w:tcPr>
          <w:p w:rsidR="00E451E4" w:rsidRPr="00AC4460" w:rsidRDefault="00E451E4" w:rsidP="000A61DD">
            <w:pPr>
              <w:pStyle w:val="Normal6"/>
              <w:rPr>
                <w:szCs w:val="24"/>
              </w:rPr>
            </w:pPr>
            <w:r w:rsidRPr="00AC4460">
              <w:t>αποκλειστικά βιολογικής προέλευσης, εξαιρουμένων των απολιθωμένων ή ενσωματωμένων σε γεωλογικούς σχηματισμούς υλικών</w:t>
            </w:r>
            <w:r w:rsidRPr="00AC4460">
              <w:rPr>
                <w:b/>
                <w:i/>
              </w:rPr>
              <w:t>, με την εξαίρεση του λεοναρδίτη, του λιγνίτη και της τύρφης</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1(Α) (II)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w:t>
            </w:r>
            <w:r w:rsidRPr="00AC4460">
              <w:tab/>
              <w:t>Το προϊόν λίπανσης με σήμανση CE περιέχει τουλάχιστον ένα από τα παρακάτω δηλούμενα θρεπτικά συστατικά στην καθοριζόμενη ελάχιστη ποσότητα:</w:t>
            </w:r>
          </w:p>
        </w:tc>
        <w:tc>
          <w:tcPr>
            <w:tcW w:w="4876" w:type="dxa"/>
            <w:hideMark/>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τουλάχιστον ένα από τα παρακάτω δηλούμενα </w:t>
            </w:r>
            <w:r w:rsidRPr="00AC4460">
              <w:rPr>
                <w:b/>
                <w:i/>
              </w:rPr>
              <w:t xml:space="preserve">κύρια </w:t>
            </w:r>
            <w:r w:rsidRPr="00AC4460">
              <w:t>θρεπτικά συστατικά στην καθοριζόμενη ελάχιστη ποσότητα:</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1(Α) (II) – σημείο 2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 xml:space="preserve">ολικό άζωτο (N) </w:t>
            </w:r>
            <w:r w:rsidRPr="00AC4460">
              <w:rPr>
                <w:b/>
                <w:i/>
              </w:rPr>
              <w:t>2</w:t>
            </w:r>
            <w:r w:rsidRPr="00AC4460">
              <w:t>% κατά μάζα,</w:t>
            </w:r>
          </w:p>
        </w:tc>
        <w:tc>
          <w:tcPr>
            <w:tcW w:w="4876" w:type="dxa"/>
          </w:tcPr>
          <w:p w:rsidR="00E451E4" w:rsidRPr="00AC4460" w:rsidRDefault="00E451E4" w:rsidP="000A61DD">
            <w:pPr>
              <w:pStyle w:val="Normal6"/>
              <w:rPr>
                <w:szCs w:val="24"/>
              </w:rPr>
            </w:pPr>
            <w:r w:rsidRPr="00AC4460">
              <w:t>-</w:t>
            </w:r>
            <w:r w:rsidRPr="00AC4460">
              <w:tab/>
              <w:t xml:space="preserve">ολικό άζωτο (Ν) </w:t>
            </w:r>
            <w:r w:rsidRPr="00AC4460">
              <w:rPr>
                <w:b/>
                <w:i/>
              </w:rPr>
              <w:t>1</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53</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II – ΚΛΠ 1(Α) (II) – σημείο 2 – περίπτωση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 xml:space="preserve">ολικό οξείδιο του καλίου (K2O) </w:t>
            </w:r>
            <w:r w:rsidRPr="00AC4460">
              <w:rPr>
                <w:b/>
                <w:i/>
              </w:rPr>
              <w:t>2</w:t>
            </w:r>
            <w:r w:rsidRPr="00AC4460">
              <w:t xml:space="preserve"> %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καλίου (K2O) </w:t>
            </w:r>
            <w:r w:rsidRPr="00AC4460">
              <w:rPr>
                <w:b/>
                <w:i/>
              </w:rPr>
              <w:t>1</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II – ΚΛΠ 1(Α) (II) – σημείο 2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2α.</w:t>
            </w:r>
            <w:r w:rsidRPr="00AC4460">
              <w:rPr>
                <w:b/>
                <w:i/>
              </w:rPr>
              <w:tab/>
              <w:t>Όταν το προϊόν περιέχει περισσότερα από ένα θρεπτικά συστατικά, πρέπει να περιέχονται οι ακόλουθες ελάχιστες ποσότητες:</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ολικό άζωτο (Ν) 1% κατά μάζα,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ολικό πεντοξείδιο του φωσφόρου (P2O5) 1% κατά μάζα,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ολικό οξείδιο του καλίου (K2O) 1% κατά μάζα.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σε περίπτωση που το σύνολο των θρεπτικών συστατικών είναι τουλάχιστον 4%.</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55</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 σημείο 1 – εδάφιο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αποκλειστικά βιολογικής προέλευσης, εξαιρουμένων των απολιθωμένων ή ενσωματωμένων σε γεωλογικούς σχηματισμούς υλικών.</w:t>
            </w:r>
          </w:p>
        </w:tc>
        <w:tc>
          <w:tcPr>
            <w:tcW w:w="4876" w:type="dxa"/>
          </w:tcPr>
          <w:p w:rsidR="00E451E4" w:rsidRPr="00AC4460" w:rsidRDefault="00E451E4" w:rsidP="000A61DD">
            <w:pPr>
              <w:pStyle w:val="Normal6"/>
              <w:rPr>
                <w:szCs w:val="24"/>
              </w:rPr>
            </w:pPr>
            <w:r w:rsidRPr="00AC4460">
              <w:t>αποκλειστικά βιολογικής προέλευσης, εξαιρουμένων των απολιθωμένων ή ενσωματωμένων σε γεωλογικούς σχηματισμούς υλικών</w:t>
            </w:r>
            <w:r w:rsidRPr="00AC4460">
              <w:rPr>
                <w:b/>
                <w:i/>
              </w:rPr>
              <w:t>, με την εξαίρεση του λεοναρδίτη, του λιγνίτη και της τύρφης</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 – σημείο 2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 xml:space="preserve">ολικό </w:t>
            </w:r>
            <w:r w:rsidRPr="00AC4460">
              <w:t xml:space="preserve">πεντοξείδιο του φωσφόρου (P2O5) </w:t>
            </w:r>
            <w:r w:rsidRPr="00AC4460">
              <w:rPr>
                <w:b/>
                <w:i/>
              </w:rPr>
              <w:t>2</w:t>
            </w:r>
            <w:r w:rsidRPr="00AC4460">
              <w:t xml:space="preserve"> % κατά μάζα, ή</w:t>
            </w:r>
          </w:p>
        </w:tc>
        <w:tc>
          <w:tcPr>
            <w:tcW w:w="4876" w:type="dxa"/>
            <w:hideMark/>
          </w:tcPr>
          <w:p w:rsidR="00E451E4" w:rsidRPr="00AC4460" w:rsidRDefault="00E451E4" w:rsidP="000A61DD">
            <w:pPr>
              <w:pStyle w:val="Normal6"/>
              <w:rPr>
                <w:szCs w:val="24"/>
              </w:rPr>
            </w:pPr>
            <w:r w:rsidRPr="00AC4460">
              <w:t>-</w:t>
            </w:r>
            <w:r w:rsidRPr="00AC4460">
              <w:tab/>
              <w:t xml:space="preserve">πεντοξείδιο του φωσφόρου (P2O5) </w:t>
            </w:r>
            <w:r w:rsidRPr="00AC4460">
              <w:rPr>
                <w:b/>
                <w:i/>
              </w:rPr>
              <w:t>1</w:t>
            </w:r>
            <w:r w:rsidRPr="00AC4460">
              <w:t xml:space="preserve"> % κατά μάζα</w:t>
            </w:r>
            <w:r w:rsidRPr="00AC4460">
              <w:rPr>
                <w:b/>
                <w:i/>
              </w:rPr>
              <w:t>, διαλυτό σε ουδέτερο κιτρικό αμμώνιο και νερό</w:t>
            </w:r>
            <w:r w:rsidRPr="00AC4460">
              <w:t>, 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 – σημείο 2 α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2α.</w:t>
            </w:r>
            <w:r w:rsidRPr="00AC4460">
              <w:rPr>
                <w:b/>
                <w:i/>
              </w:rPr>
              <w:tab/>
              <w:t>Όταν το προϊόν περιέχει περισσότερα από ένα θρεπτικά συστατικά, πρέπει να περιέχονται οι ακόλουθες ελάχιστες ποσότητες:</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ολικό άζωτο (Ν) 1% κατά μάζα,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ολικό πεντοξείδιο του φωσφόρου (P2O5) 1% κατά μάζα,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ολικό οξείδιο του καλίου (K2O) 1% κατά μάζα.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σε περίπτωση που το σύνολο των θρεπτικών συστατικών είναι τουλάχιστον 4%.</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 – σημείο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4.</w:t>
            </w:r>
            <w:r w:rsidRPr="00AC4460">
              <w:tab/>
              <w:t xml:space="preserve">Κάθε μονάδα του προϊόντος λίπανσης με σήμανση CE περιέχει </w:t>
            </w:r>
            <w:r w:rsidRPr="00AC4460">
              <w:rPr>
                <w:b/>
                <w:i/>
              </w:rPr>
              <w:t>οργανική ύλη</w:t>
            </w:r>
            <w:r w:rsidRPr="00AC4460">
              <w:t xml:space="preserve"> και θρεπτικά συστατικά στις δηλούμενες περιεκτικότητες.</w:t>
            </w:r>
          </w:p>
        </w:tc>
        <w:tc>
          <w:tcPr>
            <w:tcW w:w="4876" w:type="dxa"/>
            <w:hideMark/>
          </w:tcPr>
          <w:p w:rsidR="00E451E4" w:rsidRPr="00AC4460" w:rsidRDefault="00E451E4" w:rsidP="000A61DD">
            <w:pPr>
              <w:pStyle w:val="Normal6"/>
              <w:rPr>
                <w:szCs w:val="24"/>
              </w:rPr>
            </w:pPr>
            <w:r w:rsidRPr="00AC4460">
              <w:t>4.</w:t>
            </w:r>
            <w:r w:rsidRPr="00AC4460">
              <w:tab/>
              <w:t xml:space="preserve">Κάθε μονάδα του προϊόντος λίπανσης με σήμανση CE περιέχει </w:t>
            </w:r>
            <w:r w:rsidRPr="00AC4460">
              <w:rPr>
                <w:b/>
                <w:i/>
              </w:rPr>
              <w:t>οργανικό άνθρακα</w:t>
            </w:r>
            <w:r w:rsidRPr="00AC4460">
              <w:t xml:space="preserve"> και </w:t>
            </w:r>
            <w:r w:rsidRPr="00AC4460">
              <w:rPr>
                <w:b/>
                <w:i/>
              </w:rPr>
              <w:t xml:space="preserve">όλα τα </w:t>
            </w:r>
            <w:r w:rsidRPr="00AC4460">
              <w:t xml:space="preserve">θρεπτικά συστατικά στις δηλούμενες περιεκτικότητες. </w:t>
            </w:r>
            <w:r w:rsidRPr="00AC4460">
              <w:rPr>
                <w:b/>
                <w:i/>
              </w:rPr>
              <w:t>Κάθε μονάδα αναφέρεται σε ένα από τα συστατικά του προϊόντος, όπως κόκκοι, σύμπηκτα, κλπ.</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Δεν είναι δυνατόν να διασφαλιστούν οι ακριβείς αναλογίες περιεκτικότητας σε κάθε μονάδα του προϊόντος.</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59</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(II) – σημείο 2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 xml:space="preserve">ολικό άζωτο (N) </w:t>
            </w:r>
            <w:r w:rsidRPr="00AC4460">
              <w:rPr>
                <w:b/>
                <w:i/>
              </w:rPr>
              <w:t>2</w:t>
            </w:r>
            <w:r w:rsidRPr="00AC4460">
              <w:t>% κατά μάζα, εκ των οποίων 0,5% κατά μάζα του προϊόντος λίπανσης με σήμανση CE είναι οργανικό άζωτο (Ν), ή</w:t>
            </w:r>
          </w:p>
        </w:tc>
        <w:tc>
          <w:tcPr>
            <w:tcW w:w="4876" w:type="dxa"/>
          </w:tcPr>
          <w:p w:rsidR="00E451E4" w:rsidRPr="00AC4460" w:rsidRDefault="00E451E4" w:rsidP="000A61DD">
            <w:pPr>
              <w:pStyle w:val="Normal6"/>
              <w:rPr>
                <w:szCs w:val="24"/>
              </w:rPr>
            </w:pPr>
            <w:r w:rsidRPr="00AC4460">
              <w:t>-</w:t>
            </w:r>
            <w:r w:rsidRPr="00AC4460">
              <w:tab/>
              <w:t xml:space="preserve">ολικό άζωτο (N) </w:t>
            </w:r>
            <w:r w:rsidRPr="00AC4460">
              <w:rPr>
                <w:b/>
                <w:i/>
              </w:rPr>
              <w:t>1</w:t>
            </w:r>
            <w:r w:rsidRPr="00AC4460">
              <w:t>% κατά μάζα, εκ των οποίων 0,5% κατά μάζα του προϊόντος λίπανσης με σήμανση CE είναι οργανικό άζωτο (Ν), ή</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(II) – σημείο 2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 xml:space="preserve">ολικό </w:t>
            </w:r>
            <w:r w:rsidRPr="00AC4460">
              <w:t xml:space="preserve">πεντοξείδιο του φωσφόρου (P2O5) </w:t>
            </w:r>
            <w:r w:rsidRPr="00AC4460">
              <w:rPr>
                <w:b/>
                <w:i/>
              </w:rPr>
              <w:t>2</w:t>
            </w:r>
            <w:r w:rsidRPr="00AC4460">
              <w:t xml:space="preserve"> % κατά μάζα, ή</w:t>
            </w:r>
          </w:p>
        </w:tc>
        <w:tc>
          <w:tcPr>
            <w:tcW w:w="4876" w:type="dxa"/>
            <w:hideMark/>
          </w:tcPr>
          <w:p w:rsidR="00E451E4" w:rsidRPr="00AC4460" w:rsidRDefault="00E451E4" w:rsidP="000A61DD">
            <w:pPr>
              <w:pStyle w:val="Normal6"/>
              <w:rPr>
                <w:szCs w:val="24"/>
              </w:rPr>
            </w:pPr>
            <w:r w:rsidRPr="00AC4460">
              <w:t>-</w:t>
            </w:r>
            <w:r w:rsidRPr="00AC4460">
              <w:tab/>
              <w:t xml:space="preserve">πεντοξείδιο του φωσφόρου (P2O5) </w:t>
            </w:r>
            <w:r w:rsidRPr="00AC4460">
              <w:rPr>
                <w:b/>
                <w:i/>
              </w:rPr>
              <w:t>1</w:t>
            </w:r>
            <w:r w:rsidRPr="00AC4460">
              <w:t xml:space="preserve"> % κατά μάζα</w:t>
            </w:r>
            <w:r w:rsidRPr="00AC4460">
              <w:rPr>
                <w:b/>
                <w:i/>
              </w:rPr>
              <w:t>, διαλυτό σε ουδέτερο κιτρικό αμμώνιο και νερό</w:t>
            </w:r>
            <w:r w:rsidRPr="00AC4460">
              <w:t>, 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61</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(II) – σημείο 2 – περίπτωση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 xml:space="preserve">ολικό οξείδιο του καλίου (K2O) </w:t>
            </w:r>
            <w:r w:rsidRPr="00AC4460">
              <w:rPr>
                <w:b/>
                <w:i/>
              </w:rPr>
              <w:t>2</w:t>
            </w:r>
            <w:r w:rsidRPr="00AC4460">
              <w:t>% κατά μάζα.</w:t>
            </w:r>
          </w:p>
        </w:tc>
        <w:tc>
          <w:tcPr>
            <w:tcW w:w="4876" w:type="dxa"/>
          </w:tcPr>
          <w:p w:rsidR="00E451E4" w:rsidRPr="00AC4460" w:rsidRDefault="00E451E4" w:rsidP="000A61DD">
            <w:pPr>
              <w:pStyle w:val="Normal6"/>
              <w:rPr>
                <w:szCs w:val="24"/>
              </w:rPr>
            </w:pPr>
            <w:r w:rsidRPr="00AC4460">
              <w:t>-</w:t>
            </w:r>
            <w:r w:rsidRPr="00AC4460">
              <w:tab/>
              <w:t xml:space="preserve">ολικό οξείδιο του καλίου (K2O) </w:t>
            </w:r>
            <w:r w:rsidRPr="00AC4460">
              <w:rPr>
                <w:b/>
                <w:i/>
              </w:rPr>
              <w:t>1</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(II) – σημείο 2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CB12FD" w:rsidRDefault="00E451E4" w:rsidP="000A61DD">
            <w:pPr>
              <w:pStyle w:val="ColumnHeading"/>
              <w:keepNext/>
            </w:pPr>
            <w:r>
              <w:t>Κείμενο που προτείνει η Επιτροπή</w:t>
            </w:r>
          </w:p>
        </w:tc>
        <w:tc>
          <w:tcPr>
            <w:tcW w:w="4876" w:type="dxa"/>
          </w:tcPr>
          <w:p w:rsidR="00E451E4" w:rsidRPr="00CB12FD" w:rsidRDefault="00E451E4" w:rsidP="000A61DD">
            <w:pPr>
              <w:pStyle w:val="ColumnHeading"/>
              <w:keepNext/>
            </w:pPr>
          </w:p>
        </w:tc>
      </w:tr>
      <w:tr w:rsidR="00E451E4" w:rsidRPr="00CB12FD" w:rsidTr="000A61DD">
        <w:trPr>
          <w:jc w:val="center"/>
        </w:trPr>
        <w:tc>
          <w:tcPr>
            <w:tcW w:w="4876" w:type="dxa"/>
          </w:tcPr>
          <w:p w:rsidR="00E451E4" w:rsidRPr="00CB12FD" w:rsidRDefault="00E451E4" w:rsidP="000A61DD">
            <w:pPr>
              <w:pStyle w:val="Normal6"/>
            </w:pPr>
          </w:p>
        </w:tc>
        <w:tc>
          <w:tcPr>
            <w:tcW w:w="4876" w:type="dxa"/>
          </w:tcPr>
          <w:p w:rsidR="00E451E4" w:rsidRPr="00CB12FD" w:rsidRDefault="00E451E4" w:rsidP="000A61DD">
            <w:pPr>
              <w:pStyle w:val="Normal6"/>
              <w:rPr>
                <w:b/>
                <w:i/>
                <w:szCs w:val="24"/>
              </w:rPr>
            </w:pPr>
            <w:r>
              <w:rPr>
                <w:b/>
                <w:i/>
                <w:szCs w:val="24"/>
              </w:rPr>
              <w:t>2α.</w:t>
            </w:r>
            <w:r>
              <w:rPr>
                <w:b/>
                <w:i/>
                <w:szCs w:val="24"/>
              </w:rPr>
              <w:tab/>
              <w:t>Όταν το προϊόν περιέχει περισσότερα από ένα θρεπτικά συστατικά, πρέπει να περιέχονται οι ακόλουθες ελάχιστες ποσότητες:</w:t>
            </w:r>
          </w:p>
        </w:tc>
      </w:tr>
      <w:tr w:rsidR="00E451E4" w:rsidRPr="00CB12FD" w:rsidTr="000A61DD">
        <w:trPr>
          <w:jc w:val="center"/>
        </w:trPr>
        <w:tc>
          <w:tcPr>
            <w:tcW w:w="4876" w:type="dxa"/>
          </w:tcPr>
          <w:p w:rsidR="00E451E4" w:rsidRPr="00CB12FD" w:rsidRDefault="00E451E4" w:rsidP="000A61DD">
            <w:pPr>
              <w:pStyle w:val="Normal6"/>
            </w:pPr>
          </w:p>
        </w:tc>
        <w:tc>
          <w:tcPr>
            <w:tcW w:w="4876" w:type="dxa"/>
          </w:tcPr>
          <w:p w:rsidR="00E451E4" w:rsidRPr="00CB12FD" w:rsidRDefault="00E451E4" w:rsidP="000A61DD">
            <w:pPr>
              <w:pStyle w:val="Normal6"/>
              <w:rPr>
                <w:b/>
                <w:i/>
                <w:szCs w:val="24"/>
              </w:rPr>
            </w:pPr>
            <w:r>
              <w:rPr>
                <w:b/>
                <w:i/>
                <w:szCs w:val="24"/>
              </w:rPr>
              <w:t>–</w:t>
            </w:r>
            <w:r>
              <w:rPr>
                <w:b/>
                <w:i/>
                <w:szCs w:val="24"/>
              </w:rPr>
              <w:tab/>
              <w:t>ολικό άζωτο (N) 1,5% κατά μάζα,</w:t>
            </w:r>
          </w:p>
        </w:tc>
      </w:tr>
      <w:tr w:rsidR="00E451E4" w:rsidRPr="00CB12FD" w:rsidTr="000A61DD">
        <w:trPr>
          <w:jc w:val="center"/>
        </w:trPr>
        <w:tc>
          <w:tcPr>
            <w:tcW w:w="4876" w:type="dxa"/>
          </w:tcPr>
          <w:p w:rsidR="00E451E4" w:rsidRPr="00CB12FD" w:rsidRDefault="00E451E4" w:rsidP="000A61DD">
            <w:pPr>
              <w:pStyle w:val="Normal6"/>
            </w:pPr>
          </w:p>
        </w:tc>
        <w:tc>
          <w:tcPr>
            <w:tcW w:w="4876" w:type="dxa"/>
          </w:tcPr>
          <w:p w:rsidR="00E451E4" w:rsidRPr="00CB12FD" w:rsidRDefault="00E451E4" w:rsidP="000A61DD">
            <w:pPr>
              <w:pStyle w:val="Normal6"/>
              <w:rPr>
                <w:b/>
                <w:i/>
                <w:szCs w:val="24"/>
              </w:rPr>
            </w:pPr>
            <w:r>
              <w:rPr>
                <w:b/>
                <w:i/>
                <w:szCs w:val="24"/>
              </w:rPr>
              <w:t>–</w:t>
            </w:r>
            <w:r>
              <w:rPr>
                <w:b/>
                <w:i/>
                <w:szCs w:val="24"/>
              </w:rPr>
              <w:tab/>
              <w:t>ολικό πεντοξείδιο του φωσφόρου (P2O5) 1,5% κατά μάζα,</w:t>
            </w:r>
          </w:p>
        </w:tc>
      </w:tr>
      <w:tr w:rsidR="00E451E4" w:rsidRPr="00CB12FD" w:rsidTr="000A61DD">
        <w:trPr>
          <w:jc w:val="center"/>
        </w:trPr>
        <w:tc>
          <w:tcPr>
            <w:tcW w:w="4876" w:type="dxa"/>
          </w:tcPr>
          <w:p w:rsidR="00E451E4" w:rsidRPr="00CB12FD" w:rsidRDefault="00E451E4" w:rsidP="000A61DD">
            <w:pPr>
              <w:pStyle w:val="Normal6"/>
            </w:pPr>
          </w:p>
        </w:tc>
        <w:tc>
          <w:tcPr>
            <w:tcW w:w="4876" w:type="dxa"/>
          </w:tcPr>
          <w:p w:rsidR="00E451E4" w:rsidRPr="00CB12FD" w:rsidRDefault="00E451E4" w:rsidP="000A61DD">
            <w:pPr>
              <w:pStyle w:val="Normal6"/>
              <w:rPr>
                <w:b/>
                <w:i/>
                <w:szCs w:val="24"/>
              </w:rPr>
            </w:pPr>
            <w:r>
              <w:rPr>
                <w:b/>
                <w:i/>
                <w:szCs w:val="24"/>
              </w:rPr>
              <w:t>–</w:t>
            </w:r>
            <w:r>
              <w:rPr>
                <w:b/>
                <w:i/>
                <w:szCs w:val="24"/>
              </w:rPr>
              <w:tab/>
              <w:t>ολικό οξείδιο του καλίου (K2O) 1,5% κατά μάζα</w:t>
            </w:r>
          </w:p>
        </w:tc>
      </w:tr>
      <w:tr w:rsidR="00E451E4" w:rsidRPr="00CB12FD" w:rsidTr="000A61DD">
        <w:trPr>
          <w:jc w:val="center"/>
        </w:trPr>
        <w:tc>
          <w:tcPr>
            <w:tcW w:w="4876" w:type="dxa"/>
          </w:tcPr>
          <w:p w:rsidR="00E451E4" w:rsidRPr="00CB12FD" w:rsidRDefault="00E451E4" w:rsidP="000A61DD">
            <w:pPr>
              <w:pStyle w:val="Normal6"/>
            </w:pPr>
          </w:p>
        </w:tc>
        <w:tc>
          <w:tcPr>
            <w:tcW w:w="4876" w:type="dxa"/>
          </w:tcPr>
          <w:p w:rsidR="00E451E4" w:rsidRPr="00CB12FD" w:rsidRDefault="00E451E4" w:rsidP="000A61DD">
            <w:pPr>
              <w:pStyle w:val="Normal6"/>
              <w:rPr>
                <w:b/>
                <w:i/>
                <w:szCs w:val="24"/>
              </w:rPr>
            </w:pPr>
            <w:r>
              <w:rPr>
                <w:b/>
                <w:i/>
                <w:szCs w:val="24"/>
              </w:rPr>
              <w:t>σε περίπτωση που το σύνολο των θρεπτικών συστατικών είναι τουλάχιστον 4%.</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63</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(II) – σημείο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3.</w:t>
            </w:r>
            <w:r w:rsidRPr="00AC4460">
              <w:tab/>
              <w:t xml:space="preserve">Η περιεκτικότητα του προϊόντος λίπανσης με σήμανση CE σε οργανικό άνθρακα (C) είναι τουλάχιστον </w:t>
            </w:r>
            <w:r w:rsidRPr="00AC4460">
              <w:rPr>
                <w:b/>
                <w:i/>
              </w:rPr>
              <w:t>3</w:t>
            </w:r>
            <w:r w:rsidRPr="00AC4460">
              <w:t xml:space="preserve"> % κατά μάζα.</w:t>
            </w:r>
          </w:p>
        </w:tc>
        <w:tc>
          <w:tcPr>
            <w:tcW w:w="4876" w:type="dxa"/>
          </w:tcPr>
          <w:p w:rsidR="00E451E4" w:rsidRPr="00AC4460" w:rsidRDefault="00E451E4" w:rsidP="000A61DD">
            <w:pPr>
              <w:pStyle w:val="Normal6"/>
              <w:rPr>
                <w:szCs w:val="24"/>
              </w:rPr>
            </w:pPr>
            <w:r w:rsidRPr="00AC4460">
              <w:t>3.</w:t>
            </w:r>
            <w:r w:rsidRPr="00AC4460">
              <w:tab/>
              <w:t xml:space="preserve">Η περιεκτικότητα του προϊόντος λίπανσης με σήμανση CE σε οργανικό άνθρακα (C) είναι τουλάχιστον </w:t>
            </w:r>
            <w:r w:rsidRPr="00AC4460">
              <w:rPr>
                <w:b/>
                <w:i/>
              </w:rPr>
              <w:t>1</w:t>
            </w:r>
            <w:r w:rsidRPr="00AC4460">
              <w:t xml:space="preserve"> %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64</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 (Γ) – παράγραφος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 xml:space="preserve">Ένα ανόργανο λίπασμα είναι κάθε λίπασμα </w:t>
            </w:r>
            <w:r w:rsidRPr="00AC4460">
              <w:rPr>
                <w:b/>
                <w:i/>
              </w:rPr>
              <w:t>εκτός των οργανικών</w:t>
            </w:r>
            <w:r w:rsidRPr="00AC4460">
              <w:t xml:space="preserve"> και </w:t>
            </w:r>
            <w:r w:rsidRPr="00AC4460">
              <w:rPr>
                <w:b/>
                <w:i/>
              </w:rPr>
              <w:t>των οργανοανόργανων λιπασμάτων</w:t>
            </w:r>
            <w:r w:rsidRPr="00AC4460">
              <w:t>.</w:t>
            </w:r>
          </w:p>
        </w:tc>
        <w:tc>
          <w:tcPr>
            <w:tcW w:w="4876" w:type="dxa"/>
          </w:tcPr>
          <w:p w:rsidR="00E451E4" w:rsidRPr="00AC4460" w:rsidRDefault="00E451E4" w:rsidP="000A61DD">
            <w:pPr>
              <w:pStyle w:val="Normal6"/>
              <w:rPr>
                <w:szCs w:val="24"/>
              </w:rPr>
            </w:pPr>
            <w:r w:rsidRPr="00AC4460">
              <w:t xml:space="preserve">Ένα ανόργανο λίπασμα είναι κάθε λίπασμα </w:t>
            </w:r>
            <w:r w:rsidRPr="00AC4460">
              <w:rPr>
                <w:b/>
                <w:i/>
              </w:rPr>
              <w:t>που περιέχει θρεπτικά συστατικά σε ανόργανη μορφή ή επεξεργασμένα σε ανόργανη μορφή, ζωικής ή φυτικής προέλευσης. Το ασβεστοκυαναμίδιο, η ουρία και τα προϊόντα συμπύκνωσης και συνδυασμού αυτής, θεωρείται ότι περιέχουν θρεπτικά συστατικά σε ανόργανη μορφή. Η παρουσία οργανικού άνθρακα (Corg) στο προϊόν λίπανσης με σήμανση CE δεν υπερβαίνει το 1% κατά μάζα. Αποκλείεται, κατά συνθήκη, ο άνθρακας που προέρχεται από επιστρώσεις και τεχνικές ουσίες.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65</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 (Γ) – παράγραφος 1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Τα φωσφορικά λιπάσματα πρέπει να συμμορφώνονται με τουλάχιστον ένα από τα ακόλουθα ελάχιστα επίπεδα διαλυτότητας ώστε να είναι διαθέσιμα στα φυτά, διαφορετικά δεν μπορούν να χαρακτηρίζονται φωσφορικά λιπάσματα: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w:t>
            </w:r>
            <w:r w:rsidRPr="00AC4460">
              <w:rPr>
                <w:b/>
                <w:i/>
                <w:szCs w:val="24"/>
              </w:rPr>
              <w:tab/>
              <w:t>διαλυτότητα στο νερό: ελάχιστο επίπεδο 40% επί του ολικού φωσφόρου, ή</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w:t>
            </w:r>
            <w:r w:rsidRPr="00AC4460">
              <w:rPr>
                <w:b/>
                <w:i/>
                <w:szCs w:val="24"/>
              </w:rPr>
              <w:tab/>
              <w:t>διαλυτότητα σε ουδέτερο κιτρικό αμμώνιο: ελάχιστο επίπεδο 75% επί του ολικού φωσφόρου, ή</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w:t>
            </w:r>
            <w:r w:rsidRPr="00AC4460">
              <w:rPr>
                <w:b/>
                <w:i/>
                <w:szCs w:val="24"/>
              </w:rPr>
              <w:tab/>
              <w:t>διαλυτότητα σε μυρμηκικό οξύ (μόνο για μαλακά φωσφορικά άλατα): ελάχιστο επίπεδο 55% επί του ολικού φωσφόρου.</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66</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 (Γ) – παράγραφος 1 β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rPr>
              <w:t>Η συνολική δηλωτέα περιεκτικότητα σε άζωτο προκύπτει από το σύνολο του αμμωνιακού αζώτου, του νιτρικού αζώτου, του ουρεϊκού αζώτου, του αζώτου από μεθυλενουρία, του αζώτου από ισοβουτυλιδενοδιουρία, και του αζώτου από κροτωνυλιδενοδιουρία. Η δηλωτέα περιεκτικότητα σε φώσφορο προκύπτει από τη φωσφορική μορφή Ρ. Νέες μορφές μπορούν να προστεθούν έπειτα από επιστημονική εξέταση σύμφωνα με το άρθρο 42 παράγραφος 1.</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 – σημείο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w:t>
            </w:r>
            <w:r w:rsidRPr="00AC4460">
              <w:tab/>
              <w:t>Ένα απλό στερεό ανόργανο μακροθρεπτικό λίπασμα έχει δηλούμενη περιεκτικότητα για όχι περισσότερα από ένα θρεπτικά συστατικά.</w:t>
            </w:r>
          </w:p>
        </w:tc>
        <w:tc>
          <w:tcPr>
            <w:tcW w:w="4876" w:type="dxa"/>
            <w:hideMark/>
          </w:tcPr>
          <w:p w:rsidR="00E451E4" w:rsidRPr="00AC4460" w:rsidRDefault="00E451E4" w:rsidP="000A61DD">
            <w:pPr>
              <w:pStyle w:val="Normal6"/>
              <w:rPr>
                <w:szCs w:val="24"/>
              </w:rPr>
            </w:pPr>
            <w:r w:rsidRPr="00AC4460">
              <w:t>1.</w:t>
            </w:r>
            <w:r w:rsidRPr="00AC4460">
              <w:tab/>
              <w:t xml:space="preserve">Ένα απλό στερεό ανόργανο μακροθρεπτικό λίπασμα έχει δηλούμενη περιεκτικότητα για όχι περισσότερα από ένα </w:t>
            </w:r>
            <w:r w:rsidRPr="00AC4460">
              <w:rPr>
                <w:b/>
                <w:i/>
              </w:rPr>
              <w:t>κύρια ή δευτερεύοντα θρεπτικά συστατικά.</w:t>
            </w:r>
            <w:r w:rsidRPr="00AC4460">
              <w:t xml:space="preserve"> </w:t>
            </w:r>
            <w:r w:rsidRPr="00AC4460">
              <w:rPr>
                <w:b/>
                <w:i/>
              </w:rPr>
              <w:t>Τα απλά στερεά ανόργανα κύρια θρεπτικά συστατικά μπορούν επίσης να έχουν δευτερεύοντα θρεπτικά συστατικά.</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Σύμφωνα με τον ορισμό που περιλαμβάνεται στην πρόταση της Επιτροπής, το «CAN 27 με S» θα αποτελέσει μέρος της ομάδας «ΚΛΠ 1 (Γ) (Ι) (α) (ii) Σύνθετο στερεό ανόργανο μακροθρεπτικό λίπασμα». Κάτι τέτοιο αντιβαίνει στην παράδοση και σε ό,τι θεωρείται ορθό από γεωπονική άποψη. Αντιβαίνει επίσης σε ό,τι είναι αποδεκτό στους τομείς της επιστήμης, της τεχνικής και της γεωργίας.</w:t>
      </w:r>
      <w:r>
        <w:sym w:font="Times New Roman" w:char="F0D7"/>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w:t>
            </w:r>
            <w:r w:rsidRPr="00AC4460">
              <w:tab/>
              <w:t xml:space="preserve">Το προϊόν λίπανσης με σήμανση CE περιέχει περισσότερα από ένα από τα </w:t>
            </w:r>
            <w:r w:rsidRPr="00AC4460">
              <w:rPr>
                <w:b/>
                <w:i/>
              </w:rPr>
              <w:t>παρακάτω</w:t>
            </w:r>
            <w:r w:rsidRPr="00AC4460">
              <w:t xml:space="preserve"> δηλούμενα θρεπτικά συστατικά στις καθοριζόμενες ελάχιστες ποσότητες:</w:t>
            </w:r>
          </w:p>
        </w:tc>
        <w:tc>
          <w:tcPr>
            <w:tcW w:w="4876" w:type="dxa"/>
            <w:hideMark/>
          </w:tcPr>
          <w:p w:rsidR="00E451E4" w:rsidRPr="00AC4460" w:rsidRDefault="00E451E4" w:rsidP="000A61DD">
            <w:pPr>
              <w:pStyle w:val="Normal6"/>
              <w:rPr>
                <w:szCs w:val="24"/>
              </w:rPr>
            </w:pPr>
            <w:r w:rsidRPr="00AC4460">
              <w:rPr>
                <w:b/>
                <w:i/>
              </w:rPr>
              <w:t>2.</w:t>
            </w:r>
            <w:r w:rsidRPr="00AC4460">
              <w:tab/>
              <w:t xml:space="preserve">Το προϊόν λίπανσης με σήμανση CE περιέχει περισσότερα από ένα από τα </w:t>
            </w:r>
            <w:r w:rsidRPr="00AC4460">
              <w:rPr>
                <w:b/>
                <w:i/>
              </w:rPr>
              <w:t>κύρια</w:t>
            </w:r>
            <w:r w:rsidRPr="00AC4460">
              <w:t xml:space="preserve"> δηλούμενα θρεπτικά συστατικά στις καθοριζόμενες ελάχιστες ποσότητες: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69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 – σημείο 2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 xml:space="preserve">ολικό </w:t>
            </w:r>
            <w:r w:rsidRPr="00AC4460">
              <w:t>πεντοξείδιο του φωσφόρου (P2O5) 12</w:t>
            </w:r>
            <w:r w:rsidRPr="00AC4460">
              <w:rPr>
                <w:b/>
                <w:i/>
              </w:rPr>
              <w:t xml:space="preserve"> </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πεντοξείδιο του φωσφόρου (P2O5) 12% κατά μάζα,</w:t>
            </w:r>
            <w:r w:rsidRPr="00AC4460">
              <w:rPr>
                <w:b/>
                <w:i/>
              </w:rPr>
              <w:t xml:space="preserve">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(ii) – σημείο 2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 xml:space="preserve">ολικό </w:t>
            </w:r>
            <w:r w:rsidRPr="00AC4460">
              <w:t xml:space="preserve">πεντοξείδιο του φωσφόρου (P2O5) </w:t>
            </w:r>
            <w:r w:rsidRPr="00AC4460">
              <w:rPr>
                <w:b/>
                <w:i/>
              </w:rPr>
              <w:t>3</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πεντοξείδιο του φωσφόρου (P2O5) </w:t>
            </w:r>
            <w:r w:rsidRPr="00AC4460">
              <w:rPr>
                <w:b/>
                <w:i/>
              </w:rPr>
              <w:t>5</w:t>
            </w:r>
            <w:r w:rsidRPr="00AC4460">
              <w:t>% κατά μάζα,</w:t>
            </w:r>
            <w:r w:rsidRPr="00AC4460">
              <w:rPr>
                <w:b/>
                <w:i/>
              </w:rPr>
              <w:t xml:space="preserve">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(ii) – σημείο 2 – περίπτωση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καλίου (K2O) </w:t>
            </w:r>
            <w:r w:rsidRPr="00AC4460">
              <w:rPr>
                <w:b/>
                <w:i/>
              </w:rPr>
              <w:t>3</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καλίου (K2O) </w:t>
            </w:r>
            <w:r w:rsidRPr="00AC4460">
              <w:rPr>
                <w:b/>
                <w:i/>
              </w:rPr>
              <w:t>5</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(ii) – σημείο 2 – περίπτωση 3α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και μπορεί να περιέχει ένα ή περισσότερα δευτερεύοντα θρεπτικά συστατικά στην ελάχιστη δηλούμενη ποσότητα: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(ii) – σημείο 2 – περίπτωση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μαγνησίου (MgO) </w:t>
            </w:r>
            <w:r w:rsidRPr="00AC4460">
              <w:rPr>
                <w:b/>
                <w:i/>
              </w:rPr>
              <w:t>1,5</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μαγνησίου (MgO) </w:t>
            </w:r>
            <w:r w:rsidRPr="00AC4460">
              <w:rPr>
                <w:b/>
                <w:i/>
              </w:rPr>
              <w:t>2</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(ii) – σημείο 2 – περίπτωση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ασβεστίου (CaO) </w:t>
            </w:r>
            <w:r w:rsidRPr="00AC4460">
              <w:rPr>
                <w:b/>
                <w:i/>
              </w:rPr>
              <w:t>1,5</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ασβεστίου (CaO) </w:t>
            </w:r>
            <w:r w:rsidRPr="00AC4460">
              <w:rPr>
                <w:b/>
                <w:i/>
              </w:rPr>
              <w:t>2</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(α) (ii) – σημείο 2 – περίπτωση 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τριοξείδιο του θείου (SO3) </w:t>
            </w:r>
            <w:r w:rsidRPr="00AC4460">
              <w:rPr>
                <w:b/>
                <w:i/>
              </w:rPr>
              <w:t>1,5</w:t>
            </w:r>
            <w:r w:rsidRPr="00AC4460">
              <w:t>% κατά μάζα,</w:t>
            </w:r>
            <w:r w:rsidRPr="00AC4460">
              <w:rPr>
                <w:b/>
                <w:i/>
              </w:rPr>
              <w:t xml:space="preserve"> ή</w:t>
            </w:r>
          </w:p>
        </w:tc>
        <w:tc>
          <w:tcPr>
            <w:tcW w:w="4876" w:type="dxa"/>
            <w:hideMark/>
          </w:tcPr>
          <w:p w:rsidR="00E451E4" w:rsidRPr="00AC4460" w:rsidRDefault="00E451E4" w:rsidP="000A61DD">
            <w:pPr>
              <w:pStyle w:val="Normal6"/>
              <w:rPr>
                <w:szCs w:val="24"/>
              </w:rPr>
            </w:pPr>
            <w:r w:rsidRPr="00AC4460">
              <w:t>-</w:t>
            </w:r>
            <w:r w:rsidRPr="00AC4460">
              <w:tab/>
              <w:t xml:space="preserve">ολικό τριοξείδιο του θείου (SO3) </w:t>
            </w:r>
            <w:r w:rsidRPr="00AC4460">
              <w:rPr>
                <w:b/>
                <w:i/>
              </w:rPr>
              <w:t>5</w:t>
            </w:r>
            <w:r w:rsidRPr="00AC4460">
              <w:t>%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 – σημείο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w:t>
            </w:r>
            <w:r w:rsidRPr="00AC4460">
              <w:tab/>
              <w:t>Ένα απλό υγρό ανόργανο μακροθρεπτικό λίπασμα έχει δηλούμενη περιεκτικότητα για όχι περισσότερα από ένα θρεπτικά συστατικά.</w:t>
            </w:r>
          </w:p>
        </w:tc>
        <w:tc>
          <w:tcPr>
            <w:tcW w:w="4876" w:type="dxa"/>
            <w:hideMark/>
          </w:tcPr>
          <w:p w:rsidR="00E451E4" w:rsidRPr="00AC4460" w:rsidRDefault="00E451E4" w:rsidP="000A61DD">
            <w:pPr>
              <w:pStyle w:val="Normal6"/>
              <w:rPr>
                <w:szCs w:val="24"/>
              </w:rPr>
            </w:pPr>
            <w:r w:rsidRPr="00AC4460">
              <w:t>1.</w:t>
            </w:r>
            <w:r w:rsidRPr="00AC4460">
              <w:tab/>
              <w:t xml:space="preserve">Ένα απλό υγρό ανόργανο μακροθρεπτικό λίπασμα έχει δηλούμενη περιεκτικότητα για όχι περισσότερα από ένα </w:t>
            </w:r>
            <w:r w:rsidRPr="00AC4460">
              <w:rPr>
                <w:b/>
                <w:i/>
              </w:rPr>
              <w:t>κύρια ή δευτερεύοντα θρεπτικά συστατικά.</w:t>
            </w:r>
            <w:r w:rsidRPr="00AC4460">
              <w:t xml:space="preserve"> </w:t>
            </w:r>
            <w:r w:rsidRPr="00AC4460">
              <w:rPr>
                <w:b/>
                <w:i/>
              </w:rPr>
              <w:t>Τα απλά υγρά ανόργανα κύρια θρεπτικά συστατικά μπορούν επίσης να έχουν δευτερεύοντα θρεπτικά συστατικά.</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 – σημείο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w:t>
            </w:r>
            <w:r w:rsidRPr="00AC4460">
              <w:tab/>
              <w:t xml:space="preserve">Το προϊόν λίπανσης με σήμανση CE περιέχει ένα από τα </w:t>
            </w:r>
            <w:r w:rsidRPr="00AC4460">
              <w:rPr>
                <w:b/>
                <w:i/>
              </w:rPr>
              <w:t>παρακάτω</w:t>
            </w:r>
            <w:r w:rsidRPr="00AC4460">
              <w:t xml:space="preserve"> δηλούμενα θρεπτικά συστατικά στην καθοριζόμενη ελάχιστη ποσότητα:</w:t>
            </w:r>
          </w:p>
        </w:tc>
        <w:tc>
          <w:tcPr>
            <w:tcW w:w="4876" w:type="dxa"/>
            <w:hideMark/>
          </w:tcPr>
          <w:p w:rsidR="00E451E4" w:rsidRPr="00AC4460" w:rsidRDefault="00E451E4" w:rsidP="000A61DD">
            <w:pPr>
              <w:pStyle w:val="Normal6"/>
              <w:rPr>
                <w:szCs w:val="24"/>
              </w:rPr>
            </w:pPr>
            <w:r w:rsidRPr="00AC4460">
              <w:t>2.</w:t>
            </w:r>
            <w:r w:rsidRPr="00AC4460">
              <w:tab/>
              <w:t xml:space="preserve">Το προϊόν λίπανσης με σήμανση CE περιέχει ένα από τα </w:t>
            </w:r>
            <w:r w:rsidRPr="00AC4460">
              <w:rPr>
                <w:b/>
                <w:i/>
              </w:rPr>
              <w:t>κύρια</w:t>
            </w:r>
            <w:r w:rsidRPr="00AC4460">
              <w:t xml:space="preserve"> δηλούμενα θρεπτικά συστατικά στην καθοριζόμενη ελάχιστη ποσότητα:</w:t>
            </w:r>
          </w:p>
        </w:tc>
      </w:tr>
    </w:tbl>
    <w:p w:rsidR="00E451E4" w:rsidRPr="00CB12FD" w:rsidRDefault="00E451E4" w:rsidP="000A61DD">
      <w:r>
        <w:rPr>
          <w:rStyle w:val="HideTWBExt"/>
          <w:noProof w:val="0"/>
        </w:rPr>
        <w:t>&lt;/Amend&gt;</w:t>
      </w: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1(Β) (I) (β) (i) – σημείο 2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 xml:space="preserve">ολικό </w:t>
            </w:r>
            <w:r w:rsidRPr="00AC4460">
              <w:t>πεντοξείδιο του φωσφόρου (P2O5) 5% κατά μάζα,</w:t>
            </w:r>
          </w:p>
        </w:tc>
        <w:tc>
          <w:tcPr>
            <w:tcW w:w="4876" w:type="dxa"/>
            <w:hideMark/>
          </w:tcPr>
          <w:p w:rsidR="00E451E4" w:rsidRPr="00AC4460" w:rsidRDefault="00E451E4" w:rsidP="000A61DD">
            <w:pPr>
              <w:pStyle w:val="Normal6"/>
              <w:rPr>
                <w:szCs w:val="24"/>
              </w:rPr>
            </w:pPr>
            <w:r w:rsidRPr="00AC4460">
              <w:t>-</w:t>
            </w:r>
            <w:r w:rsidRPr="00AC4460">
              <w:tab/>
              <w:t>πεντοξείδιο του φωσφόρου (P2O5) 5% κατά μάζα,</w:t>
            </w:r>
            <w:r w:rsidRPr="00AC4460">
              <w:rPr>
                <w:b/>
                <w:i/>
              </w:rPr>
              <w:t xml:space="preserve">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79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 – σημείο 2 – περίπτωση 3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και μπορεί να περιέχει ένα ή περισσότερα δευτερεύοντα θρεπτικά συστατικά στην ελάχιστη δηλούμενη ποσότητα: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 – σημείο 2 – περίπτωση 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ολικό τριοξείδιο του θείου (SO3) 5% κατά μάζα,</w:t>
            </w:r>
            <w:r w:rsidRPr="00AC4460">
              <w:rPr>
                <w:b/>
                <w:i/>
              </w:rPr>
              <w:t xml:space="preserve"> ή</w:t>
            </w:r>
          </w:p>
        </w:tc>
        <w:tc>
          <w:tcPr>
            <w:tcW w:w="4876" w:type="dxa"/>
            <w:hideMark/>
          </w:tcPr>
          <w:p w:rsidR="00E451E4" w:rsidRPr="00AC4460" w:rsidRDefault="00E451E4" w:rsidP="000A61DD">
            <w:pPr>
              <w:pStyle w:val="Normal6"/>
              <w:rPr>
                <w:szCs w:val="24"/>
              </w:rPr>
            </w:pPr>
            <w:r w:rsidRPr="00AC4460">
              <w:t>-</w:t>
            </w:r>
            <w:r w:rsidRPr="00AC4460">
              <w:tab/>
              <w:t>ολικό τριοξείδιο του θείου (SO3) 5% κατά μάζα,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 – σημείο 2 – περίπτωση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νατρίου (Na2O) </w:t>
            </w:r>
            <w:r w:rsidRPr="00AC4460">
              <w:rPr>
                <w:b/>
                <w:i/>
              </w:rPr>
              <w:t xml:space="preserve">1 </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νατρίου (Na2O) </w:t>
            </w:r>
            <w:r w:rsidRPr="00AC4460">
              <w:rPr>
                <w:b/>
                <w:i/>
              </w:rPr>
              <w:t>από 0,5% έως 5</w:t>
            </w:r>
            <w:r w:rsidRPr="00AC4460">
              <w:t>% κατά μάζα.</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κύρια θρεπτικά συστατικά N, P2O5 και K2O είναι τα κύρια στοιχεία που απαιτούνται για την αποδοτική ανάπτυξη των φυτών, ενώ τα δευτερεύοντα θρεπτικά συστατικά MgO, CaO, SO3 και Na2O στηρίζουν μόνο τις λειτουργίες των κύριων στοιχείων. Η εξάλειψη του διαχωρισμού μεταξύ των δύο ομάδων θρεπτικών συστατικών ενδέχεται να προκαλέσει σύγχυση τους γεωργούς. Ως εκ τούτου, τα σύνθετα στερεά μακροθρεπτικά λιπάσματα θα πρέπει να αποτελούνται από περισσότερα από ένα κύρια θρεπτικά συστατικά και, ενδεχομένως, από ένα ή περισσότερα δευτερεύοντα θρεπτικά συστατικά. Οι διατάξεις για την επισήμανση αναγνωρίζουν εμμέσως τη διάκριση μεταξύ κύριων και δευτερευόντων θρεπτικών συστατικών καθώς απαιτούν οι πληροφορίες για τα κύρια θρεπτικά συστατικά να παρέχονται πρώτες.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w:t>
            </w:r>
            <w:r w:rsidRPr="00AC4460">
              <w:tab/>
              <w:t>Ένα σύνθετο υγρό ανόργανο μακροθρεπτικό λίπασμα έχει δηλούμενη περιεκτικότητα για περισσότερα από ένα θρεπτικά συστατικά.</w:t>
            </w:r>
          </w:p>
        </w:tc>
        <w:tc>
          <w:tcPr>
            <w:tcW w:w="4876" w:type="dxa"/>
            <w:hideMark/>
          </w:tcPr>
          <w:p w:rsidR="00E451E4" w:rsidRPr="00AC4460" w:rsidRDefault="00E451E4" w:rsidP="000A61DD">
            <w:pPr>
              <w:pStyle w:val="Normal6"/>
              <w:rPr>
                <w:szCs w:val="24"/>
              </w:rPr>
            </w:pPr>
            <w:r w:rsidRPr="00AC4460">
              <w:t>1.</w:t>
            </w:r>
            <w:r w:rsidRPr="00AC4460">
              <w:tab/>
              <w:t xml:space="preserve">Ένα σύνθετο υγρό ανόργανο μακροθρεπτικό λίπασμα έχει δηλούμενη περιεκτικότητα για περισσότερα από ένα </w:t>
            </w:r>
            <w:r w:rsidRPr="00AC4460">
              <w:rPr>
                <w:b/>
                <w:i/>
              </w:rPr>
              <w:t xml:space="preserve">κύρια </w:t>
            </w:r>
            <w:r w:rsidRPr="00AC4460">
              <w:t>θρεπτικά συστατικά.</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2 – περίπτωση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άζωτο (N) </w:t>
            </w:r>
            <w:r w:rsidRPr="00AC4460">
              <w:rPr>
                <w:b/>
                <w:i/>
              </w:rPr>
              <w:t>1,5</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άζωτο (N) </w:t>
            </w:r>
            <w:r w:rsidRPr="00AC4460">
              <w:rPr>
                <w:b/>
                <w:i/>
              </w:rPr>
              <w:t>3</w:t>
            </w:r>
            <w:r w:rsidRPr="00AC4460">
              <w:t xml:space="preserve">% κατά μάζα, </w:t>
            </w:r>
            <w:r w:rsidRPr="00AC4460">
              <w:rPr>
                <w:b/>
                <w:i/>
              </w:rPr>
              <w:t>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ανόργανα λιπάσματα, και ιδιαίτερα τα σύνθετα υγρά ανόργανα μακροθρεπτικά λιπάσματα, πρέπει να περιέχουν ένα ελάχιστο επίπεδο θρεπτικών συστατικών προκειμένου να είναι αποτελεσματικά από γεωπονική άποψη και να βοηθούν τους γεωργούς να ενισχύσουν τις αποδόσεις των καλλιεργειών. Προϊόντα λίπανσης με πολύ χαμηλή περιεκτικότητα σε θρεπτικά συστατικά δεν θα ήταν αποτελεσματικά. Οι γεωργοί θα έπρεπε να χρησιμοποιούν μεγάλες ποσότητες προϊόντων για να καλύψουν τις ανάγκες των καλλιεργειών, γεγονός που θα καθιστούσε τη μεταφορά, την αποθήκευση και την εφαρμογή περισσότερο δαπανηρές και λιγότερο αποδοτικές ως προς τους πόρους.</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2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 xml:space="preserve">ολικό </w:t>
            </w:r>
            <w:r w:rsidRPr="00AC4460">
              <w:t>πεντοξείδιο του φωσφόρου (P2O5) 1,5</w:t>
            </w:r>
            <w:r w:rsidRPr="00AC4460">
              <w:rPr>
                <w:b/>
                <w:i/>
              </w:rPr>
              <w:t xml:space="preserve"> </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πεντοξείδιο του φωσφόρου (P2O5) 1,5% κατά μάζα,</w:t>
            </w:r>
            <w:r w:rsidRPr="00AC4460">
              <w:rPr>
                <w:b/>
                <w:i/>
              </w:rPr>
              <w:t xml:space="preserve">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2 – περίπτωση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καλίου (K2O) </w:t>
            </w:r>
            <w:r w:rsidRPr="00AC4460">
              <w:rPr>
                <w:b/>
                <w:i/>
              </w:rPr>
              <w:t>1,5</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καλίου (K2O) </w:t>
            </w:r>
            <w:r w:rsidRPr="00AC4460">
              <w:rPr>
                <w:b/>
                <w:i/>
              </w:rPr>
              <w:t>3</w:t>
            </w:r>
            <w:r w:rsidRPr="00AC4460">
              <w:t>% κατά μάζα</w:t>
            </w:r>
            <w:r w:rsidRPr="00AC4460">
              <w:rPr>
                <w:b/>
                <w:i/>
              </w:rPr>
              <w:t>, 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ανόργανα λιπάσματα, και ιδιαίτερα τα σύνθετα υγρά ανόργανα μακροθρεπτικά λιπάσματα, πρέπει να περιέχουν ένα ελάχιστο επίπεδο θρεπτικών συστατικών προκειμένου να είναι αποτελεσματικά από γεωπονική άποψη και να βοηθούν τους γεωργούς να ενισχύσουν τις αποδόσεις των καλλιεργειών. Προϊόντα λίπανσης με πολύ χαμηλή περιεκτικότητα σε θρεπτικά συστατικά δεν θα ήταν αποτελεσματικά. Οι γεωργοί θα έπρεπε να χρησιμοποιούν μεγάλες ποσότητες προϊόντων για να καλύψουν τις ανάγκες των καλλιεργειών, γεγονός που θα καθιστούσε τη μεταφορά, την αποθήκευση και την εφαρμογή περισσότερο δαπανηρές και λιγότερο αποδοτικές ως προς τους πόρους.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2 – περίπτωση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μαγνησίου (MgO) </w:t>
            </w:r>
            <w:r w:rsidRPr="00AC4460">
              <w:rPr>
                <w:b/>
                <w:i/>
              </w:rPr>
              <w:t>0,75</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μαγνησίου (MgO) </w:t>
            </w:r>
            <w:r w:rsidRPr="00AC4460">
              <w:rPr>
                <w:b/>
                <w:i/>
              </w:rPr>
              <w:t>1,5</w:t>
            </w:r>
            <w:r w:rsidRPr="00AC4460">
              <w:t xml:space="preserve">% κατά μάζα, </w:t>
            </w:r>
            <w:r w:rsidRPr="00AC4460">
              <w:rPr>
                <w:b/>
                <w:i/>
              </w:rPr>
              <w:t>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ανόργανα λιπάσματα, και ιδιαίτερα τα σύνθετα υγρά ανόργανα μακροθρεπτικά λιπάσματα, πρέπει να περιέχουν ένα ελάχιστο επίπεδο θρεπτικών συστατικών προκειμένου να είναι αποτελεσματικά από γεωπονική άποψη και να βοηθούν τους γεωργούς να ενισχύσουν τις αποδόσεις των καλλιεργειών. Προϊόντα λίπανσης με πολύ χαμηλή περιεκτικότητα σε θρεπτικά συστατικά δεν θα ήταν αποτελεσματικά. Οι γεωργοί θα έπρεπε να χρησιμοποιούν μεγάλες ποσότητες προϊόντων για να καλύψουν τις ανάγκες των καλλιεργειών, γεγονός που θα καθιστούσε τη μεταφορά, την αποθήκευση και την εφαρμογή περισσότερο δαπανηρές και λιγότερο αποδοτικές ως προς τους πόρους.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2 – περίπτωση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οξείδιο του ασβεστίου (CaO) </w:t>
            </w:r>
            <w:r w:rsidRPr="00AC4460">
              <w:rPr>
                <w:b/>
                <w:i/>
              </w:rPr>
              <w:t>0,75</w:t>
            </w:r>
            <w:r w:rsidRPr="00AC4460">
              <w:t>% κατά μάζα,</w:t>
            </w:r>
          </w:p>
        </w:tc>
        <w:tc>
          <w:tcPr>
            <w:tcW w:w="4876" w:type="dxa"/>
            <w:hideMark/>
          </w:tcPr>
          <w:p w:rsidR="00E451E4" w:rsidRPr="00AC4460" w:rsidRDefault="00E451E4" w:rsidP="000A61DD">
            <w:pPr>
              <w:pStyle w:val="Normal6"/>
              <w:rPr>
                <w:szCs w:val="24"/>
              </w:rPr>
            </w:pPr>
            <w:r w:rsidRPr="00AC4460">
              <w:t>-</w:t>
            </w:r>
            <w:r w:rsidRPr="00AC4460">
              <w:tab/>
              <w:t xml:space="preserve">ολικό οξείδιο του ασβεστίου (CaO) </w:t>
            </w:r>
            <w:r w:rsidRPr="00AC4460">
              <w:rPr>
                <w:b/>
                <w:i/>
              </w:rPr>
              <w:t>1,5</w:t>
            </w:r>
            <w:r w:rsidRPr="00AC4460">
              <w:t xml:space="preserve">% κατά μάζα, </w:t>
            </w:r>
            <w:r w:rsidRPr="00AC4460">
              <w:rPr>
                <w:b/>
                <w:i/>
              </w:rPr>
              <w:t>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ανόργανα λιπάσματα, και ιδιαίτερα τα σύνθετα υγρά ανόργανα μακροθρεπτικά λιπάσματα, πρέπει να περιέχουν ένα ελάχιστο επίπεδο θρεπτικών συστατικών προκειμένου να είναι αποτελεσματικά από γεωπονική άποψη και να βοηθούν τους γεωργούς να ενισχύσουν τις αποδόσεις των καλλιεργειών. Προϊόντα λίπανσης με πολύ χαμηλή περιεκτικότητα σε θρεπτικά συστατικά δεν θα ήταν αποτελεσματικά. Οι γεωργοί θα έπρεπε να χρησιμοποιούν μεγάλες ποσότητες προϊόντων για να καλύψουν τις ανάγκες των καλλιεργειών, γεγονός που θα καθιστούσε τη μεταφορά, την αποθήκευση και την εφαρμογή περισσότερο δαπανηρές και λιγότερο αποδοτικές ως προς τους πόρους.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1(Γ) (I) (β) (ii) – σημείο 2 – περίπτωση 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t xml:space="preserve">ολικό τριοξείδιο του θείου (SO3) </w:t>
            </w:r>
            <w:r w:rsidRPr="00AC4460">
              <w:rPr>
                <w:b/>
                <w:i/>
              </w:rPr>
              <w:t>0,75</w:t>
            </w:r>
            <w:r w:rsidRPr="00AC4460">
              <w:t>% κατά μάζα, ή</w:t>
            </w:r>
          </w:p>
        </w:tc>
        <w:tc>
          <w:tcPr>
            <w:tcW w:w="4876" w:type="dxa"/>
            <w:hideMark/>
          </w:tcPr>
          <w:p w:rsidR="00E451E4" w:rsidRPr="00AC4460" w:rsidRDefault="00E451E4" w:rsidP="000A61DD">
            <w:pPr>
              <w:pStyle w:val="Normal6"/>
              <w:rPr>
                <w:szCs w:val="24"/>
              </w:rPr>
            </w:pPr>
            <w:r w:rsidRPr="00AC4460">
              <w:t>-</w:t>
            </w:r>
            <w:r w:rsidRPr="00AC4460">
              <w:tab/>
              <w:t xml:space="preserve">ολικό τριοξείδιο του θείου (SO3) </w:t>
            </w:r>
            <w:r w:rsidRPr="00AC4460">
              <w:rPr>
                <w:b/>
                <w:i/>
              </w:rPr>
              <w:t>1,5</w:t>
            </w:r>
            <w:r w:rsidRPr="00AC4460">
              <w:t>% κατά μάζα, 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ανόργανα λιπάσματα, και ιδιαίτερα τα σύνθετα υγρά ανόργανα μακροθρεπτικά λιπάσματα, πρέπει να περιέχουν ένα ελάχιστο επίπεδο θρεπτικών συστατικών προκειμένου να είναι αποτελεσματικά από γεωπονική άποψη και να βοηθούν τους γεωργούς να ενισχύσουν τις αποδόσεις των καλλιεργειών. Προϊόντα λίπανσης με πολύ χαμηλή περιεκτικότητα σε θρεπτικά συστατικά δεν θα ήταν αποτελεσματικά. Οι γεωργοί θα έπρεπε να χρησιμοποιούν μεγάλες ποσότητες προϊόντων για να καλύψουν τις ανάγκες των καλλιεργειών, γεγονός που θα καθιστούσε τη μεταφορά, την αποθήκευση και την εφαρμογή περισσότερο δαπανηρές και λιγότερο αποδοτικές ως προς τους πόρους.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89</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1 (Γ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 xml:space="preserve">ΚΛΠ 1(Γα): Λίπασμα χαμηλής περιεκτικότητας σε άνθρακα </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1.</w:t>
            </w:r>
            <w:r w:rsidRPr="00AC4460">
              <w:rPr>
                <w:b/>
                <w:i/>
                <w:szCs w:val="24"/>
              </w:rPr>
              <w:tab/>
              <w:t>Ένα προϊόν λίπανσης με σήμανση CE, εκτός από αυτά που περιλαμβάνονται στις ΚΛΠ 1(Α), ΚΛΠ 1(Β), ΚΛΠ 1(Γ) ή ΚΛΠ 7, ορίζεται ως λίπασμα χαμηλής περιεκτικότητας σε άνθρακα εάν περιέχει περισσότερο από 1 % και μέχρι 7,5% οργανικό άνθρακα (Corg).</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2.</w:t>
            </w:r>
            <w:r w:rsidRPr="00AC4460">
              <w:rPr>
                <w:b/>
                <w:i/>
                <w:szCs w:val="24"/>
              </w:rPr>
              <w:tab/>
              <w:t>Ο άνθρακας που περιέχεται στο ασβεστοκυαναμίδιο και στην ουρία, καθώς και στα προϊόντα συμπύκνωσης και συνδυασμού αυτής, δεν περιλαμβάνεται στον οργανικό άνθρακα για τον σκοπό αυτού του ορισμού.</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3.</w:t>
            </w:r>
            <w:r w:rsidRPr="00AC4460">
              <w:rPr>
                <w:b/>
                <w:i/>
                <w:szCs w:val="24"/>
              </w:rPr>
              <w:tab/>
              <w:t>Οι προδιαγραφές των στερεών/υγρών, απλών/σύνθετων, μακροθρεπτικών/μικροθρεπτικών λιπασμάτων της ΚΛΠ 1(Γ) θα ισχύουν για τον σκοπό αυτής της κατηγορίας.</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4.</w:t>
            </w:r>
            <w:r w:rsidRPr="00AC4460">
              <w:rPr>
                <w:b/>
                <w:i/>
                <w:szCs w:val="24"/>
              </w:rPr>
              <w:tab/>
              <w:t>Τα προϊόντα που πωλούνται και ανήκουν στην ΚΛΠ 1(Γα) συμμορφώνονται με τα επίπεδα προσμείξεων, όπως ορίζονται στο παράρτημα I για οργανικά ή οργανοανόργανα λιπάσματα, σε κάθε περίπτωση που η ΚΛΠ 1(Γ) δεν περιλαμβάνει οριακές τιμές για τις εν λόγω προσμείξεις.</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2 – παράγραφος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w:t>
            </w:r>
            <w:r w:rsidRPr="00AC4460">
              <w:tab/>
              <w:t xml:space="preserve">Ένα υλικό ασβέστωσης είναι προϊόν </w:t>
            </w:r>
            <w:r w:rsidRPr="00AC4460">
              <w:rPr>
                <w:b/>
                <w:i/>
              </w:rPr>
              <w:t xml:space="preserve">λίπανσης </w:t>
            </w:r>
            <w:r w:rsidRPr="00AC4460">
              <w:t>με σήμανση CE που προορίζεται για τη διόρθωση της οξύτητας του εδάφους και που περιέχει οξείδια, υδροξείδια, ανθρακικά ή πυριτικά άλατα των θρεπτικών συστατικών ασβέστιο (Ca) ή μαγνήσιο (Mg).</w:t>
            </w:r>
          </w:p>
        </w:tc>
        <w:tc>
          <w:tcPr>
            <w:tcW w:w="4876" w:type="dxa"/>
            <w:hideMark/>
          </w:tcPr>
          <w:p w:rsidR="00E451E4" w:rsidRPr="00AC4460" w:rsidRDefault="00E451E4" w:rsidP="000A61DD">
            <w:pPr>
              <w:pStyle w:val="Normal6"/>
              <w:rPr>
                <w:szCs w:val="24"/>
              </w:rPr>
            </w:pPr>
            <w:r w:rsidRPr="00AC4460">
              <w:t>1.</w:t>
            </w:r>
            <w:r w:rsidRPr="00AC4460">
              <w:tab/>
              <w:t>Ένα υλικό ασβέστωσης είναι προϊόν με σήμανση CE που προορίζεται για τη διόρθωση της οξύτητας του εδάφους και που περιέχει οξείδια, υδροξείδια, ανθρακικά ή πυριτικά άλατα των θρεπτικών συστατικών ασβέστιο (Ca) ή μαγνήσιο (Mg).</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απαραίτητο να υπάρξει διάκριση μεταξύ των προϊόντων που βελτιώνουν τη θρεπτική αποδοτικότητα των λιπασμάτων και των καθαυτό λιπασμάτων (που προσθέτουν θρεπτικές ουσίες). Αυτή η τροπολογία θα πρέπει να εφαρμοστεί σε όλα τα προϊόντα που περιλαμβάνονται στον παρόντα κανονισμό, η λειτουργία των οποίων είναι η βελτίωση της αποδοτικότητας της θρέψης των φυτών.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3 – παράγραφος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 xml:space="preserve">Ένα βελτιωτικό εδάφους είναι </w:t>
            </w:r>
            <w:r w:rsidRPr="00AC4460">
              <w:rPr>
                <w:b/>
                <w:i/>
              </w:rPr>
              <w:t>προϊόν λίπανσης με σήμανση CE</w:t>
            </w:r>
            <w:r w:rsidRPr="00AC4460">
              <w:t xml:space="preserve"> που </w:t>
            </w:r>
            <w:r w:rsidRPr="00AC4460">
              <w:rPr>
                <w:b/>
                <w:i/>
              </w:rPr>
              <w:t>προορίζεται να προστεθεί</w:t>
            </w:r>
            <w:r w:rsidRPr="00AC4460">
              <w:t xml:space="preserve"> στο έδαφος </w:t>
            </w:r>
            <w:r w:rsidRPr="00AC4460">
              <w:rPr>
                <w:b/>
                <w:i/>
              </w:rPr>
              <w:t>με στόχο τη διατήρηση, τη βελτίωση</w:t>
            </w:r>
            <w:r w:rsidRPr="00AC4460">
              <w:t xml:space="preserve"> ή </w:t>
            </w:r>
            <w:r w:rsidRPr="00AC4460">
              <w:rPr>
                <w:b/>
                <w:i/>
              </w:rPr>
              <w:t>την προστασία</w:t>
            </w:r>
            <w:r w:rsidRPr="00AC4460">
              <w:t xml:space="preserve"> των φυσικών </w:t>
            </w:r>
            <w:r w:rsidRPr="00AC4460">
              <w:rPr>
                <w:b/>
                <w:i/>
              </w:rPr>
              <w:t>ή χημικών ιδιοτήτων</w:t>
            </w:r>
            <w:r w:rsidRPr="00AC4460">
              <w:t xml:space="preserve">, </w:t>
            </w:r>
            <w:r w:rsidRPr="00AC4460">
              <w:rPr>
                <w:b/>
                <w:i/>
              </w:rPr>
              <w:t>της δομής</w:t>
            </w:r>
            <w:r w:rsidRPr="00AC4460">
              <w:t xml:space="preserve"> ή</w:t>
            </w:r>
            <w:r w:rsidRPr="00AC4460">
              <w:rPr>
                <w:b/>
                <w:i/>
              </w:rPr>
              <w:t xml:space="preserve"> της βιολογικής δραστηριότητας</w:t>
            </w:r>
            <w:r w:rsidRPr="00AC4460">
              <w:t xml:space="preserve"> του εδάφους.</w:t>
            </w:r>
          </w:p>
        </w:tc>
        <w:tc>
          <w:tcPr>
            <w:tcW w:w="4876" w:type="dxa"/>
            <w:hideMark/>
          </w:tcPr>
          <w:p w:rsidR="00E451E4" w:rsidRPr="00AC4460" w:rsidRDefault="00E451E4" w:rsidP="000A61DD">
            <w:pPr>
              <w:pStyle w:val="Normal6"/>
              <w:rPr>
                <w:szCs w:val="24"/>
              </w:rPr>
            </w:pPr>
            <w:r w:rsidRPr="00AC4460">
              <w:t xml:space="preserve">Ένα βελτιωτικό εδάφους είναι </w:t>
            </w:r>
            <w:r w:rsidRPr="00AC4460">
              <w:rPr>
                <w:b/>
                <w:i/>
              </w:rPr>
              <w:t>ένα υλικό (συμπεριλαμβανομένης της εδαφοκάλυψης)</w:t>
            </w:r>
            <w:r w:rsidRPr="00AC4460">
              <w:t xml:space="preserve"> που </w:t>
            </w:r>
            <w:r w:rsidRPr="00AC4460">
              <w:rPr>
                <w:b/>
                <w:i/>
              </w:rPr>
              <w:t>προστίθεται</w:t>
            </w:r>
            <w:r w:rsidRPr="00AC4460">
              <w:t xml:space="preserve"> στο έδαφος </w:t>
            </w:r>
            <w:r w:rsidRPr="00AC4460">
              <w:rPr>
                <w:b/>
                <w:i/>
              </w:rPr>
              <w:t>επιτόπου, κατά κύριο λόγο για διατήρηση</w:t>
            </w:r>
            <w:r w:rsidRPr="00AC4460">
              <w:t xml:space="preserve"> ή </w:t>
            </w:r>
            <w:r w:rsidRPr="00AC4460">
              <w:rPr>
                <w:b/>
                <w:i/>
              </w:rPr>
              <w:t>βελτίωση</w:t>
            </w:r>
            <w:r w:rsidRPr="00AC4460">
              <w:t xml:space="preserve"> των φυσικών </w:t>
            </w:r>
            <w:r w:rsidRPr="00AC4460">
              <w:rPr>
                <w:b/>
                <w:i/>
              </w:rPr>
              <w:t>ιδιοτήτων του εδάφους</w:t>
            </w:r>
            <w:r w:rsidRPr="00AC4460">
              <w:t xml:space="preserve">, </w:t>
            </w:r>
            <w:r w:rsidRPr="00AC4460">
              <w:rPr>
                <w:b/>
                <w:i/>
              </w:rPr>
              <w:t>και το οποίο ενδέχεται να βελτιώσει τις χημικές</w:t>
            </w:r>
            <w:r w:rsidRPr="00AC4460">
              <w:t xml:space="preserve"> ή</w:t>
            </w:r>
            <w:r w:rsidRPr="00AC4460">
              <w:rPr>
                <w:b/>
                <w:i/>
              </w:rPr>
              <w:t>/και βιολογικές ιδιότητες ή τη δραστηριότητα</w:t>
            </w:r>
            <w:r w:rsidRPr="00AC4460">
              <w:t xml:space="preserve"> του εδάφους. </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βελτιωτικά εδάφους προστίθενται επίσης επάνω στο έδαφος (ως εδαφοκάλυψη) για τη μείωση της εξάτμισης, τον περιορισμό ανάπτυξης ζιζανίων και την αύξηση της βιολογικής δραστηριότητας στις υποστοιβάδες. Αυτά τα βελτιωτικά εδάφους δεν θα καλύπτονται από τη νομοθεσία εάν δεν αλλάξει ο ορισμός τους.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3 – παράγραφος 1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Το προϊόν λίπανσης με σήμανση CE περιέχει τουλάχιστον 15% υλικό βιολογικής προέλευσης.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93</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3 (Α) – σημείο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w:t>
            </w:r>
            <w:r w:rsidRPr="00AC4460">
              <w:tab/>
              <w:t>Ένα οργανικό βελτιωτικό εδάφους αποτελείται αποκλειστικά από υλικά βιολογικής προέλευσης, εξαιρουμένων των απολιθωμένων ή ενσωματωμένων σε γεωλογικούς σχηματισμούς υλικών.</w:t>
            </w:r>
          </w:p>
        </w:tc>
        <w:tc>
          <w:tcPr>
            <w:tcW w:w="4876" w:type="dxa"/>
          </w:tcPr>
          <w:p w:rsidR="00E451E4" w:rsidRPr="00AC4460" w:rsidRDefault="00E451E4" w:rsidP="000A61DD">
            <w:pPr>
              <w:pStyle w:val="Normal6"/>
              <w:rPr>
                <w:szCs w:val="24"/>
              </w:rPr>
            </w:pPr>
            <w:r w:rsidRPr="00AC4460">
              <w:t>1.</w:t>
            </w:r>
            <w:r w:rsidRPr="00AC4460">
              <w:tab/>
              <w:t>Ένα οργανικό βελτιωτικό εδάφους αποτελείται αποκλειστικά από υλικά βιολογικής προέλευσης, εξαιρουμένων των απολιθωμένων ή ενσωματωμένων σε γεωλογικούς σχηματισμούς υλικών</w:t>
            </w:r>
            <w:r w:rsidRPr="00AC4460">
              <w:rPr>
                <w:b/>
                <w:i/>
              </w:rPr>
              <w:t>, με την εξαίρεση του λεοναρδίτη, του λιγνίτη και της τύρφης</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3(Α) –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w:t>
            </w:r>
            <w:r w:rsidRPr="00AC4460">
              <w:tab/>
              <w:t xml:space="preserve">Στο </w:t>
            </w:r>
            <w:r w:rsidRPr="00AC4460">
              <w:rPr>
                <w:b/>
                <w:i/>
              </w:rPr>
              <w:t>προϊόν λίπανσης</w:t>
            </w:r>
            <w:r w:rsidRPr="00AC4460">
              <w:t xml:space="preserve"> με σήμανση CE δεν πρέπει να υπάρχουν προσμείξεις σε ποσότητες μεγαλύτερες από τις ακόλουθες:</w:t>
            </w:r>
          </w:p>
        </w:tc>
        <w:tc>
          <w:tcPr>
            <w:tcW w:w="4876" w:type="dxa"/>
            <w:hideMark/>
          </w:tcPr>
          <w:p w:rsidR="00E451E4" w:rsidRPr="00AC4460" w:rsidRDefault="00E451E4" w:rsidP="000A61DD">
            <w:pPr>
              <w:pStyle w:val="Normal6"/>
              <w:rPr>
                <w:szCs w:val="24"/>
              </w:rPr>
            </w:pPr>
            <w:r w:rsidRPr="00AC4460">
              <w:t>2.</w:t>
            </w:r>
            <w:r w:rsidRPr="00AC4460">
              <w:tab/>
              <w:t xml:space="preserve">Στο </w:t>
            </w:r>
            <w:r w:rsidRPr="00AC4460">
              <w:rPr>
                <w:b/>
                <w:i/>
              </w:rPr>
              <w:t>οργανικό βελτιωτικό εδάφους</w:t>
            </w:r>
            <w:r w:rsidRPr="00AC4460">
              <w:t xml:space="preserve"> με σήμανση CE δεν πρέπει να υπάρχουν προσμείξεις σε ποσότητες μεγαλύτερες από τις ακόλουθες: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απαραίτητο να γίνει διάκριση μεταξύ των προϊόντων που βελτιώνουν την θρεπτική αποδοτικότητα (προϊόντα ασβέστωσης) και των προϊόντων που προσθέτουν θρεπτικές ουσίες (λιπάσματα).</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95</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3(Α) – παράγραφος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4.</w:t>
            </w:r>
            <w:r w:rsidRPr="00AC4460">
              <w:tab/>
              <w:t xml:space="preserve">Το προϊόν λίπανσης με σήμανση CE περιέχει τουλάχιστον </w:t>
            </w:r>
            <w:r w:rsidRPr="00AC4460">
              <w:rPr>
                <w:b/>
                <w:i/>
              </w:rPr>
              <w:t>40</w:t>
            </w:r>
            <w:r w:rsidRPr="00AC4460">
              <w:t xml:space="preserve"> % ξηρά ουσία.</w:t>
            </w:r>
          </w:p>
        </w:tc>
        <w:tc>
          <w:tcPr>
            <w:tcW w:w="4876" w:type="dxa"/>
          </w:tcPr>
          <w:p w:rsidR="00E451E4" w:rsidRPr="00AC4460" w:rsidRDefault="00E451E4" w:rsidP="000A61DD">
            <w:pPr>
              <w:pStyle w:val="Normal6"/>
              <w:rPr>
                <w:szCs w:val="24"/>
              </w:rPr>
            </w:pPr>
            <w:r w:rsidRPr="00AC4460">
              <w:t>4.</w:t>
            </w:r>
            <w:r w:rsidRPr="00AC4460">
              <w:tab/>
              <w:t xml:space="preserve">Το προϊόν λίπανσης με σήμανση CE περιέχει τουλάχιστον </w:t>
            </w:r>
            <w:r w:rsidRPr="00AC4460">
              <w:rPr>
                <w:b/>
                <w:i/>
              </w:rPr>
              <w:t>20</w:t>
            </w:r>
            <w:r w:rsidRPr="00AC4460">
              <w:t>% ξηρά ουσία.</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3 (Β) – παράγραφος 1 α (νέα)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1α.</w:t>
            </w:r>
            <w:r w:rsidRPr="00AC4460">
              <w:rPr>
                <w:b/>
                <w:i/>
              </w:rPr>
              <w:tab/>
              <w:t>Μια βιοαποδομήσιμη στρώση εδαφοκάλυψης είναι μια βιοαποδομήσιμη στρώση από πολυμερή, η οποία συμμορφώνεται με τις απαιτήσεις του παραρτήματος ΙΙ ΚΣΥ 10 σημεία 2α και 3 και προορίζεται να τοποθετηθεί στο έδαφος επιτόπου για την προστασία της δομής του, την καταστολή της ανάπτυξης ζιζανίων, τη μείωση της απώλειας υγρασίας ή την αποφυγή διάβρωσης του εδάφους.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παρούσα τροπολογία δημιουργεί μια υποκατηγορία για τις στρώσεις εδαφοκάλυψης που παράγονται από βιοαποδομήσιμα πολυμερή και προορίζονται να προστατεύουν τη δομή του εδάφους, να καταστέλλουν την ανάπτυξη ζιζανίων, να μειώνουν την απώλεια της υγρασίας ή να προλαμβάνουν τη διάβρωση του εδάφους.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 xml:space="preserve">Παράρτημα Ι – μέρος ΙΙ – ΚΛΠ 4 – παράγραφος 1 </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w:t>
            </w:r>
            <w:r w:rsidRPr="00AC4460">
              <w:tab/>
              <w:t>Ένα υπόστρωμα καλλιέργειας είναι υλικό άλλο από το χώμα</w:t>
            </w:r>
            <w:r w:rsidRPr="00AC4460">
              <w:rPr>
                <w:b/>
                <w:i/>
              </w:rPr>
              <w:t>, που προορίζεται για χρήση ως υπόστρωμα για την ανάπτυξη των ριζών</w:t>
            </w:r>
            <w:r w:rsidRPr="00AC4460">
              <w:t>.</w:t>
            </w:r>
          </w:p>
        </w:tc>
        <w:tc>
          <w:tcPr>
            <w:tcW w:w="4876" w:type="dxa"/>
            <w:hideMark/>
          </w:tcPr>
          <w:p w:rsidR="00E451E4" w:rsidRPr="00AC4460" w:rsidRDefault="00E451E4" w:rsidP="000A61DD">
            <w:pPr>
              <w:pStyle w:val="Normal6"/>
              <w:rPr>
                <w:szCs w:val="24"/>
              </w:rPr>
            </w:pPr>
            <w:r w:rsidRPr="00AC4460">
              <w:t>1.</w:t>
            </w:r>
            <w:r w:rsidRPr="00AC4460">
              <w:tab/>
              <w:t>Ένα υπόστρωμα καλλιέργειας είναι υλικό άλλο από το χώμα</w:t>
            </w:r>
            <w:r w:rsidRPr="00AC4460">
              <w:rPr>
                <w:b/>
                <w:i/>
              </w:rPr>
              <w:t xml:space="preserve"> επιτόπου στο οποίο αναπτύσσονται φυτά και μανιτάρια</w:t>
            </w:r>
            <w:r w:rsidRPr="00AC4460">
              <w:t>.</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rPr>
          <w:rStyle w:val="HideTWBExt"/>
          <w:noProof w:val="0"/>
        </w:rPr>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 – παράγραφος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 xml:space="preserve">Ένα γεωπονικό πρόσθετο είναι προϊόν λίπανσης με σήμανση CE που προορίζεται να προστεθεί σε προϊόν </w:t>
            </w:r>
            <w:r w:rsidRPr="00AC4460">
              <w:rPr>
                <w:b/>
                <w:i/>
              </w:rPr>
              <w:t>το οποίο παρέχει θρεπτικά συστατικά στα</w:t>
            </w:r>
            <w:r w:rsidRPr="00AC4460">
              <w:t xml:space="preserve"> φυτά, με στόχο τη βελτίωση </w:t>
            </w:r>
            <w:r w:rsidRPr="00AC4460">
              <w:rPr>
                <w:b/>
                <w:i/>
              </w:rPr>
              <w:t>του τρόπου απελευθέρωσης</w:t>
            </w:r>
            <w:r w:rsidRPr="00AC4460">
              <w:t xml:space="preserve"> των θρεπτικών συστατικών </w:t>
            </w:r>
            <w:r w:rsidRPr="00AC4460">
              <w:rPr>
                <w:b/>
                <w:i/>
              </w:rPr>
              <w:t>εκείνου του προϊόντος</w:t>
            </w:r>
            <w:r w:rsidRPr="00AC4460">
              <w:t>.</w:t>
            </w:r>
          </w:p>
        </w:tc>
        <w:tc>
          <w:tcPr>
            <w:tcW w:w="4876" w:type="dxa"/>
            <w:hideMark/>
          </w:tcPr>
          <w:p w:rsidR="00E451E4" w:rsidRPr="00AC4460" w:rsidRDefault="00E451E4" w:rsidP="000A61DD">
            <w:pPr>
              <w:pStyle w:val="Normal6"/>
              <w:rPr>
                <w:szCs w:val="24"/>
              </w:rPr>
            </w:pPr>
            <w:r w:rsidRPr="00AC4460">
              <w:t xml:space="preserve">Ένα γεωπονικό πρόσθετο είναι προϊόν λίπανσης με σήμανση CE που προορίζεται να προστεθεί σε </w:t>
            </w:r>
            <w:r w:rsidRPr="00AC4460">
              <w:rPr>
                <w:b/>
                <w:i/>
              </w:rPr>
              <w:t xml:space="preserve">ένα </w:t>
            </w:r>
            <w:r w:rsidRPr="00AC4460">
              <w:t xml:space="preserve">προϊόν </w:t>
            </w:r>
            <w:r w:rsidRPr="00AC4460">
              <w:rPr>
                <w:b/>
                <w:i/>
              </w:rPr>
              <w:t>και έχει αποδεδειγμένη επίδραση στη μετατροπή ή/και διαθεσιμότητα διαφόρων μορφών ανόργανων ή ανοργανοποιημένων θρεπτικών συστατικών για τα</w:t>
            </w:r>
            <w:r w:rsidRPr="00AC4460">
              <w:t xml:space="preserve"> φυτά, </w:t>
            </w:r>
            <w:r w:rsidRPr="00AC4460">
              <w:rPr>
                <w:b/>
                <w:i/>
              </w:rPr>
              <w:t xml:space="preserve">ή που προορίζεται να προστεθεί στο έδαφος </w:t>
            </w:r>
            <w:r w:rsidRPr="00AC4460">
              <w:t xml:space="preserve">με στόχο τη βελτίωση </w:t>
            </w:r>
            <w:r w:rsidRPr="00AC4460">
              <w:rPr>
                <w:b/>
                <w:i/>
              </w:rPr>
              <w:t>της πρόσληψης</w:t>
            </w:r>
            <w:r w:rsidRPr="00AC4460">
              <w:t xml:space="preserve"> των θρεπτικών συστατικών </w:t>
            </w:r>
            <w:r w:rsidRPr="00AC4460">
              <w:rPr>
                <w:b/>
                <w:i/>
              </w:rPr>
              <w:t>από τα φυτά ή τη μείωση των απωλειών θρεπτικών συστατικών</w:t>
            </w:r>
            <w:r w:rsidRPr="00AC4460">
              <w:t>.</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Τα γεωπονικά πρόσθετα συμβάλλουν στην αποτελεσματική αύξηση της θρέψης των καλλιεργειών και στην ελαχιστοποίηση των περιβαλλοντικών επιπτώσεων της λίπανσης. Ο ορισμός που προβλέπεται στο παράρτημα Ι μέρος ΙΙ ΚΛΠ 5 θα πρέπει να βελτιωθεί προκειμένου να αντικατοπτρίζει τα τρέχοντα προϊόντα στην αγορά καθώς και το μελλοντικό δυναμικό των καινοτόμων προϊόντων.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99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5(Α) (I)–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Η κάθε ουσία έχει καταχωριστεί σύμφωνα με τον κανονισμό (ΕΚ) αριθ. 1907/2006</w:t>
            </w:r>
            <w:r w:rsidRPr="00AC4460">
              <w:rPr>
                <w:vertAlign w:val="superscript"/>
              </w:rPr>
              <w:t>36</w:t>
            </w:r>
            <w:r w:rsidRPr="00AC4460">
              <w:rPr>
                <w:b/>
                <w:i/>
              </w:rPr>
              <w:t xml:space="preserve"> με φάκελο</w:t>
            </w:r>
            <w:r w:rsidRPr="00AC4460">
              <w:t xml:space="preserve"> που </w:t>
            </w:r>
            <w:r w:rsidRPr="00AC4460">
              <w:rPr>
                <w:b/>
                <w:i/>
              </w:rPr>
              <w:t>περιέχει</w:t>
            </w:r>
          </w:p>
        </w:tc>
        <w:tc>
          <w:tcPr>
            <w:tcW w:w="4876" w:type="dxa"/>
            <w:hideMark/>
          </w:tcPr>
          <w:p w:rsidR="00E451E4" w:rsidRPr="00AC4460" w:rsidRDefault="00E451E4" w:rsidP="000A61DD">
            <w:pPr>
              <w:pStyle w:val="Normal6"/>
              <w:rPr>
                <w:szCs w:val="24"/>
              </w:rPr>
            </w:pPr>
            <w:r w:rsidRPr="00AC4460">
              <w:t>Η κάθε ουσία έχει καταχωριστεί σύμφωνα με τον κανονισμό (ΕΚ) αριθ. 1907/2006</w:t>
            </w:r>
            <w:r w:rsidRPr="00AC4460">
              <w:rPr>
                <w:vertAlign w:val="superscript"/>
              </w:rPr>
              <w:t>36</w:t>
            </w:r>
            <w:r w:rsidRPr="00AC4460">
              <w:rPr>
                <w:b/>
                <w:i/>
              </w:rPr>
              <w:t>, εκτός εάν αυτή καλύπτεται ρητώς από κάποια από τις εξαιρέσεις από την υποχρέωση καταχώρισης</w:t>
            </w:r>
            <w:r w:rsidRPr="00AC4460">
              <w:t xml:space="preserve"> που </w:t>
            </w:r>
            <w:r w:rsidRPr="00AC4460">
              <w:rPr>
                <w:b/>
                <w:i/>
              </w:rPr>
              <w:t>προβλέπει το άρθρο 6 ή το παράρτημα IV ή V του εν λόγω κανονισμού.</w:t>
            </w:r>
          </w:p>
        </w:tc>
      </w:tr>
      <w:tr w:rsidR="00E451E4" w:rsidRPr="00CB12FD"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36</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hideMark/>
          </w:tcPr>
          <w:p w:rsidR="00E451E4" w:rsidRPr="00AC4460" w:rsidRDefault="00E451E4" w:rsidP="000A61DD">
            <w:pPr>
              <w:pStyle w:val="Normal6"/>
              <w:rPr>
                <w:szCs w:val="24"/>
              </w:rPr>
            </w:pPr>
            <w:r w:rsidRPr="00AC4460">
              <w:rPr>
                <w:vertAlign w:val="superscript"/>
              </w:rPr>
              <w:t>36</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5(Α) – παράγραφος 2 – στοιχείο 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5(Α) – παράγραφος 2 – στοιχείο β</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5(Α) – παράγραφος 2 – εδάφιο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5(Β) –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 Η ουσία έχει καταχωριστεί σύμφωνα με τον κανονισμό (ΕΚ) αριθ. 1907/2006</w:t>
            </w:r>
            <w:r w:rsidRPr="00AC4460">
              <w:rPr>
                <w:vertAlign w:val="superscript"/>
              </w:rPr>
              <w:t>37</w:t>
            </w:r>
            <w:r w:rsidRPr="00AC4460">
              <w:rPr>
                <w:b/>
                <w:i/>
              </w:rPr>
              <w:t xml:space="preserve"> με φάκελο</w:t>
            </w:r>
            <w:r w:rsidRPr="00AC4460">
              <w:t xml:space="preserve"> που </w:t>
            </w:r>
            <w:r w:rsidRPr="00AC4460">
              <w:rPr>
                <w:b/>
                <w:i/>
              </w:rPr>
              <w:t>περιέχει</w:t>
            </w:r>
          </w:p>
        </w:tc>
        <w:tc>
          <w:tcPr>
            <w:tcW w:w="4876" w:type="dxa"/>
            <w:hideMark/>
          </w:tcPr>
          <w:p w:rsidR="00E451E4" w:rsidRPr="00AC4460" w:rsidRDefault="00E451E4" w:rsidP="000A61DD">
            <w:pPr>
              <w:pStyle w:val="Normal6"/>
              <w:rPr>
                <w:szCs w:val="24"/>
              </w:rPr>
            </w:pPr>
            <w:r w:rsidRPr="00AC4460">
              <w:t>2. Η ουσία έχει καταχωριστεί σύμφωνα με τον κανονισμό (ΕΚ) αριθ. 1907/2006</w:t>
            </w:r>
            <w:r w:rsidRPr="00AC4460">
              <w:rPr>
                <w:vertAlign w:val="superscript"/>
              </w:rPr>
              <w:t>37</w:t>
            </w:r>
            <w:r w:rsidRPr="00AC4460">
              <w:rPr>
                <w:b/>
                <w:i/>
              </w:rPr>
              <w:t>, εκτός εάν αυτή καλύπτεται ρητώς από κάποια από τις εξαιρέσεις από την υποχρέωση καταχώρισης</w:t>
            </w:r>
            <w:r w:rsidRPr="00AC4460">
              <w:t xml:space="preserve"> που </w:t>
            </w:r>
            <w:r w:rsidRPr="00AC4460">
              <w:rPr>
                <w:b/>
                <w:i/>
              </w:rPr>
              <w:t>προβλέπει το άρθρο 6 ή το παράρτημα IV ή V του εν λόγω κανονισμού.</w:t>
            </w:r>
          </w:p>
        </w:tc>
      </w:tr>
      <w:tr w:rsidR="00E451E4" w:rsidRPr="00CB12FD"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37</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hideMark/>
          </w:tcPr>
          <w:p w:rsidR="00E451E4" w:rsidRPr="00AC4460" w:rsidRDefault="00E451E4" w:rsidP="000A61DD">
            <w:pPr>
              <w:pStyle w:val="Normal6"/>
              <w:rPr>
                <w:szCs w:val="24"/>
              </w:rPr>
            </w:pPr>
            <w:r w:rsidRPr="00AC4460">
              <w:rPr>
                <w:vertAlign w:val="superscript"/>
              </w:rPr>
              <w:t>37</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5(Β) – παράγραφος 2 – στοιχείο 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5(Β) – παράγραφος 2 – στοιχείο β</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5(Β) – παράγραφος 2 – εδάφιο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 (Γ) –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 Η ουσία έχει καταχωριστεί σύμφωνα με τον κανονισμό (ΕΚ) αριθ. 1907/2006</w:t>
            </w:r>
            <w:r w:rsidRPr="00AC4460">
              <w:rPr>
                <w:vertAlign w:val="superscript"/>
              </w:rPr>
              <w:t>38</w:t>
            </w:r>
            <w:r w:rsidRPr="00AC4460">
              <w:rPr>
                <w:b/>
                <w:i/>
              </w:rPr>
              <w:t xml:space="preserve"> με φάκελο</w:t>
            </w:r>
            <w:r w:rsidRPr="00AC4460">
              <w:t xml:space="preserve"> που </w:t>
            </w:r>
            <w:r w:rsidRPr="00AC4460">
              <w:rPr>
                <w:b/>
                <w:i/>
              </w:rPr>
              <w:t>περιέχει</w:t>
            </w:r>
          </w:p>
        </w:tc>
        <w:tc>
          <w:tcPr>
            <w:tcW w:w="4876" w:type="dxa"/>
            <w:hideMark/>
          </w:tcPr>
          <w:p w:rsidR="00E451E4" w:rsidRPr="00AC4460" w:rsidRDefault="00E451E4" w:rsidP="000A61DD">
            <w:pPr>
              <w:pStyle w:val="Normal6"/>
              <w:rPr>
                <w:szCs w:val="24"/>
              </w:rPr>
            </w:pPr>
            <w:r w:rsidRPr="00AC4460">
              <w:t>2. Η ουσία έχει καταχωριστεί σύμφωνα με τον κανονισμό (ΕΚ) αριθ. 1907/2006</w:t>
            </w:r>
            <w:r w:rsidRPr="00AC4460">
              <w:rPr>
                <w:vertAlign w:val="superscript"/>
              </w:rPr>
              <w:t>38</w:t>
            </w:r>
            <w:r w:rsidRPr="00AC4460">
              <w:rPr>
                <w:b/>
                <w:i/>
              </w:rPr>
              <w:t>, εκτός εάν αυτή καλύπτεται ρητώς από κάποια από τις εξαιρέσεις από την υποχρέωση καταχώρισης</w:t>
            </w:r>
            <w:r w:rsidRPr="00AC4460">
              <w:t xml:space="preserve"> που </w:t>
            </w:r>
            <w:r w:rsidRPr="00AC4460">
              <w:rPr>
                <w:b/>
                <w:i/>
              </w:rPr>
              <w:t>προβλέπει το άρθρο 6 ή το παράρτημα IV ή V του εν λόγω κανονισμού.</w:t>
            </w:r>
          </w:p>
        </w:tc>
      </w:tr>
      <w:tr w:rsidR="00E451E4" w:rsidRPr="00CB12FD" w:rsidTr="000A61DD">
        <w:trPr>
          <w:jc w:val="center"/>
        </w:trPr>
        <w:tc>
          <w:tcPr>
            <w:tcW w:w="4876" w:type="dxa"/>
            <w:hideMark/>
          </w:tcPr>
          <w:p w:rsidR="00E451E4" w:rsidRPr="00AC4460" w:rsidRDefault="00E451E4" w:rsidP="000A61DD">
            <w:pPr>
              <w:pStyle w:val="Normal6"/>
            </w:pPr>
            <w:r w:rsidRPr="00AC4460">
              <w:t>__________________</w:t>
            </w:r>
          </w:p>
        </w:tc>
        <w:tc>
          <w:tcPr>
            <w:tcW w:w="4876" w:type="dxa"/>
            <w:hideMark/>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hideMark/>
          </w:tcPr>
          <w:p w:rsidR="00E451E4" w:rsidRPr="00AC4460" w:rsidRDefault="00E451E4" w:rsidP="000A61DD">
            <w:pPr>
              <w:pStyle w:val="Normal6"/>
            </w:pPr>
            <w:r w:rsidRPr="00AC4460">
              <w:rPr>
                <w:vertAlign w:val="superscript"/>
              </w:rPr>
              <w:t>38</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hideMark/>
          </w:tcPr>
          <w:p w:rsidR="00E451E4" w:rsidRPr="00AC4460" w:rsidRDefault="00E451E4" w:rsidP="000A61DD">
            <w:pPr>
              <w:pStyle w:val="Normal6"/>
              <w:rPr>
                <w:szCs w:val="24"/>
              </w:rPr>
            </w:pPr>
            <w:r w:rsidRPr="00AC4460">
              <w:rPr>
                <w:vertAlign w:val="superscript"/>
              </w:rPr>
              <w:t>38</w:t>
            </w:r>
            <w:r w:rsidRPr="00AC4460">
              <w:t>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5(Γ) – παράγραφος 2 – στοιχείο α</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109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5(Γ) – παράγραφος 2 – στοιχείο β</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5(Γ) – παράγραφος 2 – εδάφιο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111</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 – μέρος II – ΚΛΠ 6 – παράγραφος 1 – στοιχείο γ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α)</w:t>
            </w:r>
            <w:r w:rsidRPr="00AC4460">
              <w:rPr>
                <w:b/>
                <w:i/>
              </w:rPr>
              <w:tab/>
              <w:t>χουμοποίηση·</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 – μέρος II – ΚΛΠ 6 – παράγραφος 1 – στοιχείο γ β (νέο)</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γ β)</w:t>
            </w:r>
            <w:r w:rsidRPr="00AC4460">
              <w:rPr>
                <w:b/>
                <w:i/>
              </w:rPr>
              <w:tab/>
              <w:t>αύξηση της διαθεσιμότητας των θρεπτικών ουσιών που συγκρατούνται στο έδαφος και στη ριζόσφαιρα.</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6 – παράγραφος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3.</w:t>
            </w:r>
            <w:r w:rsidRPr="00AC4460">
              <w:tab/>
              <w:t>Ο βιοδιεγέρτης φυτών επιτυγχάνει τα αποτελέσματα που δηλώνονται στην ετικέτα για τις καλλιέργειες που προσδιορίζονται εκεί.</w:t>
            </w:r>
          </w:p>
        </w:tc>
        <w:tc>
          <w:tcPr>
            <w:tcW w:w="4876" w:type="dxa"/>
            <w:hideMark/>
          </w:tcPr>
          <w:p w:rsidR="00E451E4" w:rsidRPr="00AC4460" w:rsidRDefault="00E451E4" w:rsidP="000A61DD">
            <w:pPr>
              <w:pStyle w:val="Normal6"/>
              <w:rPr>
                <w:szCs w:val="24"/>
              </w:rPr>
            </w:pPr>
            <w:r w:rsidRPr="00AC4460">
              <w:t>3.</w:t>
            </w:r>
            <w:r w:rsidRPr="00AC4460">
              <w:tab/>
              <w:t xml:space="preserve">Ο βιοδιεγέρτης φυτών επιτυγχάνει τα αποτελέσματα που δηλώνονται στην ετικέτα για τις καλλιέργειες που προσδιορίζονται εκεί. </w:t>
            </w:r>
            <w:r w:rsidRPr="00AC4460">
              <w:rPr>
                <w:b/>
                <w:i/>
              </w:rPr>
              <w:t>Σε περίπτωση που ο βιοδιεγέρτης φυτών περιέχει ένα ή περισσότερα συστατικά που έχουν εγκριθεί σύμφωνα με τον κανονισμό (ΕΚ) αριθ. 1107/2009, οι πληροφορίες που παρέχονται κατά τη διάρκεια της αξιολόγησης συμμόρφωσης θα παρέχουν πειστικά εμπειρικά στοιχεία της βιοδιεγερτικής επίδρασης, λαμβάνοντας υπόψη τις σχετικές παραμέτρους, π.χ. σχετικές συγκεντρώσεις συστατικών, δόση και χρόνος εφαρμογής, στάδιο ανάπτυξης του φυτού, καλλιέργεια στόχος, κλπ.</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Αν και κατά τη διαδικασία αξιολόγησης της συμμόρφωσης αναμένεται, σε κάθε περίπτωση, να αναζητηθούν τα εμπειρικά στοιχεία που θα δικαιολογούν την αξίωση χρήσης βιοδιεγέρτη, πρέπει να προσδιορίζεται η σημασία χρήσης του όταν περιέχει συστατικό που είναι καταχωρισμένο σύμφωνα με τον κανονισμό (ΕΚ) αριθ. 1107/2009, διότι αυτό θα βοηθήσει στην πρόληψη προσπαθειών να παρακαμφθεί η δέουσα αδειοδότησή του ως φυτοπροστατευτικού προϊόντος και, επιπλέον, δεν θα καταστεί εμπόδιο στην αναγνώριση νόμιμων βιοδιεγερτικών προϊόντων η παρουσία ενός τέτοιου συστατικού.</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6 (Α) – παράγραφος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1.</w:t>
            </w:r>
            <w:r w:rsidRPr="00AC4460">
              <w:tab/>
              <w:t xml:space="preserve">Ένας μικροβιακός βιοδιεγέρτης φυτών αποτελείται </w:t>
            </w:r>
            <w:r w:rsidRPr="00AC4460">
              <w:rPr>
                <w:b/>
                <w:i/>
              </w:rPr>
              <w:t xml:space="preserve">αποκλειστικά </w:t>
            </w:r>
            <w:r w:rsidRPr="00AC4460">
              <w:t>από</w:t>
            </w:r>
            <w:r w:rsidRPr="00AC4460">
              <w:rPr>
                <w:b/>
                <w:i/>
              </w:rPr>
              <w:t xml:space="preserve"> έναν μικροοργανισμό ή κοινοπραξία μικροοργανισμών που αναφέρονται στην κατηγορία συστατικών υλικών 7 του παραρτήματος ΙΙ.</w:t>
            </w:r>
          </w:p>
        </w:tc>
        <w:tc>
          <w:tcPr>
            <w:tcW w:w="4876" w:type="dxa"/>
            <w:hideMark/>
          </w:tcPr>
          <w:p w:rsidR="00E451E4" w:rsidRPr="00AC4460" w:rsidRDefault="00E451E4" w:rsidP="000A61DD">
            <w:pPr>
              <w:pStyle w:val="Normal6"/>
              <w:rPr>
                <w:szCs w:val="24"/>
              </w:rPr>
            </w:pPr>
            <w:r w:rsidRPr="00AC4460">
              <w:t>1.</w:t>
            </w:r>
            <w:r w:rsidRPr="00AC4460">
              <w:tab/>
              <w:t>Ένας μικροβιακός βιοδιεγέρτης φυτών αποτελείται από</w:t>
            </w:r>
            <w:r w:rsidRPr="00AC4460">
              <w:rPr>
                <w:b/>
                <w:i/>
              </w:rPr>
              <w:t>:</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pPr>
            <w:r w:rsidRPr="00AC4460">
              <w:rPr>
                <w:b/>
                <w:i/>
              </w:rPr>
              <w:t>α)</w:t>
            </w:r>
            <w:r w:rsidRPr="00AC4460">
              <w:rPr>
                <w:b/>
                <w:i/>
              </w:rPr>
              <w:tab/>
              <w:t>έναν μικροοργανισμό ή ομάδα μικροοργανισμών που αναφέρονται στην κατηγορία συστατικών υλικών 7 του παραρτήματος ΙΙ·</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rPr>
            </w:pPr>
            <w:r w:rsidRPr="00AC4460">
              <w:rPr>
                <w:b/>
                <w:i/>
              </w:rPr>
              <w:t>β)</w:t>
            </w:r>
            <w:r w:rsidRPr="00AC4460">
              <w:rPr>
                <w:b/>
                <w:i/>
              </w:rPr>
              <w:tab/>
              <w:t>μικροοργανισμούς ή ομάδα μικροοργανισμών πέραν αυτών που προβλέπονται στο στοιχείο α). Μπορούν να χρησιμοποιηθούν ως κατηγορίες συστατικών υλικών εφόσον συμμορφώνονται με τις απαιτήσεις που καθορίζονται στην κατηγορία συστατικών υλικών 7 του παραρτήματος II.</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6(Α) –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w:t>
            </w:r>
            <w:r w:rsidRPr="00AC4460">
              <w:tab/>
              <w:t xml:space="preserve">Στο προϊόν </w:t>
            </w:r>
            <w:r w:rsidRPr="00AC4460">
              <w:rPr>
                <w:b/>
                <w:i/>
              </w:rPr>
              <w:t>λίπανσης</w:t>
            </w:r>
            <w:r w:rsidRPr="00AC4460">
              <w:t xml:space="preserve"> με σήμανση CE δεν πρέπει να υπάρχουν προσμείξεις σε ποσότητες μεγαλύτερες από τις ακόλουθες:</w:t>
            </w:r>
          </w:p>
        </w:tc>
        <w:tc>
          <w:tcPr>
            <w:tcW w:w="4876" w:type="dxa"/>
            <w:hideMark/>
          </w:tcPr>
          <w:p w:rsidR="00E451E4" w:rsidRPr="00AC4460" w:rsidRDefault="00E451E4" w:rsidP="000A61DD">
            <w:pPr>
              <w:pStyle w:val="Normal6"/>
              <w:rPr>
                <w:szCs w:val="24"/>
              </w:rPr>
            </w:pPr>
            <w:r w:rsidRPr="00AC4460">
              <w:t>2.</w:t>
            </w:r>
            <w:r w:rsidRPr="00AC4460">
              <w:tab/>
              <w:t xml:space="preserve">Στο προϊόν </w:t>
            </w:r>
            <w:r w:rsidRPr="00AC4460">
              <w:rPr>
                <w:b/>
                <w:i/>
              </w:rPr>
              <w:t>ασβέστωσης</w:t>
            </w:r>
            <w:r w:rsidRPr="00AC4460">
              <w:t xml:space="preserve"> με σήμανση CE δεν πρέπει να υπάρχουν προσμείξεις σε ποσότητες μεγαλύτερες από τις ακόλουθες: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απαραίτητο να γίνει διάκριση μεταξύ των προϊόντων που βελτιώνουν τη θρεπτική αποδοτικότητα (προϊόντα ασβέστωσης) και των προϊόντων που προσθέτουν θρεπτικές ουσίες (λιπάσματα).</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116</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6(Α) – παράγραφος 12 – εδάφιο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ο βιοδιεγέρτης φυτών έχει pH υψηλότερο ή ίσο με 4.</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6(Β) (II)–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2.</w:t>
            </w:r>
            <w:r w:rsidRPr="00AC4460">
              <w:tab/>
              <w:t xml:space="preserve">Στο προϊόν </w:t>
            </w:r>
            <w:r w:rsidRPr="00AC4460">
              <w:rPr>
                <w:b/>
                <w:i/>
              </w:rPr>
              <w:t>λίπανσης</w:t>
            </w:r>
            <w:r w:rsidRPr="00AC4460">
              <w:t xml:space="preserve"> με σήμανση CE δεν πρέπει να υπάρχουν προσμείξεις σε ποσότητες μεγαλύτερες από τις ακόλουθες:</w:t>
            </w:r>
          </w:p>
        </w:tc>
        <w:tc>
          <w:tcPr>
            <w:tcW w:w="4876" w:type="dxa"/>
            <w:hideMark/>
          </w:tcPr>
          <w:p w:rsidR="00E451E4" w:rsidRPr="00AC4460" w:rsidRDefault="00E451E4" w:rsidP="000A61DD">
            <w:pPr>
              <w:pStyle w:val="Normal6"/>
              <w:rPr>
                <w:szCs w:val="24"/>
              </w:rPr>
            </w:pPr>
            <w:r w:rsidRPr="00AC4460">
              <w:t>2.</w:t>
            </w:r>
            <w:r w:rsidRPr="00AC4460">
              <w:tab/>
              <w:t xml:space="preserve">Στο προϊόν </w:t>
            </w:r>
            <w:r w:rsidRPr="00AC4460">
              <w:rPr>
                <w:b/>
                <w:i/>
              </w:rPr>
              <w:t>ασβέστωσης</w:t>
            </w:r>
            <w:r w:rsidRPr="00AC4460">
              <w:t xml:space="preserve"> με σήμανση CE δεν πρέπει να υπάρχουν προσμείξεις σε ποσότητες μεγαλύτερες από τις ακόλουθες: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απαραίτητο να γίνει διάκριση μεταξύ των προϊόντων που βελτιώνουν τη θρεπτική αποδοτικότητα (προϊόντα ασβέστωσης) και των προϊόντων που προσθέτουν θρεπτικές ουσίες (λιπάσματα).</w:t>
      </w:r>
    </w:p>
    <w:p w:rsidR="00E451E4" w:rsidRPr="00CB12FD" w:rsidRDefault="00E451E4" w:rsidP="000A61DD">
      <w:pPr>
        <w:pStyle w:val="Normal6"/>
      </w:pPr>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7 – παράγραφος 3 – εισαγωγικό μέρος</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3.</w:t>
            </w:r>
            <w:r w:rsidRPr="00AC4460">
              <w:tab/>
              <w:t xml:space="preserve">Η δραστηριότητα ανάμειξης δεν μεταβάλλει τη </w:t>
            </w:r>
            <w:r w:rsidRPr="00AC4460">
              <w:rPr>
                <w:b/>
                <w:i/>
              </w:rPr>
              <w:t>φύση</w:t>
            </w:r>
            <w:r w:rsidRPr="00AC4460">
              <w:t xml:space="preserve"> του κάθε συστατικού προϊόντος λίπανσης</w:t>
            </w:r>
          </w:p>
        </w:tc>
        <w:tc>
          <w:tcPr>
            <w:tcW w:w="4876" w:type="dxa"/>
            <w:hideMark/>
          </w:tcPr>
          <w:p w:rsidR="00E451E4" w:rsidRPr="00AC4460" w:rsidRDefault="00E451E4" w:rsidP="000A61DD">
            <w:pPr>
              <w:pStyle w:val="Normal6"/>
              <w:rPr>
                <w:szCs w:val="24"/>
              </w:rPr>
            </w:pPr>
            <w:r w:rsidRPr="00AC4460">
              <w:t>3.</w:t>
            </w:r>
            <w:r w:rsidRPr="00AC4460">
              <w:tab/>
              <w:t xml:space="preserve">Η δραστηριότητα ανάμειξης δεν μεταβάλλει τη </w:t>
            </w:r>
            <w:r w:rsidRPr="00AC4460">
              <w:rPr>
                <w:b/>
                <w:i/>
              </w:rPr>
              <w:t>λειτουργία</w:t>
            </w:r>
            <w:r w:rsidRPr="00AC4460">
              <w:t xml:space="preserve"> του κάθε συστατικού προϊόντος λίπανσης</w:t>
            </w:r>
            <w:r w:rsidRPr="00AC4460">
              <w:rPr>
                <w:b/>
                <w:i/>
              </w:rPr>
              <w:t xml:space="preserve"> και έχει δυσμενείς επιπτώσεις στην υγεία του ανθρώπου, των ζώων ή των φυτών, στην ασφάλεια ή στο περιβάλλον υπό ευλόγως προβλέψιμες συνθήκες αποθήκευσης ή χρήσης του σύμμεικτου προϊόντος λίπανσης με σήμανση CE.</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 σκοπός της τροπολογίας αυτής είναι να εξασφαλιστεί ότι το μείγμα διατηρεί οπωσδήποτε τη λειτουργικότητα του προϊόντος.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119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7 – παράγραφος 3 – περίπτωση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w:t>
            </w:r>
            <w:r w:rsidRPr="00AC4460">
              <w:tab/>
            </w:r>
            <w:r w:rsidRPr="00AC4460">
              <w:rPr>
                <w:b/>
                <w:i/>
              </w:rPr>
              <w:t>κατά τρόπο που έχει δυσμενείς επιπτώσεις στην υγεία του ανθρώπου, των ζώων ή των φυτών, στην ασφάλεια ή στο περιβάλλον υπό ευλόγως προβλέψιμες συνθήκες αποθήκευσης ή χρήσης του σύμμεικτου προϊόντος λίπανσης με σήμανση CE, ή</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 – μέρος ΙΙ – ΚΛΠ 7 – παράγραφος 3 – περίπτωση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rPr>
                <w:b/>
                <w:i/>
              </w:rPr>
              <w:t>–</w:t>
            </w:r>
            <w:r w:rsidRPr="00AC4460">
              <w:tab/>
            </w:r>
            <w:r w:rsidRPr="00AC4460">
              <w:rPr>
                <w:b/>
                <w:i/>
              </w:rPr>
              <w:t>κατά οποιονδήποτε άλλο σημαντικό τρόπο.</w:t>
            </w:r>
          </w:p>
        </w:tc>
        <w:tc>
          <w:tcPr>
            <w:tcW w:w="4876" w:type="dxa"/>
            <w:hideMark/>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 – παράγραφος 1 – στοιχείο β</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β)</w:t>
            </w:r>
            <w:r w:rsidRPr="00AC4460">
              <w:tab/>
              <w:t>υποπροϊόντα κατά την έννοια της οδηγίας 2008/98/ΕΚ,</w:t>
            </w:r>
          </w:p>
        </w:tc>
        <w:tc>
          <w:tcPr>
            <w:tcW w:w="4876" w:type="dxa"/>
          </w:tcPr>
          <w:p w:rsidR="00E451E4" w:rsidRPr="00AC4460" w:rsidRDefault="00E451E4" w:rsidP="000A61DD">
            <w:pPr>
              <w:pStyle w:val="Normal6"/>
              <w:rPr>
                <w:szCs w:val="24"/>
              </w:rPr>
            </w:pPr>
            <w:r w:rsidRPr="00AC4460">
              <w:t>β)</w:t>
            </w:r>
            <w:r w:rsidRPr="00AC4460">
              <w:tab/>
              <w:t>υποπροϊόντα κατά την έννοια της οδηγίας 2008/98/ΕΚ,</w:t>
            </w:r>
            <w:r w:rsidRPr="00AC4460">
              <w:rPr>
                <w:b/>
                <w:i/>
              </w:rPr>
              <w:t xml:space="preserve"> εξαιρουμένων των υποπροϊόντων που καταχωρίζονται σύμφωνα με τις διατάξεις του κανονισμού (ΕΚ) αριθ. 1907/2006, εκτός από εκείνα που ανήκουν στις εξαιρέσεις από την υποχρέωση καταχώρισης που προβλέπεται στο παράρτημα V σημείο 5 του εν λόγω κανονισμού,</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Στόχος είναι να διασφαλίζεται το ίδιο επίπεδο ασφάλειας μεταξύ ενός προϊόντος και ενός υποπροϊόντος επιτρέποντας παράλληλα τη χρήση των υποπροϊόντων που είναι διαθέσιμα στην αγορά.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 – παράγραφος 1 – στοιχείο ε</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ε)</w:t>
            </w:r>
            <w:r w:rsidRPr="00AC4460">
              <w:tab/>
              <w:t>πολυμερή, ή</w:t>
            </w:r>
          </w:p>
        </w:tc>
        <w:tc>
          <w:tcPr>
            <w:tcW w:w="4876" w:type="dxa"/>
          </w:tcPr>
          <w:p w:rsidR="00E451E4" w:rsidRPr="00AC4460" w:rsidRDefault="00E451E4" w:rsidP="000A61DD">
            <w:pPr>
              <w:pStyle w:val="Normal6"/>
              <w:rPr>
                <w:szCs w:val="24"/>
              </w:rPr>
            </w:pPr>
            <w:r w:rsidRPr="00AC4460">
              <w:t>ε)</w:t>
            </w:r>
            <w:r w:rsidRPr="00AC4460">
              <w:tab/>
              <w:t>πολυμερή</w:t>
            </w:r>
            <w:r w:rsidRPr="00AC4460">
              <w:rPr>
                <w:b/>
                <w:i/>
              </w:rPr>
              <w:t xml:space="preserve"> με εξαίρεση όσα χρησιμοποιούνται σε υποστρώματα καλλιέργειας που δεν έρχονται σε επαφή με το έδαφος</w:t>
            </w:r>
            <w:r w:rsidRPr="00AC4460">
              <w:t>, 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πρόταση θα πρέπει να προβλέπει ρητώς τη δυνατότητα να χρησιμοποιούνται πολυμερή ως συνδετικά υλικά για υποστρώματα καλλιέργειας τα οποία δεν έρχονται σε επαφή με το έδαφος. Τα εν λόγω πολυμερή δεν συνιστούν κίνδυνο για την υγεία των ζώων, των ανθρώπων, των φυτών ή για το περιβάλλον.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 – παράγραφος 2 – εδάφιο 1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Όλες οι ουσίες που ενσωματώνονται σε προϊόν λίπανσης με σήμανση CE, σε καθαρή μορφή ή σε μείγμα, πρέπει να έχουν καταχωριστεί σύμφωνα με τον κανονισμό (ΕΚ) αριθ. 1907/2006 με φάκελο που περιέχει</w:t>
            </w:r>
          </w:p>
        </w:tc>
        <w:tc>
          <w:tcPr>
            <w:tcW w:w="4876" w:type="dxa"/>
          </w:tcPr>
          <w:p w:rsidR="00E451E4" w:rsidRPr="00AC4460" w:rsidRDefault="00E451E4" w:rsidP="000A61DD">
            <w:pPr>
              <w:pStyle w:val="Normal6"/>
              <w:rPr>
                <w:szCs w:val="24"/>
              </w:rPr>
            </w:pPr>
            <w:r w:rsidRPr="00AC4460">
              <w:rPr>
                <w:b/>
                <w:i/>
              </w:rPr>
              <w:t xml:space="preserve">Εκτός εάν καλύπτονται ρητώς από τις εξαιρέσεις από την υποχρέωση καταχώρισης που προβλέπονται στο άρθρο 6 του κανονισμού (ΕΚ) αριθ. 1907/2006 ή στα παραρτήματα IV ή V του εν λόγω κανονισμού, </w:t>
            </w:r>
            <w:r w:rsidRPr="00AC4460">
              <w:t>όλες οι ουσίες που ενσωματώνονται σε προϊόν λίπανσης με σήμανση CE, σε καθαρή μορφή ή σε μείγμα, πρέπει να έχουν καταχωριστεί σύμφωνα με τον κανονισμό (ΕΚ) αριθ. 1907/2006 με φάκελο που περιέχει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 – παράγραφος 2 – εδάφιο 1 – στοιχείο 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 – παράγραφος 2 – εδάφιο 1 – στοιχείο β</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IΙ – μέρος ΙΙ – ΚΣΥ 1 – παράγραφος 2 – εδάφιο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127</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ΙΙ – ΚΣΥ 2 – παράγραφος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w:t>
            </w:r>
            <w:r w:rsidRPr="00AC4460">
              <w:tab/>
              <w:t xml:space="preserve">Ένα προϊόν λίπανσης με σήμανση CE επιτρέπεται να περιέχει φυτά, μέρη φυτών ή εκχυλίσματα φυτών που </w:t>
            </w:r>
            <w:r w:rsidRPr="00AC4460">
              <w:rPr>
                <w:b/>
                <w:i/>
              </w:rPr>
              <w:t xml:space="preserve">δεν </w:t>
            </w:r>
            <w:r w:rsidRPr="00AC4460">
              <w:t xml:space="preserve">έχουν υποστεί </w:t>
            </w:r>
            <w:r w:rsidRPr="00AC4460">
              <w:rPr>
                <w:b/>
                <w:i/>
              </w:rPr>
              <w:t>καμία άλλη</w:t>
            </w:r>
            <w:r w:rsidRPr="00AC4460">
              <w:t xml:space="preserve"> επεξεργασία</w:t>
            </w:r>
            <w:r w:rsidRPr="00AC4460">
              <w:rPr>
                <w:b/>
                <w:i/>
              </w:rPr>
              <w:t xml:space="preserve"> πέραν της κοπής</w:t>
            </w:r>
            <w:r w:rsidRPr="00AC4460">
              <w:t xml:space="preserve">, της </w:t>
            </w:r>
            <w:r w:rsidRPr="00AC4460">
              <w:rPr>
                <w:b/>
                <w:i/>
              </w:rPr>
              <w:t>άλεσης</w:t>
            </w:r>
            <w:r w:rsidRPr="00AC4460">
              <w:t xml:space="preserve">, της </w:t>
            </w:r>
            <w:r w:rsidRPr="00AC4460">
              <w:rPr>
                <w:b/>
                <w:i/>
              </w:rPr>
              <w:t>φυγοκέντρησης</w:t>
            </w:r>
            <w:r w:rsidRPr="00AC4460">
              <w:t xml:space="preserve">, </w:t>
            </w:r>
            <w:r w:rsidRPr="00AC4460">
              <w:rPr>
                <w:b/>
                <w:i/>
              </w:rPr>
              <w:t>της συμπίεσης</w:t>
            </w:r>
            <w:r w:rsidRPr="00AC4460">
              <w:t xml:space="preserve">, </w:t>
            </w:r>
            <w:r w:rsidRPr="00AC4460">
              <w:rPr>
                <w:b/>
                <w:i/>
              </w:rPr>
              <w:t>της ξήρανσης</w:t>
            </w:r>
            <w:r w:rsidRPr="00AC4460">
              <w:t xml:space="preserve">, </w:t>
            </w:r>
            <w:r w:rsidRPr="00AC4460">
              <w:rPr>
                <w:b/>
                <w:i/>
              </w:rPr>
              <w:t>της λυοφιλίωσης ή της εκχύλισης</w:t>
            </w:r>
            <w:r w:rsidRPr="00AC4460">
              <w:t xml:space="preserve"> με νερό.</w:t>
            </w:r>
          </w:p>
        </w:tc>
        <w:tc>
          <w:tcPr>
            <w:tcW w:w="4876" w:type="dxa"/>
          </w:tcPr>
          <w:p w:rsidR="00E451E4" w:rsidRPr="00AC4460" w:rsidRDefault="00E451E4" w:rsidP="000A61DD">
            <w:pPr>
              <w:pStyle w:val="Normal6"/>
              <w:rPr>
                <w:szCs w:val="24"/>
              </w:rPr>
            </w:pPr>
            <w:r w:rsidRPr="00AC4460">
              <w:rPr>
                <w:b/>
                <w:i/>
              </w:rPr>
              <w:t>1.</w:t>
            </w:r>
            <w:r w:rsidRPr="00AC4460">
              <w:tab/>
              <w:t xml:space="preserve">Ένα προϊόν λίπανσης με σήμανση CE επιτρέπεται να περιέχει φυτά, μέρη φυτών ή εκχυλίσματα φυτών που έχουν υποστεί </w:t>
            </w:r>
            <w:r w:rsidRPr="00AC4460">
              <w:rPr>
                <w:b/>
                <w:i/>
              </w:rPr>
              <w:t>μόνο φυσική ή μηχανική</w:t>
            </w:r>
            <w:r w:rsidRPr="00AC4460">
              <w:t xml:space="preserve"> επεξεργασία</w:t>
            </w:r>
            <w:r w:rsidRPr="00AC4460">
              <w:rPr>
                <w:b/>
                <w:i/>
              </w:rPr>
              <w:t>, όπως κοπή, άλεση, φυγοκέντρηση, κοσκίνιση, λειοτρίβηση, συμπίεση, ξήρανση, λυοφιλίωση, κοκκοποίηση, τεμαχισμό</w:t>
            </w:r>
            <w:r w:rsidRPr="00AC4460">
              <w:t xml:space="preserve">, </w:t>
            </w:r>
            <w:r w:rsidRPr="00AC4460">
              <w:rPr>
                <w:b/>
                <w:i/>
              </w:rPr>
              <w:t>απόπλυση, εξώθηση</w:t>
            </w:r>
            <w:r w:rsidRPr="00AC4460">
              <w:t xml:space="preserve">, </w:t>
            </w:r>
            <w:r w:rsidRPr="00AC4460">
              <w:rPr>
                <w:b/>
                <w:i/>
              </w:rPr>
              <w:t>επεξεργασία κατάψυξης</w:t>
            </w:r>
            <w:r w:rsidRPr="00AC4460">
              <w:t xml:space="preserve">, </w:t>
            </w:r>
            <w:r w:rsidRPr="00AC4460">
              <w:rPr>
                <w:b/>
                <w:i/>
              </w:rPr>
              <w:t>απολύμανση με τη χρήση θερμότητας ή εκχύλιση</w:t>
            </w:r>
            <w:r w:rsidRPr="00AC4460">
              <w:t xml:space="preserve"> με νερό.</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3 – παράγραφος 1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1.</w:t>
            </w:r>
            <w:r w:rsidRPr="00AC4460">
              <w:tab/>
              <w:t xml:space="preserve">Ένα προϊόν λίπανσης με σήμανση CE επιτρέπεται να περιέχει κομπόστ που </w:t>
            </w:r>
            <w:r w:rsidRPr="00AC4460">
              <w:rPr>
                <w:b/>
                <w:i/>
              </w:rPr>
              <w:t>προέρχεται</w:t>
            </w:r>
            <w:r w:rsidRPr="00AC4460">
              <w:t xml:space="preserve"> από αερόβια κομποστοποίηση ενός ή περισσότερων από τα ακόλουθα υλικά εισροής αποκλειστικά:</w:t>
            </w:r>
          </w:p>
        </w:tc>
        <w:tc>
          <w:tcPr>
            <w:tcW w:w="4876" w:type="dxa"/>
          </w:tcPr>
          <w:p w:rsidR="00E451E4" w:rsidRPr="00AC4460" w:rsidRDefault="00E451E4" w:rsidP="000A61DD">
            <w:pPr>
              <w:pStyle w:val="Normal6"/>
              <w:rPr>
                <w:szCs w:val="24"/>
              </w:rPr>
            </w:pPr>
            <w:r w:rsidRPr="00AC4460">
              <w:t>1.</w:t>
            </w:r>
            <w:r w:rsidRPr="00AC4460">
              <w:tab/>
              <w:t xml:space="preserve">Ένα προϊόν λίπανσης με σήμανση CE επιτρέπεται να περιέχει κομπόστ </w:t>
            </w:r>
            <w:r w:rsidRPr="00AC4460">
              <w:rPr>
                <w:b/>
                <w:i/>
              </w:rPr>
              <w:t xml:space="preserve">και υγρά και μη υγρά εκχυλίσματα κομπόστ, </w:t>
            </w:r>
            <w:r w:rsidRPr="00AC4460">
              <w:t xml:space="preserve">που </w:t>
            </w:r>
            <w:r w:rsidRPr="00AC4460">
              <w:rPr>
                <w:b/>
                <w:i/>
              </w:rPr>
              <w:t>προέρχονται</w:t>
            </w:r>
            <w:r w:rsidRPr="00AC4460">
              <w:t xml:space="preserve"> από αερόβια κομποστοποίηση</w:t>
            </w:r>
            <w:r w:rsidRPr="00AC4460">
              <w:rPr>
                <w:b/>
                <w:i/>
              </w:rPr>
              <w:t xml:space="preserve"> και τον μετέπειτα πολλαπλασιασμό των φυσικά παραγόμενων μικροβιακών προϊόντων</w:t>
            </w:r>
            <w:r w:rsidRPr="00AC4460">
              <w:t xml:space="preserve"> ενός ή περισσότερων από τα ακόλουθα υλικά εισροής αποκλειστικά:</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129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3 – παράγραφος 1 – στοιχείο β</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β)</w:t>
            </w:r>
            <w:r w:rsidRPr="00AC4460">
              <w:tab/>
            </w:r>
            <w:r w:rsidRPr="00AC4460">
              <w:rPr>
                <w:b/>
                <w:i/>
              </w:rPr>
              <w:t>Ζωικά υποπροϊόντα των κατηγοριών 2 και 3 σύμφωνα με τον κανονισμό</w:t>
            </w:r>
            <w:r w:rsidRPr="00AC4460">
              <w:t xml:space="preserve"> (ΕΚ) αριθ. 1069/2009</w:t>
            </w:r>
            <w:r w:rsidRPr="00AC4460">
              <w:rPr>
                <w:b/>
                <w:i/>
              </w:rPr>
              <w:t>·</w:t>
            </w:r>
          </w:p>
        </w:tc>
        <w:tc>
          <w:tcPr>
            <w:tcW w:w="4876" w:type="dxa"/>
          </w:tcPr>
          <w:p w:rsidR="00E451E4" w:rsidRPr="00AC4460" w:rsidRDefault="00E451E4" w:rsidP="000A61DD">
            <w:pPr>
              <w:pStyle w:val="Normal6"/>
              <w:rPr>
                <w:szCs w:val="24"/>
              </w:rPr>
            </w:pPr>
            <w:r w:rsidRPr="00AC4460">
              <w:t>β)</w:t>
            </w:r>
            <w:r w:rsidRPr="00AC4460">
              <w:tab/>
            </w:r>
            <w:r w:rsidRPr="00AC4460">
              <w:rPr>
                <w:b/>
                <w:i/>
              </w:rPr>
              <w:t>Προϊόντα που προέρχονται από ζωικά υποπροϊόντα που αναφέρονται στο άρθρο 32 του κανονισμού</w:t>
            </w:r>
            <w:r w:rsidRPr="00AC4460">
              <w:t xml:space="preserve"> (ΕΚ) αριθ. 1069/2009</w:t>
            </w:r>
            <w:r w:rsidRPr="00AC4460">
              <w:rPr>
                <w:b/>
                <w:i/>
              </w:rPr>
              <w:t xml:space="preserve"> για τα οποία το τελικό σημείο στην αλυσίδα παρασκευής έχει επιτευχθεί σύμφωνα με το άρθρο 5 του εν λόγω κανονισμού·</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διατύπωση που προτείνει η Επιτροπή δεν εγγυάται ότι το κομπόστ ζωικών υποπροϊόντων των κατηγοριών 2 και 3 που λαμβάνεται στο ύπαιθρο, κατά παρέκκλιση του κανονισμού 1069/2009, θα θεωρείται υλικό λίπανσης και μέσο ανάπτυξης και ότι θα είναι επομένως σύμφωνο με τον μελλοντικό κανονισμό.</w:t>
      </w:r>
      <w:r w:rsidR="000A61DD">
        <w:t xml:space="preserve"> </w:t>
      </w:r>
      <w:r>
        <w:t>Το κομπόστ αυτό πρέπει να θεωρείται υλικό λίπανσης και μέσο ανάπτυξης, με βάση τόσο ένα σύστημα ελέγχου όσο και μιας επικυρωμένης μεθόδου για τον έλεγχο της ανόδου της θερμοκρασίας και τον έλεγχο των κριτηρίων υγιεινής, έτσι ώστε τα προϊόντα αυτά να επιστρέφουν στο έδαφος.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130</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3 – παράγραφος 1 – στοιχείο γ</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γ) Ζώντες ή νεκρούς οργανισμούς ή μέρη αυτών, οι οποίοι/τα οποία δεν έχουν υποστεί επεξεργασία ή έχουν υποστεί επεξεργασία μόνο με χειροκίνητα, μηχανικά ή βαρυτικά μέσα, με διάλυση στο νερό, με επίπλευση, με εκχύλιση με νερό, με απόσταξη με υδρατμούς ή με θέρμανση αποκλειστικά για την αφαίρεση του νερού, ή οι οποίοι/τα οποία λαμβάνονται από τον αέρα με οποιονδήποτε τρόπο, εκτός από</w:t>
            </w:r>
          </w:p>
        </w:tc>
        <w:tc>
          <w:tcPr>
            <w:tcW w:w="4876" w:type="dxa"/>
          </w:tcPr>
          <w:p w:rsidR="00E451E4" w:rsidRPr="00AC4460" w:rsidRDefault="00E451E4" w:rsidP="000A61DD">
            <w:pPr>
              <w:pStyle w:val="Normal6"/>
              <w:rPr>
                <w:szCs w:val="24"/>
              </w:rPr>
            </w:pPr>
            <w:r w:rsidRPr="00AC4460">
              <w:t xml:space="preserve">γ) Ζώντες ή νεκρούς οργανισμούς ή μέρη αυτών, οι οποίοι/τα οποία δεν έχουν υποστεί επεξεργασία ή έχουν υποστεί επεξεργασία μόνο με χειροκίνητα, μηχανικά ή βαρυτικά μέσα, με διάλυση στο νερό, με επίπλευση, με εκχύλιση με νερό, με απόσταξη με υδρατμούς ή με θέρμανση αποκλειστικά για την αφαίρεση του νερού, ή οι οποίοι/τα οποία λαμβάνονται από τον αέρα με οποιονδήποτε τρόπο, </w:t>
            </w:r>
            <w:r w:rsidRPr="00AC4460">
              <w:rPr>
                <w:b/>
                <w:i/>
              </w:rPr>
              <w:t xml:space="preserve">υπολείμματα τροφίμων και ζωοτροφών που δεν περιέχουν προσμείξεις και είναι ακατάλληλα για κατανάλωση και υπολείμματα φυτειών που χρησιμοποιούνται για αγροκαύσιμα χωρίς προσμείξεις, </w:t>
            </w:r>
            <w:r w:rsidRPr="00AC4460">
              <w:t>εκτός από</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IΙ – μέρος ΙΙ – ΚΣΥ 3 – παράγραφος 1 – στοιχείο δ – εδάφιο 1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το πρόσθετο έχει καταχωριστεί σύμφωνα με τον κανονισμό (ΕΚ) αριθ. 1907/2006</w:t>
            </w:r>
            <w:r w:rsidRPr="00AC4460">
              <w:rPr>
                <w:vertAlign w:val="superscript"/>
              </w:rPr>
              <w:t>40</w:t>
            </w:r>
            <w:r w:rsidRPr="00AC4460">
              <w:rPr>
                <w:b/>
                <w:i/>
              </w:rPr>
              <w:t xml:space="preserve"> με φάκελο</w:t>
            </w:r>
            <w:r w:rsidRPr="00AC4460">
              <w:t xml:space="preserve"> που </w:t>
            </w:r>
            <w:r w:rsidRPr="00AC4460">
              <w:rPr>
                <w:b/>
                <w:i/>
              </w:rPr>
              <w:t xml:space="preserve">περιέχει </w:t>
            </w:r>
          </w:p>
        </w:tc>
        <w:tc>
          <w:tcPr>
            <w:tcW w:w="4876" w:type="dxa"/>
          </w:tcPr>
          <w:p w:rsidR="00E451E4" w:rsidRPr="00AC4460" w:rsidRDefault="00E451E4" w:rsidP="000A61DD">
            <w:pPr>
              <w:pStyle w:val="Normal6"/>
              <w:rPr>
                <w:szCs w:val="24"/>
              </w:rPr>
            </w:pPr>
            <w:r w:rsidRPr="00AC4460">
              <w:t>–</w:t>
            </w:r>
            <w:r w:rsidRPr="00AC4460">
              <w:tab/>
              <w:t>το πρόσθετο έχει καταχωριστεί σύμφωνα με τον κανονισμό (ΕΚ) αριθ. 1907/2006</w:t>
            </w:r>
            <w:r w:rsidRPr="00AC4460">
              <w:rPr>
                <w:vertAlign w:val="superscript"/>
              </w:rPr>
              <w:t>40</w:t>
            </w:r>
            <w:r w:rsidRPr="00AC4460">
              <w:rPr>
                <w:b/>
                <w:i/>
              </w:rPr>
              <w:t>, εκτός εάν το καλύπτει ρητώς κάποια από τις εξαιρέσεις από την υποχρέωση καταχώρισης</w:t>
            </w:r>
            <w:r w:rsidRPr="00AC4460">
              <w:t xml:space="preserve"> που </w:t>
            </w:r>
            <w:r w:rsidRPr="00AC4460">
              <w:rPr>
                <w:b/>
                <w:i/>
              </w:rPr>
              <w:t>προβλέπονται στο άρθρο 6 ή στο παράρτημα IV ή V του εν λόγω κανονισμού.</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40</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40</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3 – παράγραφος 1 – στοιχείο δ – εδάφιο 1 – περίπτωση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3 – παράγραφος 1 – στοιχείο δ – εδάφιο 1 – περίπτωση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 xml:space="preserve">Παράρτημα ΙI – μέρος ΙΙ – ΚΣΥ 3 – παράγραφος 1 – στοιχείο δ – εδάφιο 2 </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εκτός εάν αυτό καλύπτεται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 και</w:t>
            </w:r>
          </w:p>
        </w:tc>
        <w:tc>
          <w:tcPr>
            <w:tcW w:w="4876" w:type="dxa"/>
          </w:tcPr>
          <w:p w:rsidR="00E451E4" w:rsidRPr="00AC4460" w:rsidRDefault="00E451E4" w:rsidP="000A61DD">
            <w:pPr>
              <w:pStyle w:val="Normal6"/>
              <w:rPr>
                <w:szCs w:val="24"/>
              </w:rPr>
            </w:pPr>
            <w:r w:rsidRPr="00AC4460">
              <w:rPr>
                <w:b/>
                <w:i/>
              </w:rPr>
              <w:t>διαγράφεται</w:t>
            </w:r>
          </w:p>
        </w:tc>
      </w:tr>
      <w:tr w:rsidR="00E451E4" w:rsidRPr="00CB12FD" w:rsidTr="000A61DD">
        <w:trPr>
          <w:jc w:val="center"/>
        </w:trPr>
        <w:tc>
          <w:tcPr>
            <w:tcW w:w="4876" w:type="dxa"/>
          </w:tcPr>
          <w:p w:rsidR="00E451E4" w:rsidRPr="00AC4460" w:rsidRDefault="00E451E4" w:rsidP="000A61DD">
            <w:pPr>
              <w:pStyle w:val="Normal6"/>
            </w:pPr>
            <w:r w:rsidRPr="00AC4460">
              <w:rPr>
                <w:b/>
                <w:i/>
              </w:rPr>
              <w:t>– η συνολική συγκέντρωση όλων των προσθέτων δεν υπερβαίνει το 5 % του συνόλου των εισερχόμενων υλικών· ή</w:t>
            </w:r>
          </w:p>
        </w:tc>
        <w:tc>
          <w:tcPr>
            <w:tcW w:w="4876" w:type="dxa"/>
          </w:tcPr>
          <w:p w:rsidR="00E451E4" w:rsidRPr="00AC4460" w:rsidRDefault="00E451E4" w:rsidP="000A61DD">
            <w:pPr>
              <w:pStyle w:val="Normal6"/>
              <w:rPr>
                <w:szCs w:val="24"/>
              </w:rPr>
            </w:pP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3 – παράγραφος 1 – στοιχείο ε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α)</w:t>
            </w:r>
            <w:r w:rsidRPr="00AC4460">
              <w:rPr>
                <w:b/>
                <w:i/>
              </w:rPr>
              <w:tab/>
              <w:t>Μη επεξεργασμένα και μηχανικώς επεξεργασμένα υπολείμματα από βιομηχανίες παραγωγής τροφίμων, με εξαίρεση τις βιομηχανίες που χρησιμοποιούν ζωικά υποπροϊόντα σύμφωνα με τον κανονισμό (ΕΚ) αριθ. 1069/2009.</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Επί του παρόντος, οι ΚΣΥ 3 και ΚΣΥ 5 εξαιρούν τη «βιομηχανική ιλύ» από τα υλικά εισροής. Δεν είναι σαφώς καθορισμένο τι είναι η «βιομηχανική ιλύς». Πολλά είδη ιλύος από τη βιομηχανία γεωργικών τροφίμων (π.χ. από την επεξεργασία φρούτων, την παραγωγή γαλακτοκομικών / τυριού ...) είναι απολύτως καθαρά οργανικά υλικά και κατάλληλα, ασφαλή υλικά εισροής για κομποστοποίηση και διαδικασίες χώνευσης.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3 – παράγραφος 1 – στοιχείο ε β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β)</w:t>
            </w:r>
            <w:r w:rsidRPr="00AC4460">
              <w:rPr>
                <w:b/>
                <w:i/>
              </w:rPr>
              <w:tab/>
              <w:t>Υλικά που συμμορφώνονται με τις ΚΣΥ 2, ΚΣΥ 3, ΚΣΥ 4, ΚΣΥ 5, ΚΣΥ 6 και ΚΣΥ 11.</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137</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IΙ – μέρος ΙΙ – ΚΛΠ 3 – παράγραφος 2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 xml:space="preserve">όπου </w:t>
            </w:r>
            <w:r w:rsidRPr="00AC4460">
              <w:rPr>
                <w:b/>
                <w:i/>
              </w:rPr>
              <w:t>πραγματοποιείται επεξεργασία αποκλειστικά και μόνο</w:t>
            </w:r>
            <w:r w:rsidRPr="00AC4460">
              <w:t xml:space="preserve"> των υλικών εισροής που αναφέρονται στην παράγραφο 1 παραπάνω, και</w:t>
            </w:r>
          </w:p>
        </w:tc>
        <w:tc>
          <w:tcPr>
            <w:tcW w:w="4876" w:type="dxa"/>
          </w:tcPr>
          <w:p w:rsidR="00E451E4" w:rsidRPr="00AC4460" w:rsidRDefault="00E451E4" w:rsidP="000A61DD">
            <w:pPr>
              <w:pStyle w:val="Normal6"/>
              <w:rPr>
                <w:szCs w:val="24"/>
              </w:rPr>
            </w:pPr>
            <w:r w:rsidRPr="00AC4460">
              <w:t>-</w:t>
            </w:r>
            <w:r w:rsidRPr="00AC4460">
              <w:tab/>
              <w:t xml:space="preserve">όπου </w:t>
            </w:r>
            <w:r w:rsidRPr="00AC4460">
              <w:rPr>
                <w:b/>
                <w:i/>
              </w:rPr>
              <w:t>οι γραμμές παραγωγής για την επεξεργασία</w:t>
            </w:r>
            <w:r w:rsidRPr="00AC4460">
              <w:t xml:space="preserve"> των υλικών εισροής που αναφέρονται στην παράγραφο 1 παραπάνω</w:t>
            </w:r>
            <w:r w:rsidRPr="00AC4460">
              <w:rPr>
                <w:b/>
                <w:i/>
              </w:rPr>
              <w:t xml:space="preserve"> διαχωρίζονται σαφώς από τις γραμμές παραγωγής για την επεξεργασία υλικών εισροής άλλων από αυτά που αναφέρονται στην παράγραφο 1</w:t>
            </w:r>
            <w:r w:rsidRPr="00AC4460">
              <w:t>, και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IΙ – μέρος ΙΙ – ΚΣΥ 3 – παράγραφος 6 – στοιχείο α – περίπτωση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 xml:space="preserve">Κριτήριο: </w:t>
            </w:r>
            <w:r w:rsidRPr="00AC4460">
              <w:rPr>
                <w:b/>
                <w:i/>
              </w:rPr>
              <w:t>25</w:t>
            </w:r>
            <w:r w:rsidRPr="00AC4460">
              <w:t xml:space="preserve"> mmol O2/kg οργανικής ύλης/h το μέγιστο· ή</w:t>
            </w:r>
          </w:p>
        </w:tc>
        <w:tc>
          <w:tcPr>
            <w:tcW w:w="4876" w:type="dxa"/>
          </w:tcPr>
          <w:p w:rsidR="00E451E4" w:rsidRPr="00AC4460" w:rsidRDefault="00E451E4" w:rsidP="000A61DD">
            <w:pPr>
              <w:pStyle w:val="Normal6"/>
              <w:rPr>
                <w:szCs w:val="24"/>
              </w:rPr>
            </w:pPr>
            <w:r w:rsidRPr="00AC4460">
              <w:t>-</w:t>
            </w:r>
            <w:r w:rsidRPr="00AC4460">
              <w:tab/>
              <w:t xml:space="preserve">Κριτήριο: </w:t>
            </w:r>
            <w:r w:rsidRPr="00AC4460">
              <w:rPr>
                <w:b/>
                <w:i/>
              </w:rPr>
              <w:t>50</w:t>
            </w:r>
            <w:r w:rsidRPr="00AC4460">
              <w:t xml:space="preserve"> mmol O2/kg οργανικής ύλης/h το μέγιστο· 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Δεν είναι σαφές γιατί η τιμή εδώ διαφέρει από την ΚΣΥ 5, και συνεπώς η πρόταση γίνεται για να ευθυγραμμιστούν οι τιμές στο 50.</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139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4 – παράγραφος 1 – στοιχείο β – εδάφιο 1 – εισαγωγική πρόταση</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το πρόσθετο έχει καταχωριστεί σύμφωνα με τον κανονισμό (ΕΚ) αριθ. 1907/2006</w:t>
            </w:r>
            <w:r w:rsidRPr="00AC4460">
              <w:rPr>
                <w:vertAlign w:val="superscript"/>
              </w:rPr>
              <w:t>43</w:t>
            </w:r>
            <w:r w:rsidRPr="00AC4460">
              <w:rPr>
                <w:b/>
                <w:i/>
              </w:rPr>
              <w:t xml:space="preserve"> με φάκελο</w:t>
            </w:r>
            <w:r w:rsidRPr="00AC4460">
              <w:t xml:space="preserve"> που </w:t>
            </w:r>
            <w:r w:rsidRPr="00AC4460">
              <w:rPr>
                <w:b/>
                <w:i/>
              </w:rPr>
              <w:t xml:space="preserve">περιέχει </w:t>
            </w:r>
          </w:p>
        </w:tc>
        <w:tc>
          <w:tcPr>
            <w:tcW w:w="4876" w:type="dxa"/>
          </w:tcPr>
          <w:p w:rsidR="00E451E4" w:rsidRPr="00AC4460" w:rsidRDefault="00E451E4" w:rsidP="000A61DD">
            <w:pPr>
              <w:pStyle w:val="Normal6"/>
              <w:rPr>
                <w:szCs w:val="24"/>
              </w:rPr>
            </w:pPr>
            <w:r w:rsidRPr="00AC4460">
              <w:t>–</w:t>
            </w:r>
            <w:r w:rsidRPr="00AC4460">
              <w:tab/>
              <w:t>το πρόσθετο έχει καταχωριστεί σύμφωνα με τον κανονισμό (ΕΚ) αριθ. 1907/2006</w:t>
            </w:r>
            <w:r w:rsidRPr="00AC4460">
              <w:rPr>
                <w:vertAlign w:val="superscript"/>
              </w:rPr>
              <w:t>43</w:t>
            </w:r>
            <w:r w:rsidRPr="00AC4460">
              <w:rPr>
                <w:b/>
                <w:i/>
              </w:rPr>
              <w:t>, εκτός εάν το καλύπτει ρητώς κάποια από τις εξαιρέσεις από την υποχρέωση καταχώρισης</w:t>
            </w:r>
            <w:r w:rsidRPr="00AC4460">
              <w:t xml:space="preserve"> που </w:t>
            </w:r>
            <w:r w:rsidRPr="00AC4460">
              <w:rPr>
                <w:b/>
                <w:i/>
              </w:rPr>
              <w:t>προβλέπονται στο άρθρο 6 ή στο παράρτημα IV ή V του εν λόγω κανονισμού.</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43</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43</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4 – παράγραφος 1 – στοιχείο β – εδάφιο 1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4 – παράγραφος 1 – στοιχείο β – εδάφιο 1 – περίπτωση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4 – παράγραφος 1 – στοιχείο β – εδάφιο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εκτός εάν αυτό καλύπτεται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 και</w:t>
            </w:r>
          </w:p>
        </w:tc>
        <w:tc>
          <w:tcPr>
            <w:tcW w:w="4876" w:type="dxa"/>
          </w:tcPr>
          <w:p w:rsidR="00E451E4" w:rsidRPr="00AC4460" w:rsidRDefault="00E451E4" w:rsidP="000A61DD">
            <w:pPr>
              <w:pStyle w:val="Normal6"/>
              <w:rPr>
                <w:szCs w:val="24"/>
              </w:rPr>
            </w:pPr>
            <w:r w:rsidRPr="00AC4460">
              <w:rPr>
                <w:b/>
                <w:i/>
              </w:rPr>
              <w:t>διαγράφεται</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rPr>
                <w:b/>
                <w:i/>
              </w:rPr>
              <w:tab/>
              <w:t>η συνολική συγκέντρωση όλων των προσθέτων δεν υπερβαίνει το 5 % του συνόλου των εισερχόμενων υλικών· ή</w:t>
            </w:r>
          </w:p>
        </w:tc>
        <w:tc>
          <w:tcPr>
            <w:tcW w:w="4876" w:type="dxa"/>
          </w:tcPr>
          <w:p w:rsidR="00E451E4" w:rsidRPr="00AC4460" w:rsidRDefault="00E451E4" w:rsidP="000A61DD">
            <w:pPr>
              <w:pStyle w:val="Normal6"/>
              <w:rPr>
                <w:szCs w:val="24"/>
              </w:rPr>
            </w:pP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IΙ – μέρος ΙΙ – ΚΣΥ 5 – παράγραφος 1 – στοιχείο γ – περίπτωση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λυματολάσπη, βιομηχανική ιλύ ή ιλύ βυθοκόρησης,</w:t>
            </w:r>
          </w:p>
        </w:tc>
        <w:tc>
          <w:tcPr>
            <w:tcW w:w="4876" w:type="dxa"/>
          </w:tcPr>
          <w:p w:rsidR="00E451E4" w:rsidRPr="00AC4460" w:rsidRDefault="00E451E4" w:rsidP="000A61DD">
            <w:pPr>
              <w:pStyle w:val="Normal6"/>
              <w:rPr>
                <w:szCs w:val="24"/>
              </w:rPr>
            </w:pPr>
            <w:r w:rsidRPr="00AC4460">
              <w:t>–</w:t>
            </w:r>
            <w:r w:rsidRPr="00AC4460">
              <w:tab/>
              <w:t xml:space="preserve">λυματολάσπη, βιομηχανική ιλύ </w:t>
            </w:r>
            <w:r w:rsidRPr="00AC4460">
              <w:rPr>
                <w:b/>
                <w:i/>
              </w:rPr>
              <w:t xml:space="preserve">πέραν αυτών που ορίζονται στο στοιχείο εα) </w:t>
            </w:r>
            <w:r w:rsidRPr="00AC4460">
              <w:t>ή ιλύ βυθοκόρησης,</w:t>
            </w:r>
            <w:r w:rsidRPr="00AC4460">
              <w:rPr>
                <w:b/>
                <w:i/>
              </w:rPr>
              <w:t xml:space="preserve"> και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Επί του παρόντος, οι ΚΣΥ 3 και ΚΣΥ 5 εξαιρούν τη «βιομηχανική ιλύ» από τα υλικά εισροής. Δεν είναι σαφώς καθορισμένο τι είναι η «βιομηχανική ιλύς». Πολλά είδη ιλύος από τη βιομηχανία γεωργικών τροφίμων (π.χ. από την επεξεργασία φρούτων, την παραγωγή γαλακτοκομικών / τυριού ...) είναι απολύτως καθαρά οργανικά υλικά και κατάλληλα, ασφαλή υλικά εισροής για κομποστοποίηση και διαδικασίες χώνευσης.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5 – παράγραφος 1 – στοιχείο δ – εδάφιο 1 – εισαγωγική πρόταση</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το πρόσθετο έχει καταχωριστεί σύμφωνα με τον κανονισμό (ΕΚ) αριθ. 1907/2006</w:t>
            </w:r>
            <w:r w:rsidRPr="00AC4460">
              <w:rPr>
                <w:vertAlign w:val="superscript"/>
              </w:rPr>
              <w:t>44</w:t>
            </w:r>
            <w:r w:rsidRPr="00AC4460">
              <w:rPr>
                <w:b/>
                <w:i/>
              </w:rPr>
              <w:t xml:space="preserve"> με φάκελο</w:t>
            </w:r>
            <w:r w:rsidRPr="00AC4460">
              <w:t xml:space="preserve"> που </w:t>
            </w:r>
            <w:r w:rsidRPr="00AC4460">
              <w:rPr>
                <w:b/>
                <w:i/>
              </w:rPr>
              <w:t xml:space="preserve">περιέχει </w:t>
            </w:r>
          </w:p>
        </w:tc>
        <w:tc>
          <w:tcPr>
            <w:tcW w:w="4876" w:type="dxa"/>
          </w:tcPr>
          <w:p w:rsidR="00E451E4" w:rsidRPr="00AC4460" w:rsidRDefault="00E451E4" w:rsidP="000A61DD">
            <w:pPr>
              <w:pStyle w:val="Normal6"/>
              <w:rPr>
                <w:szCs w:val="24"/>
              </w:rPr>
            </w:pPr>
            <w:r w:rsidRPr="00AC4460">
              <w:t>–</w:t>
            </w:r>
            <w:r w:rsidRPr="00AC4460">
              <w:tab/>
              <w:t>το πρόσθετο έχει καταχωριστεί σύμφωνα με τον κανονισμό (ΕΚ) αριθ. 1907/2006</w:t>
            </w:r>
            <w:r w:rsidRPr="00AC4460">
              <w:rPr>
                <w:vertAlign w:val="superscript"/>
              </w:rPr>
              <w:t>44</w:t>
            </w:r>
            <w:r w:rsidRPr="00AC4460">
              <w:rPr>
                <w:b/>
                <w:i/>
              </w:rPr>
              <w:t>, εκτός εάν το καλύπτει ρητώς κάποια από τις εξαιρέσεις από την υποχρέωση καταχώρισης</w:t>
            </w:r>
            <w:r w:rsidRPr="00AC4460">
              <w:t xml:space="preserve"> που </w:t>
            </w:r>
            <w:r w:rsidRPr="00AC4460">
              <w:rPr>
                <w:b/>
                <w:i/>
              </w:rPr>
              <w:t>προβλέπονται στο άρθρο 6 ή στο παράρτημα IV ή V του εν λόγω κανονισμού.</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44</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44</w:t>
            </w:r>
            <w:r w:rsidRPr="00AC4460">
              <w:t xml:space="preserve"> Στην περίπτωση προσθέτου που ανακτάται εντός της Ευρωπαϊκής Ένωσης, η προϋπόθεση αυτή πληρούται εάν το πρόσθετο είναι το ίδιο,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5 – παράγραφος 1 – στοιχείο δ – εδάφιο 1 – περίπτωση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ΙI – μέρος ΙΙ – ΚΣΥ 5 – παράγραφος 1 – στοιχείο δ – εδάφιο 1 – περίπτωση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5 – παράγραφος 1 – στοιχείο ε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α)</w:t>
            </w:r>
            <w:r w:rsidRPr="00AC4460">
              <w:rPr>
                <w:b/>
                <w:i/>
              </w:rPr>
              <w:tab/>
              <w:t>Μη επεξεργασμένα και μηχανικώς επεξεργασμένα υπολείμματα από βιομηχανίες παραγωγής τροφίμων, με εξαίρεση τις βιομηχανίες που χρησιμοποιούν ζωικά υποπροϊόντα σύμφωνα με τον κανονισμό (ΕΚ) αριθ. 1069/2009.</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Επί του παρόντος, οι ΚΣΥ 3 και ΚΣΥ 5 εξαιρούν τη «βιομηχανική ιλύ» από τα υλικά εισροής. Δεν είναι σαφώς καθορισμένο τι είναι η «βιομηχανική ιλύς». Πολλά είδη ιλύος από τη βιομηχανία γεωργικών τροφίμων (π.χ. από την επεξεργασία φρούτων, την παραγωγή γαλακτοκομικών / τυριού ...) είναι απολύτως καθαρά οργανικά υλικά και κατάλληλα, ασφαλή υλικά εισροής για κομποστοποίηση και διαδικασίες χώνευσης.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5 – παράγραφος 1 – στοιχείο ε β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ε β)</w:t>
            </w:r>
            <w:r w:rsidRPr="00AC4460">
              <w:rPr>
                <w:b/>
                <w:i/>
              </w:rPr>
              <w:tab/>
              <w:t>Υλικά που συμμορφώνονται προς τις ΚΣΥ 2, ΚΣΥ 3, ΚΣΥ 4, ΚΣΥ 5, ΚΣΥ 6 και ΚΣΥ 11.</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149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5 – παράγραφος 3 – στοιχείο 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α)</w:t>
            </w:r>
            <w:r w:rsidRPr="00AC4460">
              <w:tab/>
              <w:t>Θερμόφιλη αναερόβια χώνευση σε θερμοκρασία 55 °C επί τουλάχιστον 24 ώρες και υδραυλικό χρόνο παραμονής τουλάχιστον 20 ημερών·</w:t>
            </w:r>
          </w:p>
        </w:tc>
        <w:tc>
          <w:tcPr>
            <w:tcW w:w="4876" w:type="dxa"/>
          </w:tcPr>
          <w:p w:rsidR="00E451E4" w:rsidRPr="00AC4460" w:rsidRDefault="00E451E4" w:rsidP="000A61DD">
            <w:pPr>
              <w:pStyle w:val="Normal6"/>
              <w:rPr>
                <w:szCs w:val="24"/>
              </w:rPr>
            </w:pPr>
            <w:r w:rsidRPr="00AC4460">
              <w:t>α)</w:t>
            </w:r>
            <w:r w:rsidRPr="00AC4460">
              <w:tab/>
              <w:t>Θερμόφιλη αναερόβια χώνευση σε θερμοκρασία 55 °C επί τουλάχιστον 24 ώρες και υδραυλικό χρόνο παραμονής τουλάχιστον 20 ημερών</w:t>
            </w:r>
            <w:r w:rsidRPr="00AC4460">
              <w:rPr>
                <w:b/>
                <w:i/>
              </w:rPr>
              <w:t>, που ακολουθείται από ανάλυση η οποία επαληθεύει ότι η διαδικασία χώνευσης κατέστρεψε επιτυχώς τους παθογόνους οργανισμούς</w:t>
            </w:r>
            <w:r w:rsidRPr="00AC4460">
              <w:t>·</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Σε τόσο χαμηλή θερμοκρασία για τόσο σύντομο διάστημα χώνευσης είναι πιθανό να επιβιώσουν ορισμένοι παθογόνοι οργανισμοί και στη συνέχεια να πολλαπλασιαστούν κατά τη διάρκεια της περιόδου διατήρησης. Είναι ζωτικής σημασίας να επαληθεύεται η απουσία παθογόνων οργανισμών στο τέλος της περιόδου διατήρησης.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6 – παράγραφος 1 – στοιχείο γ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α)</w:t>
            </w:r>
            <w:r w:rsidRPr="00AC4460">
              <w:rPr>
                <w:b/>
                <w:i/>
              </w:rPr>
              <w:tab/>
              <w:t>Το πυρηνόξυλο, δηλαδή το παχύρρευστο υποπροϊόν που προέρχεται από την έκθλιψη της ελιάς, το οποίο παράγεται από την επεξεργασία του υδαρούς πυρήνα με οργανικούς διαλύτες βάσει φυγοκεντρικού συστήματος δύο φάσεων (υγρός ελαιοπυρήνας) ή τριών φάσεων (στερεός ελαιοπυρήνας).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απαραίτητο να συμπεριληφθεί ο ορισμός του πυρηνόξυλου καθώς δεν περιλαμβάνεται σε καμία από τις προηγούμενες παραγράφους, δεδομένου ότι οι οργανικοί διαλύτες αφαιρούνται σχεδόν εξ ολοκλήρου από το τελικό προϊόν.</w:t>
      </w:r>
    </w:p>
    <w:p w:rsidR="00E451E4" w:rsidRPr="00CB12FD" w:rsidRDefault="00E451E4" w:rsidP="000A61DD">
      <w:pPr>
        <w:pStyle w:val="Normal6"/>
      </w:pPr>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ΚΛΠ 6 – παράγραφος 1 – στοιχείο γ β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 β)</w:t>
            </w:r>
            <w:r w:rsidRPr="00AC4460">
              <w:rPr>
                <w:b/>
                <w:i/>
              </w:rPr>
              <w:tab/>
              <w:t>κάθε άλλο υλικό ή ουσία που έχει εγκριθεί για προσθήκη σε τρόφιμα ή ζωοτροφές.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6 – παράγραφος 2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Η ουσία έχει καταχωριστεί σύμφωνα με τον κανονισμό (ΕΚ) αριθ. 1907/2006</w:t>
            </w:r>
            <w:r w:rsidRPr="00AC4460">
              <w:rPr>
                <w:vertAlign w:val="superscript"/>
              </w:rPr>
              <w:t>47</w:t>
            </w:r>
            <w:r w:rsidRPr="00AC4460">
              <w:t xml:space="preserve"> </w:t>
            </w:r>
            <w:r w:rsidRPr="00AC4460">
              <w:rPr>
                <w:b/>
                <w:i/>
              </w:rPr>
              <w:t>με φάκελο</w:t>
            </w:r>
            <w:r w:rsidRPr="00AC4460">
              <w:t xml:space="preserve"> που </w:t>
            </w:r>
            <w:r w:rsidRPr="00AC4460">
              <w:rPr>
                <w:b/>
                <w:i/>
              </w:rPr>
              <w:t>περιέχει</w:t>
            </w:r>
          </w:p>
        </w:tc>
        <w:tc>
          <w:tcPr>
            <w:tcW w:w="4876" w:type="dxa"/>
          </w:tcPr>
          <w:p w:rsidR="00E451E4" w:rsidRPr="00AC4460" w:rsidRDefault="00E451E4" w:rsidP="000A61DD">
            <w:pPr>
              <w:pStyle w:val="Normal6"/>
              <w:rPr>
                <w:szCs w:val="24"/>
              </w:rPr>
            </w:pPr>
            <w:r w:rsidRPr="00AC4460">
              <w:t>Η ουσία έχει καταχωριστεί σύμφωνα με τον κανονισμό (ΕΚ)</w:t>
            </w:r>
            <w:r w:rsidR="000A61DD">
              <w:t xml:space="preserve"> </w:t>
            </w:r>
            <w:r w:rsidRPr="00AC4460">
              <w:t>αριθ. 1907/2006</w:t>
            </w:r>
            <w:r w:rsidRPr="00AC4460">
              <w:rPr>
                <w:vertAlign w:val="superscript"/>
              </w:rPr>
              <w:t>47</w:t>
            </w:r>
            <w:r w:rsidRPr="00AC4460">
              <w:t xml:space="preserve"> </w:t>
            </w:r>
            <w:r w:rsidRPr="00AC4460">
              <w:rPr>
                <w:b/>
                <w:i/>
              </w:rPr>
              <w:t>εκτός εάν την καλύπτει ρητώς κάποια από τις εξαιρέσεις από την υποχρέωση καταχώρισης</w:t>
            </w:r>
            <w:r w:rsidRPr="00AC4460">
              <w:t xml:space="preserve"> που </w:t>
            </w:r>
            <w:r w:rsidRPr="00AC4460">
              <w:rPr>
                <w:b/>
                <w:i/>
              </w:rPr>
              <w:t>προβλέπονται στο άρθρο 6 ή στο παράρτημα IV ή V του εν λόγω κανονισμού.</w:t>
            </w:r>
          </w:p>
        </w:tc>
      </w:tr>
      <w:tr w:rsidR="00E451E4" w:rsidRPr="00CB12FD" w:rsidTr="000A61DD">
        <w:trPr>
          <w:jc w:val="center"/>
        </w:trPr>
        <w:tc>
          <w:tcPr>
            <w:tcW w:w="4876" w:type="dxa"/>
          </w:tcPr>
          <w:p w:rsidR="00E451E4" w:rsidRPr="00AC4460" w:rsidRDefault="00E451E4" w:rsidP="000A61DD">
            <w:pPr>
              <w:pStyle w:val="Normal6"/>
            </w:pPr>
            <w:r w:rsidRPr="00AC4460">
              <w:t>__________________</w:t>
            </w:r>
          </w:p>
        </w:tc>
        <w:tc>
          <w:tcPr>
            <w:tcW w:w="4876" w:type="dxa"/>
          </w:tcPr>
          <w:p w:rsidR="00E451E4" w:rsidRPr="00AC4460" w:rsidRDefault="00E451E4" w:rsidP="000A61DD">
            <w:pPr>
              <w:pStyle w:val="Normal6"/>
              <w:rPr>
                <w:szCs w:val="24"/>
              </w:rPr>
            </w:pPr>
            <w:r w:rsidRPr="00AC4460">
              <w:t>__________________</w:t>
            </w:r>
          </w:p>
        </w:tc>
      </w:tr>
      <w:tr w:rsidR="00E451E4" w:rsidRPr="00CB12FD" w:rsidTr="000A61DD">
        <w:trPr>
          <w:jc w:val="center"/>
        </w:trPr>
        <w:tc>
          <w:tcPr>
            <w:tcW w:w="4876" w:type="dxa"/>
          </w:tcPr>
          <w:p w:rsidR="00E451E4" w:rsidRPr="00AC4460" w:rsidRDefault="00E451E4" w:rsidP="000A61DD">
            <w:pPr>
              <w:pStyle w:val="Normal6"/>
            </w:pPr>
            <w:r w:rsidRPr="00AC4460">
              <w:rPr>
                <w:vertAlign w:val="superscript"/>
              </w:rPr>
              <w:t>47</w:t>
            </w:r>
            <w:r w:rsidRPr="00AC4460">
              <w:t xml:space="preserve"> Στην περίπτωση ουσίας που ανακτάται εντός της Ευρωπαϊκής Ένωσης, η προϋπόθεση αυτή πληρούται εάν η ουσία είναι η ίδια,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c>
          <w:tcPr>
            <w:tcW w:w="4876" w:type="dxa"/>
          </w:tcPr>
          <w:p w:rsidR="00E451E4" w:rsidRPr="00AC4460" w:rsidRDefault="00E451E4" w:rsidP="000A61DD">
            <w:pPr>
              <w:pStyle w:val="Normal6"/>
              <w:rPr>
                <w:szCs w:val="24"/>
              </w:rPr>
            </w:pPr>
            <w:r w:rsidRPr="00AC4460">
              <w:rPr>
                <w:vertAlign w:val="superscript"/>
              </w:rPr>
              <w:t>47</w:t>
            </w:r>
            <w:r w:rsidRPr="00AC4460">
              <w:t xml:space="preserve"> Στην περίπτωση ουσίας που ανακτάται εντός της Ευρωπαϊκής Ένωσης, η προϋπόθεση αυτή πληρούται εάν η ουσία είναι η ίδια, κατά την έννοια του άρθρου 2 παράγραφος 7 στοιχείο δ) σημείο i) του κανονισμού (ΕΚ) αριθ. 1907/2006, με μια ουσία καταχωρισμένη σε φάκελο που περιέχει τις πληροφορίες που αναφέρονται εδώ, και εάν οι πληροφορίες είναι διαθέσιμες στον παρασκευαστή του προϊόντος λίπανσης κατά την έννοια του άρθρου 2 παράγραφος 7 στοιχείο δ) σημείο ii) του κανονισμού (ΕΚ) αριθ. 1907/2006.</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ο κανονισμός REACH να εφαρμόζεται στα προϊόντα λίπανσης.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6 – παράγραφος 2 – στοιχείο 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α)</w:t>
            </w:r>
            <w:r w:rsidRPr="00AC4460">
              <w:tab/>
            </w:r>
            <w:r w:rsidRPr="00AC4460">
              <w:rPr>
                <w:b/>
                <w:i/>
              </w:rPr>
              <w:t>τις πληροφορίες που προβλέπονται στα παραρτήματα VI, VII και VIII του κανονισμού (ΕΚ) αριθ. 1907/2006, και</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6 – παράγραφος 2 – στοιχείο β</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β)</w:t>
            </w:r>
            <w:r w:rsidRPr="00AC4460">
              <w:tab/>
            </w:r>
            <w:r w:rsidRPr="00AC4460">
              <w:rPr>
                <w:b/>
                <w:i/>
              </w:rPr>
              <w:t>έκθεση χημικής ασφάλειας σύμφωνα με το άρθρο 14 του κανονισμού (ΕΚ) αριθ. 1907/2006, η οποία να καλύπτει τη χρήση του ως προϊόντος λίπανσης,</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6 – παράγραφος 2 – τελευταία πρόταση</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εκτός εάν αυτές καλύπτονται ρητώς από κάποια από τις εξαιρέσεις από την υποχρέωση καταχώρισης που προβλέπει το παράρτημα IV του εν λόγω κανονισμού ή από τα σημεία 6, 7, 8 ή 9 του παραρτήματος V του εν λόγω κανονισμού.</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7 – παράγραφος 1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Ένα προϊόν λίπανσης με σήμανση CE επιτρέπεται να περιέχει μικροοργανισμούς</w:t>
            </w:r>
            <w:r w:rsidRPr="00AC4460">
              <w:t xml:space="preserve">, συμπεριλαμβανομένων των νεκρών μικροοργανισμών ή των κενών κυττάρων και των αβλαβών υπολειμματικών στοιχείων των θρεπτικών υλικών στα οποία αυτοί καλλιεργήθηκαν, </w:t>
            </w:r>
            <w:r w:rsidRPr="00AC4460">
              <w:rPr>
                <w:b/>
                <w:i/>
              </w:rPr>
              <w:t>οι οποίοι</w:t>
            </w:r>
          </w:p>
        </w:tc>
        <w:tc>
          <w:tcPr>
            <w:tcW w:w="4876" w:type="dxa"/>
          </w:tcPr>
          <w:p w:rsidR="00E451E4" w:rsidRPr="00AC4460" w:rsidRDefault="00E451E4" w:rsidP="000A61DD">
            <w:pPr>
              <w:pStyle w:val="Normal6"/>
              <w:rPr>
                <w:szCs w:val="24"/>
              </w:rPr>
            </w:pPr>
            <w:r w:rsidRPr="00AC4460">
              <w:rPr>
                <w:b/>
                <w:i/>
              </w:rPr>
              <w:t>Μικροοργανισμοί</w:t>
            </w:r>
            <w:r w:rsidRPr="00AC4460">
              <w:t xml:space="preserve">, συμπεριλαμβανομένων των νεκρών μικροοργανισμών ή των κενών κυττάρων και των αβλαβών υπολειμματικών στοιχείων των θρεπτικών υλικών στα οποία αυτοί καλλιεργήθηκαν, </w:t>
            </w:r>
            <w:r w:rsidRPr="00AC4460">
              <w:rPr>
                <w:b/>
                <w:i/>
              </w:rPr>
              <w:t>μπορεί να θεωρηθούν ασφαλείς για ενσωμάτωση σε προϊόν λίπανσης με σήμανση CE, εάν εμπίπτουν σε μία από τις ακόλουθες τρεις περιπτώσεις: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IΙ – μέρος ΙΙ – ΚΛΠ 7 – παράγραφος 1 – περίπτωση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hideMark/>
          </w:tcPr>
          <w:p w:rsidR="00E451E4" w:rsidRPr="00AC4460" w:rsidRDefault="00E451E4" w:rsidP="000A61DD">
            <w:pPr>
              <w:pStyle w:val="ColumnHeading"/>
              <w:keepNext/>
            </w:pPr>
            <w:r w:rsidRPr="00AC4460">
              <w:t>Κείμενο που προτείνει η Επιτροπή</w:t>
            </w:r>
          </w:p>
        </w:tc>
        <w:tc>
          <w:tcPr>
            <w:tcW w:w="4876" w:type="dxa"/>
            <w:hideMark/>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hideMark/>
          </w:tcPr>
          <w:p w:rsidR="00E451E4" w:rsidRPr="00AC4460" w:rsidRDefault="00E451E4" w:rsidP="000A61DD">
            <w:pPr>
              <w:pStyle w:val="Normal6"/>
            </w:pPr>
            <w:r w:rsidRPr="00AC4460">
              <w:t>–</w:t>
            </w:r>
            <w:r w:rsidRPr="00AC4460">
              <w:tab/>
            </w:r>
            <w:r w:rsidRPr="00AC4460">
              <w:rPr>
                <w:b/>
                <w:i/>
              </w:rPr>
              <w:t>δεν έχουν υποστεί άλλη επεξεργασία εκτός από ξήρανση ή λυοφιλίωση και</w:t>
            </w:r>
          </w:p>
        </w:tc>
        <w:tc>
          <w:tcPr>
            <w:tcW w:w="4876" w:type="dxa"/>
            <w:hideMark/>
          </w:tcPr>
          <w:p w:rsidR="00E451E4" w:rsidRPr="00AC4460" w:rsidRDefault="00E451E4" w:rsidP="000A61DD">
            <w:pPr>
              <w:pStyle w:val="Normal6"/>
              <w:rPr>
                <w:szCs w:val="24"/>
              </w:rPr>
            </w:pPr>
            <w:r w:rsidRPr="00AC4460">
              <w:rPr>
                <w:b/>
                <w:i/>
              </w:rPr>
              <w:t>α)</w:t>
            </w:r>
            <w:r w:rsidRPr="00AC4460">
              <w:rPr>
                <w:b/>
                <w:i/>
              </w:rPr>
              <w:tab/>
              <w:t>αποτελούν έναν από τους ακόλουθους μικροοργανισμούς:</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Azotobacter spp.</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Μυκορριζικοί μύκητες</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Ριζόβια</w:t>
            </w:r>
          </w:p>
        </w:tc>
      </w:tr>
      <w:tr w:rsidR="00E451E4" w:rsidRPr="00CB12FD" w:rsidTr="000A61DD">
        <w:trPr>
          <w:jc w:val="center"/>
        </w:trPr>
        <w:tc>
          <w:tcPr>
            <w:tcW w:w="4876" w:type="dxa"/>
          </w:tcPr>
          <w:p w:rsidR="00E451E4" w:rsidRPr="00AC4460" w:rsidRDefault="00E451E4" w:rsidP="000A61DD">
            <w:pPr>
              <w:pStyle w:val="Normal6"/>
            </w:pPr>
          </w:p>
        </w:tc>
        <w:tc>
          <w:tcPr>
            <w:tcW w:w="4876" w:type="dxa"/>
            <w:hideMark/>
          </w:tcPr>
          <w:p w:rsidR="00E451E4" w:rsidRPr="00AC4460" w:rsidRDefault="00E451E4" w:rsidP="000A61DD">
            <w:pPr>
              <w:pStyle w:val="Normal6"/>
              <w:rPr>
                <w:szCs w:val="24"/>
              </w:rPr>
            </w:pPr>
            <w:r w:rsidRPr="00AC4460">
              <w:rPr>
                <w:b/>
                <w:i/>
              </w:rPr>
              <w:t>–</w:t>
            </w:r>
            <w:r w:rsidRPr="00AC4460">
              <w:rPr>
                <w:b/>
                <w:i/>
              </w:rPr>
              <w:tab/>
              <w:t>Azospirillum spp.</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ΙΙ – ΚΣΥ 7 – περίπτωση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r>
            <w:r w:rsidRPr="00AC4460">
              <w:rPr>
                <w:b/>
                <w:i/>
              </w:rPr>
              <w:t>παρατίθενται στον παρακάτω πίνακα</w:t>
            </w:r>
            <w:r w:rsidRPr="00AC4460">
              <w:t>:</w:t>
            </w:r>
          </w:p>
        </w:tc>
        <w:tc>
          <w:tcPr>
            <w:tcW w:w="4876" w:type="dxa"/>
          </w:tcPr>
          <w:p w:rsidR="00E451E4" w:rsidRPr="00AC4460" w:rsidRDefault="00E451E4" w:rsidP="000A61DD">
            <w:pPr>
              <w:pStyle w:val="Normal6"/>
              <w:rPr>
                <w:szCs w:val="24"/>
              </w:rPr>
            </w:pPr>
            <w:r w:rsidRPr="00AC4460">
              <w:rPr>
                <w:b/>
                <w:i/>
              </w:rPr>
              <w:t>β)</w:t>
            </w:r>
            <w:r w:rsidRPr="00AC4460">
              <w:rPr>
                <w:b/>
                <w:i/>
              </w:rPr>
              <w:tab/>
              <w:t>με την επιφύλαξη των κατάλληλων απαιτήσεων περί προστασίας και άδειας χρήσης των δεδομένων, κάθε μικροοργανισμός (ή ομάδα μικροοργανισμών) που επιτρέπεται να χρησιμοποιείται για κάποια από τις ακόλουθες χρήσεις:</w:t>
            </w:r>
          </w:p>
        </w:tc>
      </w:tr>
      <w:tr w:rsidR="00E451E4" w:rsidRPr="00CB12FD" w:rsidTr="000A61DD">
        <w:trPr>
          <w:jc w:val="center"/>
        </w:trPr>
        <w:tc>
          <w:tcPr>
            <w:tcW w:w="4876" w:type="dxa"/>
          </w:tcPr>
          <w:p w:rsidR="00E451E4" w:rsidRPr="00AC4460" w:rsidRDefault="00E451E4" w:rsidP="000A61DD">
            <w:pPr>
              <w:pStyle w:val="Normal6"/>
              <w:rPr>
                <w:b/>
                <w:i/>
              </w:rPr>
            </w:pPr>
            <w:r w:rsidRPr="00AC4460">
              <w:rPr>
                <w:b/>
                <w:i/>
              </w:rPr>
              <w:t>Azotobacter spp.</w:t>
            </w:r>
          </w:p>
        </w:tc>
        <w:tc>
          <w:tcPr>
            <w:tcW w:w="4876" w:type="dxa"/>
          </w:tcPr>
          <w:p w:rsidR="00E451E4" w:rsidRPr="00AC4460" w:rsidRDefault="00E451E4" w:rsidP="000A61DD">
            <w:pPr>
              <w:pStyle w:val="Normal6"/>
              <w:rPr>
                <w:szCs w:val="24"/>
              </w:rPr>
            </w:pPr>
            <w:r w:rsidRPr="00AC4460">
              <w:rPr>
                <w:b/>
                <w:i/>
              </w:rPr>
              <w:t>–</w:t>
            </w:r>
            <w:r w:rsidRPr="00AC4460">
              <w:rPr>
                <w:b/>
                <w:i/>
              </w:rPr>
              <w:tab/>
              <w:t>ενσωμάτωση σε «τρόφιμο» όπως αυτό ορίζεται στο άρθρο 2 του κανονισμού (ΕΚ) αριθ. 178/2002 ή επιτρεπόμενη χρήση κατά την επεξεργασία τέτοιου είδους τροφίμου, συμπεριλαμβανομένων καλλιεργειών που θεωρούνται «συστατικά παραδοσιακών τροφίμων» κατά την έννοια του κανονισμού (ΕΚ) αριθ. 178/2002·</w:t>
            </w:r>
          </w:p>
        </w:tc>
      </w:tr>
      <w:tr w:rsidR="00E451E4" w:rsidRPr="00CB12FD" w:rsidTr="000A61DD">
        <w:trPr>
          <w:jc w:val="center"/>
        </w:trPr>
        <w:tc>
          <w:tcPr>
            <w:tcW w:w="4876" w:type="dxa"/>
          </w:tcPr>
          <w:p w:rsidR="00E451E4" w:rsidRPr="00AC4460" w:rsidRDefault="00E451E4" w:rsidP="000A61DD">
            <w:pPr>
              <w:pStyle w:val="Normal6"/>
              <w:rPr>
                <w:b/>
                <w:i/>
              </w:rPr>
            </w:pPr>
            <w:r w:rsidRPr="00AC4460">
              <w:rPr>
                <w:b/>
                <w:i/>
              </w:rPr>
              <w:t>Μυκορριζικοί μύκητες</w:t>
            </w:r>
          </w:p>
        </w:tc>
        <w:tc>
          <w:tcPr>
            <w:tcW w:w="4876" w:type="dxa"/>
          </w:tcPr>
          <w:p w:rsidR="00E451E4" w:rsidRPr="00AC4460" w:rsidRDefault="00E451E4" w:rsidP="000A61DD">
            <w:pPr>
              <w:pStyle w:val="Normal6"/>
              <w:rPr>
                <w:szCs w:val="24"/>
              </w:rPr>
            </w:pPr>
            <w:r w:rsidRPr="00AC4460">
              <w:rPr>
                <w:b/>
                <w:i/>
              </w:rPr>
              <w:t>–</w:t>
            </w:r>
            <w:r w:rsidRPr="00AC4460">
              <w:rPr>
                <w:b/>
                <w:i/>
              </w:rPr>
              <w:tab/>
              <w:t>χρήση ως πρόσθετο ζωοτροφής που προκύπτει από την ένταξή του στο μητρώο πρόσθετων υλών ζωοτροφών της Ευρωπαϊκής Ένωσης, δυνάμει του κανονισμού (ΕΚ) 1831/2003·</w:t>
            </w:r>
          </w:p>
        </w:tc>
      </w:tr>
      <w:tr w:rsidR="00E451E4" w:rsidRPr="00CB12FD" w:rsidTr="000A61DD">
        <w:trPr>
          <w:jc w:val="center"/>
        </w:trPr>
        <w:tc>
          <w:tcPr>
            <w:tcW w:w="4876" w:type="dxa"/>
          </w:tcPr>
          <w:p w:rsidR="00E451E4" w:rsidRPr="00AC4460" w:rsidRDefault="00E451E4" w:rsidP="000A61DD">
            <w:pPr>
              <w:pStyle w:val="Normal6"/>
              <w:rPr>
                <w:b/>
                <w:i/>
              </w:rPr>
            </w:pPr>
            <w:r w:rsidRPr="00AC4460">
              <w:rPr>
                <w:b/>
                <w:i/>
              </w:rPr>
              <w:t>Rhizobium spp.</w:t>
            </w:r>
          </w:p>
        </w:tc>
        <w:tc>
          <w:tcPr>
            <w:tcW w:w="4876" w:type="dxa"/>
          </w:tcPr>
          <w:p w:rsidR="00E451E4" w:rsidRPr="00AC4460" w:rsidRDefault="00E451E4" w:rsidP="000A61DD">
            <w:pPr>
              <w:pStyle w:val="Normal6"/>
              <w:rPr>
                <w:szCs w:val="24"/>
              </w:rPr>
            </w:pPr>
            <w:r w:rsidRPr="00AC4460">
              <w:rPr>
                <w:b/>
                <w:i/>
              </w:rPr>
              <w:t>–</w:t>
            </w:r>
            <w:r w:rsidRPr="00AC4460">
              <w:rPr>
                <w:b/>
                <w:i/>
              </w:rPr>
              <w:tab/>
              <w:t>χρήση ως δραστικό συστατικό φυτοπροστατευτικού προϊόντος δυνάμει του κανονισμού (ΕΚ) αριθ. 1107/2009 ή ως βιοκτόνο δυνάμει του κανονισμού (ΕΕ) αριθ. 528/2012·</w:t>
            </w:r>
          </w:p>
        </w:tc>
      </w:tr>
      <w:tr w:rsidR="00E451E4" w:rsidRPr="00CB12FD" w:rsidTr="000A61DD">
        <w:trPr>
          <w:jc w:val="center"/>
        </w:trPr>
        <w:tc>
          <w:tcPr>
            <w:tcW w:w="4876" w:type="dxa"/>
          </w:tcPr>
          <w:p w:rsidR="00E451E4" w:rsidRPr="00AC4460" w:rsidRDefault="00E451E4" w:rsidP="000A61DD">
            <w:pPr>
              <w:pStyle w:val="Normal6"/>
              <w:rPr>
                <w:b/>
                <w:i/>
              </w:rPr>
            </w:pPr>
            <w:r w:rsidRPr="00AC4460">
              <w:rPr>
                <w:b/>
                <w:i/>
              </w:rPr>
              <w:t>Azospirillum spp.</w:t>
            </w:r>
          </w:p>
        </w:tc>
        <w:tc>
          <w:tcPr>
            <w:tcW w:w="4876" w:type="dxa"/>
          </w:tcPr>
          <w:p w:rsidR="00E451E4" w:rsidRPr="00AC4460" w:rsidRDefault="00E451E4" w:rsidP="000A61DD">
            <w:pPr>
              <w:pStyle w:val="Normal6"/>
              <w:rPr>
                <w:szCs w:val="24"/>
              </w:rPr>
            </w:pPr>
            <w:r w:rsidRPr="00AC4460">
              <w:rPr>
                <w:b/>
                <w:i/>
              </w:rPr>
              <w:t>γ)</w:t>
            </w:r>
            <w:r w:rsidRPr="00AC4460">
              <w:rPr>
                <w:b/>
                <w:i/>
              </w:rPr>
              <w:tab/>
              <w:t>κάθε μικροοργανισμός (ή ομάδα μικροοργανισμών) που έχει χαρακτηριστεί ασφαλής προς χρήση ως βιοδιεγέρτης με χρήση σχετικών κοινών προδιαγραφών ή εναρμονισμένων προτύπων που έχουν εγκριθεί βάσει του κανονισμού (ΕΕ) αριθ. 1025/2012, όπου παρατίθενται λεπτομερώς αποδεκτά όρια και αναλυτικές μέθοδοι για τα κριτήρια ασφαλείας, συμπεριλαμβανομένων εκείνων που παρατίθενται στο άρθρο 42 του εν λόγω κανονισμού.</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159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ΙΙ – ΚΣΥ 8 – παράγραφος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3.</w:t>
            </w:r>
            <w:r w:rsidRPr="00AC4460">
              <w:tab/>
              <w:t>Ένα προϊόν λίπανσης με σήμανση CE μπορεί να περιέχει συμμορφούμενο αναστολέα νιτροποίησης, όπως αναφέρεται στην ΚΛΠ 5(Α)(Ι) του παραρτήματος I, μόνον εφόσον τουλάχιστον το 50 % της συνολικής περιεκτικότητας του προϊόντος λίπανσης σε άζωτο (N) συνίσταται από άζωτο (Ν) σε μορφή αμμωνίου (NH4+) και ουρίας (CH4N2O).</w:t>
            </w:r>
          </w:p>
        </w:tc>
        <w:tc>
          <w:tcPr>
            <w:tcW w:w="4876" w:type="dxa"/>
          </w:tcPr>
          <w:p w:rsidR="00E451E4" w:rsidRPr="00AC4460" w:rsidRDefault="00E451E4" w:rsidP="000A61DD">
            <w:pPr>
              <w:pStyle w:val="Normal6"/>
              <w:rPr>
                <w:szCs w:val="24"/>
              </w:rPr>
            </w:pPr>
            <w:r w:rsidRPr="00AC4460">
              <w:t>3.</w:t>
            </w:r>
            <w:r w:rsidRPr="00AC4460">
              <w:tab/>
              <w:t xml:space="preserve">Ένα προϊόν λίπανσης με σήμανση CE μπορεί να περιέχει συμμορφούμενο αναστολέα νιτροποίησης, όπως αναφέρεται στην ΚΛΠ 5(Α)(Ι) του παραρτήματος I, μόνον εφόσον τουλάχιστον το 50 % της συνολικής περιεκτικότητας του προϊόντος λίπανσης σε άζωτο (N) συνίσταται από άζωτο (Ν) σε μορφή αμμωνίου (NH4+) </w:t>
            </w:r>
            <w:r w:rsidRPr="00AC4460">
              <w:rPr>
                <w:b/>
                <w:i/>
              </w:rPr>
              <w:t xml:space="preserve">ή αμμωνίου (ΝΗ4+) </w:t>
            </w:r>
            <w:r w:rsidRPr="00AC4460">
              <w:t>και ουρίας (CH4N2O).</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να διευκρινιστεί ότι η περιεκτικότητα σε άζωτο (N) μπορεί να επιτευχθεί είτε μόνο με αμμώνιο είτε με αμμώνιο και ουρία μαζί.</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160</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10 – παράγραφος 1 – στοιχείο β α (νέο)</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 xml:space="preserve">β α) </w:t>
            </w:r>
            <w:r w:rsidRPr="00AC4460">
              <w:rPr>
                <w:b/>
                <w:i/>
              </w:rPr>
              <w:t>η βελτίωση του εδάφους σε βιοαποδομήσιμη στρώση εδαφοκάλυψης σε συμμόρφωση προς τις απαιτήσεις της ΚΣΥ 10 σημεία 2α και 3.</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161</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10 – παράγραφος 1 – στοιχείο β β (νέο)</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 xml:space="preserve">β β) </w:t>
            </w:r>
            <w:r w:rsidRPr="00AC4460">
              <w:rPr>
                <w:b/>
                <w:i/>
              </w:rPr>
              <w:t>η βελτίωση της σταθερότητας των προϊόντων λίπανσης με σήμανση CE.</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162</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ΙΙ – ΚΣΥ 10 – παράγραφος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2.</w:t>
            </w:r>
            <w:r w:rsidRPr="00AC4460">
              <w:tab/>
              <w:t xml:space="preserve">Από την </w:t>
            </w:r>
            <w:r w:rsidRPr="00AC4460">
              <w:rPr>
                <w:b/>
                <w:i/>
              </w:rPr>
              <w:t>[Publications office</w:t>
            </w:r>
            <w:r w:rsidRPr="00AC4460">
              <w:t xml:space="preserve">, </w:t>
            </w:r>
            <w:r w:rsidRPr="00AC4460">
              <w:rPr>
                <w:b/>
                <w:i/>
              </w:rPr>
              <w:t>please insert the date occurring three years after the date of application of this Regulation], επιβάλλεται η συμμόρφωση με το παρακάτω κριτήριο: Το πολυμερές είναι ικανό να υποστεί φυσική ή βιολογική αποσύνθεση έτσι ώστε το μεγαλύτερο μέρος του να αποσυντίθεται τελικώς προς διοξείδιο του άνθρακα (CO2), βιομάζα και νερό. Τουλάχιστον το 90 % του οργανικού άνθρακα μετατρέπεται σε CO2 εντός 24 μηνών το αργότερο σε δοκιμή βιοαποδομησιμότητας όπως καθορίζεται στα σημεία α) έως γ) παρακάτω.</w:t>
            </w:r>
          </w:p>
        </w:tc>
        <w:tc>
          <w:tcPr>
            <w:tcW w:w="4876" w:type="dxa"/>
          </w:tcPr>
          <w:p w:rsidR="00E451E4" w:rsidRPr="00AC4460" w:rsidRDefault="00E451E4" w:rsidP="000A61DD">
            <w:pPr>
              <w:pStyle w:val="Normal6"/>
              <w:rPr>
                <w:szCs w:val="24"/>
              </w:rPr>
            </w:pPr>
            <w:r w:rsidRPr="00AC4460">
              <w:rPr>
                <w:szCs w:val="24"/>
              </w:rPr>
              <w:t>2.</w:t>
            </w:r>
            <w:r w:rsidRPr="00AC4460">
              <w:rPr>
                <w:szCs w:val="24"/>
              </w:rPr>
              <w:tab/>
              <w:t xml:space="preserve">Από την </w:t>
            </w:r>
            <w:r w:rsidRPr="00AC4460">
              <w:rPr>
                <w:b/>
                <w:i/>
                <w:szCs w:val="24"/>
              </w:rPr>
              <w:t>[Υπηρεσία Εκδόσεων</w:t>
            </w:r>
            <w:r w:rsidRPr="00AC4460">
              <w:rPr>
                <w:szCs w:val="24"/>
              </w:rPr>
              <w:t xml:space="preserve">, </w:t>
            </w:r>
            <w:r w:rsidRPr="00AC4460">
              <w:rPr>
                <w:b/>
                <w:i/>
                <w:szCs w:val="24"/>
              </w:rPr>
              <w:t>εισάγετε την ημερομηνία που αντιστοιχεί στην πάροδο πέντε ετών από την ημερομηνία έναρξης εφαρμογής του παρόντος κανονισμού], η Επιτροπή εκδίδει κατ’ εξουσιοδότηση πράξεις, σύμφωνα με</w:t>
            </w:r>
            <w:r w:rsidRPr="00AC4460">
              <w:rPr>
                <w:szCs w:val="24"/>
              </w:rPr>
              <w:t xml:space="preserve"> το </w:t>
            </w:r>
            <w:r w:rsidRPr="00AC4460">
              <w:rPr>
                <w:b/>
                <w:i/>
                <w:szCs w:val="24"/>
              </w:rPr>
              <w:t>άρθρο 42 παράγραφος 1</w:t>
            </w:r>
            <w:r w:rsidRPr="00AC4460">
              <w:rPr>
                <w:szCs w:val="24"/>
              </w:rPr>
              <w:t xml:space="preserve"> του </w:t>
            </w:r>
            <w:r w:rsidRPr="00AC4460">
              <w:rPr>
                <w:b/>
                <w:i/>
                <w:szCs w:val="24"/>
              </w:rPr>
              <w:t>παρόντος κανονισμού</w:t>
            </w:r>
            <w:r w:rsidRPr="00AC4460">
              <w:rPr>
                <w:szCs w:val="24"/>
              </w:rPr>
              <w:t xml:space="preserve">, και </w:t>
            </w:r>
            <w:r w:rsidRPr="00AC4460">
              <w:rPr>
                <w:b/>
                <w:i/>
                <w:szCs w:val="24"/>
              </w:rPr>
              <w:t>καθορίζει τις ακόλουθες απαιτήσεις:</w:t>
            </w:r>
          </w:p>
        </w:tc>
      </w:tr>
      <w:tr w:rsidR="00E451E4" w:rsidRPr="00CB12FD" w:rsidTr="000A61DD">
        <w:trPr>
          <w:jc w:val="center"/>
        </w:trPr>
        <w:tc>
          <w:tcPr>
            <w:tcW w:w="4876" w:type="dxa"/>
          </w:tcPr>
          <w:p w:rsidR="00E451E4" w:rsidRPr="00AC4460" w:rsidRDefault="00E451E4" w:rsidP="000A61DD">
            <w:pPr>
              <w:pStyle w:val="Normal6"/>
            </w:pPr>
            <w:r w:rsidRPr="00AC4460">
              <w:t>α)</w:t>
            </w:r>
            <w:r w:rsidRPr="00AC4460">
              <w:tab/>
            </w:r>
            <w:r w:rsidRPr="00AC4460">
              <w:rPr>
                <w:b/>
                <w:i/>
              </w:rPr>
              <w:t>Η δοκιμή διεξάγεται σε θερμοκρασία 25 °C ± 2 °C.</w:t>
            </w:r>
          </w:p>
        </w:tc>
        <w:tc>
          <w:tcPr>
            <w:tcW w:w="4876" w:type="dxa"/>
          </w:tcPr>
          <w:p w:rsidR="00E451E4" w:rsidRPr="00AC4460" w:rsidRDefault="00E451E4" w:rsidP="000A61DD">
            <w:pPr>
              <w:pStyle w:val="Normal6"/>
              <w:rPr>
                <w:b/>
                <w:i/>
                <w:szCs w:val="24"/>
              </w:rPr>
            </w:pPr>
            <w:r w:rsidRPr="00AC4460">
              <w:t>α)</w:t>
            </w:r>
            <w:r w:rsidRPr="00AC4460">
              <w:tab/>
            </w:r>
            <w:r w:rsidRPr="00AC4460">
              <w:rPr>
                <w:b/>
                <w:i/>
                <w:szCs w:val="24"/>
              </w:rPr>
              <w:t>Ένα πρότυπο για τη βιοαποδομησιμότητα του πολυμερούς με τον καθορισμό χρονικού διαστήματος εντός του οποίου τουλάχιστον το 90% – σε απόλυτη ή σχετική τιμή σε σχέση με το υλικό αναφοράς – του οργανικού άνθρακα μετατρέπεται σε CO2, αφού έχει τηρηθεί ο σύμφωνα με τους ισχυρισμούς χρόνος αποδέσμευσης του πολυμερούς, και</w:t>
            </w:r>
          </w:p>
        </w:tc>
      </w:tr>
      <w:tr w:rsidR="00E451E4" w:rsidRPr="00CB12FD" w:rsidTr="000A61DD">
        <w:trPr>
          <w:jc w:val="center"/>
        </w:trPr>
        <w:tc>
          <w:tcPr>
            <w:tcW w:w="4876" w:type="dxa"/>
          </w:tcPr>
          <w:p w:rsidR="00E451E4" w:rsidRPr="00AC4460" w:rsidRDefault="00E451E4" w:rsidP="000A61DD">
            <w:pPr>
              <w:pStyle w:val="Normal6"/>
            </w:pPr>
            <w:r w:rsidRPr="00AC4460">
              <w:t>β)</w:t>
            </w:r>
            <w:r w:rsidRPr="00AC4460">
              <w:tab/>
            </w:r>
            <w:r w:rsidRPr="00AC4460">
              <w:rPr>
                <w:b/>
                <w:i/>
              </w:rPr>
              <w:t>Η δοκιμή διεξάγεται σύμφωνα με μέθοδο για τον προσδιορισμό της τελικής αερόβιας βιοαποδομησιμότητας πλαστικών υλικών στο έδαφος με μέτρηση των απαιτήσεων σε οξυγόνο ή της ποσότητας του διοξειδίου του άνθρακα που εκλύεται.</w:t>
            </w:r>
          </w:p>
        </w:tc>
        <w:tc>
          <w:tcPr>
            <w:tcW w:w="4876" w:type="dxa"/>
          </w:tcPr>
          <w:p w:rsidR="00E451E4" w:rsidRPr="00AC4460" w:rsidRDefault="00E451E4" w:rsidP="000A61DD">
            <w:pPr>
              <w:pStyle w:val="Normal6"/>
              <w:rPr>
                <w:b/>
                <w:i/>
                <w:szCs w:val="24"/>
              </w:rPr>
            </w:pPr>
            <w:r w:rsidRPr="00AC4460">
              <w:t>β)</w:t>
            </w:r>
            <w:r w:rsidRPr="00AC4460">
              <w:tab/>
            </w:r>
            <w:r w:rsidRPr="00AC4460">
              <w:rPr>
                <w:b/>
                <w:i/>
                <w:szCs w:val="24"/>
              </w:rPr>
              <w:t>Μια δοκιμή βιοαποδομησιμότητας που συμμορφώνεται προς το ακόλουθο κριτήριο: το πολυμερές είναι ικανό να υποστεί φυσική ή βιολογική αποσύνθεση, έτσι ώστε το μεγαλύτερο μέρος του να αποσυντίθεται τελικώς προς διοξείδιο του άνθρακα (CO2), βιομάζα και νερό.</w:t>
            </w:r>
          </w:p>
        </w:tc>
      </w:tr>
      <w:tr w:rsidR="00E451E4" w:rsidRPr="00CB12FD" w:rsidTr="000A61DD">
        <w:trPr>
          <w:jc w:val="center"/>
        </w:trPr>
        <w:tc>
          <w:tcPr>
            <w:tcW w:w="4876" w:type="dxa"/>
          </w:tcPr>
          <w:p w:rsidR="00E451E4" w:rsidRPr="00AC4460" w:rsidRDefault="00E451E4" w:rsidP="000A61DD">
            <w:pPr>
              <w:pStyle w:val="Normal6"/>
              <w:rPr>
                <w:b/>
                <w:i/>
              </w:rPr>
            </w:pPr>
            <w:r w:rsidRPr="00AC4460">
              <w:rPr>
                <w:b/>
                <w:i/>
              </w:rPr>
              <w:t>γ)</w:t>
            </w:r>
            <w:r w:rsidRPr="00AC4460">
              <w:rPr>
                <w:b/>
                <w:i/>
              </w:rPr>
              <w:tab/>
              <w:t>Σκόνη μικροκρυσταλλικής κυτταρίνης με τις ίδιες διαστάσεις όπως και το δοκιμαζόμενο υλικό χρησιμοποιείται ως υλικό αναφοράς στη δοκιμή.</w:t>
            </w:r>
          </w:p>
        </w:tc>
        <w:tc>
          <w:tcPr>
            <w:tcW w:w="4876" w:type="dxa"/>
          </w:tcPr>
          <w:p w:rsidR="00E451E4" w:rsidRPr="00AC4460" w:rsidRDefault="00E451E4" w:rsidP="000A61DD">
            <w:pPr>
              <w:pStyle w:val="Normal6"/>
              <w:rPr>
                <w:szCs w:val="24"/>
              </w:rPr>
            </w:pPr>
          </w:p>
        </w:tc>
      </w:tr>
      <w:tr w:rsidR="00E451E4" w:rsidRPr="00CB12FD" w:rsidTr="000A61DD">
        <w:trPr>
          <w:jc w:val="center"/>
        </w:trPr>
        <w:tc>
          <w:tcPr>
            <w:tcW w:w="4876" w:type="dxa"/>
          </w:tcPr>
          <w:p w:rsidR="00E451E4" w:rsidRPr="00AC4460" w:rsidRDefault="00E451E4" w:rsidP="000A61DD">
            <w:pPr>
              <w:pStyle w:val="Normal6"/>
              <w:rPr>
                <w:b/>
                <w:i/>
              </w:rPr>
            </w:pPr>
            <w:r w:rsidRPr="00AC4460">
              <w:rPr>
                <w:b/>
                <w:i/>
              </w:rPr>
              <w:t>δ)</w:t>
            </w:r>
            <w:r w:rsidRPr="00AC4460">
              <w:rPr>
                <w:b/>
                <w:i/>
              </w:rPr>
              <w:tab/>
              <w:t>Πριν από τη δοκιμή, το δοκιμαζόμενο υλικό δεν εκτίθεται σε συνθήκες ή διαδικασίες που αποσκοπούν στην επιτάχυνση της αποδόμησης της μεμβράνης, όπως η έκθεση σε θερμότητα ή φως.</w:t>
            </w:r>
          </w:p>
        </w:tc>
        <w:tc>
          <w:tcPr>
            <w:tcW w:w="4876" w:type="dxa"/>
          </w:tcPr>
          <w:p w:rsidR="00E451E4" w:rsidRPr="00AC4460" w:rsidRDefault="00E451E4" w:rsidP="000A61DD">
            <w:pPr>
              <w:pStyle w:val="Normal6"/>
              <w:rPr>
                <w:szCs w:val="24"/>
              </w:rPr>
            </w:pP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163</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10 – παράγραφος 2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szCs w:val="24"/>
              </w:rPr>
              <w:t>2α. Η βιοαποδομήσιμη στρώση εδαφοκάλυψης συμμορφώνεται με το ακόλουθο κριτήριο: Το πολυμερές είναι ικανό να υποστεί φυσική ή βιολογική αποσύνθεση έτσι ώστε να αποσυντίθεται τελικώς προς διοξείδιο του άνθρακα (CO2), βιομάζα και νερό. Τουλάχιστον το 90%, σε απόλυτη ή σχετική τιμή σε σχέση με το υλικό αναφοράς, μετατρέπεται σε CO2, βιομάζα και νερό εντός 24 μηνών το αργότερο σε δοκιμή βιοαποδομησιμότητας σύμφωνα με τα ευρωπαϊκά πρότυπα για τη βιοαποδομησιμότητα πολυμερών στο έδαφος.</w:t>
            </w:r>
          </w:p>
        </w:tc>
      </w:tr>
    </w:tbl>
    <w:p w:rsidR="00E451E4" w:rsidRPr="00CB12FD" w:rsidRDefault="00E451E4" w:rsidP="000A61DD">
      <w:r>
        <w:rPr>
          <w:rStyle w:val="HideTWBExt"/>
          <w:noProof w:val="0"/>
        </w:rPr>
        <w:t>&lt;/Amend&gt;</w:t>
      </w: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164</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II – ΚΣΥ 10 – παράγραφος 3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rPr>
              <w:t>3α.</w:t>
            </w:r>
            <w:r w:rsidRPr="00AC4460">
              <w:rPr>
                <w:b/>
                <w:i/>
              </w:rPr>
              <w:tab/>
              <w:t xml:space="preserve">Το προϊόν με σήμανση CE που περιέχει πολυμερή άλλα από πολυμερή θρεπτικών συστατικών εξαιρείται από τις απαιτήσεις που καθορίζονται στις παραγράφους 1, 2 και 3 υπό την προϋπόθεση ότι τα πολυμερή χρησιμοποιούνται αποκλειστικά ως συνδετικό υλικό για το προϊόν λίπανσης και δεν έρχονται σε επαφή με το έδαφος. </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bookmarkStart w:id="17" w:name="restart"/>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 – μέρος ΙΙ – ΚΣΥ 10 – παράγραφος 3 β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3β.</w:t>
            </w:r>
            <w:r w:rsidRPr="00AC4460">
              <w:rPr>
                <w:b/>
                <w:i/>
              </w:rPr>
              <w:tab/>
              <w:t>Εφόσον το προϊόν προορίζεται να προστεθεί στο έδαφος και να απελευθερωθεί στο περιβάλλον, τα κριτήρια αυτά ισχύουν για όλα τα υλικά του προϊόντος.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1 – παράγραφος 2 – στοιχείο ε</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ε)</w:t>
            </w:r>
            <w:r w:rsidRPr="00AC4460">
              <w:tab/>
              <w:t xml:space="preserve">Περιγραφή όλων των συστατικών που περιέχονται σε ποσοστό άνω του </w:t>
            </w:r>
            <w:r w:rsidRPr="00AC4460">
              <w:rPr>
                <w:b/>
                <w:i/>
              </w:rPr>
              <w:t>5</w:t>
            </w:r>
            <w:r w:rsidRPr="00AC4460">
              <w:t xml:space="preserve"> % του βάρους του προϊόντος, κατά φθίνουσα σειρά περιεκτικότητας σε ξηρό βάρος, με ένδειξη των αντίστοιχων κατηγοριών συστατικών υλικών (ΚΣΥ) όπως αναφέρονται στο παράρτημα ΙΙ</w:t>
            </w:r>
            <w:r w:rsidRPr="00AC4460">
              <w:rPr>
                <w:b/>
                <w:i/>
              </w:rPr>
              <w:t>.</w:t>
            </w:r>
          </w:p>
        </w:tc>
        <w:tc>
          <w:tcPr>
            <w:tcW w:w="4876" w:type="dxa"/>
          </w:tcPr>
          <w:p w:rsidR="00E451E4" w:rsidRPr="00AC4460" w:rsidRDefault="00E451E4" w:rsidP="000A61DD">
            <w:pPr>
              <w:pStyle w:val="Normal6"/>
              <w:rPr>
                <w:szCs w:val="24"/>
              </w:rPr>
            </w:pPr>
            <w:r w:rsidRPr="00AC4460">
              <w:t>ε)</w:t>
            </w:r>
            <w:r w:rsidRPr="00AC4460">
              <w:tab/>
              <w:t xml:space="preserve">Περιγραφή όλων των συστατικών που περιέχονται σε ποσοστό άνω του </w:t>
            </w:r>
            <w:r w:rsidRPr="00AC4460">
              <w:rPr>
                <w:b/>
                <w:i/>
              </w:rPr>
              <w:t>1</w:t>
            </w:r>
            <w:r w:rsidRPr="00AC4460">
              <w:t xml:space="preserve"> % του βάρους του προϊόντος, κατά φθίνουσα σειρά περιεκτικότητας σε ξηρό βάρος, με ένδειξη των αντίστοιχων κατηγοριών συστατικών υλικών (ΚΣΥ) όπως αναφέρονται στο παράρτημα ΙΙ</w:t>
            </w:r>
            <w:r w:rsidRPr="00AC4460">
              <w:rPr>
                <w:b/>
                <w:i/>
              </w:rPr>
              <w:t xml:space="preserve"> και συμπεριλαμβανομένου του περιεχομένου ως ποσοστού της ξηράς ουσίας·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σημείο 1 – παράγραφος 7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7α.</w:t>
            </w:r>
            <w:r w:rsidRPr="00AC4460">
              <w:rPr>
                <w:b/>
                <w:i/>
              </w:rPr>
              <w:tab/>
              <w:t>Σε περίπτωση που επιτρέπεται η χρήση του προϊόντος λίπανσης με σήμανση CE στη βιολογική γεωργία σύμφωνα με τον κανονισμό (ΕΚ) αριθ. 834/2007, προσδιορίζεται στην ετικέτα ότι «επιτρέπεται η χρήση στη βιολογική γεωργία σύμφωνα με τον κανονισμό (ΕΚ) αριθ. 834/2007».</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Για προϊόντα λίπανσης με σήμανση CE που δεν είναι κατάλληλα για βιολογική γεωργία σύμφωνα με τον κανονισμό (ΕΚ) αριθ. 834/2007, και έχουν εμπορική ονομασία που ανακαλεί όρους οι οποίοι αναφέρονται στο άρθρο 23 του εν λόγω κανονισμού και μπορεί να παραπλανήσουν τον τελικό χρήστη σχετικά με τη χρήση των προϊόντων στη βιολογική γεωργία, προσδιορίζεται στην ετικέτα ότι «δεν επιτρέπεται η χρήση στη βιολογική γεωργία σύμφωνα με τον κανονισμό (ΕΚ) αριθ. 834/2007».</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σημείο 1 –παράγραφος 7 β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7β.</w:t>
            </w:r>
            <w:r w:rsidRPr="00AC4460">
              <w:rPr>
                <w:b/>
                <w:i/>
              </w:rPr>
              <w:tab/>
              <w:t>Για κανένα προϊόν δεν μπορεί να διατυπώνονται ισχυρισμοί που σχετίζονται με άλλη ΚΛΠ εάν αυτό δεν πληροί όλες τις προϋποθέσεις της εν λόγω επιπλέον ΚΛΠ, και ούτε επιτρέπονται άμεσοι ή έμμεσοι ισχυρισμοί σχετικά με φυτοπροστατευτική επίδραση.</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προσθήκη αυτή θα ενισχύσει το όριο με τον κανονισμό περί φυτοπροστασίας και, επίσης, θα ενισχύσει τα όρια μεταξύ των ΚΛΠ, γεγονός που θα συμβάλλει στην αποτροπή της καταστρατήγησης οποιασδήποτε απαίτησης του παρόντος κανονισμού ή του κανονισμού (ΕΚ) 1107/2009.</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169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1 – παράγραφος 2 – στοιχείο β</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β)</w:t>
            </w:r>
            <w:r w:rsidRPr="00AC4460">
              <w:tab/>
              <w:t>Η περιεκτικότητα σε αναστολέα νιτροποίησης εκφράζεται σε ποσοστό, κατά μάζα, του ολικού αζώτου (N) που βρίσκεται σε μορφή αζώτου αμμωνίου (NH4+) και αζώτου ουρίας (CH4N2O).</w:t>
            </w:r>
          </w:p>
        </w:tc>
        <w:tc>
          <w:tcPr>
            <w:tcW w:w="4876" w:type="dxa"/>
          </w:tcPr>
          <w:p w:rsidR="00E451E4" w:rsidRPr="00AC4460" w:rsidRDefault="00E451E4" w:rsidP="000A61DD">
            <w:pPr>
              <w:pStyle w:val="Normal6"/>
              <w:rPr>
                <w:szCs w:val="24"/>
              </w:rPr>
            </w:pPr>
            <w:r w:rsidRPr="00AC4460">
              <w:t>β)</w:t>
            </w:r>
            <w:r w:rsidRPr="00AC4460">
              <w:tab/>
              <w:t xml:space="preserve">Η περιεκτικότητα σε αναστολέα νιτροποίησης εκφράζεται σε ποσοστό, κατά μάζα, του ολικού αζώτου (N) που βρίσκεται σε μορφή αζώτου αμμωνίου (NH4+) </w:t>
            </w:r>
            <w:r w:rsidRPr="00AC4460">
              <w:rPr>
                <w:b/>
                <w:i/>
              </w:rPr>
              <w:t xml:space="preserve">ή αμμωνιακού αζώτου (NH4+) </w:t>
            </w:r>
            <w:r w:rsidRPr="00AC4460">
              <w:t>και αζώτου ουρίας (CH4N2O).</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Είναι σημαντικό να διευκρινιστεί ότι η περιεκτικότητα σε άζωτο (N) μπορεί να επιτευχθεί είτε μόνο με αμμώνιο είτε με αμμώνιο και ουρία μαζί.</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1 (Α) – στοιχείο δ – περίπτωση 12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w:t>
            </w:r>
            <w:r w:rsidRPr="00AC4460">
              <w:rPr>
                <w:b/>
                <w:i/>
              </w:rPr>
              <w:tab/>
              <w:t>Μορφή σκόνης ή σύμπηκτων.</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Σημαντική ένδειξη ώστε ο γεωργός να προσαρμόσει τον χρόνο και τη μέθοδο της εφαρμογής του λιπάσματος.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IIΙ – μέρος II – ΚΛΠ 1(Β) – παράγραφος δ – εδάφιο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r>
            <w:r w:rsidRPr="00AC4460">
              <w:rPr>
                <w:b/>
                <w:i/>
              </w:rPr>
              <w:t>Ολικό πεντοξείδιο</w:t>
            </w:r>
            <w:r w:rsidRPr="00AC4460">
              <w:t xml:space="preserve"> του φωσφόρου (P2O5)</w:t>
            </w:r>
            <w:r w:rsidRPr="00AC4460">
              <w:rPr>
                <w:b/>
                <w:i/>
              </w:rPr>
              <w:t>·</w:t>
            </w:r>
          </w:p>
        </w:tc>
        <w:tc>
          <w:tcPr>
            <w:tcW w:w="4876" w:type="dxa"/>
          </w:tcPr>
          <w:p w:rsidR="00E451E4" w:rsidRPr="00AC4460" w:rsidRDefault="00E451E4" w:rsidP="000A61DD">
            <w:pPr>
              <w:pStyle w:val="Normal6"/>
              <w:rPr>
                <w:szCs w:val="24"/>
              </w:rPr>
            </w:pPr>
            <w:r w:rsidRPr="00AC4460">
              <w:t>–</w:t>
            </w:r>
            <w:r w:rsidRPr="00AC4460">
              <w:tab/>
            </w:r>
            <w:r w:rsidRPr="00AC4460">
              <w:rPr>
                <w:b/>
                <w:i/>
              </w:rPr>
              <w:t>Πεντοξείδιο</w:t>
            </w:r>
            <w:r w:rsidRPr="00AC4460">
              <w:t xml:space="preserve"> του φωσφόρου (P2O5)</w:t>
            </w:r>
            <w:r w:rsidRPr="00AC4460">
              <w:rPr>
                <w:b/>
                <w:i/>
              </w:rPr>
              <w:t xml:space="preserve">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Προκειμένου να παρέχεται καλύτερη πληροφόρηση στους γεωργούς: 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IIΙ – μέρος II – ΚΛΠ 1(Β) – παράγραφος δ – εδάφιο 2 – δεύτερη περίπτωση</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r>
            <w:r w:rsidRPr="00AC4460">
              <w:rPr>
                <w:b/>
                <w:i/>
              </w:rPr>
              <w:t xml:space="preserve">εάν υπάρχουν αλεσμένα μαλακά φωσφορικά άλατα, </w:t>
            </w:r>
            <w:r w:rsidRPr="00AC4460">
              <w:t xml:space="preserve">πεντοξείδιο του φωσφόρου (P2O5) διαλυτό σε </w:t>
            </w:r>
            <w:r w:rsidRPr="00AC4460">
              <w:rPr>
                <w:b/>
                <w:i/>
              </w:rPr>
              <w:t>μυρμηκικό οξύ·</w:t>
            </w:r>
          </w:p>
        </w:tc>
        <w:tc>
          <w:tcPr>
            <w:tcW w:w="4876" w:type="dxa"/>
          </w:tcPr>
          <w:p w:rsidR="00E451E4" w:rsidRPr="00AC4460" w:rsidRDefault="00E451E4" w:rsidP="000A61DD">
            <w:pPr>
              <w:pStyle w:val="Normal6"/>
              <w:rPr>
                <w:szCs w:val="24"/>
              </w:rPr>
            </w:pPr>
            <w:r w:rsidRPr="00AC4460">
              <w:t>–</w:t>
            </w:r>
            <w:r w:rsidRPr="00AC4460">
              <w:tab/>
              <w:t xml:space="preserve">πεντοξείδιο του φωσφόρου (P2O5) διαλυτό </w:t>
            </w:r>
            <w:r w:rsidRPr="00AC4460">
              <w:rPr>
                <w:b/>
                <w:i/>
              </w:rPr>
              <w:t xml:space="preserve">μόνο </w:t>
            </w:r>
            <w:r w:rsidRPr="00AC4460">
              <w:t xml:space="preserve">σε </w:t>
            </w:r>
            <w:r w:rsidRPr="00AC4460">
              <w:rPr>
                <w:b/>
                <w:i/>
              </w:rPr>
              <w:t>ανόργανα οξέα·</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Προκειμένου να παρέχεται καλύτερη πληροφόρηση στους γεωργούς, όπως προβλέπεται στον κανονισμό 2003/2003. Δεν είναι άμεσα διαθέσιμο, διατίθεται μόνο σε συνθήκες εδάφους με πολύ χαμηλές τιμές pH και υψηλό ποσοστό βροχοπτώσεων.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1 (Β) – παράγαφος 1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1α.</w:t>
            </w:r>
            <w:r w:rsidRPr="00AC4460">
              <w:tab/>
            </w:r>
            <w:r w:rsidRPr="00AC4460">
              <w:rPr>
                <w:b/>
                <w:i/>
              </w:rPr>
              <w:t>Η συνολική δηλούμενη περιεκτικότητα σε άζωτο προκύπτει από το σύνολο του αμμωνιακού αζώτου, του νιτρικού αζώτου, του ουρεϊκού αζώτου, του αζώτου από μεθυλενουρία, του αζώτου από ισοβουτυλιδενοδιουρία, του αζώτου από κροτωνυλιδενοδιουρία και του αζώτου από κυαναμίδιο.</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Ευρωπαϊκή Επιτροπή προτείνει στη συνολική δηλούμενη περιεκτικότητα σε θρεπτικά συστατικά να περιλαμβάνονται εξ ορισμού όλες οι μορφές θρεπτικών συστατικών, ακόμη και εκείνες που δεν θα είναι διαθέσιμες στα φυτά. Μόνο τα θρεπτικά συστατικά που είναι διαθέσιμα στα φυτά θα πρέπει να δηλώνονται και να επισημαίνονται, διότι για άλλες μορφές αζώτου ή φωσφόρου δεν έχει αποδειχθεί ότι συμβάλλουν στη θρέψη των φυτών. Διαφορετικά, οι γεωργοί δεν θα χορηγούν στις καλλιέργειές τους την ποσότητα θρεπτικών συστατικών που ανέμεναν να χρησιμοποιήσουν σύμφωνα με την πρόταση, γεγονός που θα οδηγήσει σε παρανόηση λόγω της δήλωσης συνολικής περιεκτικότητας σε θρεπτικά συστατικά.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1 (Γ) (I) – παράγραφος 1 – εδάφιο δ – σημείο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r>
            <w:r w:rsidRPr="00AC4460">
              <w:rPr>
                <w:b/>
                <w:i/>
              </w:rPr>
              <w:t xml:space="preserve">Ολικό </w:t>
            </w:r>
            <w:r w:rsidRPr="00AC4460">
              <w:t>πεντοξείδιο του φωσφόρου (P2O5)</w:t>
            </w:r>
            <w:r w:rsidRPr="00AC4460">
              <w:rPr>
                <w:b/>
                <w:i/>
              </w:rPr>
              <w:t>·</w:t>
            </w:r>
          </w:p>
        </w:tc>
        <w:tc>
          <w:tcPr>
            <w:tcW w:w="4876" w:type="dxa"/>
          </w:tcPr>
          <w:p w:rsidR="00E451E4" w:rsidRPr="00AC4460" w:rsidRDefault="00E451E4" w:rsidP="000A61DD">
            <w:pPr>
              <w:pStyle w:val="Normal6"/>
              <w:rPr>
                <w:szCs w:val="24"/>
              </w:rPr>
            </w:pPr>
            <w:r w:rsidRPr="00AC4460">
              <w:t>–</w:t>
            </w:r>
            <w:r w:rsidRPr="00AC4460">
              <w:tab/>
              <w:t>Πεντοξείδιο του φωσφόρου (P2O5)</w:t>
            </w:r>
            <w:r w:rsidRPr="00AC4460">
              <w:rPr>
                <w:b/>
                <w:i/>
              </w:rPr>
              <w:t xml:space="preserve">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Προκειμένου να παρέχεται καλύτερη πληροφόρηση στους γεωργούς: ο όρος «ολικό» δεν ισχύει από γεωπονικής πλευράς, ιδίως σε συνθήκες υψηλού και ουδέτερου pH και χαμηλών ατμοσφαιρικών κατακρημνισμάτων. Το διαλυτό σε κιτρικό αμμώνιο και νερό είναι το διαθέσιμο κλάσμα για τα φυτά.</w:t>
      </w:r>
    </w:p>
    <w:p w:rsidR="00E451E4" w:rsidRPr="00CB12FD" w:rsidRDefault="00E451E4" w:rsidP="000A61DD">
      <w:pPr>
        <w:pStyle w:val="Normal6"/>
      </w:pPr>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IIΙ – μέρος II – ΚΛΠ 1(Γ) (I) – παράγραφος 1 – εδάφιο δ – σημείο 2 – τρίτη περίπτωση</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r>
            <w:r w:rsidRPr="00AC4460">
              <w:rPr>
                <w:b/>
                <w:i/>
              </w:rPr>
              <w:t xml:space="preserve">εάν υπάρχουν αλεσμένα μαλακά φωσφορικά άλατα, </w:t>
            </w:r>
            <w:r w:rsidRPr="00AC4460">
              <w:t xml:space="preserve">πεντοξείδιο του φωσφόρου (P2O5) διαλυτό σε </w:t>
            </w:r>
            <w:r w:rsidRPr="00AC4460">
              <w:rPr>
                <w:b/>
                <w:i/>
              </w:rPr>
              <w:t>μυρμηκικό οξύ·</w:t>
            </w:r>
          </w:p>
        </w:tc>
        <w:tc>
          <w:tcPr>
            <w:tcW w:w="4876" w:type="dxa"/>
          </w:tcPr>
          <w:p w:rsidR="00E451E4" w:rsidRPr="00AC4460" w:rsidRDefault="00E451E4" w:rsidP="000A61DD">
            <w:pPr>
              <w:pStyle w:val="Normal6"/>
              <w:rPr>
                <w:szCs w:val="24"/>
              </w:rPr>
            </w:pPr>
            <w:r w:rsidRPr="00AC4460">
              <w:t>–</w:t>
            </w:r>
            <w:r w:rsidRPr="00AC4460">
              <w:tab/>
              <w:t xml:space="preserve">πεντοξείδιο του φωσφόρου (P2O5) διαλυτό </w:t>
            </w:r>
            <w:r w:rsidRPr="00AC4460">
              <w:rPr>
                <w:b/>
                <w:i/>
              </w:rPr>
              <w:t xml:space="preserve">μόνο </w:t>
            </w:r>
            <w:r w:rsidRPr="00AC4460">
              <w:t xml:space="preserve">σε </w:t>
            </w:r>
            <w:r w:rsidRPr="00AC4460">
              <w:rPr>
                <w:b/>
                <w:i/>
              </w:rPr>
              <w:t>ανόργανα οξέα·</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Προκειμένου να παρέχεται καλύτερη πληροφόρηση στους γεωργούς, όπως προβλέπεται στον κανονισμό 2003/2003. Δεν είναι άμεσα διαθέσιμο, διατίθεται μόνο σε συνθήκες εδάφους με πολύ χαμηλές τιμές pH και υψηλό ποσοστό βροχοπτώσεων.</w:t>
      </w:r>
    </w:p>
    <w:p w:rsidR="00E451E4" w:rsidRPr="00CB12FD" w:rsidRDefault="00E451E4" w:rsidP="000A61DD">
      <w:pPr>
        <w:rPr>
          <w:vanish/>
        </w:rPr>
      </w:pPr>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176</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IIΙ – μέρος II – ΚΛΠ 1 (Γ) (I)(α)– παράγραφος 4 α (νέα)</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rPr>
              <w:t>4α.</w:t>
            </w:r>
            <w:r w:rsidRPr="00AC4460">
              <w:rPr>
                <w:b/>
                <w:i/>
              </w:rPr>
              <w:tab/>
              <w:t>Για προϊόντα με σήμανση CE όπου τα πολυμερή χρησιμοποιούνται αποκλειστικά ως συνδετικό υλικό, υπάρχει η ακόλουθη ένδειξη: «Το προϊόν λίπανσης δεν προορίζεται για επαφή με το έδαφος.»</w:t>
            </w:r>
          </w:p>
        </w:tc>
      </w:tr>
    </w:tbl>
    <w:p w:rsidR="00E451E4" w:rsidRPr="00CB12FD" w:rsidRDefault="00E451E4" w:rsidP="000A61DD">
      <w:r>
        <w:rPr>
          <w:rStyle w:val="HideTWBExt"/>
          <w:noProof w:val="0"/>
        </w:rPr>
        <w:t>&lt;/Amend&gt;</w:t>
      </w:r>
    </w:p>
    <w:p w:rsidR="00E451E4" w:rsidRPr="00CB12FD" w:rsidRDefault="00E451E4" w:rsidP="000A61DD"/>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177</w:t>
      </w:r>
      <w:r>
        <w:rPr>
          <w:rStyle w:val="HideTWBExt"/>
          <w:b w:val="0"/>
          <w:noProof w:val="0"/>
        </w:rPr>
        <w:t>&lt;/NumAm&gt;</w:t>
      </w:r>
    </w:p>
    <w:p w:rsidR="00E451E4" w:rsidRPr="00CB12FD" w:rsidRDefault="00E451E4" w:rsidP="000A61DD">
      <w:pPr>
        <w:pStyle w:val="NormalBold12b"/>
        <w:keepNext/>
      </w:pPr>
      <w:r>
        <w:rPr>
          <w:rStyle w:val="HideTWBExt"/>
          <w:b w:val="0"/>
          <w:noProof w:val="0"/>
        </w:rPr>
        <w:t>&lt;DocAmend&gt;</w:t>
      </w:r>
      <w:r w:rsidRPr="00AC4460">
        <w:t>Πρόταση οδηγίας</w:t>
      </w:r>
      <w:r>
        <w:rPr>
          <w:rStyle w:val="HideTWBExt"/>
          <w:b w:val="0"/>
          <w:noProof w:val="0"/>
        </w:rPr>
        <w:t>&lt;/DocAmend&gt;</w:t>
      </w:r>
    </w:p>
    <w:p w:rsidR="00E451E4" w:rsidRPr="00CB12FD" w:rsidRDefault="00E451E4" w:rsidP="000A61DD">
      <w:pPr>
        <w:pStyle w:val="NormalBold"/>
        <w:keepNext/>
      </w:pPr>
      <w:r>
        <w:rPr>
          <w:rStyle w:val="HideTWBExt"/>
          <w:b w:val="0"/>
          <w:noProof w:val="0"/>
        </w:rPr>
        <w:t>&lt;Article&gt;</w:t>
      </w:r>
      <w:r w:rsidRPr="00AC4460">
        <w:t>Παράρτημα III – μέρος II – ΚΛΠ 1(Γα) (νέο)</w:t>
      </w:r>
      <w:r>
        <w:rPr>
          <w:rStyle w:val="HideTWBExt"/>
          <w:b w:val="0"/>
          <w:noProof w:val="0"/>
        </w:rPr>
        <w:t>&lt;/Article&gt;</w:t>
      </w:r>
    </w:p>
    <w:tbl>
      <w:tblPr>
        <w:tblW w:w="9639" w:type="dxa"/>
        <w:jc w:val="center"/>
        <w:tblLayout w:type="fixed"/>
        <w:tblCellMar>
          <w:left w:w="340" w:type="dxa"/>
          <w:right w:w="340" w:type="dxa"/>
        </w:tblCellMar>
        <w:tblLook w:val="04A0" w:firstRow="1" w:lastRow="0" w:firstColumn="1" w:lastColumn="0" w:noHBand="0" w:noVBand="1"/>
      </w:tblPr>
      <w:tblGrid>
        <w:gridCol w:w="3828"/>
        <w:gridCol w:w="804"/>
        <w:gridCol w:w="2172"/>
        <w:gridCol w:w="2835"/>
      </w:tblGrid>
      <w:tr w:rsidR="00E451E4" w:rsidRPr="00CB12FD" w:rsidTr="000A61DD">
        <w:trPr>
          <w:jc w:val="center"/>
        </w:trPr>
        <w:tc>
          <w:tcPr>
            <w:tcW w:w="9639" w:type="dxa"/>
            <w:gridSpan w:val="4"/>
          </w:tcPr>
          <w:p w:rsidR="00E451E4" w:rsidRPr="00CB12FD" w:rsidRDefault="00E451E4" w:rsidP="000A61DD">
            <w:pPr>
              <w:keepNext/>
            </w:pPr>
          </w:p>
        </w:tc>
      </w:tr>
      <w:tr w:rsidR="00E451E4" w:rsidRPr="00CB12FD" w:rsidTr="000A61DD">
        <w:trPr>
          <w:jc w:val="center"/>
        </w:trPr>
        <w:tc>
          <w:tcPr>
            <w:tcW w:w="9639" w:type="dxa"/>
            <w:gridSpan w:val="4"/>
            <w:hideMark/>
          </w:tcPr>
          <w:p w:rsidR="00E451E4" w:rsidRPr="00CB12FD" w:rsidRDefault="00E451E4" w:rsidP="000A61DD">
            <w:pPr>
              <w:pStyle w:val="ColumnHeading"/>
              <w:keepNext/>
              <w:jc w:val="left"/>
            </w:pPr>
            <w:r>
              <w:t>Κείμενο που προτείνει η Επιτροπή</w:t>
            </w:r>
          </w:p>
        </w:tc>
      </w:tr>
      <w:tr w:rsidR="00E451E4" w:rsidRPr="00CB12FD" w:rsidTr="000A61DD">
        <w:trPr>
          <w:jc w:val="center"/>
        </w:trPr>
        <w:tc>
          <w:tcPr>
            <w:tcW w:w="9639" w:type="dxa"/>
            <w:gridSpan w:val="4"/>
            <w:hideMark/>
          </w:tcPr>
          <w:p w:rsidR="00E451E4" w:rsidRPr="00CB12FD" w:rsidRDefault="00E451E4" w:rsidP="000A61DD">
            <w:pPr>
              <w:pStyle w:val="Normal6"/>
              <w:rPr>
                <w:szCs w:val="24"/>
              </w:rPr>
            </w:pPr>
          </w:p>
        </w:tc>
      </w:tr>
      <w:tr w:rsidR="00E451E4" w:rsidRPr="00CB12FD" w:rsidTr="000A61DD">
        <w:trPr>
          <w:jc w:val="center"/>
        </w:trPr>
        <w:tc>
          <w:tcPr>
            <w:tcW w:w="3828" w:type="dxa"/>
          </w:tcPr>
          <w:p w:rsidR="00E451E4" w:rsidRPr="00CB12FD" w:rsidRDefault="00E451E4" w:rsidP="000A61DD">
            <w:pPr>
              <w:pStyle w:val="Normal6"/>
              <w:jc w:val="center"/>
            </w:pPr>
          </w:p>
        </w:tc>
        <w:tc>
          <w:tcPr>
            <w:tcW w:w="2976" w:type="dxa"/>
            <w:gridSpan w:val="2"/>
          </w:tcPr>
          <w:p w:rsidR="00E451E4" w:rsidRPr="00CB12FD" w:rsidRDefault="00E451E4" w:rsidP="000A61DD">
            <w:pPr>
              <w:pStyle w:val="Normal6"/>
              <w:rPr>
                <w:szCs w:val="24"/>
              </w:rPr>
            </w:pPr>
          </w:p>
        </w:tc>
        <w:tc>
          <w:tcPr>
            <w:tcW w:w="2835" w:type="dxa"/>
          </w:tcPr>
          <w:p w:rsidR="00E451E4" w:rsidRPr="00CB12FD" w:rsidRDefault="00E451E4" w:rsidP="000A61DD">
            <w:pPr>
              <w:pStyle w:val="Normal6"/>
              <w:rPr>
                <w:szCs w:val="24"/>
              </w:rPr>
            </w:pPr>
          </w:p>
        </w:tc>
      </w:tr>
      <w:tr w:rsidR="00E451E4" w:rsidRPr="00CB12FD" w:rsidTr="000A61DD">
        <w:trPr>
          <w:jc w:val="center"/>
        </w:trPr>
        <w:tc>
          <w:tcPr>
            <w:tcW w:w="9639" w:type="dxa"/>
            <w:gridSpan w:val="4"/>
            <w:tcBorders>
              <w:bottom w:val="single" w:sz="4" w:space="0" w:color="auto"/>
            </w:tcBorders>
          </w:tcPr>
          <w:p w:rsidR="00E451E4" w:rsidRPr="00CB12FD" w:rsidRDefault="00E451E4" w:rsidP="000A61DD">
            <w:pPr>
              <w:keepNext/>
            </w:pP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E451E4" w:rsidRPr="00CB12FD" w:rsidRDefault="00E451E4" w:rsidP="000A61DD">
            <w:pPr>
              <w:pStyle w:val="ColumnHeading"/>
              <w:keepNext/>
              <w:jc w:val="left"/>
            </w:pPr>
            <w:r>
              <w:t>Τροπολογία</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E451E4" w:rsidRPr="00CB12FD" w:rsidRDefault="00E451E4" w:rsidP="000A61DD">
            <w:pPr>
              <w:pStyle w:val="Normal6"/>
              <w:rPr>
                <w:b/>
                <w:i/>
                <w:szCs w:val="24"/>
              </w:rPr>
            </w:pPr>
            <w:r>
              <w:rPr>
                <w:b/>
                <w:i/>
                <w:szCs w:val="24"/>
              </w:rPr>
              <w:t>ΚΛΠ 1(Γα): Λίπασμα χαμηλής περιεκτικότητας σε άνθρακα</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1.</w:t>
            </w:r>
            <w:r>
              <w:rPr>
                <w:b/>
                <w:i/>
                <w:szCs w:val="24"/>
              </w:rPr>
              <w:tab/>
              <w:t>Παρέχονται τα ακόλουθα πληροφοριακά στοιχεία σχετικά με τα μακροθρεπτικά συστατικά:</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α.</w:t>
            </w:r>
            <w:r>
              <w:rPr>
                <w:b/>
                <w:i/>
                <w:szCs w:val="24"/>
              </w:rPr>
              <w:tab/>
              <w:t xml:space="preserve">τα δηλούμενα θρεπτικά συστατικά άζωτο (N), φώσφορος (P) ή κάλιο (K), με τα χημικά τους σύμβολα και με τη σειρά N–P–K·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β.</w:t>
            </w:r>
            <w:r>
              <w:rPr>
                <w:b/>
                <w:i/>
                <w:szCs w:val="24"/>
              </w:rPr>
              <w:tab/>
              <w:t xml:space="preserve">τα δηλούμενα θρεπτικά συστατικά μαγνήσιο (Mg), ασβέστιο (Ca), θείο (S) ή νάτριο (Na), με τα χημικά τους σύμβολα και με τη σειρά Mg–Ca–S–Na·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γ.</w:t>
            </w:r>
            <w:r>
              <w:rPr>
                <w:b/>
                <w:i/>
                <w:szCs w:val="24"/>
              </w:rPr>
              <w:tab/>
              <w:t>αριθμοί που υποδεικνύουν την περιεκτικότητα των δηλούμενων θρεπτικών συστατικών άζωτο (N), φώσφορος (P) ή κάλιο (K), ακολουθούμενα από αριθμούς εντός παρενθέσεων που υποδεικνύουν τη συνολική περιεκτικότητα σε μαγνήσιο (Mg), ασβέστιο (Ca), θείο (S) ή νάτριο (Na)·</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δ.</w:t>
            </w:r>
            <w:r>
              <w:rPr>
                <w:b/>
                <w:i/>
                <w:szCs w:val="24"/>
              </w:rPr>
              <w:tab/>
              <w:t xml:space="preserve">η περιεκτικότητα στα παρακάτω δηλούμενα θρεπτικά συστατικά, με την παρακάτω σειρά και ως ποσοστό επί της μάζας του λιπάσματος: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rPr>
            </w:pPr>
            <w:r>
              <w:rPr>
                <w:b/>
                <w:i/>
              </w:rPr>
              <w:tab/>
              <w:t xml:space="preserve">ολικό άζωτο (N)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ελάχιστη ποσότητα οργανικού αζώτου (N), μαζί με περιγραφή της προέλευσης των οργανικών υλών που χρησιμοποιούνται·</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 xml:space="preserve">άζωτο (N) σε μορφή νιτρικού αζώτου·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άζωτο (N) σε μορφή αμμωνιακού αζώτου·</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άζωτο (N) σε μορφή αζώτου ουρίας·</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rPr>
            </w:pPr>
            <w:r>
              <w:rPr>
                <w:b/>
                <w:i/>
              </w:rPr>
              <w:tab/>
              <w:t>ολικό πεντοξείδιο του φωσφόρου (P2O––</w:t>
            </w:r>
            <w:r>
              <w:rPr>
                <w:b/>
                <w:i/>
              </w:rPr>
              <w:tab/>
              <w:t>υδατοδιαλυτό πεντοξείδιο του φωσφόρου (P2O5)· 5)·</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πεντοξείδιο του φωσφόρου (P2O5) διαλυτό σε ουδέτερο κιτρικό αμμώνιο·</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 xml:space="preserve">εάν υπάρχουν αλεσμένα μαλακά φωσφορικά άλατα, πεντοξείδιο του φωσφόρου (P2O5) διαλυτό σε μυρμηκικό οξύ·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ab/>
              <w:t xml:space="preserve">ολικό οξείδιο του καλίου (K2O)·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 xml:space="preserve">υδατοδιαλυτό οξείδιο του καλίου (K2O)·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rPr>
            </w:pPr>
            <w:r>
              <w:rPr>
                <w:b/>
                <w:i/>
              </w:rPr>
              <w:tab/>
              <w:t xml:space="preserve">οξείδιο του μαγνησίου (MgO), οξείδιο του ασβεστίου (CaO), τριοξείδιο του θείου (SO3) και οξείδιο του νατρίου (Na2O), εκφραζόμενα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όταν αυτά τα θρεπτικά συστατικά είναι πλήρως υδατοδιαλυτά, μόνον ως περιεκτικότητα σε υδατοδιαλυτό περιεχόμενο·</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 xml:space="preserve">όταν το υδατοδιαλυτό περιεχόμενο αυτών των θρεπτικών συστατικών ισούται τουλάχιστον με το ένα τέταρτο της συνολικής περιεκτικότητας αυτών των θρεπτικών συστατικών, ως ολική περιεκτικότητα και περιεκτικότητα σε υδατοδιαλυτό περιεχόμενο·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ind w:left="371"/>
              <w:rPr>
                <w:b/>
                <w:i/>
                <w:szCs w:val="24"/>
              </w:rPr>
            </w:pPr>
            <w:r>
              <w:rPr>
                <w:b/>
                <w:i/>
                <w:szCs w:val="24"/>
              </w:rPr>
              <w:t>–</w:t>
            </w:r>
            <w:r>
              <w:rPr>
                <w:b/>
                <w:i/>
                <w:szCs w:val="24"/>
              </w:rPr>
              <w:tab/>
              <w:t>στις υπόλοιπες περιπτώσεις, ως ολική περιεκτικότητα.</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ε.</w:t>
            </w:r>
            <w:r>
              <w:rPr>
                <w:b/>
                <w:i/>
                <w:szCs w:val="24"/>
              </w:rPr>
              <w:tab/>
              <w:t>όταν υπάρχει ουρία (CH4N2O), πληροφορίες για τις πιθανές επιπτώσεις στην ατμόσφαιρα από την έκλυση αμμωνίας κατά τη χρήση του λιπάσματος και παραίνεση προς τους χρήστες για τη λήψη κατάλληλων μέτρων αντιμετώπισης.</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2.</w:t>
            </w:r>
            <w:r>
              <w:rPr>
                <w:b/>
                <w:i/>
                <w:szCs w:val="24"/>
              </w:rPr>
              <w:tab/>
              <w:t>Τα ακόλουθα λοιπά στοιχεία αναγράφονται ως ποσοστό κατά μάζα του προϊόντος λίπανσης με σήμανση CE:</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w:t>
            </w:r>
            <w:r>
              <w:rPr>
                <w:b/>
                <w:i/>
                <w:szCs w:val="24"/>
              </w:rPr>
              <w:tab/>
              <w:t xml:space="preserve">περιεκτικότητα σε οργανικό άνθρακα (C)· και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szCs w:val="24"/>
              </w:rPr>
            </w:pPr>
            <w:r>
              <w:rPr>
                <w:b/>
                <w:i/>
                <w:szCs w:val="24"/>
              </w:rPr>
              <w:t>–</w:t>
            </w:r>
            <w:r>
              <w:rPr>
                <w:b/>
                <w:i/>
                <w:szCs w:val="24"/>
              </w:rPr>
              <w:tab/>
              <w:t xml:space="preserve">περιεκτικότητα σε ξηρά ουσία.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3.</w:t>
            </w:r>
            <w:r>
              <w:rPr>
                <w:b/>
                <w:i/>
                <w:szCs w:val="24"/>
              </w:rPr>
              <w:tab/>
              <w:t xml:space="preserve">Όταν ένα ή περισσότερα από τα μικροθρεπτικά συστατικά βόριο (B), κοβάλτιο (Co), χαλκός (Cu), σίδηρος (Fe), μαγγάνιο (Mn), μολυβδαίνιο (Mo) και ψευδάργυρος (Zn) περιέχονται στην ελάχιστη περιεκτικότητα που αναφέρεται στον παρακάτω πίνακα ως ποσοστό κατά μάζα, τότε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 xml:space="preserve">δηλώνονται εφόσον έχουν προστεθεί σκόπιμα στο προϊόν λίπανσης με σήμανση CE, και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 xml:space="preserve">μπορούν να δηλωθούν στις άλλες περιπτώσεις: </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Μικροθρεπτικό συστατικό</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Ποσοστό κατά μάζα</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Βόριο (B)</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0,01</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Κοβάλτιο (Co)</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0,002</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bCs/>
                <w:i/>
                <w:iCs/>
              </w:rPr>
              <w:t>Χαλκός (Cu)</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bCs/>
                <w:i/>
                <w:iCs/>
              </w:rPr>
              <w:t>0,002</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i/>
                <w:color w:val="000000"/>
              </w:rPr>
              <w:t>Μαγγάνιο (Mn)</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bCs/>
                <w:i/>
                <w:iCs/>
              </w:rPr>
              <w:t>0,01</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i/>
                <w:color w:val="000000"/>
              </w:rPr>
            </w:pPr>
            <w:r>
              <w:rPr>
                <w:b/>
                <w:bCs/>
                <w:i/>
                <w:iCs/>
              </w:rPr>
              <w:t>Μολυβδαίνιο (Mo)</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bCs/>
                <w:i/>
                <w:iCs/>
              </w:rPr>
              <w:t>0,001</w:t>
            </w:r>
          </w:p>
        </w:tc>
      </w:tr>
      <w:tr w:rsidR="00E451E4" w:rsidRPr="00CB12FD" w:rsidTr="000A61DD">
        <w:trPr>
          <w:jc w:val="center"/>
        </w:trPr>
        <w:tc>
          <w:tcPr>
            <w:tcW w:w="4632"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bCs/>
                <w:i/>
                <w:iCs/>
              </w:rPr>
              <w:t>Ψευδάργυρος (Zn)</w:t>
            </w:r>
          </w:p>
        </w:tc>
        <w:tc>
          <w:tcPr>
            <w:tcW w:w="5007" w:type="dxa"/>
            <w:gridSpan w:val="2"/>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rPr>
            </w:pPr>
            <w:r>
              <w:rPr>
                <w:b/>
                <w:bCs/>
                <w:i/>
                <w:iCs/>
              </w:rPr>
              <w:t>0,002</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b/>
                <w:bCs/>
                <w:i/>
                <w:iCs/>
                <w:szCs w:val="24"/>
              </w:rPr>
            </w:pPr>
            <w:r>
              <w:rPr>
                <w:b/>
                <w:bCs/>
                <w:i/>
                <w:iCs/>
              </w:rPr>
              <w:t xml:space="preserve">Αυτά δηλώνονται μετά τις πληροφορίες για τα μακροθρεπτικά συστατικά. Παρέχονται τα ακόλουθα πληροφοριακά στοιχεία: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α.</w:t>
            </w:r>
            <w:r>
              <w:rPr>
                <w:b/>
                <w:i/>
                <w:szCs w:val="24"/>
              </w:rPr>
              <w:tab/>
              <w:t>ονομασία και χημικό σύμβολο των δηλούμενων μικροθρεπτικών συστατικών, με την ακόλουθη σειρά: βόριο (B), κοβάλτιο (Co), χαλκός (Cu), σίδηρος (Fe), μαγγάνιο (Mn), μολυβδαίνιο (Mo) και ψευδάργυρος (Zn), ακολουθούμενα από την ονομασία του ή των αντισταθμιστικών ιόντων τους·</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β.</w:t>
            </w:r>
            <w:r>
              <w:rPr>
                <w:b/>
                <w:i/>
                <w:szCs w:val="24"/>
              </w:rPr>
              <w:tab/>
              <w:t>η ολική περιεκτικότητα σε μικροθρεπτικά συστατικά, ως ποσοστό επί της μάζας του λιπάσματος</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όταν αυτά τα θρεπτικά συστατικά είναι πλήρως υδατοδιαλυτά, μόνον ως περιεκτικότητα σε υδατοδιαλυτό περιεχόμενο·</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 xml:space="preserve">όταν το υδατοδιαλυτό περιεχόμενο αυτών των θρεπτικών συστατικών ισούται τουλάχιστον με το ένα τέταρτο της συνολικής περιεκτικότητας αυτών των θρεπτικών συστατικών, ως ολική περιεκτικότητα και περιεκτικότητα σε υδατοδιαλυτό περιεχόμενο· και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 xml:space="preserve">στις υπόλοιπες περιπτώσεις, ως ολική περιεκτικότητα·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γ.</w:t>
            </w:r>
            <w:r>
              <w:rPr>
                <w:b/>
                <w:i/>
                <w:szCs w:val="24"/>
              </w:rPr>
              <w:tab/>
              <w:t>Όταν το ή τα δηλωμένα μικροθρεπτικά συστατικά βρίσκονται σε μορφή χηλικού συμπλόκου με χηλικούς παράγοντες, ο ακόλουθος προσδιορισμός μετά την ονομασία και το χημικό σύμβολο του μικροθρεπτικού συστατικού:</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«ως χηλικό σύμπλοκο με...», ονομασία ή συντομογραφία του χηλικού παράγοντα και ποσότητα συμπλοκοποιημένου μικροθρεπτικού συστατικού ως ποσοστό κατά μάζα του προϊόντος λίπανσης με σήμανση CE·</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δ.</w:t>
            </w:r>
            <w:r>
              <w:rPr>
                <w:b/>
                <w:i/>
                <w:szCs w:val="24"/>
              </w:rPr>
              <w:tab/>
              <w:t xml:space="preserve">Όταν το προϊόν λίπανσης με σήμανση CE περιέχει μικροθρεπτικά συστατικά σε μορφή συμπλόκου με συμπλεκτικούς παράγοντες: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 xml:space="preserve">ο ακόλουθος προσδιορισμός μετά την ονομασία και το χημικό σύμβολο του μικροθρεπτικού συστατικού: «ως σύμπλοκο με…», και ποσότητα του συμπλοκοποιημένου μικροθρεπτικού συστατικού ως ποσοστό κατά μάζα του προϊόντος λίπανσης με σήμανση CE· και </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w:t>
            </w:r>
            <w:r>
              <w:rPr>
                <w:b/>
                <w:i/>
                <w:szCs w:val="24"/>
              </w:rPr>
              <w:tab/>
              <w:t>ονομασία ή συντομογραφία του συμπλεκτικού παράγοντα.</w:t>
            </w:r>
          </w:p>
        </w:tc>
      </w:tr>
      <w:tr w:rsidR="00E451E4" w:rsidRPr="00CB12FD" w:rsidTr="000A61DD">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tabs>
                <w:tab w:val="left" w:pos="516"/>
              </w:tabs>
              <w:rPr>
                <w:b/>
                <w:i/>
                <w:szCs w:val="24"/>
              </w:rPr>
            </w:pPr>
            <w:r>
              <w:rPr>
                <w:b/>
                <w:i/>
                <w:szCs w:val="24"/>
              </w:rPr>
              <w:t>ε.</w:t>
            </w:r>
            <w:r>
              <w:rPr>
                <w:b/>
                <w:i/>
                <w:szCs w:val="24"/>
              </w:rPr>
              <w:tab/>
              <w:t xml:space="preserve">Η παρακάτω δήλωση: «Χρησιμοποιείται μόνον σε περίπτωση αναγνωρισμένης ανάγκης. Να μη γίνεται υπέρβαση των ενδεικνυόμενων δόσεων.». </w:t>
            </w:r>
          </w:p>
        </w:tc>
      </w:tr>
    </w:tbl>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3 – τρίτη περίπτωση</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rPr>
                <w:b/>
                <w:i/>
              </w:rPr>
              <w:tab/>
              <w:t>Ολική περιεκτικότητα σε άζωτο (N)·</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Μοναδικός σκοπός των βελτιωτικών εδάφους είναι η βελτίωση της φυσικής και χημικής δομής του εδάφους και όχι η απελευθέρωση θρεπτικών συστατικών. Η παροχή της δυνατότητας δήλωσης της περιεκτικότητας σε θρεπτικά συστατικά θα μπορούσε να ενθαρρύνει μη ενδεδειγμένες χρήσεις αυτών των προϊόντων.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179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3 – περίπτωση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rPr>
                <w:b/>
                <w:i/>
              </w:rPr>
              <w:tab/>
              <w:t>Ολική περιεκτικότητα σε πεντοξείδιο του φωσφόρου (P2O5)·</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Μοναδικός σκοπός των βελτιωτικών εδάφους είναι η βελτίωση της φυσικής και χημικής δομής του εδάφους και όχι η απελευθέρωση θρεπτικών συστατικών. Η παροχή της δυνατότητας δήλωσης της περιεκτικότητας σε θρεπτικά συστατικά θα μπορούσε να οδηγήσει σε μη ενδεδειγμένες χρήσεις αυτών των προϊόντων.</w:t>
      </w:r>
    </w:p>
    <w:p w:rsidR="00E451E4" w:rsidRPr="00CB12FD" w:rsidRDefault="00E451E4" w:rsidP="000A61DD">
      <w:r>
        <w:rPr>
          <w:rStyle w:val="HideTWBExt"/>
          <w:noProof w:val="0"/>
        </w:rPr>
        <w:t>&lt;/Amend&gt;</w:t>
      </w:r>
    </w:p>
    <w:p w:rsidR="00E451E4" w:rsidRPr="00CB12FD" w:rsidRDefault="00E451E4" w:rsidP="000A61DD">
      <w:pPr>
        <w:pStyle w:val="Normal12Italic"/>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3 – περίπτωση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rPr>
                <w:b/>
                <w:i/>
              </w:rPr>
              <w:t>–</w:t>
            </w:r>
            <w:r w:rsidRPr="00AC4460">
              <w:rPr>
                <w:b/>
                <w:i/>
              </w:rPr>
              <w:tab/>
              <w:t>Ολική περιεκτικότητα σε οξείδιο του καλίου (K2O)·</w:t>
            </w:r>
          </w:p>
        </w:tc>
        <w:tc>
          <w:tcPr>
            <w:tcW w:w="4876" w:type="dxa"/>
          </w:tcPr>
          <w:p w:rsidR="00E451E4" w:rsidRPr="00AC4460" w:rsidRDefault="00E451E4" w:rsidP="000A61DD">
            <w:pPr>
              <w:pStyle w:val="Normal6"/>
              <w:rPr>
                <w:szCs w:val="24"/>
              </w:rPr>
            </w:pPr>
            <w:r w:rsidRPr="00AC4460">
              <w:rPr>
                <w:b/>
                <w:i/>
              </w:rPr>
              <w:t>διαγράφεται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Μοναδικός σκοπός των βελτιωτικών εδάφους είναι η βελτίωση της φυσικής και χημικής δομής του εδάφους και όχι η απελευθέρωση θρεπτικών συστατικών. Η παροχή της δυνατότητας δήλωσης της περιεκτικότητας σε θρεπτικά συστατικά θα μπορούσε να ενθαρρύνει μη ενδεδειγμένες χρήσεις αυτών των προϊόντων.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6 – στοιχείο ε</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ε)</w:t>
            </w:r>
            <w:r w:rsidRPr="00AC4460">
              <w:tab/>
              <w:t>δόση, χρόνος εφαρμογής (στάδιο ανάπτυξης των φυτών) και συχνότητα εφαρμογής·</w:t>
            </w:r>
          </w:p>
        </w:tc>
        <w:tc>
          <w:tcPr>
            <w:tcW w:w="4876" w:type="dxa"/>
          </w:tcPr>
          <w:p w:rsidR="00E451E4" w:rsidRPr="00AC4460" w:rsidRDefault="00E451E4" w:rsidP="000A61DD">
            <w:pPr>
              <w:pStyle w:val="Normal6"/>
              <w:rPr>
                <w:szCs w:val="24"/>
              </w:rPr>
            </w:pPr>
            <w:r w:rsidRPr="00AC4460">
              <w:t>ε)</w:t>
            </w:r>
            <w:r w:rsidRPr="00AC4460">
              <w:tab/>
              <w:t>δόση, χρόνος εφαρμογής (στάδιο ανάπτυξης των φυτών)</w:t>
            </w:r>
            <w:r w:rsidRPr="00AC4460">
              <w:rPr>
                <w:b/>
                <w:i/>
              </w:rPr>
              <w:t>, τοποθέτηση</w:t>
            </w:r>
            <w:r w:rsidRPr="00AC4460">
              <w:t xml:space="preserve"> και συχνότητα εφαρμογής </w:t>
            </w:r>
            <w:r w:rsidRPr="00AC4460">
              <w:rPr>
                <w:b/>
                <w:i/>
              </w:rPr>
              <w:t>(σύμφωνα με τα εμπειρικά στοιχεία που αποδεικνύουν τον βιοδιεγερτικό ισχυρισμό (τους βιοδιεγερτικούς ισχυρισμούς))</w:t>
            </w:r>
            <w:r w:rsidRPr="00AC4460">
              <w:t>·</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εν λόγω διατύπωση θα μπορούσε να αποτρέψει τις επιχειρήσεις από την τροποποίηση παραμέτρων του προϊόντος σε ετικέτες για την προώθηση μη βιοδιεγερτικών αποτελεσμάτων στη χρήση.</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 – ΚΛΠ 6 – στοιχείο στ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στ α)</w:t>
            </w:r>
            <w:r w:rsidRPr="00AC4460">
              <w:rPr>
                <w:b/>
                <w:i/>
              </w:rPr>
              <w:tab/>
              <w:t>ένδειξη ότι το προϊόν δεν είναι φυτοπροστατευτικό προϊόν·</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Ένας βιοδιεγέρτης φυτών πρέπει να επισημαίνεται ρητώς ως μη φυτοπροστατευτικό προϊόν.</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1(Α) – πίνακας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57"/>
        <w:gridCol w:w="4895"/>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9752" w:type="dxa"/>
            <w:gridSpan w:val="2"/>
          </w:tcPr>
          <w:p w:rsidR="00E451E4" w:rsidRPr="00CB12FD" w:rsidRDefault="00E451E4" w:rsidP="000A61DD">
            <w:pPr>
              <w:pStyle w:val="ColumnHeading"/>
              <w:keepNext/>
              <w:jc w:val="left"/>
            </w:pPr>
            <w:r>
              <w:t>Κείμενο που προτείνει η Επιτροπή</w:t>
            </w:r>
          </w:p>
        </w:tc>
      </w:tr>
      <w:tr w:rsidR="00E451E4" w:rsidRPr="00CB12FD" w:rsidTr="000A61DD">
        <w:trPr>
          <w:jc w:val="center"/>
        </w:trPr>
        <w:tc>
          <w:tcPr>
            <w:tcW w:w="9752" w:type="dxa"/>
            <w:gridSpan w:val="2"/>
            <w:tcBorders>
              <w:bottom w:val="single" w:sz="4" w:space="0" w:color="auto"/>
            </w:tcBorders>
          </w:tcPr>
          <w:p w:rsidR="00E451E4" w:rsidRPr="00CB12FD" w:rsidRDefault="00E451E4" w:rsidP="000A61DD">
            <w:pPr>
              <w:pStyle w:val="Normal6"/>
            </w:pPr>
            <w:r>
              <w:t>ΚΛΠ 1(Α): Οργανικό λίπασμα</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Επιτρεπόμενη ανοχή για τη δηλούμενη περιεκτικότητα σε θρεπτικά συστατικά και άλλες δηλούμενες παραμέτρους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Οργανικός άνθρακας (C)</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20</w:t>
            </w:r>
            <w:r>
              <w:t>% σχετική απόκλιση από τη δηλούμενη τιμή, μέχρι μια μέγιστη απόκλιση 2,0 ποσοστιαίων μονάδων σε απόλυτες τιμές</w:t>
            </w:r>
            <w:r w:rsidR="000A61DD">
              <w:t xml:space="preserve"> </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Περιεκτικότητα σε ξηρά ουσία</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ποσοστιαίες μονάδες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άζωτο (N)</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50</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Οργανικό άζωτο (N)</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50</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πεντοξείδιο του φωσφόρου (P2O5)</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50</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οξείδιο του καλίου (K2O)</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50</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και υδατοδιαλυτό οξείδιο του μαγνησίου, οξείδιο του ασβεστίου, τριοξείδιο του θείου ή οξείδιο του νατρίου</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25 % της δηλούμενης περιεκτικότητας αυτών των θρεπτικών συστατικών, μέχρι μια μέγιστη απόκλιση 1,5 ποσοστιαίων μονάδων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Ολικός χαλκός (Cu) </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από τη δηλούμενη τιμή, μέχρι μια μέγιστη απόκλιση 2,5 ποσοστιαίων μονάδων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Ολικός ψευδάργυρος (Zn)</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από τη δηλούμενη τιμή, μέχρι μια μέγιστη απόκλιση 2,0 ποσοστιαίων μονάδων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Ποσότητα</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- 5 % σχετική απόκλιση από τη δηλούμενη τιμή</w:t>
            </w:r>
          </w:p>
        </w:tc>
      </w:tr>
      <w:tr w:rsidR="00E451E4" w:rsidRPr="00CB12FD" w:rsidTr="000A61DD">
        <w:trPr>
          <w:jc w:val="center"/>
        </w:trPr>
        <w:tc>
          <w:tcPr>
            <w:tcW w:w="9752" w:type="dxa"/>
            <w:gridSpan w:val="2"/>
            <w:tcBorders>
              <w:top w:val="single" w:sz="4" w:space="0" w:color="auto"/>
            </w:tcBorders>
          </w:tcPr>
          <w:p w:rsidR="00E451E4" w:rsidRPr="00CB12FD" w:rsidRDefault="00E451E4" w:rsidP="000A61DD">
            <w:pPr>
              <w:keepNext/>
            </w:pPr>
          </w:p>
        </w:tc>
      </w:tr>
      <w:tr w:rsidR="00E451E4" w:rsidRPr="00CB12FD" w:rsidTr="000A61DD">
        <w:trPr>
          <w:trHeight w:val="522"/>
          <w:jc w:val="center"/>
        </w:trPr>
        <w:tc>
          <w:tcPr>
            <w:tcW w:w="9752" w:type="dxa"/>
            <w:gridSpan w:val="2"/>
          </w:tcPr>
          <w:p w:rsidR="00E451E4" w:rsidRPr="00CB12FD" w:rsidRDefault="00E451E4" w:rsidP="000A61DD">
            <w:pPr>
              <w:pStyle w:val="ColumnHeading"/>
              <w:keepNext/>
              <w:jc w:val="left"/>
            </w:pPr>
            <w:r>
              <w:t>Τροπολογία</w:t>
            </w:r>
          </w:p>
        </w:tc>
      </w:tr>
      <w:tr w:rsidR="00E451E4" w:rsidRPr="00CB12FD" w:rsidTr="000A61DD">
        <w:trPr>
          <w:trHeight w:val="522"/>
          <w:jc w:val="center"/>
        </w:trPr>
        <w:tc>
          <w:tcPr>
            <w:tcW w:w="9752" w:type="dxa"/>
            <w:gridSpan w:val="2"/>
          </w:tcPr>
          <w:p w:rsidR="00E451E4" w:rsidRPr="00CB12FD" w:rsidRDefault="00E451E4" w:rsidP="000A61DD">
            <w:pPr>
              <w:pStyle w:val="Normal6"/>
              <w:rPr>
                <w:i/>
              </w:rPr>
            </w:pPr>
            <w:r>
              <w:t>ΚΛΠ 1(Α): Οργανικό λίπασμα</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Επιτρεπόμενη ανοχή για τη δηλούμενη περιεκτικότητα σε θρεπτικά συστατικά και άλλες δηλούμενες παραμέτρους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Οργανικός άνθρακας (C)</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15</w:t>
            </w:r>
            <w:r>
              <w:t>% σχετική απόκλιση από τη δηλούμενη τιμή, μέχρι μια μέγιστη απόκλιση 2,0 ποσοστιαίων μονάδων σε απόλυτες τιμές</w:t>
            </w:r>
            <w:r w:rsidR="000A61DD">
              <w:t xml:space="preserve"> </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Περιεκτικότητα σε ξηρά ουσία</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ποσοστιαίες μονάδες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άζωτο (N)</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15</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Οργανικό άζωτο (N)</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15</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πεντοξείδιο του φωσφόρου (P2O5)</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15</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οξείδιο του καλίου (K2O)</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15</w:t>
            </w:r>
            <w:r>
              <w:t xml:space="preserve"> % σχετική απόκλιση από τη δηλούμενη τιμή, μέχρι μια μέγιστη απόκλιση 1,0 ποσοστιαίας μονάδας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 και υδατοδιαλυτό οξείδιο του μαγνησίου, οξείδιο του ασβεστίου, τριοξείδιο του θείου ή οξείδιο του νατρίου</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25 % της δηλούμενης περιεκτικότητας αυτών των θρεπτικών συστατικών, μέχρι μια μέγιστη απόκλιση 1,5 ποσοστιαίων μονάδων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Ολικός χαλκός (Cu) </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από τη δηλούμενη τιμή, μέχρι μια μέγιστη απόκλιση 2,5 ποσοστιαίων μονάδων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Ολικός ψευδάργυρος (Zn)</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από τη δηλούμενη τιμή, μέχρι μια μέγιστη απόκλιση 2,0 ποσοστιαίων μονάδων σε απόλυτες τιμές</w:t>
            </w:r>
          </w:p>
        </w:tc>
      </w:tr>
      <w:tr w:rsidR="00E451E4" w:rsidRPr="00CB12FD" w:rsidTr="000A61DD">
        <w:trPr>
          <w:jc w:val="center"/>
        </w:trPr>
        <w:tc>
          <w:tcPr>
            <w:tcW w:w="4857"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Ποσότητα</w:t>
            </w:r>
          </w:p>
        </w:tc>
        <w:tc>
          <w:tcPr>
            <w:tcW w:w="4895"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- 5 % σχετική απόκλιση από τη δηλούμενη τιμή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πρόταση της Επιτροπής δεν εγγυάται πλήρη αποδοτικότητα των προϊόντων που θα πωλούνται στους γεωργούς. Ωστόσο, απαιτείται εύλογη ευελιξία ώστε να ληφθούν υπόψη οι διαδικασίες παραγωγής.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1 (Β) – πίνακας 1 – σειρά 3 – στήλη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rPr>
                <w:szCs w:val="24"/>
              </w:rPr>
            </w:pPr>
            <w:r w:rsidRPr="00AC4460">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c>
          <w:tcPr>
            <w:tcW w:w="4876" w:type="dxa"/>
          </w:tcPr>
          <w:p w:rsidR="00E451E4" w:rsidRPr="00AC4460" w:rsidRDefault="00E451E4" w:rsidP="000A61DD">
            <w:pPr>
              <w:pStyle w:val="Normal6"/>
              <w:rPr>
                <w:szCs w:val="24"/>
              </w:rPr>
            </w:pPr>
            <w:r w:rsidRPr="00AC4460">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rPr>
              <w:t>Οι ανοχές σε πεντοξείδιο του φωσφόρου αφορούν πεντοξείδιο του φωσφόρου (P2O5)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Πεντοξείδιο του φωσφόρου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1(Β) –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rPr>
                <w:szCs w:val="24"/>
              </w:rPr>
            </w:pPr>
            <w:r w:rsidRPr="00AC4460">
              <w:rPr>
                <w:szCs w:val="24"/>
              </w:rPr>
              <w:t xml:space="preserve">Οργανικός άνθρακας: </w:t>
            </w:r>
            <w:r w:rsidRPr="00AC4460">
              <w:rPr>
                <w:b/>
                <w:i/>
                <w:szCs w:val="24"/>
              </w:rPr>
              <w:t>20</w:t>
            </w:r>
            <w:r w:rsidRPr="00AC4460">
              <w:rPr>
                <w:szCs w:val="24"/>
              </w:rPr>
              <w:t xml:space="preserve">% σχετική απόκλιση από τη δηλούμενη τιμή, μέχρι μια μέγιστη απόκλιση 2,0 ποσοστιαίων μονάδων σε απόλυτες τιμές </w:t>
            </w:r>
          </w:p>
        </w:tc>
        <w:tc>
          <w:tcPr>
            <w:tcW w:w="4876" w:type="dxa"/>
          </w:tcPr>
          <w:p w:rsidR="00E451E4" w:rsidRPr="00AC4460" w:rsidRDefault="00E451E4" w:rsidP="000A61DD">
            <w:pPr>
              <w:pStyle w:val="Normal6"/>
              <w:rPr>
                <w:szCs w:val="24"/>
              </w:rPr>
            </w:pPr>
            <w:r w:rsidRPr="00AC4460">
              <w:rPr>
                <w:szCs w:val="24"/>
              </w:rPr>
              <w:t xml:space="preserve">Οργανικός άνθρακας: </w:t>
            </w:r>
            <w:r w:rsidRPr="00AC4460">
              <w:rPr>
                <w:b/>
                <w:i/>
                <w:szCs w:val="24"/>
              </w:rPr>
              <w:t>15</w:t>
            </w:r>
            <w:r w:rsidRPr="00AC4460">
              <w:rPr>
                <w:szCs w:val="24"/>
              </w:rPr>
              <w:t xml:space="preserve">% σχετική απόκλιση από τη δηλούμενη τιμή, μέχρι μια μέγιστη απόκλιση 2,0 ποσοστιαίας μονάδας σε απόλυτες τιμές </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πρόταση της Επιτροπής δεν εγγυάται την πλήρη αποδοτικότητα των προϊόντων που θα πωλούνται στους γεωργούς. Ωστόσο, απαιτείται εύλογη ευελιξία ώστε να ληφθούν υπόψη οι διαδικασίες παραγωγής.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1(Β) – παράγραφος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rPr>
                <w:szCs w:val="24"/>
              </w:rPr>
            </w:pPr>
            <w:r w:rsidRPr="00AC4460">
              <w:rPr>
                <w:szCs w:val="24"/>
              </w:rPr>
              <w:t xml:space="preserve">Οργανικό άζωτο: </w:t>
            </w:r>
            <w:r w:rsidRPr="00AC4460">
              <w:rPr>
                <w:b/>
                <w:i/>
                <w:szCs w:val="24"/>
              </w:rPr>
              <w:t>50</w:t>
            </w:r>
            <w:r w:rsidRPr="00AC4460">
              <w:rPr>
                <w:szCs w:val="24"/>
              </w:rPr>
              <w:t>% σχετική απόκλιση από τη δηλούμενη τιμή, μέχρι μια μέγιστη απόκλιση 1,0 ποσοστιαίας μονάδας σε απόλυτες τιμές</w:t>
            </w:r>
          </w:p>
        </w:tc>
        <w:tc>
          <w:tcPr>
            <w:tcW w:w="4876" w:type="dxa"/>
          </w:tcPr>
          <w:p w:rsidR="00E451E4" w:rsidRPr="00AC4460" w:rsidRDefault="00E451E4" w:rsidP="000A61DD">
            <w:pPr>
              <w:pStyle w:val="Normal6"/>
              <w:rPr>
                <w:szCs w:val="24"/>
              </w:rPr>
            </w:pPr>
            <w:r w:rsidRPr="00AC4460">
              <w:rPr>
                <w:szCs w:val="24"/>
              </w:rPr>
              <w:t xml:space="preserve">Οργανικό άζωτο: </w:t>
            </w:r>
            <w:r w:rsidRPr="00AC4460">
              <w:rPr>
                <w:b/>
                <w:i/>
                <w:szCs w:val="24"/>
              </w:rPr>
              <w:t>15</w:t>
            </w:r>
            <w:r w:rsidRPr="00AC4460">
              <w:rPr>
                <w:szCs w:val="24"/>
              </w:rPr>
              <w:t>% σχετική απόκλιση από τη δηλούμενη τιμή, μέχρι μια μέγιστη απόκλιση 1,0 ποσοστιαίας μονάδας σε απόλυτες τιμές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πρόταση της Επιτροπής δεν εγγυάται την πλήρη αποδοτικότητα των προϊόντων που θα πωλούνται στους γεωργούς. Ωστόσο, απαιτείται εύλογη ευελιξία ώστε να ληφθούν υπόψη οι διαδικασίες παραγωγής.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rPr>
          <w:rStyle w:val="HideTWBExt"/>
          <w:noProof w:val="0"/>
          <w:vanish w:val="0"/>
        </w:rPr>
      </w:pPr>
      <w:r>
        <w:rPr>
          <w:rStyle w:val="HideTWBExt"/>
          <w:b w:val="0"/>
          <w:noProof w:val="0"/>
        </w:rPr>
        <w:t>&lt;Article&gt;</w:t>
      </w:r>
      <w:r w:rsidRPr="00AC4460">
        <w:t>Παράρτημα III – μέρος III – ΚΛΠ 1 (Γ) (I) – πίνακας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870"/>
        <w:gridCol w:w="1172"/>
        <w:gridCol w:w="1134"/>
        <w:gridCol w:w="1418"/>
        <w:gridCol w:w="1417"/>
        <w:gridCol w:w="1393"/>
        <w:gridCol w:w="2348"/>
      </w:tblGrid>
      <w:tr w:rsidR="00E451E4" w:rsidRPr="00CB12FD" w:rsidTr="000A61DD">
        <w:trPr>
          <w:jc w:val="center"/>
        </w:trPr>
        <w:tc>
          <w:tcPr>
            <w:tcW w:w="9752" w:type="dxa"/>
            <w:gridSpan w:val="7"/>
          </w:tcPr>
          <w:p w:rsidR="00E451E4" w:rsidRPr="00CB12FD" w:rsidRDefault="00E451E4" w:rsidP="000A61DD">
            <w:pPr>
              <w:keepNext/>
            </w:pPr>
          </w:p>
        </w:tc>
      </w:tr>
      <w:tr w:rsidR="00E451E4" w:rsidRPr="00CB12FD" w:rsidTr="000A61DD">
        <w:trPr>
          <w:jc w:val="center"/>
        </w:trPr>
        <w:tc>
          <w:tcPr>
            <w:tcW w:w="9752" w:type="dxa"/>
            <w:gridSpan w:val="7"/>
          </w:tcPr>
          <w:p w:rsidR="00E451E4" w:rsidRPr="00CB12FD" w:rsidRDefault="00E451E4" w:rsidP="000A61DD">
            <w:pPr>
              <w:pStyle w:val="ColumnHeading"/>
              <w:keepNext/>
              <w:jc w:val="left"/>
            </w:pPr>
            <w:r>
              <w:t>Κείμενο που προτείνει η Επιτροπή</w:t>
            </w:r>
          </w:p>
        </w:tc>
      </w:tr>
      <w:tr w:rsidR="00E451E4" w:rsidRPr="00CB12FD" w:rsidTr="000A61DD">
        <w:trPr>
          <w:jc w:val="center"/>
        </w:trPr>
        <w:tc>
          <w:tcPr>
            <w:tcW w:w="9752" w:type="dxa"/>
            <w:gridSpan w:val="7"/>
          </w:tcPr>
          <w:p w:rsidR="00E451E4" w:rsidRPr="00CB12FD" w:rsidRDefault="00E451E4" w:rsidP="000A61DD">
            <w:pPr>
              <w:pStyle w:val="Normal6"/>
            </w:pPr>
            <w:r>
              <w:t>ΚΛΠ 1(Γ)(I): Ανόργανο μακροθρεπτικό λίπασμα</w:t>
            </w:r>
          </w:p>
        </w:tc>
      </w:tr>
      <w:tr w:rsidR="00E451E4" w:rsidRPr="00CB12FD" w:rsidTr="000A61DD">
        <w:trPr>
          <w:jc w:val="center"/>
        </w:trPr>
        <w:tc>
          <w:tcPr>
            <w:tcW w:w="9752" w:type="dxa"/>
            <w:gridSpan w:val="7"/>
          </w:tcPr>
          <w:p w:rsidR="00E451E4" w:rsidRPr="00CB12FD" w:rsidRDefault="00E451E4" w:rsidP="000A61DD">
            <w:pPr>
              <w:pStyle w:val="Normal6"/>
            </w:pPr>
            <w:r>
              <w:t>Επιτρεπόμενο όριο ανοχής για τη δηλούμενη περιεκτικότητα σε μορφές μακροθρεπτικών συστατικών</w:t>
            </w:r>
          </w:p>
        </w:tc>
      </w:tr>
      <w:tr w:rsidR="00E451E4" w:rsidRPr="00CB12FD" w:rsidTr="000A61DD">
        <w:trPr>
          <w:jc w:val="center"/>
        </w:trPr>
        <w:tc>
          <w:tcPr>
            <w:tcW w:w="870" w:type="dxa"/>
            <w:tcBorders>
              <w:right w:val="single" w:sz="4" w:space="0" w:color="auto"/>
            </w:tcBorders>
          </w:tcPr>
          <w:p w:rsidR="00E451E4" w:rsidRPr="00CB12FD" w:rsidRDefault="00E451E4" w:rsidP="000A61DD">
            <w:pPr>
              <w:pStyle w:val="Normal6"/>
            </w:pPr>
            <w:r>
              <w:t>N</w:t>
            </w:r>
          </w:p>
        </w:tc>
        <w:tc>
          <w:tcPr>
            <w:tcW w:w="1172" w:type="dxa"/>
            <w:tcBorders>
              <w:left w:val="single" w:sz="4" w:space="0" w:color="auto"/>
            </w:tcBorders>
          </w:tcPr>
          <w:p w:rsidR="00E451E4" w:rsidRPr="00CB12FD" w:rsidRDefault="00E451E4" w:rsidP="000A61DD">
            <w:pPr>
              <w:pStyle w:val="Normal6"/>
            </w:pPr>
            <w:r>
              <w:t>P</w:t>
            </w:r>
            <w:r>
              <w:rPr>
                <w:vertAlign w:val="subscript"/>
              </w:rPr>
              <w:t>2</w:t>
            </w:r>
            <w:r>
              <w:t>O</w:t>
            </w:r>
            <w:r>
              <w:rPr>
                <w:vertAlign w:val="subscript"/>
              </w:rPr>
              <w:t>5</w:t>
            </w:r>
          </w:p>
        </w:tc>
        <w:tc>
          <w:tcPr>
            <w:tcW w:w="1134" w:type="dxa"/>
            <w:tcBorders>
              <w:left w:val="single" w:sz="4" w:space="0" w:color="auto"/>
            </w:tcBorders>
          </w:tcPr>
          <w:p w:rsidR="00E451E4" w:rsidRPr="00CB12FD" w:rsidRDefault="00E451E4" w:rsidP="000A61DD">
            <w:pPr>
              <w:pStyle w:val="Normal6"/>
            </w:pPr>
            <w:r>
              <w:t>K</w:t>
            </w:r>
            <w:r>
              <w:rPr>
                <w:vertAlign w:val="subscript"/>
              </w:rPr>
              <w:t>2</w:t>
            </w:r>
            <w:r>
              <w:t>O</w:t>
            </w:r>
          </w:p>
        </w:tc>
        <w:tc>
          <w:tcPr>
            <w:tcW w:w="1418" w:type="dxa"/>
            <w:tcBorders>
              <w:left w:val="single" w:sz="4" w:space="0" w:color="auto"/>
            </w:tcBorders>
          </w:tcPr>
          <w:p w:rsidR="00E451E4" w:rsidRPr="00CB12FD" w:rsidRDefault="00E451E4" w:rsidP="000A61DD">
            <w:pPr>
              <w:pStyle w:val="Normal6"/>
            </w:pPr>
            <w:r>
              <w:t>MgO</w:t>
            </w:r>
          </w:p>
        </w:tc>
        <w:tc>
          <w:tcPr>
            <w:tcW w:w="1417" w:type="dxa"/>
            <w:tcBorders>
              <w:left w:val="single" w:sz="4" w:space="0" w:color="auto"/>
            </w:tcBorders>
          </w:tcPr>
          <w:p w:rsidR="00E451E4" w:rsidRPr="00CB12FD" w:rsidRDefault="00E451E4" w:rsidP="000A61DD">
            <w:pPr>
              <w:pStyle w:val="Normal6"/>
            </w:pPr>
            <w:r>
              <w:t>CaO</w:t>
            </w:r>
          </w:p>
        </w:tc>
        <w:tc>
          <w:tcPr>
            <w:tcW w:w="1393" w:type="dxa"/>
            <w:tcBorders>
              <w:left w:val="single" w:sz="4" w:space="0" w:color="auto"/>
            </w:tcBorders>
          </w:tcPr>
          <w:p w:rsidR="00E451E4" w:rsidRPr="00CB12FD" w:rsidRDefault="00E451E4" w:rsidP="000A61DD">
            <w:pPr>
              <w:pStyle w:val="Normal6"/>
            </w:pPr>
            <w:r>
              <w:t>SO</w:t>
            </w:r>
            <w:r>
              <w:rPr>
                <w:vertAlign w:val="subscript"/>
              </w:rPr>
              <w:t>3</w:t>
            </w:r>
          </w:p>
        </w:tc>
        <w:tc>
          <w:tcPr>
            <w:tcW w:w="2348" w:type="dxa"/>
            <w:tcBorders>
              <w:left w:val="single" w:sz="4" w:space="0" w:color="auto"/>
            </w:tcBorders>
          </w:tcPr>
          <w:p w:rsidR="00E451E4" w:rsidRPr="00CB12FD" w:rsidRDefault="00E451E4" w:rsidP="000A61DD">
            <w:pPr>
              <w:pStyle w:val="Normal6"/>
            </w:pPr>
            <w:r>
              <w:t>Na</w:t>
            </w:r>
            <w:r>
              <w:rPr>
                <w:vertAlign w:val="subscript"/>
              </w:rPr>
              <w:t>2</w:t>
            </w:r>
            <w:r>
              <w:t>O</w:t>
            </w:r>
          </w:p>
        </w:tc>
      </w:tr>
      <w:tr w:rsidR="00E451E4" w:rsidRPr="00CB12FD" w:rsidTr="000A61DD">
        <w:trPr>
          <w:jc w:val="center"/>
        </w:trPr>
        <w:tc>
          <w:tcPr>
            <w:tcW w:w="3176" w:type="dxa"/>
            <w:gridSpan w:val="3"/>
            <w:tcBorders>
              <w:right w:val="single" w:sz="4" w:space="0" w:color="auto"/>
            </w:tcBorders>
          </w:tcPr>
          <w:p w:rsidR="00E451E4" w:rsidRPr="00CB12FD" w:rsidRDefault="00E451E4" w:rsidP="000A61DD">
            <w:pPr>
              <w:pStyle w:val="Normal6"/>
            </w:pPr>
            <w:r>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c>
          <w:tcPr>
            <w:tcW w:w="4228" w:type="dxa"/>
            <w:gridSpan w:val="3"/>
            <w:tcBorders>
              <w:left w:val="single" w:sz="4" w:space="0" w:color="auto"/>
            </w:tcBorders>
          </w:tcPr>
          <w:p w:rsidR="00E451E4" w:rsidRPr="00CB12FD" w:rsidRDefault="00E451E4" w:rsidP="000A61DD">
            <w:pPr>
              <w:pStyle w:val="Normal6"/>
            </w:pPr>
            <w:r>
              <w:rPr>
                <w:b/>
                <w:i/>
              </w:rPr>
              <w:t>± 25</w:t>
            </w:r>
            <w:r>
              <w:t xml:space="preserve"> % της δηλούμενης περιεκτικότητας αυτών των θρεπτικών συστατικών, μέχρι μια μέγιστη απόκλιση 1,5 ποσοστιαίων μονάδων σε απόλυτες τιμές.</w:t>
            </w:r>
          </w:p>
        </w:tc>
        <w:tc>
          <w:tcPr>
            <w:tcW w:w="2348" w:type="dxa"/>
            <w:tcBorders>
              <w:left w:val="single" w:sz="4" w:space="0" w:color="auto"/>
            </w:tcBorders>
          </w:tcPr>
          <w:p w:rsidR="00E451E4" w:rsidRPr="00CB12FD" w:rsidRDefault="00E451E4" w:rsidP="000A61DD">
            <w:pPr>
              <w:pStyle w:val="Normal6"/>
            </w:pPr>
            <w:r>
              <w:t>± 25 % της δηλούμενης περιεκτικότητας, μέχρι μια μέγιστη απόκλιση 0,9 ποσοστιαίων μονάδων σε απόλυτες τιμές</w:t>
            </w:r>
          </w:p>
        </w:tc>
      </w:tr>
      <w:tr w:rsidR="00E451E4" w:rsidRPr="00CB12FD" w:rsidTr="000A61DD">
        <w:trPr>
          <w:jc w:val="center"/>
        </w:trPr>
        <w:tc>
          <w:tcPr>
            <w:tcW w:w="9752" w:type="dxa"/>
            <w:gridSpan w:val="7"/>
          </w:tcPr>
          <w:p w:rsidR="00E451E4" w:rsidRPr="00CB12FD" w:rsidRDefault="00E451E4" w:rsidP="000A61DD">
            <w:pPr>
              <w:pStyle w:val="Normal6"/>
            </w:pPr>
            <w:r>
              <w:t xml:space="preserve">Κοκκομετρία: ± </w:t>
            </w:r>
            <w:r>
              <w:rPr>
                <w:b/>
                <w:i/>
              </w:rPr>
              <w:t>10</w:t>
            </w:r>
            <w:r>
              <w:t xml:space="preserve"> % σχετική απόκλιση ως προς το δηλούμενο ποσοστό υλικού που διέρχεται από συγκεκριμένο κόσκινο</w:t>
            </w:r>
          </w:p>
        </w:tc>
      </w:tr>
      <w:tr w:rsidR="00E451E4" w:rsidRPr="00CB12FD" w:rsidTr="000A61DD">
        <w:trPr>
          <w:jc w:val="center"/>
        </w:trPr>
        <w:tc>
          <w:tcPr>
            <w:tcW w:w="9752" w:type="dxa"/>
            <w:gridSpan w:val="7"/>
          </w:tcPr>
          <w:p w:rsidR="00E451E4" w:rsidRPr="00CB12FD" w:rsidRDefault="00E451E4" w:rsidP="000A61DD">
            <w:pPr>
              <w:pStyle w:val="Normal6"/>
            </w:pPr>
            <w:r>
              <w:t>Ποσότητα:</w:t>
            </w:r>
            <w:r w:rsidR="000A61DD">
              <w:t xml:space="preserve"> </w:t>
            </w:r>
            <w:r>
              <w:t xml:space="preserve">± </w:t>
            </w:r>
            <w:r>
              <w:rPr>
                <w:b/>
                <w:i/>
              </w:rPr>
              <w:t>5</w:t>
            </w:r>
            <w:r>
              <w:t xml:space="preserve"> % σχετική απόκλιση από τη δηλούμενη τιμή</w:t>
            </w:r>
          </w:p>
        </w:tc>
      </w:tr>
      <w:tr w:rsidR="00E451E4" w:rsidRPr="00CB12FD" w:rsidTr="000A61DD">
        <w:trPr>
          <w:jc w:val="center"/>
        </w:trPr>
        <w:tc>
          <w:tcPr>
            <w:tcW w:w="9752" w:type="dxa"/>
            <w:gridSpan w:val="7"/>
          </w:tcPr>
          <w:p w:rsidR="00E451E4" w:rsidRPr="00CB12FD" w:rsidRDefault="00E451E4" w:rsidP="000A61DD">
            <w:pPr>
              <w:keepNext/>
            </w:pPr>
          </w:p>
        </w:tc>
      </w:tr>
      <w:tr w:rsidR="00E451E4" w:rsidRPr="00CB12FD" w:rsidTr="000A61DD">
        <w:trPr>
          <w:jc w:val="center"/>
        </w:trPr>
        <w:tc>
          <w:tcPr>
            <w:tcW w:w="9752" w:type="dxa"/>
            <w:gridSpan w:val="7"/>
          </w:tcPr>
          <w:p w:rsidR="00E451E4" w:rsidRPr="00CB12FD" w:rsidRDefault="00E451E4" w:rsidP="000A61DD">
            <w:pPr>
              <w:pStyle w:val="ColumnHeading"/>
              <w:keepNext/>
              <w:jc w:val="left"/>
            </w:pPr>
            <w:r>
              <w:t>Τροπολογία</w:t>
            </w:r>
          </w:p>
        </w:tc>
      </w:tr>
      <w:tr w:rsidR="00E451E4" w:rsidRPr="00CB12FD" w:rsidTr="000A61DD">
        <w:trPr>
          <w:jc w:val="center"/>
        </w:trPr>
        <w:tc>
          <w:tcPr>
            <w:tcW w:w="9752" w:type="dxa"/>
            <w:gridSpan w:val="7"/>
          </w:tcPr>
          <w:p w:rsidR="00E451E4" w:rsidRPr="00CB12FD" w:rsidRDefault="00E451E4" w:rsidP="000A61DD">
            <w:pPr>
              <w:pStyle w:val="Normal6"/>
            </w:pPr>
            <w:r>
              <w:t>ΚΛΠ 1(Γ)(I): Ανόργανο μακροθρεπτικό λίπασμα</w:t>
            </w:r>
          </w:p>
        </w:tc>
      </w:tr>
      <w:tr w:rsidR="00E451E4" w:rsidRPr="00CB12FD" w:rsidTr="000A61DD">
        <w:trPr>
          <w:jc w:val="center"/>
        </w:trPr>
        <w:tc>
          <w:tcPr>
            <w:tcW w:w="9752" w:type="dxa"/>
            <w:gridSpan w:val="7"/>
          </w:tcPr>
          <w:p w:rsidR="00E451E4" w:rsidRPr="00CB12FD" w:rsidRDefault="00E451E4" w:rsidP="000A61DD">
            <w:pPr>
              <w:pStyle w:val="Normal6"/>
            </w:pPr>
            <w:r>
              <w:t>Επιτρεπόμενο όριο ανοχής για τη δηλούμενη περιεκτικότητα σε μορφές μακροθρεπτικών συστατικών</w:t>
            </w:r>
          </w:p>
        </w:tc>
      </w:tr>
      <w:tr w:rsidR="00E451E4" w:rsidRPr="00CB12FD" w:rsidTr="000A61DD">
        <w:trPr>
          <w:jc w:val="center"/>
        </w:trPr>
        <w:tc>
          <w:tcPr>
            <w:tcW w:w="870" w:type="dxa"/>
            <w:tcBorders>
              <w:right w:val="single" w:sz="4" w:space="0" w:color="auto"/>
            </w:tcBorders>
          </w:tcPr>
          <w:p w:rsidR="00E451E4" w:rsidRPr="00CB12FD" w:rsidRDefault="00E451E4" w:rsidP="000A61DD">
            <w:pPr>
              <w:pStyle w:val="Normal6"/>
            </w:pPr>
            <w:r>
              <w:t>N</w:t>
            </w:r>
          </w:p>
        </w:tc>
        <w:tc>
          <w:tcPr>
            <w:tcW w:w="1172" w:type="dxa"/>
            <w:tcBorders>
              <w:left w:val="single" w:sz="4" w:space="0" w:color="auto"/>
            </w:tcBorders>
          </w:tcPr>
          <w:p w:rsidR="00E451E4" w:rsidRPr="00CB12FD" w:rsidRDefault="00E451E4" w:rsidP="000A61DD">
            <w:pPr>
              <w:pStyle w:val="Normal6"/>
            </w:pPr>
            <w:r>
              <w:t>P</w:t>
            </w:r>
            <w:r>
              <w:rPr>
                <w:vertAlign w:val="subscript"/>
              </w:rPr>
              <w:t>2</w:t>
            </w:r>
            <w:r>
              <w:t>O</w:t>
            </w:r>
            <w:r>
              <w:rPr>
                <w:vertAlign w:val="subscript"/>
              </w:rPr>
              <w:t>5</w:t>
            </w:r>
          </w:p>
        </w:tc>
        <w:tc>
          <w:tcPr>
            <w:tcW w:w="1134" w:type="dxa"/>
            <w:tcBorders>
              <w:left w:val="single" w:sz="4" w:space="0" w:color="auto"/>
            </w:tcBorders>
          </w:tcPr>
          <w:p w:rsidR="00E451E4" w:rsidRPr="00CB12FD" w:rsidRDefault="00E451E4" w:rsidP="000A61DD">
            <w:pPr>
              <w:pStyle w:val="Normal6"/>
            </w:pPr>
            <w:r>
              <w:t>K</w:t>
            </w:r>
            <w:r>
              <w:rPr>
                <w:vertAlign w:val="subscript"/>
              </w:rPr>
              <w:t>2</w:t>
            </w:r>
            <w:r>
              <w:t>O</w:t>
            </w:r>
          </w:p>
        </w:tc>
        <w:tc>
          <w:tcPr>
            <w:tcW w:w="1418" w:type="dxa"/>
            <w:tcBorders>
              <w:left w:val="single" w:sz="4" w:space="0" w:color="auto"/>
            </w:tcBorders>
          </w:tcPr>
          <w:p w:rsidR="00E451E4" w:rsidRPr="00CB12FD" w:rsidRDefault="00E451E4" w:rsidP="000A61DD">
            <w:pPr>
              <w:pStyle w:val="Normal6"/>
            </w:pPr>
            <w:r>
              <w:t>MgO</w:t>
            </w:r>
          </w:p>
        </w:tc>
        <w:tc>
          <w:tcPr>
            <w:tcW w:w="1417" w:type="dxa"/>
            <w:tcBorders>
              <w:left w:val="single" w:sz="4" w:space="0" w:color="auto"/>
            </w:tcBorders>
          </w:tcPr>
          <w:p w:rsidR="00E451E4" w:rsidRPr="00CB12FD" w:rsidRDefault="00E451E4" w:rsidP="000A61DD">
            <w:pPr>
              <w:pStyle w:val="Normal6"/>
            </w:pPr>
            <w:r>
              <w:t>CaO</w:t>
            </w:r>
          </w:p>
        </w:tc>
        <w:tc>
          <w:tcPr>
            <w:tcW w:w="1393" w:type="dxa"/>
            <w:tcBorders>
              <w:left w:val="single" w:sz="4" w:space="0" w:color="auto"/>
            </w:tcBorders>
          </w:tcPr>
          <w:p w:rsidR="00E451E4" w:rsidRPr="00CB12FD" w:rsidRDefault="00E451E4" w:rsidP="000A61DD">
            <w:pPr>
              <w:pStyle w:val="Normal6"/>
            </w:pPr>
            <w:r>
              <w:t>SO</w:t>
            </w:r>
            <w:r>
              <w:rPr>
                <w:vertAlign w:val="subscript"/>
              </w:rPr>
              <w:t>3</w:t>
            </w:r>
          </w:p>
        </w:tc>
        <w:tc>
          <w:tcPr>
            <w:tcW w:w="2348" w:type="dxa"/>
            <w:tcBorders>
              <w:left w:val="single" w:sz="4" w:space="0" w:color="auto"/>
            </w:tcBorders>
          </w:tcPr>
          <w:p w:rsidR="00E451E4" w:rsidRPr="00CB12FD" w:rsidRDefault="00E451E4" w:rsidP="000A61DD">
            <w:pPr>
              <w:pStyle w:val="Normal6"/>
            </w:pPr>
            <w:r>
              <w:t>Na</w:t>
            </w:r>
            <w:r>
              <w:rPr>
                <w:vertAlign w:val="subscript"/>
              </w:rPr>
              <w:t>2</w:t>
            </w:r>
            <w:r>
              <w:t>O</w:t>
            </w:r>
          </w:p>
        </w:tc>
      </w:tr>
      <w:tr w:rsidR="00E451E4" w:rsidRPr="00CB12FD" w:rsidTr="000A61DD">
        <w:trPr>
          <w:jc w:val="center"/>
        </w:trPr>
        <w:tc>
          <w:tcPr>
            <w:tcW w:w="3176" w:type="dxa"/>
            <w:gridSpan w:val="3"/>
            <w:tcBorders>
              <w:right w:val="single" w:sz="4" w:space="0" w:color="auto"/>
            </w:tcBorders>
          </w:tcPr>
          <w:p w:rsidR="00E451E4" w:rsidRPr="00CB12FD" w:rsidRDefault="00E451E4" w:rsidP="000A61DD">
            <w:pPr>
              <w:pStyle w:val="Normal6"/>
            </w:pPr>
            <w:r>
              <w:t xml:space="preserve">± 25% της δηλούμενης περιεκτικότητας των περιεχόμενων μορφών θρεπτικών συστατικών, μέχρι μια μέγιστη απόκλιση 2 ποσοστιαίων μονάδων σε απόλυτες τιμές </w:t>
            </w:r>
            <w:r>
              <w:rPr>
                <w:b/>
                <w:i/>
              </w:rPr>
              <w:t>για κάθε θρεπτικό συστατικό ξεχωριστά και για το άθροισμα των θρεπτικών συστατικών</w:t>
            </w:r>
          </w:p>
        </w:tc>
        <w:tc>
          <w:tcPr>
            <w:tcW w:w="4228" w:type="dxa"/>
            <w:gridSpan w:val="3"/>
            <w:tcBorders>
              <w:left w:val="single" w:sz="4" w:space="0" w:color="auto"/>
            </w:tcBorders>
          </w:tcPr>
          <w:p w:rsidR="00E451E4" w:rsidRPr="00CB12FD" w:rsidRDefault="00E451E4" w:rsidP="000A61DD">
            <w:pPr>
              <w:pStyle w:val="Normal6"/>
            </w:pPr>
            <w:r>
              <w:rPr>
                <w:b/>
                <w:i/>
              </w:rPr>
              <w:t>-50% και +100%</w:t>
            </w:r>
            <w:r>
              <w:t xml:space="preserve"> της δηλούμενης περιεκτικότητας αυτών των θρεπτικών συστατικών, μέχρι μια μέγιστη απόκλιση </w:t>
            </w:r>
            <w:r>
              <w:rPr>
                <w:b/>
                <w:i/>
              </w:rPr>
              <w:t>2 και +4</w:t>
            </w:r>
            <w:r>
              <w:t xml:space="preserve"> ποσοστιαίων μονάδων σε απόλυτες τιμές.</w:t>
            </w:r>
          </w:p>
        </w:tc>
        <w:tc>
          <w:tcPr>
            <w:tcW w:w="2348" w:type="dxa"/>
            <w:tcBorders>
              <w:left w:val="single" w:sz="4" w:space="0" w:color="auto"/>
            </w:tcBorders>
          </w:tcPr>
          <w:p w:rsidR="00E451E4" w:rsidRPr="00CB12FD" w:rsidRDefault="00E451E4" w:rsidP="000A61DD">
            <w:pPr>
              <w:pStyle w:val="Normal6"/>
            </w:pPr>
            <w:r>
              <w:t>± 25 % της δηλούμενης περιεκτικότητας, μέχρι μια μέγιστη απόκλιση 0,9 ποσοστιαίων μονάδων σε απόλυτες τιμές</w:t>
            </w:r>
          </w:p>
        </w:tc>
      </w:tr>
      <w:tr w:rsidR="00E451E4" w:rsidRPr="00CB12FD" w:rsidTr="000A61DD">
        <w:trPr>
          <w:jc w:val="center"/>
        </w:trPr>
        <w:tc>
          <w:tcPr>
            <w:tcW w:w="9752" w:type="dxa"/>
            <w:gridSpan w:val="7"/>
          </w:tcPr>
          <w:p w:rsidR="00E451E4" w:rsidRPr="00CB12FD" w:rsidRDefault="00E451E4" w:rsidP="000A61DD">
            <w:pPr>
              <w:pStyle w:val="Normal6"/>
              <w:rPr>
                <w:b/>
                <w:bCs/>
                <w:i/>
                <w:iCs/>
              </w:rPr>
            </w:pPr>
            <w:r>
              <w:rPr>
                <w:b/>
                <w:bCs/>
                <w:i/>
                <w:iCs/>
              </w:rPr>
              <w:t>Οι ανωτέρω τιμές ανοχής ισχύουν επίσης για τις μορφές αζώτου και για τις διαλυτότητες</w:t>
            </w:r>
          </w:p>
        </w:tc>
      </w:tr>
      <w:tr w:rsidR="00E451E4" w:rsidRPr="00CB12FD" w:rsidTr="000A61DD">
        <w:trPr>
          <w:jc w:val="center"/>
        </w:trPr>
        <w:tc>
          <w:tcPr>
            <w:tcW w:w="9752" w:type="dxa"/>
            <w:gridSpan w:val="7"/>
          </w:tcPr>
          <w:p w:rsidR="00E451E4" w:rsidRPr="00CB12FD" w:rsidRDefault="00E451E4" w:rsidP="000A61DD">
            <w:pPr>
              <w:pStyle w:val="Normal6"/>
            </w:pPr>
            <w:r>
              <w:t xml:space="preserve">Κοκκομετρία: ± </w:t>
            </w:r>
            <w:r>
              <w:rPr>
                <w:b/>
                <w:i/>
              </w:rPr>
              <w:t>20</w:t>
            </w:r>
            <w:r>
              <w:t xml:space="preserve"> % σχετική απόκλιση ως προς το δηλούμενο ποσοστό υλικού που διέρχεται από συγκεκριμένο κόσκινο</w:t>
            </w:r>
          </w:p>
        </w:tc>
      </w:tr>
      <w:tr w:rsidR="00E451E4" w:rsidRPr="00CB12FD" w:rsidTr="000A61DD">
        <w:trPr>
          <w:jc w:val="center"/>
        </w:trPr>
        <w:tc>
          <w:tcPr>
            <w:tcW w:w="9752" w:type="dxa"/>
            <w:gridSpan w:val="7"/>
          </w:tcPr>
          <w:p w:rsidR="00E451E4" w:rsidRPr="00CB12FD" w:rsidRDefault="00E451E4" w:rsidP="000A61DD">
            <w:pPr>
              <w:pStyle w:val="Normal6"/>
            </w:pPr>
            <w:r>
              <w:t>Ποσότητα:</w:t>
            </w:r>
            <w:r w:rsidR="000A61DD">
              <w:t xml:space="preserve"> </w:t>
            </w:r>
            <w:r>
              <w:t xml:space="preserve">± </w:t>
            </w:r>
            <w:r>
              <w:rPr>
                <w:b/>
                <w:i/>
              </w:rPr>
              <w:t>3</w:t>
            </w:r>
            <w:r>
              <w:t xml:space="preserve"> % σχετική απόκλιση από τη δηλούμενη τιμή</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Οι ανοχές πρέπει να τροποποιηθούν για να μην δημιουργούνται προβλήματα στην αγορά. Για κύρια θρεπτικά συστατικά θα πρέπει να διευκρινιστεί ότι ισχύει ένα σωρευτικό όριο (όχι 2 % για το καθένα). Σύμφωνα με την πρόταση, κατά την παραγωγή NPK (άζωτο, φώσφορος, κάλιο), είναι δυνατή μια απόκλιση +/- 6 % της ολικής περιεκτικότητας σε θρεπτικά συστατικά· η οποία είναι υπερβολικά υψηλή. Για δευτερεύοντα θρεπτικά συστατικά απαιτούνται υψηλότερες ανοχές δεδομένου ότι συχνά προστίθενται ως πληρωτικά υλικά. Οι τιμές ανοχής πρέπει να ισχύουν επίσης για τις μορφές αζώτου και για τη διαλυτότητα. Η προτεινόμενη ανοχή για την κοκκομετρία είναι υπερβολικά αυστηρή. Η σχετική απόκλιση ± 5 % από τη δηλούμενη τιμή για την ποσότητα είναι υπερβολικά υψηλή.</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1 (Γ) (I) – πίνακας 1 – σειρά 3 – στήλη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rPr>
                <w:szCs w:val="24"/>
              </w:rPr>
            </w:pPr>
            <w:r w:rsidRPr="00AC4460">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c>
          <w:tcPr>
            <w:tcW w:w="4876" w:type="dxa"/>
          </w:tcPr>
          <w:p w:rsidR="00E451E4" w:rsidRPr="00AC4460" w:rsidRDefault="00E451E4" w:rsidP="000A61DD">
            <w:pPr>
              <w:pStyle w:val="Normal6"/>
              <w:rPr>
                <w:szCs w:val="24"/>
              </w:rPr>
            </w:pPr>
            <w:r w:rsidRPr="00AC4460">
              <w:t>± 25 % της δηλούμενης περιεκτικότητας των περιεχόμενων μορφών θρεπτικών συστατικών, μέχρι μια μέγιστη απόκλιση 2 ποσοστιαίων μονάδων σε απόλυτες τιμές</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i/>
                <w:szCs w:val="24"/>
              </w:rPr>
            </w:pPr>
            <w:r w:rsidRPr="00AC4460">
              <w:rPr>
                <w:b/>
                <w:i/>
              </w:rPr>
              <w:t>Οι ανοχές σε πεντοξείδιο του φωσφόρου αφορούν πεντοξείδιο του φωσφόρου (P2O5) διαλυτό σε ουδέτερο κιτρικό αμμώνιο και νερό.</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Πεντοξείδιο του φωσφόρου διαλυτό σε κιτρικό αμμώνιο και νερό είναι το διαθέσιμο κλάσμα για τα φυτά.</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189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IIΙ – μέρος III – ΚΛΠ 1(Γ) (I)– παράγραφος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rPr>
                <w:szCs w:val="24"/>
              </w:rPr>
            </w:pPr>
            <w:r w:rsidRPr="00AC4460">
              <w:t xml:space="preserve">Κοκκομετρία: ± </w:t>
            </w:r>
            <w:r w:rsidRPr="00AC4460">
              <w:rPr>
                <w:b/>
                <w:i/>
              </w:rPr>
              <w:t>10</w:t>
            </w:r>
            <w:r w:rsidRPr="00AC4460">
              <w:t>% σχετική απόκλιση ως προς το δηλούμενο ποσοστό υλικού που διέρχεται από συγκεκριμένο κόσκινο.</w:t>
            </w:r>
          </w:p>
        </w:tc>
        <w:tc>
          <w:tcPr>
            <w:tcW w:w="4876" w:type="dxa"/>
          </w:tcPr>
          <w:p w:rsidR="00E451E4" w:rsidRPr="00AC4460" w:rsidRDefault="00E451E4" w:rsidP="000A61DD">
            <w:pPr>
              <w:pStyle w:val="Normal6"/>
              <w:rPr>
                <w:szCs w:val="24"/>
              </w:rPr>
            </w:pPr>
            <w:r w:rsidRPr="00AC4460">
              <w:t xml:space="preserve">Κοκκομετρία: ± </w:t>
            </w:r>
            <w:r w:rsidRPr="00AC4460">
              <w:rPr>
                <w:b/>
                <w:i/>
              </w:rPr>
              <w:t>20</w:t>
            </w:r>
            <w:r w:rsidRPr="00AC4460">
              <w:t>% σχετική απόκλιση ως προς το δηλούμενο ποσοστό υλικού που διέρχεται από συγκεκριμένο κόσκινο.</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Απαιτείται μεγαλύτερη ευελιξία λόγω των διαδικασιών παραγωγής.</w:t>
      </w:r>
    </w:p>
    <w:p w:rsidR="00E451E4" w:rsidRPr="00CB12FD" w:rsidRDefault="00E451E4" w:rsidP="000A61DD">
      <w:r>
        <w:rPr>
          <w:rStyle w:val="HideTWBExt"/>
          <w:noProof w:val="0"/>
        </w:rPr>
        <w:t>&lt;/Amend&gt;</w:t>
      </w:r>
    </w:p>
    <w:p w:rsidR="00E451E4" w:rsidRPr="00CB12FD" w:rsidRDefault="00E451E4" w:rsidP="000A61DD">
      <w:pPr>
        <w:pStyle w:val="Normal6"/>
      </w:pP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3 – πίνακας 1 – σειρά 2 – στήλη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 0,7 κατά τη χρονική στιγμή της παρασκευής</w:t>
            </w:r>
          </w:p>
        </w:tc>
        <w:tc>
          <w:tcPr>
            <w:tcW w:w="4876" w:type="dxa"/>
          </w:tcPr>
          <w:p w:rsidR="00E451E4" w:rsidRPr="00AC4460" w:rsidRDefault="00E451E4" w:rsidP="000A61DD">
            <w:pPr>
              <w:pStyle w:val="Normal6"/>
              <w:rPr>
                <w:szCs w:val="24"/>
              </w:rPr>
            </w:pPr>
            <w:r w:rsidRPr="00AC4460">
              <w:t>± 0,7 κατά τη χρονική στιγμή της παρασκευής</w:t>
            </w:r>
          </w:p>
        </w:tc>
      </w:tr>
      <w:tr w:rsidR="00E451E4" w:rsidRPr="00CB12FD" w:rsidTr="000A61DD">
        <w:trPr>
          <w:jc w:val="center"/>
        </w:trPr>
        <w:tc>
          <w:tcPr>
            <w:tcW w:w="4876" w:type="dxa"/>
          </w:tcPr>
          <w:p w:rsidR="00E451E4" w:rsidRPr="00AC4460" w:rsidRDefault="00E451E4" w:rsidP="000A61DD">
            <w:pPr>
              <w:pStyle w:val="Normal6"/>
            </w:pPr>
            <w:r w:rsidRPr="00AC4460">
              <w:t xml:space="preserve">± </w:t>
            </w:r>
            <w:r w:rsidRPr="00AC4460">
              <w:rPr>
                <w:b/>
                <w:i/>
              </w:rPr>
              <w:t>1,0</w:t>
            </w:r>
            <w:r w:rsidRPr="00AC4460">
              <w:t xml:space="preserve"> οποιαδήποτε στιγμή εντός της αλυσίδας διανομής</w:t>
            </w:r>
          </w:p>
        </w:tc>
        <w:tc>
          <w:tcPr>
            <w:tcW w:w="4876" w:type="dxa"/>
          </w:tcPr>
          <w:p w:rsidR="00E451E4" w:rsidRPr="00AC4460" w:rsidRDefault="00E451E4" w:rsidP="000A61DD">
            <w:pPr>
              <w:pStyle w:val="Normal6"/>
              <w:rPr>
                <w:szCs w:val="24"/>
              </w:rPr>
            </w:pPr>
            <w:r w:rsidRPr="00AC4460">
              <w:t xml:space="preserve">± </w:t>
            </w:r>
            <w:r w:rsidRPr="00AC4460">
              <w:rPr>
                <w:b/>
                <w:i/>
              </w:rPr>
              <w:t>0,9</w:t>
            </w:r>
            <w:r w:rsidRPr="00AC4460">
              <w:t xml:space="preserve"> οποιαδήποτε στιγμή εντός της αλυσίδας διανομής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Υποστηρίζουμε την πρόταση της Επιτροπής ότι τα όρια ανοχής πρέπει να επιβάλλονται τόσο στην παραγωγή όσο και στη διανομή για να εξασφαλίζεται η ποιότητα των βελτιωτικών εδάφους για τον γεωργό.</w:t>
      </w:r>
      <w:r w:rsidR="000A61DD">
        <w:t xml:space="preserve"> </w:t>
      </w:r>
      <w:r>
        <w:t>Ωστόσο, τα επίπεδα ανοχής που προτείνει η Ευρωπαϊκή Επιτροπή για τη διανομή είναι υπερβολικά επιεική και πρέπει να μειωθούν ώστε να προστατεύεται ο γεωργός.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3 – πίνακας 1 – σειρά 8 – στήλη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rPr>
                <w:b/>
                <w:i/>
              </w:rPr>
              <w:t>25%</w:t>
            </w:r>
            <w:r w:rsidRPr="00AC4460">
              <w:t xml:space="preserve"> σχετική απόκλιση από τη δηλούμενη τιμή οποιαδήποτε στιγμή εντός της αλυσίδας διανομής</w:t>
            </w:r>
          </w:p>
        </w:tc>
        <w:tc>
          <w:tcPr>
            <w:tcW w:w="4876" w:type="dxa"/>
          </w:tcPr>
          <w:p w:rsidR="00E451E4" w:rsidRPr="00AC4460" w:rsidRDefault="00E451E4" w:rsidP="000A61DD">
            <w:pPr>
              <w:pStyle w:val="Normal6"/>
              <w:rPr>
                <w:szCs w:val="24"/>
              </w:rPr>
            </w:pPr>
            <w:r w:rsidRPr="00AC4460">
              <w:t>-</w:t>
            </w:r>
            <w:r w:rsidRPr="00AC4460">
              <w:rPr>
                <w:b/>
                <w:i/>
              </w:rPr>
              <w:t>15</w:t>
            </w:r>
            <w:r w:rsidRPr="00AC4460">
              <w:t>% σχετική απόκλιση από τη δηλούμενη τιμή οποιαδήποτε στιγμή εντός της αλυσίδας διανομής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Υποστηρίζουμε την πρόταση της Επιτροπής ότι τα όρια ανοχής πρέπει να επιβάλλονται τόσο στην παραγωγή όσο και στη διανομή για να εξασφαλίζεται η ποιότητα των βελτιωτικών εδάφους για τον γεωργό.</w:t>
      </w:r>
      <w:r w:rsidR="000A61DD">
        <w:t xml:space="preserve"> </w:t>
      </w:r>
      <w:r>
        <w:t>Ωστόσο, τα επίπεδα ανοχής που προτείνει η Ευρωπαϊκή Επιτροπή για τη διανομή είναι υπερβολικά επιεική και πρέπει να μειωθούν ώστε να προστατεύεται ο γεωργός.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192</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III – μέρος III – ΚΛΠ 4 – πίνακας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943"/>
        <w:gridCol w:w="4809"/>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9752" w:type="dxa"/>
            <w:gridSpan w:val="2"/>
          </w:tcPr>
          <w:p w:rsidR="00E451E4" w:rsidRPr="00CB12FD" w:rsidRDefault="00E451E4" w:rsidP="000A61DD">
            <w:pPr>
              <w:pStyle w:val="ColumnHeading"/>
              <w:keepNext/>
              <w:jc w:val="left"/>
            </w:pPr>
            <w:r>
              <w:t>Κείμενο που προτείνει η Επιτροπή</w:t>
            </w:r>
          </w:p>
        </w:tc>
      </w:tr>
      <w:tr w:rsidR="00E451E4" w:rsidRPr="00CB12FD" w:rsidTr="000A61DD">
        <w:trPr>
          <w:jc w:val="center"/>
        </w:trPr>
        <w:tc>
          <w:tcPr>
            <w:tcW w:w="9752" w:type="dxa"/>
            <w:gridSpan w:val="2"/>
            <w:tcBorders>
              <w:bottom w:val="single" w:sz="4" w:space="0" w:color="auto"/>
            </w:tcBorders>
          </w:tcPr>
          <w:p w:rsidR="00E451E4" w:rsidRPr="00CB12FD" w:rsidRDefault="00E451E4" w:rsidP="000A61DD">
            <w:pPr>
              <w:pStyle w:val="Normal6"/>
            </w:pPr>
            <w:r>
              <w:t>ΚΛΠ 4: ΥΠΟΣΤΡΩΜΑ ΚΑΛΛΙΕΡΓΕΙΑΣ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Μορφές του δηλούμενου θρεπτικού συστατικού και άλλα δηλούμενα κριτήρια ποιότητας </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Επιτρεπόμενο όριο ανοχής για τη δηλούμενη παράμετρο</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Ηλεκτρική αγωγιμότητα</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75</w:t>
            </w:r>
            <w:r>
              <w:t xml:space="preserve"> %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pH</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0,7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1,0</w:t>
            </w:r>
            <w:r>
              <w:t xml:space="preserve">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Ποσότητα, σε όγκο (λίτρα ή m³)</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-5%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w:t>
            </w:r>
            <w:r>
              <w:rPr>
                <w:b/>
                <w:i/>
              </w:rPr>
              <w:t>25</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Προσδιορισμός ποσότητας (σε όγκο) των υλικών με μέγεθος σωματιδίων μεγαλύτερο των 60 mm</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-5%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w:t>
            </w:r>
            <w:r>
              <w:rPr>
                <w:b/>
                <w:i/>
              </w:rPr>
              <w:t>25</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Προσδιορισμός ποσότητας (σε όγκο) των προδιαμορφωμένων υποστρωμάτων καλλιέργειας</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-5%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w:t>
            </w:r>
            <w:r>
              <w:rPr>
                <w:b/>
                <w:i/>
              </w:rPr>
              <w:t>25</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Υδατοδιαλυτό άζωτο (N)</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75</w:t>
            </w:r>
            <w:r>
              <w:t xml:space="preserve"> %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Υδατοδιαλυτό πεντοξείδιο του φωσφόρου (P</w:t>
            </w:r>
            <w:r>
              <w:rPr>
                <w:vertAlign w:val="subscript"/>
              </w:rPr>
              <w:t>2</w:t>
            </w:r>
            <w:r>
              <w:t>O</w:t>
            </w:r>
            <w:r>
              <w:rPr>
                <w:vertAlign w:val="subscript"/>
              </w:rPr>
              <w:t>5</w:t>
            </w:r>
            <w:r>
              <w:t>)</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75</w:t>
            </w:r>
            <w:r>
              <w:t xml:space="preserve"> %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Υδατοδιαλυτό οξείδιο του καλίου (K</w:t>
            </w:r>
            <w:r>
              <w:rPr>
                <w:vertAlign w:val="subscript"/>
              </w:rPr>
              <w:t>2</w:t>
            </w:r>
            <w:r>
              <w:t>O)</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 </w:t>
            </w:r>
            <w:r>
              <w:rPr>
                <w:b/>
                <w:i/>
              </w:rPr>
              <w:t>75</w:t>
            </w:r>
            <w:r>
              <w:t xml:space="preserve"> % σχετική απόκλιση οποιαδήποτε στιγμή εντός της αλυσίδας διανομής</w:t>
            </w:r>
          </w:p>
        </w:tc>
      </w:tr>
      <w:tr w:rsidR="00E451E4" w:rsidRPr="00CB12FD" w:rsidTr="000A61DD">
        <w:trPr>
          <w:jc w:val="center"/>
        </w:trPr>
        <w:tc>
          <w:tcPr>
            <w:tcW w:w="9752" w:type="dxa"/>
            <w:gridSpan w:val="2"/>
            <w:tcBorders>
              <w:top w:val="single" w:sz="4" w:space="0" w:color="auto"/>
            </w:tcBorders>
          </w:tcPr>
          <w:p w:rsidR="00E451E4" w:rsidRPr="00CB12FD" w:rsidRDefault="00E451E4" w:rsidP="000A61DD">
            <w:pPr>
              <w:keepNext/>
            </w:pPr>
          </w:p>
        </w:tc>
      </w:tr>
      <w:tr w:rsidR="00E451E4" w:rsidRPr="00CB12FD" w:rsidTr="000A61DD">
        <w:trPr>
          <w:trHeight w:val="522"/>
          <w:jc w:val="center"/>
        </w:trPr>
        <w:tc>
          <w:tcPr>
            <w:tcW w:w="9752" w:type="dxa"/>
            <w:gridSpan w:val="2"/>
          </w:tcPr>
          <w:p w:rsidR="00E451E4" w:rsidRPr="00CB12FD" w:rsidRDefault="00E451E4" w:rsidP="000A61DD">
            <w:pPr>
              <w:pStyle w:val="ColumnHeading"/>
              <w:keepNext/>
              <w:jc w:val="left"/>
            </w:pPr>
            <w:r>
              <w:t>Τροπολογία</w:t>
            </w:r>
          </w:p>
        </w:tc>
      </w:tr>
      <w:tr w:rsidR="00E451E4" w:rsidRPr="00CB12FD" w:rsidTr="000A61DD">
        <w:trPr>
          <w:trHeight w:val="522"/>
          <w:jc w:val="center"/>
        </w:trPr>
        <w:tc>
          <w:tcPr>
            <w:tcW w:w="9752" w:type="dxa"/>
            <w:gridSpan w:val="2"/>
            <w:tcBorders>
              <w:bottom w:val="single" w:sz="4" w:space="0" w:color="auto"/>
            </w:tcBorders>
          </w:tcPr>
          <w:p w:rsidR="00E451E4" w:rsidRPr="00CB12FD" w:rsidRDefault="00E451E4" w:rsidP="000A61DD">
            <w:pPr>
              <w:pStyle w:val="Normal6"/>
              <w:rPr>
                <w:i/>
              </w:rPr>
            </w:pPr>
            <w:r>
              <w:t>ΚΛΠ 4: ΥΠΟΣΤΡΩΜΑ ΚΑΛΛΙΕΡΓΕΙΑΣ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 xml:space="preserve">Μορφές του δηλούμενου θρεπτικού συστατικού και άλλα δηλούμενα κριτήρια ποιότητας </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pPr>
            <w:r>
              <w:t>Επιτρεπόμενο όριο ανοχής για τη δηλούμενη παράμετρο</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Ηλεκτρική αγωγιμότητα</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60</w:t>
            </w:r>
            <w:r>
              <w:t xml:space="preserve"> %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pH</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0,7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0,9</w:t>
            </w:r>
            <w:r>
              <w:t xml:space="preserve">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Ποσότητα, σε όγκο (λίτρα ή m³)</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-5%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15</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Προσδιορισμός ποσότητας (σε όγκο) των υλικών με μέγεθος σωματιδίων μεγαλύτερο των 60 mm</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-5%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w:t>
            </w:r>
            <w:r>
              <w:rPr>
                <w:b/>
                <w:i/>
              </w:rPr>
              <w:t>15</w:t>
            </w:r>
            <w:r>
              <w:t xml:space="preserve"> %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Προσδιορισμός ποσότητας (σε όγκο) των προδιαμορφωμένων υποστρωμάτων καλλιέργειας</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-5%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15</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Υδατοδιαλυτό άζωτο (N)</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60</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Υδατοδιαλυτό πεντοξείδιο του φωσφόρου (P</w:t>
            </w:r>
            <w:r>
              <w:rPr>
                <w:vertAlign w:val="subscript"/>
              </w:rPr>
              <w:t>2</w:t>
            </w:r>
            <w:r>
              <w:t>O</w:t>
            </w:r>
            <w:r>
              <w:rPr>
                <w:vertAlign w:val="subscript"/>
              </w:rPr>
              <w:t>5</w:t>
            </w:r>
            <w:r>
              <w:t>)</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60</w:t>
            </w:r>
            <w:r>
              <w:t>% σχετική απόκλιση οποιαδήποτε στιγμή εντός της αλυσίδας διανομής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Υδατοδιαλυτό οξείδιο του καλίου (K</w:t>
            </w:r>
            <w:r>
              <w:rPr>
                <w:vertAlign w:val="subscript"/>
              </w:rPr>
              <w:t>2</w:t>
            </w:r>
            <w:r>
              <w:t>O)</w:t>
            </w: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50 % σχετική απόκλιση κατά τη χρονική στιγμή της παρασκευής</w:t>
            </w:r>
          </w:p>
        </w:tc>
      </w:tr>
      <w:tr w:rsidR="00E451E4" w:rsidRPr="00CB12FD" w:rsidTr="000A61DD">
        <w:trPr>
          <w:jc w:val="center"/>
        </w:trPr>
        <w:tc>
          <w:tcPr>
            <w:tcW w:w="4943"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p>
        </w:tc>
        <w:tc>
          <w:tcPr>
            <w:tcW w:w="4809" w:type="dxa"/>
            <w:tcBorders>
              <w:top w:val="single" w:sz="4" w:space="0" w:color="auto"/>
              <w:left w:val="single" w:sz="4" w:space="0" w:color="auto"/>
              <w:bottom w:val="single" w:sz="4" w:space="0" w:color="auto"/>
              <w:right w:val="single" w:sz="4" w:space="0" w:color="auto"/>
            </w:tcBorders>
          </w:tcPr>
          <w:p w:rsidR="00E451E4" w:rsidRPr="00CB12FD" w:rsidRDefault="00E451E4" w:rsidP="000A61DD">
            <w:pPr>
              <w:pStyle w:val="Normal6"/>
              <w:rPr>
                <w:rFonts w:eastAsia="Arial Unicode MS"/>
              </w:rPr>
            </w:pPr>
            <w:r>
              <w:t xml:space="preserve">± </w:t>
            </w:r>
            <w:r>
              <w:rPr>
                <w:b/>
                <w:i/>
              </w:rPr>
              <w:t>60</w:t>
            </w:r>
            <w:r>
              <w:t>% σχετική απόκλιση οποιαδήποτε στιγμή εντός της αλυσίδας διανομής</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Υποστηρίζουμε την πρόταση της Επιτροπής ότι τα όρια ανοχής πρέπει να επιβάλλονται τόσο στην παραγωγή όσο και στη διανομή για να εξασφαλίζεται η ποιότητα των βελτιωτικών εδάφους για τον γεωργό.</w:t>
      </w:r>
      <w:r w:rsidR="000A61DD">
        <w:t xml:space="preserve"> </w:t>
      </w:r>
      <w:r>
        <w:t>Ωστόσο, τα επίπεδα ανοχής που προτείνει η Ευρωπαϊκή Επιτροπή για τη διανομή είναι υπερβολικά επιεική και πρέπει να μειωθούν ώστε να προστατεύεται ο γεωργός.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193</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IV – μέρος 1 – σημείο 1 – στοιχείο στ α (νέο)</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szCs w:val="24"/>
              </w:rPr>
            </w:pPr>
            <w:r w:rsidRPr="00AC4460">
              <w:rPr>
                <w:b/>
                <w:i/>
              </w:rPr>
              <w:t>στ α)</w:t>
            </w:r>
            <w:r w:rsidRPr="00AC4460">
              <w:rPr>
                <w:b/>
                <w:i/>
              </w:rPr>
              <w:tab/>
              <w:t>μη επεξεργασμένα ή μηχανικώς επεξεργασμένα φυτά, μέρη φυτών ή εκχυλίσματα φυτών, όπως ορίζονται στην ΚΣΥ 2,</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Η ενότητα Α πρέπει επίσης να δέχεται τη χρήση προϊόντων της ΚΣΥ 2 τα οποία είναι συστατικά των υποστρωμάτων καλλιέργειας. Η Growing Media Europe πιστεύει ότι είναι εξαιρετικά ασυνεπές να επιτρέπονται οι ΚΣΥ 4 «χωνεύματα» και ΚΣΥ 6 «υποπροϊόντα της βιομηχανίας τροφίμων», ενώ εξαιρούνται υλικά όπως οι ίνες ξύλου από την αυτοπιστοποίηση. Η διάθεση στην αγορά υλικών υποστρωμάτων καλλιέργειας αναλαμβάνεται στα περισσότερα κράτη μέλη μέσω αυτοπιστοποίησης. Εάν συμπεριληφθούν πρόσθετες διαδικασίας έγκρισης θα επιβαρυνθεί σε μεγάλο βαθμό ο κλάδος, που αποτελείται κυρίως από ΜΜΕ.</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194</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ΙV – μέρος II – Ενότητα Α – σημείο 4.2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4.2.</w:t>
            </w:r>
            <w:r w:rsidRPr="00AC4460">
              <w:tab/>
              <w:t xml:space="preserve">Ο παρασκευαστής συντάσσει γραπτή δήλωση συμμόρφωσης ΕΕ για κάθε παρτίδα προϊόντος λίπανσης με σήμανση CE και τη διατηρεί, μαζί με τον τεχνικό φάκελο, στη διάθεση των εθνικών αρχών για περίοδο </w:t>
            </w:r>
            <w:r w:rsidRPr="00AC4460">
              <w:rPr>
                <w:b/>
                <w:i/>
              </w:rPr>
              <w:t>10</w:t>
            </w:r>
            <w:r w:rsidRPr="00AC4460">
              <w:t xml:space="preserve"> ετών από τη θέση του προϊόντος λίπανσης με σήμανση CE σε κυκλοφορία. Η δήλωση συμμόρφωσης αναφέρει το προϊόν λίπανσης με σήμανση CE για το οποίο έχει συνταχθεί.</w:t>
            </w:r>
          </w:p>
        </w:tc>
        <w:tc>
          <w:tcPr>
            <w:tcW w:w="4876" w:type="dxa"/>
          </w:tcPr>
          <w:p w:rsidR="00E451E4" w:rsidRPr="00AC4460" w:rsidRDefault="00E451E4" w:rsidP="000A61DD">
            <w:pPr>
              <w:pStyle w:val="Normal6"/>
              <w:rPr>
                <w:szCs w:val="24"/>
              </w:rPr>
            </w:pPr>
            <w:r w:rsidRPr="00AC4460">
              <w:t>4.2.</w:t>
            </w:r>
            <w:r w:rsidRPr="00AC4460">
              <w:tab/>
              <w:t xml:space="preserve">Ο παρασκευαστής συντάσσει γραπτή δήλωση συμμόρφωσης ΕΕ για κάθε παρτίδα προϊόντος λίπανσης με σήμανση CE και τη διατηρεί, μαζί με τον τεχνικό φάκελο, στη διάθεση των εθνικών αρχών για περίοδο </w:t>
            </w:r>
            <w:r w:rsidRPr="00AC4460">
              <w:rPr>
                <w:b/>
                <w:i/>
              </w:rPr>
              <w:t>5</w:t>
            </w:r>
            <w:r w:rsidRPr="00AC4460">
              <w:t xml:space="preserve"> ετών από τη θέση του προϊόντος λίπανσης με σήμανση CE σε κυκλοφορία. Η δήλωση συμμόρφωσης αναφέρει το προϊόν λίπανσης με σήμανση CE για το οποίο έχει συνταχθεί.</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προτεινόμενο χρονικό διάστημα διατήρησης του τεχνικού φακέλου και της δήλωσης συμμόρφωσης ΕΕ είναι υπερβολικό. Παράλληλα με τις φορολογικές απαιτήσεις, θα ήταν λογικό να μειωθεί το διάστημα αυτό σε 5 έτη.</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195</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IV – μέρος II – Ενότητα Β – σημείο 3.2 – στοιχείο γ – περίπτωση 6</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w:t>
            </w:r>
            <w:r w:rsidRPr="00AC4460">
              <w:tab/>
              <w:t>εκθέσεις δοκιμών και</w:t>
            </w:r>
          </w:p>
        </w:tc>
        <w:tc>
          <w:tcPr>
            <w:tcW w:w="4876" w:type="dxa"/>
          </w:tcPr>
          <w:p w:rsidR="00E451E4" w:rsidRPr="00AC4460" w:rsidRDefault="00E451E4" w:rsidP="000A61DD">
            <w:pPr>
              <w:pStyle w:val="Normal6"/>
              <w:rPr>
                <w:szCs w:val="24"/>
              </w:rPr>
            </w:pPr>
            <w:r w:rsidRPr="00AC4460">
              <w:t>–</w:t>
            </w:r>
            <w:r w:rsidRPr="00AC4460">
              <w:tab/>
              <w:t>εκθέσεις δοκιμών</w:t>
            </w:r>
            <w:r w:rsidRPr="00AC4460">
              <w:rPr>
                <w:b/>
                <w:i/>
              </w:rPr>
              <w:t>, συμπεριλαμβανομένων μελετών για τη γεωπονική απόδοση,</w:t>
            </w:r>
            <w:r w:rsidRPr="00AC4460">
              <w:t xml:space="preserve"> και</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Θα πρέπει να εξασφαλιστεί η γεωπονική απόδοση νέων προϊόντων. Τα προϊόντα που καλύπτονται από τον κανονισμό (ΕΚ) 2003/2003 έχουν ήδη αποδείξει τη γεωπονική απόδοσή τους.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196</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IV – μέρος II – Ενότητα B – σημείο 9</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9.</w:t>
            </w:r>
            <w:r w:rsidRPr="00AC4460">
              <w:tab/>
              <w:t xml:space="preserve">Ο παρασκευαστής διατηρεί στη διάθεση των εθνικών αρχών αντίγραφο του πιστοποιητικού εξέτασης τύπου ΕΕ, των παραρτημάτων και των προσθηκών του μαζί με τον τεχνικό φάκελο, επί </w:t>
            </w:r>
            <w:r w:rsidRPr="00AC4460">
              <w:rPr>
                <w:b/>
                <w:i/>
              </w:rPr>
              <w:t>10</w:t>
            </w:r>
            <w:r w:rsidRPr="00AC4460">
              <w:t xml:space="preserve"> έτη από τη θέση του προϊόντος λίπανσης με σήμανση CE σε κυκλοφορία.</w:t>
            </w:r>
          </w:p>
        </w:tc>
        <w:tc>
          <w:tcPr>
            <w:tcW w:w="4876" w:type="dxa"/>
          </w:tcPr>
          <w:p w:rsidR="00E451E4" w:rsidRPr="00AC4460" w:rsidRDefault="00E451E4" w:rsidP="000A61DD">
            <w:pPr>
              <w:pStyle w:val="Normal6"/>
              <w:rPr>
                <w:szCs w:val="24"/>
              </w:rPr>
            </w:pPr>
            <w:r w:rsidRPr="00AC4460">
              <w:t>9.</w:t>
            </w:r>
            <w:r w:rsidRPr="00AC4460">
              <w:tab/>
              <w:t xml:space="preserve">Ο παρασκευαστής διατηρεί στη διάθεση των εθνικών αρχών αντίγραφο του πιστοποιητικού εξέτασης τύπου ΕΕ, των παραρτημάτων και των προσθηκών του μαζί με τον τεχνικό φάκελο, επί </w:t>
            </w:r>
            <w:r w:rsidRPr="00AC4460">
              <w:rPr>
                <w:b/>
                <w:i/>
              </w:rPr>
              <w:t>5</w:t>
            </w:r>
            <w:r w:rsidRPr="00AC4460">
              <w:t xml:space="preserve"> έτη από τη θέση του προϊόντος λίπανσης με σήμανση CE σε κυκλοφορία.</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προτεινόμενο χρονικό διάστημα είναι υπερβολικό. Θα πρέπει να ευθυγραμμιστεί με τις φορολογικές απαιτήσεις.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197</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ΙV – μέρος II – Ενότητα Γ – σημείο 3.2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3.2</w:t>
            </w:r>
            <w:r w:rsidRPr="00AC4460">
              <w:tab/>
              <w:t xml:space="preserve">Ο παρασκευαστής συντάσσει γραπτή δήλωση συμμόρφωσης για κάθε παρτίδα προϊόντος λίπανσης με σήμανση CE και τη διατηρεί στη διάθεση των εθνικών αρχών για περίοδο </w:t>
            </w:r>
            <w:r w:rsidRPr="00AC4460">
              <w:rPr>
                <w:b/>
                <w:i/>
              </w:rPr>
              <w:t>10</w:t>
            </w:r>
            <w:r w:rsidRPr="00AC4460">
              <w:t xml:space="preserve"> ετών από τη θέση του προϊόντος λίπανσης με σήμανση CE σε κυκλοφορία. Η δήλωση συμμόρφωσης αναφέρει την παρτίδα προϊόντος λίπανσης με σήμανση CE για την οποία έχει συνταχθεί.</w:t>
            </w:r>
          </w:p>
        </w:tc>
        <w:tc>
          <w:tcPr>
            <w:tcW w:w="4876" w:type="dxa"/>
          </w:tcPr>
          <w:p w:rsidR="00E451E4" w:rsidRPr="00AC4460" w:rsidRDefault="00E451E4" w:rsidP="000A61DD">
            <w:pPr>
              <w:pStyle w:val="Normal6"/>
              <w:rPr>
                <w:szCs w:val="24"/>
              </w:rPr>
            </w:pPr>
            <w:r w:rsidRPr="00AC4460">
              <w:t>3.2</w:t>
            </w:r>
            <w:r w:rsidRPr="00AC4460">
              <w:tab/>
              <w:t xml:space="preserve">Ο παρασκευαστής συντάσσει γραπτή δήλωση συμμόρφωσης για κάθε παρτίδα προϊόντος λίπανσης με σήμανση CE και τη διατηρεί στη διάθεση των εθνικών αρχών για περίοδο </w:t>
            </w:r>
            <w:r w:rsidRPr="00AC4460">
              <w:rPr>
                <w:b/>
                <w:i/>
              </w:rPr>
              <w:t>5</w:t>
            </w:r>
            <w:r w:rsidRPr="00AC4460">
              <w:t xml:space="preserve"> ετών από τη θέση του προϊόντος λίπανσης με σήμανση CE σε κυκλοφορία. Η δήλωση συμμόρφωσης αναφέρει την παρτίδα προϊόντος λίπανσης με σήμανση CE για την οποία έχει συνταχθεί.</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προτεινόμενο χρονικό διάστημα είναι υπερβολικό. Θα πρέπει να ευθυγραμμιστεί με τις φορολογικές απαιτήσεις.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198</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ΙV – μέρος II – Ενότητα Δ1 – σημείο 2 – στοιχείο β</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β)</w:t>
            </w:r>
            <w:r w:rsidRPr="00AC4460">
              <w:tab/>
            </w:r>
            <w:r w:rsidRPr="00AC4460">
              <w:rPr>
                <w:b/>
                <w:i/>
              </w:rPr>
              <w:t>σχέδια και διαγράμματα αρχικής σύλληψης</w:t>
            </w:r>
            <w:r w:rsidRPr="00AC4460">
              <w:t xml:space="preserve"> και </w:t>
            </w:r>
            <w:r w:rsidRPr="00AC4460">
              <w:rPr>
                <w:b/>
                <w:i/>
              </w:rPr>
              <w:t>παρασκευής, συμπεριλαμβανομένης μιας γραπτής περιγραφής και ενός διαγράμματος</w:t>
            </w:r>
            <w:r w:rsidRPr="00AC4460">
              <w:t xml:space="preserve"> της διαδικασίας παραγωγής</w:t>
            </w:r>
            <w:r w:rsidRPr="00AC4460">
              <w:rPr>
                <w:b/>
                <w:i/>
              </w:rPr>
              <w:t xml:space="preserve"> όπου προσδιορίζεται με σαφήνεια κάθε δοχείο και περιοχή επεξεργασίας και αποθήκευσης</w:t>
            </w:r>
            <w:r w:rsidRPr="00AC4460">
              <w:t>,</w:t>
            </w:r>
          </w:p>
        </w:tc>
        <w:tc>
          <w:tcPr>
            <w:tcW w:w="4876" w:type="dxa"/>
          </w:tcPr>
          <w:p w:rsidR="00E451E4" w:rsidRPr="00AC4460" w:rsidRDefault="00E451E4" w:rsidP="000A61DD">
            <w:pPr>
              <w:pStyle w:val="Normal6"/>
              <w:rPr>
                <w:szCs w:val="24"/>
              </w:rPr>
            </w:pPr>
            <w:r w:rsidRPr="00AC4460">
              <w:t>β)</w:t>
            </w:r>
            <w:r w:rsidRPr="00AC4460">
              <w:tab/>
            </w:r>
            <w:r w:rsidRPr="00AC4460">
              <w:rPr>
                <w:b/>
                <w:i/>
              </w:rPr>
              <w:t>γραπτή περιγραφή</w:t>
            </w:r>
            <w:r w:rsidRPr="00AC4460">
              <w:t xml:space="preserve"> και </w:t>
            </w:r>
            <w:r w:rsidRPr="00AC4460">
              <w:rPr>
                <w:b/>
                <w:i/>
              </w:rPr>
              <w:t>διάγραμμα</w:t>
            </w:r>
            <w:r w:rsidRPr="00AC4460">
              <w:t xml:space="preserve"> της διαδικασίας παραγωγής,</w:t>
            </w:r>
          </w:p>
        </w:tc>
      </w:tr>
    </w:tbl>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199</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ΙV – μέρος II – Ενότητα Δ1 – σημείο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3.</w:t>
            </w:r>
            <w:r w:rsidRPr="00AC4460">
              <w:tab/>
              <w:t xml:space="preserve">Ο παρασκευαστής διατηρεί τον τεχνικό φάκελο στη διάθεση των αρμόδιων εθνικών αρχών για περίοδο </w:t>
            </w:r>
            <w:r w:rsidRPr="00AC4460">
              <w:rPr>
                <w:b/>
                <w:i/>
              </w:rPr>
              <w:t>10</w:t>
            </w:r>
            <w:r w:rsidRPr="00AC4460">
              <w:t xml:space="preserve"> ετών από τη θέση του προϊόντος λίπανσης με σήμανση CE σε κυκλοφορία.</w:t>
            </w:r>
          </w:p>
        </w:tc>
        <w:tc>
          <w:tcPr>
            <w:tcW w:w="4876" w:type="dxa"/>
          </w:tcPr>
          <w:p w:rsidR="00E451E4" w:rsidRPr="00AC4460" w:rsidRDefault="00E451E4" w:rsidP="000A61DD">
            <w:pPr>
              <w:pStyle w:val="Normal6"/>
              <w:rPr>
                <w:szCs w:val="24"/>
              </w:rPr>
            </w:pPr>
            <w:r w:rsidRPr="00AC4460">
              <w:t>3.</w:t>
            </w:r>
            <w:r w:rsidRPr="00AC4460">
              <w:tab/>
              <w:t xml:space="preserve">Ο παρασκευαστής διατηρεί τον τεχνικό φάκελο στη διάθεση των αρμόδιων εθνικών αρχών για περίοδο </w:t>
            </w:r>
            <w:r w:rsidRPr="00AC4460">
              <w:rPr>
                <w:b/>
                <w:i/>
              </w:rPr>
              <w:t>5</w:t>
            </w:r>
            <w:r w:rsidRPr="00AC4460">
              <w:t xml:space="preserve"> ετών από τη θέση του προϊόντος λίπανσης με σήμανση CE σε κυκλοφορία.</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προτεινόμενο χρονικό διάστημα είναι υπερβολικό. Θα πρέπει να ευθυγραμμιστεί με τις φορολογικές απαιτήσεις.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200</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ΙV – μέρος II – Ενότητα Δ1 – σημείο 7 – σημείο 7.2.1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7.2.1</w:t>
            </w:r>
            <w:r w:rsidRPr="00AC4460">
              <w:tab/>
              <w:t xml:space="preserve">Ο παρασκευαστής συντάσσει γραπτή δήλωση συμμόρφωσης για κάθε παρτίδα προϊόντος λίπανσης με σήμανση CE και τη διατηρεί στη διάθεση των εθνικών αρχών για περίοδο </w:t>
            </w:r>
            <w:r w:rsidRPr="00AC4460">
              <w:rPr>
                <w:b/>
                <w:i/>
              </w:rPr>
              <w:t>10</w:t>
            </w:r>
            <w:r w:rsidRPr="00AC4460">
              <w:t xml:space="preserve"> ετών από τη θέση του προϊόντος λίπανσης με σήμανση CE σε κυκλοφορία. Η δήλωση συμμόρφωσης ΕΕ αναφέρει την παρτίδα προϊόντος για την οποία έχει συνταχθεί.</w:t>
            </w:r>
          </w:p>
        </w:tc>
        <w:tc>
          <w:tcPr>
            <w:tcW w:w="4876" w:type="dxa"/>
          </w:tcPr>
          <w:p w:rsidR="00E451E4" w:rsidRPr="00AC4460" w:rsidRDefault="00E451E4" w:rsidP="000A61DD">
            <w:pPr>
              <w:pStyle w:val="Normal6"/>
              <w:rPr>
                <w:szCs w:val="24"/>
              </w:rPr>
            </w:pPr>
            <w:r w:rsidRPr="00AC4460">
              <w:t>7.2.1</w:t>
            </w:r>
            <w:r w:rsidRPr="00AC4460">
              <w:tab/>
              <w:t xml:space="preserve">Ο παρασκευαστής συντάσσει γραπτή δήλωση συμμόρφωσης για κάθε παρτίδα προϊόντος λίπανσης με σήμανση CE και τη διατηρεί στη διάθεση των εθνικών αρχών για περίοδο </w:t>
            </w:r>
            <w:r w:rsidRPr="00AC4460">
              <w:rPr>
                <w:b/>
                <w:i/>
              </w:rPr>
              <w:t>5</w:t>
            </w:r>
            <w:r w:rsidRPr="00AC4460">
              <w:t xml:space="preserve"> ετών από τη θέση του προϊόντος λίπανσης με σήμανση CE σε κυκλοφορία. Η δήλωση συμμόρφωσης ΕΕ αναφέρει την παρτίδα προϊόντος για την οποία έχει συνταχθεί.</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προτεινόμενο χρονικό διάστημα είναι υπερβολικό. Θα πρέπει να ευθυγραμμιστεί με τις φορολογικές απαιτήσεις.</w:t>
      </w:r>
    </w:p>
    <w:p w:rsidR="00E451E4" w:rsidRPr="00CB12FD" w:rsidRDefault="00E451E4" w:rsidP="000A61DD">
      <w:r>
        <w:rPr>
          <w:rStyle w:val="HideTWBExt"/>
          <w:noProof w:val="0"/>
        </w:rPr>
        <w:t>&lt;/Amend&gt;</w:t>
      </w:r>
    </w:p>
    <w:p w:rsidR="00E451E4" w:rsidRPr="00CB12FD"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201</w:t>
      </w:r>
      <w:r>
        <w:rPr>
          <w:rStyle w:val="HideTWBExt"/>
          <w:b w:val="0"/>
          <w:noProof w:val="0"/>
        </w:rPr>
        <w:t>&lt;/NumAm&gt;</w:t>
      </w:r>
    </w:p>
    <w:p w:rsidR="00E451E4" w:rsidRPr="00CB12FD" w:rsidRDefault="00E451E4" w:rsidP="000A61DD">
      <w:pPr>
        <w:pStyle w:val="NormalBold12b"/>
      </w:pPr>
      <w:r>
        <w:rPr>
          <w:rStyle w:val="HideTWBExt"/>
          <w:b w:val="0"/>
          <w:noProof w:val="0"/>
        </w:rPr>
        <w:t>&lt;DocAmend&gt;</w:t>
      </w:r>
      <w:r w:rsidRPr="00AC4460">
        <w:t>Πρόταση κανονισμού</w:t>
      </w:r>
      <w:r>
        <w:rPr>
          <w:rStyle w:val="HideTWBExt"/>
          <w:b w:val="0"/>
          <w:noProof w:val="0"/>
        </w:rPr>
        <w:t>&lt;/DocAmend&gt;</w:t>
      </w:r>
    </w:p>
    <w:p w:rsidR="00E451E4" w:rsidRPr="00CB12FD" w:rsidRDefault="00E451E4" w:rsidP="000A61DD">
      <w:pPr>
        <w:pStyle w:val="NormalBold"/>
      </w:pPr>
      <w:r>
        <w:rPr>
          <w:rStyle w:val="HideTWBExt"/>
          <w:b w:val="0"/>
          <w:noProof w:val="0"/>
        </w:rPr>
        <w:t>&lt;Article&gt;</w:t>
      </w:r>
      <w:r w:rsidRPr="00AC4460">
        <w:t>Παράρτημα IV – μέρος II – Ενότητα Δ1 – σημείο 8 – εισαγωγικό μέρος</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51E4" w:rsidRPr="00CB12FD" w:rsidTr="000A61DD">
        <w:trPr>
          <w:jc w:val="center"/>
        </w:trPr>
        <w:tc>
          <w:tcPr>
            <w:tcW w:w="9752" w:type="dxa"/>
            <w:gridSpan w:val="2"/>
          </w:tcPr>
          <w:p w:rsidR="00E451E4" w:rsidRPr="00CB12FD" w:rsidRDefault="00E451E4" w:rsidP="000A61DD">
            <w:pPr>
              <w:keepNext/>
            </w:pPr>
          </w:p>
        </w:tc>
      </w:tr>
      <w:tr w:rsidR="00E451E4" w:rsidRPr="00CB12FD"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CB12FD" w:rsidTr="000A61DD">
        <w:trPr>
          <w:jc w:val="center"/>
        </w:trPr>
        <w:tc>
          <w:tcPr>
            <w:tcW w:w="4876" w:type="dxa"/>
          </w:tcPr>
          <w:p w:rsidR="00E451E4" w:rsidRPr="00AC4460" w:rsidRDefault="00E451E4" w:rsidP="000A61DD">
            <w:pPr>
              <w:pStyle w:val="Normal6"/>
            </w:pPr>
            <w:r w:rsidRPr="00AC4460">
              <w:t>8.</w:t>
            </w:r>
            <w:r w:rsidRPr="00AC4460">
              <w:tab/>
              <w:t xml:space="preserve">Για περίοδο τουλάχιστον </w:t>
            </w:r>
            <w:r w:rsidRPr="00AC4460">
              <w:rPr>
                <w:b/>
                <w:i/>
              </w:rPr>
              <w:t>10</w:t>
            </w:r>
            <w:r w:rsidRPr="00AC4460">
              <w:t xml:space="preserve"> ετών από τη θέση του προϊόντος σε κυκλοφορία, ο παρασκευαστής διατηρεί στη διάθεση των εθνικών αρχών:</w:t>
            </w:r>
          </w:p>
        </w:tc>
        <w:tc>
          <w:tcPr>
            <w:tcW w:w="4876" w:type="dxa"/>
          </w:tcPr>
          <w:p w:rsidR="00E451E4" w:rsidRPr="00AC4460" w:rsidRDefault="00E451E4" w:rsidP="000A61DD">
            <w:pPr>
              <w:pStyle w:val="Normal6"/>
              <w:rPr>
                <w:szCs w:val="24"/>
              </w:rPr>
            </w:pPr>
            <w:r w:rsidRPr="00AC4460">
              <w:rPr>
                <w:b/>
                <w:i/>
              </w:rPr>
              <w:t>8.</w:t>
            </w:r>
            <w:r w:rsidRPr="00AC4460">
              <w:tab/>
              <w:t xml:space="preserve">Για περίοδο τουλάχιστον </w:t>
            </w:r>
            <w:r w:rsidRPr="00AC4460">
              <w:rPr>
                <w:b/>
                <w:i/>
              </w:rPr>
              <w:t>5</w:t>
            </w:r>
            <w:r w:rsidRPr="00AC4460">
              <w:t xml:space="preserve"> ετών από τη θέση του προϊόντος σε κυκλοφορία, ο παρασκευαστής διατηρεί στη διάθεση των εθνικών αρχών:</w:t>
            </w:r>
          </w:p>
        </w:tc>
      </w:tr>
    </w:tbl>
    <w:p w:rsidR="00E451E4" w:rsidRPr="00CB12FD" w:rsidRDefault="00E451E4" w:rsidP="000A61DD">
      <w:pPr>
        <w:pStyle w:val="JustificationTitle"/>
      </w:pPr>
      <w:r>
        <w:rPr>
          <w:rStyle w:val="HideTWBExt"/>
          <w:i w:val="0"/>
          <w:noProof w:val="0"/>
        </w:rPr>
        <w:t>&lt;TitreJust&gt;</w:t>
      </w:r>
      <w:r w:rsidRPr="00AC4460">
        <w:t>Αιτιολόγηση</w:t>
      </w:r>
      <w:r>
        <w:rPr>
          <w:rStyle w:val="HideTWBExt"/>
          <w:i w:val="0"/>
          <w:noProof w:val="0"/>
        </w:rPr>
        <w:t>&lt;/TitreJust&gt;</w:t>
      </w:r>
    </w:p>
    <w:p w:rsidR="00E451E4" w:rsidRPr="00CB12FD" w:rsidRDefault="00E451E4" w:rsidP="000A61DD">
      <w:pPr>
        <w:pStyle w:val="Normal12Italic"/>
      </w:pPr>
      <w:r>
        <w:t>Το προτεινόμενο χρονικό διάστημα είναι υπερβολικό. Θα πρέπει να ευθυγραμμιστεί με τις φορολογικές απαιτήσεις.</w:t>
      </w:r>
    </w:p>
    <w:p w:rsidR="00E451E4" w:rsidRPr="00CB12FD" w:rsidRDefault="00E451E4" w:rsidP="000A61DD">
      <w:pPr>
        <w:pStyle w:val="Normal6"/>
      </w:pPr>
      <w:r>
        <w:rPr>
          <w:rStyle w:val="HideTWBExt"/>
          <w:noProof w:val="0"/>
        </w:rPr>
        <w:t>&lt;/Amend&gt;</w:t>
      </w:r>
    </w:p>
    <w:bookmarkEnd w:id="17"/>
    <w:p w:rsidR="00E451E4" w:rsidRPr="00CB12FD" w:rsidRDefault="00E451E4" w:rsidP="000A61DD"/>
    <w:p w:rsidR="00E451E4" w:rsidRPr="00CB12FD" w:rsidRDefault="00E451E4" w:rsidP="000A61DD">
      <w:r>
        <w:rPr>
          <w:rStyle w:val="HideTWBExt"/>
          <w:noProof w:val="0"/>
        </w:rPr>
        <w:t>&lt;/RepeatBlock-Amend&gt;</w:t>
      </w:r>
    </w:p>
    <w:p w:rsidR="00E451E4" w:rsidRPr="00CB12FD" w:rsidRDefault="00E451E4" w:rsidP="000A61DD">
      <w:pPr>
        <w:pStyle w:val="PageHeadingNotTOC"/>
      </w:pPr>
      <w:r>
        <w:br w:type="page"/>
        <w:t xml:space="preserve">ΔΙΑΔΙΚΑΣΙΑ ΤΗΣ ΓΝΩΜΟΔΟΤΙΚΗΣ ΕΠΙΤΡΟΠΗΣ </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51E4" w:rsidRPr="00521245" w:rsidTr="000A61DD">
        <w:tc>
          <w:tcPr>
            <w:tcW w:w="3685" w:type="dxa"/>
            <w:tcBorders>
              <w:top w:val="single" w:sz="8" w:space="0" w:color="000000"/>
              <w:left w:val="single" w:sz="8" w:space="0" w:color="000000"/>
              <w:bottom w:val="single" w:sz="8" w:space="0" w:color="000000"/>
              <w:right w:val="single" w:sz="8" w:space="0" w:color="000000"/>
            </w:tcBorders>
          </w:tcPr>
          <w:p w:rsidR="00E451E4" w:rsidRPr="00CB12FD" w:rsidRDefault="00E451E4" w:rsidP="000A61DD">
            <w:pPr>
              <w:spacing w:before="20" w:after="40"/>
              <w:rPr>
                <w:b/>
                <w:sz w:val="20"/>
              </w:rPr>
            </w:pPr>
            <w:r>
              <w:rPr>
                <w:b/>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521245" w:rsidRDefault="00E451E4" w:rsidP="000A61DD">
            <w:pPr>
              <w:autoSpaceDE w:val="0"/>
              <w:autoSpaceDN w:val="0"/>
              <w:adjustRightInd w:val="0"/>
              <w:rPr>
                <w:color w:val="000000"/>
                <w:sz w:val="20"/>
              </w:rPr>
            </w:pPr>
            <w:r>
              <w:rPr>
                <w:color w:val="000000"/>
                <w:sz w:val="20"/>
              </w:rPr>
              <w:t>Θέσπιση κανόνων σχετικά με τη διάθεση προϊόντων λίπανσης με σήμανση CE στην αγορά</w:t>
            </w:r>
          </w:p>
        </w:tc>
      </w:tr>
      <w:tr w:rsidR="00E451E4" w:rsidRPr="00CB12FD" w:rsidTr="000A61DD">
        <w:tc>
          <w:tcPr>
            <w:tcW w:w="3685" w:type="dxa"/>
            <w:tcBorders>
              <w:top w:val="nil"/>
              <w:left w:val="single" w:sz="8" w:space="0" w:color="000000"/>
              <w:bottom w:val="single" w:sz="8" w:space="0" w:color="000000"/>
              <w:right w:val="single" w:sz="8" w:space="0" w:color="000000"/>
            </w:tcBorders>
          </w:tcPr>
          <w:p w:rsidR="00E451E4" w:rsidRPr="00CB12FD" w:rsidRDefault="00E451E4" w:rsidP="000A61DD">
            <w:pPr>
              <w:spacing w:before="20" w:after="40"/>
              <w:rPr>
                <w:b/>
                <w:sz w:val="20"/>
              </w:rPr>
            </w:pPr>
            <w:r>
              <w:rPr>
                <w:b/>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COM(2016)0157 – C8-0123/2016 – 2016/0084(COD)</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vAlign w:val="center"/>
          </w:tcPr>
          <w:p w:rsidR="00E451E4" w:rsidRPr="00CB12FD" w:rsidRDefault="00E451E4" w:rsidP="000A61DD">
            <w:pPr>
              <w:tabs>
                <w:tab w:val="left" w:pos="426"/>
              </w:tabs>
              <w:spacing w:before="20" w:after="40"/>
              <w:rPr>
                <w:b/>
                <w:sz w:val="20"/>
              </w:rPr>
            </w:pPr>
            <w:r>
              <w:rPr>
                <w:b/>
                <w:sz w:val="20"/>
              </w:rPr>
              <w:t>Επιτροπές αρμόδιες επί της ουσίας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IMCO</w:t>
            </w:r>
          </w:p>
          <w:p w:rsidR="00E451E4" w:rsidRPr="00CB12FD" w:rsidRDefault="00E451E4" w:rsidP="000A61DD">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Pr>
          <w:p w:rsidR="00E451E4" w:rsidRPr="00CB12FD" w:rsidRDefault="00E451E4" w:rsidP="000A61DD">
            <w:pPr>
              <w:tabs>
                <w:tab w:val="left" w:pos="426"/>
              </w:tabs>
              <w:spacing w:before="20" w:after="40" w:line="220" w:lineRule="exact"/>
              <w:rPr>
                <w:b/>
                <w:sz w:val="20"/>
              </w:rPr>
            </w:pPr>
            <w:r>
              <w:rPr>
                <w:b/>
                <w:sz w:val="20"/>
              </w:rPr>
              <w:t>Γνωμοδότηση της</w:t>
            </w:r>
            <w:r>
              <w:rPr>
                <w:b/>
                <w:sz w:val="20"/>
              </w:rPr>
              <w:br/>
            </w:r>
            <w:r>
              <w:rPr>
                <w:sz w:val="20"/>
              </w:rPr>
              <w:tab/>
              <w:t>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AGRI</w:t>
            </w:r>
          </w:p>
          <w:p w:rsidR="00E451E4" w:rsidRPr="00CB12FD" w:rsidRDefault="00E451E4" w:rsidP="000A61DD">
            <w:pPr>
              <w:autoSpaceDE w:val="0"/>
              <w:autoSpaceDN w:val="0"/>
              <w:adjustRightInd w:val="0"/>
              <w:rPr>
                <w:color w:val="000000"/>
                <w:sz w:val="20"/>
              </w:rPr>
            </w:pPr>
            <w:r>
              <w:rPr>
                <w:color w:val="000000"/>
                <w:sz w:val="20"/>
              </w:rPr>
              <w:t>11.4.2016</w:t>
            </w:r>
          </w:p>
        </w:tc>
      </w:tr>
      <w:tr w:rsidR="00E451E4" w:rsidRPr="00CB12FD" w:rsidTr="000A61DD">
        <w:tc>
          <w:tcPr>
            <w:tcW w:w="3685" w:type="dxa"/>
            <w:tcBorders>
              <w:top w:val="nil"/>
              <w:left w:val="single" w:sz="8" w:space="0" w:color="000000"/>
              <w:bottom w:val="single" w:sz="8" w:space="0" w:color="000000"/>
              <w:right w:val="single" w:sz="8" w:space="0" w:color="000000"/>
            </w:tcBorders>
          </w:tcPr>
          <w:p w:rsidR="00E451E4" w:rsidRPr="00CB12FD" w:rsidRDefault="00E451E4" w:rsidP="000A61DD">
            <w:pPr>
              <w:tabs>
                <w:tab w:val="left" w:pos="426"/>
              </w:tabs>
              <w:spacing w:before="20" w:after="40"/>
              <w:rPr>
                <w:b/>
                <w:sz w:val="20"/>
              </w:rPr>
            </w:pPr>
            <w:r>
              <w:rPr>
                <w:b/>
                <w:sz w:val="20"/>
              </w:rPr>
              <w:t>Συνδεδεμένες επιτροπές</w:t>
            </w:r>
            <w:r>
              <w:rPr>
                <w:b/>
                <w:sz w:val="20"/>
              </w:rPr>
              <w:br/>
            </w:r>
            <w:r>
              <w:rPr>
                <w:sz w:val="20"/>
              </w:rPr>
              <w:tab/>
              <w:t>Ημερομ. αναγγελίας στην ολομέλεια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27.10.2016</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Pr>
          <w:p w:rsidR="00E451E4" w:rsidRPr="00CB12FD" w:rsidRDefault="00E451E4" w:rsidP="000A61DD">
            <w:pPr>
              <w:tabs>
                <w:tab w:val="left" w:pos="426"/>
              </w:tabs>
              <w:spacing w:before="20" w:after="40"/>
              <w:rPr>
                <w:b/>
                <w:sz w:val="20"/>
              </w:rPr>
            </w:pPr>
            <w:r>
              <w:rPr>
                <w:b/>
                <w:sz w:val="20"/>
              </w:rPr>
              <w:t>Συντάκτης γνωμοδότησης</w:t>
            </w:r>
            <w:r>
              <w:rPr>
                <w:b/>
                <w:sz w:val="20"/>
              </w:rPr>
              <w:br/>
            </w:r>
            <w:r>
              <w:rPr>
                <w:sz w:val="20"/>
              </w:rPr>
              <w:tab/>
              <w:t>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Jan Huitema</w:t>
            </w:r>
          </w:p>
          <w:p w:rsidR="00E451E4" w:rsidRPr="00CB12FD" w:rsidRDefault="00E451E4" w:rsidP="000A61DD">
            <w:pPr>
              <w:autoSpaceDE w:val="0"/>
              <w:autoSpaceDN w:val="0"/>
              <w:adjustRightInd w:val="0"/>
              <w:rPr>
                <w:color w:val="000000"/>
                <w:sz w:val="20"/>
              </w:rPr>
            </w:pPr>
            <w:r>
              <w:rPr>
                <w:color w:val="000000"/>
                <w:sz w:val="20"/>
              </w:rPr>
              <w:t>21.6.2016</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Pr>
          <w:p w:rsidR="00E451E4" w:rsidRPr="00CB12FD" w:rsidRDefault="00E451E4" w:rsidP="000A61DD">
            <w:pPr>
              <w:tabs>
                <w:tab w:val="left" w:pos="426"/>
              </w:tabs>
              <w:spacing w:before="20" w:after="40"/>
              <w:rPr>
                <w:b/>
                <w:sz w:val="20"/>
              </w:rPr>
            </w:pPr>
            <w:r>
              <w:rPr>
                <w:b/>
                <w:sz w:val="20"/>
              </w:rPr>
              <w:t>Ημερομηνία της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Pr>
          <w:p w:rsidR="00E451E4" w:rsidRPr="00CB12FD" w:rsidRDefault="00E451E4" w:rsidP="000A61DD">
            <w:pPr>
              <w:tabs>
                <w:tab w:val="left" w:pos="709"/>
              </w:tabs>
              <w:spacing w:before="20" w:after="40"/>
              <w:rPr>
                <w:b/>
                <w:sz w:val="20"/>
              </w:rPr>
            </w:pPr>
            <w:r>
              <w:rPr>
                <w:b/>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w:t>
            </w:r>
          </w:p>
          <w:p w:rsidR="00E451E4" w:rsidRPr="00CB12FD" w:rsidRDefault="00E451E4" w:rsidP="000A61DD">
            <w:pPr>
              <w:autoSpaceDE w:val="0"/>
              <w:autoSpaceDN w:val="0"/>
              <w:adjustRightInd w:val="0"/>
              <w:rPr>
                <w:color w:val="000000"/>
                <w:sz w:val="20"/>
              </w:rPr>
            </w:pPr>
            <w:r>
              <w:rPr>
                <w:color w:val="000000"/>
                <w:sz w:val="20"/>
              </w:rPr>
              <w:t>–:</w:t>
            </w:r>
          </w:p>
          <w:p w:rsidR="00E451E4" w:rsidRPr="00CB12FD" w:rsidRDefault="00E451E4" w:rsidP="000A61D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30</w:t>
            </w:r>
          </w:p>
          <w:p w:rsidR="00E451E4" w:rsidRPr="00CB12FD" w:rsidRDefault="00E451E4" w:rsidP="000A61DD">
            <w:pPr>
              <w:autoSpaceDE w:val="0"/>
              <w:autoSpaceDN w:val="0"/>
              <w:adjustRightInd w:val="0"/>
              <w:rPr>
                <w:color w:val="000000"/>
                <w:sz w:val="20"/>
              </w:rPr>
            </w:pPr>
            <w:r>
              <w:rPr>
                <w:color w:val="000000"/>
                <w:sz w:val="20"/>
              </w:rPr>
              <w:t>6</w:t>
            </w:r>
          </w:p>
          <w:p w:rsidR="00E451E4" w:rsidRPr="00CB12FD" w:rsidRDefault="00E451E4" w:rsidP="000A61DD">
            <w:pPr>
              <w:autoSpaceDE w:val="0"/>
              <w:autoSpaceDN w:val="0"/>
              <w:adjustRightInd w:val="0"/>
              <w:rPr>
                <w:color w:val="000000"/>
                <w:sz w:val="20"/>
              </w:rPr>
            </w:pPr>
            <w:r>
              <w:rPr>
                <w:color w:val="000000"/>
                <w:sz w:val="20"/>
              </w:rPr>
              <w:t>3</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Pr>
          <w:p w:rsidR="00E451E4" w:rsidRPr="00CB12FD" w:rsidRDefault="00E451E4" w:rsidP="000A61DD">
            <w:pPr>
              <w:tabs>
                <w:tab w:val="left" w:pos="709"/>
              </w:tabs>
              <w:spacing w:before="20" w:after="40" w:line="220" w:lineRule="exact"/>
              <w:rPr>
                <w:b/>
                <w:sz w:val="20"/>
              </w:rPr>
            </w:pPr>
            <w:r>
              <w:rPr>
                <w:b/>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John Stuart Agnew, Clara Eugenia Aguilera García, Eric Andrieu, Daniel Buda, Nicola Caputo, Matt Carthy, Viorica Dăncilă, Michel Dantin, Paolo De Castro, Albert Deß, Jørn Dohrmann, Herbert Dorfmann, Norbert Erdős, Edouard Ferrand, Luke Ming Flanagan, Beata Gosiewska, Martin Häusling, Esther Herranz García, Jan Huitema, Peter Jahr, Ivan Jakovčić, Jarosław Kalinowski, Elisabeth Köstinger, Zbigniew Kuźmiuk, Philippe Loiseau, Ulrike Müller, James Nicholson, Maria Noichl, Marijana Petir, Bronis Ropė, Maria Lidia Senra Rodríguez, Ricardo Serrão Santos, Tibor Szanyi, Marc Tarabella, Marco Zullo</w:t>
            </w:r>
          </w:p>
        </w:tc>
      </w:tr>
      <w:tr w:rsidR="00E451E4" w:rsidRPr="00CB12FD" w:rsidTr="000A61DD">
        <w:tc>
          <w:tcPr>
            <w:tcW w:w="3685" w:type="dxa"/>
            <w:tcBorders>
              <w:top w:val="nil"/>
              <w:left w:val="single" w:sz="8" w:space="0" w:color="000000"/>
              <w:bottom w:val="single" w:sz="8" w:space="0" w:color="000000"/>
              <w:right w:val="single" w:sz="8" w:space="0" w:color="000000"/>
            </w:tcBorders>
          </w:tcPr>
          <w:p w:rsidR="00E451E4" w:rsidRPr="00CB12FD" w:rsidRDefault="00E451E4" w:rsidP="000A61DD">
            <w:pPr>
              <w:tabs>
                <w:tab w:val="left" w:pos="709"/>
              </w:tabs>
              <w:spacing w:before="20" w:after="40" w:line="220" w:lineRule="exact"/>
              <w:rPr>
                <w:b/>
                <w:sz w:val="20"/>
              </w:rPr>
            </w:pPr>
            <w:r>
              <w:rPr>
                <w:b/>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Bas Belder, Franc Bogovič, Paul Brannen, Angélique Delahaye, Gabriel Mato, Hannu Takkula</w:t>
            </w:r>
          </w:p>
        </w:tc>
      </w:tr>
      <w:tr w:rsidR="00E451E4" w:rsidRPr="00CB12FD" w:rsidTr="000A61DD">
        <w:tc>
          <w:tcPr>
            <w:tcW w:w="3685" w:type="dxa"/>
            <w:tcBorders>
              <w:top w:val="nil"/>
              <w:left w:val="single" w:sz="8" w:space="0" w:color="000000"/>
              <w:bottom w:val="single" w:sz="8" w:space="0" w:color="000000"/>
              <w:right w:val="single" w:sz="8" w:space="0" w:color="000000"/>
            </w:tcBorders>
          </w:tcPr>
          <w:p w:rsidR="00E451E4" w:rsidRPr="00CB12FD" w:rsidRDefault="00E451E4" w:rsidP="000A61DD">
            <w:pPr>
              <w:tabs>
                <w:tab w:val="left" w:pos="709"/>
              </w:tabs>
              <w:spacing w:before="20" w:after="40"/>
              <w:rPr>
                <w:b/>
                <w:sz w:val="20"/>
              </w:rPr>
            </w:pPr>
            <w:r>
              <w:rPr>
                <w:b/>
                <w:sz w:val="20"/>
              </w:rPr>
              <w:t xml:space="preserve">Αναπληρωτές (άρθρο 200 παρ. 2) παρόντες κατά την τελική ψηφοφορία </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Margrete Auken</w:t>
            </w:r>
          </w:p>
        </w:tc>
      </w:tr>
    </w:tbl>
    <w:p w:rsidR="00E451E4" w:rsidRPr="00CB12FD" w:rsidRDefault="00E451E4" w:rsidP="000A61DD">
      <w:pPr>
        <w:autoSpaceDE w:val="0"/>
        <w:autoSpaceDN w:val="0"/>
        <w:adjustRightInd w:val="0"/>
        <w:rPr>
          <w:rFonts w:ascii="Arial" w:hAnsi="Arial" w:cs="Arial"/>
        </w:rPr>
      </w:pPr>
    </w:p>
    <w:p w:rsidR="00E451E4" w:rsidRPr="00CB12FD" w:rsidRDefault="00E451E4" w:rsidP="000A61DD"/>
    <w:p w:rsidR="00E451E4" w:rsidRPr="00CB12FD" w:rsidRDefault="00E451E4" w:rsidP="000A61DD">
      <w:pPr>
        <w:pStyle w:val="PageHeadingNotTOC"/>
      </w:pPr>
      <w:r>
        <w:br w:type="page"/>
        <w:t>ΔΙΑΔΙΚΑΣΙΑ ΤΗΣ ΓΝΩΜΟΔΟΤΙΚΗΣ ΕΠΙΤΡΟΠΗΣ</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spacing w:before="20" w:after="40"/>
              <w:rPr>
                <w:b/>
                <w:sz w:val="20"/>
              </w:rPr>
            </w:pPr>
            <w:r>
              <w:rPr>
                <w:b/>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Θέσπιση κανόνων σχετικά με τη διάθεση προϊόντων λίπανσης με σήμανση CE στην αγορά</w:t>
            </w:r>
          </w:p>
        </w:tc>
      </w:tr>
      <w:tr w:rsidR="00E451E4" w:rsidRPr="00CB12FD"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spacing w:before="20" w:after="40"/>
              <w:rPr>
                <w:b/>
                <w:sz w:val="20"/>
              </w:rPr>
            </w:pPr>
            <w:r>
              <w:rPr>
                <w:b/>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COM(2016)0157 – C8-0123/2016 – 2016/0084(COD)</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vAlign w:val="center"/>
          </w:tcPr>
          <w:p w:rsidR="00E451E4" w:rsidRPr="00CB12FD" w:rsidRDefault="00E451E4" w:rsidP="000A61DD">
            <w:pPr>
              <w:tabs>
                <w:tab w:val="left" w:pos="426"/>
              </w:tabs>
              <w:spacing w:before="20" w:after="40"/>
              <w:rPr>
                <w:b/>
                <w:sz w:val="20"/>
              </w:rPr>
            </w:pPr>
            <w:r>
              <w:rPr>
                <w:b/>
                <w:sz w:val="20"/>
              </w:rPr>
              <w:t>Επιτροπές αρμόδιες επί της ουσίας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IMCO</w:t>
            </w:r>
          </w:p>
          <w:p w:rsidR="00E451E4" w:rsidRPr="00CB12FD" w:rsidRDefault="00E451E4" w:rsidP="000A61DD">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426"/>
              </w:tabs>
              <w:spacing w:before="20" w:after="40" w:line="220" w:lineRule="exact"/>
              <w:rPr>
                <w:b/>
                <w:sz w:val="20"/>
              </w:rPr>
            </w:pPr>
            <w:r>
              <w:rPr>
                <w:b/>
                <w:sz w:val="20"/>
              </w:rPr>
              <w:t>Γνωμοδότηση της</w:t>
            </w:r>
            <w:r>
              <w:rPr>
                <w:b/>
                <w:sz w:val="20"/>
              </w:rPr>
              <w:br/>
            </w:r>
            <w:r>
              <w:rPr>
                <w:sz w:val="20"/>
              </w:rPr>
              <w:tab/>
              <w:t>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AGRI</w:t>
            </w:r>
          </w:p>
          <w:p w:rsidR="00E451E4" w:rsidRPr="00CB12FD" w:rsidRDefault="00E451E4" w:rsidP="000A61DD">
            <w:pPr>
              <w:autoSpaceDE w:val="0"/>
              <w:autoSpaceDN w:val="0"/>
              <w:adjustRightInd w:val="0"/>
              <w:rPr>
                <w:color w:val="000000"/>
                <w:sz w:val="20"/>
              </w:rPr>
            </w:pPr>
            <w:r>
              <w:rPr>
                <w:color w:val="000000"/>
                <w:sz w:val="20"/>
              </w:rPr>
              <w:t>11.4.2016</w:t>
            </w:r>
          </w:p>
        </w:tc>
      </w:tr>
      <w:tr w:rsidR="00E451E4" w:rsidRPr="00CB12FD"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426"/>
              </w:tabs>
              <w:spacing w:before="20" w:after="40"/>
              <w:rPr>
                <w:b/>
                <w:sz w:val="20"/>
              </w:rPr>
            </w:pPr>
            <w:r>
              <w:rPr>
                <w:b/>
                <w:sz w:val="20"/>
              </w:rPr>
              <w:t>Συνδεδεμένες επιτροπές</w:t>
            </w:r>
            <w:r>
              <w:rPr>
                <w:b/>
                <w:sz w:val="20"/>
              </w:rPr>
              <w:br/>
            </w:r>
            <w:r>
              <w:rPr>
                <w:sz w:val="20"/>
              </w:rPr>
              <w:tab/>
              <w:t>Ημερομ. αναγγελίας στην ολομέλεια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27.10.2016</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426"/>
              </w:tabs>
              <w:spacing w:before="20" w:after="40"/>
              <w:rPr>
                <w:b/>
                <w:sz w:val="20"/>
              </w:rPr>
            </w:pPr>
            <w:r>
              <w:rPr>
                <w:b/>
                <w:sz w:val="20"/>
              </w:rPr>
              <w:t>Συντάκτης γνωμοδότησης</w:t>
            </w:r>
            <w:r>
              <w:rPr>
                <w:b/>
                <w:sz w:val="20"/>
              </w:rPr>
              <w:br/>
            </w:r>
            <w:r>
              <w:rPr>
                <w:sz w:val="20"/>
              </w:rPr>
              <w:tab/>
              <w:t>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Jan Huitema</w:t>
            </w:r>
          </w:p>
          <w:p w:rsidR="00E451E4" w:rsidRPr="00CB12FD" w:rsidRDefault="00E451E4" w:rsidP="000A61DD">
            <w:pPr>
              <w:autoSpaceDE w:val="0"/>
              <w:autoSpaceDN w:val="0"/>
              <w:adjustRightInd w:val="0"/>
              <w:rPr>
                <w:color w:val="000000"/>
                <w:sz w:val="20"/>
              </w:rPr>
            </w:pPr>
            <w:r>
              <w:rPr>
                <w:color w:val="000000"/>
                <w:sz w:val="20"/>
              </w:rPr>
              <w:t>21.6.2016</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426"/>
              </w:tabs>
              <w:spacing w:before="20" w:after="40"/>
              <w:rPr>
                <w:b/>
                <w:sz w:val="20"/>
              </w:rPr>
            </w:pPr>
            <w:r>
              <w:rPr>
                <w:b/>
                <w:sz w:val="20"/>
              </w:rPr>
              <w:t>Ημερομηνία της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rFonts w:ascii="sans-serif" w:hAnsi="sans-serif" w:cs="sans-serif"/>
                <w:color w:val="000000"/>
              </w:rPr>
            </w:pP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709"/>
              </w:tabs>
              <w:spacing w:before="20" w:after="40"/>
              <w:rPr>
                <w:b/>
                <w:sz w:val="20"/>
              </w:rPr>
            </w:pPr>
            <w:r>
              <w:rPr>
                <w:b/>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w:t>
            </w:r>
          </w:p>
          <w:p w:rsidR="00E451E4" w:rsidRPr="00CB12FD" w:rsidRDefault="00E451E4" w:rsidP="000A61DD">
            <w:pPr>
              <w:autoSpaceDE w:val="0"/>
              <w:autoSpaceDN w:val="0"/>
              <w:adjustRightInd w:val="0"/>
              <w:rPr>
                <w:color w:val="000000"/>
                <w:sz w:val="20"/>
              </w:rPr>
            </w:pPr>
            <w:r>
              <w:rPr>
                <w:color w:val="000000"/>
                <w:sz w:val="20"/>
              </w:rPr>
              <w:t>–:</w:t>
            </w:r>
          </w:p>
          <w:p w:rsidR="00E451E4" w:rsidRPr="00CB12FD" w:rsidRDefault="00E451E4" w:rsidP="000A61D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30</w:t>
            </w:r>
          </w:p>
          <w:p w:rsidR="00E451E4" w:rsidRPr="00CB12FD" w:rsidRDefault="00E451E4" w:rsidP="000A61DD">
            <w:pPr>
              <w:autoSpaceDE w:val="0"/>
              <w:autoSpaceDN w:val="0"/>
              <w:adjustRightInd w:val="0"/>
              <w:rPr>
                <w:color w:val="000000"/>
                <w:sz w:val="20"/>
              </w:rPr>
            </w:pPr>
            <w:r>
              <w:rPr>
                <w:color w:val="000000"/>
                <w:sz w:val="20"/>
              </w:rPr>
              <w:t>6</w:t>
            </w:r>
          </w:p>
          <w:p w:rsidR="00E451E4" w:rsidRPr="00CB12FD" w:rsidRDefault="00E451E4" w:rsidP="000A61DD">
            <w:pPr>
              <w:autoSpaceDE w:val="0"/>
              <w:autoSpaceDN w:val="0"/>
              <w:adjustRightInd w:val="0"/>
              <w:rPr>
                <w:color w:val="000000"/>
                <w:sz w:val="20"/>
              </w:rPr>
            </w:pPr>
            <w:r>
              <w:rPr>
                <w:color w:val="000000"/>
                <w:sz w:val="20"/>
              </w:rPr>
              <w:t>3</w:t>
            </w:r>
          </w:p>
        </w:tc>
      </w:tr>
      <w:tr w:rsidR="00E451E4" w:rsidRPr="00CB12FD"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709"/>
              </w:tabs>
              <w:spacing w:before="20" w:after="40" w:line="220" w:lineRule="exact"/>
              <w:rPr>
                <w:b/>
                <w:sz w:val="20"/>
              </w:rPr>
            </w:pPr>
            <w:r>
              <w:rPr>
                <w:b/>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John Stuart Agnew, Clara Eugenia Aguilera García, Eric Andrieu, Daniel Buda, Nicola Caputo, Matt Carthy, Viorica Dăncilă, Michel Dantin, Paolo De Castro, Albert Deß, Jørn Dohrmann, Herbert Dorfmann, Norbert Erdős, Edouard Ferrand, Luke Ming Flanagan, Beata Gosiewska, Martin Häusling, Esther Herranz García, Jan Huitema, Peter Jahr, Ivan Jakovčić, Jarosław Kalinowski, Elisabeth Köstinger, Zbigniew Kuźmiuk, Philippe Loiseau, Ulrike Müller, James Nicholson, Maria Noichl, Marijana Petir, Bronis Ropė, Maria Lidia Senra Rodríguez, Ricardo Serrão Santos, Tibor Szanyi, Marc Tarabella, Marco Zullo</w:t>
            </w:r>
          </w:p>
        </w:tc>
      </w:tr>
      <w:tr w:rsidR="00E451E4" w:rsidRPr="00CB12FD"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709"/>
              </w:tabs>
              <w:spacing w:before="20" w:after="40" w:line="220" w:lineRule="exact"/>
              <w:rPr>
                <w:b/>
                <w:sz w:val="20"/>
              </w:rPr>
            </w:pPr>
            <w:r>
              <w:rPr>
                <w:b/>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Bas Belder, Franc Bogovič, Paul Brannen, Angélique Delahaye, Gabriel Mato, Hannu Takkula</w:t>
            </w:r>
          </w:p>
        </w:tc>
      </w:tr>
      <w:tr w:rsidR="00E451E4" w:rsidRPr="00CB12FD"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tabs>
                <w:tab w:val="left" w:pos="709"/>
              </w:tabs>
              <w:spacing w:before="20" w:after="40"/>
              <w:rPr>
                <w:b/>
                <w:sz w:val="20"/>
              </w:rPr>
            </w:pPr>
            <w:r>
              <w:rPr>
                <w:b/>
                <w:sz w:val="20"/>
              </w:rPr>
              <w:t xml:space="preserve">Αναπληρωτές (άρθρο 200 παρ. 2) παρόντες κατά την τελική ψηφοφορία </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CB12FD" w:rsidRDefault="00E451E4" w:rsidP="000A61DD">
            <w:pPr>
              <w:autoSpaceDE w:val="0"/>
              <w:autoSpaceDN w:val="0"/>
              <w:adjustRightInd w:val="0"/>
              <w:rPr>
                <w:color w:val="000000"/>
                <w:sz w:val="20"/>
              </w:rPr>
            </w:pPr>
            <w:r>
              <w:rPr>
                <w:color w:val="000000"/>
                <w:sz w:val="20"/>
              </w:rPr>
              <w:t>Margrete Auken</w:t>
            </w:r>
          </w:p>
        </w:tc>
      </w:tr>
    </w:tbl>
    <w:p w:rsidR="00E451E4" w:rsidRPr="00CB12FD" w:rsidRDefault="00E451E4" w:rsidP="000A61DD"/>
    <w:p w:rsidR="00E451E4" w:rsidRPr="00CB12FD" w:rsidRDefault="00E451E4" w:rsidP="000A61DD">
      <w:pPr>
        <w:pStyle w:val="PageHeadingNotTOC"/>
      </w:pPr>
      <w:r>
        <w:br w:type="page"/>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CB12FD" w:rsidTr="000A61DD">
        <w:trPr>
          <w:cantSplit/>
        </w:trPr>
        <w:tc>
          <w:tcPr>
            <w:tcW w:w="1701" w:type="dxa"/>
            <w:shd w:val="pct10" w:color="000000" w:fill="FFFFFF"/>
            <w:vAlign w:val="center"/>
          </w:tcPr>
          <w:p w:rsidR="00E451E4" w:rsidRPr="00CB12FD" w:rsidRDefault="00E451E4" w:rsidP="000A61DD">
            <w:pPr>
              <w:spacing w:before="120" w:after="120"/>
              <w:jc w:val="center"/>
              <w:rPr>
                <w:b/>
                <w:sz w:val="20"/>
              </w:rPr>
            </w:pPr>
            <w:r>
              <w:rPr>
                <w:b/>
                <w:sz w:val="20"/>
              </w:rPr>
              <w:t>30</w:t>
            </w:r>
            <w:bookmarkStart w:id="18" w:name="DocEPLastPosition"/>
            <w:bookmarkEnd w:id="18"/>
          </w:p>
        </w:tc>
        <w:tc>
          <w:tcPr>
            <w:tcW w:w="7371" w:type="dxa"/>
            <w:shd w:val="pct10" w:color="000000" w:fill="FFFFFF"/>
          </w:tcPr>
          <w:p w:rsidR="00E451E4" w:rsidRPr="00CB12FD" w:rsidRDefault="00E451E4" w:rsidP="000A61DD">
            <w:pPr>
              <w:spacing w:before="120" w:after="120"/>
              <w:jc w:val="center"/>
              <w:rPr>
                <w:rFonts w:ascii="Arial" w:hAnsi="Arial" w:cs="Arial"/>
                <w:b/>
                <w:sz w:val="28"/>
                <w:szCs w:val="28"/>
              </w:rPr>
            </w:pPr>
            <w:r>
              <w:rPr>
                <w:rFonts w:ascii="Arial" w:hAnsi="Arial"/>
                <w:b/>
                <w:sz w:val="28"/>
                <w:szCs w:val="28"/>
              </w:rPr>
              <w:t>+</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ALDE</w:t>
            </w:r>
          </w:p>
        </w:tc>
        <w:tc>
          <w:tcPr>
            <w:tcW w:w="7371" w:type="dxa"/>
            <w:shd w:val="clear" w:color="auto" w:fill="FFFFFF"/>
          </w:tcPr>
          <w:p w:rsidR="00E451E4" w:rsidRPr="00CB12FD" w:rsidRDefault="00E451E4" w:rsidP="000A61DD">
            <w:pPr>
              <w:spacing w:before="120" w:after="120"/>
              <w:rPr>
                <w:sz w:val="20"/>
              </w:rPr>
            </w:pPr>
            <w:r>
              <w:rPr>
                <w:sz w:val="20"/>
              </w:rPr>
              <w:t>Jan Huitema, Ivan Jakovčić, Ulrike Müller, Hannu Takkula</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ECR</w:t>
            </w:r>
          </w:p>
        </w:tc>
        <w:tc>
          <w:tcPr>
            <w:tcW w:w="7371" w:type="dxa"/>
            <w:shd w:val="clear" w:color="auto" w:fill="FFFFFF"/>
          </w:tcPr>
          <w:p w:rsidR="00E451E4" w:rsidRPr="00CB12FD" w:rsidRDefault="00E451E4" w:rsidP="000A61DD">
            <w:pPr>
              <w:spacing w:before="120" w:after="120"/>
              <w:rPr>
                <w:sz w:val="20"/>
              </w:rPr>
            </w:pPr>
            <w:r>
              <w:rPr>
                <w:sz w:val="20"/>
              </w:rPr>
              <w:t>Bas Belder, James Nicholson</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ENF</w:t>
            </w:r>
          </w:p>
        </w:tc>
        <w:tc>
          <w:tcPr>
            <w:tcW w:w="7371" w:type="dxa"/>
            <w:shd w:val="clear" w:color="auto" w:fill="FFFFFF"/>
          </w:tcPr>
          <w:p w:rsidR="00E451E4" w:rsidRPr="00CB12FD" w:rsidRDefault="00E451E4" w:rsidP="000A61DD">
            <w:pPr>
              <w:spacing w:before="120" w:after="120"/>
              <w:rPr>
                <w:sz w:val="20"/>
              </w:rPr>
            </w:pPr>
            <w:r>
              <w:rPr>
                <w:sz w:val="20"/>
              </w:rPr>
              <w:t>Edouard Ferrand, Philippe Loiseau</w:t>
            </w:r>
          </w:p>
        </w:tc>
      </w:tr>
      <w:tr w:rsidR="00E451E4" w:rsidRPr="00E451E4" w:rsidTr="000A61DD">
        <w:trPr>
          <w:cantSplit/>
        </w:trPr>
        <w:tc>
          <w:tcPr>
            <w:tcW w:w="1701" w:type="dxa"/>
            <w:shd w:val="clear" w:color="auto" w:fill="FFFFFF"/>
          </w:tcPr>
          <w:p w:rsidR="00E451E4" w:rsidRPr="00CB12FD" w:rsidRDefault="00E451E4" w:rsidP="000A61DD">
            <w:pPr>
              <w:spacing w:before="120" w:after="120"/>
              <w:rPr>
                <w:sz w:val="20"/>
              </w:rPr>
            </w:pPr>
            <w:r>
              <w:rPr>
                <w:sz w:val="20"/>
              </w:rPr>
              <w:t>GUE / NGL</w:t>
            </w:r>
          </w:p>
        </w:tc>
        <w:tc>
          <w:tcPr>
            <w:tcW w:w="7371" w:type="dxa"/>
            <w:shd w:val="clear" w:color="auto" w:fill="FFFFFF"/>
          </w:tcPr>
          <w:p w:rsidR="00E451E4" w:rsidRPr="00E451E4" w:rsidRDefault="00E451E4" w:rsidP="000A61DD">
            <w:pPr>
              <w:spacing w:before="120" w:after="120"/>
              <w:rPr>
                <w:sz w:val="20"/>
              </w:rPr>
            </w:pPr>
            <w:r>
              <w:rPr>
                <w:sz w:val="20"/>
              </w:rPr>
              <w:t>Matt Carthy, Luke Ming Flanagan</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PPE</w:t>
            </w:r>
          </w:p>
        </w:tc>
        <w:tc>
          <w:tcPr>
            <w:tcW w:w="7371" w:type="dxa"/>
            <w:shd w:val="clear" w:color="auto" w:fill="FFFFFF"/>
          </w:tcPr>
          <w:p w:rsidR="00E451E4" w:rsidRPr="00CB12FD" w:rsidRDefault="00E451E4" w:rsidP="000A61DD">
            <w:pPr>
              <w:spacing w:before="120" w:after="120"/>
              <w:rPr>
                <w:sz w:val="20"/>
              </w:rPr>
            </w:pPr>
            <w:r>
              <w:rPr>
                <w:sz w:val="20"/>
              </w:rPr>
              <w:t>Franc Bogovič, Daniel Buda, Michel Dantin, Angélique Delahaye, Albert Deß, Herbert Dorfmann, Esther Herranz García, Peter Jahr, Jarosław Kalinowski, Elisabeth Köstinger, Gabriel Mato, Marijana Petir</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S &amp; D</w:t>
            </w:r>
          </w:p>
        </w:tc>
        <w:tc>
          <w:tcPr>
            <w:tcW w:w="7371" w:type="dxa"/>
            <w:shd w:val="clear" w:color="auto" w:fill="FFFFFF"/>
          </w:tcPr>
          <w:p w:rsidR="00E451E4" w:rsidRPr="00CB12FD" w:rsidRDefault="00E451E4" w:rsidP="000A61DD">
            <w:pPr>
              <w:spacing w:before="120" w:after="120"/>
              <w:rPr>
                <w:sz w:val="20"/>
              </w:rPr>
            </w:pPr>
            <w:r>
              <w:rPr>
                <w:sz w:val="20"/>
              </w:rPr>
              <w:t>Clara Eugenia Aguilera García, Eric Andrieu, Viorica Dăncilă, Paolo De Castro, Maria Noichl, Ricardo Serrão Santos, Tibor Szanyi, Marc Tarabella</w:t>
            </w:r>
          </w:p>
        </w:tc>
      </w:tr>
    </w:tbl>
    <w:p w:rsidR="00E451E4" w:rsidRPr="00CB12FD" w:rsidRDefault="00E451E4" w:rsidP="000A61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CB12FD" w:rsidTr="000A61DD">
        <w:trPr>
          <w:cantSplit/>
        </w:trPr>
        <w:tc>
          <w:tcPr>
            <w:tcW w:w="1701" w:type="dxa"/>
            <w:shd w:val="pct10" w:color="000000" w:fill="FFFFFF"/>
            <w:vAlign w:val="center"/>
          </w:tcPr>
          <w:p w:rsidR="00E451E4" w:rsidRPr="00CB12FD" w:rsidRDefault="00E451E4" w:rsidP="000A61DD">
            <w:pPr>
              <w:spacing w:before="120" w:after="120"/>
              <w:jc w:val="center"/>
              <w:rPr>
                <w:b/>
                <w:sz w:val="16"/>
              </w:rPr>
            </w:pPr>
            <w:r>
              <w:rPr>
                <w:b/>
                <w:sz w:val="20"/>
              </w:rPr>
              <w:t>6</w:t>
            </w:r>
          </w:p>
        </w:tc>
        <w:tc>
          <w:tcPr>
            <w:tcW w:w="7371" w:type="dxa"/>
            <w:shd w:val="pct10" w:color="000000" w:fill="FFFFFF"/>
          </w:tcPr>
          <w:p w:rsidR="00E451E4" w:rsidRPr="00CB12FD" w:rsidRDefault="00E451E4" w:rsidP="000A61DD">
            <w:pPr>
              <w:spacing w:before="120" w:after="120"/>
              <w:jc w:val="center"/>
              <w:rPr>
                <w:sz w:val="28"/>
                <w:szCs w:val="28"/>
              </w:rPr>
            </w:pPr>
            <w:r>
              <w:rPr>
                <w:rFonts w:ascii="Arial" w:hAnsi="Arial"/>
                <w:b/>
                <w:sz w:val="28"/>
                <w:szCs w:val="28"/>
              </w:rPr>
              <w:t>-</w:t>
            </w:r>
          </w:p>
        </w:tc>
      </w:tr>
      <w:tr w:rsidR="00E451E4" w:rsidRPr="00E451E4" w:rsidTr="000A61DD">
        <w:trPr>
          <w:cantSplit/>
        </w:trPr>
        <w:tc>
          <w:tcPr>
            <w:tcW w:w="1701" w:type="dxa"/>
            <w:shd w:val="clear" w:color="auto" w:fill="FFFFFF"/>
          </w:tcPr>
          <w:p w:rsidR="00E451E4" w:rsidRPr="00CB12FD" w:rsidRDefault="00E451E4" w:rsidP="000A61DD">
            <w:pPr>
              <w:spacing w:before="120" w:after="120"/>
              <w:rPr>
                <w:sz w:val="20"/>
              </w:rPr>
            </w:pPr>
            <w:r>
              <w:rPr>
                <w:sz w:val="20"/>
              </w:rPr>
              <w:t>EFDD</w:t>
            </w:r>
          </w:p>
        </w:tc>
        <w:tc>
          <w:tcPr>
            <w:tcW w:w="7371" w:type="dxa"/>
            <w:shd w:val="clear" w:color="auto" w:fill="FFFFFF"/>
          </w:tcPr>
          <w:p w:rsidR="00E451E4" w:rsidRPr="00E451E4" w:rsidRDefault="00E451E4" w:rsidP="000A61DD">
            <w:pPr>
              <w:spacing w:before="120" w:after="120"/>
              <w:rPr>
                <w:sz w:val="20"/>
              </w:rPr>
            </w:pPr>
            <w:r>
              <w:rPr>
                <w:sz w:val="20"/>
              </w:rPr>
              <w:t>John Stuart Agnew, Marco Zullo</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GUE / NGL</w:t>
            </w:r>
          </w:p>
        </w:tc>
        <w:tc>
          <w:tcPr>
            <w:tcW w:w="7371" w:type="dxa"/>
            <w:shd w:val="clear" w:color="auto" w:fill="FFFFFF"/>
          </w:tcPr>
          <w:p w:rsidR="00E451E4" w:rsidRPr="00CB12FD" w:rsidRDefault="00E451E4" w:rsidP="000A61DD">
            <w:pPr>
              <w:spacing w:before="120" w:after="120"/>
              <w:rPr>
                <w:sz w:val="20"/>
              </w:rPr>
            </w:pPr>
            <w:r>
              <w:rPr>
                <w:sz w:val="20"/>
              </w:rPr>
              <w:t>Maria Lidia Senra Rodríguez, Estefanía Torres Martínez</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VERTZ / ALE</w:t>
            </w:r>
          </w:p>
        </w:tc>
        <w:tc>
          <w:tcPr>
            <w:tcW w:w="7371" w:type="dxa"/>
            <w:shd w:val="clear" w:color="auto" w:fill="FFFFFF"/>
          </w:tcPr>
          <w:p w:rsidR="00E451E4" w:rsidRPr="00CB12FD" w:rsidRDefault="00E451E4" w:rsidP="000A61DD">
            <w:pPr>
              <w:spacing w:before="120" w:after="120"/>
              <w:rPr>
                <w:sz w:val="20"/>
              </w:rPr>
            </w:pPr>
            <w:r>
              <w:rPr>
                <w:sz w:val="20"/>
              </w:rPr>
              <w:t>Martin Häusling, Bronis Ropė</w:t>
            </w:r>
          </w:p>
        </w:tc>
      </w:tr>
    </w:tbl>
    <w:p w:rsidR="00E451E4" w:rsidRPr="00CB12FD" w:rsidRDefault="00E451E4" w:rsidP="000A61D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CB12FD" w:rsidTr="000A61DD">
        <w:trPr>
          <w:cantSplit/>
        </w:trPr>
        <w:tc>
          <w:tcPr>
            <w:tcW w:w="1701" w:type="dxa"/>
            <w:shd w:val="pct10" w:color="000000" w:fill="FFFFFF"/>
            <w:vAlign w:val="center"/>
          </w:tcPr>
          <w:p w:rsidR="00E451E4" w:rsidRPr="00CB12FD" w:rsidRDefault="00E451E4" w:rsidP="000A61DD">
            <w:pPr>
              <w:spacing w:before="120" w:after="120"/>
              <w:jc w:val="center"/>
              <w:rPr>
                <w:b/>
                <w:sz w:val="16"/>
              </w:rPr>
            </w:pPr>
            <w:r>
              <w:rPr>
                <w:b/>
                <w:sz w:val="20"/>
              </w:rPr>
              <w:t>3</w:t>
            </w:r>
          </w:p>
        </w:tc>
        <w:tc>
          <w:tcPr>
            <w:tcW w:w="7371" w:type="dxa"/>
            <w:shd w:val="pct10" w:color="000000" w:fill="FFFFFF"/>
          </w:tcPr>
          <w:p w:rsidR="00E451E4" w:rsidRPr="00CB12FD" w:rsidRDefault="00E451E4" w:rsidP="000A61DD">
            <w:pPr>
              <w:spacing w:before="120" w:after="120"/>
              <w:jc w:val="center"/>
              <w:rPr>
                <w:sz w:val="28"/>
                <w:szCs w:val="28"/>
              </w:rPr>
            </w:pPr>
            <w:r>
              <w:rPr>
                <w:rFonts w:ascii="Arial" w:hAnsi="Arial"/>
                <w:b/>
                <w:sz w:val="28"/>
                <w:szCs w:val="28"/>
              </w:rPr>
              <w:t>0</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ECR</w:t>
            </w:r>
          </w:p>
        </w:tc>
        <w:tc>
          <w:tcPr>
            <w:tcW w:w="7371" w:type="dxa"/>
            <w:shd w:val="clear" w:color="auto" w:fill="FFFFFF"/>
          </w:tcPr>
          <w:p w:rsidR="00E451E4" w:rsidRPr="00CB12FD" w:rsidRDefault="00E451E4" w:rsidP="000A61DD">
            <w:pPr>
              <w:spacing w:before="120" w:after="120"/>
              <w:rPr>
                <w:sz w:val="20"/>
              </w:rPr>
            </w:pPr>
            <w:r>
              <w:rPr>
                <w:sz w:val="20"/>
              </w:rPr>
              <w:t>Beata Gosiewska, Zbigniew Kuźmiuk</w:t>
            </w:r>
          </w:p>
        </w:tc>
      </w:tr>
      <w:tr w:rsidR="00E451E4" w:rsidRPr="00CB12FD" w:rsidTr="000A61DD">
        <w:trPr>
          <w:cantSplit/>
        </w:trPr>
        <w:tc>
          <w:tcPr>
            <w:tcW w:w="1701" w:type="dxa"/>
            <w:shd w:val="clear" w:color="auto" w:fill="FFFFFF"/>
          </w:tcPr>
          <w:p w:rsidR="00E451E4" w:rsidRPr="00CB12FD" w:rsidRDefault="00E451E4" w:rsidP="000A61DD">
            <w:pPr>
              <w:spacing w:before="120" w:after="120"/>
              <w:rPr>
                <w:sz w:val="20"/>
              </w:rPr>
            </w:pPr>
            <w:r>
              <w:rPr>
                <w:sz w:val="20"/>
              </w:rPr>
              <w:t>PPE</w:t>
            </w:r>
          </w:p>
        </w:tc>
        <w:tc>
          <w:tcPr>
            <w:tcW w:w="7371" w:type="dxa"/>
            <w:shd w:val="clear" w:color="auto" w:fill="FFFFFF"/>
          </w:tcPr>
          <w:p w:rsidR="00E451E4" w:rsidRPr="00CB12FD" w:rsidRDefault="00E451E4" w:rsidP="000A61DD">
            <w:pPr>
              <w:spacing w:before="120" w:after="120"/>
              <w:rPr>
                <w:sz w:val="20"/>
              </w:rPr>
            </w:pPr>
            <w:r>
              <w:rPr>
                <w:sz w:val="20"/>
              </w:rPr>
              <w:t>Norbert Erdős</w:t>
            </w:r>
          </w:p>
        </w:tc>
      </w:tr>
    </w:tbl>
    <w:p w:rsidR="00E451E4" w:rsidRPr="00CB12FD" w:rsidRDefault="00E451E4" w:rsidP="000A61DD">
      <w:pPr>
        <w:pStyle w:val="Normal12"/>
      </w:pPr>
    </w:p>
    <w:p w:rsidR="00E451E4" w:rsidRPr="00CB12FD" w:rsidRDefault="00E451E4" w:rsidP="000A61DD">
      <w:r>
        <w:t>Υπόμνημα των χρησιμοποιούμενων συμβόλων:</w:t>
      </w:r>
    </w:p>
    <w:p w:rsidR="00E451E4" w:rsidRPr="00CB12FD" w:rsidRDefault="00E451E4" w:rsidP="000A61DD">
      <w:pPr>
        <w:pStyle w:val="NormalTabs"/>
      </w:pPr>
      <w:r>
        <w:t>+</w:t>
      </w:r>
      <w:r>
        <w:tab/>
        <w:t>:</w:t>
      </w:r>
      <w:r>
        <w:tab/>
        <w:t>υπέρ</w:t>
      </w:r>
    </w:p>
    <w:p w:rsidR="00E451E4" w:rsidRPr="00CB12FD" w:rsidRDefault="00E451E4" w:rsidP="000A61DD">
      <w:pPr>
        <w:pStyle w:val="NormalTabs"/>
      </w:pPr>
      <w:r>
        <w:t>-</w:t>
      </w:r>
      <w:r>
        <w:tab/>
        <w:t>:</w:t>
      </w:r>
      <w:r>
        <w:tab/>
        <w:t>κατά</w:t>
      </w:r>
    </w:p>
    <w:p w:rsidR="00E451E4" w:rsidRPr="00CB12FD" w:rsidRDefault="00E451E4" w:rsidP="000A61DD">
      <w:pPr>
        <w:pStyle w:val="NormalTabs"/>
      </w:pPr>
      <w:r>
        <w:t>0</w:t>
      </w:r>
      <w:r>
        <w:tab/>
        <w:t>:</w:t>
      </w:r>
      <w:r>
        <w:tab/>
        <w:t>αποχή</w:t>
      </w:r>
    </w:p>
    <w:p w:rsidR="00E451E4" w:rsidRPr="00CB12FD" w:rsidRDefault="00E451E4" w:rsidP="000A61DD"/>
    <w:p w:rsidR="00E451E4" w:rsidRPr="00CB12FD" w:rsidRDefault="00E451E4" w:rsidP="000A61DD"/>
    <w:p w:rsidR="00E451E4" w:rsidRPr="00CB12FD" w:rsidRDefault="00E451E4" w:rsidP="000A61DD">
      <w:pPr>
        <w:pStyle w:val="RefProc"/>
      </w:pPr>
    </w:p>
    <w:p w:rsidR="00E451E4" w:rsidRPr="00CB12FD" w:rsidRDefault="00E451E4" w:rsidP="000A61DD">
      <w:pPr>
        <w:pStyle w:val="PageHeadingNotTOC"/>
      </w:pPr>
    </w:p>
    <w:bookmarkEnd w:id="16"/>
    <w:p w:rsidR="00E451E4" w:rsidRPr="00FD3AE3" w:rsidRDefault="00E451E4" w:rsidP="00E451E4">
      <w:r>
        <w:br w:type="page"/>
      </w:r>
    </w:p>
    <w:p w:rsidR="00E451E4" w:rsidRPr="00FD3AE3" w:rsidRDefault="00E451E4" w:rsidP="00E451E4">
      <w:pPr>
        <w:pStyle w:val="ZDate"/>
        <w:spacing w:after="480"/>
      </w:pPr>
      <w:r>
        <w:rPr>
          <w:rStyle w:val="HideTWBExt"/>
          <w:noProof w:val="0"/>
        </w:rPr>
        <w:t>&lt;Date&gt;</w:t>
      </w:r>
      <w:r w:rsidRPr="00AC4460">
        <w:rPr>
          <w:rStyle w:val="HideTWBInt"/>
          <w:color w:val="auto"/>
        </w:rPr>
        <w:t>{04/05/2017}</w:t>
      </w:r>
      <w:r w:rsidRPr="00AC4460">
        <w:t>4.5.2017</w:t>
      </w:r>
      <w:r>
        <w:rPr>
          <w:rStyle w:val="HideTWBExt"/>
          <w:noProof w:val="0"/>
        </w:rPr>
        <w:t>&lt;/Date&gt;</w:t>
      </w:r>
    </w:p>
    <w:p w:rsidR="00E451E4" w:rsidRPr="00FD3AE3" w:rsidRDefault="00E451E4" w:rsidP="00E451E4">
      <w:pPr>
        <w:pStyle w:val="PageHeading"/>
        <w:spacing w:before="0" w:after="720"/>
      </w:pPr>
      <w:bookmarkStart w:id="19" w:name="_Toc492553368"/>
      <w:r>
        <w:t xml:space="preserve">ΓΝΩΜΟΔΟΤΗΣΗ </w:t>
      </w:r>
      <w:r>
        <w:rPr>
          <w:rStyle w:val="HideTWBExt"/>
          <w:noProof w:val="0"/>
        </w:rPr>
        <w:t>&lt;CommissionResp&gt;</w:t>
      </w:r>
      <w:bookmarkStart w:id="20" w:name="OpinionToc_3"/>
      <w:r>
        <w:rPr>
          <w:caps/>
        </w:rPr>
        <w:t>της Επιτροπής Διεθνούς Εμπορίου</w:t>
      </w:r>
      <w:bookmarkEnd w:id="20"/>
      <w:bookmarkEnd w:id="19"/>
      <w:r>
        <w:rPr>
          <w:rStyle w:val="HideTWBExt"/>
          <w:noProof w:val="0"/>
        </w:rPr>
        <w:t>&lt;/CommissionResp&gt;</w:t>
      </w:r>
    </w:p>
    <w:p w:rsidR="00E451E4" w:rsidRPr="00FD3AE3" w:rsidRDefault="00E451E4" w:rsidP="00E451E4">
      <w:pPr>
        <w:pStyle w:val="Cover24"/>
        <w:ind w:left="0"/>
      </w:pPr>
      <w:r>
        <w:rPr>
          <w:rStyle w:val="HideTWBExt"/>
          <w:noProof w:val="0"/>
        </w:rPr>
        <w:t>&lt;CommissionInt&gt;</w:t>
      </w:r>
      <w:r w:rsidRPr="00AC4460">
        <w:t>προς την Επιτροπή Εσωτερικής Αγοράς και Προστασίας των Καταναλωτών</w:t>
      </w:r>
      <w:r>
        <w:rPr>
          <w:rStyle w:val="HideTWBExt"/>
          <w:noProof w:val="0"/>
        </w:rPr>
        <w:t>&lt;/CommissionInt&gt;</w:t>
      </w:r>
    </w:p>
    <w:p w:rsidR="00E451E4" w:rsidRPr="00FD3AE3" w:rsidRDefault="00E451E4" w:rsidP="00E451E4">
      <w:pPr>
        <w:pStyle w:val="CoverNormal"/>
        <w:ind w:left="0"/>
      </w:pPr>
      <w:r>
        <w:rPr>
          <w:rStyle w:val="HideTWBExt"/>
          <w:noProof w:val="0"/>
        </w:rPr>
        <w:t>&lt;Titre&gt;</w:t>
      </w:r>
      <w:r>
        <w:t>σχετικά με πρόταση κανονισμού του Ευρωπαϊκού Κοινοβουλίου και του Συμβουλίου για τη θέσπιση κανόνων σχετικά με τη διάθεση προϊόντων λίπανσης με σήμανση CE στην αγορά και για την τροποποίηση των κανονισμών (ΕΚ) αριθ. 1069/2009 και (ΕΚ) αριθ. 1107/2009</w:t>
      </w:r>
      <w:r>
        <w:rPr>
          <w:rStyle w:val="HideTWBExt"/>
          <w:noProof w:val="0"/>
        </w:rPr>
        <w:t>&lt;/Titre&gt;</w:t>
      </w:r>
    </w:p>
    <w:p w:rsidR="00E451E4" w:rsidRPr="00FD3AE3" w:rsidRDefault="00E451E4" w:rsidP="00E451E4">
      <w:pPr>
        <w:pStyle w:val="Cover24"/>
        <w:ind w:left="0"/>
      </w:pPr>
      <w:r>
        <w:rPr>
          <w:rStyle w:val="HideTWBExt"/>
          <w:noProof w:val="0"/>
        </w:rPr>
        <w:t>&lt;DocRef&gt;</w:t>
      </w:r>
      <w:r w:rsidRPr="00AC4460">
        <w:t>(COM(2016)0157 – C8-0123/2016 – 2016/0084(COD))</w:t>
      </w:r>
      <w:r>
        <w:rPr>
          <w:rStyle w:val="HideTWBExt"/>
          <w:noProof w:val="0"/>
        </w:rPr>
        <w:t>&lt;/DocRef&gt;</w:t>
      </w:r>
    </w:p>
    <w:p w:rsidR="00E451E4" w:rsidRPr="00FD3AE3" w:rsidRDefault="00E451E4" w:rsidP="00E451E4">
      <w:pPr>
        <w:pStyle w:val="Cover24"/>
        <w:ind w:left="0"/>
      </w:pPr>
      <w:r w:rsidRPr="00AC4460">
        <w:t xml:space="preserve">Συντάκτης γνωμοδότησης: </w:t>
      </w:r>
      <w:r>
        <w:rPr>
          <w:rStyle w:val="HideTWBExt"/>
          <w:noProof w:val="0"/>
        </w:rPr>
        <w:t>&lt;Depute&gt;</w:t>
      </w:r>
      <w:r w:rsidRPr="00AC4460">
        <w:t>Jarosław Wałęsa</w:t>
      </w:r>
      <w:r>
        <w:rPr>
          <w:rStyle w:val="HideTWBExt"/>
          <w:noProof w:val="0"/>
        </w:rPr>
        <w:t>&lt;/Depute&gt;</w:t>
      </w:r>
    </w:p>
    <w:p w:rsidR="00E451E4" w:rsidRPr="00FD3AE3" w:rsidRDefault="00E451E4" w:rsidP="00E451E4">
      <w:pPr>
        <w:pStyle w:val="CoverNormal"/>
        <w:ind w:left="0"/>
      </w:pPr>
    </w:p>
    <w:p w:rsidR="00E451E4" w:rsidRPr="00FD3AE3" w:rsidRDefault="00E451E4" w:rsidP="000A61DD">
      <w:pPr>
        <w:tabs>
          <w:tab w:val="center" w:pos="4677"/>
        </w:tabs>
      </w:pPr>
    </w:p>
    <w:p w:rsidR="00E451E4" w:rsidRPr="00FD3AE3" w:rsidRDefault="00E451E4" w:rsidP="000A61DD">
      <w:pPr>
        <w:pStyle w:val="PageHeadingNotTOC"/>
      </w:pPr>
      <w:r>
        <w:t>ΣΥΝΟΠΤΙΚΗ ΑΙΤΙΟΛΟΓΗΣΗ</w:t>
      </w:r>
    </w:p>
    <w:p w:rsidR="00E451E4" w:rsidRPr="00FD3AE3" w:rsidRDefault="00E451E4" w:rsidP="00754953">
      <w:pPr>
        <w:spacing w:line="252" w:lineRule="auto"/>
        <w:rPr>
          <w:rFonts w:eastAsia="Calibri"/>
        </w:rPr>
      </w:pPr>
      <w:r>
        <w:t>Μολονότι ο εισηγητής επικροτεί τους δεδηλωμένους στόχους της αναθεώρησης του κανονισμού για τα προϊόντα λίπανσης, που είναι η αύξηση της αποδοτικότητας των πόρων, η μεγαλύτερη εναρμόνιση, η μείωση της εξάρτησης από τις εισαγωγές και η παροχή κινήτρων για την παραγωγή προϊόντων λίπανσης στην ΕΕ, υπογραμμίζει την παρουσία ελλείψεων όσον αφορά την εκτιμώμενη ευρύτερη επίδρασή της. Οι προτεινόμενοι κανόνες στερούνται σοβαρής επιστημονικής θεμελίωσης και είναι δυνατό, αφενός, να θέσουν σε κίνδυνο τους ευρωπαίους παραγωγούς και, αφετέρου, να αμφισβητηθούν από τους εμπορικούς εταίρους της ΕΕ. Η πρόταση ενδέχεται επίσης να έρχεται σε αντίθεση με την αρχή της βελτίωσης της νομοθεσίας, σύμφωνα με την οποία οι πολιτικές και νόμοι της ΕΕ πρέπει να διατυπώνονται έτσι, ώστε να επιτυγχάνουν τους στόχους τους με τη μέγιστη δυνατή αποδοτικότητα και αποτελεσματικότητα.</w:t>
      </w:r>
    </w:p>
    <w:p w:rsidR="00E451E4" w:rsidRPr="00FD3AE3" w:rsidRDefault="00E451E4" w:rsidP="00754953">
      <w:pPr>
        <w:spacing w:after="240"/>
        <w:rPr>
          <w:b/>
        </w:rPr>
      </w:pPr>
    </w:p>
    <w:p w:rsidR="00E451E4" w:rsidRPr="00FD3AE3" w:rsidRDefault="00E451E4" w:rsidP="00754953">
      <w:pPr>
        <w:rPr>
          <w:b/>
        </w:rPr>
      </w:pPr>
      <w:r>
        <w:rPr>
          <w:b/>
        </w:rPr>
        <w:t>Διεθνές εμπορικό πλαίσιο</w:t>
      </w:r>
    </w:p>
    <w:p w:rsidR="00E451E4" w:rsidRPr="00FD3AE3" w:rsidRDefault="00E451E4" w:rsidP="00754953">
      <w:pPr>
        <w:spacing w:line="252" w:lineRule="auto"/>
        <w:rPr>
          <w:rFonts w:eastAsia="Calibri"/>
          <w:lang w:eastAsia="en-US"/>
        </w:rPr>
      </w:pPr>
    </w:p>
    <w:p w:rsidR="00E451E4" w:rsidRPr="00FD3AE3" w:rsidRDefault="00E451E4" w:rsidP="00754953">
      <w:pPr>
        <w:spacing w:line="252" w:lineRule="auto"/>
        <w:rPr>
          <w:rFonts w:eastAsia="Calibri"/>
        </w:rPr>
      </w:pPr>
      <w:r>
        <w:t>Η Ευρωπαϊκή Ένωση εξαρτάται σχεδόν αποκλειστικά από τις εισαγωγές φωσφορίτη. Η πρόταση αναθεώρησης του κανονισμού για τα προϊόντα λίπανσης που εγκρίθηκε από την Επιτροπή τον Μάρτιο του 2016 θα έχει τεράστιο αντίκτυπο στο διεθνές εμπόριο. Κατά κύριο λόγο, τα προτεινόμενα όρια για το κάδμιο δεν είναι ρεαλιστικά και θα μπορούσαν να προξενήσουν σοβαρή διαταραχή στις εμπορικές συναλλαγές με μια σειρά χωρών που παράγουν φωσφορίτη, ενώ εγείρουν σοβαρά ερωτήματα σχετικά με τη συμμόρφωση με τους κανόνες του ΠΟΕ.</w:t>
      </w:r>
    </w:p>
    <w:p w:rsidR="00E451E4" w:rsidRPr="00FD3AE3" w:rsidRDefault="00E451E4" w:rsidP="00754953">
      <w:pPr>
        <w:spacing w:line="252" w:lineRule="auto"/>
        <w:rPr>
          <w:rFonts w:eastAsia="Calibri"/>
        </w:rPr>
      </w:pPr>
      <w:r>
        <w:t>Εφόσον εγκριθούν με τη σημερινή μορφή τους, οι αναθεωρημένοι κανόνες θα έχουν ως αποτέλεσμα τον σημαντικό περιορισμό των εμπορικών ροών μιας σειράς αναπτυσσομένων χωρών. Οι περισσότερες χώρες που εξάγουν φωσφορίτη στην ΕΕ δεν θα ήταν σε θέση να τηρήσουν τα όρια που προτείνει η Επιτροπή. Τα προτεινόμενα όρια είναι πιθανό να αυξήσουν τις εντάσεις στο διμερές εμπόριο και θα μπορούσαν να οδηγήσουν στις διαδικασίες επίλυσης διαφορών του ΠΟΕ. Επιπροσθέτως μπορεί να επιτείνουν την έλλειψη φωσφορίτη για την παραγωγή προϊόντων λίπανσης με σήμανση CE, πράγμα που θα είχε καταστροφικές συνέπειες για τους παραγωγούς προϊόντων λίπανσης από φωσφορίτη της ΕΕ, οι οποίοι εξαρτώνται απόλυτα από τον εισαγόμενο φωσφορίτη.</w:t>
      </w:r>
      <w:r w:rsidR="000A61DD">
        <w:t xml:space="preserve"> </w:t>
      </w:r>
    </w:p>
    <w:p w:rsidR="00E451E4" w:rsidRPr="00FD3AE3" w:rsidRDefault="00E451E4" w:rsidP="00754953">
      <w:pPr>
        <w:spacing w:line="252" w:lineRule="auto"/>
        <w:rPr>
          <w:rFonts w:eastAsia="Calibri"/>
        </w:rPr>
      </w:pPr>
      <w:r>
        <w:t xml:space="preserve">Σε αυτό το πλαίσιο, ο εισηγητής σας προτείνει τη θέσπιση επιπλέον μέτρων για την έγκριση προσωρινών παρεκκλίσεων, οι οποίες θα έδιναν στη βιομηχανία τη δυνατότητα να προσαρμοστεί στη μεταβολή του ρυθμιστικού περιβάλλοντος. Ένα επιστημονικά τεκμηριωμένο μέσο όριο καδμίου της τάξης των 80 mg Cd/kg στον φωσφορίτη θα εξασφάλιζε τη συμμόρφωση με τους κανόνες του ΠΟΕ, μειώνοντας με τον τρόπο αυτόν τις εντάσεις στο εμπόριο. </w:t>
      </w:r>
    </w:p>
    <w:p w:rsidR="00E451E4" w:rsidRPr="00FD3AE3" w:rsidRDefault="00E451E4" w:rsidP="00754953">
      <w:pPr>
        <w:spacing w:line="252" w:lineRule="auto"/>
        <w:rPr>
          <w:b/>
          <w:lang w:eastAsia="en-US"/>
        </w:rPr>
      </w:pPr>
    </w:p>
    <w:p w:rsidR="00E451E4" w:rsidRPr="00FD3AE3" w:rsidRDefault="00E451E4" w:rsidP="00754953">
      <w:pPr>
        <w:spacing w:line="252" w:lineRule="auto"/>
        <w:rPr>
          <w:b/>
        </w:rPr>
      </w:pPr>
      <w:r>
        <w:rPr>
          <w:b/>
        </w:rPr>
        <w:t>Συμπεράσματα</w:t>
      </w:r>
    </w:p>
    <w:p w:rsidR="00E451E4" w:rsidRPr="00FD3AE3" w:rsidRDefault="00E451E4" w:rsidP="00754953">
      <w:pPr>
        <w:spacing w:line="252" w:lineRule="auto"/>
        <w:rPr>
          <w:lang w:eastAsia="en-US"/>
        </w:rPr>
      </w:pPr>
    </w:p>
    <w:p w:rsidR="00E451E4" w:rsidRPr="00FD3AE3" w:rsidRDefault="00E451E4" w:rsidP="00754953">
      <w:pPr>
        <w:spacing w:line="252" w:lineRule="auto"/>
      </w:pPr>
      <w:r>
        <w:t>Οι επικαιροποιημένοι κανόνες δεν πρέπει να υπονομεύουν τις προσπάθειες των επιχειρήσεων της ΕΕ να απαλλαγούν από την εξάρτησή τους από τις εισαγωγές, να διαφοροποιήσουν τις εισαγωγές πρώτων υλών στις διεθνείς αγορές και να αποφύγουν την εξάρτηση από λίγες πηγές εισαγομένων πρώτων υλών που στρεβλώνουν τις τιμές.</w:t>
      </w:r>
      <w:r w:rsidR="000A61DD">
        <w:t xml:space="preserve"> </w:t>
      </w:r>
      <w:r>
        <w:t>Επιπλέον, δεν πρέπει να υπονομεύουν τη συνοχή των πολιτικών της ΕΕ απέναντι στις νότιες γείτονες χώρες.</w:t>
      </w:r>
    </w:p>
    <w:p w:rsidR="00E451E4" w:rsidRPr="00FD3AE3" w:rsidRDefault="00E451E4" w:rsidP="00754953">
      <w:pPr>
        <w:spacing w:after="160" w:line="252" w:lineRule="auto"/>
        <w:rPr>
          <w:rFonts w:eastAsia="Calibri"/>
        </w:rPr>
      </w:pPr>
      <w:r>
        <w:t>Ο εισηγητής εκφράζει τη λύπη του για την έλλειψη ενδιαφέροντος από την πλευρά της Επιτροπής όσον αφορά τις ανησυχίες ότι τα προτεινόμενα μέτρα μπορεί να προκαλέσουν σοβαρή στρέβλωση των εμπορικών προτύπων στον τομέα του διεθνούς εμπορίου πρώτων υλών.</w:t>
      </w:r>
      <w:r w:rsidR="000A61DD">
        <w:t xml:space="preserve"> </w:t>
      </w:r>
      <w:r>
        <w:t>Ο εισηγητής σας θεωρεί ότι τα όρια του καδμίου, που τέθηκαν χωρίς αξιόπιστη επιστημονική βάση, μπορούν να βλάψουν σημαντικά την αξιοπιστία της ΕΕ στα μάτια των εμπορικών της εταίρων, να υπονομεύσουν τον εφοδιασμό με πρώτες ύλες, να προξενήσουν παρέκκλιση των διεθνών εμπορικών ροών και να έχουν ανεπανόρθωτες συνέπειες για τη βιομηχανία της ΕΕ.</w:t>
      </w:r>
    </w:p>
    <w:p w:rsidR="00E451E4" w:rsidRPr="00FD3AE3" w:rsidRDefault="00E451E4" w:rsidP="00754953">
      <w:pPr>
        <w:spacing w:after="160" w:line="252" w:lineRule="auto"/>
        <w:rPr>
          <w:rFonts w:eastAsia="Calibri"/>
        </w:rPr>
      </w:pPr>
      <w:r>
        <w:t>Ειδικότερα, οι τρίτες χώρες που μονοπωλούν τα αποθέματα πρώτων υλών μπορεί να προσπαθήσουν να εκμεταλλευτούν την προνομιούχα τους θέση και τα όρια που θέτει ο κανονισμός προκειμένου να περιορίσουν ακόμα περισσότερο τον εφοδιασμό με πρώτες ύλες και να αυξήσουν το μερίδιό τους σε τελικά προϊόντα λίπανσης στην αγορά, προκαλώντας την εξάρτηση της ΕΕ από τις εισαγωγές τελικών προϊόντων λίπανσης, τα οποία έχουν συνέπειες για την ασφάλεια των τροφίμων.</w:t>
      </w:r>
      <w:r w:rsidR="000A61DD">
        <w:t xml:space="preserve"> </w:t>
      </w:r>
    </w:p>
    <w:p w:rsidR="00E451E4" w:rsidRPr="00FD3AE3" w:rsidRDefault="00E451E4" w:rsidP="00754953">
      <w:pPr>
        <w:spacing w:after="160" w:line="252" w:lineRule="auto"/>
      </w:pPr>
      <w:r>
        <w:t>Συνεπώς η Επιτροπή θα πρέπει να ενισχύσει την παρακολούθηση, την υποβολή εκθέσεων και τις δράσεις σχετικά με τις αρνητικές συνέπειες των προβλεπομένων μέτρων στην αγορά και το εμπόριο προκειμένου να διασφαλίσει τη σταθερή και οικονομικά προσιτή πρόσβαση σε πρώτες ύλες, εξασφαλίζοντας αποτελεσματικό ανταγωνισμό και ανταγωνιστικότητα για τη βιομηχανία προϊόντων λίπανσης της ΕΕ. Ιδιαίτερη προσοχή πρέπει να δοθεί σε στρεβλώσεις όπως η διπλή τιμολόγηση, οι ρυθμιζόμενες εγχώριες τιμές, οι περιορισμοί των εξαγωγών, οι εξαγωγικοί δασμοί και οι μονοπωλιακές ή ολιγοπωλιακές δομές στις βιομηχανίες πρώτων υλών τρίτων χωρών. Τέλος, οι παραγωγοί της ΕΕ δεν έχουν πρόσβαση σε πολλά από τα αριθμητικά περιορισμένα παγκόσμια αποθέματα φωσφορίτη και ο εισηγητής θα ήθελε να χρησιμοποιήσει η Επιτροπή τα μέσα που έχει στη διάθεσή της για να αυξήσει τη ροή του εφοδιασμού με πρώτες ύλες.</w:t>
      </w:r>
    </w:p>
    <w:p w:rsidR="00E451E4" w:rsidRPr="00FD3AE3" w:rsidRDefault="00E451E4" w:rsidP="000A61DD">
      <w:pPr>
        <w:pStyle w:val="ConclusionsPA"/>
      </w:pPr>
      <w:r>
        <w:t>ΤΡΟΠΟΛΟΓΙΕΣ</w:t>
      </w:r>
    </w:p>
    <w:p w:rsidR="00E451E4" w:rsidRPr="00FD3AE3" w:rsidRDefault="00E451E4" w:rsidP="000A61DD">
      <w:pPr>
        <w:pStyle w:val="Normal12Tab"/>
      </w:pPr>
      <w:r>
        <w:t>Η Επιτροπή Διεθνούς Εμπορίου καλεί την Επιτροπή Εσωτερικής Αγοράς και Προστασίας των Καταναλωτών, που είναι αρμόδια επί της ουσίας, να λάβει υπόψη τις ακόλουθες τροπολογίες:</w:t>
      </w:r>
    </w:p>
    <w:p w:rsidR="00E451E4" w:rsidRPr="00FD3AE3" w:rsidRDefault="00E451E4" w:rsidP="000A61DD">
      <w:pPr>
        <w:pStyle w:val="AMNumberTabs"/>
        <w:keepNext/>
      </w:pPr>
      <w:bookmarkStart w:id="21" w:name="IntroB"/>
      <w:r>
        <w:rPr>
          <w:rStyle w:val="HideTWBExt"/>
          <w:b w:val="0"/>
          <w:noProof w:val="0"/>
        </w:rPr>
        <w:t>&lt;RepeatBlock-Amend&gt;</w:t>
      </w:r>
      <w:bookmarkEnd w:id="21"/>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1</w:t>
      </w:r>
      <w:r>
        <w:rPr>
          <w:rStyle w:val="HideTWBExt"/>
          <w:b w:val="0"/>
          <w:noProof w:val="0"/>
        </w:rPr>
        <w:t>&lt;/NumAm&gt;</w:t>
      </w:r>
    </w:p>
    <w:p w:rsidR="00E451E4" w:rsidRPr="00FD3AE3"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D3AE3" w:rsidRDefault="00E451E4" w:rsidP="000A61DD">
      <w:pPr>
        <w:pStyle w:val="NormalBold"/>
        <w:keepNext/>
      </w:pPr>
      <w:r>
        <w:rPr>
          <w:rStyle w:val="HideTWBExt"/>
          <w:b w:val="0"/>
          <w:noProof w:val="0"/>
        </w:rPr>
        <w:t>&lt;Article&gt;</w:t>
      </w:r>
      <w:r w:rsidRPr="00AC4460">
        <w:t>Αιτιολογική σκέψη 60 α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D3AE3" w:rsidTr="000A61DD">
        <w:trPr>
          <w:jc w:val="center"/>
        </w:trPr>
        <w:tc>
          <w:tcPr>
            <w:tcW w:w="9752" w:type="dxa"/>
            <w:gridSpan w:val="2"/>
          </w:tcPr>
          <w:p w:rsidR="00E451E4" w:rsidRPr="00FD3AE3" w:rsidRDefault="00E451E4" w:rsidP="000A61DD">
            <w:pPr>
              <w:keepNext/>
            </w:pPr>
          </w:p>
        </w:tc>
      </w:tr>
      <w:tr w:rsidR="00E451E4" w:rsidRPr="00FD3AE3"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FD3AE3"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60 α)</w:t>
            </w:r>
            <w:r w:rsidRPr="00AC4460">
              <w:rPr>
                <w:b/>
                <w:bCs/>
                <w:i/>
                <w:iCs/>
              </w:rPr>
              <w:tab/>
              <w:t>Είναι αναγκαίο να αξιολογηθεί ο αντίκτυπος του παρόντος κανονισμού στις οικονομίες των χωρών της Ευρωπαϊκής Γειτονίας και των αναπτυσσόμενων χωρών που εξαρτώνται σε μεγάλο βαθμό από τις εξαγωγές φωσφορίτη και λιπασμάτων. Η Επιτροπή θα πρέπει να λάβει τα αναγκαία μέτρα για να προωθήσει την ανακύκλωση και τις τεχνολογίες και διαδικασίες αποκαδμίωσης βιομηχανικής κλίμακας, διευκολύνοντας έτσι τη συμμόρφωση με τους όρους επισήμανσης ΕΚ Θα πρέπει επίσης να δοθούν ευκαιρίες χρηματοδότησης για τη θέσπιση διεργασιών αποκαδμίωσης, ιδίως μέσω του προγράμματος έρευνας "Ορίζοντας 2020" και των εξωτερικών σχεδίων χρηματοδότησης της Ευρωπαϊκής Τράπεζας Επενδύσεων.</w:t>
            </w:r>
          </w:p>
        </w:tc>
      </w:tr>
    </w:tbl>
    <w:p w:rsidR="00E451E4" w:rsidRPr="00FD3AE3" w:rsidRDefault="00E451E4" w:rsidP="000A61DD">
      <w:r>
        <w:rPr>
          <w:rStyle w:val="HideTWBExt"/>
          <w:noProof w:val="0"/>
        </w:rPr>
        <w:t>&lt;/Amend&gt;</w:t>
      </w:r>
    </w:p>
    <w:p w:rsidR="00E451E4" w:rsidRPr="00FD3AE3"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2</w:t>
      </w:r>
      <w:r>
        <w:rPr>
          <w:rStyle w:val="HideTWBExt"/>
          <w:b w:val="0"/>
          <w:noProof w:val="0"/>
        </w:rPr>
        <w:t>&lt;/NumAm&gt;</w:t>
      </w:r>
    </w:p>
    <w:p w:rsidR="00E451E4" w:rsidRPr="00FD3AE3"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D3AE3" w:rsidRDefault="00E451E4" w:rsidP="000A61DD">
      <w:pPr>
        <w:pStyle w:val="NormalBold"/>
        <w:keepNext/>
      </w:pPr>
      <w:r>
        <w:rPr>
          <w:rStyle w:val="HideTWBExt"/>
          <w:b w:val="0"/>
          <w:noProof w:val="0"/>
        </w:rPr>
        <w:t>&lt;Article&gt;</w:t>
      </w:r>
      <w:r w:rsidRPr="00AC4460">
        <w:t>Αιτιολογική σκέψη 60 β (νέα)</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D3AE3" w:rsidTr="000A61DD">
        <w:trPr>
          <w:jc w:val="center"/>
        </w:trPr>
        <w:tc>
          <w:tcPr>
            <w:tcW w:w="9752" w:type="dxa"/>
            <w:gridSpan w:val="2"/>
          </w:tcPr>
          <w:p w:rsidR="00E451E4" w:rsidRPr="00FD3AE3" w:rsidRDefault="00E451E4" w:rsidP="000A61DD">
            <w:pPr>
              <w:keepNext/>
            </w:pPr>
          </w:p>
        </w:tc>
      </w:tr>
      <w:tr w:rsidR="00E451E4" w:rsidRPr="00FD3AE3"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FD3AE3"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60 β)</w:t>
            </w:r>
            <w:r w:rsidRPr="00AC4460">
              <w:rPr>
                <w:b/>
                <w:bCs/>
                <w:i/>
                <w:iCs/>
              </w:rPr>
              <w:tab/>
              <w:t>Λόγω της μεγάλης εξάρτησης της Ένωσης από τις εισαγωγές φωσφορίτη, η Επιτροπή ταξινόμησε την ύλη αυτή ως κρίσιμη πρώτη ύλη. Συνεπώς, είναι απαραίτητο να παρακολουθείται ο αντίκτυπος του παρόντος κανονισμού όσον αφορά την πρόσβαση στα αποθέματα πρώτων υλών εν γένει, τη διαθεσιμότητα φωσφορίτη ειδικότερα και, ανά περίπτωση, τις τιμές. Μετά από αυτή την αξιολόγηση, και στην περίπτωση αρνητικού αντίκτυπου, η Επιτροπή θα πρέπει να λάβει τα μέτρα που θα κρίνει κατάλληλα για να αντιμετωπίσει αυτές τις αναταράξεις στο εμπόριο.</w:t>
            </w:r>
          </w:p>
        </w:tc>
      </w:tr>
    </w:tbl>
    <w:p w:rsidR="00E451E4" w:rsidRPr="00FD3AE3" w:rsidRDefault="00E451E4" w:rsidP="000A61DD">
      <w:pPr>
        <w:pStyle w:val="JustificationTitle"/>
      </w:pPr>
      <w:r>
        <w:rPr>
          <w:rStyle w:val="HideTWBExt"/>
          <w:noProof w:val="0"/>
        </w:rPr>
        <w:t>&lt;TitreJust&gt;</w:t>
      </w:r>
      <w:r w:rsidRPr="00AC4460">
        <w:t>Αιτιολόγηση</w:t>
      </w:r>
      <w:r>
        <w:rPr>
          <w:rStyle w:val="HideTWBExt"/>
          <w:noProof w:val="0"/>
        </w:rPr>
        <w:t>&lt;/TitreJust&gt;</w:t>
      </w:r>
    </w:p>
    <w:p w:rsidR="00E451E4" w:rsidRPr="00FD3AE3" w:rsidRDefault="00E451E4" w:rsidP="000A61DD">
      <w:pPr>
        <w:pStyle w:val="Normal12Italic"/>
      </w:pPr>
      <w:r>
        <w:t>Ο φωσφορίτης έχει ταξινομηθεί ως κρίσιμη πρώτη ύλη, διότι έχει μεγάλη οικονομική σημασία για την ΕΕ και, συγχρόνως, περικλείει αυξημένο κίνδυνο σχετικά με τον εφοδιασμό. Η Επιτροπή θα πρέπει να παρακολουθεί και να υποβάλλει εκθέσεις σχετικά με τον αντίκτυπο του παρόντος κανονισμού όσον αφορά την πρόσβαση στον φωσφορίτη, τη διαθεσιμότητά του και την τιμή του μετά την έναρξη ισχύος του κανονισμού. Η Επιτροπή θα πρέπει να είναι σε θέση να λαμβάνει μέτρα για τη διόρθωση των στρεβλώσεων στο εμπόριο.</w:t>
      </w:r>
    </w:p>
    <w:p w:rsidR="00E451E4" w:rsidRPr="00FD3AE3" w:rsidRDefault="00E451E4" w:rsidP="000A61DD">
      <w:r>
        <w:rPr>
          <w:rStyle w:val="HideTWBExt"/>
          <w:noProof w:val="0"/>
        </w:rPr>
        <w:t>&lt;/Amend&gt;</w:t>
      </w:r>
    </w:p>
    <w:p w:rsidR="00E451E4" w:rsidRPr="00FD3AE3"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3</w:t>
      </w:r>
      <w:r>
        <w:rPr>
          <w:rStyle w:val="HideTWBExt"/>
          <w:b w:val="0"/>
          <w:noProof w:val="0"/>
        </w:rPr>
        <w:t>&lt;/NumAm&gt;</w:t>
      </w:r>
    </w:p>
    <w:p w:rsidR="00E451E4" w:rsidRPr="00FD3AE3"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D3AE3" w:rsidRDefault="00E451E4" w:rsidP="000A61DD">
      <w:pPr>
        <w:pStyle w:val="NormalBold"/>
        <w:keepNext/>
      </w:pPr>
      <w:r>
        <w:rPr>
          <w:rStyle w:val="HideTWBExt"/>
          <w:b w:val="0"/>
          <w:noProof w:val="0"/>
        </w:rPr>
        <w:t>&lt;Article&gt;</w:t>
      </w:r>
      <w:r w:rsidRPr="00AC4460">
        <w:t>Άρθρο 44 α (νέο)</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D3AE3" w:rsidTr="000A61DD">
        <w:trPr>
          <w:jc w:val="center"/>
        </w:trPr>
        <w:tc>
          <w:tcPr>
            <w:tcW w:w="9752" w:type="dxa"/>
            <w:gridSpan w:val="2"/>
          </w:tcPr>
          <w:p w:rsidR="00E451E4" w:rsidRPr="00FD3AE3" w:rsidRDefault="00E451E4" w:rsidP="000A61DD">
            <w:pPr>
              <w:keepNext/>
            </w:pPr>
          </w:p>
        </w:tc>
      </w:tr>
      <w:tr w:rsidR="00E451E4" w:rsidRPr="00FD3AE3"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FD3AE3" w:rsidTr="000A61DD">
        <w:trPr>
          <w:jc w:val="center"/>
        </w:trPr>
        <w:tc>
          <w:tcPr>
            <w:tcW w:w="4876" w:type="dxa"/>
          </w:tcPr>
          <w:p w:rsidR="00E451E4" w:rsidRPr="00AC4460" w:rsidRDefault="00E451E4" w:rsidP="000A61DD">
            <w:pPr>
              <w:pStyle w:val="Normal6"/>
              <w:rPr>
                <w:b/>
                <w:bCs/>
                <w:i/>
                <w:iCs/>
              </w:rPr>
            </w:pPr>
          </w:p>
        </w:tc>
        <w:tc>
          <w:tcPr>
            <w:tcW w:w="4876" w:type="dxa"/>
          </w:tcPr>
          <w:p w:rsidR="00E451E4" w:rsidRPr="00AC4460" w:rsidRDefault="00E451E4" w:rsidP="000A61DD">
            <w:pPr>
              <w:pStyle w:val="Normal6"/>
              <w:jc w:val="center"/>
              <w:rPr>
                <w:b/>
                <w:bCs/>
                <w:i/>
                <w:iCs/>
              </w:rPr>
            </w:pPr>
            <w:r w:rsidRPr="00AC4460">
              <w:rPr>
                <w:b/>
                <w:i/>
              </w:rPr>
              <w:t>Άρθρο 44α</w:t>
            </w:r>
          </w:p>
        </w:tc>
      </w:tr>
      <w:tr w:rsidR="00E451E4" w:rsidRPr="00FD3AE3" w:rsidTr="000A61DD">
        <w:trPr>
          <w:jc w:val="center"/>
        </w:trPr>
        <w:tc>
          <w:tcPr>
            <w:tcW w:w="4876" w:type="dxa"/>
          </w:tcPr>
          <w:p w:rsidR="00E451E4" w:rsidRPr="00AC4460" w:rsidRDefault="00E451E4" w:rsidP="000A61DD">
            <w:pPr>
              <w:pStyle w:val="Normal6"/>
              <w:rPr>
                <w:b/>
                <w:bCs/>
                <w:i/>
                <w:iCs/>
              </w:rPr>
            </w:pPr>
          </w:p>
        </w:tc>
        <w:tc>
          <w:tcPr>
            <w:tcW w:w="4876" w:type="dxa"/>
          </w:tcPr>
          <w:p w:rsidR="00E451E4" w:rsidRPr="00AC4460" w:rsidRDefault="00E451E4" w:rsidP="000A61DD">
            <w:pPr>
              <w:pStyle w:val="Normal6"/>
              <w:rPr>
                <w:b/>
                <w:bCs/>
                <w:i/>
                <w:iCs/>
              </w:rPr>
            </w:pPr>
            <w:r w:rsidRPr="00AC4460">
              <w:rPr>
                <w:b/>
                <w:bCs/>
                <w:i/>
              </w:rPr>
              <w:t>Παρακολούθηση, υποβολή εκθέσεων και παροχή βοήθειας</w:t>
            </w:r>
          </w:p>
        </w:tc>
      </w:tr>
      <w:tr w:rsidR="00E451E4" w:rsidRPr="00FD3AE3"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Το αργότερο έως [τρία έτη μετά την ημερομηνία έναρξης εφαρμογής του παρόντος κανονισμού] και στη συνέχεια ανά πενταετία, η Επιτροπή υποβάλει στο Ευρωπαϊκό Κοινοβούλιο και στο Συμβούλιο έκθεση περιέχουσα αξιολόγηση του αντικτύπου του παρόντος κανονισμού όσον αφορά: </w:t>
            </w:r>
          </w:p>
        </w:tc>
      </w:tr>
      <w:tr w:rsidR="00E451E4" w:rsidRPr="00FD3AE3" w:rsidTr="000A61DD">
        <w:trPr>
          <w:jc w:val="center"/>
        </w:trPr>
        <w:tc>
          <w:tcPr>
            <w:tcW w:w="4876" w:type="dxa"/>
          </w:tcPr>
          <w:p w:rsidR="00E451E4" w:rsidRPr="00AC4460" w:rsidRDefault="00E451E4" w:rsidP="000A61DD">
            <w:pPr>
              <w:pStyle w:val="Normal6"/>
            </w:pPr>
          </w:p>
        </w:tc>
        <w:tc>
          <w:tcPr>
            <w:tcW w:w="4876" w:type="dxa"/>
          </w:tcPr>
          <w:p w:rsidR="00E451E4" w:rsidRPr="00AC4460" w:rsidRDefault="00E451E4" w:rsidP="000A61DD">
            <w:pPr>
              <w:pStyle w:val="Normal6"/>
              <w:rPr>
                <w:b/>
                <w:bCs/>
                <w:i/>
                <w:iCs/>
              </w:rPr>
            </w:pPr>
            <w:r w:rsidRPr="00AC4460">
              <w:rPr>
                <w:b/>
                <w:bCs/>
                <w:i/>
                <w:iCs/>
              </w:rPr>
              <w:t xml:space="preserve">- την ασφάλεια των προμηθειών πρώτων υλών, τη διαθεσιμότητα φωσφορίτη, τις τιμές και τους οικονομικούς φορείς της Ένωσης, ειδικότερα τις ΜΜΕ, και </w:t>
            </w:r>
          </w:p>
        </w:tc>
      </w:tr>
      <w:tr w:rsidR="00E451E4" w:rsidRPr="00FD3AE3" w:rsidTr="000A61DD">
        <w:trPr>
          <w:jc w:val="center"/>
        </w:trPr>
        <w:tc>
          <w:tcPr>
            <w:tcW w:w="4876" w:type="dxa"/>
          </w:tcPr>
          <w:p w:rsidR="00E451E4" w:rsidRPr="00AC4460" w:rsidRDefault="00E451E4" w:rsidP="000A61DD">
            <w:pPr>
              <w:pStyle w:val="Normal6"/>
              <w:rPr>
                <w:b/>
                <w:bCs/>
                <w:i/>
                <w:iCs/>
              </w:rPr>
            </w:pPr>
          </w:p>
        </w:tc>
        <w:tc>
          <w:tcPr>
            <w:tcW w:w="4876" w:type="dxa"/>
          </w:tcPr>
          <w:p w:rsidR="00E451E4" w:rsidRPr="00AC4460" w:rsidRDefault="00E451E4" w:rsidP="000A61DD">
            <w:pPr>
              <w:pStyle w:val="Normal6"/>
              <w:rPr>
                <w:b/>
                <w:bCs/>
                <w:i/>
                <w:iCs/>
              </w:rPr>
            </w:pPr>
            <w:r w:rsidRPr="00AC4460">
              <w:rPr>
                <w:b/>
                <w:bCs/>
                <w:i/>
                <w:iCs/>
              </w:rPr>
              <w:t xml:space="preserve">- τις οικονομίες των χωρών της Ευρωπαϊκής Γειτονίας και των αναπτυσσόμενων χωρών που εξαρτώνται σε μεγάλο βαθμό από τις εξαγωγές φωσφορίτη και λιπασμάτων. Αυτό περιλαμβάνει την ανάπτυξη των διεργασιών αποκαδμίωσης και την εξέλιξη των εισαγωγών φωσφορίτη. </w:t>
            </w:r>
          </w:p>
        </w:tc>
      </w:tr>
      <w:tr w:rsidR="00E451E4" w:rsidRPr="00FD3AE3" w:rsidDel="00C9566D" w:rsidTr="000A61DD">
        <w:trPr>
          <w:jc w:val="center"/>
        </w:trPr>
        <w:tc>
          <w:tcPr>
            <w:tcW w:w="4876" w:type="dxa"/>
          </w:tcPr>
          <w:p w:rsidR="00E451E4" w:rsidRPr="00AC4460" w:rsidDel="00C9566D" w:rsidRDefault="00E451E4" w:rsidP="000A61DD">
            <w:pPr>
              <w:pStyle w:val="Normal6"/>
              <w:rPr>
                <w:b/>
                <w:bCs/>
                <w:i/>
                <w:iCs/>
              </w:rPr>
            </w:pPr>
          </w:p>
        </w:tc>
        <w:tc>
          <w:tcPr>
            <w:tcW w:w="4876" w:type="dxa"/>
          </w:tcPr>
          <w:p w:rsidR="00E451E4" w:rsidRPr="00AC4460" w:rsidRDefault="00E451E4" w:rsidP="000A61DD">
            <w:pPr>
              <w:pStyle w:val="Normal6"/>
              <w:rPr>
                <w:b/>
                <w:bCs/>
                <w:i/>
                <w:iCs/>
              </w:rPr>
            </w:pPr>
            <w:r w:rsidRPr="00AC4460">
              <w:rPr>
                <w:b/>
                <w:bCs/>
                <w:i/>
                <w:iCs/>
              </w:rPr>
              <w:t>Η Επιτροπή λαμβάνει οποιαδήποτε κατάλληλα μέτρα για τη στήριξη των επιχειρήσεων της Ένωσης, και ιδίως των ΜΜΕ, προκειμένου να προσαρμοστούν στις απαιτήσεις του παρόντος κανονισμού, συμπεριλαμβανόμενης της καλύτερης πρόσβασης σε ευκαιρίες χρηματοδότηση της ΕΕ για την έρευνα.</w:t>
            </w:r>
          </w:p>
        </w:tc>
      </w:tr>
      <w:tr w:rsidR="00E451E4" w:rsidRPr="00FD3AE3" w:rsidDel="00C9566D" w:rsidTr="000A61DD">
        <w:trPr>
          <w:jc w:val="center"/>
        </w:trPr>
        <w:tc>
          <w:tcPr>
            <w:tcW w:w="4876" w:type="dxa"/>
          </w:tcPr>
          <w:p w:rsidR="00E451E4" w:rsidRPr="00AC4460" w:rsidDel="00C9566D" w:rsidRDefault="00E451E4" w:rsidP="000A61DD">
            <w:pPr>
              <w:pStyle w:val="Normal6"/>
              <w:rPr>
                <w:b/>
                <w:bCs/>
                <w:i/>
                <w:iCs/>
              </w:rPr>
            </w:pPr>
          </w:p>
        </w:tc>
        <w:tc>
          <w:tcPr>
            <w:tcW w:w="4876" w:type="dxa"/>
          </w:tcPr>
          <w:p w:rsidR="00E451E4" w:rsidRPr="00AC4460" w:rsidRDefault="00E451E4" w:rsidP="000A61DD">
            <w:pPr>
              <w:pStyle w:val="Normal6"/>
              <w:rPr>
                <w:b/>
                <w:bCs/>
                <w:i/>
                <w:iCs/>
              </w:rPr>
            </w:pPr>
            <w:r w:rsidRPr="00AC4460">
              <w:rPr>
                <w:b/>
                <w:bCs/>
                <w:i/>
                <w:iCs/>
              </w:rPr>
              <w:t>Προκειμένου να μετριαστούν οι πιθανές αρνητικές επιπτώσεις και να διευκολυνθεί η συμμόρφωση προς τους όρους που ισχύουν για την επισήμανση ΕΚ, η Επιτροπή θα πρέπει να παράσχει στις χώρες της Ευρωπαϊκής Γειτονίας και τις αναπτυσσόμενες χώρες τεχνική και χρηματοδοτική βοήθεια, ώστε να προωθήσει την ανακύκλωση και τις τεχνολογίες και τις διεργασίες αποκαδμίωσης βιομηχανικής κλίμακας.</w:t>
            </w:r>
          </w:p>
        </w:tc>
      </w:tr>
    </w:tbl>
    <w:p w:rsidR="00E451E4" w:rsidRPr="00FD3AE3" w:rsidRDefault="00E451E4" w:rsidP="000A61DD">
      <w:r>
        <w:rPr>
          <w:rStyle w:val="HideTWBExt"/>
          <w:noProof w:val="0"/>
        </w:rPr>
        <w:t>&lt;/Amend&gt;</w:t>
      </w:r>
    </w:p>
    <w:p w:rsidR="00E451E4" w:rsidRPr="00FD3AE3" w:rsidRDefault="00E451E4" w:rsidP="000A61DD">
      <w:pPr>
        <w:pStyle w:val="AMNumberTabs"/>
        <w:keepNext/>
      </w:pPr>
      <w:r>
        <w:rPr>
          <w:rStyle w:val="HideTWBExt"/>
          <w:b w:val="0"/>
          <w:noProof w:val="0"/>
        </w:rPr>
        <w:t>&lt;Amend&gt;</w:t>
      </w:r>
      <w:r w:rsidRPr="00AC4460">
        <w:t>Τροπολογία</w:t>
      </w:r>
      <w:r w:rsidRPr="00AC4460">
        <w:tab/>
      </w:r>
      <w:r w:rsidRPr="00AC4460">
        <w:tab/>
      </w:r>
      <w:r>
        <w:rPr>
          <w:rStyle w:val="HideTWBExt"/>
          <w:b w:val="0"/>
          <w:noProof w:val="0"/>
        </w:rPr>
        <w:t>&lt;NumAm&gt;</w:t>
      </w:r>
      <w:r w:rsidRPr="00AC4460">
        <w:t>4</w:t>
      </w:r>
      <w:r>
        <w:rPr>
          <w:rStyle w:val="HideTWBExt"/>
          <w:b w:val="0"/>
          <w:noProof w:val="0"/>
        </w:rPr>
        <w:t>&lt;/NumAm&gt;</w:t>
      </w:r>
    </w:p>
    <w:p w:rsidR="00E451E4" w:rsidRPr="00FD3AE3" w:rsidRDefault="00E451E4" w:rsidP="000A61DD">
      <w:pPr>
        <w:pStyle w:val="NormalBold12b"/>
        <w:keepNext/>
      </w:pPr>
      <w:r>
        <w:rPr>
          <w:rStyle w:val="HideTWBExt"/>
          <w:b w:val="0"/>
          <w:noProof w:val="0"/>
        </w:rPr>
        <w:t>&lt;DocAmend&gt;</w:t>
      </w:r>
      <w:r w:rsidRPr="00AC4460">
        <w:t>Πρόταση κανονισμού</w:t>
      </w:r>
      <w:r>
        <w:rPr>
          <w:rStyle w:val="HideTWBExt"/>
          <w:b w:val="0"/>
          <w:noProof w:val="0"/>
        </w:rPr>
        <w:t>&lt;/DocAmend&gt;</w:t>
      </w:r>
    </w:p>
    <w:p w:rsidR="00E451E4" w:rsidRPr="00FD3AE3" w:rsidRDefault="00E451E4" w:rsidP="000A61DD">
      <w:pPr>
        <w:pStyle w:val="NormalBold"/>
        <w:keepNext/>
      </w:pPr>
      <w:r>
        <w:rPr>
          <w:rStyle w:val="HideTWBExt"/>
          <w:b w:val="0"/>
          <w:noProof w:val="0"/>
        </w:rPr>
        <w:t>&lt;Article&gt;</w:t>
      </w:r>
      <w:r w:rsidRPr="00AC4460">
        <w:t>Παράρτημα Ι – μέρος 2 – PFC 7 – σημείο 3 – εισαγωγή</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51E4" w:rsidRPr="00FD3AE3" w:rsidTr="000A61DD">
        <w:trPr>
          <w:jc w:val="center"/>
        </w:trPr>
        <w:tc>
          <w:tcPr>
            <w:tcW w:w="9752" w:type="dxa"/>
            <w:gridSpan w:val="2"/>
          </w:tcPr>
          <w:p w:rsidR="00E451E4" w:rsidRPr="00FD3AE3" w:rsidRDefault="00E451E4" w:rsidP="000A61DD">
            <w:pPr>
              <w:keepNext/>
            </w:pPr>
          </w:p>
        </w:tc>
      </w:tr>
      <w:tr w:rsidR="00E451E4" w:rsidRPr="00FD3AE3" w:rsidTr="000A61DD">
        <w:trPr>
          <w:jc w:val="center"/>
        </w:trPr>
        <w:tc>
          <w:tcPr>
            <w:tcW w:w="4876" w:type="dxa"/>
          </w:tcPr>
          <w:p w:rsidR="00E451E4" w:rsidRPr="00AC4460" w:rsidRDefault="00E451E4" w:rsidP="000A61DD">
            <w:pPr>
              <w:pStyle w:val="ColumnHeading"/>
              <w:keepNext/>
            </w:pPr>
            <w:r w:rsidRPr="00AC4460">
              <w:t>Κείμενο που προτείνει η Επιτροπή</w:t>
            </w:r>
          </w:p>
        </w:tc>
        <w:tc>
          <w:tcPr>
            <w:tcW w:w="4876" w:type="dxa"/>
          </w:tcPr>
          <w:p w:rsidR="00E451E4" w:rsidRPr="00AC4460" w:rsidRDefault="00E451E4" w:rsidP="000A61DD">
            <w:pPr>
              <w:pStyle w:val="ColumnHeading"/>
              <w:keepNext/>
            </w:pPr>
            <w:r w:rsidRPr="00AC4460">
              <w:t>Τροπολογία</w:t>
            </w:r>
          </w:p>
        </w:tc>
      </w:tr>
      <w:tr w:rsidR="00E451E4" w:rsidRPr="00FD3AE3" w:rsidTr="000A61DD">
        <w:trPr>
          <w:jc w:val="center"/>
        </w:trPr>
        <w:tc>
          <w:tcPr>
            <w:tcW w:w="4876" w:type="dxa"/>
          </w:tcPr>
          <w:p w:rsidR="00E451E4" w:rsidRPr="00AC4460" w:rsidRDefault="00E451E4" w:rsidP="000A61DD">
            <w:pPr>
              <w:pStyle w:val="Normal6"/>
              <w:rPr>
                <w:b/>
                <w:i/>
              </w:rPr>
            </w:pPr>
            <w:r w:rsidRPr="00AC4460">
              <w:t>3.</w:t>
            </w:r>
            <w:r w:rsidRPr="00AC4460">
              <w:rPr>
                <w:b/>
                <w:i/>
              </w:rPr>
              <w:tab/>
            </w:r>
            <w:r w:rsidRPr="00AC4460">
              <w:t>Η δραστηριότητα ανάμειξης δεν μεταβάλλει τη</w:t>
            </w:r>
            <w:r w:rsidRPr="00AC4460">
              <w:rPr>
                <w:b/>
                <w:i/>
              </w:rPr>
              <w:t xml:space="preserve"> φύση</w:t>
            </w:r>
            <w:r w:rsidRPr="00AC4460">
              <w:t xml:space="preserve"> του κάθε συστατικού προϊόντος λίπανσης</w:t>
            </w:r>
          </w:p>
        </w:tc>
        <w:tc>
          <w:tcPr>
            <w:tcW w:w="4876" w:type="dxa"/>
          </w:tcPr>
          <w:p w:rsidR="00E451E4" w:rsidRPr="00AC4460" w:rsidRDefault="00E451E4" w:rsidP="000A61DD">
            <w:pPr>
              <w:pStyle w:val="Normal6"/>
              <w:rPr>
                <w:b/>
                <w:i/>
              </w:rPr>
            </w:pPr>
            <w:r w:rsidRPr="00AC4460">
              <w:t>3.</w:t>
            </w:r>
            <w:r w:rsidRPr="00AC4460">
              <w:rPr>
                <w:b/>
                <w:i/>
              </w:rPr>
              <w:tab/>
            </w:r>
            <w:r w:rsidRPr="00AC4460">
              <w:t>Η δραστηριότητα ανάμειξης δεν μεταβάλλει τη</w:t>
            </w:r>
            <w:r w:rsidRPr="00AC4460">
              <w:rPr>
                <w:b/>
                <w:i/>
              </w:rPr>
              <w:t xml:space="preserve"> λειτουργία</w:t>
            </w:r>
            <w:r w:rsidRPr="00AC4460">
              <w:t xml:space="preserve"> του κάθε συστατικού προϊόντος λίπανσης</w:t>
            </w:r>
          </w:p>
        </w:tc>
      </w:tr>
    </w:tbl>
    <w:p w:rsidR="00E451E4" w:rsidRPr="00FD3AE3" w:rsidRDefault="00E451E4" w:rsidP="000A61DD">
      <w:r>
        <w:rPr>
          <w:rStyle w:val="HideTWBExt"/>
          <w:noProof w:val="0"/>
        </w:rPr>
        <w:t>&lt;/Amend&gt;</w:t>
      </w:r>
    </w:p>
    <w:p w:rsidR="00E451E4" w:rsidRPr="00FD3AE3" w:rsidRDefault="00E451E4" w:rsidP="000A61DD">
      <w:r>
        <w:rPr>
          <w:rStyle w:val="HideTWBExt"/>
          <w:noProof w:val="0"/>
        </w:rPr>
        <w:t>&lt;/RepeatBlock-Amend&gt;</w:t>
      </w:r>
    </w:p>
    <w:p w:rsidR="00E451E4" w:rsidRPr="00FD3AE3" w:rsidRDefault="00E451E4" w:rsidP="000A61DD"/>
    <w:p w:rsidR="00E451E4" w:rsidRPr="00FD3AE3" w:rsidRDefault="00E451E4" w:rsidP="000A61DD">
      <w:pPr>
        <w:pStyle w:val="PageHeadingNotTOC"/>
        <w:tabs>
          <w:tab w:val="left" w:pos="300"/>
        </w:tabs>
        <w:jc w:val="left"/>
      </w:pPr>
    </w:p>
    <w:p w:rsidR="00E451E4" w:rsidRPr="00FD3AE3" w:rsidRDefault="00E451E4" w:rsidP="000A61DD">
      <w:pPr>
        <w:pStyle w:val="PageHeadingNotTOC"/>
      </w:pPr>
      <w:r>
        <w:br w:type="page"/>
        <w:t>ΔΙΑΔΙΚΑΣΙΑ ΤΗΣ ΓΝΩΜΟΔΟΤΙΚΗΣ ΕΠΙΤΡΟΠΗΣ</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Θέσπιση κανόνων σχετικά με τη διάθεση προϊόντων λίπανσης με σήμανση CE στην αγορά</w:t>
            </w:r>
          </w:p>
        </w:tc>
      </w:tr>
      <w:tr w:rsidR="00E451E4" w:rsidRPr="00FD3AE3"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COM(2016)0157 – C8-0123/2016 – 2016/0084(COD)</w:t>
            </w:r>
          </w:p>
        </w:tc>
      </w:tr>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Επιτροπή αρμόδια επί της ουσίας</w:t>
            </w:r>
          </w:p>
          <w:p w:rsidR="00E451E4" w:rsidRPr="00FD3AE3" w:rsidRDefault="00754953">
            <w:pPr>
              <w:autoSpaceDE w:val="0"/>
              <w:autoSpaceDN w:val="0"/>
              <w:adjustRightInd w:val="0"/>
              <w:rPr>
                <w:color w:val="000000"/>
                <w:sz w:val="20"/>
              </w:rPr>
            </w:pPr>
            <w:r>
              <w:rPr>
                <w:color w:val="000000"/>
                <w:sz w:val="20"/>
              </w:rPr>
              <w:t xml:space="preserve">  </w:t>
            </w:r>
            <w:r w:rsidR="00E451E4">
              <w:rPr>
                <w:color w:val="000000"/>
                <w:sz w:val="20"/>
              </w:rPr>
              <w:t>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IMCO</w:t>
            </w:r>
          </w:p>
          <w:p w:rsidR="00E451E4" w:rsidRPr="00FD3AE3" w:rsidRDefault="00E451E4">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r>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Γνωμοδότηση της</w:t>
            </w:r>
          </w:p>
          <w:p w:rsidR="00E451E4" w:rsidRPr="00FD3AE3" w:rsidRDefault="00754953">
            <w:pPr>
              <w:autoSpaceDE w:val="0"/>
              <w:autoSpaceDN w:val="0"/>
              <w:adjustRightInd w:val="0"/>
              <w:rPr>
                <w:color w:val="000000"/>
                <w:sz w:val="20"/>
              </w:rPr>
            </w:pPr>
            <w:r>
              <w:rPr>
                <w:color w:val="000000"/>
                <w:sz w:val="20"/>
              </w:rPr>
              <w:t xml:space="preserve">  </w:t>
            </w:r>
            <w:r w:rsidR="00E451E4">
              <w:rPr>
                <w:color w:val="000000"/>
                <w:sz w:val="20"/>
              </w:rPr>
              <w:t>Ημερομ. αναγγελίας στην ολομέλεια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INTA</w:t>
            </w:r>
          </w:p>
          <w:p w:rsidR="00E451E4" w:rsidRPr="00FD3AE3" w:rsidRDefault="00E451E4">
            <w:pPr>
              <w:autoSpaceDE w:val="0"/>
              <w:autoSpaceDN w:val="0"/>
              <w:adjustRightInd w:val="0"/>
              <w:rPr>
                <w:color w:val="000000"/>
                <w:sz w:val="20"/>
              </w:rPr>
            </w:pPr>
            <w:r>
              <w:rPr>
                <w:color w:val="000000"/>
                <w:sz w:val="20"/>
              </w:rPr>
              <w:t>12.5.2016</w:t>
            </w:r>
          </w:p>
        </w:tc>
      </w:tr>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Συντάκτης(τρια) γνωμοδότησης</w:t>
            </w:r>
          </w:p>
          <w:p w:rsidR="00E451E4" w:rsidRPr="00FD3AE3" w:rsidRDefault="00754953">
            <w:pPr>
              <w:autoSpaceDE w:val="0"/>
              <w:autoSpaceDN w:val="0"/>
              <w:adjustRightInd w:val="0"/>
              <w:rPr>
                <w:color w:val="000000"/>
                <w:sz w:val="20"/>
              </w:rPr>
            </w:pPr>
            <w:r>
              <w:rPr>
                <w:color w:val="000000"/>
                <w:sz w:val="20"/>
              </w:rPr>
              <w:t xml:space="preserve">  </w:t>
            </w:r>
            <w:r w:rsidR="00E451E4">
              <w:rPr>
                <w:color w:val="000000"/>
                <w:sz w:val="20"/>
              </w:rPr>
              <w:t>Ημερομηνία ορισμού</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Jarosław Wałęsa</w:t>
            </w:r>
          </w:p>
          <w:p w:rsidR="00E451E4" w:rsidRPr="00FD3AE3" w:rsidRDefault="00E451E4">
            <w:pPr>
              <w:autoSpaceDE w:val="0"/>
              <w:autoSpaceDN w:val="0"/>
              <w:adjustRightInd w:val="0"/>
              <w:rPr>
                <w:color w:val="000000"/>
                <w:sz w:val="20"/>
              </w:rPr>
            </w:pPr>
            <w:r>
              <w:rPr>
                <w:color w:val="000000"/>
                <w:sz w:val="20"/>
              </w:rPr>
              <w:t>20.4.2016</w:t>
            </w:r>
          </w:p>
        </w:tc>
      </w:tr>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5.12.2016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27.2.2017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r>
      <w:tr w:rsidR="00E451E4" w:rsidRPr="00FD3AE3"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4.5.2017</w:t>
            </w:r>
          </w:p>
        </w:tc>
        <w:tc>
          <w:tcPr>
            <w:tcW w:w="1474" w:type="dxa"/>
            <w:tcBorders>
              <w:top w:val="nil"/>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rFonts w:ascii="sans-serif" w:hAnsi="sans-serif" w:cs="sans-serif"/>
                <w:color w:val="000000"/>
              </w:rPr>
            </w:pPr>
          </w:p>
        </w:tc>
      </w:tr>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w:t>
            </w:r>
          </w:p>
          <w:p w:rsidR="00E451E4" w:rsidRPr="00FD3AE3" w:rsidRDefault="00E451E4">
            <w:pPr>
              <w:autoSpaceDE w:val="0"/>
              <w:autoSpaceDN w:val="0"/>
              <w:adjustRightInd w:val="0"/>
              <w:rPr>
                <w:color w:val="000000"/>
                <w:sz w:val="20"/>
              </w:rPr>
            </w:pPr>
            <w:r>
              <w:rPr>
                <w:color w:val="000000"/>
                <w:sz w:val="20"/>
              </w:rPr>
              <w:t>–:</w:t>
            </w:r>
          </w:p>
          <w:p w:rsidR="00E451E4" w:rsidRPr="00FD3AE3" w:rsidRDefault="00E451E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31</w:t>
            </w:r>
          </w:p>
          <w:p w:rsidR="00E451E4" w:rsidRPr="00FD3AE3" w:rsidRDefault="00E451E4">
            <w:pPr>
              <w:autoSpaceDE w:val="0"/>
              <w:autoSpaceDN w:val="0"/>
              <w:adjustRightInd w:val="0"/>
              <w:rPr>
                <w:color w:val="000000"/>
                <w:sz w:val="20"/>
              </w:rPr>
            </w:pPr>
            <w:r>
              <w:rPr>
                <w:color w:val="000000"/>
                <w:sz w:val="20"/>
              </w:rPr>
              <w:t>4</w:t>
            </w:r>
          </w:p>
          <w:p w:rsidR="00E451E4" w:rsidRPr="00FD3AE3" w:rsidRDefault="00E451E4">
            <w:pPr>
              <w:autoSpaceDE w:val="0"/>
              <w:autoSpaceDN w:val="0"/>
              <w:adjustRightInd w:val="0"/>
              <w:rPr>
                <w:color w:val="000000"/>
                <w:sz w:val="20"/>
              </w:rPr>
            </w:pPr>
            <w:r>
              <w:rPr>
                <w:color w:val="000000"/>
                <w:sz w:val="20"/>
              </w:rPr>
              <w:t>3</w:t>
            </w:r>
          </w:p>
        </w:tc>
      </w:tr>
      <w:tr w:rsidR="00E451E4" w:rsidRPr="00FD3AE3" w:rsidTr="000A61D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Laima Liucija Andrikienė, Maria Arena, Tiziana Beghin, David Borrelli, Daniel Caspary, Salvatore Cicu, Santiago Fisas Ayxelà, Heidi Hautala, Yannick Jadot, Bernd Lange, David Martin, Anne-Marie Mineur, Sorin Moisă, Franz Obermayr, Franck Proust, Tokia Saïfi, Marietje Schaake, Helmut Scholz, Joachim Schuster, Joachim Starbatty, Adam Szejnfeld, Hannu Takkula</w:t>
            </w:r>
          </w:p>
        </w:tc>
      </w:tr>
      <w:tr w:rsidR="00E451E4" w:rsidRPr="00FD3AE3"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Eric Andrieu, Bendt Bendtsen, Dita Charanzová, Edouard Ferrand, Danuta Maria Hübner, Agnes Jongerius, Sander Loones, Bolesław G. Piecha, Fernando Ruas, José Ignacio Salafranca Sánchez-Neyra, Pedro Silva Pereira, Jarosław Wałęsa, Στέλιος Κούλογλου</w:t>
            </w:r>
          </w:p>
        </w:tc>
      </w:tr>
      <w:tr w:rsidR="00E451E4" w:rsidRPr="00FD3AE3" w:rsidTr="000A61D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51E4" w:rsidRPr="00FD3AE3" w:rsidRDefault="00E451E4">
            <w:pPr>
              <w:autoSpaceDE w:val="0"/>
              <w:autoSpaceDN w:val="0"/>
              <w:adjustRightInd w:val="0"/>
              <w:rPr>
                <w:color w:val="000000"/>
                <w:sz w:val="20"/>
              </w:rPr>
            </w:pPr>
            <w:r>
              <w:rPr>
                <w:color w:val="000000"/>
                <w:sz w:val="20"/>
              </w:rPr>
              <w:t>Beatriz Becerra Basterrechea, Edward Czesak, Marco Zanni</w:t>
            </w:r>
          </w:p>
        </w:tc>
      </w:tr>
    </w:tbl>
    <w:p w:rsidR="00E451E4" w:rsidRPr="00FD3AE3" w:rsidRDefault="00E451E4" w:rsidP="000A61DD">
      <w:pPr>
        <w:autoSpaceDE w:val="0"/>
        <w:autoSpaceDN w:val="0"/>
        <w:adjustRightInd w:val="0"/>
        <w:rPr>
          <w:rFonts w:ascii="Arial" w:hAnsi="Arial" w:cs="Arial"/>
        </w:rPr>
      </w:pPr>
    </w:p>
    <w:p w:rsidR="00E451E4" w:rsidRPr="00FD3AE3" w:rsidRDefault="00E451E4" w:rsidP="00E451E4">
      <w:pPr>
        <w:pStyle w:val="PageHeadingNotTOC"/>
      </w:pPr>
      <w:r>
        <w:br w:type="page"/>
        <w:t>ΤΕΛΙΚΗ ΨΗΦΟΦΟΡΙΑ ΜΕ ΟΝΟΜΑΣΤΙΚΗ ΚΛΗΣΗ ΣΤΗ ΓΝΩΜΟΔΟΤΙΚΗ ΕΠΙΤΡΟΠΗ</w:t>
      </w:r>
    </w:p>
    <w:p w:rsidR="00E451E4" w:rsidRPr="00FD3AE3" w:rsidRDefault="00E451E4" w:rsidP="000A61DD"/>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E451E4" w:rsidRPr="00FD3AE3" w:rsidTr="000A61D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51E4" w:rsidRPr="00FD3AE3" w:rsidRDefault="00E451E4" w:rsidP="000A61DD">
            <w:pPr>
              <w:spacing w:before="120" w:after="120"/>
              <w:jc w:val="center"/>
              <w:rPr>
                <w:b/>
                <w:snapToGrid w:val="0"/>
                <w:sz w:val="22"/>
                <w:szCs w:val="22"/>
              </w:rPr>
            </w:pPr>
            <w:r>
              <w:rPr>
                <w:b/>
                <w:snapToGrid w:val="0"/>
                <w:sz w:val="22"/>
                <w:szCs w:val="22"/>
              </w:rPr>
              <w:t>31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51E4" w:rsidRPr="00FD3AE3" w:rsidRDefault="00E451E4" w:rsidP="000A61DD">
            <w:pPr>
              <w:spacing w:before="120" w:after="120"/>
              <w:jc w:val="center"/>
              <w:rPr>
                <w:b/>
                <w:snapToGrid w:val="0"/>
                <w:sz w:val="22"/>
                <w:szCs w:val="22"/>
              </w:rPr>
            </w:pPr>
            <w:r>
              <w:rPr>
                <w:b/>
                <w:snapToGrid w:val="0"/>
                <w:sz w:val="22"/>
                <w:szCs w:val="22"/>
              </w:rPr>
              <w:t>+</w:t>
            </w:r>
          </w:p>
        </w:tc>
      </w:tr>
      <w:tr w:rsidR="00E451E4" w:rsidRPr="00FD3AE3"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Becerra Basterrechea Beatriz, Schaake Marietje, Takkula Hannu</w:t>
            </w:r>
          </w:p>
        </w:tc>
      </w:tr>
      <w:tr w:rsidR="00E451E4" w:rsidRPr="00E451E4"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E451E4" w:rsidRDefault="00E451E4" w:rsidP="000A61DD">
            <w:pPr>
              <w:spacing w:before="120" w:after="120"/>
              <w:rPr>
                <w:snapToGrid w:val="0"/>
                <w:sz w:val="22"/>
                <w:szCs w:val="22"/>
              </w:rPr>
            </w:pPr>
            <w:r>
              <w:rPr>
                <w:snapToGrid w:val="0"/>
                <w:sz w:val="22"/>
                <w:szCs w:val="22"/>
              </w:rPr>
              <w:t>Czesak Edward, Loones Sander, Piecha Bolesław G., Starbatty Joachim</w:t>
            </w:r>
          </w:p>
        </w:tc>
      </w:tr>
      <w:tr w:rsidR="00E451E4" w:rsidRPr="00FD3AE3"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Beghin Tiziana, Borrelli David</w:t>
            </w:r>
          </w:p>
        </w:tc>
      </w:tr>
      <w:tr w:rsidR="00E451E4" w:rsidRPr="00FD3AE3"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Andrikienė Laima Liucija, Bendtsen Bendt, Caspary Daniel, Cicu Salvatore, Fisas Ayxelà Santiago, Hübner Danuta Maria, Proust Franck, Ruas Fernando, Salafranca Sánchez-Neyra José Ignacio, Saïfi Tokia, Szejnfeld Adam, Wałęsa Jarosław</w:t>
            </w:r>
          </w:p>
        </w:tc>
      </w:tr>
      <w:tr w:rsidR="00E451E4" w:rsidRPr="00FD3AE3"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Andrieu Eric, Arena Maria, Jongerius Agnes, Lange Bernd, Martin David, Moisă Sorin, Schuster Joachim, Silva Pereira Pedro</w:t>
            </w:r>
          </w:p>
        </w:tc>
      </w:tr>
      <w:tr w:rsidR="00E451E4" w:rsidRPr="00FD3AE3" w:rsidTr="000A61D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Hautala Heidi, Jadot Yannick</w:t>
            </w:r>
          </w:p>
        </w:tc>
      </w:tr>
    </w:tbl>
    <w:p w:rsidR="00E451E4" w:rsidRPr="00FD3AE3" w:rsidRDefault="00E451E4" w:rsidP="000A61DD">
      <w:pPr>
        <w:rPr>
          <w:snapToGrid w:val="0"/>
          <w:sz w:val="22"/>
          <w:szCs w:val="22"/>
          <w:lang w:eastAsia="en-US"/>
        </w:rPr>
      </w:pP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E451E4" w:rsidRPr="00FD3AE3" w:rsidTr="000A61D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51E4" w:rsidRPr="00FD3AE3" w:rsidRDefault="00E451E4" w:rsidP="000A61DD">
            <w:pPr>
              <w:spacing w:before="120" w:after="120"/>
              <w:jc w:val="center"/>
              <w:rPr>
                <w:b/>
                <w:snapToGrid w:val="0"/>
                <w:sz w:val="22"/>
                <w:szCs w:val="22"/>
              </w:rPr>
            </w:pPr>
            <w:r>
              <w:rPr>
                <w:b/>
                <w:snapToGrid w:val="0"/>
                <w:sz w:val="22"/>
                <w:szCs w:val="22"/>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51E4" w:rsidRPr="00FD3AE3" w:rsidRDefault="00E451E4" w:rsidP="000A61DD">
            <w:pPr>
              <w:spacing w:before="120" w:after="120"/>
              <w:jc w:val="center"/>
              <w:rPr>
                <w:snapToGrid w:val="0"/>
                <w:sz w:val="22"/>
                <w:szCs w:val="22"/>
              </w:rPr>
            </w:pPr>
            <w:r>
              <w:rPr>
                <w:b/>
                <w:snapToGrid w:val="0"/>
                <w:sz w:val="22"/>
                <w:szCs w:val="22"/>
              </w:rPr>
              <w:t>–</w:t>
            </w:r>
          </w:p>
        </w:tc>
      </w:tr>
      <w:tr w:rsidR="00E451E4" w:rsidRPr="00FD3AE3"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Zanni Marco</w:t>
            </w:r>
          </w:p>
        </w:tc>
      </w:tr>
      <w:tr w:rsidR="00E451E4" w:rsidRPr="00E451E4" w:rsidTr="000A61D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51E4" w:rsidRPr="00E451E4" w:rsidRDefault="00E451E4" w:rsidP="000A61DD">
            <w:pPr>
              <w:spacing w:before="120" w:after="120"/>
              <w:rPr>
                <w:snapToGrid w:val="0"/>
                <w:sz w:val="22"/>
                <w:szCs w:val="22"/>
              </w:rPr>
            </w:pPr>
            <w:r>
              <w:rPr>
                <w:snapToGrid w:val="0"/>
                <w:sz w:val="22"/>
                <w:szCs w:val="22"/>
              </w:rPr>
              <w:t>Kouloglou Stelios, Mineur Anne-Marie, Scholz Helmut</w:t>
            </w:r>
          </w:p>
        </w:tc>
      </w:tr>
    </w:tbl>
    <w:p w:rsidR="00E451E4" w:rsidRPr="00E451E4" w:rsidRDefault="00E451E4" w:rsidP="000A61DD">
      <w:pPr>
        <w:rPr>
          <w:snapToGrid w:val="0"/>
          <w:sz w:val="22"/>
          <w:szCs w:val="22"/>
          <w:lang w:val="de-DE" w:eastAsia="en-US"/>
        </w:rPr>
      </w:pP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E451E4" w:rsidRPr="00FD3AE3" w:rsidTr="000A61D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51E4" w:rsidRPr="00FD3AE3" w:rsidRDefault="00E451E4" w:rsidP="000A61DD">
            <w:pPr>
              <w:spacing w:before="120" w:after="120"/>
              <w:jc w:val="center"/>
              <w:rPr>
                <w:b/>
                <w:snapToGrid w:val="0"/>
                <w:sz w:val="22"/>
                <w:szCs w:val="22"/>
              </w:rPr>
            </w:pPr>
            <w:r>
              <w:rPr>
                <w:b/>
                <w:snapToGrid w:val="0"/>
                <w:sz w:val="22"/>
                <w:szCs w:val="22"/>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51E4" w:rsidRPr="00FD3AE3" w:rsidRDefault="00E451E4" w:rsidP="000A61DD">
            <w:pPr>
              <w:spacing w:before="120" w:after="120"/>
              <w:jc w:val="center"/>
              <w:rPr>
                <w:snapToGrid w:val="0"/>
                <w:sz w:val="22"/>
                <w:szCs w:val="22"/>
              </w:rPr>
            </w:pPr>
            <w:r>
              <w:rPr>
                <w:b/>
                <w:snapToGrid w:val="0"/>
                <w:sz w:val="22"/>
                <w:szCs w:val="22"/>
              </w:rPr>
              <w:t>0</w:t>
            </w:r>
          </w:p>
        </w:tc>
      </w:tr>
      <w:tr w:rsidR="00E451E4" w:rsidRPr="00FD3AE3" w:rsidTr="000A61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Charanzová Dita</w:t>
            </w:r>
          </w:p>
        </w:tc>
      </w:tr>
      <w:tr w:rsidR="00E451E4" w:rsidRPr="00FD3AE3" w:rsidTr="000A61D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E451E4" w:rsidRPr="00FD3AE3" w:rsidRDefault="00E451E4" w:rsidP="000A61DD">
            <w:pPr>
              <w:spacing w:before="120" w:after="120"/>
              <w:rPr>
                <w:snapToGrid w:val="0"/>
                <w:sz w:val="22"/>
                <w:szCs w:val="22"/>
              </w:rPr>
            </w:pPr>
            <w:r>
              <w:rPr>
                <w:snapToGrid w:val="0"/>
                <w:sz w:val="22"/>
                <w:szCs w:val="22"/>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51E4" w:rsidRPr="00FD3AE3" w:rsidRDefault="00E451E4" w:rsidP="000A61DD">
            <w:pPr>
              <w:spacing w:before="120" w:after="120"/>
              <w:rPr>
                <w:snapToGrid w:val="0"/>
                <w:sz w:val="22"/>
                <w:szCs w:val="22"/>
              </w:rPr>
            </w:pPr>
            <w:r>
              <w:rPr>
                <w:snapToGrid w:val="0"/>
                <w:sz w:val="22"/>
                <w:szCs w:val="22"/>
              </w:rPr>
              <w:t>Ferrand Edouard, Obermayr Franz</w:t>
            </w:r>
          </w:p>
        </w:tc>
      </w:tr>
    </w:tbl>
    <w:p w:rsidR="00E451E4" w:rsidRPr="00FD3AE3" w:rsidRDefault="00E451E4" w:rsidP="000A61DD"/>
    <w:p w:rsidR="00E451E4" w:rsidRPr="00FD3AE3" w:rsidRDefault="00E451E4" w:rsidP="000A61DD">
      <w:pPr>
        <w:pStyle w:val="RefProc"/>
      </w:pPr>
    </w:p>
    <w:p w:rsidR="00E451E4" w:rsidRPr="00FD3AE3" w:rsidRDefault="00E451E4" w:rsidP="000A61DD">
      <w:pPr>
        <w:autoSpaceDE w:val="0"/>
        <w:autoSpaceDN w:val="0"/>
        <w:adjustRightInd w:val="0"/>
      </w:pPr>
    </w:p>
    <w:p w:rsidR="00846D90" w:rsidRPr="008E153B" w:rsidRDefault="00846D90" w:rsidP="00E451E4"/>
    <w:p w:rsidR="008E153B" w:rsidRDefault="008E153B" w:rsidP="008E153B">
      <w:pPr>
        <w:pStyle w:val="PageHeading"/>
      </w:pPr>
      <w:r>
        <w:br w:type="page"/>
      </w:r>
      <w:bookmarkStart w:id="22" w:name="ProcPageRR"/>
      <w:bookmarkStart w:id="23" w:name="_Toc492553369"/>
      <w:r>
        <w:t>ΔΙΑΔΙΚΑΣΙΑ ΤΗΣ ΑΡΜΟΔΙΑΣ ΕΠΙ ΤΗΣ ΟΥΣΙΑΣ ΕΠΙΤΡΟΠΗΣ</w:t>
      </w:r>
      <w:bookmarkEnd w:id="2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Θέσπιση κανόνων σχετικά με τη διάθεση προϊόντων λίπανσης με σήμανση CE στην αγορά</w:t>
            </w: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COM(2016)0157 – C8-0123/2016 – 2016/0084(COD)</w:t>
            </w:r>
          </w:p>
        </w:tc>
      </w:tr>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Ημερομηνία υποβολής στο ΕΚ</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17.3.2016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Επιτροπή αρμόδια επί της ουσίας</w:t>
            </w:r>
          </w:p>
          <w:p w:rsidR="008E153B" w:rsidRDefault="00754953">
            <w:pPr>
              <w:autoSpaceDE w:val="0"/>
              <w:autoSpaceDN w:val="0"/>
              <w:adjustRightInd w:val="0"/>
              <w:rPr>
                <w:color w:val="000000"/>
                <w:sz w:val="20"/>
              </w:rPr>
            </w:pPr>
            <w:r>
              <w:rPr>
                <w:color w:val="000000"/>
                <w:sz w:val="20"/>
              </w:rPr>
              <w:t xml:space="preserve">  </w:t>
            </w:r>
            <w:r w:rsidR="008E153B">
              <w:rPr>
                <w:color w:val="000000"/>
                <w:sz w:val="20"/>
              </w:rPr>
              <w:t>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IMCO</w:t>
            </w:r>
          </w:p>
          <w:p w:rsidR="008E153B" w:rsidRDefault="008E153B">
            <w:pPr>
              <w:autoSpaceDE w:val="0"/>
              <w:autoSpaceDN w:val="0"/>
              <w:adjustRightInd w:val="0"/>
              <w:rPr>
                <w:color w:val="000000"/>
                <w:sz w:val="20"/>
              </w:rPr>
            </w:pPr>
            <w:r>
              <w:rPr>
                <w:color w:val="000000"/>
                <w:sz w:val="20"/>
              </w:rPr>
              <w:t>11.4.2016</w:t>
            </w: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Γνωμοδοτικές επιτροπές</w:t>
            </w:r>
          </w:p>
          <w:p w:rsidR="008E153B" w:rsidRDefault="00754953">
            <w:pPr>
              <w:autoSpaceDE w:val="0"/>
              <w:autoSpaceDN w:val="0"/>
              <w:adjustRightInd w:val="0"/>
              <w:rPr>
                <w:color w:val="000000"/>
                <w:sz w:val="20"/>
              </w:rPr>
            </w:pPr>
            <w:r>
              <w:rPr>
                <w:color w:val="000000"/>
                <w:sz w:val="20"/>
              </w:rPr>
              <w:t xml:space="preserve">  </w:t>
            </w:r>
            <w:r w:rsidR="008E153B">
              <w:rPr>
                <w:color w:val="000000"/>
                <w:sz w:val="20"/>
              </w:rPr>
              <w:t>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INTA</w:t>
            </w:r>
          </w:p>
          <w:p w:rsidR="008E153B" w:rsidRDefault="008E153B">
            <w:pPr>
              <w:autoSpaceDE w:val="0"/>
              <w:autoSpaceDN w:val="0"/>
              <w:adjustRightInd w:val="0"/>
              <w:rPr>
                <w:color w:val="000000"/>
                <w:sz w:val="20"/>
              </w:rPr>
            </w:pPr>
            <w:r>
              <w:rPr>
                <w:color w:val="000000"/>
                <w:sz w:val="20"/>
              </w:rPr>
              <w:t>12.5.2016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ENVI</w:t>
            </w:r>
          </w:p>
          <w:p w:rsidR="008E153B" w:rsidRDefault="008E153B">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ITRE</w:t>
            </w:r>
          </w:p>
          <w:p w:rsidR="008E153B" w:rsidRDefault="008E153B">
            <w:pPr>
              <w:autoSpaceDE w:val="0"/>
              <w:autoSpaceDN w:val="0"/>
              <w:adjustRightInd w:val="0"/>
              <w:rPr>
                <w:color w:val="000000"/>
                <w:sz w:val="20"/>
              </w:rPr>
            </w:pPr>
            <w:r>
              <w:rPr>
                <w:color w:val="000000"/>
                <w:sz w:val="20"/>
              </w:rPr>
              <w:t>11.4.2016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AGRI</w:t>
            </w:r>
          </w:p>
          <w:p w:rsidR="008E153B" w:rsidRDefault="008E153B">
            <w:pPr>
              <w:autoSpaceDE w:val="0"/>
              <w:autoSpaceDN w:val="0"/>
              <w:adjustRightInd w:val="0"/>
              <w:rPr>
                <w:color w:val="000000"/>
                <w:sz w:val="20"/>
              </w:rPr>
            </w:pPr>
            <w:r>
              <w:rPr>
                <w:color w:val="000000"/>
                <w:sz w:val="20"/>
              </w:rPr>
              <w:t>11.4.2016</w:t>
            </w: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Αποφάσισε να μη γνωμοδοτήσει</w:t>
            </w:r>
          </w:p>
          <w:p w:rsidR="008E153B" w:rsidRDefault="00754953">
            <w:pPr>
              <w:autoSpaceDE w:val="0"/>
              <w:autoSpaceDN w:val="0"/>
              <w:adjustRightInd w:val="0"/>
              <w:rPr>
                <w:color w:val="000000"/>
                <w:sz w:val="20"/>
              </w:rPr>
            </w:pPr>
            <w:r>
              <w:rPr>
                <w:color w:val="000000"/>
                <w:sz w:val="20"/>
              </w:rPr>
              <w:t xml:space="preserve">  </w:t>
            </w:r>
            <w:r w:rsidR="008E153B">
              <w:rPr>
                <w:color w:val="000000"/>
                <w:sz w:val="20"/>
              </w:rPr>
              <w:t>Ημερομηνία της απόφασης</w:t>
            </w:r>
          </w:p>
        </w:tc>
        <w:tc>
          <w:tcPr>
            <w:tcW w:w="1530"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ITRE</w:t>
            </w:r>
          </w:p>
          <w:p w:rsidR="008E153B" w:rsidRDefault="008E153B">
            <w:pPr>
              <w:autoSpaceDE w:val="0"/>
              <w:autoSpaceDN w:val="0"/>
              <w:adjustRightInd w:val="0"/>
              <w:rPr>
                <w:color w:val="000000"/>
                <w:sz w:val="20"/>
              </w:rPr>
            </w:pPr>
            <w:r>
              <w:rPr>
                <w:color w:val="000000"/>
                <w:sz w:val="20"/>
              </w:rPr>
              <w:t>24.5.2016</w:t>
            </w: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Συνδεδεμένες επιτροπές</w:t>
            </w:r>
          </w:p>
          <w:p w:rsidR="008E153B" w:rsidRDefault="00754953">
            <w:pPr>
              <w:autoSpaceDE w:val="0"/>
              <w:autoSpaceDN w:val="0"/>
              <w:adjustRightInd w:val="0"/>
              <w:rPr>
                <w:color w:val="000000"/>
                <w:sz w:val="20"/>
              </w:rPr>
            </w:pPr>
            <w:r>
              <w:rPr>
                <w:color w:val="000000"/>
                <w:sz w:val="20"/>
              </w:rPr>
              <w:t xml:space="preserve">  </w:t>
            </w:r>
            <w:r w:rsidR="008E153B">
              <w:rPr>
                <w:color w:val="000000"/>
                <w:sz w:val="20"/>
              </w:rPr>
              <w:t>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AGRI</w:t>
            </w:r>
          </w:p>
          <w:p w:rsidR="008E153B" w:rsidRDefault="008E153B">
            <w:pPr>
              <w:autoSpaceDE w:val="0"/>
              <w:autoSpaceDN w:val="0"/>
              <w:adjustRightInd w:val="0"/>
              <w:rPr>
                <w:color w:val="000000"/>
                <w:sz w:val="20"/>
              </w:rPr>
            </w:pPr>
            <w:r>
              <w:rPr>
                <w:color w:val="000000"/>
                <w:sz w:val="20"/>
              </w:rPr>
              <w:t>27.10.2016</w:t>
            </w: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ENVI</w:t>
            </w:r>
          </w:p>
          <w:p w:rsidR="008E153B" w:rsidRDefault="008E153B">
            <w:pPr>
              <w:autoSpaceDE w:val="0"/>
              <w:autoSpaceDN w:val="0"/>
              <w:adjustRightInd w:val="0"/>
              <w:rPr>
                <w:color w:val="000000"/>
                <w:sz w:val="20"/>
              </w:rPr>
            </w:pPr>
            <w:r>
              <w:rPr>
                <w:color w:val="000000"/>
                <w:sz w:val="20"/>
              </w:rPr>
              <w:t>27.10.2016</w:t>
            </w: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Εισηγητές</w:t>
            </w:r>
          </w:p>
          <w:p w:rsidR="008E153B" w:rsidRDefault="00754953">
            <w:pPr>
              <w:autoSpaceDE w:val="0"/>
              <w:autoSpaceDN w:val="0"/>
              <w:adjustRightInd w:val="0"/>
              <w:rPr>
                <w:color w:val="000000"/>
                <w:sz w:val="20"/>
              </w:rPr>
            </w:pPr>
            <w:r>
              <w:rPr>
                <w:color w:val="000000"/>
                <w:sz w:val="20"/>
              </w:rPr>
              <w:t xml:space="preserve">  </w:t>
            </w:r>
            <w:r w:rsidR="008E153B">
              <w:rPr>
                <w:color w:val="000000"/>
                <w:sz w:val="20"/>
              </w:rPr>
              <w:t>Ημερομηνία ορισμού</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Ildikó Gáll-Pelcz</w:t>
            </w:r>
          </w:p>
          <w:p w:rsidR="008E153B" w:rsidRDefault="008E153B">
            <w:pPr>
              <w:autoSpaceDE w:val="0"/>
              <w:autoSpaceDN w:val="0"/>
              <w:adjustRightInd w:val="0"/>
              <w:rPr>
                <w:color w:val="000000"/>
                <w:sz w:val="20"/>
              </w:rPr>
            </w:pPr>
            <w:r>
              <w:rPr>
                <w:color w:val="000000"/>
                <w:sz w:val="20"/>
              </w:rPr>
              <w:t>20.4.2016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11.5.2017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13.7.2017</w:t>
            </w: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rFonts w:ascii="sans-serif" w:hAnsi="sans-serif" w:cs="sans-serif"/>
                <w:color w:val="000000"/>
                <w:szCs w:val="24"/>
              </w:rPr>
            </w:pPr>
          </w:p>
        </w:tc>
      </w:tr>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w:t>
            </w:r>
          </w:p>
          <w:p w:rsidR="008E153B" w:rsidRDefault="008E153B">
            <w:pPr>
              <w:autoSpaceDE w:val="0"/>
              <w:autoSpaceDN w:val="0"/>
              <w:adjustRightInd w:val="0"/>
              <w:rPr>
                <w:color w:val="000000"/>
                <w:sz w:val="20"/>
              </w:rPr>
            </w:pPr>
            <w:r>
              <w:rPr>
                <w:color w:val="000000"/>
                <w:sz w:val="20"/>
              </w:rPr>
              <w:t>–:</w:t>
            </w:r>
          </w:p>
          <w:p w:rsidR="008E153B" w:rsidRDefault="008E153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30</w:t>
            </w:r>
          </w:p>
          <w:p w:rsidR="008E153B" w:rsidRDefault="008E153B">
            <w:pPr>
              <w:autoSpaceDE w:val="0"/>
              <w:autoSpaceDN w:val="0"/>
              <w:adjustRightInd w:val="0"/>
              <w:rPr>
                <w:color w:val="000000"/>
                <w:sz w:val="20"/>
              </w:rPr>
            </w:pPr>
            <w:r>
              <w:rPr>
                <w:color w:val="000000"/>
                <w:sz w:val="20"/>
              </w:rPr>
              <w:t>3</w:t>
            </w:r>
          </w:p>
          <w:p w:rsidR="008E153B" w:rsidRDefault="008E153B">
            <w:pPr>
              <w:autoSpaceDE w:val="0"/>
              <w:autoSpaceDN w:val="0"/>
              <w:adjustRightInd w:val="0"/>
              <w:rPr>
                <w:color w:val="000000"/>
                <w:sz w:val="20"/>
              </w:rPr>
            </w:pPr>
            <w:r>
              <w:rPr>
                <w:color w:val="000000"/>
                <w:sz w:val="20"/>
              </w:rPr>
              <w:t>4</w:t>
            </w:r>
          </w:p>
        </w:tc>
      </w:tr>
      <w:tr w:rsidR="008E15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Carlos Coelho, Daniel Dalton, Nicola Danti, Pascal Durand, John Flack, Ildikó Gáll-Pelcz, Evelyne Gebhardt, Maria Grapini, Sergio Gutiérrez Prieto, Robert Jarosław Iwaszkiewicz, Liisa Jaakonsaari, Morten Løkkegaard, Marlene Mizzi, Virginie Rozière, Christel Schaldemose, Olga Sehnalová, Jasenko Selimovic, Ivan Štefanec, Catherine Stihler, Mylène Troszczynski, Anneleen Van Bossuyt, Marco Zullo</w:t>
            </w: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Jan Philipp Albrecht, Birgit Collin-Langen, Edward Czesak, Dariusz Rosati, Adam Szejnfeld, Marc Tarabella</w:t>
            </w: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Andrea Bocskor, David Coburn, Jan Huitema, Seán Kelly, Andrey Kovatchev, Norbert Lins, Bogdan Brunon Wenta, Marco Zanni, Bogdan Andrzej Zdrojewski</w:t>
            </w:r>
          </w:p>
        </w:tc>
      </w:tr>
      <w:tr w:rsidR="008E15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b/>
                <w:bCs/>
                <w:color w:val="000000"/>
                <w:sz w:val="20"/>
              </w:rPr>
            </w:pPr>
            <w:r>
              <w:rPr>
                <w:b/>
                <w:bCs/>
                <w:color w:val="000000"/>
                <w:sz w:val="20"/>
              </w:rPr>
              <w:t>Ημερομηνία κατάθεσης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153B" w:rsidRDefault="008E153B">
            <w:pPr>
              <w:autoSpaceDE w:val="0"/>
              <w:autoSpaceDN w:val="0"/>
              <w:adjustRightInd w:val="0"/>
              <w:rPr>
                <w:color w:val="000000"/>
                <w:sz w:val="20"/>
              </w:rPr>
            </w:pPr>
            <w:r>
              <w:rPr>
                <w:color w:val="000000"/>
                <w:sz w:val="20"/>
              </w:rPr>
              <w:t>25.7.2017</w:t>
            </w:r>
          </w:p>
        </w:tc>
      </w:tr>
    </w:tbl>
    <w:p w:rsidR="008E153B" w:rsidRDefault="008E153B">
      <w:pPr>
        <w:autoSpaceDE w:val="0"/>
        <w:autoSpaceDN w:val="0"/>
        <w:adjustRightInd w:val="0"/>
        <w:rPr>
          <w:rFonts w:ascii="Arial" w:hAnsi="Arial" w:cs="Arial"/>
          <w:szCs w:val="24"/>
        </w:rPr>
      </w:pPr>
    </w:p>
    <w:bookmarkEnd w:id="22"/>
    <w:p w:rsidR="00E451E4" w:rsidRPr="00E451E4" w:rsidRDefault="00E451E4" w:rsidP="00E451E4">
      <w:pPr>
        <w:pStyle w:val="PageHeading"/>
      </w:pPr>
      <w:r>
        <w:br w:type="page"/>
      </w:r>
      <w:bookmarkStart w:id="24" w:name="_Toc453227414"/>
      <w:bookmarkStart w:id="25" w:name="_Toc492553370"/>
      <w:r>
        <w:t>ΤΕΛΙΚΗ ΨΗΦΟΦΟΡΙΑ ΜΕ ΟΝΟΜΑΣΤΙΚΗ ΚΛΗΣΗ ΣΤΗΝ ΑΡΜΟΔΙΑ ΕΠΙΤΡΟΠΗ</w:t>
      </w:r>
      <w:bookmarkEnd w:id="24"/>
      <w:bookmarkEnd w:id="25"/>
    </w:p>
    <w:p w:rsidR="00E451E4" w:rsidRPr="00E451E4" w:rsidRDefault="00E451E4" w:rsidP="00E451E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B0345A" w:rsidTr="000A61DD">
        <w:trPr>
          <w:cantSplit/>
        </w:trPr>
        <w:tc>
          <w:tcPr>
            <w:tcW w:w="1701" w:type="dxa"/>
            <w:shd w:val="pct10" w:color="000000" w:fill="FFFFFF"/>
            <w:vAlign w:val="center"/>
          </w:tcPr>
          <w:p w:rsidR="00E451E4" w:rsidRPr="00B0345A" w:rsidRDefault="00E451E4" w:rsidP="000A61DD">
            <w:pPr>
              <w:spacing w:before="120" w:after="120"/>
              <w:jc w:val="center"/>
              <w:rPr>
                <w:b/>
                <w:sz w:val="20"/>
              </w:rPr>
            </w:pPr>
            <w:r>
              <w:rPr>
                <w:b/>
                <w:sz w:val="20"/>
              </w:rPr>
              <w:t>30</w:t>
            </w:r>
          </w:p>
        </w:tc>
        <w:tc>
          <w:tcPr>
            <w:tcW w:w="7371" w:type="dxa"/>
            <w:shd w:val="pct10" w:color="000000" w:fill="FFFFFF"/>
          </w:tcPr>
          <w:p w:rsidR="00E451E4" w:rsidRPr="00B0345A" w:rsidRDefault="00E451E4" w:rsidP="000A61DD">
            <w:pPr>
              <w:spacing w:before="120" w:after="120"/>
              <w:jc w:val="center"/>
              <w:rPr>
                <w:rFonts w:ascii="Arial" w:hAnsi="Arial" w:cs="Arial"/>
                <w:b/>
                <w:sz w:val="28"/>
                <w:szCs w:val="28"/>
              </w:rPr>
            </w:pPr>
            <w:r>
              <w:rPr>
                <w:rFonts w:ascii="Arial" w:hAnsi="Arial"/>
                <w:b/>
                <w:sz w:val="28"/>
                <w:szCs w:val="28"/>
              </w:rPr>
              <w:t>+</w:t>
            </w:r>
          </w:p>
        </w:tc>
      </w:tr>
      <w:tr w:rsidR="00E451E4" w:rsidRPr="00FA3492" w:rsidTr="000A61DD">
        <w:trPr>
          <w:cantSplit/>
        </w:trPr>
        <w:tc>
          <w:tcPr>
            <w:tcW w:w="1701" w:type="dxa"/>
            <w:shd w:val="clear" w:color="auto" w:fill="FFFFFF"/>
          </w:tcPr>
          <w:p w:rsidR="00E451E4" w:rsidRPr="00B0345A" w:rsidRDefault="00E451E4" w:rsidP="000A61DD">
            <w:pPr>
              <w:spacing w:before="120" w:after="120"/>
              <w:rPr>
                <w:sz w:val="20"/>
              </w:rPr>
            </w:pPr>
            <w:r>
              <w:rPr>
                <w:sz w:val="20"/>
              </w:rPr>
              <w:t>ALDE</w:t>
            </w:r>
          </w:p>
        </w:tc>
        <w:tc>
          <w:tcPr>
            <w:tcW w:w="7371" w:type="dxa"/>
            <w:shd w:val="clear" w:color="auto" w:fill="FFFFFF"/>
          </w:tcPr>
          <w:p w:rsidR="00E451E4" w:rsidRPr="00032852" w:rsidRDefault="00E451E4" w:rsidP="000A61DD">
            <w:pPr>
              <w:spacing w:before="120" w:after="120"/>
              <w:rPr>
                <w:sz w:val="20"/>
              </w:rPr>
            </w:pPr>
            <w:r>
              <w:rPr>
                <w:sz w:val="20"/>
              </w:rPr>
              <w:t>Jan Huitema, Morten Løkkegaard, Jasenko Selimovic</w:t>
            </w:r>
          </w:p>
        </w:tc>
      </w:tr>
      <w:tr w:rsidR="00E451E4" w:rsidRPr="00B0345A" w:rsidTr="000A61DD">
        <w:trPr>
          <w:cantSplit/>
        </w:trPr>
        <w:tc>
          <w:tcPr>
            <w:tcW w:w="1701" w:type="dxa"/>
            <w:shd w:val="clear" w:color="auto" w:fill="FFFFFF"/>
          </w:tcPr>
          <w:p w:rsidR="00E451E4" w:rsidRPr="00B0345A" w:rsidRDefault="00E451E4" w:rsidP="000A61DD">
            <w:pPr>
              <w:spacing w:before="120" w:after="120"/>
              <w:rPr>
                <w:sz w:val="20"/>
              </w:rPr>
            </w:pPr>
            <w:r>
              <w:rPr>
                <w:sz w:val="20"/>
              </w:rPr>
              <w:t>ENF</w:t>
            </w:r>
          </w:p>
        </w:tc>
        <w:tc>
          <w:tcPr>
            <w:tcW w:w="7371" w:type="dxa"/>
            <w:shd w:val="clear" w:color="auto" w:fill="FFFFFF"/>
          </w:tcPr>
          <w:p w:rsidR="00E451E4" w:rsidRPr="00B0345A" w:rsidRDefault="00E451E4" w:rsidP="000A61DD">
            <w:pPr>
              <w:spacing w:before="120" w:after="120"/>
              <w:rPr>
                <w:sz w:val="20"/>
              </w:rPr>
            </w:pPr>
            <w:r>
              <w:rPr>
                <w:sz w:val="20"/>
              </w:rPr>
              <w:t>Mylène Troszczynski, Marco Zanni</w:t>
            </w:r>
          </w:p>
        </w:tc>
      </w:tr>
      <w:tr w:rsidR="00E451E4" w:rsidRPr="00B0345A" w:rsidTr="000A61DD">
        <w:trPr>
          <w:cantSplit/>
        </w:trPr>
        <w:tc>
          <w:tcPr>
            <w:tcW w:w="1701" w:type="dxa"/>
            <w:shd w:val="clear" w:color="auto" w:fill="FFFFFF"/>
          </w:tcPr>
          <w:p w:rsidR="00E451E4" w:rsidRPr="00B0345A" w:rsidRDefault="00E451E4" w:rsidP="000A61DD">
            <w:pPr>
              <w:spacing w:before="120" w:after="120"/>
              <w:rPr>
                <w:sz w:val="20"/>
              </w:rPr>
            </w:pPr>
            <w:r>
              <w:rPr>
                <w:sz w:val="20"/>
              </w:rPr>
              <w:t>PPE</w:t>
            </w:r>
          </w:p>
        </w:tc>
        <w:tc>
          <w:tcPr>
            <w:tcW w:w="7371" w:type="dxa"/>
            <w:shd w:val="clear" w:color="auto" w:fill="FFFFFF"/>
          </w:tcPr>
          <w:p w:rsidR="00E451E4" w:rsidRPr="00B0345A" w:rsidRDefault="00E451E4" w:rsidP="000A61DD">
            <w:pPr>
              <w:spacing w:before="120" w:after="120"/>
              <w:rPr>
                <w:sz w:val="20"/>
              </w:rPr>
            </w:pPr>
            <w:r>
              <w:rPr>
                <w:sz w:val="20"/>
              </w:rPr>
              <w:t>Andrea Bocskor, Carlos Coelho, Birgit Collin-Langen, Ildikó Gáll-Pelcz, Seán Kelly, Andrey Kovatchev, Norbert Lins, Dariusz Rosati, Ivan Štefanec, Adam Szejnfeld, Bogdan Brunon Wenta, Bogdan Andrzej Zdrojewski</w:t>
            </w:r>
          </w:p>
        </w:tc>
      </w:tr>
      <w:tr w:rsidR="00E451E4" w:rsidRPr="00B0345A" w:rsidTr="000A61DD">
        <w:trPr>
          <w:cantSplit/>
        </w:trPr>
        <w:tc>
          <w:tcPr>
            <w:tcW w:w="1701" w:type="dxa"/>
            <w:shd w:val="clear" w:color="auto" w:fill="FFFFFF"/>
          </w:tcPr>
          <w:p w:rsidR="00E451E4" w:rsidRPr="00B0345A" w:rsidRDefault="00E451E4" w:rsidP="000A61DD">
            <w:pPr>
              <w:spacing w:before="120" w:after="120"/>
              <w:rPr>
                <w:sz w:val="20"/>
              </w:rPr>
            </w:pPr>
            <w:r>
              <w:rPr>
                <w:sz w:val="20"/>
              </w:rPr>
              <w:t>S&amp;D</w:t>
            </w:r>
          </w:p>
        </w:tc>
        <w:tc>
          <w:tcPr>
            <w:tcW w:w="7371" w:type="dxa"/>
            <w:shd w:val="clear" w:color="auto" w:fill="FFFFFF"/>
          </w:tcPr>
          <w:p w:rsidR="00E451E4" w:rsidRPr="00B0345A" w:rsidRDefault="00E451E4" w:rsidP="000A61DD">
            <w:pPr>
              <w:spacing w:before="120" w:after="120"/>
              <w:rPr>
                <w:sz w:val="20"/>
              </w:rPr>
            </w:pPr>
            <w:r>
              <w:rPr>
                <w:sz w:val="20"/>
              </w:rPr>
              <w:t>Nicola Danti, Evelyne Gebhardt, Maria Grapini, Sergio Gutiérrez Prieto, Liisa Jaakonsaari, Marlene Mizzi, Virginie Rozière, Christel Schaldemose, Olga Sehnalová, Catherine Stihler, Marc Tarabella</w:t>
            </w:r>
          </w:p>
        </w:tc>
      </w:tr>
      <w:tr w:rsidR="00E451E4" w:rsidRPr="00B0345A" w:rsidTr="000A61DD">
        <w:trPr>
          <w:cantSplit/>
        </w:trPr>
        <w:tc>
          <w:tcPr>
            <w:tcW w:w="1701" w:type="dxa"/>
            <w:shd w:val="clear" w:color="auto" w:fill="FFFFFF"/>
          </w:tcPr>
          <w:p w:rsidR="00E451E4" w:rsidRPr="00B0345A" w:rsidRDefault="00E451E4" w:rsidP="000A61DD">
            <w:pPr>
              <w:spacing w:before="120" w:after="120"/>
              <w:rPr>
                <w:sz w:val="20"/>
              </w:rPr>
            </w:pPr>
            <w:r>
              <w:rPr>
                <w:sz w:val="20"/>
              </w:rPr>
              <w:t>VERTS/ALE</w:t>
            </w:r>
          </w:p>
        </w:tc>
        <w:tc>
          <w:tcPr>
            <w:tcW w:w="7371" w:type="dxa"/>
            <w:shd w:val="clear" w:color="auto" w:fill="FFFFFF"/>
          </w:tcPr>
          <w:p w:rsidR="00E451E4" w:rsidRPr="00B0345A" w:rsidRDefault="00E451E4" w:rsidP="000A61DD">
            <w:pPr>
              <w:spacing w:before="120" w:after="120"/>
              <w:rPr>
                <w:sz w:val="20"/>
              </w:rPr>
            </w:pPr>
            <w:r>
              <w:rPr>
                <w:sz w:val="20"/>
              </w:rPr>
              <w:t>Jan Philipp Albrecht, Pascal Durand</w:t>
            </w:r>
          </w:p>
        </w:tc>
      </w:tr>
    </w:tbl>
    <w:p w:rsidR="00E451E4" w:rsidRPr="00B0345A" w:rsidRDefault="00E451E4" w:rsidP="00E451E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B0345A" w:rsidTr="000A61DD">
        <w:trPr>
          <w:cantSplit/>
        </w:trPr>
        <w:tc>
          <w:tcPr>
            <w:tcW w:w="1701" w:type="dxa"/>
            <w:shd w:val="pct10" w:color="000000" w:fill="FFFFFF"/>
            <w:vAlign w:val="center"/>
          </w:tcPr>
          <w:p w:rsidR="00E451E4" w:rsidRPr="00B0345A" w:rsidRDefault="00E451E4" w:rsidP="000A61DD">
            <w:pPr>
              <w:spacing w:before="120" w:after="120"/>
              <w:jc w:val="center"/>
              <w:rPr>
                <w:b/>
                <w:sz w:val="20"/>
              </w:rPr>
            </w:pPr>
            <w:r>
              <w:rPr>
                <w:b/>
                <w:sz w:val="20"/>
              </w:rPr>
              <w:t>3</w:t>
            </w:r>
          </w:p>
        </w:tc>
        <w:tc>
          <w:tcPr>
            <w:tcW w:w="7371" w:type="dxa"/>
            <w:shd w:val="pct10" w:color="000000" w:fill="FFFFFF"/>
          </w:tcPr>
          <w:p w:rsidR="00E451E4" w:rsidRPr="00B0345A" w:rsidRDefault="00E451E4" w:rsidP="000A61DD">
            <w:pPr>
              <w:spacing w:before="120" w:after="120"/>
              <w:jc w:val="center"/>
              <w:rPr>
                <w:sz w:val="28"/>
                <w:szCs w:val="28"/>
              </w:rPr>
            </w:pPr>
            <w:r>
              <w:rPr>
                <w:rFonts w:ascii="Arial" w:hAnsi="Arial"/>
                <w:b/>
                <w:sz w:val="28"/>
                <w:szCs w:val="28"/>
              </w:rPr>
              <w:t>-</w:t>
            </w:r>
          </w:p>
        </w:tc>
      </w:tr>
      <w:tr w:rsidR="00E451E4" w:rsidRPr="00B0345A" w:rsidTr="000A61DD">
        <w:trPr>
          <w:cantSplit/>
        </w:trPr>
        <w:tc>
          <w:tcPr>
            <w:tcW w:w="1701" w:type="dxa"/>
            <w:shd w:val="clear" w:color="auto" w:fill="FFFFFF"/>
          </w:tcPr>
          <w:p w:rsidR="00E451E4" w:rsidRPr="00B0345A" w:rsidRDefault="00E451E4" w:rsidP="000A61DD">
            <w:pPr>
              <w:spacing w:before="120" w:after="120"/>
              <w:rPr>
                <w:sz w:val="20"/>
              </w:rPr>
            </w:pPr>
            <w:r>
              <w:rPr>
                <w:sz w:val="20"/>
              </w:rPr>
              <w:t>EFDD</w:t>
            </w:r>
          </w:p>
        </w:tc>
        <w:tc>
          <w:tcPr>
            <w:tcW w:w="7371" w:type="dxa"/>
            <w:shd w:val="clear" w:color="auto" w:fill="FFFFFF"/>
          </w:tcPr>
          <w:p w:rsidR="00E451E4" w:rsidRPr="00B0345A" w:rsidRDefault="00E451E4" w:rsidP="000A61DD">
            <w:pPr>
              <w:spacing w:before="120" w:after="120"/>
              <w:rPr>
                <w:sz w:val="20"/>
              </w:rPr>
            </w:pPr>
            <w:r>
              <w:rPr>
                <w:sz w:val="20"/>
              </w:rPr>
              <w:t>David Coburn, Robert Jarosław Iwaszkiewicz, Marco Zullo</w:t>
            </w:r>
          </w:p>
        </w:tc>
      </w:tr>
    </w:tbl>
    <w:p w:rsidR="00E451E4" w:rsidRPr="00B0345A" w:rsidRDefault="00E451E4" w:rsidP="00E451E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451E4" w:rsidRPr="00B0345A" w:rsidTr="000A61DD">
        <w:trPr>
          <w:cantSplit/>
        </w:trPr>
        <w:tc>
          <w:tcPr>
            <w:tcW w:w="1701" w:type="dxa"/>
            <w:shd w:val="pct10" w:color="000000" w:fill="FFFFFF"/>
            <w:vAlign w:val="center"/>
          </w:tcPr>
          <w:p w:rsidR="00E451E4" w:rsidRPr="00B0345A" w:rsidRDefault="00E451E4" w:rsidP="000A61DD">
            <w:pPr>
              <w:spacing w:before="120" w:after="120"/>
              <w:jc w:val="center"/>
              <w:rPr>
                <w:b/>
                <w:sz w:val="20"/>
              </w:rPr>
            </w:pPr>
            <w:r>
              <w:rPr>
                <w:b/>
                <w:sz w:val="20"/>
              </w:rPr>
              <w:t>4</w:t>
            </w:r>
          </w:p>
        </w:tc>
        <w:tc>
          <w:tcPr>
            <w:tcW w:w="7371" w:type="dxa"/>
            <w:shd w:val="pct10" w:color="000000" w:fill="FFFFFF"/>
          </w:tcPr>
          <w:p w:rsidR="00E451E4" w:rsidRPr="00B0345A" w:rsidRDefault="00E451E4" w:rsidP="000A61DD">
            <w:pPr>
              <w:spacing w:before="120" w:after="120"/>
              <w:jc w:val="center"/>
              <w:rPr>
                <w:sz w:val="28"/>
                <w:szCs w:val="28"/>
              </w:rPr>
            </w:pPr>
            <w:r>
              <w:rPr>
                <w:rFonts w:ascii="Arial" w:hAnsi="Arial"/>
                <w:b/>
                <w:sz w:val="28"/>
                <w:szCs w:val="28"/>
              </w:rPr>
              <w:t>0</w:t>
            </w:r>
          </w:p>
        </w:tc>
      </w:tr>
      <w:tr w:rsidR="00E451E4" w:rsidRPr="00B0345A" w:rsidTr="000A61DD">
        <w:trPr>
          <w:cantSplit/>
        </w:trPr>
        <w:tc>
          <w:tcPr>
            <w:tcW w:w="1701" w:type="dxa"/>
            <w:shd w:val="clear" w:color="auto" w:fill="FFFFFF"/>
          </w:tcPr>
          <w:p w:rsidR="00E451E4" w:rsidRPr="00B0345A" w:rsidRDefault="00E451E4" w:rsidP="000A61DD">
            <w:pPr>
              <w:spacing w:before="120" w:after="120"/>
              <w:rPr>
                <w:sz w:val="20"/>
              </w:rPr>
            </w:pPr>
            <w:r>
              <w:rPr>
                <w:sz w:val="20"/>
              </w:rPr>
              <w:t>ECR</w:t>
            </w:r>
          </w:p>
        </w:tc>
        <w:tc>
          <w:tcPr>
            <w:tcW w:w="7371" w:type="dxa"/>
            <w:shd w:val="clear" w:color="auto" w:fill="FFFFFF"/>
          </w:tcPr>
          <w:p w:rsidR="00E451E4" w:rsidRPr="00B0345A" w:rsidRDefault="00E451E4" w:rsidP="000A61DD">
            <w:pPr>
              <w:spacing w:before="120" w:after="120"/>
              <w:rPr>
                <w:sz w:val="20"/>
              </w:rPr>
            </w:pPr>
            <w:r>
              <w:rPr>
                <w:sz w:val="20"/>
              </w:rPr>
              <w:t>Edward Czesak, Daniel Dalton, John Flack, Anneleen Van Bossuyt</w:t>
            </w:r>
          </w:p>
        </w:tc>
      </w:tr>
    </w:tbl>
    <w:p w:rsidR="00E451E4" w:rsidRPr="000C3DC2" w:rsidRDefault="00E451E4" w:rsidP="00E451E4"/>
    <w:p w:rsidR="002669B6" w:rsidRPr="008E153B" w:rsidRDefault="002669B6" w:rsidP="008E153B"/>
    <w:sectPr w:rsidR="002669B6" w:rsidRPr="008E153B" w:rsidSect="008F5A1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7" w:bottom="1417" w:left="1417"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1DD" w:rsidRPr="0093569D" w:rsidRDefault="000A61DD">
      <w:r w:rsidRPr="0093569D">
        <w:separator/>
      </w:r>
    </w:p>
  </w:endnote>
  <w:endnote w:type="continuationSeparator" w:id="0">
    <w:p w:rsidR="000A61DD" w:rsidRPr="0093569D" w:rsidRDefault="000A61DD">
      <w:r w:rsidRPr="009356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D" w:rsidRDefault="000A61DD" w:rsidP="008E153B">
    <w:pPr>
      <w:pStyle w:val="Footer"/>
    </w:pPr>
    <w:r>
      <w:t>PE</w:t>
    </w:r>
    <w:r w:rsidRPr="008E153B">
      <w:rPr>
        <w:rStyle w:val="HideTWBExt"/>
      </w:rPr>
      <w:t>&lt;NoPE&gt;</w:t>
    </w:r>
    <w:r>
      <w:t>599.728</w:t>
    </w:r>
    <w:r w:rsidRPr="008E153B">
      <w:rPr>
        <w:rStyle w:val="HideTWBExt"/>
      </w:rPr>
      <w:t>&lt;/NoPE&gt;&lt;Version&gt;</w:t>
    </w:r>
    <w:r>
      <w:t>v02-00</w:t>
    </w:r>
    <w:r w:rsidRPr="008E153B">
      <w:rPr>
        <w:rStyle w:val="HideTWBExt"/>
      </w:rPr>
      <w:t>&lt;/Version&gt;</w:t>
    </w:r>
    <w:r>
      <w:tab/>
    </w:r>
    <w:r>
      <w:fldChar w:fldCharType="begin"/>
    </w:r>
    <w:r>
      <w:instrText xml:space="preserve"> PAGE  \* MERGEFORMAT </w:instrText>
    </w:r>
    <w:r>
      <w:fldChar w:fldCharType="separate"/>
    </w:r>
    <w:r w:rsidR="00754953">
      <w:rPr>
        <w:noProof/>
      </w:rPr>
      <w:t>2</w:t>
    </w:r>
    <w:r>
      <w:fldChar w:fldCharType="end"/>
    </w:r>
    <w:r>
      <w:t>/</w:t>
    </w:r>
    <w:fldSimple w:instr=" NUMPAGES  \* MERGEFORMAT ">
      <w:r w:rsidR="00754953">
        <w:rPr>
          <w:noProof/>
        </w:rPr>
        <w:t>346</w:t>
      </w:r>
    </w:fldSimple>
    <w:r>
      <w:tab/>
    </w:r>
    <w:r w:rsidRPr="008E153B">
      <w:rPr>
        <w:rStyle w:val="HideTWBExt"/>
      </w:rPr>
      <w:t>&lt;PathFdR&gt;</w:t>
    </w:r>
    <w:r>
      <w:t>RR\1131864EL.docx</w:t>
    </w:r>
    <w:r w:rsidRPr="008E153B">
      <w:rPr>
        <w:rStyle w:val="HideTWBExt"/>
      </w:rPr>
      <w:t>&lt;/PathFdR&gt;</w:t>
    </w:r>
  </w:p>
  <w:p w:rsidR="000A61DD" w:rsidRPr="0093569D" w:rsidRDefault="000A61DD" w:rsidP="008E153B">
    <w:pPr>
      <w:pStyle w:val="Footer2"/>
    </w:pPr>
    <w: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D" w:rsidRDefault="000A61DD" w:rsidP="008E153B">
    <w:pPr>
      <w:pStyle w:val="Footer"/>
    </w:pPr>
    <w:r w:rsidRPr="008E153B">
      <w:rPr>
        <w:rStyle w:val="HideTWBExt"/>
      </w:rPr>
      <w:t>&lt;PathFdR&gt;</w:t>
    </w:r>
    <w:r>
      <w:t>RR\1131864EL.docx</w:t>
    </w:r>
    <w:r w:rsidRPr="008E153B">
      <w:rPr>
        <w:rStyle w:val="HideTWBExt"/>
      </w:rPr>
      <w:t>&lt;/PathFdR&gt;</w:t>
    </w:r>
    <w:r>
      <w:tab/>
    </w:r>
    <w:r>
      <w:fldChar w:fldCharType="begin"/>
    </w:r>
    <w:r>
      <w:instrText xml:space="preserve"> PAGE  \* MERGEFORMAT </w:instrText>
    </w:r>
    <w:r>
      <w:fldChar w:fldCharType="separate"/>
    </w:r>
    <w:r w:rsidR="00754953">
      <w:rPr>
        <w:noProof/>
      </w:rPr>
      <w:t>346</w:t>
    </w:r>
    <w:r>
      <w:fldChar w:fldCharType="end"/>
    </w:r>
    <w:r>
      <w:t>/</w:t>
    </w:r>
    <w:fldSimple w:instr=" NUMPAGES  \* MERGEFORMAT ">
      <w:r w:rsidR="00754953">
        <w:rPr>
          <w:noProof/>
        </w:rPr>
        <w:t>346</w:t>
      </w:r>
    </w:fldSimple>
    <w:r>
      <w:tab/>
      <w:t>PE</w:t>
    </w:r>
    <w:r w:rsidRPr="008E153B">
      <w:rPr>
        <w:rStyle w:val="HideTWBExt"/>
      </w:rPr>
      <w:t>&lt;NoPE&gt;</w:t>
    </w:r>
    <w:r>
      <w:t>599.728</w:t>
    </w:r>
    <w:r w:rsidRPr="008E153B">
      <w:rPr>
        <w:rStyle w:val="HideTWBExt"/>
      </w:rPr>
      <w:t>&lt;/NoPE&gt;&lt;Version&gt;</w:t>
    </w:r>
    <w:r>
      <w:t>v02-00</w:t>
    </w:r>
    <w:r w:rsidRPr="008E153B">
      <w:rPr>
        <w:rStyle w:val="HideTWBExt"/>
      </w:rPr>
      <w:t>&lt;/Version&gt;</w:t>
    </w:r>
  </w:p>
  <w:p w:rsidR="000A61DD" w:rsidRPr="0093569D" w:rsidRDefault="000A61DD" w:rsidP="008E153B">
    <w:pPr>
      <w:pStyle w:val="Footer2"/>
    </w:pP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D" w:rsidRDefault="000A61DD" w:rsidP="008E153B">
    <w:pPr>
      <w:pStyle w:val="Footer"/>
    </w:pPr>
    <w:r w:rsidRPr="008E153B">
      <w:rPr>
        <w:rStyle w:val="HideTWBExt"/>
      </w:rPr>
      <w:t>&lt;PathFdR&gt;</w:t>
    </w:r>
    <w:r>
      <w:t>RR\1131864EL.docx</w:t>
    </w:r>
    <w:r w:rsidRPr="008E153B">
      <w:rPr>
        <w:rStyle w:val="HideTWBExt"/>
      </w:rPr>
      <w:t>&lt;/PathFdR&gt;</w:t>
    </w:r>
    <w:r>
      <w:tab/>
    </w:r>
    <w:r>
      <w:tab/>
      <w:t>PE</w:t>
    </w:r>
    <w:r w:rsidRPr="008E153B">
      <w:rPr>
        <w:rStyle w:val="HideTWBExt"/>
      </w:rPr>
      <w:t>&lt;NoPE&gt;</w:t>
    </w:r>
    <w:r>
      <w:t>599.728</w:t>
    </w:r>
    <w:r w:rsidRPr="008E153B">
      <w:rPr>
        <w:rStyle w:val="HideTWBExt"/>
      </w:rPr>
      <w:t>&lt;/NoPE&gt;&lt;Version&gt;</w:t>
    </w:r>
    <w:r>
      <w:t>v02-00</w:t>
    </w:r>
    <w:r w:rsidRPr="008E153B">
      <w:rPr>
        <w:rStyle w:val="HideTWBExt"/>
      </w:rPr>
      <w:t>&lt;/Version&gt;</w:t>
    </w:r>
  </w:p>
  <w:p w:rsidR="000A61DD" w:rsidRPr="0093569D" w:rsidRDefault="000A61DD" w:rsidP="008E153B">
    <w:pPr>
      <w:pStyle w:val="Footer2"/>
      <w:tabs>
        <w:tab w:val="center" w:pos="4535"/>
      </w:tabs>
    </w:pPr>
    <w:r>
      <w:t>EL</w:t>
    </w:r>
    <w:r>
      <w:tab/>
    </w:r>
    <w:r w:rsidRPr="008E153B">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1DD" w:rsidRPr="0093569D" w:rsidRDefault="000A61DD">
      <w:r w:rsidRPr="0093569D">
        <w:separator/>
      </w:r>
    </w:p>
  </w:footnote>
  <w:footnote w:type="continuationSeparator" w:id="0">
    <w:p w:rsidR="000A61DD" w:rsidRPr="0093569D" w:rsidRDefault="000A61DD">
      <w:r w:rsidRPr="0093569D">
        <w:continuationSeparator/>
      </w:r>
    </w:p>
  </w:footnote>
  <w:footnote w:id="1">
    <w:p w:rsidR="000A61DD" w:rsidRPr="006F62DC" w:rsidRDefault="000A61DD" w:rsidP="00E451E4">
      <w:pPr>
        <w:pStyle w:val="FootnoteText"/>
      </w:pPr>
      <w:r w:rsidRPr="006F62DC">
        <w:rPr>
          <w:rStyle w:val="FootnoteReference"/>
        </w:rPr>
        <w:footnoteRef/>
      </w:r>
      <w:r>
        <w:t xml:space="preserve"> </w:t>
      </w:r>
      <w:r>
        <w:tab/>
      </w:r>
      <w:r>
        <w:rPr>
          <w:snapToGrid w:val="0"/>
          <w:szCs w:val="24"/>
        </w:rPr>
        <w:t>ΕΕ C 389 της 21.10.2016, σ.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53" w:rsidRDefault="00754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53" w:rsidRDefault="00754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53" w:rsidRDefault="0075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E824D4"/>
    <w:multiLevelType w:val="hybridMultilevel"/>
    <w:tmpl w:val="020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MCO"/>
    <w:docVar w:name="CopyToNetwork" w:val="-1"/>
    <w:docVar w:name="DOCMNU" w:val=" 1"/>
    <w:docVar w:name="LastEditedSection" w:val=" 1"/>
    <w:docVar w:name="RepeatBlock-Amen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12013 HideTWBExt;}{\*\cs16 \additive \v\cf15 \spriority0 \styrsid4012013 HideTWBInt;}{\s17\ql \li0\ri0\sa120\nowidctlpar\wrapdefault\aspalpha\aspnum\faauto\adjustright\rin0\lin0\itap0 _x000d__x000a_\rtlch\fcs1 \af0\afs20\alang1025 \ltrch\fcs0 \fs24\lang1032\langfe2057\cgrid\langnp1032\langfenp2057 \sbasedon0 \snext17 \slink23 \spriority0 \styrsid4012013 Normal6;}{_x000d__x000a_\s18\ql \li0\ri0\nowidctlpar\wrapdefault\aspalpha\aspnum\faauto\adjustright\rin0\lin0\itap0 \rtlch\fcs1 \af0\afs20\alang1025 \ltrch\fcs0 \b\fs24\lang1032\langfe2057\cgrid\langnp1032\langfenp2057 \sbasedon0 \snext18 \slink22 \spriority0 \styrsid4012013 _x000d__x000a_NormalBold;}{\s19\ql \li0\ri0\sb240\nowidctlpar\wrapdefault\aspalpha\aspnum\faauto\adjustright\rin0\lin0\itap0 \rtlch\fcs1 \af0\afs20\alang1025 \ltrch\fcs0 \i\fs24\lang1032\langfe2057\cgrid\langnp1032\langfenp2057 _x000d__x000a_\sbasedon0 \snext19 \spriority0 \styrsid4012013 Normal12Italic;}{\s20\qc \li0\ri0\sb240\nowidctlpar\wrapdefault\aspalpha\aspnum\faauto\adjustright\rin0\lin0\itap0 \rtlch\fcs1 \af0\afs20\alang1025 \ltrch\fcs0 _x000d__x000a_\i\fs24\lang1032\langfe2057\cgrid\langnp1032\langfenp2057 \sbasedon0 \snext20 \spriority0 \styrsid4012013 CrossRef;}{\s21\qc \li0\ri0\sb240\keepn\nowidctlpar\wrapdefault\aspalpha\aspnum\faauto\adjustright\rin0\lin0\itap0 \rtlch\fcs1 \af0\afs20\alang1025 _x000d__x000a_\ltrch\fcs0 \i\fs24\lang1032\langfe2057\cgrid\langnp1032\langfenp2057 \sbasedon0 \snext0 \spriority0 \styrsid4012013 JustificationTitle;}{\*\cs22 \additive \b\fs24\lang1032\langfe0\langnp1032 \slink18 \slocked \spriority0 \styrsid4012013 NormalBold Char;}_x000d__x000a_{\*\cs23 \additive \fs24\lang1032\langfe0\langnp1032 \slink17 \slocked \spriority0 \styrsid4012013 Normal6 Char;}{\s24\qc \li0\ri0\sa240\nowidctlpar\wrapdefault\aspalpha\aspnum\faauto\adjustright\rin0\lin0\itap0 \rtlch\fcs1 \af0\afs20\alang1025 _x000d__x000a_\ltrch\fcs0 \i\fs24\lang1032\langfe2057\cgrid\langnp1032\langfenp2057 \sbasedon0 \snext24 \spriority0 \styrsid401201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2\langfe2057\cgrid\langnp1032\langfenp2057 \sbasedon0 \snext25 \spriority0 \styrsid4012013 AMNumberTabs;}{\s26\ql \li0\ri0\sb240\nowidctlpar\wrapdefault\aspalpha\aspnum\faauto\adjustright\rin0\lin0\itap0 \rtlch\fcs1 _x000d__x000a_\af0\afs20\alang1025 \ltrch\fcs0 \b\fs24\lang1032\langfe2057\cgrid\langnp1032\langfenp2057 \sbasedon0 \snext26 \spriority0 \styrsid4012013 NormalBold12b;}}{\*\rsidtbl \rsid24658\rsid735077\rsid2892074\rsid4012013\rsid4666813\rsid4996289\rsid6641733_x000d__x000a_\rsid9636012\rsid11215221\rsid12154954\rsid14424199\rsid15204470\rsid15285974\rsid15950462\rsid16324206\rsid16662270}{\mmathPr\mmathFont34\mbrkBin0\mbrkBinSub0\msmallFrac0\mdispDef1\mlMargin0\mrMargin0\mdefJc1\mwrapIndent1440\mintLim0\mnaryLim1}{\info_x000d__x000a_{\author BEAZOGLOU-VARVAGIANNIS Angeliki}{\operator BEAZOGLOU-VARVAGIANNIS Angeliki}{\creatim\yr2017\mo7\dy25\hr17\min58}{\revtim\yr2017\mo7\dy25\hr17\min58}{\version1}{\edmins0}{\nofpages1}{\nofwords92}{\nofchars531}{\*\company European Parliament}_x000d__x000a_{\nofcharsws622}{\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12013\utinl \fet0{\*\wgrffmtfilter 013f}\ilfomacatclnup0{\*\template C:\\Users\\ABEAZO~1\\AppData\\Local\\Temp\\Blank1.dot}{\*\ftnsep \ltrpar \pard\plain \ltrpar_x000d__x000a_\ql \li0\ri0\widctlpar\wrapdefault\aspalpha\aspnum\faauto\adjustright\rin0\lin0\itap0 \rtlch\fcs1 \af0\afs20\alang1025 \ltrch\fcs0 \fs24\lang2057\langfe2057\cgrid\langnp2057\langfenp2057 {\rtlch\fcs1 \af0 \ltrch\fcs0 \insrsid4996289 \chftnsep _x000d__x000a_\par }}{\*\ftnsepc \ltrpar \pard\plain \ltrpar\ql \li0\ri0\widctlpar\wrapdefault\aspalpha\aspnum\faauto\adjustright\rin0\lin0\itap0 \rtlch\fcs1 \af0\afs20\alang1025 \ltrch\fcs0 \fs24\lang2057\langfe2057\cgrid\langnp2057\langfenp2057 {\rtlch\fcs1 \af0 _x000d__x000a_\ltrch\fcs0 \insrsid4996289 \chftnsepc _x000d__x000a_\par }}{\*\aftnsep \ltrpar \pard\plain \ltrpar\ql \li0\ri0\widctlpar\wrapdefault\aspalpha\aspnum\faauto\adjustright\rin0\lin0\itap0 \rtlch\fcs1 \af0\afs20\alang1025 \ltrch\fcs0 \fs24\lang2057\langfe2057\cgrid\langnp2057\langfenp2057 {\rtlch\fcs1 \af0 _x000d__x000a_\ltrch\fcs0 \insrsid4996289 \chftnsep _x000d__x000a_\par }}{\*\aftnsepc \ltrpar \pard\plain \ltrpar\ql \li0\ri0\widctlpar\wrapdefault\aspalpha\aspnum\faauto\adjustright\rin0\lin0\itap0 \rtlch\fcs1 \af0\afs20\alang1025 \ltrch\fcs0 \fs24\lang2057\langfe2057\cgrid\langnp2057\langfenp2057 {\rtlch\fcs1 \af0 _x000d__x000a_\ltrch\fcs0 \insrsid49962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2\langfe2057\cgrid\langnp1032\langfenp2057 {\rtlch\fcs1 \af0 \ltrch\fcs0 \cs15\b0\v\f1\fs20\cf9\lang1024\langfe1024\noproof\insrsid4012013\charrsid5338524 _x000d__x000a_{\*\bkmkstart restart}&lt;Amend&gt;}{\rtlch\fcs1 \af314 \ltrch\fcs0 \f314\insrsid4012013\charrsid5338524 \'d4\'f1\'ef\'f0\'ef\'eb\'ef\'e3\'df\'e1\tab \tab }{\rtlch\fcs1 \af0 \ltrch\fcs0 _x000d__x000a_\cs15\b0\v\f1\fs20\cf9\lang1024\langfe1024\noproof\insrsid4012013\charrsid5338524 &lt;NumAm&gt;}{\rtlch\fcs1 \af0 \ltrch\fcs0 \insrsid4012013\charrsid5338524 #}{\rtlch\fcs1 \af0 \ltrch\fcs0 \cs16\v\cf15\insrsid4012013\charrsid5338524 ENMIENDA@NRAM@}{_x000d__x000a_\rtlch\fcs1 \af0 \ltrch\fcs0 \insrsid4012013\charrsid5338524 #}{\rtlch\fcs1 \af0 \ltrch\fcs0 \cs15\b0\v\f1\fs20\cf9\lang1024\langfe1024\noproof\insrsid4012013\charrsid5338524 &lt;/NumAm&gt;}{\rtlch\fcs1 \af0 \ltrch\fcs0 \insrsid4012013\charrsid5338524 _x000d__x000a_\par }\pard\plain \ltrpar\s26\ql \li0\ri0\sb240\keepn\nowidctlpar\wrapdefault\aspalpha\aspnum\faauto\adjustright\rin0\lin0\itap0\pararsid2173828 \rtlch\fcs1 \af0\afs20\alang1025 \ltrch\fcs0 \b\fs24\lang1032\langfe2057\cgrid\langnp1032\langfenp2057 {_x000d__x000a_\rtlch\fcs1 \af0 \ltrch\fcs0 \cs15\b0\v\f1\fs20\cf9\lang1024\langfe1024\noproof\insrsid4012013\charrsid5338524 &lt;DocAmend&gt;}{\rtlch\fcs1 \af314 \ltrch\fcs0 \f314\insrsid4012013\charrsid5338524 \'d0\'f1\'fc\'f4\'e1\'f3\'e7 #}{\rtlch\fcs1 \af0 \ltrch\fcs0 _x000d__x000a_\cs16\v\cf15\insrsid4012013\charrsid5338524 MNU[DOC1][DOC2][DOC3]@DOCMSG@DOCMNU}{\rtlch\fcs1 \af0 \ltrch\fcs0 \insrsid4012013\charrsid5338524 ##}{\rtlch\fcs1 \af0 \ltrch\fcs0 \cs16\v\cf15\insrsid4012013\charrsid5338524 _x000d__x000a_MNU[AMACTYES][NOTAPP]@CHOICE@AMACTMNU}{\rtlch\fcs1 \af0 \ltrch\fcs0 \insrsid4012013\charrsid5338524 #}{\rtlch\fcs1 \af0 \ltrch\fcs0 \cs15\b0\v\f1\fs20\cf9\lang1024\langfe1024\noproof\insrsid4012013\charrsid5338524 &lt;/DocAmend&gt;}{\rtlch\fcs1 \af0 _x000d__x000a_\ltrch\fcs0 \insrsid4012013\charrsid5338524 _x000d__x000a_\par }\pard\plain \ltrpar\s18\ql \li0\ri0\keepn\nowidctlpar\wrapdefault\aspalpha\aspnum\faauto\adjustright\rin0\lin0\itap0\pararsid14315216 \rtlch\fcs1 \af0\afs20\alang1025 \ltrch\fcs0 \b\fs24\lang1032\langfe2057\cgrid\langnp1032\langfenp2057 {\rtlch\fcs1 _x000d__x000a_\af0 \ltrch\fcs0 \cs15\b0\v\f1\fs20\cf9\lang1024\langfe1024\noproof\insrsid4012013\charrsid5338524 &lt;Article&gt;}{\rtlch\fcs1 \af0 \ltrch\fcs0 \insrsid4012013\charrsid5338524 #}{\rtlch\fcs1 \af0 \ltrch\fcs0 \cs16\v\cf15\insrsid4012013\charrsid5338524 _x000d__x000a_MNU[AMACTPARTYES][AMACTPARTNO]@CHOICE@AMACTMNU}{\rtlch\fcs1 \af0 \ltrch\fcs0 \insrsid4012013\charrsid5338524 #}{\rtlch\fcs1 \af0 \ltrch\fcs0 \cs15\b0\v\f1\fs20\cf9\lang1024\langfe1024\noproof\insrsid4012013\charrsid5338524 &lt;/Article&gt;}{\rtlch\fcs1 \af0 _x000d__x000a_\ltrch\fcs0 \insrsid4012013\charrsid5338524 _x000d__x000a_\par }\pard\plain \ltrpar\ql \li0\ri0\keepn\widctlpar\wrapdefault\aspalpha\aspnum\faauto\adjustright\rin0\lin0\itap0\pararsid1856914 \rtlch\fcs1 \af0\afs20\alang1025 \ltrch\fcs0 \fs24\lang2057\langfe2057\cgrid\langnp2057\langfenp2057 {\rtlch\fcs1 \af0 _x000d__x000a_\ltrch\fcs0 \cs15\v\f1\fs20\cf9\lang1024\langfe1024\noproof\langnp1032\insrsid4012013\charrsid5338524 &lt;DocAmend2&gt;&lt;OptDel&gt;}{\rtlch\fcs1 \af0 \ltrch\fcs0 \lang1032\langfe2057\langnp1032\insrsid4012013\charrsid5338524 #}{\rtlch\fcs1 \af0 \ltrch\fcs0 _x000d__x000a_\cs16\v\cf15\lang1032\langfe2057\langnp1032\insrsid4012013\charrsid5338524 MNU[OPTNRACTYES][NOTAPP]@CHOICE@AMACTMNU}{\rtlch\fcs1 \af0 \ltrch\fcs0 \lang1032\langfe2057\langnp1032\insrsid4012013\charrsid5338524 #}{\rtlch\fcs1 \af0 \ltrch\fcs0 _x000d__x000a_\cs15\v\f1\fs20\cf9\lang1024\langfe1024\noproof\langnp1032\insrsid4012013\charrsid5338524 &lt;/OptDel&gt;&lt;/DocAmend2&gt;}{\rtlch\fcs1 \af0 \ltrch\fcs0 \lang1032\langfe2057\langnp1032\insrsid4012013\charrsid5338524 _x000d__x000a_\par }\pard \ltrpar\ql \li0\ri0\widctlpar\wrapdefault\aspalpha\aspnum\faauto\adjustright\rin0\lin0\itap0\pararsid2517430 {\rtlch\fcs1 \af0 \ltrch\fcs0 \cs15\v\f1\fs20\cf9\lang1024\langfe1024\noproof\langnp1032\insrsid4012013\charrsid5338524 &lt;Article2&gt;&lt;OptDel&gt;}_x000d__x000a_{\rtlch\fcs1 \af0 \ltrch\fcs0 \lang1032\langfe2057\langnp1032\insrsid4012013\charrsid5338524 #}{\rtlch\fcs1 \af0 \ltrch\fcs0 \cs16\v\cf15\lang1032\langfe2057\langnp1032\insrsid4012013\charrsid5338524 MNU[OPTACTPARTYES][NOTAPP]@CHOICE@AMACTMNU}{_x000d__x000a_\rtlch\fcs1 \af0 \ltrch\fcs0 \lang1032\langfe2057\langnp1032\insrsid4012013\charrsid5338524 #}{\rtlch\fcs1 \af0 \ltrch\fcs0 \cs15\v\f1\fs20\cf9\lang1024\langfe1024\noproof\langnp1032\insrsid4012013\charrsid5338524 &lt;/OptDel&gt;&lt;/Article2&gt;}{\rtlch\fcs1 \af0 _x000d__x000a_\ltrch\fcs0 \lang1032\langfe2057\langnp1032\insrsid4012013\charrsid533852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2\langfe2057\langnp1032\insrsid4012013\charrsid5338524 \cell }\pard \ltrpar\ql \li0\ri0\widctlpar\intbl\wrapdefault\aspalpha\aspnum\faauto\adjustright\rin0\lin0 {\rtlch\fcs1 \af0 \ltrch\fcs0 _x000d__x000a_\lang1032\langfe2057\langnp1032\insrsid4012013\charrsid5338524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2\langfe2057\cgrid\langnp1032\langfenp2057 {\rtlch\fcs1 \af0 \ltrch\fcs0 _x000d__x000a_\insrsid4012013\charrsid5338524 #}{\rtlch\fcs1 \af0 \ltrch\fcs0 \cs16\v\cf15\insrsid4012013\charrsid5338524 MNU[OPTLEFTAMACT][LEFTPROP]@CHOICE@AMACTMNU}{\rtlch\fcs1 \af0 \ltrch\fcs0 \insrsid4012013\charrsid5338524 #\cell }{\rtlch\fcs1 \af314 \ltrch\fcs0 _x000d__x000a_\f314\insrsid4012013\charrsid5338524 \'d4\'f1\'ef\'f0\'ef\'eb\'ef\'e3\'df\'e1\cell }\pard\plain \ltrpar\ql \li0\ri0\widctlpar\intbl\wrapdefault\aspalpha\aspnum\faauto\adjustright\rin0\lin0 \rtlch\fcs1 \af0\afs20\alang1025 \ltrch\fcs0 _x000d__x000a_\fs24\lang2057\langfe2057\cgrid\langnp2057\langfenp2057 {\rtlch\fcs1 \af0 \ltrch\fcs0 \lang1032\langfe2057\langnp1032\insrsid4012013\charrsid5338524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32\langfe2057\cgrid\langnp1032\langfenp2057 {\rtlch\fcs1 \af0 \ltrch\fcs0 _x000d__x000a_\insrsid4012013\charrsid5338524 ##\cell ##}{\rtlch\fcs1 \af0\afs24 \ltrch\fcs0 \insrsid4012013\charrsid5338524 \cell }\pard\plain \ltrpar\ql \li0\ri0\widctlpar\intbl\wrapdefault\aspalpha\aspnum\faauto\adjustright\rin0\lin0 \rtlch\fcs1 _x000d__x000a_\af0\afs20\alang1025 \ltrch\fcs0 \fs24\lang2057\langfe2057\cgrid\langnp2057\langfenp2057 {\rtlch\fcs1 \af0 \ltrch\fcs0 \lang1032\langfe2057\langnp1032\insrsid4012013\charrsid533852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c \li0\ri0\sb240\nowidctlpar\wrapdefault\aspalpha\aspnum\faauto\adjustright\rin0\lin0\itap0\pararsid2517430 \rtlch\fcs1 \af0\afs20\alang1025 \ltrch\fcs0 \i\fs24\lang1032\langfe2057\cgrid\langnp1032\langfenp2057 {\rtlch\fcs1 \af0 \ltrch\fcs0 _x000d__x000a_\cs15\i0\v\f1\fs20\cf9\lang1024\langfe1024\noproof\insrsid4012013\charrsid5338524 &lt;OptDel&gt;}{\rtlch\fcs1 \af0 \ltrch\fcs0 \insrsid4012013\charrsid5338524 #}{\rtlch\fcs1 \af0 \ltrch\fcs0 \cs16\v\cf15\insrsid4012013\charrsid5338524 _x000d__x000a_MNU[CROSSREFNO][CROSSREFYES]@CHOICE@}{\rtlch\fcs1 \af0 \ltrch\fcs0 \insrsid4012013\charrsid5338524 #}{\rtlch\fcs1 \af0 \ltrch\fcs0 \cs15\i0\v\f1\fs20\cf9\lang1024\langfe1024\noproof\insrsid4012013\charrsid5338524 &lt;/OptDel&gt;}{\rtlch\fcs1 \af0 \ltrch\fcs0 _x000d__x000a_\insrsid4012013\charrsid5338524 _x000d__x000a_\par }\pard\plain \ltrpar\s21\qc \li0\ri0\sb240\keepn\nowidctlpar\wrapdefault\aspalpha\aspnum\faauto\adjustright\rin0\lin0\itap0\pararsid2517430 \rtlch\fcs1 \af0\afs20\alang1025 \ltrch\fcs0 \i\fs24\lang1032\langfe2057\cgrid\langnp1032\langfenp2057 {_x000d__x000a_\rtlch\fcs1 \af0 \ltrch\fcs0 \cs15\i0\v\f1\fs20\cf9\lang1024\langfe1024\noproof\insrsid4012013\charrsid5338524 &lt;TitreJust&gt;}{\rtlch\fcs1 \af314 \ltrch\fcs0 \f314\insrsid4012013\charrsid5338524 \'c1\'e9\'f4\'e9\'ef\'eb\'fc\'e3\'e7\'f3\'e7}{\rtlch\fcs1 \af0 _x000d__x000a_\ltrch\fcs0 \cs15\i0\v\f1\fs20\cf9\lang1024\langfe1024\noproof\insrsid4012013\charrsid5338524 &lt;/TitreJust&gt;}{\rtlch\fcs1 \af0 \ltrch\fcs0 \insrsid4012013\charrsid5338524 _x000d__x000a_\par }\pard\plain \ltrpar\s19\ql \li0\ri0\sb240\nowidctlpar\wrapdefault\aspalpha\aspnum\faauto\adjustright\rin0\lin0\itap0\pararsid2517430 \rtlch\fcs1 \af0\afs20\alang1025 \ltrch\fcs0 \i\fs24\lang1032\langfe2057\cgrid\langnp1032\langfenp2057 {\rtlch\fcs1 \af0 _x000d__x000a_\ltrch\fcs0 \cs15\i0\v\f1\fs20\cf9\lang1024\langfe1024\noproof\insrsid4012013\charrsid5338524 &lt;OptDelPrev&gt;}{\rtlch\fcs1 \af0 \ltrch\fcs0 \insrsid4012013\charrsid5338524 #}{\rtlch\fcs1 \af0 \ltrch\fcs0 \cs16\v\cf15\insrsid4012013\charrsid5338524 _x000d__x000a_MNU[TEXTJUSTYES][TEXTJUSTNO]@CHOICE@}{\rtlch\fcs1 \af0 \ltrch\fcs0 \insrsid4012013\charrsid5338524 #}{\rtlch\fcs1 \af0 \ltrch\fcs0 \cs15\i0\v\f1\fs20\cf9\lang1024\langfe1024\noproof\insrsid4012013\charrsid5338524 &lt;/OptDelPrev&gt;}{\rtlch\fcs1 \af0 _x000d__x000a_\ltrch\fcs0 \insrsid4012013\charrsid5338524 _x000d__x000a_\par }\pard\plain \ltrpar\ql \li0\ri0\widctlpar\wrapdefault\aspalpha\aspnum\faauto\adjustright\rin0\lin0\itap0 \rtlch\fcs1 \af0\afs20\alang1025 \ltrch\fcs0 \fs24\lang2057\langfe2057\cgrid\langnp2057\langfenp2057 {\rtlch\fcs1 \af0 \ltrch\fcs0 _x000d__x000a_\cs15\v\f1\fs20\cf9\lang1024\langfe1024\noproof\langnp1032\insrsid4012013\charrsid5338524 &lt;/Amend&gt;}{\rtlch\fcs1 \af0 \ltrch\fcs0 \lang1024\langfe1024\noproof\insrsid4012013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4_x000d__x000a_c6dd5e0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9722132 HideTWBExt;}{\s16\ql \li0\ri0\sa120\nowidctlpar\wrapdefault\aspalpha\aspnum\faauto\adjustright\rin0\lin0\itap0 \rtlch\fcs1 \af0\afs20\alang1025 _x000d__x000a_\ltrch\fcs0 \fs24\lang2057\langfe2057\cgrid\langnp2057\langfenp2057 \sbasedon0 \snext16 \slink22 \styrsid9722132 Normal6;}{\s17\ql \li0\ri0\nowidctlpar\wrapdefault\aspalpha\aspnum\faauto\adjustright\rin0\lin0\itap0 \rtlch\fcs1 \af0\afs20\alang1025 _x000d__x000a_\ltrch\fcs0 \b\fs24\lang2057\langfe2057\cgrid\langnp2057\langfenp2057 \sbasedon0 \snext17 \slink21 \styrsid9722132 NormalBold;}{\s18\ql \li0\ri0\sb240\nowidctlpar\wrapdefault\aspalpha\aspnum\faauto\adjustright\rin0\lin0\itap0 \rtlch\fcs1 _x000d__x000a_\af0\afs20\alang1025 \ltrch\fcs0 \i\fs24\lang2057\langfe2057\cgrid\langnp2057\langfenp2057 \sbasedon0 \snext18 \styrsid9722132 Normal12Italic;}{\s19\qc \li0\ri0\sb240\nowidctlpar\wrapdefault\aspalpha\aspnum\faauto\adjustright\rin0\lin0\itap0 \rtlch\fcs1 _x000d__x000a_\af0\afs20\alang1025 \ltrch\fcs0 \i\fs24\lang2057\langfe2057\cgrid\langnp2057\langfenp2057 \sbasedon0 \snext19 \styrsid9722132 CrossRef;}{\s20\qc \li0\ri0\sb240\keepn\nowidctlpar\wrapdefault\aspalpha\aspnum\faauto\adjustright\rin0\lin0\itap0 \rtlch\fcs1 _x000d__x000a_\af0\afs20\alang1025 \ltrch\fcs0 \i\fs24\lang2057\langfe2057\cgrid\langnp2057\langfenp2057 \sbasedon0 \snext0 \styrsid9722132 JustificationTitle;}{\*\cs21 \additive \rtlch\fcs1 \af0 \ltrch\fcs0 \b\fs24 \sbasedon10 \slink17 \slocked \styrsid9722132 _x000d__x000a_NormalBold Char;}{\*\cs22 \additive \rtlch\fcs1 \af0 \ltrch\fcs0 \fs24 \sbasedon10 \slink16 \slocked \styrsid9722132 Normal6 Char;}{\s23\qc \li0\ri0\sa240\nowidctlpar\wrapdefault\aspalpha\aspnum\faauto\adjustright\rin0\lin0\itap0 \rtlch\fcs1 _x000d__x000a_\af0\afs20\alang1025 \ltrch\fcs0 \i\fs24\lang2057\langfe2057\cgrid\langnp2057\langfenp2057 \sbasedon0 \snext23 \styrsid972213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9722132 AMNumberTabs;}{\s25\ql \li0\ri0\sb240\nowidctlpar\wrapdefault\aspalpha\aspnum\faauto\adjustright\rin0\lin0\itap0 \rtlch\fcs1 \af0\afs20\alang1025 _x000d__x000a_\ltrch\fcs0 \b\fs24\lang2057\langfe2057\cgrid\langnp2057\langfenp2057 \sbasedon0 \snext25 \styrsid9722132 NormalBold12b;}}{\*\rsidtbl \rsid24658\rsid735077\rsid2892074\rsid4666813\rsid5443173\rsid6641733\rsid9636012\rsid9722132\rsid11215221\rsid12154954_x000d__x000a_\rsid14424199\rsid15204470\rsid15285974\rsid15950462\rsid16324206\rsid16662270}{\mmathPr\mmathFont34\mbrkBin0\mbrkBinSub0\msmallFrac0\mdispDef1\mlMargin0\mrMargin0\mdefJc1\mwrapIndent1440\mintLim0\mnaryLim1}{\info{\author BEAZOGLOU-VARVAGIANNIS Angeliki}_x000d__x000a_{\operator BEAZOGLOU-VARVAGIANNIS Angeliki}{\creatim\yr2017\mo7\dy25\hr17\min58}{\revtim\yr2017\mo7\dy25\hr17\min58}{\version1}{\edmins0}{\nofpages1}{\nofwords54}{\nofchars313}{\*\company European Parliament}{\nofcharsws36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22132\utinl \fet0{\*\wgrffmtfilter 013f}\ilfomacatclnup0{\*\template C:\\Users\\ABEAZO~1\\AppData\\Local\\Temp\\Blank1.dot}{\*\ftnsep \ltrpar \pard\plain \ltrpar_x000d__x000a_\ql \li0\ri0\widctlpar\wrapdefault\aspalpha\aspnum\faauto\adjustright\rin0\lin0\itap0 \rtlch\fcs1 \af0\afs20\alang1025 \ltrch\fcs0 \fs24\lang2057\langfe2057\cgrid\langnp2057\langfenp2057 {\rtlch\fcs1 \af0 \ltrch\fcs0 \insrsid5443173 \chftnsep _x000d__x000a_\par }}{\*\ftnsepc \ltrpar \pard\plain \ltrpar\ql \li0\ri0\widctlpar\wrapdefault\aspalpha\aspnum\faauto\adjustright\rin0\lin0\itap0 \rtlch\fcs1 \af0\afs20\alang1025 \ltrch\fcs0 \fs24\lang2057\langfe2057\cgrid\langnp2057\langfenp2057 {\rtlch\fcs1 \af0 _x000d__x000a_\ltrch\fcs0 \insrsid5443173 \chftnsepc _x000d__x000a_\par }}{\*\aftnsep \ltrpar \pard\plain \ltrpar\ql \li0\ri0\widctlpar\wrapdefault\aspalpha\aspnum\faauto\adjustright\rin0\lin0\itap0 \rtlch\fcs1 \af0\afs20\alang1025 \ltrch\fcs0 \fs24\lang2057\langfe2057\cgrid\langnp2057\langfenp2057 {\rtlch\fcs1 \af0 _x000d__x000a_\ltrch\fcs0 \insrsid5443173 \chftnsep _x000d__x000a_\par }}{\*\aftnsepc \ltrpar \pard\plain \ltrpar\ql \li0\ri0\widctlpar\wrapdefault\aspalpha\aspnum\faauto\adjustright\rin0\lin0\itap0 \rtlch\fcs1 \af0\afs20\alang1025 \ltrch\fcs0 \fs24\lang2057\langfe2057\cgrid\langnp2057\langfenp2057 {\rtlch\fcs1 \af0 _x000d__x000a_\ltrch\fcs0 \insrsid54431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9722132\charrsid4417459 {\*\bkmkstart restart}&lt;Amend&gt;}{_x000d__x000a_\rtlch\fcs1 \af0 \ltrch\fcs0 \insrsid9722132\charrsid1799708 [ZAMENDMENT]}{\rtlch\fcs1 \af0 \ltrch\fcs0 \insrsid9722132 \tab \tab }{\rtlch\fcs1 \af0 \ltrch\fcs0 \cs15\b0\v\f1\fs20\cf9\insrsid9722132\charrsid1799708 &lt;NumAm&gt;}{\rtlch\fcs1 \af0 \ltrch\fcs0 _x000d__x000a_\insrsid9722132\charrsid1799708 [ZNRAM]}{\rtlch\fcs1 \af0 \ltrch\fcs0 \cs15\b0\v\f1\fs20\cf9\insrsid9722132\charrsid1799708 &lt;/NumAm&gt;}{\rtlch\fcs1 \af0 \ltrch\fcs0 \insrsid9722132\charrsid4080556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9722132\charrsid4737239 &lt;DocAmend&gt;}{\rtlch\fcs1 \af0 \ltrch\fcs0 \insrsid9722132\charrsid1799708 [ZPROPOSAL][ZAMACT]}{\rtlch\fcs1 \af0 \ltrch\fcs0 _x000d__x000a_\cs15\b0\v\f1\fs20\cf9\insrsid9722132\charrsid4737239 &lt;/DocAmend&gt;}{\rtlch\fcs1 \af0 \ltrch\fcs0 \insrsid9722132\charrsid1799708 _x000d__x000a_\par }\pard\plain \ltrpar\s17\ql \li0\ri0\keepn\nowidctlpar\wrapdefault\aspalpha\aspnum\faauto\adjustright\rin0\lin0\itap0\pararsid14315216 \rtlch\fcs1 \af0\afs20\alang1025 \ltrch\fcs0 \b\fs24\lang2057\langfe2057\cgrid\langnp2057\langfenp2057 {\rtlch\fcs1 _x000d__x000a_\af0 \ltrch\fcs0 \cs15\b0\v\f1\fs20\cf9\insrsid9722132\charrsid1799708 &lt;Article&gt;}{\rtlch\fcs1 \af0 \ltrch\fcs0 \insrsid9722132\charrsid1799708 [ZAMPART]}{\rtlch\fcs1 \af0 \ltrch\fcs0 \cs15\b0\v\f1\fs20\cf9\insrsid9722132\charrsid1799708 &lt;/Article&gt;}{_x000d__x000a_\rtlch\fcs1 \af0 \ltrch\fcs0 \insrsid9722132\charrsid1799708 _x000d__x000a_\par }\pard\plain \ltrpar\ql \li0\ri0\keepn\widctlpar\wrapdefault\aspalpha\aspnum\faauto\adjustright\rin0\lin0\itap0\pararsid1856914 \rtlch\fcs1 \af0\afs20\alang1025 \ltrch\fcs0 \fs24\lang2057\langfe2057\cgrid\langnp2057\langfenp2057 {\rtlch\fcs1 \af0 _x000d__x000a_\ltrch\fcs0 \cs15\v\f1\fs20\cf9\lang1043\langfe2057\langnp1043\insrsid9722132\charrsid4983061 &lt;DocAmend2&gt;&lt;OptDel&gt;}{\rtlch\fcs1 \af0 \ltrch\fcs0 \lang1043\langfe2057\langnp1043\insrsid9722132\charrsid4983061 [ZNRACT]}{\rtlch\fcs1 \af0 \ltrch\fcs0 _x000d__x000a_\cs15\v\f1\fs20\cf9\lang1043\langfe2057\langnp1043\insrsid9722132\charrsid4983061 &lt;/OptDel&gt;&lt;/DocAmend2&gt;}{\rtlch\fcs1 \af0 \ltrch\fcs0 \lang1043\langfe2057\langnp1043\insrsid9722132\charrsid4983061 _x000d__x000a_\par }\pard \ltrpar\ql \li0\ri0\widctlpar\wrapdefault\aspalpha\aspnum\faauto\adjustright\rin0\lin0\itap0\pararsid2517430 {\rtlch\fcs1 \af0 \ltrch\fcs0 \cs15\v\f1\fs20\cf9\lang1036\langfe2057\langnp1036\insrsid9722132\charrsid4983061 &lt;Article2&gt;&lt;OptDel&gt;}{_x000d__x000a_\rtlch\fcs1 \af0 \ltrch\fcs0 \lang1036\langfe2057\langnp1036\insrsid9722132\charrsid4983061 [ZACTPART]}{\rtlch\fcs1 \af0 \ltrch\fcs0 \cs15\v\f1\fs20\cf9\lang1036\langfe2057\langnp1036\insrsid9722132\charrsid4983061 &lt;/OptDel&gt;&lt;/Article2&gt;}{\rtlch\fcs1 \af0 _x000d__x000a_\ltrch\fcs0 \lang1036\langfe2057\langnp1036\insrsid9722132\charrsid4983061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9722132\charrsid4983061 \cell }\pard \ltrpar\ql \li0\ri0\widctlpar\intbl\wrapdefault\aspalpha\aspnum\faauto\adjustright\rin0\lin0 {\rtlch\fcs1 \af0 \ltrch\fcs0 _x000d__x000a_\lang1036\langfe2057\langnp1036\insrsid9722132\charrsid4983061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9722132\charrsid1799708 [ZLEFT]\cell [ZRIGHT]\cell }\pard\plain \ltrpar\ql \li0\ri0\widctlpar\intbl\wrapdefault\aspalpha\aspnum\faauto\adjustright\rin0\lin0 \rtlch\fcs1 \af0\afs20\alang1025 \ltrch\fcs0 _x000d__x000a_\fs24\lang2057\langfe2057\cgrid\langnp2057\langfenp2057 {\rtlch\fcs1 \af0 \ltrch\fcs0 \insrsid9722132\charrsid1799708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722132\charrsid1799708 [ZTEXTL]\cell [ZTEXTR]}{\rtlch\fcs1 \af0\afs24 \ltrch\fcs0 \insrsid9722132\charrsid1799708 \cell }\pard\plain \ltrpar\ql \li0\ri0\widctlpar\intbl\wrapdefault\aspalpha\aspnum\faauto\adjustright\rin0\lin0 \rtlch\fcs1 _x000d__x000a_\af0\afs20\alang1025 \ltrch\fcs0 \fs24\lang2057\langfe2057\cgrid\langnp2057\langfenp2057 {\rtlch\fcs1 \af0 \ltrch\fcs0 \insrsid9722132\charrsid1799708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2517430 \rtlch\fcs1 \af0\afs20\alang1025 \ltrch\fcs0 \i\fs24\lang2057\langfe2057\cgrid\langnp2057\langfenp2057 {\rtlch\fcs1 \af0 \ltrch\fcs0 _x000d__x000a_\cs15\i0\v\f1\fs20\cf9\lang1043\langfe2057\langnp1043\insrsid9722132\charrsid4983061 &lt;OptDel&gt;}{\rtlch\fcs1 \af0 \ltrch\fcs0 \lang1043\langfe2057\langnp1043\insrsid9722132\charrsid4983061 [ZCROSSREF]}{\rtlch\fcs1 \af0 \ltrch\fcs0 _x000d__x000a_\cs15\i0\v\f1\fs20\cf9\lang1043\langfe2057\langnp1043\insrsid9722132\charrsid4983061 &lt;/OptDel&gt;}{\rtlch\fcs1 \af0 \ltrch\fcs0 \lang1043\langfe2057\langnp1043\insrsid9722132\charrsid4983061 _x000d__x000a_\par }\pard\plain \ltrpar\s20\qc \li0\ri0\sb240\keepn\nowidctlpar\wrapdefault\aspalpha\aspnum\faauto\adjustright\rin0\lin0\itap0\pararsid2517430 \rtlch\fcs1 \af0\afs20\alang1025 \ltrch\fcs0 \i\fs24\lang2057\langfe2057\cgrid\langnp2057\langfenp2057 {_x000d__x000a_\rtlch\fcs1 \af0 \ltrch\fcs0 \cs15\i0\v\f1\fs20\cf9\lang1043\langfe2057\langnp1043\insrsid9722132\charrsid4983061 &lt;TitreJust&gt;}{\rtlch\fcs1 \af0 \ltrch\fcs0 \lang1043\langfe2057\langnp1043\insrsid9722132\charrsid4983061 [ZJUSTIFICATION]}{\rtlch\fcs1 \af0 _x000d__x000a_\ltrch\fcs0 \cs15\i0\v\f1\fs20\cf9\lang1043\langfe2057\langnp1043\insrsid9722132\charrsid4983061 &lt;/TitreJust&gt;}{\rtlch\fcs1 \af0 \ltrch\fcs0 \lang1043\langfe2057\langnp1043\insrsid9722132\charrsid4983061 _x000d__x000a_\par }\pard\plain \ltrpar\s18\ql \li0\ri0\sb240\nowidctlpar\wrapdefault\aspalpha\aspnum\faauto\adjustright\rin0\lin0\itap0\pararsid2517430 \rtlch\fcs1 \af0\afs20\alang1025 \ltrch\fcs0 \i\fs24\lang2057\langfe2057\cgrid\langnp2057\langfenp2057 {\rtlch\fcs1 \af0 _x000d__x000a_\ltrch\fcs0 \cs15\i0\v\f1\fs20\cf9\lang1043\langfe2057\langnp1043\insrsid9722132\charrsid4983061 &lt;OptDelPrev&gt;}{\rtlch\fcs1 \af0 \ltrch\fcs0 \lang1043\langfe2057\langnp1043\insrsid9722132\charrsid4983061 [ZTEXTJUST]}{\rtlch\fcs1 \af0 \ltrch\fcs0 _x000d__x000a_\cs15\i0\v\f1\fs20\cf9\lang1043\langfe2057\langnp1043\insrsid9722132\charrsid4983061 &lt;/OptDelPrev&gt;}{\rtlch\fcs1 \af0 \ltrch\fcs0 \lang1043\langfe2057\langnp1043\insrsid9722132\charrsid4983061 _x000d__x000a_\par }\pard\plain \ltrpar\ql \li0\ri0\widctlpar\wrapdefault\aspalpha\aspnum\faauto\adjustright\rin0\lin0\itap0 \rtlch\fcs1 \af0\afs20\alang1025 \ltrch\fcs0 \fs24\lang2057\langfe2057\cgrid\langnp2057\langfenp2057 {\rtlch\fcs1 \af0 \ltrch\fcs0 _x000d__x000a_\cs15\v\f1\fs20\cf9\insrsid9722132\charrsid1799708 &lt;/Amend&gt;}{\rtlch\fcs1 \af0 \ltrch\fcs0 \insrsid9722132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c_x000d__x000a_17df5e0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1"/>
    <w:docVar w:name="TXTAUTHOR" w:val="Ildikó Gáll-Pelcz"/>
    <w:docVar w:name="TXTLANGUE" w:val="EL"/>
    <w:docVar w:name="TXTLANGUEMIN" w:val="el"/>
    <w:docVar w:name="TXTNRC" w:val="0123/2016"/>
    <w:docVar w:name="TXTNRCOD" w:val="– 2016/0084"/>
    <w:docVar w:name="TXTNRCOM" w:val="(2016)0157"/>
    <w:docVar w:name="TXTNRPE" w:val="599.728"/>
    <w:docVar w:name="TXTPEorAP" w:val="PE"/>
    <w:docVar w:name="TXTROUTE" w:val="RR\1131864EL.docx"/>
    <w:docVar w:name="TXTTITLE" w:val="on the proposal for a regulation of the European Parliament and of the Council laying down rules on the making available on the market of CE marked fertilising products and amending Regulations (EC) No 1069/2009 and (EC) No 1107/2009"/>
    <w:docVar w:name="TXTVERSION" w:val="02-00"/>
  </w:docVars>
  <w:rsids>
    <w:rsidRoot w:val="0051759C"/>
    <w:rsid w:val="00084E89"/>
    <w:rsid w:val="000A61DD"/>
    <w:rsid w:val="000C02A3"/>
    <w:rsid w:val="000E6C72"/>
    <w:rsid w:val="000F1096"/>
    <w:rsid w:val="00102029"/>
    <w:rsid w:val="00107BC0"/>
    <w:rsid w:val="00142215"/>
    <w:rsid w:val="00147D78"/>
    <w:rsid w:val="00183693"/>
    <w:rsid w:val="001C5592"/>
    <w:rsid w:val="001C5B44"/>
    <w:rsid w:val="00212B84"/>
    <w:rsid w:val="002346B0"/>
    <w:rsid w:val="002669B6"/>
    <w:rsid w:val="002856F0"/>
    <w:rsid w:val="00290BED"/>
    <w:rsid w:val="002F40BB"/>
    <w:rsid w:val="002F4B02"/>
    <w:rsid w:val="003C2068"/>
    <w:rsid w:val="003C37CF"/>
    <w:rsid w:val="00417A4A"/>
    <w:rsid w:val="00461601"/>
    <w:rsid w:val="00463FFA"/>
    <w:rsid w:val="004930D5"/>
    <w:rsid w:val="004C0915"/>
    <w:rsid w:val="004D424E"/>
    <w:rsid w:val="004E42C8"/>
    <w:rsid w:val="0051759C"/>
    <w:rsid w:val="00521F46"/>
    <w:rsid w:val="00570A6A"/>
    <w:rsid w:val="00586E50"/>
    <w:rsid w:val="005D7EE8"/>
    <w:rsid w:val="0068296B"/>
    <w:rsid w:val="00743189"/>
    <w:rsid w:val="0074424B"/>
    <w:rsid w:val="00754953"/>
    <w:rsid w:val="007932B3"/>
    <w:rsid w:val="00793EA9"/>
    <w:rsid w:val="007E43CD"/>
    <w:rsid w:val="00846D90"/>
    <w:rsid w:val="008633CC"/>
    <w:rsid w:val="00865190"/>
    <w:rsid w:val="008719B9"/>
    <w:rsid w:val="00876772"/>
    <w:rsid w:val="008A7FB8"/>
    <w:rsid w:val="008E153B"/>
    <w:rsid w:val="008F5A1A"/>
    <w:rsid w:val="009022B8"/>
    <w:rsid w:val="00917CC4"/>
    <w:rsid w:val="0093569D"/>
    <w:rsid w:val="009763DA"/>
    <w:rsid w:val="009D0253"/>
    <w:rsid w:val="009F6C2F"/>
    <w:rsid w:val="00A22533"/>
    <w:rsid w:val="00A26F46"/>
    <w:rsid w:val="00A34FD3"/>
    <w:rsid w:val="00A36929"/>
    <w:rsid w:val="00A64815"/>
    <w:rsid w:val="00A85CA6"/>
    <w:rsid w:val="00AA35B0"/>
    <w:rsid w:val="00AC4460"/>
    <w:rsid w:val="00AD18C8"/>
    <w:rsid w:val="00AD7FA6"/>
    <w:rsid w:val="00AE34FF"/>
    <w:rsid w:val="00AF0416"/>
    <w:rsid w:val="00B23B72"/>
    <w:rsid w:val="00B42702"/>
    <w:rsid w:val="00B85407"/>
    <w:rsid w:val="00B95702"/>
    <w:rsid w:val="00BC6489"/>
    <w:rsid w:val="00CF60C8"/>
    <w:rsid w:val="00D415B6"/>
    <w:rsid w:val="00D46F8D"/>
    <w:rsid w:val="00D503A3"/>
    <w:rsid w:val="00DA6ED0"/>
    <w:rsid w:val="00E171B6"/>
    <w:rsid w:val="00E451E4"/>
    <w:rsid w:val="00E45927"/>
    <w:rsid w:val="00EB1753"/>
    <w:rsid w:val="00EB6CFF"/>
    <w:rsid w:val="00F904AE"/>
    <w:rsid w:val="00FB52FE"/>
    <w:rsid w:val="00FC0A34"/>
    <w:rsid w:val="00FE3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F36BE4E-B0A5-44DD-9F8D-22549306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basedOn w:val="DefaultParagraphFont"/>
    <w:link w:val="Normal12"/>
    <w:locked/>
    <w:rsid w:val="00846D90"/>
    <w:rPr>
      <w:sz w:val="24"/>
      <w:lang w:eastAsia="el-GR"/>
    </w:r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l-GR" w:eastAsia="el-GR" w:bidi="el-G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l-GR" w:eastAsia="el-GR" w:bidi="el-G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AMNumber">
    <w:name w:val="AMNumber"/>
    <w:basedOn w:val="Normal"/>
    <w:pPr>
      <w:keepLines/>
      <w:spacing w:before="360"/>
      <w:jc w:val="center"/>
    </w:pPr>
  </w:style>
  <w:style w:type="paragraph" w:customStyle="1" w:styleId="ColHeading">
    <w:name w:val="ColHeading"/>
    <w:basedOn w:val="Normal"/>
    <w:pPr>
      <w:spacing w:before="240" w:after="120"/>
      <w:jc w:val="center"/>
    </w:pPr>
  </w:style>
  <w:style w:type="paragraph" w:customStyle="1" w:styleId="Lgendesigne">
    <w:name w:val="Légende signe"/>
    <w:basedOn w:val="Normal"/>
    <w:rsid w:val="002856F0"/>
    <w:pPr>
      <w:tabs>
        <w:tab w:val="right" w:pos="454"/>
        <w:tab w:val="left" w:pos="737"/>
      </w:tabs>
      <w:ind w:left="737" w:hanging="737"/>
    </w:pPr>
    <w:rPr>
      <w:snapToGrid w:val="0"/>
      <w:sz w:val="18"/>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StarsAndIs">
    <w:name w:val="StarsAndIs"/>
    <w:basedOn w:val="Normal"/>
    <w:pPr>
      <w:ind w:lef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uiPriority w:val="59"/>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PELeft">
    <w:name w:val="PELeft"/>
    <w:basedOn w:val="Normal"/>
    <w:rsid w:val="00461601"/>
    <w:pPr>
      <w:spacing w:before="40" w:after="40"/>
    </w:pPr>
    <w:rPr>
      <w:rFonts w:ascii="Arial" w:hAnsi="Arial" w:cs="Arial"/>
      <w:sz w:val="22"/>
      <w:szCs w:val="22"/>
    </w:rPr>
  </w:style>
  <w:style w:type="paragraph" w:customStyle="1" w:styleId="PERight">
    <w:name w:val="PERight"/>
    <w:basedOn w:val="Normal"/>
    <w:next w:val="Normal"/>
    <w:rsid w:val="00461601"/>
    <w:pPr>
      <w:jc w:val="right"/>
    </w:pPr>
    <w:rPr>
      <w:rFonts w:ascii="Arial" w:hAnsi="Arial" w:cs="Arial"/>
      <w:sz w:val="22"/>
      <w:szCs w:val="22"/>
    </w:rPr>
  </w:style>
  <w:style w:type="paragraph" w:customStyle="1" w:styleId="Lgendetitre">
    <w:name w:val="Légende titre"/>
    <w:basedOn w:val="Normal"/>
    <w:rsid w:val="002856F0"/>
    <w:pPr>
      <w:spacing w:before="240" w:after="240"/>
    </w:pPr>
    <w:rPr>
      <w:b/>
      <w:i/>
      <w:snapToGrid w:val="0"/>
    </w:rPr>
  </w:style>
  <w:style w:type="paragraph" w:customStyle="1" w:styleId="Lgendestandard">
    <w:name w:val="Légende standard"/>
    <w:basedOn w:val="Lgendesigne"/>
    <w:rsid w:val="002856F0"/>
    <w:pPr>
      <w:ind w:left="0" w:firstLine="0"/>
    </w:pPr>
  </w:style>
  <w:style w:type="paragraph" w:styleId="FootnoteText">
    <w:name w:val="footnote text"/>
    <w:basedOn w:val="Normal"/>
    <w:link w:val="FootnoteTextChar"/>
    <w:rsid w:val="00846D90"/>
    <w:rPr>
      <w:sz w:val="20"/>
    </w:rPr>
  </w:style>
  <w:style w:type="character" w:customStyle="1" w:styleId="FootnoteTextChar">
    <w:name w:val="Footnote Text Char"/>
    <w:basedOn w:val="DefaultParagraphFont"/>
    <w:link w:val="FootnoteText"/>
    <w:rsid w:val="00846D90"/>
    <w:rPr>
      <w:lang w:val="el-GR" w:eastAsia="el-GR"/>
    </w:rPr>
  </w:style>
  <w:style w:type="character" w:styleId="FootnoteReference">
    <w:name w:val="footnote reference"/>
    <w:rsid w:val="00846D90"/>
    <w:rPr>
      <w:vertAlign w:val="superscript"/>
    </w:rPr>
  </w:style>
  <w:style w:type="paragraph" w:customStyle="1" w:styleId="EPName">
    <w:name w:val="EPName"/>
    <w:basedOn w:val="Normal"/>
    <w:rsid w:val="00846D90"/>
    <w:pPr>
      <w:spacing w:before="80" w:after="80"/>
    </w:pPr>
    <w:rPr>
      <w:rFonts w:ascii="Arial Narrow" w:hAnsi="Arial Narrow" w:cs="Arial"/>
      <w:b/>
      <w:color w:val="000000"/>
      <w:sz w:val="32"/>
      <w:szCs w:val="22"/>
    </w:rPr>
  </w:style>
  <w:style w:type="paragraph" w:customStyle="1" w:styleId="EPTerm">
    <w:name w:val="EPTerm"/>
    <w:basedOn w:val="Normal"/>
    <w:next w:val="Normal"/>
    <w:rsid w:val="00846D90"/>
    <w:pPr>
      <w:spacing w:after="80"/>
    </w:pPr>
    <w:rPr>
      <w:rFonts w:ascii="Arial" w:hAnsi="Arial" w:cs="Arial"/>
      <w:sz w:val="20"/>
      <w:szCs w:val="22"/>
    </w:rPr>
  </w:style>
  <w:style w:type="paragraph" w:customStyle="1" w:styleId="EPLogo">
    <w:name w:val="EPLogo"/>
    <w:basedOn w:val="Normal"/>
    <w:qFormat/>
    <w:rsid w:val="00846D90"/>
    <w:pPr>
      <w:jc w:val="right"/>
    </w:pPr>
  </w:style>
  <w:style w:type="paragraph" w:customStyle="1" w:styleId="Default">
    <w:name w:val="Default"/>
    <w:rsid w:val="00846D90"/>
    <w:pPr>
      <w:autoSpaceDE w:val="0"/>
      <w:autoSpaceDN w:val="0"/>
      <w:adjustRightInd w:val="0"/>
    </w:pPr>
    <w:rPr>
      <w:rFonts w:ascii="Arial" w:hAnsi="Arial" w:cs="Arial"/>
      <w:color w:val="000000"/>
      <w:sz w:val="24"/>
      <w:szCs w:val="24"/>
    </w:rPr>
  </w:style>
  <w:style w:type="paragraph" w:customStyle="1" w:styleId="CommitteeAM">
    <w:name w:val="CommitteeAM"/>
    <w:basedOn w:val="Normal"/>
    <w:rsid w:val="00846D90"/>
    <w:pPr>
      <w:spacing w:before="240" w:after="600"/>
      <w:jc w:val="center"/>
    </w:pPr>
    <w:rPr>
      <w:i/>
    </w:rPr>
  </w:style>
  <w:style w:type="paragraph" w:customStyle="1" w:styleId="ZDateAM">
    <w:name w:val="ZDateAM"/>
    <w:basedOn w:val="Normal"/>
    <w:rsid w:val="00846D90"/>
    <w:pPr>
      <w:tabs>
        <w:tab w:val="right" w:pos="9356"/>
      </w:tabs>
      <w:spacing w:after="480"/>
    </w:pPr>
    <w:rPr>
      <w:noProof/>
    </w:rPr>
  </w:style>
  <w:style w:type="paragraph" w:customStyle="1" w:styleId="ProjRap">
    <w:name w:val="ProjRap"/>
    <w:basedOn w:val="Normal"/>
    <w:rsid w:val="00846D90"/>
    <w:pPr>
      <w:tabs>
        <w:tab w:val="right" w:pos="9356"/>
      </w:tabs>
    </w:pPr>
    <w:rPr>
      <w:b/>
      <w:noProof/>
    </w:rPr>
  </w:style>
  <w:style w:type="character" w:customStyle="1" w:styleId="Footer2Middle">
    <w:name w:val="Footer2Middle"/>
    <w:rsid w:val="00846D90"/>
    <w:rPr>
      <w:rFonts w:ascii="Arial" w:cs="Arial"/>
      <w:b w:val="0"/>
      <w:i/>
      <w:color w:val="C0C0C0"/>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846D90"/>
    <w:rPr>
      <w:lang w:val="el-GR" w:eastAsia="el-GR"/>
    </w:rPr>
  </w:style>
  <w:style w:type="paragraph" w:styleId="CommentSubject">
    <w:name w:val="annotation subject"/>
    <w:basedOn w:val="CommentText"/>
    <w:next w:val="CommentText"/>
    <w:link w:val="CommentSubjectChar"/>
    <w:rsid w:val="00846D90"/>
    <w:rPr>
      <w:b/>
      <w:bCs/>
    </w:rPr>
  </w:style>
  <w:style w:type="character" w:customStyle="1" w:styleId="CommentSubjectChar">
    <w:name w:val="Comment Subject Char"/>
    <w:basedOn w:val="CommentTextChar"/>
    <w:link w:val="CommentSubject"/>
    <w:rsid w:val="00846D90"/>
    <w:rPr>
      <w:b/>
      <w:bCs/>
      <w:lang w:val="el-GR" w:eastAsia="el-GR"/>
    </w:rPr>
  </w:style>
  <w:style w:type="paragraph" w:styleId="BalloonText">
    <w:name w:val="Balloon Text"/>
    <w:basedOn w:val="Normal"/>
    <w:link w:val="BalloonTextChar"/>
    <w:rsid w:val="00846D90"/>
    <w:rPr>
      <w:rFonts w:ascii="Segoe UI" w:hAnsi="Segoe UI" w:cs="Segoe UI"/>
      <w:sz w:val="18"/>
      <w:szCs w:val="18"/>
    </w:rPr>
  </w:style>
  <w:style w:type="character" w:customStyle="1" w:styleId="BalloonTextChar">
    <w:name w:val="Balloon Text Char"/>
    <w:basedOn w:val="DefaultParagraphFont"/>
    <w:link w:val="BalloonText"/>
    <w:rsid w:val="00846D90"/>
    <w:rPr>
      <w:rFonts w:ascii="Segoe UI" w:hAnsi="Segoe UI" w:cs="Segoe UI"/>
      <w:sz w:val="18"/>
      <w:szCs w:val="18"/>
      <w:lang w:val="el-GR" w:eastAsia="el-GR"/>
    </w:rPr>
  </w:style>
  <w:style w:type="paragraph" w:customStyle="1" w:styleId="Statut">
    <w:name w:val="Statut"/>
    <w:basedOn w:val="Normal"/>
    <w:next w:val="Normal"/>
    <w:rsid w:val="00846D90"/>
    <w:pPr>
      <w:widowControl/>
      <w:spacing w:before="360"/>
      <w:jc w:val="center"/>
    </w:pPr>
    <w:rPr>
      <w:rFonts w:eastAsia="Calibri"/>
      <w:szCs w:val="22"/>
    </w:rPr>
  </w:style>
  <w:style w:type="paragraph" w:customStyle="1" w:styleId="PageHeadingNotTOC">
    <w:name w:val="PageHeadingNotTOC"/>
    <w:basedOn w:val="Normal"/>
    <w:rsid w:val="00E451E4"/>
    <w:pPr>
      <w:keepNext/>
      <w:spacing w:before="240" w:after="240"/>
      <w:jc w:val="center"/>
    </w:pPr>
    <w:rPr>
      <w:rFonts w:ascii="Arial" w:hAnsi="Arial"/>
      <w:b/>
    </w:rPr>
  </w:style>
  <w:style w:type="paragraph" w:customStyle="1" w:styleId="ConclusionsPA">
    <w:name w:val="ConclusionsPA"/>
    <w:basedOn w:val="Normal12"/>
    <w:rsid w:val="00E451E4"/>
    <w:pPr>
      <w:spacing w:before="480"/>
      <w:jc w:val="center"/>
    </w:pPr>
    <w:rPr>
      <w:rFonts w:ascii="Arial" w:hAnsi="Arial"/>
      <w:b/>
      <w:caps/>
      <w:snapToGrid w:val="0"/>
    </w:rPr>
  </w:style>
  <w:style w:type="character" w:styleId="PageNumber">
    <w:name w:val="page number"/>
    <w:basedOn w:val="DefaultParagraphFont"/>
    <w:rsid w:val="00E451E4"/>
  </w:style>
  <w:style w:type="character" w:customStyle="1" w:styleId="FooterChar">
    <w:name w:val="Footer Char"/>
    <w:link w:val="Footer"/>
    <w:rsid w:val="00E451E4"/>
    <w:rPr>
      <w:sz w:val="22"/>
    </w:rPr>
  </w:style>
  <w:style w:type="paragraph" w:styleId="Revision">
    <w:name w:val="Revision"/>
    <w:hidden/>
    <w:uiPriority w:val="99"/>
    <w:semiHidden/>
    <w:rsid w:val="00E451E4"/>
    <w:rPr>
      <w:sz w:val="24"/>
      <w:szCs w:val="24"/>
    </w:rPr>
  </w:style>
  <w:style w:type="paragraph" w:customStyle="1" w:styleId="NumPar1">
    <w:name w:val="NumPar 1"/>
    <w:basedOn w:val="Normal"/>
    <w:next w:val="Normal"/>
    <w:rsid w:val="00E451E4"/>
    <w:pPr>
      <w:widowControl/>
      <w:numPr>
        <w:numId w:val="41"/>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E451E4"/>
    <w:pPr>
      <w:widowControl/>
      <w:numPr>
        <w:ilvl w:val="1"/>
        <w:numId w:val="41"/>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E451E4"/>
    <w:pPr>
      <w:widowControl/>
      <w:numPr>
        <w:ilvl w:val="2"/>
        <w:numId w:val="41"/>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E451E4"/>
    <w:pPr>
      <w:widowControl/>
      <w:numPr>
        <w:ilvl w:val="3"/>
        <w:numId w:val="41"/>
      </w:numPr>
      <w:tabs>
        <w:tab w:val="clear" w:pos="850"/>
        <w:tab w:val="num" w:pos="360"/>
      </w:tabs>
      <w:spacing w:before="120" w:after="120"/>
      <w:ind w:left="0" w:firstLine="0"/>
      <w:jc w:val="both"/>
    </w:pPr>
    <w:rPr>
      <w:rFonts w:eastAsia="Calibri"/>
      <w:szCs w:val="22"/>
    </w:rPr>
  </w:style>
  <w:style w:type="paragraph" w:customStyle="1" w:styleId="NormalTabs">
    <w:name w:val="NormalTabs"/>
    <w:basedOn w:val="Normal"/>
    <w:qFormat/>
    <w:rsid w:val="00E451E4"/>
    <w:pPr>
      <w:tabs>
        <w:tab w:val="center" w:pos="284"/>
        <w:tab w:val="left" w:pos="426"/>
      </w:tabs>
    </w:pPr>
    <w:rPr>
      <w:snapToGrid w:val="0"/>
      <w:lang w:eastAsia="en-US" w:bidi="ar-SA"/>
    </w:rPr>
  </w:style>
  <w:style w:type="character" w:customStyle="1" w:styleId="BalloonTextChar1">
    <w:name w:val="Balloon Text Char1"/>
    <w:basedOn w:val="DefaultParagraphFont"/>
    <w:rsid w:val="00E451E4"/>
    <w:rPr>
      <w:rFonts w:ascii="Segoe UI" w:hAnsi="Segoe UI" w:cs="Segoe UI"/>
      <w:sz w:val="18"/>
      <w:szCs w:val="18"/>
      <w:lang w:val="el-GR"/>
    </w:rPr>
  </w:style>
  <w:style w:type="character" w:customStyle="1" w:styleId="CommentTextChar1">
    <w:name w:val="Comment Text Char1"/>
    <w:basedOn w:val="DefaultParagraphFont"/>
    <w:rsid w:val="00E451E4"/>
    <w:rPr>
      <w:lang w:val="el-GR"/>
    </w:rPr>
  </w:style>
  <w:style w:type="character" w:customStyle="1" w:styleId="CommentSubjectChar1">
    <w:name w:val="Comment Subject Char1"/>
    <w:basedOn w:val="CommentTextChar1"/>
    <w:rsid w:val="00E451E4"/>
    <w:rPr>
      <w:b/>
      <w:bCs/>
      <w:lang w:val="el-GR"/>
    </w:rPr>
  </w:style>
  <w:style w:type="character" w:customStyle="1" w:styleId="Sup">
    <w:name w:val="Sup"/>
    <w:rsid w:val="00E451E4"/>
    <w:rPr>
      <w:color w:val="000000"/>
      <w:vertAlign w:val="superscript"/>
    </w:rPr>
  </w:style>
  <w:style w:type="character" w:customStyle="1" w:styleId="SupBoldItalic">
    <w:name w:val="SupBoldItalic"/>
    <w:rsid w:val="00E451E4"/>
    <w:rPr>
      <w:b/>
      <w:bCs w:val="0"/>
      <w:i/>
      <w:iCs w:val="0"/>
      <w:color w:val="000000"/>
      <w:vertAlign w:val="superscript"/>
    </w:rPr>
  </w:style>
  <w:style w:type="paragraph" w:customStyle="1" w:styleId="Center">
    <w:name w:val="Center"/>
    <w:rsid w:val="00E451E4"/>
    <w:pPr>
      <w:spacing w:after="120"/>
      <w:jc w:val="center"/>
    </w:pPr>
    <w:rPr>
      <w:color w:val="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um\AppData\Local\DocEP\DOCS\PR\PR_Leg\COD\COD_1st\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PR_COD_1amCom.dot</Template>
  <TotalTime>0</TotalTime>
  <Pages>346</Pages>
  <Words>87505</Words>
  <Characters>502280</Characters>
  <Application>Microsoft Office Word</Application>
  <DocSecurity>0</DocSecurity>
  <Lines>20928</Lines>
  <Paragraphs>8191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581594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Lefteris Eumorfopoulos</dc:creator>
  <cp:keywords/>
  <dc:description/>
  <cp:lastModifiedBy>KOUTI Maria</cp:lastModifiedBy>
  <cp:revision>2</cp:revision>
  <cp:lastPrinted>2017-03-01T11:08:00Z</cp:lastPrinted>
  <dcterms:created xsi:type="dcterms:W3CDTF">2017-09-07T11:14:00Z</dcterms:created>
  <dcterms:modified xsi:type="dcterms:W3CDTF">2017-09-07T11:14:00Z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7.8.3 Build [20130801]</vt:lpwstr>
  </property>
  <property fmtid="{D5CDD505-2E9C-101B-9397-08002B2CF9AE}" pid="3" name="LastEdited with">
    <vt:lpwstr>9.1.0 Build [20170814]</vt:lpwstr>
  </property>
  <property fmtid="{D5CDD505-2E9C-101B-9397-08002B2CF9AE}" pid="4" name="&lt;FdR&gt;">
    <vt:lpwstr>1131864</vt:lpwstr>
  </property>
  <property fmtid="{D5CDD505-2E9C-101B-9397-08002B2CF9AE}" pid="5" name="&lt;Type&gt;">
    <vt:lpwstr>RR</vt:lpwstr>
  </property>
  <property fmtid="{D5CDD505-2E9C-101B-9397-08002B2CF9AE}" pid="6" name="&lt;ModelCod&gt;">
    <vt:lpwstr>C:\Users\leum\AppData\Local\DocEP\DOCS\PR\PR_Leg\COD\COD_1st\PR_COD_1amCom.dot(03/10/2014 14:12:50)</vt:lpwstr>
  </property>
  <property fmtid="{D5CDD505-2E9C-101B-9397-08002B2CF9AE}" pid="7" name="&lt;ModelTra&gt;">
    <vt:lpwstr>C:\Users\leum\AppData\Local\DocEP\TRANSFIL\EL\PR_COD_1amCom.EL(27/11/2014 18:03:00)</vt:lpwstr>
  </property>
  <property fmtid="{D5CDD505-2E9C-101B-9397-08002B2CF9AE}" pid="8" name="&lt;Model&gt;">
    <vt:lpwstr>PR_COD_1amCom</vt:lpwstr>
  </property>
  <property fmtid="{D5CDD505-2E9C-101B-9397-08002B2CF9AE}" pid="9" name="FooterPath">
    <vt:lpwstr>RR\1131864EL.docx</vt:lpwstr>
  </property>
  <property fmtid="{D5CDD505-2E9C-101B-9397-08002B2CF9AE}" pid="10" name="PE Number">
    <vt:lpwstr>599.728</vt:lpwstr>
  </property>
  <property fmtid="{D5CDD505-2E9C-101B-9397-08002B2CF9AE}" pid="11" name="SubscribeElise">
    <vt:lpwstr/>
  </property>
  <property fmtid="{D5CDD505-2E9C-101B-9397-08002B2CF9AE}" pid="12" name="Bookout">
    <vt:lpwstr>OK - 2017/09/07 13:14</vt:lpwstr>
  </property>
  <property fmtid="{D5CDD505-2E9C-101B-9397-08002B2CF9AE}" pid="13" name="SDLStudio">
    <vt:lpwstr>YES</vt:lpwstr>
  </property>
  <property fmtid="{D5CDD505-2E9C-101B-9397-08002B2CF9AE}" pid="14" name="&lt;Extension&gt;">
    <vt:lpwstr>EL</vt:lpwstr>
  </property>
</Properties>
</file>