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662DB" w:rsidRPr="00DD35EE" w14:paraId="5D218B15" w14:textId="77777777" w:rsidTr="00742C8A">
        <w:trPr>
          <w:trHeight w:hRule="exact" w:val="1418"/>
        </w:trPr>
        <w:tc>
          <w:tcPr>
            <w:tcW w:w="6804" w:type="dxa"/>
            <w:shd w:val="clear" w:color="auto" w:fill="auto"/>
            <w:vAlign w:val="center"/>
          </w:tcPr>
          <w:p w14:paraId="08C5ECE6" w14:textId="77777777" w:rsidR="007662DB" w:rsidRPr="00DD35EE" w:rsidRDefault="0090298C" w:rsidP="006E6D73">
            <w:pPr>
              <w:pStyle w:val="EPName"/>
              <w:rPr>
                <w:color w:val="000000" w:themeColor="text1"/>
              </w:rPr>
            </w:pPr>
            <w:r w:rsidRPr="00DD35EE">
              <w:rPr>
                <w:color w:val="000000" w:themeColor="text1"/>
              </w:rPr>
              <w:t>Европейски парламент</w:t>
            </w:r>
          </w:p>
          <w:p w14:paraId="2C1DD5F3" w14:textId="77777777" w:rsidR="007662DB" w:rsidRPr="00DD35EE" w:rsidRDefault="00912E7C" w:rsidP="00912E7C">
            <w:pPr>
              <w:pStyle w:val="EPTerm"/>
              <w:rPr>
                <w:rStyle w:val="HideTWBExt"/>
                <w:noProof w:val="0"/>
              </w:rPr>
            </w:pPr>
            <w:r w:rsidRPr="00DD35EE">
              <w:rPr>
                <w:color w:val="000000" w:themeColor="text1"/>
              </w:rPr>
              <w:t>2014-2019</w:t>
            </w:r>
          </w:p>
        </w:tc>
        <w:tc>
          <w:tcPr>
            <w:tcW w:w="2268" w:type="dxa"/>
            <w:shd w:val="clear" w:color="auto" w:fill="auto"/>
          </w:tcPr>
          <w:p w14:paraId="0FA58D11" w14:textId="77777777" w:rsidR="007662DB" w:rsidRPr="00DD35EE" w:rsidRDefault="00C70917" w:rsidP="00742C8A">
            <w:pPr>
              <w:pStyle w:val="EPLogo"/>
              <w:rPr>
                <w:color w:val="000000" w:themeColor="text1"/>
              </w:rPr>
            </w:pPr>
            <w:r w:rsidRPr="00DD35EE">
              <w:rPr>
                <w:color w:val="000000" w:themeColor="text1"/>
              </w:rPr>
              <w:pict w14:anchorId="48FF8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65pt">
                  <v:imagedata r:id="rId8" o:title="EP logo RGB_Mute"/>
                </v:shape>
              </w:pict>
            </w:r>
          </w:p>
        </w:tc>
      </w:tr>
    </w:tbl>
    <w:p w14:paraId="6AE19086" w14:textId="77777777" w:rsidR="00461601" w:rsidRPr="00DD35EE" w:rsidRDefault="00461601" w:rsidP="00461601">
      <w:pPr>
        <w:pStyle w:val="LineTop"/>
        <w:rPr>
          <w:color w:val="000000" w:themeColor="text1"/>
        </w:rPr>
      </w:pPr>
    </w:p>
    <w:p w14:paraId="6A725419" w14:textId="55E17107" w:rsidR="00461601" w:rsidRPr="00DD35EE" w:rsidRDefault="00C80A53" w:rsidP="00461601">
      <w:pPr>
        <w:pStyle w:val="ZCommittee"/>
        <w:rPr>
          <w:color w:val="000000" w:themeColor="text1"/>
        </w:rPr>
      </w:pPr>
      <w:r w:rsidRPr="00DD35EE">
        <w:rPr>
          <w:color w:val="000000" w:themeColor="text1"/>
        </w:rPr>
        <w:t>Документ за разглеждане в заседание</w:t>
      </w:r>
    </w:p>
    <w:p w14:paraId="3F1120D1" w14:textId="77777777" w:rsidR="00461601" w:rsidRPr="00DD35EE" w:rsidRDefault="00461601" w:rsidP="00461601">
      <w:pPr>
        <w:pStyle w:val="LineBottom"/>
        <w:rPr>
          <w:color w:val="000000" w:themeColor="text1"/>
        </w:rPr>
      </w:pPr>
    </w:p>
    <w:p w14:paraId="0F24D4AF" w14:textId="1084A95E" w:rsidR="00793EA9" w:rsidRPr="00DD35EE" w:rsidRDefault="00C80A53">
      <w:pPr>
        <w:pStyle w:val="RefProc"/>
        <w:rPr>
          <w:color w:val="000000" w:themeColor="text1"/>
        </w:rPr>
      </w:pPr>
      <w:r w:rsidRPr="00DD35EE">
        <w:rPr>
          <w:rStyle w:val="HideTWBExt"/>
          <w:b w:val="0"/>
          <w:caps w:val="0"/>
          <w:noProof w:val="0"/>
        </w:rPr>
        <w:t>&lt;NoDocSe&gt;</w:t>
      </w:r>
      <w:r w:rsidRPr="00DD35EE">
        <w:rPr>
          <w:color w:val="000000" w:themeColor="text1"/>
        </w:rPr>
        <w:t>A8-0219/2018</w:t>
      </w:r>
      <w:r w:rsidRPr="00DD35EE">
        <w:rPr>
          <w:rStyle w:val="HideTWBExt"/>
          <w:b w:val="0"/>
          <w:caps w:val="0"/>
          <w:noProof w:val="0"/>
        </w:rPr>
        <w:t>&lt;/NoDocSe&gt;</w:t>
      </w:r>
    </w:p>
    <w:p w14:paraId="1300007D" w14:textId="4432F08A" w:rsidR="00793EA9" w:rsidRPr="00DD35EE" w:rsidRDefault="00793EA9">
      <w:pPr>
        <w:pStyle w:val="ZDate"/>
        <w:rPr>
          <w:color w:val="000000" w:themeColor="text1"/>
        </w:rPr>
      </w:pPr>
      <w:r w:rsidRPr="00DD35EE">
        <w:rPr>
          <w:rStyle w:val="HideTWBExt"/>
          <w:noProof w:val="0"/>
        </w:rPr>
        <w:t>&lt;Date&gt;</w:t>
      </w:r>
      <w:r w:rsidRPr="00DD35EE">
        <w:rPr>
          <w:rStyle w:val="HideTWBInt"/>
        </w:rPr>
        <w:t>{25/06/2018}</w:t>
      </w:r>
      <w:r w:rsidRPr="00DD35EE">
        <w:rPr>
          <w:color w:val="000000" w:themeColor="text1"/>
        </w:rPr>
        <w:t>25.6.2018</w:t>
      </w:r>
      <w:r w:rsidRPr="00DD35EE">
        <w:rPr>
          <w:rStyle w:val="HideTWBExt"/>
          <w:noProof w:val="0"/>
        </w:rPr>
        <w:t>&lt;/Date&gt;</w:t>
      </w:r>
    </w:p>
    <w:p w14:paraId="021F76C2" w14:textId="77777777" w:rsidR="00793EA9" w:rsidRPr="00DD35EE" w:rsidRDefault="00793EA9">
      <w:pPr>
        <w:pStyle w:val="StarsAndIs"/>
        <w:rPr>
          <w:color w:val="000000" w:themeColor="text1"/>
        </w:rPr>
      </w:pPr>
      <w:r w:rsidRPr="00DD35EE">
        <w:rPr>
          <w:rStyle w:val="HideTWBExt"/>
          <w:b w:val="0"/>
          <w:noProof w:val="0"/>
        </w:rPr>
        <w:t>&lt;RefProcLect&gt;</w:t>
      </w:r>
      <w:r w:rsidRPr="00DD35EE">
        <w:rPr>
          <w:color w:val="000000" w:themeColor="text1"/>
        </w:rPr>
        <w:t>***I</w:t>
      </w:r>
      <w:r w:rsidRPr="00DD35EE">
        <w:rPr>
          <w:rStyle w:val="HideTWBExt"/>
          <w:b w:val="0"/>
          <w:noProof w:val="0"/>
        </w:rPr>
        <w:t>&lt;/RefProcLect&gt;</w:t>
      </w:r>
    </w:p>
    <w:p w14:paraId="0C1B9E90" w14:textId="5139D70F" w:rsidR="00793EA9" w:rsidRPr="00DD35EE" w:rsidRDefault="00793EA9">
      <w:pPr>
        <w:pStyle w:val="TypeDoc"/>
        <w:rPr>
          <w:color w:val="000000" w:themeColor="text1"/>
        </w:rPr>
      </w:pPr>
      <w:r w:rsidRPr="00DD35EE">
        <w:rPr>
          <w:rStyle w:val="HideTWBExt"/>
          <w:b w:val="0"/>
          <w:noProof w:val="0"/>
        </w:rPr>
        <w:t>&lt;TitreType&gt;</w:t>
      </w:r>
      <w:r w:rsidRPr="00DD35EE">
        <w:rPr>
          <w:color w:val="000000" w:themeColor="text1"/>
        </w:rPr>
        <w:t>ДОКЛАД</w:t>
      </w:r>
      <w:r w:rsidRPr="00DD35EE">
        <w:rPr>
          <w:rStyle w:val="HideTWBExt"/>
          <w:b w:val="0"/>
          <w:noProof w:val="0"/>
        </w:rPr>
        <w:t>&lt;/TitreType&gt;</w:t>
      </w:r>
    </w:p>
    <w:p w14:paraId="1A9EA2A1" w14:textId="30AA2983" w:rsidR="00793EA9" w:rsidRPr="00DD35EE" w:rsidRDefault="00793EA9">
      <w:pPr>
        <w:pStyle w:val="CoverNormal"/>
        <w:rPr>
          <w:color w:val="000000" w:themeColor="text1"/>
        </w:rPr>
      </w:pPr>
      <w:r w:rsidRPr="00DD35EE">
        <w:rPr>
          <w:rStyle w:val="HideTWBExt"/>
          <w:noProof w:val="0"/>
        </w:rPr>
        <w:t>&lt;Titre&gt;</w:t>
      </w:r>
      <w:r w:rsidRPr="00DD35EE">
        <w:rPr>
          <w:color w:val="000000" w:themeColor="text1"/>
        </w:rPr>
        <w:t>относно проекта на решение на Европейския парламент и на Съвета за изменение на член 22 от Устава на Европейската система на централните банки и на Европейската централна банка</w:t>
      </w:r>
      <w:r w:rsidRPr="00DD35EE">
        <w:rPr>
          <w:rStyle w:val="HideTWBExt"/>
          <w:noProof w:val="0"/>
        </w:rPr>
        <w:t>&lt;/Titre&gt;</w:t>
      </w:r>
    </w:p>
    <w:p w14:paraId="52D1BA51" w14:textId="0FAAC4AE" w:rsidR="00793EA9" w:rsidRPr="00DD35EE" w:rsidRDefault="00793EA9">
      <w:pPr>
        <w:pStyle w:val="Cover24"/>
        <w:rPr>
          <w:color w:val="000000" w:themeColor="text1"/>
        </w:rPr>
      </w:pPr>
      <w:r w:rsidRPr="00DD35EE">
        <w:rPr>
          <w:rStyle w:val="HideTWBExt"/>
          <w:noProof w:val="0"/>
        </w:rPr>
        <w:t>&lt;DocRef&gt;</w:t>
      </w:r>
      <w:r w:rsidRPr="00DD35EE">
        <w:rPr>
          <w:color w:val="000000" w:themeColor="text1"/>
        </w:rPr>
        <w:t>(10850/2017 – ECB/2017/18 - C8</w:t>
      </w:r>
      <w:r w:rsidRPr="00DD35EE">
        <w:rPr>
          <w:color w:val="000000" w:themeColor="text1"/>
        </w:rPr>
        <w:noBreakHyphen/>
        <w:t>0228/2017 – 2017/0810(COD))</w:t>
      </w:r>
      <w:r w:rsidRPr="00DD35EE">
        <w:rPr>
          <w:rStyle w:val="HideTWBExt"/>
          <w:noProof w:val="0"/>
        </w:rPr>
        <w:t>&lt;/DocRef&gt;</w:t>
      </w:r>
    </w:p>
    <w:p w14:paraId="52E59D17" w14:textId="77777777" w:rsidR="00793EA9" w:rsidRPr="00DD35EE" w:rsidRDefault="00793EA9">
      <w:pPr>
        <w:pStyle w:val="Cover24"/>
        <w:rPr>
          <w:color w:val="000000" w:themeColor="text1"/>
        </w:rPr>
      </w:pPr>
      <w:r w:rsidRPr="00DD35EE">
        <w:rPr>
          <w:rStyle w:val="HideTWBExt"/>
          <w:noProof w:val="0"/>
        </w:rPr>
        <w:t>&lt;Commission&gt;</w:t>
      </w:r>
      <w:r w:rsidRPr="00DD35EE">
        <w:rPr>
          <w:rStyle w:val="HideTWBInt"/>
        </w:rPr>
        <w:t>{CJ32}</w:t>
      </w:r>
      <w:r w:rsidRPr="00DD35EE">
        <w:rPr>
          <w:color w:val="000000" w:themeColor="text1"/>
        </w:rPr>
        <w:t>Комисия по икономически и парични въпроси</w:t>
      </w:r>
      <w:r w:rsidRPr="00DD35EE">
        <w:rPr>
          <w:color w:val="000000" w:themeColor="text1"/>
        </w:rPr>
        <w:br/>
        <w:t>Комисия по конституционни въпроси</w:t>
      </w:r>
      <w:r w:rsidRPr="00DD35EE">
        <w:rPr>
          <w:rStyle w:val="HideTWBExt"/>
          <w:noProof w:val="0"/>
        </w:rPr>
        <w:t>&lt;/Commission&gt;</w:t>
      </w:r>
    </w:p>
    <w:p w14:paraId="4DC84D7A" w14:textId="357E2876" w:rsidR="00793EA9" w:rsidRPr="00DD35EE" w:rsidRDefault="0090298C">
      <w:pPr>
        <w:pStyle w:val="Cover24"/>
        <w:rPr>
          <w:color w:val="000000" w:themeColor="text1"/>
        </w:rPr>
      </w:pPr>
      <w:r w:rsidRPr="00DD35EE">
        <w:rPr>
          <w:color w:val="000000" w:themeColor="text1"/>
        </w:rPr>
        <w:t xml:space="preserve">Докладчици: </w:t>
      </w:r>
      <w:r w:rsidRPr="00DD35EE">
        <w:rPr>
          <w:rStyle w:val="HideTWBExt"/>
          <w:noProof w:val="0"/>
        </w:rPr>
        <w:t>&lt;Depute&gt;</w:t>
      </w:r>
      <w:r w:rsidRPr="00DD35EE">
        <w:rPr>
          <w:color w:val="000000" w:themeColor="text1"/>
        </w:rPr>
        <w:t xml:space="preserve">Габриел Мато, Данута Мария Хюбнер </w:t>
      </w:r>
      <w:r w:rsidRPr="00DD35EE">
        <w:rPr>
          <w:rStyle w:val="HideTWBExt"/>
          <w:noProof w:val="0"/>
        </w:rPr>
        <w:t>&lt;/Depute&gt;</w:t>
      </w:r>
    </w:p>
    <w:p w14:paraId="18511E29" w14:textId="77777777" w:rsidR="008304B7" w:rsidRPr="00DD35EE" w:rsidRDefault="008304B7" w:rsidP="008304B7">
      <w:pPr>
        <w:pStyle w:val="CoverNormal"/>
        <w:rPr>
          <w:color w:val="000000" w:themeColor="text1"/>
        </w:rPr>
      </w:pPr>
      <w:r w:rsidRPr="00DD35EE">
        <w:rPr>
          <w:color w:val="000000" w:themeColor="text1"/>
        </w:rPr>
        <w:t>(Съвместни заседания на комисии – член 55 от Правилника за дейността)</w:t>
      </w:r>
    </w:p>
    <w:p w14:paraId="7AFEC064" w14:textId="77777777" w:rsidR="008304B7" w:rsidRPr="00DD35EE" w:rsidRDefault="008304B7">
      <w:pPr>
        <w:pStyle w:val="Cover24"/>
        <w:rPr>
          <w:color w:val="000000" w:themeColor="text1"/>
        </w:rPr>
      </w:pPr>
    </w:p>
    <w:p w14:paraId="7FB25395" w14:textId="77777777" w:rsidR="00793EA9" w:rsidRPr="00DD35EE" w:rsidRDefault="00793EA9" w:rsidP="007662DB">
      <w:pPr>
        <w:widowControl/>
        <w:tabs>
          <w:tab w:val="center" w:pos="4677"/>
        </w:tabs>
        <w:rPr>
          <w:color w:val="000000" w:themeColor="text1"/>
        </w:rPr>
      </w:pPr>
      <w:r w:rsidRPr="00DD35EE">
        <w:rPr>
          <w:color w:val="000000" w:themeColor="text1"/>
        </w:rPr>
        <w:br w:type="page"/>
      </w:r>
    </w:p>
    <w:p w14:paraId="773D80CC" w14:textId="77777777" w:rsidR="002630D0" w:rsidRPr="00DD35EE" w:rsidRDefault="00C70917">
      <w:pPr>
        <w:rPr>
          <w:color w:val="000000" w:themeColor="text1"/>
        </w:rPr>
      </w:pPr>
      <w:r w:rsidRPr="00DD35EE">
        <w:rPr>
          <w:color w:val="000000" w:themeColor="text1"/>
        </w:rPr>
        <w:fldChar w:fldCharType="begin"/>
      </w:r>
      <w:r w:rsidRPr="00DD35EE">
        <w:rPr>
          <w:color w:val="000000" w:themeColor="text1"/>
        </w:rPr>
        <w:instrText xml:space="preserve"> TITLE  \* MERGEFORMAT </w:instrText>
      </w:r>
      <w:r w:rsidRPr="00DD35EE">
        <w:rPr>
          <w:color w:val="000000" w:themeColor="text1"/>
        </w:rPr>
        <w:fldChar w:fldCharType="separate"/>
      </w:r>
      <w:r>
        <w:rPr>
          <w:color w:val="000000" w:themeColor="text1"/>
        </w:rPr>
        <w:t>PR_COD_1amOther</w:t>
      </w:r>
      <w:r w:rsidRPr="00DD35EE">
        <w:rPr>
          <w:color w:val="000000" w:themeColor="text1"/>
        </w:rPr>
        <w:fldChar w:fldCharType="end"/>
      </w:r>
    </w:p>
    <w:p w14:paraId="0D83141D" w14:textId="77777777" w:rsidR="002630D0" w:rsidRPr="00DD35EE" w:rsidRDefault="002630D0">
      <w:pPr>
        <w:rPr>
          <w:color w:val="000000" w:themeColor="text1"/>
        </w:rPr>
      </w:pPr>
    </w:p>
    <w:p w14:paraId="78A755B4" w14:textId="77777777" w:rsidR="002630D0" w:rsidRPr="00DD35EE" w:rsidRDefault="002630D0">
      <w:pPr>
        <w:rPr>
          <w:color w:val="000000" w:themeColor="text1"/>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D35EE" w:rsidRPr="00DD35EE" w14:paraId="15690613" w14:textId="77777777">
        <w:tc>
          <w:tcPr>
            <w:tcW w:w="5811" w:type="dxa"/>
          </w:tcPr>
          <w:p w14:paraId="468FCAEF" w14:textId="77777777" w:rsidR="002630D0" w:rsidRPr="00DD35EE" w:rsidRDefault="002630D0">
            <w:pPr>
              <w:pStyle w:val="Lgendetitre"/>
              <w:rPr>
                <w:color w:val="000000" w:themeColor="text1"/>
              </w:rPr>
            </w:pPr>
            <w:r w:rsidRPr="00DD35EE">
              <w:rPr>
                <w:color w:val="000000" w:themeColor="text1"/>
              </w:rPr>
              <w:t>Легенда на използваните знаци</w:t>
            </w:r>
          </w:p>
        </w:tc>
      </w:tr>
      <w:tr w:rsidR="002630D0" w:rsidRPr="00DD35EE" w14:paraId="118F3A35" w14:textId="77777777" w:rsidTr="00C50C36">
        <w:trPr>
          <w:cantSplit/>
          <w:trHeight w:val="1944"/>
        </w:trPr>
        <w:tc>
          <w:tcPr>
            <w:tcW w:w="5811" w:type="dxa"/>
            <w:tcBorders>
              <w:bottom w:val="single" w:sz="4" w:space="0" w:color="auto"/>
            </w:tcBorders>
          </w:tcPr>
          <w:p w14:paraId="791AB2CF" w14:textId="77777777" w:rsidR="002630D0" w:rsidRPr="00DD35EE" w:rsidRDefault="002630D0">
            <w:pPr>
              <w:pStyle w:val="Lgendesigne"/>
              <w:rPr>
                <w:color w:val="000000" w:themeColor="text1"/>
              </w:rPr>
            </w:pPr>
            <w:r w:rsidRPr="00DD35EE">
              <w:rPr>
                <w:color w:val="000000" w:themeColor="text1"/>
              </w:rPr>
              <w:tab/>
              <w:t>*</w:t>
            </w:r>
            <w:r w:rsidRPr="00DD35EE">
              <w:rPr>
                <w:color w:val="000000" w:themeColor="text1"/>
              </w:rPr>
              <w:tab/>
              <w:t>Процедура на консултация</w:t>
            </w:r>
          </w:p>
          <w:p w14:paraId="104A99FA" w14:textId="77777777" w:rsidR="002630D0" w:rsidRPr="00DD35EE" w:rsidRDefault="002630D0">
            <w:pPr>
              <w:pStyle w:val="Lgendesigne"/>
              <w:rPr>
                <w:color w:val="000000" w:themeColor="text1"/>
              </w:rPr>
            </w:pPr>
            <w:r w:rsidRPr="00DD35EE">
              <w:rPr>
                <w:color w:val="000000" w:themeColor="text1"/>
              </w:rPr>
              <w:tab/>
              <w:t>***</w:t>
            </w:r>
            <w:r w:rsidRPr="00DD35EE">
              <w:rPr>
                <w:color w:val="000000" w:themeColor="text1"/>
              </w:rPr>
              <w:tab/>
              <w:t>Процедура на одобрение</w:t>
            </w:r>
          </w:p>
          <w:p w14:paraId="1901B928" w14:textId="77777777" w:rsidR="002630D0" w:rsidRPr="00DD35EE" w:rsidRDefault="002630D0">
            <w:pPr>
              <w:pStyle w:val="Lgendesigne"/>
              <w:rPr>
                <w:color w:val="000000" w:themeColor="text1"/>
              </w:rPr>
            </w:pPr>
            <w:r w:rsidRPr="00DD35EE">
              <w:rPr>
                <w:color w:val="000000" w:themeColor="text1"/>
              </w:rPr>
              <w:tab/>
              <w:t>***I</w:t>
            </w:r>
            <w:r w:rsidRPr="00DD35EE">
              <w:rPr>
                <w:color w:val="000000" w:themeColor="text1"/>
              </w:rPr>
              <w:tab/>
              <w:t>Обикновена законодателна процедура (първо четене)</w:t>
            </w:r>
          </w:p>
          <w:p w14:paraId="7228E2E2" w14:textId="77777777" w:rsidR="002630D0" w:rsidRPr="00DD35EE" w:rsidRDefault="002630D0">
            <w:pPr>
              <w:pStyle w:val="Lgendesigne"/>
              <w:rPr>
                <w:color w:val="000000" w:themeColor="text1"/>
              </w:rPr>
            </w:pPr>
            <w:r w:rsidRPr="00DD35EE">
              <w:rPr>
                <w:color w:val="000000" w:themeColor="text1"/>
              </w:rPr>
              <w:tab/>
              <w:t>***II</w:t>
            </w:r>
            <w:r w:rsidRPr="00DD35EE">
              <w:rPr>
                <w:color w:val="000000" w:themeColor="text1"/>
              </w:rPr>
              <w:tab/>
              <w:t>Обикновена законодателна процедура (второ четене)</w:t>
            </w:r>
          </w:p>
          <w:p w14:paraId="2594F083" w14:textId="77777777" w:rsidR="002630D0" w:rsidRPr="00DD35EE" w:rsidRDefault="002630D0">
            <w:pPr>
              <w:pStyle w:val="Lgendesigne"/>
              <w:rPr>
                <w:color w:val="000000" w:themeColor="text1"/>
              </w:rPr>
            </w:pPr>
            <w:r w:rsidRPr="00DD35EE">
              <w:rPr>
                <w:color w:val="000000" w:themeColor="text1"/>
              </w:rPr>
              <w:tab/>
              <w:t>***III</w:t>
            </w:r>
            <w:r w:rsidRPr="00DD35EE">
              <w:rPr>
                <w:color w:val="000000" w:themeColor="text1"/>
              </w:rPr>
              <w:tab/>
              <w:t>Обикновена законодателна процедура (трето четене)</w:t>
            </w:r>
          </w:p>
          <w:p w14:paraId="5DDBA788" w14:textId="77777777" w:rsidR="002630D0" w:rsidRPr="00DD35EE" w:rsidRDefault="002630D0">
            <w:pPr>
              <w:pStyle w:val="Lgendesigne"/>
              <w:ind w:left="0" w:firstLine="0"/>
              <w:rPr>
                <w:color w:val="000000" w:themeColor="text1"/>
              </w:rPr>
            </w:pPr>
          </w:p>
          <w:p w14:paraId="4EB6F35B" w14:textId="77777777" w:rsidR="002630D0" w:rsidRPr="00DD35EE" w:rsidRDefault="002630D0">
            <w:pPr>
              <w:pStyle w:val="Lgendestandard"/>
              <w:rPr>
                <w:color w:val="000000" w:themeColor="text1"/>
              </w:rPr>
            </w:pPr>
            <w:r w:rsidRPr="00DD35EE">
              <w:rPr>
                <w:color w:val="000000" w:themeColor="text1"/>
              </w:rPr>
              <w:t>(Посочената процедура се базира на правното основание, предложено в проекта на акт.)</w:t>
            </w:r>
          </w:p>
          <w:p w14:paraId="5BA2D9ED" w14:textId="77777777" w:rsidR="002630D0" w:rsidRPr="00DD35EE" w:rsidRDefault="002630D0">
            <w:pPr>
              <w:pStyle w:val="Lgendesigne"/>
              <w:ind w:left="0" w:firstLine="0"/>
              <w:rPr>
                <w:color w:val="000000" w:themeColor="text1"/>
              </w:rPr>
            </w:pPr>
          </w:p>
        </w:tc>
      </w:tr>
    </w:tbl>
    <w:p w14:paraId="3EB8C651" w14:textId="77777777" w:rsidR="002630D0" w:rsidRPr="00DD35EE" w:rsidRDefault="002630D0">
      <w:pPr>
        <w:rPr>
          <w:color w:val="000000" w:themeColor="text1"/>
        </w:rPr>
      </w:pPr>
    </w:p>
    <w:p w14:paraId="519CDAB4" w14:textId="77777777" w:rsidR="002630D0" w:rsidRPr="00DD35EE" w:rsidRDefault="002630D0">
      <w:pPr>
        <w:rPr>
          <w:color w:val="000000" w:themeColor="text1"/>
        </w:rPr>
      </w:pPr>
    </w:p>
    <w:p w14:paraId="097F1DF6" w14:textId="77777777" w:rsidR="002630D0" w:rsidRPr="00DD35EE" w:rsidRDefault="002630D0">
      <w:pPr>
        <w:rPr>
          <w:color w:val="000000" w:themeColor="text1"/>
        </w:rPr>
      </w:pPr>
    </w:p>
    <w:p w14:paraId="6CAD0F6D" w14:textId="77777777" w:rsidR="002630D0" w:rsidRPr="00DD35EE" w:rsidRDefault="002630D0">
      <w:pPr>
        <w:rPr>
          <w:color w:val="000000" w:themeColor="text1"/>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D35EE" w:rsidRPr="00DD35EE" w14:paraId="15BED0BE" w14:textId="77777777">
        <w:tc>
          <w:tcPr>
            <w:tcW w:w="5811" w:type="dxa"/>
          </w:tcPr>
          <w:p w14:paraId="4635B71E" w14:textId="77777777" w:rsidR="002630D0" w:rsidRPr="00DD35EE" w:rsidRDefault="002630D0">
            <w:pPr>
              <w:pStyle w:val="Lgendetitre"/>
              <w:rPr>
                <w:color w:val="000000" w:themeColor="text1"/>
              </w:rPr>
            </w:pPr>
            <w:r w:rsidRPr="00DD35EE">
              <w:rPr>
                <w:color w:val="000000" w:themeColor="text1"/>
              </w:rPr>
              <w:t>Изменения към проект на акт</w:t>
            </w:r>
          </w:p>
        </w:tc>
      </w:tr>
      <w:tr w:rsidR="002630D0" w:rsidRPr="00DD35EE" w14:paraId="30363182" w14:textId="77777777">
        <w:tc>
          <w:tcPr>
            <w:tcW w:w="5811" w:type="dxa"/>
          </w:tcPr>
          <w:p w14:paraId="545AD081" w14:textId="77777777" w:rsidR="002630D0" w:rsidRPr="00DD35EE" w:rsidRDefault="002630D0" w:rsidP="00A55AC8">
            <w:pPr>
              <w:pStyle w:val="Lgendestandard"/>
              <w:rPr>
                <w:color w:val="000000" w:themeColor="text1"/>
                <w:szCs w:val="24"/>
              </w:rPr>
            </w:pPr>
            <w:r w:rsidRPr="00DD35EE">
              <w:rPr>
                <w:b/>
                <w:color w:val="000000" w:themeColor="text1"/>
                <w:szCs w:val="24"/>
              </w:rPr>
              <w:t>Изменения в две колони, внесени от Парламента</w:t>
            </w:r>
          </w:p>
          <w:p w14:paraId="3AFDC9A4" w14:textId="77777777" w:rsidR="002630D0" w:rsidRPr="00DD35EE" w:rsidRDefault="002630D0" w:rsidP="00A55AC8">
            <w:pPr>
              <w:pStyle w:val="Lgendestandard"/>
              <w:rPr>
                <w:color w:val="000000" w:themeColor="text1"/>
                <w:szCs w:val="24"/>
              </w:rPr>
            </w:pPr>
          </w:p>
          <w:p w14:paraId="352D7E2F" w14:textId="77777777" w:rsidR="002630D0" w:rsidRPr="00DD35EE" w:rsidRDefault="002630D0" w:rsidP="00A55AC8">
            <w:pPr>
              <w:pStyle w:val="Lgendestandard"/>
              <w:rPr>
                <w:color w:val="000000" w:themeColor="text1"/>
                <w:szCs w:val="24"/>
              </w:rPr>
            </w:pPr>
            <w:r w:rsidRPr="00DD35EE">
              <w:rPr>
                <w:color w:val="000000" w:themeColor="text1"/>
              </w:rPr>
              <w:t xml:space="preserve">Заличаванията се обозначават с </w:t>
            </w:r>
            <w:r w:rsidRPr="00DD35EE">
              <w:rPr>
                <w:b/>
                <w:i/>
                <w:color w:val="000000" w:themeColor="text1"/>
                <w:szCs w:val="24"/>
              </w:rPr>
              <w:t>получер курсив</w:t>
            </w:r>
            <w:r w:rsidRPr="00DD35EE">
              <w:rPr>
                <w:color w:val="000000" w:themeColor="text1"/>
              </w:rPr>
              <w:t xml:space="preserve"> в лявата колона. Заместванията се обозначават с </w:t>
            </w:r>
            <w:r w:rsidRPr="00DD35EE">
              <w:rPr>
                <w:b/>
                <w:i/>
                <w:color w:val="000000" w:themeColor="text1"/>
                <w:szCs w:val="24"/>
              </w:rPr>
              <w:t>получер курсив</w:t>
            </w:r>
            <w:r w:rsidRPr="00DD35EE">
              <w:rPr>
                <w:color w:val="000000" w:themeColor="text1"/>
              </w:rPr>
              <w:t xml:space="preserve"> в двете колони. Новият текст се обозначава с </w:t>
            </w:r>
            <w:r w:rsidRPr="00DD35EE">
              <w:rPr>
                <w:b/>
                <w:i/>
                <w:color w:val="000000" w:themeColor="text1"/>
                <w:szCs w:val="24"/>
              </w:rPr>
              <w:t>получер курсив</w:t>
            </w:r>
            <w:r w:rsidRPr="00DD35EE">
              <w:rPr>
                <w:color w:val="000000" w:themeColor="text1"/>
              </w:rPr>
              <w:t xml:space="preserve"> в дясната колона.</w:t>
            </w:r>
          </w:p>
          <w:p w14:paraId="2D4E903E" w14:textId="77777777" w:rsidR="002630D0" w:rsidRPr="00DD35EE" w:rsidRDefault="002630D0" w:rsidP="00A55AC8">
            <w:pPr>
              <w:pStyle w:val="Lgendestandard"/>
              <w:rPr>
                <w:color w:val="000000" w:themeColor="text1"/>
                <w:szCs w:val="24"/>
              </w:rPr>
            </w:pPr>
          </w:p>
          <w:p w14:paraId="3A0052B8" w14:textId="77777777" w:rsidR="002630D0" w:rsidRPr="00DD35EE" w:rsidRDefault="002630D0" w:rsidP="00A55AC8">
            <w:pPr>
              <w:pStyle w:val="Lgendestandard"/>
              <w:rPr>
                <w:color w:val="000000" w:themeColor="text1"/>
                <w:szCs w:val="24"/>
              </w:rPr>
            </w:pPr>
            <w:r w:rsidRPr="00DD35EE">
              <w:rPr>
                <w:color w:val="000000" w:themeColor="text1"/>
              </w:rPr>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14:paraId="39723F86" w14:textId="77777777" w:rsidR="002630D0" w:rsidRPr="00DD35EE" w:rsidRDefault="002630D0" w:rsidP="00A55AC8">
            <w:pPr>
              <w:pStyle w:val="Lgendestandard"/>
              <w:rPr>
                <w:color w:val="000000" w:themeColor="text1"/>
                <w:szCs w:val="24"/>
              </w:rPr>
            </w:pPr>
          </w:p>
          <w:p w14:paraId="6EFBD9FC" w14:textId="77777777" w:rsidR="002630D0" w:rsidRPr="00DD35EE" w:rsidRDefault="002630D0" w:rsidP="00A55AC8">
            <w:pPr>
              <w:pStyle w:val="Lgendestandard"/>
              <w:rPr>
                <w:b/>
                <w:color w:val="000000" w:themeColor="text1"/>
                <w:szCs w:val="24"/>
              </w:rPr>
            </w:pPr>
            <w:r w:rsidRPr="00DD35EE">
              <w:rPr>
                <w:b/>
                <w:color w:val="000000" w:themeColor="text1"/>
                <w:szCs w:val="24"/>
              </w:rPr>
              <w:t>Изменения, внесени от Парламента под формата на консолидиран текст</w:t>
            </w:r>
          </w:p>
          <w:p w14:paraId="4EE67E60" w14:textId="77777777" w:rsidR="002630D0" w:rsidRPr="00DD35EE" w:rsidRDefault="002630D0" w:rsidP="00A55AC8">
            <w:pPr>
              <w:pStyle w:val="Lgendestandard"/>
              <w:rPr>
                <w:color w:val="000000" w:themeColor="text1"/>
                <w:szCs w:val="24"/>
              </w:rPr>
            </w:pPr>
          </w:p>
          <w:p w14:paraId="7B8AFD04" w14:textId="77777777" w:rsidR="002630D0" w:rsidRPr="00DD35EE" w:rsidRDefault="002630D0" w:rsidP="00A55AC8">
            <w:pPr>
              <w:pStyle w:val="Lgendestandard"/>
              <w:rPr>
                <w:color w:val="000000" w:themeColor="text1"/>
                <w:szCs w:val="24"/>
              </w:rPr>
            </w:pPr>
            <w:r w:rsidRPr="00DD35EE">
              <w:rPr>
                <w:color w:val="000000" w:themeColor="text1"/>
              </w:rPr>
              <w:t xml:space="preserve">Новите части от текста се посочват с </w:t>
            </w:r>
            <w:r w:rsidRPr="00DD35EE">
              <w:rPr>
                <w:b/>
                <w:i/>
                <w:color w:val="000000" w:themeColor="text1"/>
                <w:szCs w:val="24"/>
              </w:rPr>
              <w:t>получер курсив</w:t>
            </w:r>
            <w:r w:rsidRPr="00DD35EE">
              <w:rPr>
                <w:color w:val="000000" w:themeColor="text1"/>
              </w:rPr>
              <w:t xml:space="preserve">. Заличените части от текста се посочват със символа ▌ или се зачеркват. Заместванията се обозначават, като се посочва с </w:t>
            </w:r>
            <w:r w:rsidRPr="00DD35EE">
              <w:rPr>
                <w:b/>
                <w:i/>
                <w:color w:val="000000" w:themeColor="text1"/>
              </w:rPr>
              <w:t>получер курсив</w:t>
            </w:r>
            <w:r w:rsidRPr="00DD35EE">
              <w:rPr>
                <w:color w:val="000000" w:themeColor="text1"/>
              </w:rPr>
              <w:t xml:space="preserve"> новият текст и се заличава или зачерква заместваният текст. </w:t>
            </w:r>
          </w:p>
          <w:p w14:paraId="1E1981FC" w14:textId="77777777" w:rsidR="002630D0" w:rsidRPr="00DD35EE" w:rsidRDefault="002630D0" w:rsidP="00A55AC8">
            <w:pPr>
              <w:pStyle w:val="Lgendestandard"/>
              <w:rPr>
                <w:color w:val="000000" w:themeColor="text1"/>
                <w:szCs w:val="24"/>
              </w:rPr>
            </w:pPr>
            <w:r w:rsidRPr="00DD35EE">
              <w:rPr>
                <w:color w:val="000000" w:themeColor="text1"/>
              </w:rPr>
              <w:t>По изключение не се отбелязват измененията с чисто техническо естество, които се нанасят от службите с оглед изготвянето на окончателния текст.</w:t>
            </w:r>
          </w:p>
          <w:p w14:paraId="539C5A04" w14:textId="77777777" w:rsidR="002630D0" w:rsidRPr="00DD35EE" w:rsidRDefault="002630D0">
            <w:pPr>
              <w:pStyle w:val="Lgendestandard"/>
              <w:rPr>
                <w:color w:val="000000" w:themeColor="text1"/>
              </w:rPr>
            </w:pPr>
          </w:p>
        </w:tc>
      </w:tr>
    </w:tbl>
    <w:p w14:paraId="2A160AD7" w14:textId="77777777" w:rsidR="002630D0" w:rsidRPr="00DD35EE" w:rsidRDefault="002630D0">
      <w:pPr>
        <w:rPr>
          <w:color w:val="000000" w:themeColor="text1"/>
        </w:rPr>
      </w:pPr>
    </w:p>
    <w:p w14:paraId="2AAA9FF1" w14:textId="77777777" w:rsidR="00793EA9" w:rsidRPr="00DD35EE" w:rsidRDefault="00793EA9" w:rsidP="007662DB">
      <w:pPr>
        <w:widowControl/>
        <w:tabs>
          <w:tab w:val="center" w:pos="4677"/>
        </w:tabs>
        <w:rPr>
          <w:color w:val="000000" w:themeColor="text1"/>
        </w:rPr>
      </w:pPr>
    </w:p>
    <w:p w14:paraId="6EC69F1D" w14:textId="77777777" w:rsidR="00793EA9" w:rsidRPr="00DD35EE" w:rsidRDefault="00793EA9">
      <w:pPr>
        <w:pStyle w:val="TOCHeading"/>
        <w:rPr>
          <w:color w:val="000000" w:themeColor="text1"/>
        </w:rPr>
      </w:pPr>
      <w:r w:rsidRPr="00DD35EE">
        <w:rPr>
          <w:color w:val="000000" w:themeColor="text1"/>
        </w:rPr>
        <w:br w:type="page"/>
      </w:r>
      <w:r w:rsidRPr="00DD35EE">
        <w:rPr>
          <w:color w:val="000000" w:themeColor="text1"/>
        </w:rPr>
        <w:lastRenderedPageBreak/>
        <w:t>СЪДЪРЖАНИЕ</w:t>
      </w:r>
    </w:p>
    <w:p w14:paraId="54D30F13" w14:textId="77777777" w:rsidR="00793EA9" w:rsidRPr="00DD35EE" w:rsidRDefault="0090298C">
      <w:pPr>
        <w:pStyle w:val="TOCPage"/>
        <w:rPr>
          <w:color w:val="000000" w:themeColor="text1"/>
        </w:rPr>
      </w:pPr>
      <w:r w:rsidRPr="00DD35EE">
        <w:rPr>
          <w:color w:val="000000" w:themeColor="text1"/>
        </w:rPr>
        <w:t>Страница</w:t>
      </w:r>
    </w:p>
    <w:p w14:paraId="4AF6D874" w14:textId="77777777" w:rsidR="00C70917" w:rsidRDefault="007662DB">
      <w:pPr>
        <w:pStyle w:val="TOC1"/>
        <w:tabs>
          <w:tab w:val="right" w:leader="dot" w:pos="9060"/>
        </w:tabs>
        <w:rPr>
          <w:rFonts w:asciiTheme="minorHAnsi" w:eastAsiaTheme="minorEastAsia" w:hAnsiTheme="minorHAnsi" w:cstheme="minorBidi"/>
          <w:noProof/>
          <w:sz w:val="22"/>
          <w:szCs w:val="22"/>
          <w:lang w:val="en-GB"/>
        </w:rPr>
      </w:pPr>
      <w:r w:rsidRPr="00DD35EE">
        <w:rPr>
          <w:b/>
          <w:color w:val="000000" w:themeColor="text1"/>
        </w:rPr>
        <w:fldChar w:fldCharType="begin"/>
      </w:r>
      <w:r w:rsidRPr="00DD35EE">
        <w:rPr>
          <w:b/>
          <w:color w:val="000000" w:themeColor="text1"/>
        </w:rPr>
        <w:instrText xml:space="preserve"> TOC \t "PageHeading</w:instrText>
      </w:r>
      <w:r w:rsidR="00496F5F" w:rsidRPr="00DD35EE">
        <w:rPr>
          <w:b/>
          <w:color w:val="000000" w:themeColor="text1"/>
        </w:rPr>
        <w:instrText>;</w:instrText>
      </w:r>
      <w:r w:rsidRPr="00DD35EE">
        <w:rPr>
          <w:b/>
          <w:color w:val="000000" w:themeColor="text1"/>
        </w:rPr>
        <w:instrText xml:space="preserve">1" </w:instrText>
      </w:r>
      <w:r w:rsidRPr="00DD35EE">
        <w:rPr>
          <w:b/>
          <w:color w:val="000000" w:themeColor="text1"/>
        </w:rPr>
        <w:fldChar w:fldCharType="separate"/>
      </w:r>
      <w:r w:rsidR="00C70917" w:rsidRPr="00D84894">
        <w:rPr>
          <w:noProof/>
          <w:color w:val="000000" w:themeColor="text1"/>
        </w:rPr>
        <w:t>ПРОЕКТ НА ЗАКОНОДАТЕЛНА РЕЗОЛЮЦИЯ НА ЕВРОПЕЙСКИЯ ПАРЛАМЕНТ</w:t>
      </w:r>
      <w:r w:rsidR="00C70917">
        <w:rPr>
          <w:noProof/>
        </w:rPr>
        <w:tab/>
      </w:r>
      <w:r w:rsidR="00C70917">
        <w:rPr>
          <w:noProof/>
        </w:rPr>
        <w:fldChar w:fldCharType="begin"/>
      </w:r>
      <w:r w:rsidR="00C70917">
        <w:rPr>
          <w:noProof/>
        </w:rPr>
        <w:instrText xml:space="preserve"> PAGEREF _Toc517979868 \h </w:instrText>
      </w:r>
      <w:r w:rsidR="00C70917">
        <w:rPr>
          <w:noProof/>
        </w:rPr>
      </w:r>
      <w:r w:rsidR="00C70917">
        <w:rPr>
          <w:noProof/>
        </w:rPr>
        <w:fldChar w:fldCharType="separate"/>
      </w:r>
      <w:r w:rsidR="00C70917">
        <w:rPr>
          <w:noProof/>
        </w:rPr>
        <w:t>5</w:t>
      </w:r>
      <w:r w:rsidR="00C70917">
        <w:rPr>
          <w:noProof/>
        </w:rPr>
        <w:fldChar w:fldCharType="end"/>
      </w:r>
    </w:p>
    <w:p w14:paraId="7ADAC8E2" w14:textId="77777777" w:rsidR="00C70917" w:rsidRDefault="00C70917">
      <w:pPr>
        <w:pStyle w:val="TOC1"/>
        <w:tabs>
          <w:tab w:val="right" w:leader="dot" w:pos="9060"/>
        </w:tabs>
        <w:rPr>
          <w:rFonts w:asciiTheme="minorHAnsi" w:eastAsiaTheme="minorEastAsia" w:hAnsiTheme="minorHAnsi" w:cstheme="minorBidi"/>
          <w:noProof/>
          <w:sz w:val="22"/>
          <w:szCs w:val="22"/>
          <w:lang w:val="en-GB"/>
        </w:rPr>
      </w:pPr>
      <w:r w:rsidRPr="00D84894">
        <w:rPr>
          <w:noProof/>
          <w:color w:val="000000" w:themeColor="text1"/>
        </w:rPr>
        <w:t>ИЗЛОЖЕНИЕ НА МОТИВИТЕ</w:t>
      </w:r>
      <w:r>
        <w:rPr>
          <w:noProof/>
        </w:rPr>
        <w:tab/>
      </w:r>
      <w:r>
        <w:rPr>
          <w:noProof/>
        </w:rPr>
        <w:fldChar w:fldCharType="begin"/>
      </w:r>
      <w:r>
        <w:rPr>
          <w:noProof/>
        </w:rPr>
        <w:instrText xml:space="preserve"> PAGEREF _Toc517979869 \h </w:instrText>
      </w:r>
      <w:r>
        <w:rPr>
          <w:noProof/>
        </w:rPr>
      </w:r>
      <w:r>
        <w:rPr>
          <w:noProof/>
        </w:rPr>
        <w:fldChar w:fldCharType="separate"/>
      </w:r>
      <w:r>
        <w:rPr>
          <w:noProof/>
        </w:rPr>
        <w:t>15</w:t>
      </w:r>
      <w:r>
        <w:rPr>
          <w:noProof/>
        </w:rPr>
        <w:fldChar w:fldCharType="end"/>
      </w:r>
    </w:p>
    <w:p w14:paraId="365971C6" w14:textId="77777777" w:rsidR="00C70917" w:rsidRDefault="00C70917">
      <w:pPr>
        <w:pStyle w:val="TOC1"/>
        <w:tabs>
          <w:tab w:val="right" w:leader="dot" w:pos="9060"/>
        </w:tabs>
        <w:rPr>
          <w:rFonts w:asciiTheme="minorHAnsi" w:eastAsiaTheme="minorEastAsia" w:hAnsiTheme="minorHAnsi" w:cstheme="minorBidi"/>
          <w:noProof/>
          <w:sz w:val="22"/>
          <w:szCs w:val="22"/>
          <w:lang w:val="en-GB"/>
        </w:rPr>
      </w:pPr>
      <w:r w:rsidRPr="00D84894">
        <w:rPr>
          <w:noProof/>
          <w:color w:val="000000" w:themeColor="text1"/>
        </w:rPr>
        <w:t>ПРОЦЕДУРА НА ВОДЕЩАТА КОМИСИЯ</w:t>
      </w:r>
      <w:r>
        <w:rPr>
          <w:noProof/>
        </w:rPr>
        <w:tab/>
      </w:r>
      <w:r>
        <w:rPr>
          <w:noProof/>
        </w:rPr>
        <w:fldChar w:fldCharType="begin"/>
      </w:r>
      <w:r>
        <w:rPr>
          <w:noProof/>
        </w:rPr>
        <w:instrText xml:space="preserve"> PAGEREF _Toc517979870 \h </w:instrText>
      </w:r>
      <w:r>
        <w:rPr>
          <w:noProof/>
        </w:rPr>
      </w:r>
      <w:r>
        <w:rPr>
          <w:noProof/>
        </w:rPr>
        <w:fldChar w:fldCharType="separate"/>
      </w:r>
      <w:r>
        <w:rPr>
          <w:noProof/>
        </w:rPr>
        <w:t>16</w:t>
      </w:r>
      <w:r>
        <w:rPr>
          <w:noProof/>
        </w:rPr>
        <w:fldChar w:fldCharType="end"/>
      </w:r>
    </w:p>
    <w:p w14:paraId="206E9385" w14:textId="77777777" w:rsidR="00C70917" w:rsidRDefault="00C70917">
      <w:pPr>
        <w:pStyle w:val="TOC1"/>
        <w:tabs>
          <w:tab w:val="right" w:leader="dot" w:pos="9060"/>
        </w:tabs>
        <w:rPr>
          <w:rFonts w:asciiTheme="minorHAnsi" w:eastAsiaTheme="minorEastAsia" w:hAnsiTheme="minorHAnsi" w:cstheme="minorBidi"/>
          <w:noProof/>
          <w:sz w:val="22"/>
          <w:szCs w:val="22"/>
          <w:lang w:val="en-GB"/>
        </w:rPr>
      </w:pPr>
      <w:r w:rsidRPr="00D84894">
        <w:rPr>
          <w:noProof/>
          <w:color w:val="000000" w:themeColor="text1"/>
        </w:rPr>
        <w:t>ПОИМЕННО ОКОНЧАТЕЛНО ГЛАСУВАНЕ ВЪВ ВОДЕЩАТА КОМИСИЯ</w:t>
      </w:r>
      <w:r>
        <w:rPr>
          <w:noProof/>
        </w:rPr>
        <w:tab/>
      </w:r>
      <w:r>
        <w:rPr>
          <w:noProof/>
        </w:rPr>
        <w:fldChar w:fldCharType="begin"/>
      </w:r>
      <w:r>
        <w:rPr>
          <w:noProof/>
        </w:rPr>
        <w:instrText xml:space="preserve"> PAGEREF _Toc517979871 \h </w:instrText>
      </w:r>
      <w:r>
        <w:rPr>
          <w:noProof/>
        </w:rPr>
      </w:r>
      <w:r>
        <w:rPr>
          <w:noProof/>
        </w:rPr>
        <w:fldChar w:fldCharType="separate"/>
      </w:r>
      <w:r>
        <w:rPr>
          <w:noProof/>
        </w:rPr>
        <w:t>17</w:t>
      </w:r>
      <w:r>
        <w:rPr>
          <w:noProof/>
        </w:rPr>
        <w:fldChar w:fldCharType="end"/>
      </w:r>
    </w:p>
    <w:p w14:paraId="2578C32A" w14:textId="1A77C208" w:rsidR="008304B7" w:rsidRPr="00DD35EE" w:rsidRDefault="007662DB" w:rsidP="00A609D8">
      <w:pPr>
        <w:rPr>
          <w:color w:val="000000" w:themeColor="text1"/>
        </w:rPr>
      </w:pPr>
      <w:r w:rsidRPr="00DD35EE">
        <w:rPr>
          <w:b/>
          <w:color w:val="000000" w:themeColor="text1"/>
        </w:rPr>
        <w:fldChar w:fldCharType="end"/>
      </w:r>
    </w:p>
    <w:p w14:paraId="54DF09D1" w14:textId="77777777" w:rsidR="003129B9" w:rsidRPr="00DD35EE" w:rsidRDefault="00793EA9">
      <w:pPr>
        <w:pStyle w:val="PageHeading"/>
        <w:rPr>
          <w:color w:val="000000" w:themeColor="text1"/>
        </w:rPr>
      </w:pPr>
      <w:r w:rsidRPr="00DD35EE">
        <w:rPr>
          <w:color w:val="000000" w:themeColor="text1"/>
        </w:rPr>
        <w:br w:type="page"/>
      </w:r>
    </w:p>
    <w:p w14:paraId="24E3D908" w14:textId="0B887650" w:rsidR="00793EA9" w:rsidRPr="00DD35EE" w:rsidRDefault="003129B9">
      <w:pPr>
        <w:pStyle w:val="PageHeading"/>
        <w:rPr>
          <w:color w:val="000000" w:themeColor="text1"/>
        </w:rPr>
      </w:pPr>
      <w:r w:rsidRPr="00DD35EE">
        <w:rPr>
          <w:color w:val="000000" w:themeColor="text1"/>
        </w:rPr>
        <w:br w:type="page"/>
      </w:r>
      <w:bookmarkStart w:id="0" w:name="_Toc517979868"/>
      <w:r w:rsidRPr="00DD35EE">
        <w:rPr>
          <w:color w:val="000000" w:themeColor="text1"/>
        </w:rPr>
        <w:lastRenderedPageBreak/>
        <w:t>ПРОЕКТ НА ЗАКОНОДАТЕЛНА РЕЗОЛЮЦИЯ НА ЕВРОПЕЙСКИЯ ПАРЛАМЕНТ</w:t>
      </w:r>
      <w:bookmarkEnd w:id="0"/>
    </w:p>
    <w:p w14:paraId="5409D947" w14:textId="2B343B93" w:rsidR="00793EA9" w:rsidRPr="00DD35EE" w:rsidRDefault="0090298C">
      <w:pPr>
        <w:pStyle w:val="NormalBold"/>
        <w:rPr>
          <w:color w:val="000000" w:themeColor="text1"/>
        </w:rPr>
      </w:pPr>
      <w:r w:rsidRPr="00DD35EE">
        <w:rPr>
          <w:color w:val="000000" w:themeColor="text1"/>
        </w:rPr>
        <w:t>относно проекта на решение на Европейския парламент и на Съвета за изменение на член 22 от Устава на Европейската система на централните банки и на Европейската централна банка</w:t>
      </w:r>
    </w:p>
    <w:p w14:paraId="18E15CAD" w14:textId="44F224B6" w:rsidR="00793EA9" w:rsidRPr="00DD35EE" w:rsidRDefault="0090298C">
      <w:pPr>
        <w:pStyle w:val="Normal12Bold"/>
        <w:rPr>
          <w:color w:val="000000" w:themeColor="text1"/>
        </w:rPr>
      </w:pPr>
      <w:r w:rsidRPr="00DD35EE">
        <w:rPr>
          <w:color w:val="000000" w:themeColor="text1"/>
        </w:rPr>
        <w:t>(10850/2017 – ECB/2017/18 – C8</w:t>
      </w:r>
      <w:r w:rsidRPr="00DD35EE">
        <w:rPr>
          <w:color w:val="000000" w:themeColor="text1"/>
        </w:rPr>
        <w:noBreakHyphen/>
        <w:t>0228/2017 – 2017/0810(COD))</w:t>
      </w:r>
    </w:p>
    <w:p w14:paraId="18AD1132" w14:textId="77777777" w:rsidR="00793EA9" w:rsidRPr="00DD35EE" w:rsidRDefault="0090298C">
      <w:pPr>
        <w:pStyle w:val="Normal12Bold"/>
        <w:rPr>
          <w:color w:val="000000" w:themeColor="text1"/>
        </w:rPr>
      </w:pPr>
      <w:r w:rsidRPr="00DD35EE">
        <w:rPr>
          <w:color w:val="000000" w:themeColor="text1"/>
        </w:rPr>
        <w:t>(Обикновена законодателна процедура: първо четене)</w:t>
      </w:r>
    </w:p>
    <w:p w14:paraId="4279756B" w14:textId="77777777" w:rsidR="00793EA9" w:rsidRPr="00DD35EE" w:rsidRDefault="0090298C">
      <w:pPr>
        <w:pStyle w:val="Normal12"/>
        <w:rPr>
          <w:color w:val="000000" w:themeColor="text1"/>
        </w:rPr>
      </w:pPr>
      <w:r w:rsidRPr="00DD35EE">
        <w:rPr>
          <w:i/>
          <w:color w:val="000000" w:themeColor="text1"/>
        </w:rPr>
        <w:t>Европейският парламент,</w:t>
      </w:r>
    </w:p>
    <w:p w14:paraId="489A63EF" w14:textId="51AAA8BE" w:rsidR="00B53B10" w:rsidRPr="00DD35EE" w:rsidRDefault="0027431C" w:rsidP="0027431C">
      <w:pPr>
        <w:pStyle w:val="Normal12Hanging"/>
        <w:rPr>
          <w:color w:val="000000" w:themeColor="text1"/>
        </w:rPr>
      </w:pPr>
      <w:r w:rsidRPr="00DD35EE">
        <w:rPr>
          <w:color w:val="000000" w:themeColor="text1"/>
        </w:rPr>
        <w:t>–</w:t>
      </w:r>
      <w:r w:rsidRPr="00DD35EE">
        <w:rPr>
          <w:color w:val="000000" w:themeColor="text1"/>
        </w:rPr>
        <w:tab/>
        <w:t>като взе предвид препоръката на Европейската централна банка, представена на Парламента и Съвета (10850/2017 – ECB/2017/18)</w:t>
      </w:r>
      <w:r w:rsidR="001C52B7" w:rsidRPr="00DD35EE">
        <w:rPr>
          <w:rStyle w:val="FootnoteReference"/>
          <w:color w:val="000000" w:themeColor="text1"/>
        </w:rPr>
        <w:footnoteReference w:id="1"/>
      </w:r>
      <w:r w:rsidRPr="00DD35EE">
        <w:rPr>
          <w:color w:val="000000" w:themeColor="text1"/>
        </w:rPr>
        <w:t>,</w:t>
      </w:r>
    </w:p>
    <w:p w14:paraId="65F8AE66" w14:textId="77777777" w:rsidR="0027431C" w:rsidRPr="00DD35EE" w:rsidRDefault="00B53B10" w:rsidP="0027431C">
      <w:pPr>
        <w:pStyle w:val="Normal12Hanging"/>
        <w:rPr>
          <w:color w:val="000000" w:themeColor="text1"/>
        </w:rPr>
      </w:pPr>
      <w:r w:rsidRPr="00DD35EE">
        <w:rPr>
          <w:color w:val="000000" w:themeColor="text1"/>
        </w:rPr>
        <w:t>–</w:t>
      </w:r>
      <w:r w:rsidRPr="00DD35EE">
        <w:rPr>
          <w:color w:val="000000" w:themeColor="text1"/>
        </w:rPr>
        <w:tab/>
        <w:t>като взе предвид член 129, параграф 3 от Договора за функционирането на Европейския съюз, съгласно който е представен проектът на акт (C8</w:t>
      </w:r>
      <w:r w:rsidRPr="00DD35EE">
        <w:rPr>
          <w:color w:val="000000" w:themeColor="text1"/>
        </w:rPr>
        <w:noBreakHyphen/>
        <w:t>0228/2017),</w:t>
      </w:r>
    </w:p>
    <w:p w14:paraId="1FFE4EC4" w14:textId="0D235B6B" w:rsidR="00E066CE" w:rsidRPr="00DD35EE" w:rsidRDefault="00E066CE" w:rsidP="00973EEB">
      <w:pPr>
        <w:pStyle w:val="Normal12Hanging"/>
        <w:rPr>
          <w:color w:val="000000" w:themeColor="text1"/>
        </w:rPr>
      </w:pPr>
      <w:r w:rsidRPr="00DD35EE">
        <w:rPr>
          <w:color w:val="000000" w:themeColor="text1"/>
        </w:rPr>
        <w:t>–</w:t>
      </w:r>
      <w:r w:rsidRPr="00DD35EE">
        <w:rPr>
          <w:color w:val="000000" w:themeColor="text1"/>
        </w:rPr>
        <w:tab/>
        <w:t>като взе предвид Устава на Европейската система на централните банки и на Европейската централна банка, и по-специално член 40.1 от него,</w:t>
      </w:r>
    </w:p>
    <w:p w14:paraId="7A207663" w14:textId="6592F91D" w:rsidR="00E066CE" w:rsidRPr="00DD35EE" w:rsidRDefault="00E066CE" w:rsidP="00E066CE">
      <w:pPr>
        <w:pStyle w:val="Normal12Hanging"/>
        <w:rPr>
          <w:color w:val="000000" w:themeColor="text1"/>
        </w:rPr>
      </w:pPr>
      <w:r w:rsidRPr="00DD35EE">
        <w:rPr>
          <w:color w:val="000000" w:themeColor="text1"/>
        </w:rPr>
        <w:t>–</w:t>
      </w:r>
      <w:r w:rsidRPr="00DD35EE">
        <w:rPr>
          <w:color w:val="000000" w:themeColor="text1"/>
        </w:rPr>
        <w:tab/>
        <w:t>като взе предвид становището на Европейската комисия</w:t>
      </w:r>
      <w:r w:rsidR="00177669" w:rsidRPr="00DD35EE">
        <w:rPr>
          <w:rStyle w:val="FootnoteReference"/>
          <w:color w:val="000000" w:themeColor="text1"/>
        </w:rPr>
        <w:footnoteReference w:id="2"/>
      </w:r>
      <w:r w:rsidRPr="00DD35EE">
        <w:rPr>
          <w:color w:val="000000" w:themeColor="text1"/>
        </w:rPr>
        <w:t>,</w:t>
      </w:r>
    </w:p>
    <w:p w14:paraId="4A6AB537" w14:textId="77777777" w:rsidR="00A05384" w:rsidRPr="00DD35EE" w:rsidRDefault="00A05384" w:rsidP="00A05384">
      <w:pPr>
        <w:pStyle w:val="Normal12Hanging"/>
        <w:rPr>
          <w:color w:val="000000" w:themeColor="text1"/>
        </w:rPr>
      </w:pPr>
      <w:r w:rsidRPr="00DD35EE">
        <w:rPr>
          <w:color w:val="000000" w:themeColor="text1"/>
        </w:rPr>
        <w:t>–</w:t>
      </w:r>
      <w:r w:rsidRPr="00DD35EE">
        <w:rPr>
          <w:color w:val="000000" w:themeColor="text1"/>
        </w:rPr>
        <w:tab/>
        <w:t>като взе предвид член 294, параграфи 3 и 15 от Договора за функционирането на Европейския  съюз,</w:t>
      </w:r>
    </w:p>
    <w:p w14:paraId="7AB6E58E" w14:textId="197000F8" w:rsidR="00793EA9" w:rsidRPr="00DD35EE" w:rsidRDefault="00793EA9">
      <w:pPr>
        <w:pStyle w:val="Normal12Hanging"/>
        <w:rPr>
          <w:color w:val="000000" w:themeColor="text1"/>
        </w:rPr>
      </w:pPr>
      <w:r w:rsidRPr="00DD35EE">
        <w:rPr>
          <w:color w:val="000000" w:themeColor="text1"/>
        </w:rPr>
        <w:t>–</w:t>
      </w:r>
      <w:r w:rsidRPr="00DD35EE">
        <w:rPr>
          <w:color w:val="000000" w:themeColor="text1"/>
        </w:rPr>
        <w:tab/>
        <w:t>като взе предвид член 59 от своя правилник,</w:t>
      </w:r>
    </w:p>
    <w:p w14:paraId="55916BF9" w14:textId="77777777" w:rsidR="00B53B10" w:rsidRPr="00DD35EE" w:rsidRDefault="00B53B10">
      <w:pPr>
        <w:pStyle w:val="Normal12Hanging"/>
        <w:rPr>
          <w:color w:val="000000" w:themeColor="text1"/>
        </w:rPr>
      </w:pPr>
      <w:r w:rsidRPr="00DD35EE">
        <w:rPr>
          <w:snapToGrid w:val="0"/>
          <w:color w:val="000000" w:themeColor="text1"/>
          <w:szCs w:val="24"/>
        </w:rPr>
        <w:t>–</w:t>
      </w:r>
      <w:r w:rsidRPr="00DD35EE">
        <w:rPr>
          <w:snapToGrid w:val="0"/>
          <w:color w:val="000000" w:themeColor="text1"/>
          <w:szCs w:val="24"/>
        </w:rPr>
        <w:tab/>
        <w:t>като взе предвид съвместните разисквания на комисията по</w:t>
      </w:r>
      <w:r w:rsidRPr="00DD35EE">
        <w:rPr>
          <w:color w:val="000000" w:themeColor="text1"/>
        </w:rPr>
        <w:t xml:space="preserve"> икономически и парични въпроси и </w:t>
      </w:r>
      <w:r w:rsidRPr="00DD35EE">
        <w:rPr>
          <w:snapToGrid w:val="0"/>
          <w:color w:val="000000" w:themeColor="text1"/>
          <w:szCs w:val="24"/>
        </w:rPr>
        <w:t xml:space="preserve">комисията по </w:t>
      </w:r>
      <w:r w:rsidRPr="00DD35EE">
        <w:rPr>
          <w:color w:val="000000" w:themeColor="text1"/>
        </w:rPr>
        <w:t xml:space="preserve">конституционни въпроси </w:t>
      </w:r>
      <w:r w:rsidRPr="00DD35EE">
        <w:rPr>
          <w:snapToGrid w:val="0"/>
          <w:color w:val="000000" w:themeColor="text1"/>
          <w:szCs w:val="24"/>
        </w:rPr>
        <w:t>съгласно член 55 от Правилника за дейността</w:t>
      </w:r>
      <w:r w:rsidRPr="00DD35EE">
        <w:rPr>
          <w:color w:val="000000" w:themeColor="text1"/>
        </w:rPr>
        <w:t>,</w:t>
      </w:r>
    </w:p>
    <w:p w14:paraId="46E8252B" w14:textId="70B71E5C" w:rsidR="00793EA9" w:rsidRPr="00DD35EE" w:rsidRDefault="00793EA9">
      <w:pPr>
        <w:pStyle w:val="Normal12Hanging"/>
        <w:rPr>
          <w:color w:val="000000" w:themeColor="text1"/>
        </w:rPr>
      </w:pPr>
      <w:r w:rsidRPr="00DD35EE">
        <w:rPr>
          <w:color w:val="000000" w:themeColor="text1"/>
        </w:rPr>
        <w:t>–</w:t>
      </w:r>
      <w:r w:rsidRPr="00DD35EE">
        <w:rPr>
          <w:color w:val="000000" w:themeColor="text1"/>
        </w:rPr>
        <w:tab/>
        <w:t>като взе предвид доклада на комисията по икономически и парични въпроси и комисията по конституционни въпроси (A8-0219/2018),</w:t>
      </w:r>
    </w:p>
    <w:p w14:paraId="52E6CA2C" w14:textId="77777777" w:rsidR="009F6C2F" w:rsidRPr="00DD35EE" w:rsidRDefault="009F6C2F" w:rsidP="009F6C2F">
      <w:pPr>
        <w:pStyle w:val="Normal12Hanging"/>
        <w:rPr>
          <w:color w:val="000000" w:themeColor="text1"/>
        </w:rPr>
      </w:pPr>
      <w:r w:rsidRPr="00DD35EE">
        <w:rPr>
          <w:color w:val="000000" w:themeColor="text1"/>
        </w:rPr>
        <w:t>1.</w:t>
      </w:r>
      <w:r w:rsidRPr="00DD35EE">
        <w:rPr>
          <w:color w:val="000000" w:themeColor="text1"/>
        </w:rPr>
        <w:tab/>
        <w:t>приема изложената по-долу позиция на първо четене;</w:t>
      </w:r>
    </w:p>
    <w:p w14:paraId="54F6FE63" w14:textId="2289F55B" w:rsidR="00D23C9F" w:rsidRPr="00DD35EE" w:rsidRDefault="002630D0" w:rsidP="00D23C9F">
      <w:pPr>
        <w:pStyle w:val="Normal12Hanging"/>
        <w:rPr>
          <w:color w:val="000000" w:themeColor="text1"/>
        </w:rPr>
      </w:pPr>
      <w:r w:rsidRPr="00DD35EE">
        <w:rPr>
          <w:color w:val="000000" w:themeColor="text1"/>
        </w:rPr>
        <w:t>2.</w:t>
      </w:r>
      <w:r w:rsidRPr="00DD35EE">
        <w:rPr>
          <w:color w:val="000000" w:themeColor="text1"/>
        </w:rPr>
        <w:tab/>
        <w:t>възлага на своя председател да предаде позицията на Парламента съответно на Съвета, на Комисията, на Европейската централна банка, както и на националните парламенти.</w:t>
      </w:r>
    </w:p>
    <w:p w14:paraId="1C8FC84F" w14:textId="7F5B5EBB" w:rsidR="00D23C9F" w:rsidRPr="00DD35EE" w:rsidRDefault="00A609D8" w:rsidP="00A609D8">
      <w:pPr>
        <w:pStyle w:val="Normal12Hanging"/>
        <w:ind w:left="0" w:firstLine="0"/>
        <w:rPr>
          <w:color w:val="000000" w:themeColor="text1"/>
        </w:rPr>
      </w:pPr>
      <w:r w:rsidRPr="00DD35EE">
        <w:rPr>
          <w:color w:val="000000" w:themeColor="text1"/>
        </w:rPr>
        <w:br w:type="page"/>
      </w:r>
    </w:p>
    <w:p w14:paraId="4B7F0339" w14:textId="7EEC6679" w:rsidR="000C2055" w:rsidRPr="00DD35EE" w:rsidRDefault="003055D3" w:rsidP="000C2055">
      <w:pPr>
        <w:pStyle w:val="AMNumberTabs"/>
        <w:rPr>
          <w:color w:val="000000" w:themeColor="text1"/>
        </w:rPr>
      </w:pPr>
      <w:r w:rsidRPr="00DD35EE">
        <w:rPr>
          <w:rStyle w:val="HideTWBExt"/>
          <w:b w:val="0"/>
          <w:noProof w:val="0"/>
        </w:rPr>
        <w:t>&lt;RepeatBlock-Amend&gt;&lt;AmendB&gt;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&lt;NumAmB&gt;</w:t>
      </w:r>
      <w:r w:rsidRPr="00DD35EE">
        <w:rPr>
          <w:color w:val="000000" w:themeColor="text1"/>
        </w:rPr>
        <w:t>1</w:t>
      </w:r>
      <w:r w:rsidRPr="00DD35EE">
        <w:rPr>
          <w:rStyle w:val="HideTWBExt"/>
          <w:b w:val="0"/>
          <w:noProof w:val="0"/>
        </w:rPr>
        <w:t>&lt;/NumAmB&gt;</w:t>
      </w:r>
    </w:p>
    <w:p w14:paraId="62AB6E0F" w14:textId="77777777" w:rsidR="000C2055" w:rsidRPr="00DD35EE" w:rsidRDefault="000C2055" w:rsidP="000C2055">
      <w:pPr>
        <w:pStyle w:val="NormalBold12b"/>
        <w:rPr>
          <w:color w:val="000000" w:themeColor="text1"/>
        </w:rPr>
      </w:pPr>
      <w:r w:rsidRPr="00DD35EE">
        <w:rPr>
          <w:rStyle w:val="HideTWBExt"/>
          <w:b w:val="0"/>
          <w:noProof w:val="0"/>
        </w:rPr>
        <w:t>&lt;DocAmend&gt;</w:t>
      </w:r>
      <w:r w:rsidRPr="00DD35EE">
        <w:rPr>
          <w:color w:val="000000" w:themeColor="text1"/>
        </w:rPr>
        <w:t>Предложение за решение</w:t>
      </w:r>
      <w:r w:rsidRPr="00DD35EE">
        <w:rPr>
          <w:rStyle w:val="HideTWBExt"/>
          <w:b w:val="0"/>
          <w:noProof w:val="0"/>
        </w:rPr>
        <w:t>&lt;/DocAmend&gt;</w:t>
      </w:r>
    </w:p>
    <w:p w14:paraId="65AA12CF" w14:textId="77777777" w:rsidR="000C2055" w:rsidRPr="00DD35EE" w:rsidRDefault="000C2055" w:rsidP="000C2055">
      <w:pPr>
        <w:pStyle w:val="NormalBold"/>
        <w:rPr>
          <w:color w:val="000000" w:themeColor="text1"/>
        </w:rPr>
      </w:pPr>
      <w:r w:rsidRPr="00DD35EE">
        <w:rPr>
          <w:rStyle w:val="HideTWBExt"/>
          <w:b w:val="0"/>
          <w:noProof w:val="0"/>
        </w:rPr>
        <w:t>&lt;Article&gt;</w:t>
      </w:r>
      <w:r w:rsidRPr="00DD35EE">
        <w:rPr>
          <w:color w:val="000000" w:themeColor="text1"/>
        </w:rPr>
        <w:t>Съображение 1</w:t>
      </w:r>
      <w:r w:rsidRPr="00DD35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35EE" w:rsidRPr="00DD35EE" w14:paraId="4EC7A0D6" w14:textId="77777777" w:rsidTr="0089192A">
        <w:trPr>
          <w:trHeight w:hRule="exact" w:val="240"/>
          <w:jc w:val="center"/>
        </w:trPr>
        <w:tc>
          <w:tcPr>
            <w:tcW w:w="9752" w:type="dxa"/>
            <w:gridSpan w:val="2"/>
          </w:tcPr>
          <w:p w14:paraId="48A0757A" w14:textId="77777777" w:rsidR="000C2055" w:rsidRPr="00DD35EE" w:rsidRDefault="000C2055" w:rsidP="0089192A">
            <w:pPr>
              <w:rPr>
                <w:color w:val="000000" w:themeColor="text1"/>
              </w:rPr>
            </w:pPr>
          </w:p>
        </w:tc>
      </w:tr>
      <w:tr w:rsidR="00DD35EE" w:rsidRPr="00DD35EE" w14:paraId="5818BD1D" w14:textId="77777777" w:rsidTr="0089192A">
        <w:trPr>
          <w:trHeight w:val="240"/>
          <w:jc w:val="center"/>
        </w:trPr>
        <w:tc>
          <w:tcPr>
            <w:tcW w:w="4876" w:type="dxa"/>
          </w:tcPr>
          <w:p w14:paraId="5B721193" w14:textId="77777777" w:rsidR="000C2055" w:rsidRPr="00DD35EE" w:rsidRDefault="000C2055" w:rsidP="0089192A">
            <w:pPr>
              <w:pStyle w:val="ColumnHeading"/>
              <w:rPr>
                <w:color w:val="000000" w:themeColor="text1"/>
              </w:rPr>
            </w:pPr>
            <w:r w:rsidRPr="00DD35EE">
              <w:rPr>
                <w:color w:val="000000" w:themeColor="text1"/>
              </w:rPr>
              <w:t>Текст, предложен от Европейската централна банка</w:t>
            </w:r>
          </w:p>
        </w:tc>
        <w:tc>
          <w:tcPr>
            <w:tcW w:w="4876" w:type="dxa"/>
          </w:tcPr>
          <w:p w14:paraId="42191A74" w14:textId="77777777" w:rsidR="000C2055" w:rsidRPr="00DD35EE" w:rsidRDefault="000C2055" w:rsidP="0089192A">
            <w:pPr>
              <w:pStyle w:val="ColumnHeading"/>
              <w:rPr>
                <w:color w:val="000000" w:themeColor="text1"/>
              </w:rPr>
            </w:pPr>
            <w:r w:rsidRPr="00DD35EE">
              <w:rPr>
                <w:color w:val="000000" w:themeColor="text1"/>
              </w:rPr>
              <w:t>Изменение</w:t>
            </w:r>
          </w:p>
        </w:tc>
      </w:tr>
      <w:tr w:rsidR="00DD35EE" w:rsidRPr="00DD35EE" w14:paraId="1AAD0277" w14:textId="77777777" w:rsidTr="0089192A">
        <w:trPr>
          <w:jc w:val="center"/>
        </w:trPr>
        <w:tc>
          <w:tcPr>
            <w:tcW w:w="4876" w:type="dxa"/>
          </w:tcPr>
          <w:p w14:paraId="481BEDBB" w14:textId="77777777" w:rsidR="000C2055" w:rsidRPr="00DD35EE" w:rsidRDefault="000C2055" w:rsidP="0089192A">
            <w:pPr>
              <w:pStyle w:val="Normal6"/>
              <w:rPr>
                <w:color w:val="000000" w:themeColor="text1"/>
              </w:rPr>
            </w:pPr>
            <w:r w:rsidRPr="00DD35EE">
              <w:rPr>
                <w:color w:val="000000" w:themeColor="text1"/>
              </w:rPr>
              <w:t>(1)</w:t>
            </w:r>
            <w:r w:rsidRPr="00DD35EE">
              <w:rPr>
                <w:color w:val="000000" w:themeColor="text1"/>
              </w:rPr>
              <w:tab/>
              <w:t xml:space="preserve">Основните задачи, които се осъществяват чрез </w:t>
            </w:r>
            <w:r w:rsidRPr="00DD35EE">
              <w:rPr>
                <w:b/>
                <w:i/>
                <w:color w:val="000000" w:themeColor="text1"/>
              </w:rPr>
              <w:t>Европейска</w:t>
            </w:r>
            <w:r w:rsidRPr="00DD35EE">
              <w:rPr>
                <w:color w:val="000000" w:themeColor="text1"/>
              </w:rPr>
              <w:t xml:space="preserve"> система на централните банки (ЕСЦБ), включват определянето и осъществяването на паричната политика на Съюза и насърчаването на нормалното функциониране на платежните системи. Сигурните и ефикасни инфраструктури на финансовите пазари, и по-специално клирингoвите системи, са от съществено значение за изпълнението на тези основни задачи.</w:t>
            </w:r>
          </w:p>
        </w:tc>
        <w:tc>
          <w:tcPr>
            <w:tcW w:w="4876" w:type="dxa"/>
          </w:tcPr>
          <w:p w14:paraId="727C03DC" w14:textId="77777777" w:rsidR="000C2055" w:rsidRPr="00DD35EE" w:rsidRDefault="000C2055" w:rsidP="0089192A">
            <w:pPr>
              <w:pStyle w:val="Normal6"/>
              <w:rPr>
                <w:color w:val="000000" w:themeColor="text1"/>
              </w:rPr>
            </w:pPr>
            <w:r w:rsidRPr="00DD35EE">
              <w:rPr>
                <w:color w:val="000000" w:themeColor="text1"/>
              </w:rPr>
              <w:t>(1)</w:t>
            </w:r>
            <w:r w:rsidRPr="00DD35EE">
              <w:rPr>
                <w:color w:val="000000" w:themeColor="text1"/>
              </w:rPr>
              <w:tab/>
              <w:t xml:space="preserve">Основните задачи, които се осъществяват чрез </w:t>
            </w:r>
            <w:r w:rsidRPr="00DD35EE">
              <w:rPr>
                <w:b/>
                <w:i/>
                <w:color w:val="000000" w:themeColor="text1"/>
              </w:rPr>
              <w:t>Европейската</w:t>
            </w:r>
            <w:r w:rsidRPr="00DD35EE">
              <w:rPr>
                <w:color w:val="000000" w:themeColor="text1"/>
              </w:rPr>
              <w:t xml:space="preserve"> система на централните банки (ЕСЦБ), включват определянето и осъществяването на паричната политика на Съюза и насърчаването на нормалното функциониране на платежните системи</w:t>
            </w:r>
            <w:r w:rsidRPr="00DD35EE">
              <w:rPr>
                <w:b/>
                <w:i/>
                <w:color w:val="000000" w:themeColor="text1"/>
              </w:rPr>
              <w:t>, което е от съществено значение за поддържането на финансова стабилност</w:t>
            </w:r>
            <w:r w:rsidRPr="00DD35EE">
              <w:rPr>
                <w:color w:val="000000" w:themeColor="text1"/>
              </w:rPr>
              <w:t>. Сигурните и ефикасни инфраструктури на финансовите пазари, и по-специално клирингoвите системи, са от съществено значение за изпълнението на тези основни задачи.</w:t>
            </w:r>
          </w:p>
        </w:tc>
      </w:tr>
    </w:tbl>
    <w:p w14:paraId="4710DF27" w14:textId="77777777" w:rsidR="000C2055" w:rsidRPr="00DD35EE" w:rsidRDefault="000C2055" w:rsidP="000C2055">
      <w:pPr>
        <w:rPr>
          <w:color w:val="000000" w:themeColor="text1"/>
        </w:rPr>
      </w:pPr>
      <w:r w:rsidRPr="00DD35EE">
        <w:rPr>
          <w:rStyle w:val="HideTWBExt"/>
          <w:noProof w:val="0"/>
        </w:rPr>
        <w:t>&lt;/AmendB&gt;</w:t>
      </w:r>
    </w:p>
    <w:p w14:paraId="38B22067" w14:textId="4E2436C1" w:rsidR="000C2055" w:rsidRPr="00DD35EE" w:rsidRDefault="000C2055" w:rsidP="000C2055">
      <w:pPr>
        <w:pStyle w:val="AMNumberTabs"/>
        <w:rPr>
          <w:color w:val="000000" w:themeColor="text1"/>
        </w:rPr>
      </w:pPr>
      <w:r w:rsidRPr="00DD35EE">
        <w:rPr>
          <w:rStyle w:val="HideTWBExt"/>
          <w:b w:val="0"/>
          <w:noProof w:val="0"/>
        </w:rPr>
        <w:t>&lt;AmendB&gt;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&lt;NumAmB&gt;</w:t>
      </w:r>
      <w:r w:rsidRPr="00DD35EE">
        <w:rPr>
          <w:color w:val="000000" w:themeColor="text1"/>
        </w:rPr>
        <w:t>2</w:t>
      </w:r>
      <w:r w:rsidRPr="00DD35EE">
        <w:rPr>
          <w:rStyle w:val="HideTWBExt"/>
          <w:b w:val="0"/>
          <w:noProof w:val="0"/>
        </w:rPr>
        <w:t>&lt;/NumAmB&gt;</w:t>
      </w:r>
    </w:p>
    <w:p w14:paraId="2491D70D" w14:textId="77777777" w:rsidR="000C2055" w:rsidRPr="00DD35EE" w:rsidRDefault="000C2055" w:rsidP="000C2055">
      <w:pPr>
        <w:pStyle w:val="NormalBold12b"/>
        <w:rPr>
          <w:color w:val="000000" w:themeColor="text1"/>
        </w:rPr>
      </w:pPr>
      <w:r w:rsidRPr="00DD35EE">
        <w:rPr>
          <w:rStyle w:val="HideTWBExt"/>
          <w:b w:val="0"/>
          <w:noProof w:val="0"/>
        </w:rPr>
        <w:t>&lt;DocAmend&gt;</w:t>
      </w:r>
      <w:r w:rsidRPr="00DD35EE">
        <w:rPr>
          <w:color w:val="000000" w:themeColor="text1"/>
        </w:rPr>
        <w:t>Предложение за решение</w:t>
      </w:r>
      <w:r w:rsidRPr="00DD35EE">
        <w:rPr>
          <w:rStyle w:val="HideTWBExt"/>
          <w:b w:val="0"/>
          <w:noProof w:val="0"/>
        </w:rPr>
        <w:t>&lt;/DocAmend&gt;</w:t>
      </w:r>
    </w:p>
    <w:p w14:paraId="09F3DA14" w14:textId="77777777" w:rsidR="000C2055" w:rsidRPr="00DD35EE" w:rsidRDefault="000C2055" w:rsidP="000C2055">
      <w:pPr>
        <w:pStyle w:val="NormalBold"/>
        <w:rPr>
          <w:color w:val="000000" w:themeColor="text1"/>
        </w:rPr>
      </w:pPr>
      <w:r w:rsidRPr="00DD35EE">
        <w:rPr>
          <w:rStyle w:val="HideTWBExt"/>
          <w:b w:val="0"/>
          <w:noProof w:val="0"/>
        </w:rPr>
        <w:t>&lt;Article&gt;</w:t>
      </w:r>
      <w:r w:rsidRPr="00DD35EE">
        <w:rPr>
          <w:color w:val="000000" w:themeColor="text1"/>
        </w:rPr>
        <w:t>Съображение 3</w:t>
      </w:r>
      <w:r w:rsidRPr="00DD35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35EE" w:rsidRPr="00DD35EE" w14:paraId="4338389E" w14:textId="77777777" w:rsidTr="0089192A">
        <w:trPr>
          <w:trHeight w:hRule="exact" w:val="240"/>
          <w:jc w:val="center"/>
        </w:trPr>
        <w:tc>
          <w:tcPr>
            <w:tcW w:w="9752" w:type="dxa"/>
            <w:gridSpan w:val="2"/>
          </w:tcPr>
          <w:p w14:paraId="6B01E843" w14:textId="77777777" w:rsidR="000C2055" w:rsidRPr="00DD35EE" w:rsidRDefault="000C2055" w:rsidP="0089192A">
            <w:pPr>
              <w:rPr>
                <w:color w:val="000000" w:themeColor="text1"/>
              </w:rPr>
            </w:pPr>
          </w:p>
        </w:tc>
      </w:tr>
      <w:tr w:rsidR="00DD35EE" w:rsidRPr="00DD35EE" w14:paraId="2C76740D" w14:textId="77777777" w:rsidTr="0089192A">
        <w:trPr>
          <w:trHeight w:val="240"/>
          <w:jc w:val="center"/>
        </w:trPr>
        <w:tc>
          <w:tcPr>
            <w:tcW w:w="4876" w:type="dxa"/>
          </w:tcPr>
          <w:p w14:paraId="5EE0DCFD" w14:textId="77777777" w:rsidR="000C2055" w:rsidRPr="00DD35EE" w:rsidRDefault="000C2055" w:rsidP="0089192A">
            <w:pPr>
              <w:pStyle w:val="ColumnHeading"/>
              <w:rPr>
                <w:color w:val="000000" w:themeColor="text1"/>
              </w:rPr>
            </w:pPr>
            <w:r w:rsidRPr="00DD35EE">
              <w:rPr>
                <w:color w:val="000000" w:themeColor="text1"/>
              </w:rPr>
              <w:t>Текст, предложен от Европейската централна банка</w:t>
            </w:r>
          </w:p>
        </w:tc>
        <w:tc>
          <w:tcPr>
            <w:tcW w:w="4876" w:type="dxa"/>
          </w:tcPr>
          <w:p w14:paraId="738ABCB5" w14:textId="77777777" w:rsidR="000C2055" w:rsidRPr="00DD35EE" w:rsidRDefault="000C2055" w:rsidP="0089192A">
            <w:pPr>
              <w:pStyle w:val="ColumnHeading"/>
              <w:rPr>
                <w:color w:val="000000" w:themeColor="text1"/>
              </w:rPr>
            </w:pPr>
            <w:r w:rsidRPr="00DD35EE">
              <w:rPr>
                <w:color w:val="000000" w:themeColor="text1"/>
              </w:rPr>
              <w:t>Изменение</w:t>
            </w:r>
          </w:p>
        </w:tc>
      </w:tr>
      <w:tr w:rsidR="00DD35EE" w:rsidRPr="00DD35EE" w14:paraId="023BFF2E" w14:textId="77777777" w:rsidTr="0089192A">
        <w:trPr>
          <w:jc w:val="center"/>
        </w:trPr>
        <w:tc>
          <w:tcPr>
            <w:tcW w:w="4876" w:type="dxa"/>
          </w:tcPr>
          <w:p w14:paraId="574ED9C8" w14:textId="77777777" w:rsidR="000C2055" w:rsidRPr="00DD35EE" w:rsidRDefault="000C2055" w:rsidP="0089192A">
            <w:pPr>
              <w:pStyle w:val="Normal6"/>
              <w:rPr>
                <w:color w:val="000000" w:themeColor="text1"/>
              </w:rPr>
            </w:pPr>
            <w:r w:rsidRPr="00DD35EE">
              <w:rPr>
                <w:color w:val="000000" w:themeColor="text1"/>
              </w:rPr>
              <w:t>(3)</w:t>
            </w:r>
            <w:r w:rsidRPr="00DD35EE">
              <w:rPr>
                <w:color w:val="000000" w:themeColor="text1"/>
              </w:rPr>
              <w:tab/>
              <w:t>На 4 март 2015</w:t>
            </w:r>
            <w:r w:rsidRPr="00DD35EE">
              <w:rPr>
                <w:b/>
                <w:i/>
                <w:color w:val="000000" w:themeColor="text1"/>
              </w:rPr>
              <w:t xml:space="preserve"> </w:t>
            </w:r>
            <w:r w:rsidRPr="00DD35EE">
              <w:rPr>
                <w:color w:val="000000" w:themeColor="text1"/>
              </w:rPr>
              <w:t>г. Общият съд постанови решението си по дело T-496/11</w:t>
            </w:r>
            <w:r w:rsidRPr="00DD35EE">
              <w:rPr>
                <w:rStyle w:val="SupBoldItalic"/>
                <w:color w:val="000000" w:themeColor="text1"/>
              </w:rPr>
              <w:t>7</w:t>
            </w:r>
            <w:r w:rsidRPr="00DD35EE">
              <w:rPr>
                <w:color w:val="000000" w:themeColor="text1"/>
              </w:rPr>
              <w:t xml:space="preserve"> Обединено кралство Великобритания и Северна Ирландия/ЕЦБ, съгласно което </w:t>
            </w:r>
            <w:r w:rsidRPr="00DD35EE">
              <w:rPr>
                <w:b/>
                <w:i/>
                <w:color w:val="000000" w:themeColor="text1"/>
              </w:rPr>
              <w:t>ЕЦБ</w:t>
            </w:r>
            <w:r w:rsidRPr="00DD35EE">
              <w:rPr>
                <w:color w:val="000000" w:themeColor="text1"/>
              </w:rPr>
              <w:t xml:space="preserve"> не разполага с необходимата компетентност да регулира дейността на клирингoвите системи. Общият съд посочи, че член 129, параграф 3 от Договора дава възможност на Европейския парламент и на Съвета, действащи в съответствие с обикновената законодателна процедура, по препоръка на ЕЦБ, да изменят член </w:t>
            </w:r>
            <w:r w:rsidRPr="00DD35EE">
              <w:rPr>
                <w:color w:val="000000" w:themeColor="text1"/>
              </w:rPr>
              <w:lastRenderedPageBreak/>
              <w:t>22 от Устава на Европейска система на централните банки и на Европейската централна банка (наричан по-долу „Уставът на ЕСЦБ“). Съдът заключи, че „ако ЕЦБ приеме, че за правилното изпълнение на нейната задача по член 127, параграф 2, четвърто тире, ДФЕС следва да ѝ се признае правомощие за регламентиране на инфраструктурите, извършващи клиринг на сделки с ценни книжа, тя следва да поиска от законодателя на Съюза да измени член 22 от Устава, като добави изрично позоваване на системите за клиринг на ценни книжа“.</w:t>
            </w:r>
          </w:p>
        </w:tc>
        <w:tc>
          <w:tcPr>
            <w:tcW w:w="4876" w:type="dxa"/>
          </w:tcPr>
          <w:p w14:paraId="0705BD4E" w14:textId="54040006" w:rsidR="000C2055" w:rsidRPr="00DD35EE" w:rsidRDefault="000C2055" w:rsidP="0030338B">
            <w:pPr>
              <w:pStyle w:val="Normal6"/>
              <w:rPr>
                <w:color w:val="000000" w:themeColor="text1"/>
              </w:rPr>
            </w:pPr>
            <w:r w:rsidRPr="00DD35EE">
              <w:rPr>
                <w:color w:val="000000" w:themeColor="text1"/>
              </w:rPr>
              <w:lastRenderedPageBreak/>
              <w:t>(3)</w:t>
            </w:r>
            <w:r w:rsidRPr="00DD35EE">
              <w:rPr>
                <w:color w:val="000000" w:themeColor="text1"/>
              </w:rPr>
              <w:tab/>
              <w:t>На 4 март 2015</w:t>
            </w:r>
            <w:r w:rsidRPr="00DD35EE">
              <w:rPr>
                <w:b/>
                <w:i/>
                <w:color w:val="000000" w:themeColor="text1"/>
              </w:rPr>
              <w:t> </w:t>
            </w:r>
            <w:r w:rsidRPr="00DD35EE">
              <w:rPr>
                <w:color w:val="000000" w:themeColor="text1"/>
              </w:rPr>
              <w:t>г. Общият съд постанови решението си по дело T-496/11</w:t>
            </w:r>
            <w:r w:rsidRPr="00DD35EE">
              <w:rPr>
                <w:rStyle w:val="SupBoldItalic"/>
                <w:color w:val="000000" w:themeColor="text1"/>
              </w:rPr>
              <w:t>7</w:t>
            </w:r>
            <w:r w:rsidRPr="00DD35EE">
              <w:rPr>
                <w:color w:val="000000" w:themeColor="text1"/>
              </w:rPr>
              <w:t xml:space="preserve"> Обединено кралство Великобритания и Северна Ирландия/ЕЦБ, съгласно което </w:t>
            </w:r>
            <w:r w:rsidRPr="00DD35EE">
              <w:rPr>
                <w:b/>
                <w:i/>
                <w:color w:val="000000" w:themeColor="text1"/>
              </w:rPr>
              <w:t>„ЕЦБ</w:t>
            </w:r>
            <w:r w:rsidRPr="00DD35EE">
              <w:rPr>
                <w:color w:val="000000" w:themeColor="text1"/>
              </w:rPr>
              <w:t xml:space="preserve"> не разполага с необходимата компетентност да регулира дейността на клирингoвите системи</w:t>
            </w:r>
            <w:r w:rsidRPr="00DD35EE">
              <w:rPr>
                <w:b/>
                <w:i/>
                <w:color w:val="000000" w:themeColor="text1"/>
              </w:rPr>
              <w:t xml:space="preserve">, поради което рамката за надзор, в частта ѝ, с която на централните контрагенти, участващи в клиринга на ценни книжа, се налага изискване за местонахождение в еврозоната, трябва да бъде отменена поради </w:t>
            </w:r>
            <w:r w:rsidRPr="00DD35EE">
              <w:rPr>
                <w:b/>
                <w:i/>
                <w:color w:val="000000" w:themeColor="text1"/>
              </w:rPr>
              <w:lastRenderedPageBreak/>
              <w:t>липса на компетентност“</w:t>
            </w:r>
            <w:r w:rsidRPr="00DD35EE">
              <w:rPr>
                <w:color w:val="000000" w:themeColor="text1"/>
              </w:rPr>
              <w:t>. Общият съд посочи, че член 129, параграф 3 от Договора дава възможност на Европейския парламент и на Съвета, действащи в съответствие с обикновената законодателна процедура, по препоръка на ЕЦБ, да изменят член 22 от Устава на Европейска система на централните банки и на Европейската централна банка (наричан по-долу „Уставът на ЕСЦБ“).</w:t>
            </w:r>
            <w:r w:rsidRPr="00DD35EE">
              <w:rPr>
                <w:b/>
                <w:i/>
                <w:color w:val="000000" w:themeColor="text1"/>
              </w:rPr>
              <w:t xml:space="preserve"> Поради това</w:t>
            </w:r>
            <w:r w:rsidRPr="00DD35EE">
              <w:rPr>
                <w:color w:val="000000" w:themeColor="text1"/>
              </w:rPr>
              <w:t xml:space="preserve"> Съдът заключи, че „ако ЕЦБ приеме, че за правилното изпълнение на нейната задача по член 127, параграф 2, четвърто тире, ДФЕС следва да ѝ се признае правомощие за регламентиране на инфраструктурите, извършващи клиринг на сделки с ценни книжа, тя следва да поиска от законодателя на Съюза да измени член 22 от Устава, като добави изрично позоваване на системите за клиринг на ценни книжа“.</w:t>
            </w:r>
          </w:p>
        </w:tc>
      </w:tr>
      <w:tr w:rsidR="00DD35EE" w:rsidRPr="00DD35EE" w14:paraId="428B0DC3" w14:textId="77777777" w:rsidTr="0089192A">
        <w:trPr>
          <w:jc w:val="center"/>
        </w:trPr>
        <w:tc>
          <w:tcPr>
            <w:tcW w:w="4876" w:type="dxa"/>
          </w:tcPr>
          <w:p w14:paraId="52B930C5" w14:textId="77777777" w:rsidR="000C2055" w:rsidRPr="00DD35EE" w:rsidRDefault="000C2055" w:rsidP="0089192A">
            <w:pPr>
              <w:pStyle w:val="Normal6"/>
              <w:rPr>
                <w:color w:val="000000" w:themeColor="text1"/>
              </w:rPr>
            </w:pPr>
            <w:r w:rsidRPr="00DD35EE">
              <w:rPr>
                <w:color w:val="000000" w:themeColor="text1"/>
              </w:rPr>
              <w:lastRenderedPageBreak/>
              <w:t>_________________</w:t>
            </w:r>
          </w:p>
        </w:tc>
        <w:tc>
          <w:tcPr>
            <w:tcW w:w="4876" w:type="dxa"/>
          </w:tcPr>
          <w:p w14:paraId="2590E417" w14:textId="77777777" w:rsidR="000C2055" w:rsidRPr="00DD35EE" w:rsidRDefault="000C2055" w:rsidP="0089192A">
            <w:pPr>
              <w:pStyle w:val="Normal6"/>
              <w:rPr>
                <w:color w:val="000000" w:themeColor="text1"/>
              </w:rPr>
            </w:pPr>
            <w:r w:rsidRPr="00DD35EE">
              <w:rPr>
                <w:color w:val="000000" w:themeColor="text1"/>
              </w:rPr>
              <w:t>_________________</w:t>
            </w:r>
          </w:p>
        </w:tc>
      </w:tr>
      <w:tr w:rsidR="00DD35EE" w:rsidRPr="00DD35EE" w14:paraId="09ECDAC6" w14:textId="77777777" w:rsidTr="0089192A">
        <w:trPr>
          <w:jc w:val="center"/>
        </w:trPr>
        <w:tc>
          <w:tcPr>
            <w:tcW w:w="4876" w:type="dxa"/>
          </w:tcPr>
          <w:p w14:paraId="6B9BCFA6" w14:textId="77D963AE" w:rsidR="000C2055" w:rsidRPr="00DD35EE" w:rsidRDefault="000C2055" w:rsidP="00C70917">
            <w:pPr>
              <w:pStyle w:val="Normal6"/>
              <w:rPr>
                <w:color w:val="000000" w:themeColor="text1"/>
              </w:rPr>
            </w:pPr>
            <w:r w:rsidRPr="00DD35EE">
              <w:rPr>
                <w:rStyle w:val="SupBoldItalic"/>
                <w:b w:val="0"/>
                <w:i w:val="0"/>
                <w:color w:val="000000" w:themeColor="text1"/>
              </w:rPr>
              <w:t>7</w:t>
            </w:r>
            <w:r w:rsidRPr="00DD35EE">
              <w:rPr>
                <w:color w:val="000000" w:themeColor="text1"/>
              </w:rPr>
              <w:t xml:space="preserve"> ECLI: EU:C:2015:133.</w:t>
            </w:r>
          </w:p>
        </w:tc>
        <w:tc>
          <w:tcPr>
            <w:tcW w:w="4876" w:type="dxa"/>
          </w:tcPr>
          <w:p w14:paraId="5379FD07" w14:textId="69D20697" w:rsidR="000C2055" w:rsidRPr="00DD35EE" w:rsidRDefault="000C2055" w:rsidP="00C70917">
            <w:pPr>
              <w:pStyle w:val="Normal6"/>
              <w:rPr>
                <w:color w:val="000000" w:themeColor="text1"/>
              </w:rPr>
            </w:pPr>
            <w:r w:rsidRPr="00DD35EE">
              <w:rPr>
                <w:rStyle w:val="SupBoldItalic"/>
                <w:b w:val="0"/>
                <w:i w:val="0"/>
                <w:color w:val="000000" w:themeColor="text1"/>
              </w:rPr>
              <w:t>7</w:t>
            </w:r>
            <w:r w:rsidRPr="00DD35EE">
              <w:rPr>
                <w:color w:val="000000" w:themeColor="text1"/>
              </w:rPr>
              <w:t xml:space="preserve"> ECLI: EU:C:2015:133.</w:t>
            </w:r>
          </w:p>
        </w:tc>
      </w:tr>
    </w:tbl>
    <w:p w14:paraId="12E1CDB7" w14:textId="77777777" w:rsidR="000C2055" w:rsidRPr="00DD35EE" w:rsidRDefault="000C2055" w:rsidP="000C2055">
      <w:pPr>
        <w:rPr>
          <w:rStyle w:val="HideTWBExt"/>
          <w:noProof w:val="0"/>
        </w:rPr>
      </w:pPr>
      <w:r w:rsidRPr="00DD35EE">
        <w:rPr>
          <w:rStyle w:val="HideTWBExt"/>
          <w:noProof w:val="0"/>
        </w:rPr>
        <w:t>&lt;/AmendB&gt;</w:t>
      </w:r>
    </w:p>
    <w:p w14:paraId="39256CFA" w14:textId="0B9AE851" w:rsidR="000C2055" w:rsidRPr="00DD35EE" w:rsidRDefault="000C2055" w:rsidP="000C2055">
      <w:pPr>
        <w:pStyle w:val="AMNumberTabs"/>
        <w:rPr>
          <w:color w:val="000000" w:themeColor="text1"/>
        </w:rPr>
      </w:pPr>
      <w:r w:rsidRPr="00DD35EE">
        <w:rPr>
          <w:rStyle w:val="HideTWBExt"/>
          <w:b w:val="0"/>
          <w:noProof w:val="0"/>
        </w:rPr>
        <w:t>&lt;AmendB&gt;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&lt;NumAmB&gt;</w:t>
      </w:r>
      <w:r w:rsidRPr="00DD35EE">
        <w:rPr>
          <w:color w:val="000000" w:themeColor="text1"/>
        </w:rPr>
        <w:t>3</w:t>
      </w:r>
      <w:r w:rsidRPr="00DD35EE">
        <w:rPr>
          <w:rStyle w:val="HideTWBExt"/>
          <w:b w:val="0"/>
          <w:noProof w:val="0"/>
        </w:rPr>
        <w:t>&lt;/NumAmB&gt;</w:t>
      </w:r>
    </w:p>
    <w:p w14:paraId="6BD277AD" w14:textId="77777777" w:rsidR="000C2055" w:rsidRPr="00DD35EE" w:rsidRDefault="000C2055" w:rsidP="000C2055">
      <w:pPr>
        <w:pStyle w:val="NormalBold12b"/>
        <w:rPr>
          <w:color w:val="000000" w:themeColor="text1"/>
        </w:rPr>
      </w:pPr>
      <w:r w:rsidRPr="00DD35EE">
        <w:rPr>
          <w:rStyle w:val="HideTWBExt"/>
          <w:b w:val="0"/>
          <w:noProof w:val="0"/>
        </w:rPr>
        <w:t>&lt;DocAmend&gt;</w:t>
      </w:r>
      <w:r w:rsidRPr="00DD35EE">
        <w:rPr>
          <w:color w:val="000000" w:themeColor="text1"/>
        </w:rPr>
        <w:t>Предложение за решение</w:t>
      </w:r>
      <w:r w:rsidRPr="00DD35EE">
        <w:rPr>
          <w:rStyle w:val="HideTWBExt"/>
          <w:b w:val="0"/>
          <w:noProof w:val="0"/>
        </w:rPr>
        <w:t>&lt;/DocAmend&gt;</w:t>
      </w:r>
    </w:p>
    <w:p w14:paraId="04462548" w14:textId="77777777" w:rsidR="000C2055" w:rsidRPr="00DD35EE" w:rsidRDefault="000C2055" w:rsidP="000C2055">
      <w:pPr>
        <w:pStyle w:val="NormalBold"/>
        <w:rPr>
          <w:color w:val="000000" w:themeColor="text1"/>
        </w:rPr>
      </w:pPr>
      <w:r w:rsidRPr="00DD35EE">
        <w:rPr>
          <w:rStyle w:val="HideTWBExt"/>
          <w:b w:val="0"/>
          <w:noProof w:val="0"/>
        </w:rPr>
        <w:t>&lt;Article&gt;</w:t>
      </w:r>
      <w:r w:rsidRPr="00DD35EE">
        <w:rPr>
          <w:color w:val="000000" w:themeColor="text1"/>
        </w:rPr>
        <w:t>Съображение 3 а (ново)</w:t>
      </w:r>
      <w:r w:rsidRPr="00DD35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35EE" w:rsidRPr="00DD35EE" w14:paraId="2F0709DE" w14:textId="77777777" w:rsidTr="0089192A">
        <w:trPr>
          <w:trHeight w:hRule="exact" w:val="240"/>
          <w:jc w:val="center"/>
        </w:trPr>
        <w:tc>
          <w:tcPr>
            <w:tcW w:w="9752" w:type="dxa"/>
            <w:gridSpan w:val="2"/>
          </w:tcPr>
          <w:p w14:paraId="1210F155" w14:textId="77777777" w:rsidR="000C2055" w:rsidRPr="00DD35EE" w:rsidRDefault="000C2055" w:rsidP="0089192A">
            <w:pPr>
              <w:rPr>
                <w:color w:val="000000" w:themeColor="text1"/>
              </w:rPr>
            </w:pPr>
          </w:p>
        </w:tc>
      </w:tr>
      <w:tr w:rsidR="00DD35EE" w:rsidRPr="00DD35EE" w14:paraId="7408983D" w14:textId="77777777" w:rsidTr="0089192A">
        <w:trPr>
          <w:trHeight w:val="240"/>
          <w:jc w:val="center"/>
        </w:trPr>
        <w:tc>
          <w:tcPr>
            <w:tcW w:w="4876" w:type="dxa"/>
          </w:tcPr>
          <w:p w14:paraId="3C126822" w14:textId="77777777" w:rsidR="000C2055" w:rsidRPr="00DD35EE" w:rsidRDefault="000C2055" w:rsidP="0089192A">
            <w:pPr>
              <w:pStyle w:val="ColumnHeading"/>
              <w:rPr>
                <w:color w:val="000000" w:themeColor="text1"/>
              </w:rPr>
            </w:pPr>
            <w:r w:rsidRPr="00DD35EE">
              <w:rPr>
                <w:color w:val="000000" w:themeColor="text1"/>
              </w:rPr>
              <w:t>Текст, предложен от Европейската централна банка</w:t>
            </w:r>
          </w:p>
        </w:tc>
        <w:tc>
          <w:tcPr>
            <w:tcW w:w="4876" w:type="dxa"/>
          </w:tcPr>
          <w:p w14:paraId="2931BC11" w14:textId="77777777" w:rsidR="000C2055" w:rsidRPr="00DD35EE" w:rsidRDefault="000C2055" w:rsidP="0089192A">
            <w:pPr>
              <w:pStyle w:val="ColumnHeading"/>
              <w:rPr>
                <w:color w:val="000000" w:themeColor="text1"/>
              </w:rPr>
            </w:pPr>
            <w:r w:rsidRPr="00DD35EE">
              <w:rPr>
                <w:color w:val="000000" w:themeColor="text1"/>
              </w:rPr>
              <w:t>Изменение</w:t>
            </w:r>
          </w:p>
        </w:tc>
      </w:tr>
      <w:tr w:rsidR="00DD35EE" w:rsidRPr="00DD35EE" w14:paraId="6031CFAB" w14:textId="77777777" w:rsidTr="0089192A">
        <w:trPr>
          <w:jc w:val="center"/>
        </w:trPr>
        <w:tc>
          <w:tcPr>
            <w:tcW w:w="4876" w:type="dxa"/>
          </w:tcPr>
          <w:p w14:paraId="08C5419E" w14:textId="77777777" w:rsidR="000C2055" w:rsidRPr="00DD35EE" w:rsidRDefault="000C2055" w:rsidP="0089192A">
            <w:pPr>
              <w:pStyle w:val="Normal6"/>
              <w:rPr>
                <w:color w:val="000000" w:themeColor="text1"/>
              </w:rPr>
            </w:pPr>
          </w:p>
        </w:tc>
        <w:tc>
          <w:tcPr>
            <w:tcW w:w="4876" w:type="dxa"/>
          </w:tcPr>
          <w:p w14:paraId="1272FBC7" w14:textId="77777777" w:rsidR="000C2055" w:rsidRPr="00DD35EE" w:rsidRDefault="000C2055" w:rsidP="0089192A">
            <w:pPr>
              <w:pStyle w:val="Normal6"/>
              <w:rPr>
                <w:color w:val="000000" w:themeColor="text1"/>
              </w:rPr>
            </w:pPr>
            <w:r w:rsidRPr="00DD35EE">
              <w:rPr>
                <w:b/>
                <w:i/>
                <w:color w:val="000000" w:themeColor="text1"/>
              </w:rPr>
              <w:t>(3a)</w:t>
            </w:r>
            <w:r w:rsidRPr="00DD35EE">
              <w:rPr>
                <w:b/>
                <w:i/>
                <w:color w:val="000000" w:themeColor="text1"/>
              </w:rPr>
              <w:tab/>
              <w:t>Въпреки че системите за клиринг на ценни книжа са тип платежни системи, е необходима повече яснота по въпроса с оглед на решението на Общия съд от 4 март 2015 г. по дело T-496/11 и поради това, чрез преразглеждане на член 22 от Устава на Европейската система на централните банки и на Европейската централна банка, е необходимо бъде изяснен въпросът за компетентността по отношение на такива системи.</w:t>
            </w:r>
          </w:p>
        </w:tc>
      </w:tr>
    </w:tbl>
    <w:p w14:paraId="0DC056DE" w14:textId="77777777" w:rsidR="00D22046" w:rsidRPr="00DD35EE" w:rsidRDefault="000C2055" w:rsidP="00D22046">
      <w:pPr>
        <w:rPr>
          <w:color w:val="000000" w:themeColor="text1"/>
        </w:rPr>
      </w:pPr>
      <w:r w:rsidRPr="00DD35EE">
        <w:rPr>
          <w:rStyle w:val="HideTWBExt"/>
          <w:noProof w:val="0"/>
        </w:rPr>
        <w:t>&lt;/AmendB&gt;</w:t>
      </w:r>
    </w:p>
    <w:p w14:paraId="678E1289" w14:textId="50CF3022" w:rsidR="00D22046" w:rsidRPr="00DD35EE" w:rsidRDefault="00D22046" w:rsidP="00D22046">
      <w:pPr>
        <w:pStyle w:val="AMNumberTabs"/>
        <w:rPr>
          <w:color w:val="000000" w:themeColor="text1"/>
        </w:rPr>
      </w:pPr>
      <w:r w:rsidRPr="00DD35EE">
        <w:rPr>
          <w:rStyle w:val="HideTWBExt"/>
          <w:b w:val="0"/>
          <w:noProof w:val="0"/>
        </w:rPr>
        <w:lastRenderedPageBreak/>
        <w:t>&lt;AmendB&gt;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&lt;NumAmB&gt;</w:t>
      </w:r>
      <w:r w:rsidRPr="00DD35EE">
        <w:rPr>
          <w:color w:val="000000" w:themeColor="text1"/>
        </w:rPr>
        <w:t>4</w:t>
      </w:r>
      <w:r w:rsidRPr="00DD35EE">
        <w:rPr>
          <w:rStyle w:val="HideTWBExt"/>
          <w:b w:val="0"/>
          <w:noProof w:val="0"/>
        </w:rPr>
        <w:t>&lt;/NumAmB&gt;</w:t>
      </w:r>
    </w:p>
    <w:p w14:paraId="506A0725" w14:textId="77777777" w:rsidR="00D22046" w:rsidRPr="00DD35EE" w:rsidRDefault="00D22046" w:rsidP="00D22046">
      <w:pPr>
        <w:pStyle w:val="NormalBold12b"/>
        <w:rPr>
          <w:color w:val="000000" w:themeColor="text1"/>
        </w:rPr>
      </w:pPr>
      <w:r w:rsidRPr="00DD35EE">
        <w:rPr>
          <w:rStyle w:val="HideTWBExt"/>
          <w:b w:val="0"/>
          <w:noProof w:val="0"/>
        </w:rPr>
        <w:t>&lt;DocAmend&gt;</w:t>
      </w:r>
      <w:r w:rsidRPr="00DD35EE">
        <w:rPr>
          <w:color w:val="000000" w:themeColor="text1"/>
        </w:rPr>
        <w:t>Предложение за решение</w:t>
      </w:r>
      <w:r w:rsidRPr="00DD35EE">
        <w:rPr>
          <w:rStyle w:val="HideTWBExt"/>
          <w:b w:val="0"/>
          <w:noProof w:val="0"/>
        </w:rPr>
        <w:t>&lt;/DocAmend&gt;</w:t>
      </w:r>
    </w:p>
    <w:p w14:paraId="0EA0F1DB" w14:textId="77777777" w:rsidR="00D22046" w:rsidRPr="00DD35EE" w:rsidRDefault="00D22046" w:rsidP="00D22046">
      <w:pPr>
        <w:pStyle w:val="NormalBold"/>
        <w:rPr>
          <w:color w:val="000000" w:themeColor="text1"/>
        </w:rPr>
      </w:pPr>
      <w:r w:rsidRPr="00DD35EE">
        <w:rPr>
          <w:rStyle w:val="HideTWBExt"/>
          <w:b w:val="0"/>
          <w:noProof w:val="0"/>
        </w:rPr>
        <w:t>&lt;Article&gt;</w:t>
      </w:r>
      <w:r w:rsidRPr="00DD35EE">
        <w:rPr>
          <w:color w:val="000000" w:themeColor="text1"/>
        </w:rPr>
        <w:t>Съображение 4</w:t>
      </w:r>
      <w:r w:rsidRPr="00DD35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35EE" w:rsidRPr="00DD35EE" w14:paraId="5D150D1C" w14:textId="77777777" w:rsidTr="0089192A">
        <w:trPr>
          <w:trHeight w:hRule="exact" w:val="240"/>
          <w:jc w:val="center"/>
        </w:trPr>
        <w:tc>
          <w:tcPr>
            <w:tcW w:w="9752" w:type="dxa"/>
            <w:gridSpan w:val="2"/>
          </w:tcPr>
          <w:p w14:paraId="4F6B291D" w14:textId="77777777" w:rsidR="00D22046" w:rsidRPr="00DD35EE" w:rsidRDefault="00D22046" w:rsidP="0089192A">
            <w:pPr>
              <w:rPr>
                <w:color w:val="000000" w:themeColor="text1"/>
              </w:rPr>
            </w:pPr>
          </w:p>
        </w:tc>
      </w:tr>
      <w:tr w:rsidR="00DD35EE" w:rsidRPr="00DD35EE" w14:paraId="2222C4B3" w14:textId="77777777" w:rsidTr="0089192A">
        <w:trPr>
          <w:trHeight w:val="240"/>
          <w:jc w:val="center"/>
        </w:trPr>
        <w:tc>
          <w:tcPr>
            <w:tcW w:w="4876" w:type="dxa"/>
          </w:tcPr>
          <w:p w14:paraId="0BA4C145" w14:textId="77777777" w:rsidR="00D22046" w:rsidRPr="00DD35EE" w:rsidRDefault="00D22046" w:rsidP="0089192A">
            <w:pPr>
              <w:pStyle w:val="ColumnHeading"/>
              <w:rPr>
                <w:color w:val="000000" w:themeColor="text1"/>
              </w:rPr>
            </w:pPr>
            <w:r w:rsidRPr="00DD35EE">
              <w:rPr>
                <w:color w:val="000000" w:themeColor="text1"/>
              </w:rPr>
              <w:t>Текст, предложен от Европейската централна банка</w:t>
            </w:r>
          </w:p>
        </w:tc>
        <w:tc>
          <w:tcPr>
            <w:tcW w:w="4876" w:type="dxa"/>
          </w:tcPr>
          <w:p w14:paraId="4A971C3A" w14:textId="77777777" w:rsidR="00D22046" w:rsidRPr="00DD35EE" w:rsidRDefault="00D22046" w:rsidP="0089192A">
            <w:pPr>
              <w:pStyle w:val="ColumnHeading"/>
              <w:rPr>
                <w:color w:val="000000" w:themeColor="text1"/>
              </w:rPr>
            </w:pPr>
            <w:r w:rsidRPr="00DD35EE">
              <w:rPr>
                <w:color w:val="000000" w:themeColor="text1"/>
              </w:rPr>
              <w:t>Изменение</w:t>
            </w:r>
          </w:p>
        </w:tc>
      </w:tr>
      <w:tr w:rsidR="00DD35EE" w:rsidRPr="00DD35EE" w14:paraId="2CA57B76" w14:textId="77777777" w:rsidTr="0089192A">
        <w:trPr>
          <w:jc w:val="center"/>
        </w:trPr>
        <w:tc>
          <w:tcPr>
            <w:tcW w:w="4876" w:type="dxa"/>
          </w:tcPr>
          <w:p w14:paraId="2AE0C286" w14:textId="77777777" w:rsidR="00D22046" w:rsidRPr="00DD35EE" w:rsidRDefault="00D22046" w:rsidP="0089192A">
            <w:pPr>
              <w:pStyle w:val="Normal6"/>
              <w:rPr>
                <w:color w:val="000000" w:themeColor="text1"/>
              </w:rPr>
            </w:pPr>
            <w:r w:rsidRPr="00DD35EE">
              <w:rPr>
                <w:color w:val="000000" w:themeColor="text1"/>
              </w:rPr>
              <w:t>(4)</w:t>
            </w:r>
            <w:r w:rsidRPr="00DD35EE">
              <w:rPr>
                <w:color w:val="000000" w:themeColor="text1"/>
              </w:rPr>
              <w:tab/>
              <w:t>Вследствие на значими промени на световно и европейско равнище се очаква да се увеличи рискът от това смущенията, които засягат клирингoвите системи, и по-специално централните контрагенти, да застрашат нормалното функциониране на платежните системи и осъществяването на единната парична политика, като в крайна сметка ще се засегне основната цел на Евросистемата да поддържа ценова стабилност.</w:t>
            </w:r>
          </w:p>
        </w:tc>
        <w:tc>
          <w:tcPr>
            <w:tcW w:w="4876" w:type="dxa"/>
          </w:tcPr>
          <w:p w14:paraId="0B934AB3" w14:textId="77777777" w:rsidR="00D22046" w:rsidRPr="00DD35EE" w:rsidRDefault="00D22046" w:rsidP="0089192A">
            <w:pPr>
              <w:pStyle w:val="Normal6"/>
              <w:rPr>
                <w:color w:val="000000" w:themeColor="text1"/>
              </w:rPr>
            </w:pPr>
            <w:r w:rsidRPr="00DD35EE">
              <w:rPr>
                <w:color w:val="000000" w:themeColor="text1"/>
              </w:rPr>
              <w:t>(4)</w:t>
            </w:r>
            <w:r w:rsidRPr="00DD35EE">
              <w:rPr>
                <w:color w:val="000000" w:themeColor="text1"/>
              </w:rPr>
              <w:tab/>
              <w:t xml:space="preserve">Вследствие на значими промени на световно и европейско равнище се очаква да се увеличи рискът от това смущенията, които засягат клирингoвите системи, и по-специално централните контрагенти, да застрашат нормалното функциониране на платежните системи и осъществяването на единната парична политика, като в крайна сметка ще се засегне </w:t>
            </w:r>
            <w:r w:rsidRPr="00DD35EE">
              <w:rPr>
                <w:b/>
                <w:i/>
                <w:color w:val="000000" w:themeColor="text1"/>
              </w:rPr>
              <w:t xml:space="preserve">финансовата стабилност, включително </w:t>
            </w:r>
            <w:r w:rsidRPr="00DD35EE">
              <w:rPr>
                <w:color w:val="000000" w:themeColor="text1"/>
              </w:rPr>
              <w:t>основната цел на Евросистемата да поддържа ценова стабилност.</w:t>
            </w:r>
          </w:p>
        </w:tc>
      </w:tr>
    </w:tbl>
    <w:p w14:paraId="637E2DD0" w14:textId="77777777" w:rsidR="00D22046" w:rsidRPr="00DD35EE" w:rsidRDefault="00D22046" w:rsidP="00D22046">
      <w:pPr>
        <w:rPr>
          <w:color w:val="000000" w:themeColor="text1"/>
        </w:rPr>
      </w:pPr>
      <w:r w:rsidRPr="00DD35EE">
        <w:rPr>
          <w:rStyle w:val="HideTWBExt"/>
          <w:noProof w:val="0"/>
        </w:rPr>
        <w:t>&lt;/AmendB&gt;</w:t>
      </w:r>
    </w:p>
    <w:p w14:paraId="04815584" w14:textId="377677D9" w:rsidR="002669B6" w:rsidRPr="00DD35EE" w:rsidRDefault="002669B6" w:rsidP="00212B84">
      <w:pPr>
        <w:pStyle w:val="AMNumberTabs"/>
        <w:keepNext/>
        <w:rPr>
          <w:color w:val="000000" w:themeColor="text1"/>
        </w:rPr>
      </w:pPr>
      <w:bookmarkStart w:id="1" w:name="restart"/>
      <w:r w:rsidRPr="00DD35EE">
        <w:rPr>
          <w:rStyle w:val="HideTWBExt"/>
          <w:b w:val="0"/>
          <w:noProof w:val="0"/>
        </w:rPr>
        <w:t>&lt;Amend&gt;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&lt;NumAm&gt;</w:t>
      </w:r>
      <w:r w:rsidRPr="00DD35EE">
        <w:rPr>
          <w:color w:val="000000" w:themeColor="text1"/>
        </w:rPr>
        <w:t>5</w:t>
      </w:r>
      <w:r w:rsidRPr="00DD35EE">
        <w:rPr>
          <w:rStyle w:val="HideTWBExt"/>
          <w:b w:val="0"/>
          <w:noProof w:val="0"/>
        </w:rPr>
        <w:t>&lt;/NumAm&gt;</w:t>
      </w:r>
    </w:p>
    <w:p w14:paraId="70BA6F02" w14:textId="4E14E2C6" w:rsidR="002669B6" w:rsidRPr="00DD35EE" w:rsidRDefault="002669B6" w:rsidP="00212B84">
      <w:pPr>
        <w:pStyle w:val="NormalBold12b"/>
        <w:keepNext/>
        <w:rPr>
          <w:color w:val="000000" w:themeColor="text1"/>
        </w:rPr>
      </w:pPr>
      <w:r w:rsidRPr="00DD35EE">
        <w:rPr>
          <w:rStyle w:val="HideTWBExt"/>
          <w:b w:val="0"/>
          <w:noProof w:val="0"/>
        </w:rPr>
        <w:t>&lt;DocAmend&gt;</w:t>
      </w:r>
      <w:r w:rsidRPr="00DD35EE">
        <w:rPr>
          <w:color w:val="000000" w:themeColor="text1"/>
        </w:rPr>
        <w:t>Проект на решение</w:t>
      </w:r>
      <w:r w:rsidRPr="00DD35EE">
        <w:rPr>
          <w:rStyle w:val="HideTWBExt"/>
          <w:b w:val="0"/>
          <w:noProof w:val="0"/>
        </w:rPr>
        <w:t>&lt;/DocAmend&gt;</w:t>
      </w:r>
    </w:p>
    <w:p w14:paraId="3B419990" w14:textId="72043239" w:rsidR="002669B6" w:rsidRPr="00DD35EE" w:rsidRDefault="002669B6" w:rsidP="002C6C26">
      <w:pPr>
        <w:pStyle w:val="NormalBold"/>
        <w:keepNext/>
        <w:rPr>
          <w:color w:val="000000" w:themeColor="text1"/>
        </w:rPr>
      </w:pPr>
      <w:r w:rsidRPr="00DD35EE">
        <w:rPr>
          <w:rStyle w:val="HideTWBExt"/>
          <w:b w:val="0"/>
          <w:noProof w:val="0"/>
        </w:rPr>
        <w:t>&lt;Article&gt;</w:t>
      </w:r>
      <w:r w:rsidRPr="00DD35EE">
        <w:rPr>
          <w:color w:val="000000" w:themeColor="text1"/>
        </w:rPr>
        <w:t>Съображение 5</w:t>
      </w:r>
      <w:r w:rsidRPr="00DD35E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35EE" w:rsidRPr="00DD35EE" w14:paraId="2AA46BC7" w14:textId="1091A1F2" w:rsidTr="002669B6">
        <w:trPr>
          <w:jc w:val="center"/>
        </w:trPr>
        <w:tc>
          <w:tcPr>
            <w:tcW w:w="9752" w:type="dxa"/>
            <w:gridSpan w:val="2"/>
          </w:tcPr>
          <w:p w14:paraId="5EACEA46" w14:textId="2607B403" w:rsidR="002669B6" w:rsidRPr="00DD35EE" w:rsidRDefault="002669B6" w:rsidP="00DA6ED0">
            <w:pPr>
              <w:keepNext/>
              <w:rPr>
                <w:color w:val="000000" w:themeColor="text1"/>
              </w:rPr>
            </w:pPr>
          </w:p>
        </w:tc>
      </w:tr>
      <w:tr w:rsidR="00DD35EE" w:rsidRPr="00DD35EE" w14:paraId="0FA14409" w14:textId="520B440D" w:rsidTr="002669B6">
        <w:trPr>
          <w:jc w:val="center"/>
        </w:trPr>
        <w:tc>
          <w:tcPr>
            <w:tcW w:w="4876" w:type="dxa"/>
          </w:tcPr>
          <w:p w14:paraId="00C77DCD" w14:textId="6867739B" w:rsidR="002669B6" w:rsidRPr="00DD35EE" w:rsidRDefault="00D36874" w:rsidP="006C756E">
            <w:pPr>
              <w:pStyle w:val="ColumnHeading"/>
              <w:keepNext/>
              <w:rPr>
                <w:color w:val="000000" w:themeColor="text1"/>
              </w:rPr>
            </w:pPr>
            <w:r w:rsidRPr="00DD35EE">
              <w:rPr>
                <w:color w:val="000000" w:themeColor="text1"/>
              </w:rPr>
              <w:t>Проект на Европейската централна банка</w:t>
            </w:r>
          </w:p>
        </w:tc>
        <w:tc>
          <w:tcPr>
            <w:tcW w:w="4876" w:type="dxa"/>
          </w:tcPr>
          <w:p w14:paraId="0031C00C" w14:textId="7C8D4133" w:rsidR="002669B6" w:rsidRPr="00DD35EE" w:rsidRDefault="0090298C" w:rsidP="00DA6ED0">
            <w:pPr>
              <w:pStyle w:val="ColumnHeading"/>
              <w:keepNext/>
              <w:rPr>
                <w:color w:val="000000" w:themeColor="text1"/>
              </w:rPr>
            </w:pPr>
            <w:r w:rsidRPr="00DD35EE">
              <w:rPr>
                <w:color w:val="000000" w:themeColor="text1"/>
              </w:rPr>
              <w:t>Изменение</w:t>
            </w:r>
          </w:p>
        </w:tc>
      </w:tr>
      <w:tr w:rsidR="00DD35EE" w:rsidRPr="00DD35EE" w14:paraId="187AE714" w14:textId="6FAB2651" w:rsidTr="002669B6">
        <w:trPr>
          <w:jc w:val="center"/>
        </w:trPr>
        <w:tc>
          <w:tcPr>
            <w:tcW w:w="4876" w:type="dxa"/>
          </w:tcPr>
          <w:p w14:paraId="38BBCAAC" w14:textId="153E90C0" w:rsidR="002669B6" w:rsidRPr="00DD35EE" w:rsidRDefault="00E66CB2" w:rsidP="007D6D08">
            <w:pPr>
              <w:pStyle w:val="Normal6"/>
              <w:rPr>
                <w:b/>
                <w:bCs/>
                <w:i/>
                <w:iCs/>
                <w:color w:val="000000" w:themeColor="text1"/>
              </w:rPr>
            </w:pPr>
            <w:r w:rsidRPr="00DD35EE">
              <w:rPr>
                <w:b/>
                <w:bCs/>
                <w:i/>
                <w:iCs/>
                <w:color w:val="000000" w:themeColor="text1"/>
              </w:rPr>
              <w:t xml:space="preserve">(5) На 29 март 2017 г. Обединеното кралство Великобритания и Северна Ирландия уведоми Европейския съвет за намерението си да се оттегли от Европейския съюз. Оттеглянето на Обединеното кралство ще доведе до фундаментална промяна в регулацията и надзора на някои системно важни клирингови дейности на деноминирани в евро трансакции, като по този начин ще се засегне неблагоприятно както способността на Евросистемата да наблюдава и овладява рисковете за нормалното функциониране на платежните системи, така и осъществяването на паричната </w:t>
            </w:r>
            <w:r w:rsidRPr="00DD35EE">
              <w:rPr>
                <w:b/>
                <w:bCs/>
                <w:i/>
                <w:iCs/>
                <w:color w:val="000000" w:themeColor="text1"/>
              </w:rPr>
              <w:lastRenderedPageBreak/>
              <w:t xml:space="preserve">политика на Евросистемата. </w:t>
            </w:r>
          </w:p>
        </w:tc>
        <w:tc>
          <w:tcPr>
            <w:tcW w:w="4876" w:type="dxa"/>
          </w:tcPr>
          <w:p w14:paraId="175AFBCF" w14:textId="56E07E19" w:rsidR="002669B6" w:rsidRPr="00DD35EE" w:rsidRDefault="007D6D08" w:rsidP="007D6D08">
            <w:pPr>
              <w:pStyle w:val="Normal6"/>
              <w:rPr>
                <w:b/>
                <w:bCs/>
                <w:i/>
                <w:iCs/>
                <w:color w:val="000000" w:themeColor="text1"/>
              </w:rPr>
            </w:pPr>
            <w:r w:rsidRPr="00DD35EE">
              <w:rPr>
                <w:b/>
                <w:bCs/>
                <w:i/>
                <w:iCs/>
                <w:color w:val="000000" w:themeColor="text1"/>
              </w:rPr>
              <w:lastRenderedPageBreak/>
              <w:t>заличава се</w:t>
            </w:r>
          </w:p>
        </w:tc>
      </w:tr>
    </w:tbl>
    <w:p w14:paraId="5EB14E3F" w14:textId="4328B19A" w:rsidR="00D22046" w:rsidRPr="00DD35EE" w:rsidRDefault="002669B6" w:rsidP="00D22046">
      <w:pPr>
        <w:rPr>
          <w:rStyle w:val="HideTWBExt"/>
          <w:noProof w:val="0"/>
        </w:rPr>
      </w:pPr>
      <w:r w:rsidRPr="00DD35EE">
        <w:rPr>
          <w:rStyle w:val="HideTWBExt"/>
          <w:noProof w:val="0"/>
        </w:rPr>
        <w:t>&lt;/Amend&gt;</w:t>
      </w:r>
      <w:bookmarkEnd w:id="1"/>
    </w:p>
    <w:p w14:paraId="17905454" w14:textId="31678214" w:rsidR="00D22046" w:rsidRPr="00DD35EE" w:rsidRDefault="00D22046" w:rsidP="00D22046">
      <w:pPr>
        <w:pStyle w:val="AMNumberTabs"/>
        <w:rPr>
          <w:color w:val="000000" w:themeColor="text1"/>
        </w:rPr>
      </w:pPr>
      <w:r w:rsidRPr="00DD35EE">
        <w:rPr>
          <w:rStyle w:val="HideTWBExt"/>
          <w:b w:val="0"/>
          <w:noProof w:val="0"/>
        </w:rPr>
        <w:t>&lt;AmendB&gt;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&lt;NumAmB&gt;</w:t>
      </w:r>
      <w:r w:rsidRPr="00DD35EE">
        <w:rPr>
          <w:color w:val="000000" w:themeColor="text1"/>
        </w:rPr>
        <w:t>6</w:t>
      </w:r>
      <w:r w:rsidRPr="00DD35EE">
        <w:rPr>
          <w:rStyle w:val="HideTWBExt"/>
          <w:b w:val="0"/>
          <w:noProof w:val="0"/>
        </w:rPr>
        <w:t>&lt;/NumAmB&gt;</w:t>
      </w:r>
    </w:p>
    <w:p w14:paraId="16FFD08B" w14:textId="77777777" w:rsidR="00D22046" w:rsidRPr="00DD35EE" w:rsidRDefault="00D22046" w:rsidP="00D22046">
      <w:pPr>
        <w:pStyle w:val="NormalBold12b"/>
        <w:rPr>
          <w:color w:val="000000" w:themeColor="text1"/>
        </w:rPr>
      </w:pPr>
      <w:r w:rsidRPr="00DD35EE">
        <w:rPr>
          <w:rStyle w:val="HideTWBExt"/>
          <w:b w:val="0"/>
          <w:noProof w:val="0"/>
        </w:rPr>
        <w:t>&lt;DocAmend&gt;</w:t>
      </w:r>
      <w:r w:rsidRPr="00DD35EE">
        <w:rPr>
          <w:color w:val="000000" w:themeColor="text1"/>
        </w:rPr>
        <w:t>Предложение за решение</w:t>
      </w:r>
      <w:r w:rsidRPr="00DD35EE">
        <w:rPr>
          <w:rStyle w:val="HideTWBExt"/>
          <w:b w:val="0"/>
          <w:noProof w:val="0"/>
        </w:rPr>
        <w:t>&lt;/DocAmend&gt;</w:t>
      </w:r>
    </w:p>
    <w:p w14:paraId="6EF0168C" w14:textId="77777777" w:rsidR="00D22046" w:rsidRPr="00DD35EE" w:rsidRDefault="00D22046" w:rsidP="00D22046">
      <w:pPr>
        <w:pStyle w:val="NormalBold"/>
        <w:rPr>
          <w:color w:val="000000" w:themeColor="text1"/>
        </w:rPr>
      </w:pPr>
      <w:r w:rsidRPr="00DD35EE">
        <w:rPr>
          <w:rStyle w:val="HideTWBExt"/>
          <w:b w:val="0"/>
          <w:noProof w:val="0"/>
        </w:rPr>
        <w:t>&lt;Article&gt;</w:t>
      </w:r>
      <w:r w:rsidRPr="00DD35EE">
        <w:rPr>
          <w:color w:val="000000" w:themeColor="text1"/>
        </w:rPr>
        <w:t>Съображение 6</w:t>
      </w:r>
      <w:r w:rsidRPr="00DD35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35EE" w:rsidRPr="00DD35EE" w14:paraId="42975888" w14:textId="77777777" w:rsidTr="0089192A">
        <w:trPr>
          <w:trHeight w:hRule="exact" w:val="240"/>
          <w:jc w:val="center"/>
        </w:trPr>
        <w:tc>
          <w:tcPr>
            <w:tcW w:w="9752" w:type="dxa"/>
            <w:gridSpan w:val="2"/>
          </w:tcPr>
          <w:p w14:paraId="0B9DDF97" w14:textId="77777777" w:rsidR="00D22046" w:rsidRPr="00DD35EE" w:rsidRDefault="00D22046" w:rsidP="0089192A">
            <w:pPr>
              <w:rPr>
                <w:color w:val="000000" w:themeColor="text1"/>
              </w:rPr>
            </w:pPr>
          </w:p>
        </w:tc>
      </w:tr>
      <w:tr w:rsidR="00DD35EE" w:rsidRPr="00DD35EE" w14:paraId="0B305B82" w14:textId="77777777" w:rsidTr="0089192A">
        <w:trPr>
          <w:trHeight w:val="240"/>
          <w:jc w:val="center"/>
        </w:trPr>
        <w:tc>
          <w:tcPr>
            <w:tcW w:w="4876" w:type="dxa"/>
          </w:tcPr>
          <w:p w14:paraId="432C277B" w14:textId="77777777" w:rsidR="00D22046" w:rsidRPr="00DD35EE" w:rsidRDefault="00D22046" w:rsidP="0089192A">
            <w:pPr>
              <w:pStyle w:val="ColumnHeading"/>
              <w:rPr>
                <w:color w:val="000000" w:themeColor="text1"/>
              </w:rPr>
            </w:pPr>
            <w:r w:rsidRPr="00DD35EE">
              <w:rPr>
                <w:color w:val="000000" w:themeColor="text1"/>
              </w:rPr>
              <w:t>Текст, предложен от Европейската централна банка</w:t>
            </w:r>
          </w:p>
        </w:tc>
        <w:tc>
          <w:tcPr>
            <w:tcW w:w="4876" w:type="dxa"/>
          </w:tcPr>
          <w:p w14:paraId="0FF37DDE" w14:textId="77777777" w:rsidR="00D22046" w:rsidRPr="00DD35EE" w:rsidRDefault="00D22046" w:rsidP="0089192A">
            <w:pPr>
              <w:pStyle w:val="ColumnHeading"/>
              <w:rPr>
                <w:color w:val="000000" w:themeColor="text1"/>
              </w:rPr>
            </w:pPr>
            <w:r w:rsidRPr="00DD35EE">
              <w:rPr>
                <w:color w:val="000000" w:themeColor="text1"/>
              </w:rPr>
              <w:t>Изменение</w:t>
            </w:r>
          </w:p>
        </w:tc>
      </w:tr>
      <w:tr w:rsidR="00DD35EE" w:rsidRPr="00DD35EE" w14:paraId="7004A204" w14:textId="77777777" w:rsidTr="0089192A">
        <w:trPr>
          <w:jc w:val="center"/>
        </w:trPr>
        <w:tc>
          <w:tcPr>
            <w:tcW w:w="4876" w:type="dxa"/>
          </w:tcPr>
          <w:p w14:paraId="593343FF" w14:textId="77777777" w:rsidR="00D22046" w:rsidRPr="00DD35EE" w:rsidRDefault="00D22046" w:rsidP="0089192A">
            <w:pPr>
              <w:pStyle w:val="Normal6"/>
              <w:rPr>
                <w:color w:val="000000" w:themeColor="text1"/>
              </w:rPr>
            </w:pPr>
            <w:r w:rsidRPr="00DD35EE">
              <w:rPr>
                <w:color w:val="000000" w:themeColor="text1"/>
              </w:rPr>
              <w:t>(6)</w:t>
            </w:r>
            <w:r w:rsidRPr="00DD35EE">
              <w:rPr>
                <w:color w:val="000000" w:themeColor="text1"/>
              </w:rPr>
              <w:tab/>
              <w:t>Централизираният клиринг се характеризира с все по-голяма трансграничност и системна важност. Предвид многообразността на членовете им и паневропейската същност на финансовите услуги, които предоставят, централните контрагенти са от ключова важност за Съюза като цяло, и по-специално за еврозоната. Това е отразено в Регламент (ЕС) №</w:t>
            </w:r>
            <w:r w:rsidRPr="00DD35EE">
              <w:rPr>
                <w:b/>
                <w:i/>
                <w:color w:val="000000" w:themeColor="text1"/>
              </w:rPr>
              <w:t xml:space="preserve"> </w:t>
            </w:r>
            <w:r w:rsidRPr="00DD35EE">
              <w:rPr>
                <w:color w:val="000000" w:themeColor="text1"/>
              </w:rPr>
              <w:t>648/2012 на Европейския парламент и на Съвета</w:t>
            </w:r>
            <w:r w:rsidRPr="00DD35EE">
              <w:rPr>
                <w:rStyle w:val="SupBoldItalic"/>
                <w:color w:val="000000" w:themeColor="text1"/>
              </w:rPr>
              <w:t>8</w:t>
            </w:r>
            <w:r w:rsidRPr="00DD35EE">
              <w:rPr>
                <w:color w:val="000000" w:themeColor="text1"/>
              </w:rPr>
              <w:t>, с който се създават колективни договорености в областта на надзора под формата на колегии, съставени от съответните национални органи и органи на Съюза, включително Евросистемата в ролята ѝ на централна банка – емитент на еврото.</w:t>
            </w:r>
          </w:p>
        </w:tc>
        <w:tc>
          <w:tcPr>
            <w:tcW w:w="4876" w:type="dxa"/>
          </w:tcPr>
          <w:p w14:paraId="1EC46934" w14:textId="7AE93FC4" w:rsidR="00D22046" w:rsidRPr="00DD35EE" w:rsidRDefault="00D22046" w:rsidP="004B407E">
            <w:pPr>
              <w:pStyle w:val="Normal6"/>
              <w:rPr>
                <w:color w:val="000000" w:themeColor="text1"/>
              </w:rPr>
            </w:pPr>
            <w:r w:rsidRPr="00DD35EE">
              <w:rPr>
                <w:color w:val="000000" w:themeColor="text1"/>
              </w:rPr>
              <w:t>(6)</w:t>
            </w:r>
            <w:r w:rsidRPr="00DD35EE">
              <w:rPr>
                <w:color w:val="000000" w:themeColor="text1"/>
              </w:rPr>
              <w:tab/>
              <w:t>Централизираният клиринг се характеризира с все по-голяма трансграничност и системна важност. Предвид многообразността на членовете им и паневропейската същност на финансовите услуги, които предоставят, централните контрагенти са от ключова важност за Съюза като цяло, и по-специално за еврозоната. Това е отразено в Регламент (ЕС) №</w:t>
            </w:r>
            <w:r w:rsidRPr="00DD35EE">
              <w:rPr>
                <w:b/>
                <w:i/>
                <w:color w:val="000000" w:themeColor="text1"/>
              </w:rPr>
              <w:t> </w:t>
            </w:r>
            <w:r w:rsidRPr="00DD35EE">
              <w:rPr>
                <w:color w:val="000000" w:themeColor="text1"/>
              </w:rPr>
              <w:t>648/2012 на Европейския парламент и на Съвета, с който се създават колективни договорености в областта на надзора под формата на колегии, съставени от съответните национални органи и органи на Съюза, включително Евросистемата в ролята ѝ на централна банка – емитент на еврото</w:t>
            </w:r>
            <w:r w:rsidRPr="00DD35EE">
              <w:rPr>
                <w:b/>
                <w:i/>
                <w:color w:val="000000" w:themeColor="text1"/>
              </w:rPr>
              <w:t>, валутата на Съюза</w:t>
            </w:r>
            <w:r w:rsidRPr="00DD35EE">
              <w:rPr>
                <w:color w:val="000000" w:themeColor="text1"/>
              </w:rPr>
              <w:t>.</w:t>
            </w:r>
          </w:p>
        </w:tc>
      </w:tr>
      <w:tr w:rsidR="00DD35EE" w:rsidRPr="00DD35EE" w14:paraId="790238DC" w14:textId="77777777" w:rsidTr="0089192A">
        <w:trPr>
          <w:jc w:val="center"/>
        </w:trPr>
        <w:tc>
          <w:tcPr>
            <w:tcW w:w="4876" w:type="dxa"/>
          </w:tcPr>
          <w:p w14:paraId="7CC86125" w14:textId="77777777" w:rsidR="00D22046" w:rsidRPr="00DD35EE" w:rsidRDefault="00D22046" w:rsidP="0089192A">
            <w:pPr>
              <w:pStyle w:val="Normal6"/>
              <w:rPr>
                <w:color w:val="000000" w:themeColor="text1"/>
              </w:rPr>
            </w:pPr>
            <w:r w:rsidRPr="00DD35EE">
              <w:rPr>
                <w:color w:val="000000" w:themeColor="text1"/>
              </w:rPr>
              <w:t>_________________</w:t>
            </w:r>
          </w:p>
        </w:tc>
        <w:tc>
          <w:tcPr>
            <w:tcW w:w="4876" w:type="dxa"/>
          </w:tcPr>
          <w:p w14:paraId="2E43C5A6" w14:textId="77777777" w:rsidR="00D22046" w:rsidRPr="00DD35EE" w:rsidRDefault="00D22046" w:rsidP="0089192A">
            <w:pPr>
              <w:pStyle w:val="Normal6"/>
              <w:rPr>
                <w:color w:val="000000" w:themeColor="text1"/>
              </w:rPr>
            </w:pPr>
          </w:p>
        </w:tc>
      </w:tr>
      <w:tr w:rsidR="00DD35EE" w:rsidRPr="00DD35EE" w14:paraId="04B5E998" w14:textId="77777777" w:rsidTr="0089192A">
        <w:trPr>
          <w:jc w:val="center"/>
        </w:trPr>
        <w:tc>
          <w:tcPr>
            <w:tcW w:w="4876" w:type="dxa"/>
          </w:tcPr>
          <w:p w14:paraId="654C3BAB" w14:textId="77777777" w:rsidR="00D22046" w:rsidRPr="00DD35EE" w:rsidRDefault="00D22046" w:rsidP="0089192A">
            <w:pPr>
              <w:pStyle w:val="Normal6"/>
              <w:rPr>
                <w:b/>
                <w:i/>
                <w:color w:val="000000" w:themeColor="text1"/>
              </w:rPr>
            </w:pPr>
            <w:r w:rsidRPr="00DD35EE">
              <w:rPr>
                <w:rStyle w:val="SupBoldItalic"/>
                <w:color w:val="000000" w:themeColor="text1"/>
              </w:rPr>
              <w:t>8</w:t>
            </w:r>
            <w:r w:rsidRPr="00DD35EE">
              <w:rPr>
                <w:b/>
                <w:i/>
                <w:color w:val="000000" w:themeColor="text1"/>
              </w:rPr>
              <w:t xml:space="preserve"> Регламент (ЕС) № 648/2012 на Европейския парламент и на Съвета от 4 юли 2012 г. относно извънборсовите деривати, централните контрагенти и регистрите на транзакции (OВ L 201, 27.7.2012 г., стр. 1).</w:t>
            </w:r>
          </w:p>
        </w:tc>
        <w:tc>
          <w:tcPr>
            <w:tcW w:w="4876" w:type="dxa"/>
          </w:tcPr>
          <w:p w14:paraId="3899F0C1" w14:textId="77777777" w:rsidR="00D22046" w:rsidRPr="00DD35EE" w:rsidRDefault="00D22046" w:rsidP="0089192A">
            <w:pPr>
              <w:pStyle w:val="Normal6"/>
              <w:rPr>
                <w:color w:val="000000" w:themeColor="text1"/>
              </w:rPr>
            </w:pPr>
          </w:p>
        </w:tc>
      </w:tr>
    </w:tbl>
    <w:p w14:paraId="4913DBD4" w14:textId="77777777" w:rsidR="00D22046" w:rsidRPr="00DD35EE" w:rsidRDefault="00D22046" w:rsidP="00D22046">
      <w:pPr>
        <w:rPr>
          <w:rStyle w:val="HideTWBExt"/>
          <w:noProof w:val="0"/>
        </w:rPr>
      </w:pPr>
      <w:r w:rsidRPr="00DD35EE">
        <w:rPr>
          <w:rStyle w:val="HideTWBExt"/>
          <w:noProof w:val="0"/>
        </w:rPr>
        <w:t>&lt;/AmendB&gt;</w:t>
      </w:r>
    </w:p>
    <w:p w14:paraId="2EE1E39F" w14:textId="61403537" w:rsidR="00D22046" w:rsidRPr="00DD35EE" w:rsidRDefault="00D22046" w:rsidP="00D22046">
      <w:pPr>
        <w:pStyle w:val="AMNumberTabs"/>
        <w:rPr>
          <w:color w:val="000000" w:themeColor="text1"/>
        </w:rPr>
      </w:pPr>
      <w:r w:rsidRPr="00DD35EE">
        <w:rPr>
          <w:rStyle w:val="HideTWBExt"/>
          <w:b w:val="0"/>
          <w:noProof w:val="0"/>
        </w:rPr>
        <w:t>&lt;AmendB&gt;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&lt;NumAmB&gt;</w:t>
      </w:r>
      <w:r w:rsidRPr="00DD35EE">
        <w:rPr>
          <w:color w:val="000000" w:themeColor="text1"/>
        </w:rPr>
        <w:t>7</w:t>
      </w:r>
      <w:r w:rsidRPr="00DD35EE">
        <w:rPr>
          <w:rStyle w:val="HideTWBExt"/>
          <w:b w:val="0"/>
          <w:noProof w:val="0"/>
        </w:rPr>
        <w:t>&lt;/NumAmB&gt;</w:t>
      </w:r>
    </w:p>
    <w:p w14:paraId="2AE60E20" w14:textId="77777777" w:rsidR="00D22046" w:rsidRPr="00DD35EE" w:rsidRDefault="00D22046" w:rsidP="00D22046">
      <w:pPr>
        <w:pStyle w:val="NormalBold12b"/>
        <w:rPr>
          <w:color w:val="000000" w:themeColor="text1"/>
        </w:rPr>
      </w:pPr>
      <w:r w:rsidRPr="00DD35EE">
        <w:rPr>
          <w:rStyle w:val="HideTWBExt"/>
          <w:b w:val="0"/>
          <w:noProof w:val="0"/>
        </w:rPr>
        <w:t>&lt;DocAmend&gt;</w:t>
      </w:r>
      <w:r w:rsidRPr="00DD35EE">
        <w:rPr>
          <w:color w:val="000000" w:themeColor="text1"/>
        </w:rPr>
        <w:t>Предложение за решение</w:t>
      </w:r>
      <w:r w:rsidRPr="00DD35EE">
        <w:rPr>
          <w:rStyle w:val="HideTWBExt"/>
          <w:b w:val="0"/>
          <w:noProof w:val="0"/>
        </w:rPr>
        <w:t>&lt;/DocAmend&gt;</w:t>
      </w:r>
    </w:p>
    <w:p w14:paraId="56B8A06A" w14:textId="77777777" w:rsidR="00D22046" w:rsidRPr="00DD35EE" w:rsidRDefault="00D22046" w:rsidP="00D22046">
      <w:pPr>
        <w:pStyle w:val="NormalBold"/>
        <w:rPr>
          <w:color w:val="000000" w:themeColor="text1"/>
        </w:rPr>
      </w:pPr>
      <w:r w:rsidRPr="00DD35EE">
        <w:rPr>
          <w:rStyle w:val="HideTWBExt"/>
          <w:b w:val="0"/>
          <w:noProof w:val="0"/>
        </w:rPr>
        <w:t>&lt;Article&gt;</w:t>
      </w:r>
      <w:r w:rsidRPr="00DD35EE">
        <w:rPr>
          <w:color w:val="000000" w:themeColor="text1"/>
        </w:rPr>
        <w:t>Съображение 7</w:t>
      </w:r>
      <w:r w:rsidRPr="00DD35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35EE" w:rsidRPr="00DD35EE" w14:paraId="7EC445C6" w14:textId="77777777" w:rsidTr="0089192A">
        <w:trPr>
          <w:trHeight w:hRule="exact" w:val="240"/>
          <w:jc w:val="center"/>
        </w:trPr>
        <w:tc>
          <w:tcPr>
            <w:tcW w:w="9752" w:type="dxa"/>
            <w:gridSpan w:val="2"/>
          </w:tcPr>
          <w:p w14:paraId="03EEE498" w14:textId="77777777" w:rsidR="00D22046" w:rsidRPr="00DD35EE" w:rsidRDefault="00D22046" w:rsidP="0089192A">
            <w:pPr>
              <w:rPr>
                <w:color w:val="000000" w:themeColor="text1"/>
              </w:rPr>
            </w:pPr>
          </w:p>
        </w:tc>
      </w:tr>
      <w:tr w:rsidR="00DD35EE" w:rsidRPr="00DD35EE" w14:paraId="59BD6CD1" w14:textId="77777777" w:rsidTr="0089192A">
        <w:trPr>
          <w:trHeight w:val="240"/>
          <w:jc w:val="center"/>
        </w:trPr>
        <w:tc>
          <w:tcPr>
            <w:tcW w:w="4876" w:type="dxa"/>
          </w:tcPr>
          <w:p w14:paraId="4AB5C3BA" w14:textId="77777777" w:rsidR="00D22046" w:rsidRPr="00DD35EE" w:rsidRDefault="00D22046" w:rsidP="0089192A">
            <w:pPr>
              <w:pStyle w:val="ColumnHeading"/>
              <w:rPr>
                <w:color w:val="000000" w:themeColor="text1"/>
              </w:rPr>
            </w:pPr>
            <w:r w:rsidRPr="00DD35EE">
              <w:rPr>
                <w:color w:val="000000" w:themeColor="text1"/>
              </w:rPr>
              <w:t>Текст, предложен от Европейската централна банка</w:t>
            </w:r>
          </w:p>
        </w:tc>
        <w:tc>
          <w:tcPr>
            <w:tcW w:w="4876" w:type="dxa"/>
          </w:tcPr>
          <w:p w14:paraId="3A2287B8" w14:textId="77777777" w:rsidR="00D22046" w:rsidRPr="00DD35EE" w:rsidRDefault="00D22046" w:rsidP="0089192A">
            <w:pPr>
              <w:pStyle w:val="ColumnHeading"/>
              <w:rPr>
                <w:color w:val="000000" w:themeColor="text1"/>
              </w:rPr>
            </w:pPr>
            <w:r w:rsidRPr="00DD35EE">
              <w:rPr>
                <w:color w:val="000000" w:themeColor="text1"/>
              </w:rPr>
              <w:t>Изменение</w:t>
            </w:r>
          </w:p>
        </w:tc>
      </w:tr>
      <w:tr w:rsidR="00DD35EE" w:rsidRPr="00DD35EE" w14:paraId="1764DC9F" w14:textId="77777777" w:rsidTr="0089192A">
        <w:trPr>
          <w:jc w:val="center"/>
        </w:trPr>
        <w:tc>
          <w:tcPr>
            <w:tcW w:w="4876" w:type="dxa"/>
          </w:tcPr>
          <w:p w14:paraId="530478FF" w14:textId="77777777" w:rsidR="00D22046" w:rsidRPr="00DD35EE" w:rsidRDefault="00D22046" w:rsidP="0089192A">
            <w:pPr>
              <w:pStyle w:val="Normal6"/>
              <w:rPr>
                <w:color w:val="000000" w:themeColor="text1"/>
              </w:rPr>
            </w:pPr>
            <w:r w:rsidRPr="00DD35EE">
              <w:rPr>
                <w:color w:val="000000" w:themeColor="text1"/>
              </w:rPr>
              <w:t>(7)</w:t>
            </w:r>
            <w:r w:rsidRPr="00DD35EE">
              <w:rPr>
                <w:color w:val="000000" w:themeColor="text1"/>
              </w:rPr>
              <w:tab/>
              <w:t xml:space="preserve">С цел да разреши тези въпроси, на 13 юни 2017 г. Комисията представи </w:t>
            </w:r>
            <w:r w:rsidRPr="00DD35EE">
              <w:rPr>
                <w:color w:val="000000" w:themeColor="text1"/>
              </w:rPr>
              <w:lastRenderedPageBreak/>
              <w:t>законодателно предложение с цел да гарантира финансовата стабилност, сигурността и надеждността на централните контрагенти от системно значение за финансовите пазари в Съюза. За да се гарантира, че Евросистемата като централна банка – емитент на еврото може да изпълнява ролята, предвидена в законодателното предложение, от изключително значение е тя да има съответните правомощия съгласно Договора и Устава на ЕСЦБ. По-специално, Евросистемата следва да има регулаторни правомощия да приема задължителни оценки и да изисква корективни действия, в тясно сътрудничество с други органи на Съюза. Освен това, ако е необходимо, за да се защити стабилността на еврото, ЕЦБ следва да има и регулаторни правомощия да приема допълнителни изисквания по отношение на централните контрагенти, които извършват клиринг на значителни обеми деноминирани в евро трансакции.</w:t>
            </w:r>
          </w:p>
        </w:tc>
        <w:tc>
          <w:tcPr>
            <w:tcW w:w="4876" w:type="dxa"/>
          </w:tcPr>
          <w:p w14:paraId="6DA2BE21" w14:textId="65818BA4" w:rsidR="00D22046" w:rsidRPr="00DD35EE" w:rsidRDefault="00D22046" w:rsidP="004B407E">
            <w:pPr>
              <w:pStyle w:val="Normal6"/>
              <w:rPr>
                <w:color w:val="000000" w:themeColor="text1"/>
              </w:rPr>
            </w:pPr>
            <w:r w:rsidRPr="00DD35EE">
              <w:rPr>
                <w:color w:val="000000" w:themeColor="text1"/>
              </w:rPr>
              <w:lastRenderedPageBreak/>
              <w:t>(7)</w:t>
            </w:r>
            <w:r w:rsidRPr="00DD35EE">
              <w:rPr>
                <w:color w:val="000000" w:themeColor="text1"/>
              </w:rPr>
              <w:tab/>
              <w:t xml:space="preserve">С цел да разреши тези въпроси, на 13 юни 2017 г. Комисията представи </w:t>
            </w:r>
            <w:r w:rsidRPr="00DD35EE">
              <w:rPr>
                <w:color w:val="000000" w:themeColor="text1"/>
              </w:rPr>
              <w:lastRenderedPageBreak/>
              <w:t xml:space="preserve">законодателно предложение с цел да гарантира финансовата стабилност, сигурността и надеждността на централните контрагенти от системно значение за финансовите пазари в Съюза. За да се гарантира, че Евросистемата като централна банка – емитент на еврото може да изпълнява ролята, предвидена в законодателното предложение, от изключително значение е тя да има съответните правомощия съгласно Договора и Устава на ЕСЦБ. По-специално, Евросистемата следва да има регулаторни правомощия да приема задължителни оценки и да изисква корективни действия, в тясно сътрудничество с други органи на Съюза. Освен това, ако е необходимо, за да се защити стабилността на еврото, ЕЦБ следва да има и регулаторни правомощия да приема допълнителни изисквания по отношение на централните контрагенти, които извършват клиринг на значителни обеми деноминирани в евро трансакции. </w:t>
            </w:r>
            <w:r w:rsidRPr="00DD35EE">
              <w:rPr>
                <w:b/>
                <w:i/>
                <w:color w:val="000000" w:themeColor="text1"/>
              </w:rPr>
              <w:t>Тези изисквания следва да защитават целостта на единния пазар и да гарантират, че при надзора на централните контрагенти от трети държави правото на Съюза и съдебната практика на Съда на Европейския съюз имат предимство.</w:t>
            </w:r>
          </w:p>
        </w:tc>
      </w:tr>
    </w:tbl>
    <w:p w14:paraId="13707124" w14:textId="77777777" w:rsidR="00D22046" w:rsidRPr="00DD35EE" w:rsidRDefault="00D22046" w:rsidP="00D22046">
      <w:pPr>
        <w:rPr>
          <w:color w:val="000000" w:themeColor="text1"/>
        </w:rPr>
      </w:pPr>
      <w:r w:rsidRPr="00DD35EE">
        <w:rPr>
          <w:rStyle w:val="HideTWBExt"/>
          <w:noProof w:val="0"/>
        </w:rPr>
        <w:lastRenderedPageBreak/>
        <w:t>&lt;/AmendB&gt;</w:t>
      </w:r>
    </w:p>
    <w:p w14:paraId="4AC7685B" w14:textId="35D70DFC" w:rsidR="002630D0" w:rsidRPr="00DD35EE" w:rsidRDefault="002630D0" w:rsidP="00212B84">
      <w:pPr>
        <w:pStyle w:val="AMNumberTabs"/>
        <w:keepNext/>
        <w:rPr>
          <w:color w:val="000000" w:themeColor="text1"/>
        </w:rPr>
      </w:pPr>
      <w:r w:rsidRPr="00DD35EE">
        <w:rPr>
          <w:rStyle w:val="HideTWBExt"/>
          <w:b w:val="0"/>
          <w:noProof w:val="0"/>
        </w:rPr>
        <w:t>&lt;Amend&gt;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&lt;NumAm&gt;</w:t>
      </w:r>
      <w:r w:rsidRPr="00DD35EE">
        <w:rPr>
          <w:color w:val="000000" w:themeColor="text1"/>
        </w:rPr>
        <w:t>8</w:t>
      </w:r>
      <w:r w:rsidRPr="00DD35EE">
        <w:rPr>
          <w:rStyle w:val="HideTWBExt"/>
          <w:b w:val="0"/>
          <w:noProof w:val="0"/>
        </w:rPr>
        <w:t>&lt;/NumAm&gt;</w:t>
      </w:r>
    </w:p>
    <w:p w14:paraId="5EFB52FC" w14:textId="77777777" w:rsidR="002630D0" w:rsidRPr="00DD35EE" w:rsidRDefault="002630D0" w:rsidP="00212B84">
      <w:pPr>
        <w:pStyle w:val="NormalBold12b"/>
        <w:keepNext/>
        <w:rPr>
          <w:color w:val="000000" w:themeColor="text1"/>
        </w:rPr>
      </w:pPr>
      <w:r w:rsidRPr="00DD35EE">
        <w:rPr>
          <w:rStyle w:val="HideTWBExt"/>
          <w:b w:val="0"/>
          <w:noProof w:val="0"/>
        </w:rPr>
        <w:t>&lt;DocAmend&gt;</w:t>
      </w:r>
      <w:r w:rsidRPr="00DD35EE">
        <w:rPr>
          <w:color w:val="000000" w:themeColor="text1"/>
        </w:rPr>
        <w:t>Проект на решение</w:t>
      </w:r>
      <w:r w:rsidRPr="00DD35EE">
        <w:rPr>
          <w:rStyle w:val="HideTWBExt"/>
          <w:b w:val="0"/>
          <w:noProof w:val="0"/>
        </w:rPr>
        <w:t>&lt;/DocAmend&gt;</w:t>
      </w:r>
    </w:p>
    <w:p w14:paraId="6AAB64E9" w14:textId="77777777" w:rsidR="002630D0" w:rsidRPr="00DD35EE" w:rsidRDefault="002630D0" w:rsidP="002C6C26">
      <w:pPr>
        <w:pStyle w:val="NormalBold"/>
        <w:keepNext/>
        <w:rPr>
          <w:color w:val="000000" w:themeColor="text1"/>
        </w:rPr>
      </w:pPr>
      <w:r w:rsidRPr="00DD35EE">
        <w:rPr>
          <w:rStyle w:val="HideTWBExt"/>
          <w:b w:val="0"/>
          <w:noProof w:val="0"/>
        </w:rPr>
        <w:t>&lt;Article&gt;</w:t>
      </w:r>
      <w:r w:rsidRPr="00DD35EE">
        <w:rPr>
          <w:color w:val="000000" w:themeColor="text1"/>
        </w:rPr>
        <w:t>Съображение 8</w:t>
      </w:r>
      <w:r w:rsidRPr="00DD35E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35EE" w:rsidRPr="00DD35EE" w14:paraId="7C862A36" w14:textId="77777777" w:rsidTr="002669B6">
        <w:trPr>
          <w:jc w:val="center"/>
        </w:trPr>
        <w:tc>
          <w:tcPr>
            <w:tcW w:w="9752" w:type="dxa"/>
            <w:gridSpan w:val="2"/>
          </w:tcPr>
          <w:p w14:paraId="4C4B36E7" w14:textId="77777777" w:rsidR="002630D0" w:rsidRPr="00DD35EE" w:rsidRDefault="002630D0" w:rsidP="00DA6ED0">
            <w:pPr>
              <w:keepNext/>
              <w:rPr>
                <w:color w:val="000000" w:themeColor="text1"/>
              </w:rPr>
            </w:pPr>
          </w:p>
        </w:tc>
      </w:tr>
      <w:tr w:rsidR="00DD35EE" w:rsidRPr="00DD35EE" w14:paraId="11159F9E" w14:textId="77777777" w:rsidTr="002669B6">
        <w:trPr>
          <w:jc w:val="center"/>
        </w:trPr>
        <w:tc>
          <w:tcPr>
            <w:tcW w:w="4876" w:type="dxa"/>
          </w:tcPr>
          <w:p w14:paraId="420E41D8" w14:textId="77777777" w:rsidR="002630D0" w:rsidRPr="00DD35EE" w:rsidRDefault="0061071D" w:rsidP="0061071D">
            <w:pPr>
              <w:pStyle w:val="ColumnHeading"/>
              <w:keepNext/>
              <w:rPr>
                <w:color w:val="000000" w:themeColor="text1"/>
              </w:rPr>
            </w:pPr>
            <w:r w:rsidRPr="00DD35EE">
              <w:rPr>
                <w:color w:val="000000" w:themeColor="text1"/>
              </w:rPr>
              <w:t>Проект на Европейската централна банка</w:t>
            </w:r>
          </w:p>
        </w:tc>
        <w:tc>
          <w:tcPr>
            <w:tcW w:w="4876" w:type="dxa"/>
          </w:tcPr>
          <w:p w14:paraId="3800C86C" w14:textId="77777777" w:rsidR="002630D0" w:rsidRPr="00DD35EE" w:rsidRDefault="002630D0" w:rsidP="00DA6ED0">
            <w:pPr>
              <w:pStyle w:val="ColumnHeading"/>
              <w:keepNext/>
              <w:rPr>
                <w:color w:val="000000" w:themeColor="text1"/>
              </w:rPr>
            </w:pPr>
            <w:r w:rsidRPr="00DD35EE">
              <w:rPr>
                <w:color w:val="000000" w:themeColor="text1"/>
              </w:rPr>
              <w:t>Изменение</w:t>
            </w:r>
          </w:p>
        </w:tc>
      </w:tr>
      <w:tr w:rsidR="00DD35EE" w:rsidRPr="00DD35EE" w14:paraId="742489B9" w14:textId="77777777" w:rsidTr="002669B6">
        <w:trPr>
          <w:jc w:val="center"/>
        </w:trPr>
        <w:tc>
          <w:tcPr>
            <w:tcW w:w="4876" w:type="dxa"/>
          </w:tcPr>
          <w:p w14:paraId="059935B6" w14:textId="1F5A93AB" w:rsidR="00852345" w:rsidRPr="00DD35EE" w:rsidRDefault="00E66CB2" w:rsidP="002669B6">
            <w:pPr>
              <w:pStyle w:val="Normal6"/>
              <w:rPr>
                <w:color w:val="000000" w:themeColor="text1"/>
              </w:rPr>
            </w:pPr>
            <w:r w:rsidRPr="00DD35EE">
              <w:rPr>
                <w:color w:val="000000" w:themeColor="text1"/>
                <w:szCs w:val="24"/>
              </w:rPr>
              <w:t xml:space="preserve">(8) Член 22 е в глава четвърта „Парични функции и операции на ЕСЦБ“ от Устава на ЕСЦБ. Възложените с него задачи съответно следва да бъдат използвани само за целите на паричната </w:t>
            </w:r>
            <w:r w:rsidRPr="00DD35EE">
              <w:rPr>
                <w:color w:val="000000" w:themeColor="text1"/>
                <w:szCs w:val="24"/>
              </w:rPr>
              <w:lastRenderedPageBreak/>
              <w:t>политика.</w:t>
            </w:r>
          </w:p>
        </w:tc>
        <w:tc>
          <w:tcPr>
            <w:tcW w:w="4876" w:type="dxa"/>
          </w:tcPr>
          <w:p w14:paraId="61AE3B44" w14:textId="7DA56337" w:rsidR="00852345" w:rsidRPr="00DD35EE" w:rsidRDefault="00E66CB2" w:rsidP="00E93F21">
            <w:pPr>
              <w:pStyle w:val="Normal6"/>
              <w:rPr>
                <w:color w:val="000000" w:themeColor="text1"/>
              </w:rPr>
            </w:pPr>
            <w:r w:rsidRPr="00DD35EE">
              <w:rPr>
                <w:color w:val="000000" w:themeColor="text1"/>
              </w:rPr>
              <w:lastRenderedPageBreak/>
              <w:t xml:space="preserve">(8) Член 22 е в глава четвърта „Парични функции и операции на ЕСЦБ“ от Устава на ЕСЦБ. Възложените с него задачи съответно следва да бъдат използвани само за целите на паричната политика. </w:t>
            </w:r>
            <w:r w:rsidRPr="00DD35EE">
              <w:rPr>
                <w:b/>
                <w:bCs/>
                <w:i/>
                <w:iCs/>
                <w:color w:val="000000" w:themeColor="text1"/>
              </w:rPr>
              <w:t xml:space="preserve"> </w:t>
            </w:r>
            <w:r w:rsidRPr="00DD35EE">
              <w:rPr>
                <w:b/>
                <w:bCs/>
                <w:i/>
                <w:iCs/>
                <w:color w:val="000000" w:themeColor="text1"/>
                <w:szCs w:val="24"/>
              </w:rPr>
              <w:t xml:space="preserve">По отношение на </w:t>
            </w:r>
            <w:r w:rsidRPr="00DD35EE">
              <w:rPr>
                <w:b/>
                <w:bCs/>
                <w:i/>
                <w:iCs/>
                <w:color w:val="000000" w:themeColor="text1"/>
                <w:szCs w:val="24"/>
              </w:rPr>
              <w:lastRenderedPageBreak/>
              <w:t xml:space="preserve">клиринговите системи за финансови инструменти изискванията, които могат да се прилагат въз основа на посочения член, следва да включват изискванията за отчетност и наложените на клиринговата система изисквания за сътрудничество с ЕЦБ и националните централни банки при тяхната оценка на устойчивостта на системата спрямо неблагоприятни пазарни тенденции. Тези изисквания следва да включват също така откриване от системата на овърнайт депозитна сметка в ЕСЦБ в съответствие с относимите критерии и изисквания за достъп на ЕСЦБ. Освен това те следва да включват изисквания, необходими за справяне със ситуации, при които дадена клирингова система за финансови инструменти създава непосредствен риск от съществена вреда за финансовите институции или пазарите на Съюза или за финансовата система на Съюза или на една от неговите държави членки, като например изисквания, свързани с контрол на ликвидния риск, договорености за сетълмент, маржове, договорености за обезпечение или за оперативна съвместимост. По отношение на клиринговите системи на трети държави за финансови инструменти със системно значение, Регламент (ЕС) №... /... [Регламент на Европейския парламент и на Съвета 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 предвижда възможността ЕЦБ да предлага </w:t>
            </w:r>
            <w:r w:rsidRPr="00DD35EE">
              <w:rPr>
                <w:b/>
                <w:bCs/>
                <w:i/>
                <w:iCs/>
                <w:color w:val="000000" w:themeColor="text1"/>
                <w:szCs w:val="24"/>
              </w:rPr>
              <w:lastRenderedPageBreak/>
              <w:t>допълнителни изисквания за такива системи.</w:t>
            </w:r>
          </w:p>
        </w:tc>
      </w:tr>
    </w:tbl>
    <w:p w14:paraId="5A66E1A1" w14:textId="77777777" w:rsidR="002630D0" w:rsidRPr="00DD35EE" w:rsidRDefault="002630D0" w:rsidP="00F9166E">
      <w:pPr>
        <w:rPr>
          <w:rStyle w:val="HideTWBExt"/>
          <w:noProof w:val="0"/>
        </w:rPr>
      </w:pPr>
      <w:r w:rsidRPr="00DD35EE">
        <w:rPr>
          <w:rStyle w:val="HideTWBExt"/>
          <w:noProof w:val="0"/>
        </w:rPr>
        <w:lastRenderedPageBreak/>
        <w:t>&lt;/Amend&gt;</w:t>
      </w:r>
    </w:p>
    <w:p w14:paraId="37EAD5D3" w14:textId="4A934334" w:rsidR="002630D0" w:rsidRPr="00DD35EE" w:rsidRDefault="002630D0" w:rsidP="002630D0">
      <w:pPr>
        <w:pStyle w:val="AMNumberTabs"/>
        <w:keepNext/>
        <w:rPr>
          <w:color w:val="000000" w:themeColor="text1"/>
        </w:rPr>
      </w:pPr>
      <w:r w:rsidRPr="00DD35EE">
        <w:rPr>
          <w:rStyle w:val="HideTWBExt"/>
          <w:b w:val="0"/>
          <w:noProof w:val="0"/>
        </w:rPr>
        <w:t>&lt;Amend&gt;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&lt;NumAm&gt;</w:t>
      </w:r>
      <w:r w:rsidRPr="00DD35EE">
        <w:rPr>
          <w:color w:val="000000" w:themeColor="text1"/>
        </w:rPr>
        <w:t>9</w:t>
      </w:r>
      <w:r w:rsidRPr="00DD35EE">
        <w:rPr>
          <w:rStyle w:val="HideTWBExt"/>
          <w:b w:val="0"/>
          <w:noProof w:val="0"/>
        </w:rPr>
        <w:t>&lt;/NumAm&gt;</w:t>
      </w:r>
    </w:p>
    <w:p w14:paraId="4719CE8D" w14:textId="77777777" w:rsidR="002630D0" w:rsidRPr="00DD35EE" w:rsidRDefault="002630D0" w:rsidP="002630D0">
      <w:pPr>
        <w:pStyle w:val="NormalBold12b"/>
        <w:keepNext/>
        <w:rPr>
          <w:color w:val="000000" w:themeColor="text1"/>
        </w:rPr>
      </w:pPr>
      <w:r w:rsidRPr="00DD35EE">
        <w:rPr>
          <w:rStyle w:val="HideTWBExt"/>
          <w:b w:val="0"/>
          <w:noProof w:val="0"/>
        </w:rPr>
        <w:t>&lt;DocAmend&gt;</w:t>
      </w:r>
      <w:r w:rsidRPr="00DD35EE">
        <w:rPr>
          <w:color w:val="000000" w:themeColor="text1"/>
        </w:rPr>
        <w:t>Проект на решение</w:t>
      </w:r>
      <w:r w:rsidRPr="00DD35EE">
        <w:rPr>
          <w:rStyle w:val="HideTWBExt"/>
          <w:b w:val="0"/>
          <w:noProof w:val="0"/>
        </w:rPr>
        <w:t>&lt;/DocAmend&gt;</w:t>
      </w:r>
    </w:p>
    <w:p w14:paraId="4415DB54" w14:textId="77777777" w:rsidR="002630D0" w:rsidRPr="00DD35EE" w:rsidRDefault="002630D0" w:rsidP="002C6C26">
      <w:pPr>
        <w:pStyle w:val="NormalBold"/>
        <w:keepNext/>
        <w:rPr>
          <w:color w:val="000000" w:themeColor="text1"/>
        </w:rPr>
      </w:pPr>
      <w:r w:rsidRPr="00DD35EE">
        <w:rPr>
          <w:rStyle w:val="HideTWBExt"/>
          <w:b w:val="0"/>
          <w:noProof w:val="0"/>
        </w:rPr>
        <w:t>&lt;Article&gt;</w:t>
      </w:r>
      <w:r w:rsidRPr="00DD35EE">
        <w:rPr>
          <w:color w:val="000000" w:themeColor="text1"/>
        </w:rPr>
        <w:t>Съображение 8 a (ново)</w:t>
      </w:r>
      <w:r w:rsidRPr="00DD35E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35EE" w:rsidRPr="00DD35EE" w14:paraId="34ED2D75" w14:textId="77777777" w:rsidTr="008A71D9">
        <w:trPr>
          <w:jc w:val="center"/>
        </w:trPr>
        <w:tc>
          <w:tcPr>
            <w:tcW w:w="9752" w:type="dxa"/>
            <w:gridSpan w:val="2"/>
          </w:tcPr>
          <w:p w14:paraId="158BF2C5" w14:textId="77777777" w:rsidR="002630D0" w:rsidRPr="00DD35EE" w:rsidRDefault="002630D0" w:rsidP="008A71D9">
            <w:pPr>
              <w:keepNext/>
              <w:rPr>
                <w:color w:val="000000" w:themeColor="text1"/>
              </w:rPr>
            </w:pPr>
          </w:p>
        </w:tc>
      </w:tr>
      <w:tr w:rsidR="00DD35EE" w:rsidRPr="00DD35EE" w14:paraId="52B00F00" w14:textId="77777777" w:rsidTr="008A71D9">
        <w:trPr>
          <w:jc w:val="center"/>
        </w:trPr>
        <w:tc>
          <w:tcPr>
            <w:tcW w:w="4876" w:type="dxa"/>
          </w:tcPr>
          <w:p w14:paraId="09F5BCB2" w14:textId="77777777" w:rsidR="002630D0" w:rsidRPr="00DD35EE" w:rsidRDefault="0061071D" w:rsidP="0061071D">
            <w:pPr>
              <w:pStyle w:val="ColumnHeading"/>
              <w:keepNext/>
              <w:rPr>
                <w:color w:val="000000" w:themeColor="text1"/>
              </w:rPr>
            </w:pPr>
            <w:r w:rsidRPr="00DD35EE">
              <w:rPr>
                <w:color w:val="000000" w:themeColor="text1"/>
              </w:rPr>
              <w:t>Проект на Европейската централна банка</w:t>
            </w:r>
          </w:p>
        </w:tc>
        <w:tc>
          <w:tcPr>
            <w:tcW w:w="4876" w:type="dxa"/>
          </w:tcPr>
          <w:p w14:paraId="3354AE50" w14:textId="77777777" w:rsidR="002630D0" w:rsidRPr="00DD35EE" w:rsidRDefault="002630D0" w:rsidP="008A71D9">
            <w:pPr>
              <w:pStyle w:val="ColumnHeading"/>
              <w:keepNext/>
              <w:rPr>
                <w:color w:val="000000" w:themeColor="text1"/>
              </w:rPr>
            </w:pPr>
            <w:r w:rsidRPr="00DD35EE">
              <w:rPr>
                <w:color w:val="000000" w:themeColor="text1"/>
              </w:rPr>
              <w:t>Изменение</w:t>
            </w:r>
          </w:p>
        </w:tc>
      </w:tr>
      <w:tr w:rsidR="00DD35EE" w:rsidRPr="00DD35EE" w14:paraId="506FB9CA" w14:textId="77777777" w:rsidTr="008A71D9">
        <w:trPr>
          <w:jc w:val="center"/>
        </w:trPr>
        <w:tc>
          <w:tcPr>
            <w:tcW w:w="4876" w:type="dxa"/>
          </w:tcPr>
          <w:p w14:paraId="473C47F8" w14:textId="77777777" w:rsidR="002630D0" w:rsidRPr="00DD35EE" w:rsidRDefault="002630D0" w:rsidP="008A71D9">
            <w:pPr>
              <w:pStyle w:val="Normal6"/>
              <w:rPr>
                <w:color w:val="000000" w:themeColor="text1"/>
              </w:rPr>
            </w:pPr>
          </w:p>
        </w:tc>
        <w:tc>
          <w:tcPr>
            <w:tcW w:w="4876" w:type="dxa"/>
          </w:tcPr>
          <w:p w14:paraId="6EA1CE2E" w14:textId="3B741367" w:rsidR="005E1589" w:rsidRPr="00DD35EE" w:rsidRDefault="00E66CB2" w:rsidP="009D2DB1">
            <w:pPr>
              <w:pStyle w:val="Normal6"/>
              <w:rPr>
                <w:color w:val="000000" w:themeColor="text1"/>
              </w:rPr>
            </w:pPr>
            <w:r w:rsidRPr="00DD35EE">
              <w:rPr>
                <w:b/>
                <w:bCs/>
                <w:i/>
                <w:iCs/>
                <w:color w:val="000000" w:themeColor="text1"/>
              </w:rPr>
              <w:t>(8a) Новите правомощия на ЕЦБ по отношение на клиринговите системи за финансови инструменти съгласно изменения член 22 от Устава на ЕСЦБ и на ЕЦБ ще се осъществяват успоредно с правомощията, осъществявани от другите институции, агенции и органи на Съюза въз основа на разпоредбите, отнасящи се до създаването или функционирането на вътрешния пазар, предвидени в част III от ДФЕС, включително такива, съдържащи се в актове, приети от Комисията или от Съвета по силата на възложените им правомощия. В този контекст, с цел да се гарантира, че се спазват съответните правомощия на всеки субект, и за предотвратяване на противоречиви правила и несъответствия между решенията, взети от различни институции, агенции и органи на Съюза, правомощията, предоставени съгласно изменения член 22 от Устава на ЕСЦБ и на ЕЦБ, следва да се упражняват при спазване на общата уредба за вътрешния пазар, установена от съзаконодателите, и по начин, който е в пълно съответствие с правните актове на Европейския парламент и на Съвета, както  и с мерките, приети по силата на тези актове.</w:t>
            </w:r>
          </w:p>
        </w:tc>
      </w:tr>
    </w:tbl>
    <w:p w14:paraId="0B02DC3E" w14:textId="77777777" w:rsidR="002630D0" w:rsidRPr="00DD35EE" w:rsidRDefault="002630D0" w:rsidP="002630D0">
      <w:pPr>
        <w:rPr>
          <w:rStyle w:val="HideTWBExt"/>
          <w:noProof w:val="0"/>
        </w:rPr>
      </w:pPr>
      <w:r w:rsidRPr="00DD35EE">
        <w:rPr>
          <w:rStyle w:val="HideTWBExt"/>
          <w:noProof w:val="0"/>
        </w:rPr>
        <w:lastRenderedPageBreak/>
        <w:t>&lt;/Amend&gt;</w:t>
      </w:r>
    </w:p>
    <w:p w14:paraId="40CC6E6E" w14:textId="7E2BF0F1" w:rsidR="00D23C9F" w:rsidRPr="00DD35EE" w:rsidRDefault="00D23C9F" w:rsidP="00D23C9F">
      <w:pPr>
        <w:pStyle w:val="AMNumberTabs"/>
        <w:keepNext/>
        <w:rPr>
          <w:color w:val="000000" w:themeColor="text1"/>
        </w:rPr>
      </w:pPr>
      <w:r w:rsidRPr="00DD35EE">
        <w:rPr>
          <w:rStyle w:val="HideTWBExt"/>
          <w:b w:val="0"/>
          <w:noProof w:val="0"/>
        </w:rPr>
        <w:t>&lt;Amend&gt;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&lt;NumAm&gt;</w:t>
      </w:r>
      <w:r w:rsidRPr="00DD35EE">
        <w:rPr>
          <w:color w:val="000000" w:themeColor="text1"/>
        </w:rPr>
        <w:t>10</w:t>
      </w:r>
      <w:r w:rsidRPr="00DD35EE">
        <w:rPr>
          <w:rStyle w:val="HideTWBExt"/>
          <w:b w:val="0"/>
          <w:noProof w:val="0"/>
        </w:rPr>
        <w:t>&lt;/NumAm&gt;</w:t>
      </w:r>
    </w:p>
    <w:p w14:paraId="7DB5559D" w14:textId="77777777" w:rsidR="00D23C9F" w:rsidRPr="00DD35EE" w:rsidRDefault="00D23C9F" w:rsidP="00D23C9F">
      <w:pPr>
        <w:pStyle w:val="NormalBold12b"/>
        <w:keepNext/>
        <w:rPr>
          <w:color w:val="000000" w:themeColor="text1"/>
        </w:rPr>
      </w:pPr>
      <w:r w:rsidRPr="00DD35EE">
        <w:rPr>
          <w:rStyle w:val="HideTWBExt"/>
          <w:b w:val="0"/>
          <w:noProof w:val="0"/>
        </w:rPr>
        <w:t>&lt;DocAmend&gt;</w:t>
      </w:r>
      <w:r w:rsidRPr="00DD35EE">
        <w:rPr>
          <w:color w:val="000000" w:themeColor="text1"/>
        </w:rPr>
        <w:t>Проект на решение</w:t>
      </w:r>
      <w:r w:rsidRPr="00DD35EE">
        <w:rPr>
          <w:rStyle w:val="HideTWBExt"/>
          <w:b w:val="0"/>
          <w:noProof w:val="0"/>
        </w:rPr>
        <w:t>&lt;/DocAmend&gt;</w:t>
      </w:r>
    </w:p>
    <w:p w14:paraId="30A25834" w14:textId="3C927A47" w:rsidR="00D23C9F" w:rsidRPr="00DD35EE" w:rsidRDefault="00D23C9F" w:rsidP="00D23C9F">
      <w:pPr>
        <w:pStyle w:val="NormalBold"/>
        <w:keepNext/>
        <w:rPr>
          <w:color w:val="000000" w:themeColor="text1"/>
        </w:rPr>
      </w:pPr>
      <w:r w:rsidRPr="00DD35EE">
        <w:rPr>
          <w:rStyle w:val="HideTWBExt"/>
          <w:b w:val="0"/>
          <w:noProof w:val="0"/>
        </w:rPr>
        <w:t>&lt;Article&gt;</w:t>
      </w:r>
      <w:r w:rsidRPr="00DD35EE">
        <w:rPr>
          <w:color w:val="000000" w:themeColor="text1"/>
        </w:rPr>
        <w:t>Съображение 8 б (ново)</w:t>
      </w:r>
      <w:r w:rsidRPr="00DD35E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35EE" w:rsidRPr="00DD35EE" w14:paraId="33F6C90A" w14:textId="77777777" w:rsidTr="0089192A">
        <w:trPr>
          <w:jc w:val="center"/>
        </w:trPr>
        <w:tc>
          <w:tcPr>
            <w:tcW w:w="9752" w:type="dxa"/>
            <w:gridSpan w:val="2"/>
          </w:tcPr>
          <w:p w14:paraId="5F1E9995" w14:textId="77777777" w:rsidR="00D23C9F" w:rsidRPr="00DD35EE" w:rsidRDefault="00D23C9F" w:rsidP="0089192A">
            <w:pPr>
              <w:keepNext/>
              <w:rPr>
                <w:color w:val="000000" w:themeColor="text1"/>
              </w:rPr>
            </w:pPr>
          </w:p>
        </w:tc>
      </w:tr>
      <w:tr w:rsidR="00DD35EE" w:rsidRPr="00DD35EE" w14:paraId="7FDE2ADD" w14:textId="77777777" w:rsidTr="0089192A">
        <w:trPr>
          <w:jc w:val="center"/>
        </w:trPr>
        <w:tc>
          <w:tcPr>
            <w:tcW w:w="4876" w:type="dxa"/>
          </w:tcPr>
          <w:p w14:paraId="1D8B4B4B" w14:textId="77777777" w:rsidR="00D23C9F" w:rsidRPr="00DD35EE" w:rsidRDefault="00D23C9F" w:rsidP="0089192A">
            <w:pPr>
              <w:pStyle w:val="ColumnHeading"/>
              <w:keepNext/>
              <w:rPr>
                <w:color w:val="000000" w:themeColor="text1"/>
              </w:rPr>
            </w:pPr>
            <w:r w:rsidRPr="00DD35EE">
              <w:rPr>
                <w:color w:val="000000" w:themeColor="text1"/>
              </w:rPr>
              <w:t>Проект на Европейската централна банка</w:t>
            </w:r>
          </w:p>
        </w:tc>
        <w:tc>
          <w:tcPr>
            <w:tcW w:w="4876" w:type="dxa"/>
          </w:tcPr>
          <w:p w14:paraId="03D43ABE" w14:textId="77777777" w:rsidR="00D23C9F" w:rsidRPr="00DD35EE" w:rsidRDefault="00D23C9F" w:rsidP="0089192A">
            <w:pPr>
              <w:pStyle w:val="ColumnHeading"/>
              <w:keepNext/>
              <w:rPr>
                <w:color w:val="000000" w:themeColor="text1"/>
              </w:rPr>
            </w:pPr>
            <w:r w:rsidRPr="00DD35EE">
              <w:rPr>
                <w:color w:val="000000" w:themeColor="text1"/>
              </w:rPr>
              <w:t>Изменение</w:t>
            </w:r>
          </w:p>
        </w:tc>
      </w:tr>
      <w:tr w:rsidR="00DD35EE" w:rsidRPr="00DD35EE" w14:paraId="19BE5EFA" w14:textId="77777777" w:rsidTr="0089192A">
        <w:trPr>
          <w:jc w:val="center"/>
        </w:trPr>
        <w:tc>
          <w:tcPr>
            <w:tcW w:w="4876" w:type="dxa"/>
          </w:tcPr>
          <w:p w14:paraId="091F680F" w14:textId="77777777" w:rsidR="00D23C9F" w:rsidRPr="00DD35EE" w:rsidRDefault="00D23C9F" w:rsidP="0089192A">
            <w:pPr>
              <w:pStyle w:val="Normal6"/>
              <w:rPr>
                <w:color w:val="000000" w:themeColor="text1"/>
              </w:rPr>
            </w:pPr>
          </w:p>
        </w:tc>
        <w:tc>
          <w:tcPr>
            <w:tcW w:w="4876" w:type="dxa"/>
          </w:tcPr>
          <w:p w14:paraId="14E7C006" w14:textId="11FA70A9" w:rsidR="00D23C9F" w:rsidRPr="00DD35EE" w:rsidRDefault="00D23C9F" w:rsidP="004F4025">
            <w:pPr>
              <w:pStyle w:val="Normal6"/>
              <w:rPr>
                <w:color w:val="000000" w:themeColor="text1"/>
              </w:rPr>
            </w:pPr>
            <w:r w:rsidRPr="00DD35EE">
              <w:rPr>
                <w:b/>
                <w:bCs/>
                <w:i/>
                <w:iCs/>
                <w:color w:val="000000" w:themeColor="text1"/>
              </w:rPr>
              <w:t xml:space="preserve">(8б) </w:t>
            </w:r>
            <w:r w:rsidRPr="00DD35EE">
              <w:rPr>
                <w:b/>
                <w:i/>
                <w:color w:val="000000" w:themeColor="text1"/>
                <w:szCs w:val="24"/>
              </w:rPr>
              <w:t>ЕЦБ следва да осигури пълна прозрачност и отчетност пред Европейския парламент и Съвета във връзка с изпълнението на нейните правомощия и задачи по член 22 от нейния устав. По-специално, тя следва редовно да информира Европейския парламент и Съвета за всички решения и регламенти, приети въз основа на посочения член. За тази цел тя следва да посвети специална глава от годишния си доклад на упражняването на своите правомощия съгласно член 22 от своя устав и следва да публикува на своя уебсайт всички решения, препоръки и становища, свързани с регламентите, които приема въз основа на посочения член.</w:t>
            </w:r>
          </w:p>
        </w:tc>
      </w:tr>
    </w:tbl>
    <w:p w14:paraId="374E6A86" w14:textId="77777777" w:rsidR="00D23C9F" w:rsidRPr="00DD35EE" w:rsidRDefault="00D23C9F" w:rsidP="00D23C9F">
      <w:pPr>
        <w:rPr>
          <w:rStyle w:val="HideTWBExt"/>
          <w:noProof w:val="0"/>
        </w:rPr>
      </w:pPr>
      <w:r w:rsidRPr="00DD35EE">
        <w:rPr>
          <w:rStyle w:val="HideTWBExt"/>
          <w:noProof w:val="0"/>
        </w:rPr>
        <w:t>&lt;/Amend&gt;</w:t>
      </w:r>
    </w:p>
    <w:p w14:paraId="07C7FF22" w14:textId="4FC0C0AF" w:rsidR="002630D0" w:rsidRPr="00DD35EE" w:rsidRDefault="002630D0" w:rsidP="002630D0">
      <w:pPr>
        <w:pStyle w:val="AMNumberTabs"/>
        <w:keepNext/>
        <w:rPr>
          <w:color w:val="000000" w:themeColor="text1"/>
        </w:rPr>
      </w:pPr>
      <w:r w:rsidRPr="00DD35EE">
        <w:rPr>
          <w:rStyle w:val="HideTWBExt"/>
          <w:b w:val="0"/>
          <w:noProof w:val="0"/>
        </w:rPr>
        <w:t>&lt;Amend&gt;</w:t>
      </w:r>
      <w:r w:rsidRPr="00DD35EE">
        <w:rPr>
          <w:color w:val="000000" w:themeColor="text1"/>
        </w:rPr>
        <w:t>Изменение</w:t>
      </w:r>
      <w:r w:rsidRPr="00DD35EE">
        <w:rPr>
          <w:color w:val="000000" w:themeColor="text1"/>
        </w:rPr>
        <w:tab/>
      </w:r>
      <w:r w:rsidRPr="00DD35EE">
        <w:rPr>
          <w:color w:val="000000" w:themeColor="text1"/>
        </w:rPr>
        <w:tab/>
      </w:r>
      <w:r w:rsidRPr="00DD35EE">
        <w:rPr>
          <w:rStyle w:val="HideTWBExt"/>
          <w:b w:val="0"/>
          <w:noProof w:val="0"/>
        </w:rPr>
        <w:t>&lt;NumAm&gt;</w:t>
      </w:r>
      <w:r w:rsidRPr="00DD35EE">
        <w:rPr>
          <w:color w:val="000000" w:themeColor="text1"/>
        </w:rPr>
        <w:t>11</w:t>
      </w:r>
      <w:r w:rsidRPr="00DD35EE">
        <w:rPr>
          <w:rStyle w:val="HideTWBExt"/>
          <w:b w:val="0"/>
          <w:noProof w:val="0"/>
        </w:rPr>
        <w:t>&lt;/NumAm&gt;</w:t>
      </w:r>
    </w:p>
    <w:p w14:paraId="1E936F34" w14:textId="77777777" w:rsidR="002630D0" w:rsidRPr="00DD35EE" w:rsidRDefault="002630D0" w:rsidP="002630D0">
      <w:pPr>
        <w:pStyle w:val="NormalBold12b"/>
        <w:keepNext/>
        <w:rPr>
          <w:color w:val="000000" w:themeColor="text1"/>
        </w:rPr>
      </w:pPr>
      <w:r w:rsidRPr="00DD35EE">
        <w:rPr>
          <w:rStyle w:val="HideTWBExt"/>
          <w:b w:val="0"/>
          <w:noProof w:val="0"/>
        </w:rPr>
        <w:t>&lt;DocAmend&gt;</w:t>
      </w:r>
      <w:r w:rsidRPr="00DD35EE">
        <w:rPr>
          <w:color w:val="000000" w:themeColor="text1"/>
        </w:rPr>
        <w:t>Проект на решение</w:t>
      </w:r>
      <w:r w:rsidRPr="00DD35EE">
        <w:rPr>
          <w:rStyle w:val="HideTWBExt"/>
          <w:b w:val="0"/>
          <w:noProof w:val="0"/>
        </w:rPr>
        <w:t>&lt;/DocAmend&gt;</w:t>
      </w:r>
    </w:p>
    <w:p w14:paraId="191DEC0B" w14:textId="77777777" w:rsidR="002630D0" w:rsidRPr="00DD35EE" w:rsidRDefault="002630D0" w:rsidP="002630D0">
      <w:pPr>
        <w:pStyle w:val="NormalBold"/>
        <w:keepNext/>
        <w:rPr>
          <w:color w:val="000000" w:themeColor="text1"/>
        </w:rPr>
      </w:pPr>
      <w:r w:rsidRPr="00DD35EE">
        <w:rPr>
          <w:rStyle w:val="HideTWBExt"/>
          <w:b w:val="0"/>
          <w:noProof w:val="0"/>
        </w:rPr>
        <w:t>&lt;Article&gt;</w:t>
      </w:r>
      <w:r w:rsidRPr="00DD35EE">
        <w:rPr>
          <w:color w:val="000000" w:themeColor="text1"/>
        </w:rPr>
        <w:t>Член 1</w:t>
      </w:r>
      <w:r w:rsidRPr="00DD35EE">
        <w:rPr>
          <w:rStyle w:val="HideTWBExt"/>
          <w:b w:val="0"/>
          <w:noProof w:val="0"/>
        </w:rPr>
        <w:t>&lt;/Article&gt;</w:t>
      </w:r>
    </w:p>
    <w:p w14:paraId="2BF526C8" w14:textId="18C59D97" w:rsidR="002630D0" w:rsidRPr="00DD35EE" w:rsidRDefault="002630D0" w:rsidP="002630D0">
      <w:pPr>
        <w:keepNext/>
        <w:rPr>
          <w:color w:val="000000" w:themeColor="text1"/>
        </w:rPr>
      </w:pPr>
      <w:r w:rsidRPr="00DD35EE">
        <w:rPr>
          <w:rStyle w:val="HideTWBExt"/>
          <w:noProof w:val="0"/>
        </w:rPr>
        <w:t>&lt;DocAmend2&gt;</w:t>
      </w:r>
      <w:r w:rsidRPr="00DD35EE">
        <w:rPr>
          <w:color w:val="000000" w:themeColor="text1"/>
          <w:szCs w:val="24"/>
        </w:rPr>
        <w:t>Устав на Европейската система на централните банки и на Европейската централна банка</w:t>
      </w:r>
      <w:r w:rsidRPr="00DD35EE">
        <w:rPr>
          <w:rStyle w:val="HideTWBExt"/>
          <w:noProof w:val="0"/>
        </w:rPr>
        <w:t>&lt;/DocAmend2&gt;</w:t>
      </w:r>
    </w:p>
    <w:p w14:paraId="76DD96C0" w14:textId="703B5B4E" w:rsidR="002630D0" w:rsidRPr="00DD35EE" w:rsidRDefault="002630D0" w:rsidP="002630D0">
      <w:pPr>
        <w:rPr>
          <w:color w:val="000000" w:themeColor="text1"/>
        </w:rPr>
      </w:pPr>
      <w:r w:rsidRPr="00DD35EE">
        <w:rPr>
          <w:rStyle w:val="HideTWBExt"/>
          <w:noProof w:val="0"/>
        </w:rPr>
        <w:t>&lt;Article2&gt;</w:t>
      </w:r>
      <w:r w:rsidRPr="00DD35EE">
        <w:rPr>
          <w:color w:val="000000" w:themeColor="text1"/>
        </w:rPr>
        <w:t>Член 22</w:t>
      </w:r>
      <w:r w:rsidRPr="00DD35E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35EE" w:rsidRPr="00DD35EE" w14:paraId="03548DCE" w14:textId="77777777" w:rsidTr="008A71D9">
        <w:trPr>
          <w:jc w:val="center"/>
        </w:trPr>
        <w:tc>
          <w:tcPr>
            <w:tcW w:w="9752" w:type="dxa"/>
            <w:gridSpan w:val="2"/>
          </w:tcPr>
          <w:p w14:paraId="2DED4A9F" w14:textId="77777777" w:rsidR="002630D0" w:rsidRPr="00DD35EE" w:rsidRDefault="002630D0" w:rsidP="008A71D9">
            <w:pPr>
              <w:keepNext/>
              <w:rPr>
                <w:color w:val="000000" w:themeColor="text1"/>
              </w:rPr>
            </w:pPr>
          </w:p>
        </w:tc>
      </w:tr>
      <w:tr w:rsidR="00DD35EE" w:rsidRPr="00DD35EE" w14:paraId="3BCAEBBF" w14:textId="77777777" w:rsidTr="008A71D9">
        <w:trPr>
          <w:jc w:val="center"/>
        </w:trPr>
        <w:tc>
          <w:tcPr>
            <w:tcW w:w="4876" w:type="dxa"/>
          </w:tcPr>
          <w:p w14:paraId="5DD0DBB8" w14:textId="77777777" w:rsidR="002630D0" w:rsidRPr="00DD35EE" w:rsidRDefault="0061071D" w:rsidP="0061071D">
            <w:pPr>
              <w:pStyle w:val="ColumnHeading"/>
              <w:keepNext/>
              <w:rPr>
                <w:color w:val="000000" w:themeColor="text1"/>
              </w:rPr>
            </w:pPr>
            <w:r w:rsidRPr="00DD35EE">
              <w:rPr>
                <w:color w:val="000000" w:themeColor="text1"/>
              </w:rPr>
              <w:t>Проект на Европейската централна банка</w:t>
            </w:r>
          </w:p>
        </w:tc>
        <w:tc>
          <w:tcPr>
            <w:tcW w:w="4876" w:type="dxa"/>
          </w:tcPr>
          <w:p w14:paraId="308A116A" w14:textId="77777777" w:rsidR="002630D0" w:rsidRPr="00DD35EE" w:rsidRDefault="002630D0" w:rsidP="008A71D9">
            <w:pPr>
              <w:pStyle w:val="ColumnHeading"/>
              <w:keepNext/>
              <w:rPr>
                <w:color w:val="000000" w:themeColor="text1"/>
              </w:rPr>
            </w:pPr>
            <w:r w:rsidRPr="00DD35EE">
              <w:rPr>
                <w:color w:val="000000" w:themeColor="text1"/>
              </w:rPr>
              <w:t>Изменение</w:t>
            </w:r>
          </w:p>
        </w:tc>
      </w:tr>
      <w:tr w:rsidR="00DD35EE" w:rsidRPr="00DD35EE" w14:paraId="2BE34C5F" w14:textId="77777777" w:rsidTr="008A71D9">
        <w:trPr>
          <w:jc w:val="center"/>
        </w:trPr>
        <w:tc>
          <w:tcPr>
            <w:tcW w:w="4876" w:type="dxa"/>
          </w:tcPr>
          <w:p w14:paraId="35AE3D9E" w14:textId="77777777" w:rsidR="006A79C3" w:rsidRPr="00DD35EE" w:rsidRDefault="006A79C3" w:rsidP="00CB5797">
            <w:pPr>
              <w:pStyle w:val="Normal6"/>
              <w:rPr>
                <w:color w:val="000000" w:themeColor="text1"/>
              </w:rPr>
            </w:pPr>
            <w:r w:rsidRPr="00DD35EE">
              <w:rPr>
                <w:color w:val="000000" w:themeColor="text1"/>
              </w:rPr>
              <w:t>Член 22</w:t>
            </w:r>
          </w:p>
        </w:tc>
        <w:tc>
          <w:tcPr>
            <w:tcW w:w="4876" w:type="dxa"/>
          </w:tcPr>
          <w:p w14:paraId="787E99E8" w14:textId="77777777" w:rsidR="006A79C3" w:rsidRPr="00DD35EE" w:rsidRDefault="006A79C3" w:rsidP="00CB5797">
            <w:pPr>
              <w:pStyle w:val="Normal6"/>
              <w:rPr>
                <w:color w:val="000000" w:themeColor="text1"/>
              </w:rPr>
            </w:pPr>
            <w:r w:rsidRPr="00DD35EE">
              <w:rPr>
                <w:color w:val="000000" w:themeColor="text1"/>
              </w:rPr>
              <w:t>Член 22</w:t>
            </w:r>
          </w:p>
        </w:tc>
      </w:tr>
      <w:tr w:rsidR="00DD35EE" w:rsidRPr="00DD35EE" w14:paraId="1F90078A" w14:textId="77777777" w:rsidTr="008A71D9">
        <w:trPr>
          <w:jc w:val="center"/>
        </w:trPr>
        <w:tc>
          <w:tcPr>
            <w:tcW w:w="4876" w:type="dxa"/>
          </w:tcPr>
          <w:p w14:paraId="49F5B25A" w14:textId="77777777" w:rsidR="006A79C3" w:rsidRPr="00DD35EE" w:rsidRDefault="006A79C3" w:rsidP="00CB5797">
            <w:pPr>
              <w:pStyle w:val="Normal6"/>
              <w:rPr>
                <w:color w:val="000000" w:themeColor="text1"/>
              </w:rPr>
            </w:pPr>
            <w:r w:rsidRPr="00DD35EE">
              <w:rPr>
                <w:color w:val="000000" w:themeColor="text1"/>
              </w:rPr>
              <w:t>Клирингови системи и платежни системи</w:t>
            </w:r>
          </w:p>
        </w:tc>
        <w:tc>
          <w:tcPr>
            <w:tcW w:w="4876" w:type="dxa"/>
          </w:tcPr>
          <w:p w14:paraId="71C7F85D" w14:textId="77777777" w:rsidR="006A79C3" w:rsidRPr="00DD35EE" w:rsidRDefault="006A79C3" w:rsidP="00CB5797">
            <w:pPr>
              <w:pStyle w:val="Normal6"/>
              <w:rPr>
                <w:color w:val="000000" w:themeColor="text1"/>
              </w:rPr>
            </w:pPr>
            <w:r w:rsidRPr="00DD35EE">
              <w:rPr>
                <w:color w:val="000000" w:themeColor="text1"/>
              </w:rPr>
              <w:t>Клирингови системи и платежни системи</w:t>
            </w:r>
          </w:p>
        </w:tc>
      </w:tr>
      <w:tr w:rsidR="00DD35EE" w:rsidRPr="00DD35EE" w14:paraId="463E9437" w14:textId="77777777" w:rsidTr="0027431C">
        <w:trPr>
          <w:trHeight w:val="80"/>
          <w:jc w:val="center"/>
        </w:trPr>
        <w:tc>
          <w:tcPr>
            <w:tcW w:w="4876" w:type="dxa"/>
          </w:tcPr>
          <w:p w14:paraId="737E076E" w14:textId="77777777" w:rsidR="006A79C3" w:rsidRPr="00DD35EE" w:rsidRDefault="006A79C3" w:rsidP="006A79C3">
            <w:pPr>
              <w:pStyle w:val="Normal6"/>
              <w:rPr>
                <w:b/>
                <w:bCs/>
                <w:color w:val="000000" w:themeColor="text1"/>
                <w:szCs w:val="24"/>
              </w:rPr>
            </w:pPr>
            <w:r w:rsidRPr="00DD35EE">
              <w:rPr>
                <w:color w:val="000000" w:themeColor="text1"/>
                <w:szCs w:val="24"/>
              </w:rPr>
              <w:t>ЕЦБ и националните централни банки могат да осигурят улеснения, а ЕЦБ да приеме регламенти, гарантиращи ефикасни и стабилни клирингови и платежни системи</w:t>
            </w:r>
            <w:r w:rsidRPr="00DD35EE">
              <w:rPr>
                <w:b/>
                <w:i/>
                <w:color w:val="000000" w:themeColor="text1"/>
                <w:szCs w:val="24"/>
              </w:rPr>
              <w:t>, както и клирингови системи за финансови инструменти,</w:t>
            </w:r>
            <w:r w:rsidRPr="00DD35EE">
              <w:rPr>
                <w:color w:val="000000" w:themeColor="text1"/>
                <w:szCs w:val="24"/>
              </w:rPr>
              <w:t xml:space="preserve"> </w:t>
            </w:r>
            <w:r w:rsidRPr="00DD35EE">
              <w:rPr>
                <w:color w:val="000000" w:themeColor="text1"/>
                <w:szCs w:val="24"/>
              </w:rPr>
              <w:lastRenderedPageBreak/>
              <w:t xml:space="preserve">в рамките на Съюза и с </w:t>
            </w:r>
            <w:r w:rsidRPr="00DD35EE">
              <w:rPr>
                <w:b/>
                <w:i/>
                <w:color w:val="000000" w:themeColor="text1"/>
                <w:szCs w:val="24"/>
              </w:rPr>
              <w:t>други страни</w:t>
            </w:r>
            <w:r w:rsidRPr="00DD35EE">
              <w:rPr>
                <w:color w:val="000000" w:themeColor="text1"/>
                <w:szCs w:val="24"/>
              </w:rPr>
              <w:t>.</w:t>
            </w:r>
          </w:p>
        </w:tc>
        <w:tc>
          <w:tcPr>
            <w:tcW w:w="4876" w:type="dxa"/>
          </w:tcPr>
          <w:p w14:paraId="44F0000C" w14:textId="30ACE9BE" w:rsidR="006A79C3" w:rsidRPr="00DD35EE" w:rsidRDefault="006A79C3" w:rsidP="000F3025">
            <w:pPr>
              <w:pStyle w:val="Normal6"/>
              <w:rPr>
                <w:b/>
                <w:bCs/>
                <w:color w:val="000000" w:themeColor="text1"/>
                <w:szCs w:val="24"/>
              </w:rPr>
            </w:pPr>
            <w:r w:rsidRPr="00DD35EE">
              <w:rPr>
                <w:color w:val="000000" w:themeColor="text1"/>
                <w:szCs w:val="24"/>
              </w:rPr>
              <w:lastRenderedPageBreak/>
              <w:t xml:space="preserve">ЕЦБ и националните централни банки могат да осигурят улеснения, а ЕЦБ да приеме регламенти, гарантиращи ефикасни и стабилни клирингови и платежни системи в рамките на Съюза и с </w:t>
            </w:r>
            <w:r w:rsidRPr="00DD35EE">
              <w:rPr>
                <w:b/>
                <w:i/>
                <w:color w:val="000000" w:themeColor="text1"/>
                <w:szCs w:val="24"/>
              </w:rPr>
              <w:t>трети държави</w:t>
            </w:r>
            <w:r w:rsidRPr="00DD35EE">
              <w:rPr>
                <w:color w:val="000000" w:themeColor="text1"/>
                <w:szCs w:val="24"/>
              </w:rPr>
              <w:t xml:space="preserve">. </w:t>
            </w:r>
          </w:p>
        </w:tc>
      </w:tr>
      <w:tr w:rsidR="00DD35EE" w:rsidRPr="00DD35EE" w14:paraId="6FBC21EE" w14:textId="77777777" w:rsidTr="008A71D9">
        <w:trPr>
          <w:jc w:val="center"/>
        </w:trPr>
        <w:tc>
          <w:tcPr>
            <w:tcW w:w="4876" w:type="dxa"/>
          </w:tcPr>
          <w:p w14:paraId="69C8E33C" w14:textId="77777777" w:rsidR="002C6C26" w:rsidRPr="00DD35EE" w:rsidRDefault="002C6C26" w:rsidP="008A71D9">
            <w:pPr>
              <w:pStyle w:val="Normal6"/>
              <w:rPr>
                <w:color w:val="000000" w:themeColor="text1"/>
              </w:rPr>
            </w:pPr>
          </w:p>
        </w:tc>
        <w:tc>
          <w:tcPr>
            <w:tcW w:w="4876" w:type="dxa"/>
          </w:tcPr>
          <w:p w14:paraId="5AC26C28" w14:textId="7F20787E" w:rsidR="00C7331A" w:rsidRPr="00DD35EE" w:rsidRDefault="007D7405" w:rsidP="002D185D">
            <w:pPr>
              <w:pStyle w:val="Normal6"/>
              <w:rPr>
                <w:b/>
                <w:bCs/>
                <w:i/>
                <w:iCs/>
                <w:color w:val="000000" w:themeColor="text1"/>
              </w:rPr>
            </w:pPr>
            <w:r w:rsidRPr="00DD35EE">
              <w:rPr>
                <w:b/>
                <w:bCs/>
                <w:i/>
                <w:iCs/>
                <w:color w:val="000000" w:themeColor="text1"/>
              </w:rPr>
              <w:t>За постигането на целите на ЕСЦБ и за осъществяването на нейните основни задачи, ЕЦБ може да приеме регламенти относно клиринговите системи за финансови инструменти в рамките на Съюза и с трети държави, при надлежно спазване на правните актове на Европейския парламент и на Съвета и на мерките, приети по силата на тези актове, и по начин, който е в пълно съответствие с тези актове и мерки.</w:t>
            </w:r>
          </w:p>
        </w:tc>
      </w:tr>
    </w:tbl>
    <w:p w14:paraId="71348CBF" w14:textId="77777777" w:rsidR="002630D0" w:rsidRPr="00DD35EE" w:rsidRDefault="002630D0" w:rsidP="002630D0">
      <w:pPr>
        <w:rPr>
          <w:color w:val="000000" w:themeColor="text1"/>
        </w:rPr>
      </w:pPr>
      <w:r w:rsidRPr="00DD35EE">
        <w:rPr>
          <w:rStyle w:val="HideTWBExt"/>
          <w:noProof w:val="0"/>
        </w:rPr>
        <w:t>&lt;/Amend&gt;</w:t>
      </w:r>
    </w:p>
    <w:p w14:paraId="08086E08" w14:textId="77777777" w:rsidR="002669B6" w:rsidRPr="00DD35EE" w:rsidRDefault="002669B6" w:rsidP="002669B6">
      <w:pPr>
        <w:rPr>
          <w:color w:val="000000" w:themeColor="text1"/>
        </w:rPr>
      </w:pPr>
      <w:r w:rsidRPr="00DD35EE">
        <w:rPr>
          <w:rStyle w:val="HideTWBExt"/>
          <w:noProof w:val="0"/>
        </w:rPr>
        <w:t>&lt;/RepeatBlock-Amend&gt;</w:t>
      </w:r>
    </w:p>
    <w:p w14:paraId="7315133F" w14:textId="1057EBE4" w:rsidR="00BA33B9" w:rsidRPr="00DD35EE" w:rsidRDefault="00BF2FBA" w:rsidP="00BA33B9">
      <w:pPr>
        <w:pStyle w:val="PageHeading"/>
        <w:rPr>
          <w:color w:val="000000" w:themeColor="text1"/>
        </w:rPr>
      </w:pPr>
      <w:r w:rsidRPr="00DD35EE">
        <w:rPr>
          <w:color w:val="000000" w:themeColor="text1"/>
        </w:rPr>
        <w:br w:type="page"/>
      </w:r>
      <w:bookmarkStart w:id="2" w:name="_Toc517979869"/>
      <w:r w:rsidRPr="00DD35EE">
        <w:rPr>
          <w:color w:val="000000" w:themeColor="text1"/>
        </w:rPr>
        <w:lastRenderedPageBreak/>
        <w:t>ИЗЛОЖЕНИЕ НА МОТИВИТЕ</w:t>
      </w:r>
      <w:bookmarkEnd w:id="2"/>
    </w:p>
    <w:p w14:paraId="0A9043F0" w14:textId="77777777" w:rsidR="00BA33B9" w:rsidRPr="00DD35EE" w:rsidRDefault="00BA33B9" w:rsidP="00BA33B9">
      <w:pPr>
        <w:rPr>
          <w:color w:val="000000" w:themeColor="text1"/>
        </w:rPr>
      </w:pPr>
    </w:p>
    <w:p w14:paraId="5B8AFEF7" w14:textId="77777777" w:rsidR="00BA33B9" w:rsidRPr="00DD35EE" w:rsidRDefault="00BA33B9" w:rsidP="00BA33B9">
      <w:pPr>
        <w:rPr>
          <w:color w:val="000000" w:themeColor="text1"/>
        </w:rPr>
      </w:pPr>
      <w:r w:rsidRPr="00DD35EE">
        <w:rPr>
          <w:color w:val="000000" w:themeColor="text1"/>
        </w:rPr>
        <w:t xml:space="preserve">През 2015 г. по дело T 496/11, Обединеното кралство срещу ЕЦБ, Съдът на Европейския съюз постанови, че формулировката на член 22 от Устава на Европейската система на централните банки и на Европейската централна банка, който предоставя на ЕЦБ регулаторни правомощия по отношение на „клирингови и платежни системи“, не може да се тълкува като даващ на ЕЦБ регулаторни правомощия по отношение на централни контрагенти (ЦК). </w:t>
      </w:r>
    </w:p>
    <w:p w14:paraId="7E642D15" w14:textId="77777777" w:rsidR="00BA33B9" w:rsidRPr="00DD35EE" w:rsidRDefault="00BA33B9" w:rsidP="00BA33B9">
      <w:pPr>
        <w:rPr>
          <w:color w:val="000000" w:themeColor="text1"/>
        </w:rPr>
      </w:pPr>
    </w:p>
    <w:p w14:paraId="64227949" w14:textId="77777777" w:rsidR="00BA33B9" w:rsidRPr="00DD35EE" w:rsidRDefault="00BA33B9" w:rsidP="00BA33B9">
      <w:pPr>
        <w:rPr>
          <w:color w:val="000000" w:themeColor="text1"/>
        </w:rPr>
      </w:pPr>
      <w:r w:rsidRPr="00DD35EE">
        <w:rPr>
          <w:color w:val="000000" w:themeColor="text1"/>
        </w:rPr>
        <w:t xml:space="preserve">Изменението, предложено на 22 юни 2017 г. от ЕЦБ, има за цел да измени Устава с цел привеждане на „клиринговите системи за финансови инструменти“, с други думи, централните контрагенти (ЦК), в обхвата на регулаторните правомощия съгласно член 22 от Устава.  </w:t>
      </w:r>
    </w:p>
    <w:p w14:paraId="1993CCB3" w14:textId="77777777" w:rsidR="00BA33B9" w:rsidRPr="00DD35EE" w:rsidRDefault="00BA33B9" w:rsidP="00BA33B9">
      <w:pPr>
        <w:rPr>
          <w:color w:val="000000" w:themeColor="text1"/>
        </w:rPr>
      </w:pPr>
    </w:p>
    <w:p w14:paraId="5620A713" w14:textId="77777777" w:rsidR="00BA33B9" w:rsidRPr="00DD35EE" w:rsidRDefault="00BA33B9" w:rsidP="00BA33B9">
      <w:pPr>
        <w:rPr>
          <w:color w:val="000000" w:themeColor="text1"/>
        </w:rPr>
      </w:pPr>
      <w:r w:rsidRPr="00DD35EE">
        <w:rPr>
          <w:color w:val="000000" w:themeColor="text1"/>
        </w:rPr>
        <w:t xml:space="preserve">Това би дало възможност на Евросистемата да поеме правомощията, които ще ѝ бъдат предоставени в качеството ѝ на централна банка, емитираща евро, съгласно предложението на Комисията за изменение на Регламента за европейската пазарна инфраструктура по отношение на надзора на ЦК, представено на 13 юни 2017 г.  </w:t>
      </w:r>
    </w:p>
    <w:p w14:paraId="3DB658A6" w14:textId="77777777" w:rsidR="00BA33B9" w:rsidRPr="00DD35EE" w:rsidRDefault="00BA33B9" w:rsidP="00BA33B9">
      <w:pPr>
        <w:rPr>
          <w:color w:val="000000" w:themeColor="text1"/>
        </w:rPr>
      </w:pPr>
    </w:p>
    <w:p w14:paraId="17739C7E" w14:textId="77777777" w:rsidR="00BA33B9" w:rsidRPr="00DD35EE" w:rsidRDefault="00BA33B9" w:rsidP="00BA33B9">
      <w:pPr>
        <w:rPr>
          <w:color w:val="000000" w:themeColor="text1"/>
        </w:rPr>
      </w:pPr>
      <w:r w:rsidRPr="00DD35EE">
        <w:rPr>
          <w:color w:val="000000" w:themeColor="text1"/>
        </w:rPr>
        <w:t xml:space="preserve">Докладчиците приветстват предложението за промяна на Устава. Те считат това за важна стъпка към създаването на ефективна система за надзор на ЦК в Съюза, която да включва подходяща роля за централните банки, емитиращи тези валути на клиринг от съответните ЦК. </w:t>
      </w:r>
    </w:p>
    <w:p w14:paraId="49474C7D" w14:textId="77777777" w:rsidR="00BA33B9" w:rsidRPr="00DD35EE" w:rsidRDefault="00BA33B9" w:rsidP="00BA33B9">
      <w:pPr>
        <w:rPr>
          <w:color w:val="000000" w:themeColor="text1"/>
        </w:rPr>
      </w:pPr>
    </w:p>
    <w:p w14:paraId="4F4E3286" w14:textId="77777777" w:rsidR="00BA33B9" w:rsidRPr="00DD35EE" w:rsidRDefault="00BA33B9" w:rsidP="00BA33B9">
      <w:pPr>
        <w:rPr>
          <w:color w:val="000000" w:themeColor="text1"/>
        </w:rPr>
      </w:pPr>
      <w:r w:rsidRPr="00DD35EE">
        <w:rPr>
          <w:color w:val="000000" w:themeColor="text1"/>
        </w:rPr>
        <w:t>Докладчиците обаче разбират необходимостта от спазване на настоящото разпределение на правомощията по силата на действащия Договор за функционирането на Европейския съюз, при което други институции, агенции и органи на Съюза имат правомощия за установяване на общата уредба за ЦК. Новите правомощия на ЕЦБ съгласно изменения член 22 от нейния устав ще взаимодействат с правомощията на други институции. Следователно е необходимо да се определи ясен принцип на спазване на правната рамка, установена от другите институции на ЕС, не на последно място от съзаконодателите, чрез актове, приети от ЕЦБ съгласно изменения член 22 от устава ѝ.</w:t>
      </w:r>
    </w:p>
    <w:p w14:paraId="05F513BA" w14:textId="77777777" w:rsidR="00BA33B9" w:rsidRPr="00DD35EE" w:rsidRDefault="00BA33B9" w:rsidP="00BA33B9">
      <w:pPr>
        <w:rPr>
          <w:color w:val="000000" w:themeColor="text1"/>
        </w:rPr>
      </w:pPr>
    </w:p>
    <w:p w14:paraId="26028044" w14:textId="0DA9922E" w:rsidR="00C80A53" w:rsidRPr="00DD35EE" w:rsidRDefault="00BA33B9" w:rsidP="00C80A53">
      <w:pPr>
        <w:rPr>
          <w:color w:val="000000" w:themeColor="text1"/>
        </w:rPr>
      </w:pPr>
      <w:r w:rsidRPr="00DD35EE">
        <w:rPr>
          <w:color w:val="000000" w:themeColor="text1"/>
        </w:rPr>
        <w:t>От съображения за правна сигурност и яснота при тълкуването, докладчиците също така считат за необходимо в съображенията на акта за изменение да се включи списък на регулаторните правомощия, които могат да се упражняват над ЦК от ЕЦБ съгласно член 22 от устава ѝ. Това следва да включва всички изисквания, позволяващи да бъдат разглеждани опасения, свързани с паричната политика. Въпреки това, за да се остави възможност за такова адаптиране на ролята на централните банки съгласно рамката на Регламента за европейската пазарна инфраструктура, каквото би могло да се окаже необходимо предвид опита, този списък следва да остане отворен и неизчерпателен. Той следва да включва също и всякакви правомощия, необходими на ЕЦБ за справяне с евентуални значителни извънредни ситуации.</w:t>
      </w:r>
    </w:p>
    <w:p w14:paraId="17936C2C" w14:textId="586A2C09" w:rsidR="00BA33B9" w:rsidRPr="00DD35EE" w:rsidRDefault="00BA33B9" w:rsidP="00C80A53">
      <w:pPr>
        <w:rPr>
          <w:color w:val="000000" w:themeColor="text1"/>
        </w:rPr>
      </w:pPr>
    </w:p>
    <w:p w14:paraId="5BB14074" w14:textId="77777777" w:rsidR="00D22046" w:rsidRPr="00DD35EE" w:rsidRDefault="00D22046" w:rsidP="00E069EA">
      <w:pPr>
        <w:rPr>
          <w:color w:val="000000" w:themeColor="text1"/>
        </w:rPr>
      </w:pPr>
    </w:p>
    <w:p w14:paraId="5F41E700" w14:textId="65D1A6C9" w:rsidR="00E069EA" w:rsidRPr="00DD35EE" w:rsidRDefault="00B07A11" w:rsidP="00E069EA">
      <w:pPr>
        <w:pStyle w:val="PageHeading"/>
        <w:rPr>
          <w:color w:val="000000" w:themeColor="text1"/>
        </w:rPr>
      </w:pPr>
      <w:r w:rsidRPr="00DD35EE">
        <w:rPr>
          <w:color w:val="000000" w:themeColor="text1"/>
        </w:rPr>
        <w:br w:type="page"/>
      </w:r>
      <w:bookmarkStart w:id="3" w:name="ProcPageRR"/>
      <w:bookmarkStart w:id="4" w:name="_Toc517979870"/>
      <w:r w:rsidRPr="00DD35EE">
        <w:rPr>
          <w:color w:val="000000" w:themeColor="text1"/>
        </w:rPr>
        <w:lastRenderedPageBreak/>
        <w:t>ПРОЦЕДУРА НА ВОДЕЩАТА КОМИСИЯ</w:t>
      </w:r>
      <w:bookmarkEnd w:id="4"/>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D35EE" w:rsidRPr="00DD35EE" w14:paraId="66003548" w14:textId="77777777" w:rsidTr="00C709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47D64B"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F4FFA5" w14:textId="77777777" w:rsidR="00E069EA" w:rsidRPr="00DD35EE" w:rsidRDefault="00E069EA">
            <w:pPr>
              <w:autoSpaceDE w:val="0"/>
              <w:autoSpaceDN w:val="0"/>
              <w:adjustRightInd w:val="0"/>
              <w:rPr>
                <w:color w:val="000000" w:themeColor="text1"/>
                <w:sz w:val="20"/>
              </w:rPr>
            </w:pPr>
            <w:r w:rsidRPr="00DD35EE">
              <w:rPr>
                <w:color w:val="000000" w:themeColor="text1"/>
                <w:sz w:val="20"/>
              </w:rPr>
              <w:t>Изменение на член 22 от Устава на Европейската система на централните банки и на Европейската централна банка</w:t>
            </w:r>
          </w:p>
        </w:tc>
      </w:tr>
      <w:tr w:rsidR="00DD35EE" w:rsidRPr="00DD35EE" w14:paraId="43DC4973" w14:textId="77777777" w:rsidTr="00C709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08EAEA"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28F218" w14:textId="77777777" w:rsidR="00E069EA" w:rsidRPr="00DD35EE" w:rsidRDefault="00E069EA">
            <w:pPr>
              <w:autoSpaceDE w:val="0"/>
              <w:autoSpaceDN w:val="0"/>
              <w:adjustRightInd w:val="0"/>
              <w:rPr>
                <w:color w:val="000000" w:themeColor="text1"/>
                <w:sz w:val="20"/>
              </w:rPr>
            </w:pPr>
            <w:r w:rsidRPr="00DD35EE">
              <w:rPr>
                <w:color w:val="000000" w:themeColor="text1"/>
                <w:sz w:val="20"/>
              </w:rPr>
              <w:t>10850/2017 – C8-0228/2017 – 2017/0810(COD)</w:t>
            </w:r>
          </w:p>
        </w:tc>
      </w:tr>
      <w:tr w:rsidR="00DD35EE" w:rsidRPr="00DD35EE" w14:paraId="224A4195" w14:textId="77777777" w:rsidTr="00C709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FAAC99"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Водещи комисии</w:t>
            </w:r>
          </w:p>
          <w:p w14:paraId="4FBC5208" w14:textId="77777777" w:rsidR="00E069EA" w:rsidRPr="00DD35EE" w:rsidRDefault="00E069EA">
            <w:pPr>
              <w:autoSpaceDE w:val="0"/>
              <w:autoSpaceDN w:val="0"/>
              <w:adjustRightInd w:val="0"/>
              <w:rPr>
                <w:color w:val="000000" w:themeColor="text1"/>
                <w:sz w:val="20"/>
              </w:rPr>
            </w:pPr>
            <w:r w:rsidRPr="00DD35EE">
              <w:rPr>
                <w:color w:val="000000" w:themeColor="text1"/>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A3DED7" w14:textId="77777777" w:rsidR="00E069EA" w:rsidRPr="00DD35EE" w:rsidRDefault="00E069EA">
            <w:pPr>
              <w:autoSpaceDE w:val="0"/>
              <w:autoSpaceDN w:val="0"/>
              <w:adjustRightInd w:val="0"/>
              <w:rPr>
                <w:color w:val="000000" w:themeColor="text1"/>
                <w:sz w:val="20"/>
              </w:rPr>
            </w:pPr>
            <w:r w:rsidRPr="00DD35EE">
              <w:rPr>
                <w:color w:val="000000" w:themeColor="text1"/>
                <w:sz w:val="20"/>
              </w:rPr>
              <w:t>ECON</w:t>
            </w:r>
          </w:p>
          <w:p w14:paraId="57A8A117" w14:textId="77777777" w:rsidR="00E069EA" w:rsidRPr="00DD35EE" w:rsidRDefault="00E069EA">
            <w:pPr>
              <w:autoSpaceDE w:val="0"/>
              <w:autoSpaceDN w:val="0"/>
              <w:adjustRightInd w:val="0"/>
              <w:rPr>
                <w:color w:val="000000" w:themeColor="text1"/>
                <w:sz w:val="20"/>
              </w:rPr>
            </w:pPr>
            <w:r w:rsidRPr="00DD35EE">
              <w:rPr>
                <w:color w:val="000000" w:themeColor="text1"/>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38D807" w14:textId="77777777" w:rsidR="00E069EA" w:rsidRPr="00DD35EE" w:rsidRDefault="00E069EA">
            <w:pPr>
              <w:autoSpaceDE w:val="0"/>
              <w:autoSpaceDN w:val="0"/>
              <w:adjustRightInd w:val="0"/>
              <w:rPr>
                <w:color w:val="000000" w:themeColor="text1"/>
                <w:sz w:val="20"/>
              </w:rPr>
            </w:pPr>
            <w:r w:rsidRPr="00DD35EE">
              <w:rPr>
                <w:color w:val="000000" w:themeColor="text1"/>
                <w:sz w:val="20"/>
              </w:rPr>
              <w:t>AFCO</w:t>
            </w:r>
          </w:p>
          <w:p w14:paraId="4EC47B3B" w14:textId="77777777" w:rsidR="00E069EA" w:rsidRPr="00DD35EE" w:rsidRDefault="00E069EA">
            <w:pPr>
              <w:autoSpaceDE w:val="0"/>
              <w:autoSpaceDN w:val="0"/>
              <w:adjustRightInd w:val="0"/>
              <w:rPr>
                <w:color w:val="000000" w:themeColor="text1"/>
                <w:sz w:val="20"/>
              </w:rPr>
            </w:pPr>
            <w:r w:rsidRPr="00DD35EE">
              <w:rPr>
                <w:color w:val="000000" w:themeColor="text1"/>
                <w:sz w:val="20"/>
              </w:rPr>
              <w:t>11.9.2017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B8557B" w14:textId="77777777" w:rsidR="00E069EA" w:rsidRPr="00DD35EE" w:rsidRDefault="00E069EA">
            <w:pPr>
              <w:autoSpaceDE w:val="0"/>
              <w:autoSpaceDN w:val="0"/>
              <w:adjustRightInd w:val="0"/>
              <w:rPr>
                <w:rFonts w:ascii="sans-serif" w:hAnsi="sans-serif" w:cs="sans-serif"/>
                <w:color w:val="000000" w:themeColor="text1"/>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B441B9" w14:textId="77777777" w:rsidR="00E069EA" w:rsidRPr="00DD35EE" w:rsidRDefault="00E069EA">
            <w:pPr>
              <w:autoSpaceDE w:val="0"/>
              <w:autoSpaceDN w:val="0"/>
              <w:adjustRightInd w:val="0"/>
              <w:rPr>
                <w:rFonts w:ascii="sans-serif" w:hAnsi="sans-serif" w:cs="sans-serif"/>
                <w:color w:val="000000" w:themeColor="text1"/>
                <w:szCs w:val="24"/>
              </w:rPr>
            </w:pPr>
          </w:p>
        </w:tc>
      </w:tr>
      <w:tr w:rsidR="00C70917" w:rsidRPr="00DD35EE" w14:paraId="73923BAB" w14:textId="77777777" w:rsidTr="00C709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C2AFC6" w14:textId="77777777" w:rsidR="00C70917" w:rsidRPr="00DD35EE" w:rsidRDefault="00C70917" w:rsidP="00C70917">
            <w:pPr>
              <w:autoSpaceDE w:val="0"/>
              <w:autoSpaceDN w:val="0"/>
              <w:adjustRightInd w:val="0"/>
              <w:rPr>
                <w:b/>
                <w:bCs/>
                <w:color w:val="000000" w:themeColor="text1"/>
                <w:sz w:val="20"/>
              </w:rPr>
            </w:pPr>
            <w:r w:rsidRPr="00DD35EE">
              <w:rPr>
                <w:b/>
                <w:bCs/>
                <w:color w:val="000000" w:themeColor="text1"/>
                <w:sz w:val="20"/>
              </w:rPr>
              <w:t>Докладчици</w:t>
            </w:r>
          </w:p>
          <w:p w14:paraId="68DDECB5" w14:textId="77777777" w:rsidR="00C70917" w:rsidRPr="00DD35EE" w:rsidRDefault="00C70917" w:rsidP="00C70917">
            <w:pPr>
              <w:autoSpaceDE w:val="0"/>
              <w:autoSpaceDN w:val="0"/>
              <w:adjustRightInd w:val="0"/>
              <w:rPr>
                <w:color w:val="000000" w:themeColor="text1"/>
                <w:sz w:val="20"/>
              </w:rPr>
            </w:pPr>
            <w:r w:rsidRPr="00DD35EE">
              <w:rPr>
                <w:color w:val="000000" w:themeColor="text1"/>
                <w:sz w:val="20"/>
              </w:rPr>
              <w:t>       Дата на назначаване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4CEDB49" w14:textId="77777777" w:rsidR="00C70917" w:rsidRPr="00DD35EE" w:rsidRDefault="00C70917" w:rsidP="00C70917">
            <w:pPr>
              <w:autoSpaceDE w:val="0"/>
              <w:autoSpaceDN w:val="0"/>
              <w:adjustRightInd w:val="0"/>
              <w:rPr>
                <w:color w:val="000000" w:themeColor="text1"/>
                <w:sz w:val="20"/>
              </w:rPr>
            </w:pPr>
            <w:r w:rsidRPr="00DD35EE">
              <w:rPr>
                <w:color w:val="000000" w:themeColor="text1"/>
                <w:sz w:val="20"/>
              </w:rPr>
              <w:t>Gabriel Mato</w:t>
            </w:r>
          </w:p>
          <w:p w14:paraId="2EBF38D7" w14:textId="77777777" w:rsidR="00C70917" w:rsidRPr="00DD35EE" w:rsidRDefault="00C70917" w:rsidP="00C70917">
            <w:pPr>
              <w:autoSpaceDE w:val="0"/>
              <w:autoSpaceDN w:val="0"/>
              <w:adjustRightInd w:val="0"/>
              <w:rPr>
                <w:color w:val="000000" w:themeColor="text1"/>
                <w:sz w:val="20"/>
              </w:rPr>
            </w:pPr>
            <w:r w:rsidRPr="00DD35EE">
              <w:rPr>
                <w:color w:val="000000" w:themeColor="text1"/>
                <w:sz w:val="20"/>
              </w:rPr>
              <w:t>15.11.2017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48B426" w14:textId="77777777" w:rsidR="00C70917" w:rsidRDefault="00C70917" w:rsidP="00C70917">
            <w:pPr>
              <w:autoSpaceDE w:val="0"/>
              <w:autoSpaceDN w:val="0"/>
              <w:adjustRightInd w:val="0"/>
              <w:rPr>
                <w:color w:val="000000"/>
                <w:sz w:val="20"/>
              </w:rPr>
            </w:pPr>
            <w:r>
              <w:rPr>
                <w:color w:val="000000"/>
                <w:sz w:val="20"/>
              </w:rPr>
              <w:t>Danuta Maria Hübner</w:t>
            </w:r>
          </w:p>
          <w:p w14:paraId="534F1D8F" w14:textId="6233FA95" w:rsidR="00C70917" w:rsidRPr="00DD35EE" w:rsidRDefault="00C70917" w:rsidP="00C70917">
            <w:pPr>
              <w:autoSpaceDE w:val="0"/>
              <w:autoSpaceDN w:val="0"/>
              <w:adjustRightInd w:val="0"/>
              <w:rPr>
                <w:color w:val="000000" w:themeColor="text1"/>
                <w:sz w:val="20"/>
              </w:rPr>
            </w:pPr>
            <w:r>
              <w:rPr>
                <w:color w:val="000000"/>
                <w:sz w:val="20"/>
              </w:rPr>
              <w:t>15.11.2017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2DE279" w14:textId="77777777" w:rsidR="00C70917" w:rsidRPr="00DD35EE" w:rsidRDefault="00C70917" w:rsidP="00C70917">
            <w:pPr>
              <w:autoSpaceDE w:val="0"/>
              <w:autoSpaceDN w:val="0"/>
              <w:adjustRightInd w:val="0"/>
              <w:rPr>
                <w:rFonts w:ascii="sans-serif" w:hAnsi="sans-serif" w:cs="sans-serif"/>
                <w:color w:val="000000" w:themeColor="text1"/>
                <w:szCs w:val="24"/>
              </w:rPr>
            </w:pPr>
            <w:bookmarkStart w:id="5" w:name="_GoBack"/>
            <w:bookmarkEnd w:id="5"/>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56088A" w14:textId="77777777" w:rsidR="00C70917" w:rsidRPr="00DD35EE" w:rsidRDefault="00C70917" w:rsidP="00C70917">
            <w:pPr>
              <w:autoSpaceDE w:val="0"/>
              <w:autoSpaceDN w:val="0"/>
              <w:adjustRightInd w:val="0"/>
              <w:rPr>
                <w:rFonts w:ascii="sans-serif" w:hAnsi="sans-serif" w:cs="sans-serif"/>
                <w:color w:val="000000" w:themeColor="text1"/>
                <w:szCs w:val="24"/>
              </w:rPr>
            </w:pPr>
          </w:p>
        </w:tc>
      </w:tr>
      <w:tr w:rsidR="00DD35EE" w:rsidRPr="00DD35EE" w14:paraId="5399CDA5" w14:textId="77777777" w:rsidTr="00C709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080F66"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Член 55 ‒ Процедура на съвместни комисии</w:t>
            </w:r>
          </w:p>
          <w:p w14:paraId="6C4394B1" w14:textId="77777777" w:rsidR="00E069EA" w:rsidRPr="00DD35EE" w:rsidRDefault="00E069EA">
            <w:pPr>
              <w:autoSpaceDE w:val="0"/>
              <w:autoSpaceDN w:val="0"/>
              <w:adjustRightInd w:val="0"/>
              <w:rPr>
                <w:color w:val="000000" w:themeColor="text1"/>
                <w:sz w:val="20"/>
              </w:rPr>
            </w:pPr>
            <w:r w:rsidRPr="00DD35EE">
              <w:rPr>
                <w:color w:val="000000" w:themeColor="text1"/>
                <w:sz w:val="20"/>
              </w:rPr>
              <w:t>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AC45EE" w14:textId="77777777" w:rsidR="00E069EA" w:rsidRPr="00DD35EE" w:rsidRDefault="00E069EA">
            <w:pPr>
              <w:autoSpaceDE w:val="0"/>
              <w:autoSpaceDN w:val="0"/>
              <w:adjustRightInd w:val="0"/>
              <w:rPr>
                <w:color w:val="000000" w:themeColor="text1"/>
                <w:sz w:val="20"/>
              </w:rPr>
            </w:pPr>
            <w:r w:rsidRPr="00DD35EE">
              <w:rPr>
                <w:color w:val="000000" w:themeColor="text1"/>
                <w:sz w:val="20"/>
              </w:rPr>
              <w:t>       </w:t>
            </w:r>
          </w:p>
          <w:p w14:paraId="2703B093" w14:textId="77777777" w:rsidR="00E069EA" w:rsidRPr="00DD35EE" w:rsidRDefault="00E069EA">
            <w:pPr>
              <w:autoSpaceDE w:val="0"/>
              <w:autoSpaceDN w:val="0"/>
              <w:adjustRightInd w:val="0"/>
              <w:rPr>
                <w:color w:val="000000" w:themeColor="text1"/>
                <w:sz w:val="20"/>
              </w:rPr>
            </w:pPr>
            <w:r w:rsidRPr="00DD35EE">
              <w:rPr>
                <w:color w:val="000000" w:themeColor="text1"/>
                <w:sz w:val="20"/>
              </w:rPr>
              <w:t>14.12.2017</w:t>
            </w:r>
          </w:p>
        </w:tc>
      </w:tr>
      <w:tr w:rsidR="00DD35EE" w:rsidRPr="00DD35EE" w14:paraId="592CCFE3" w14:textId="77777777" w:rsidTr="00C709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730F67"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22C1CE" w14:textId="77777777" w:rsidR="00E069EA" w:rsidRPr="00DD35EE" w:rsidRDefault="00E069EA">
            <w:pPr>
              <w:autoSpaceDE w:val="0"/>
              <w:autoSpaceDN w:val="0"/>
              <w:adjustRightInd w:val="0"/>
              <w:rPr>
                <w:color w:val="000000" w:themeColor="text1"/>
                <w:sz w:val="20"/>
              </w:rPr>
            </w:pPr>
            <w:r w:rsidRPr="00DD35EE">
              <w:rPr>
                <w:color w:val="000000" w:themeColor="text1"/>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71B814" w14:textId="77777777" w:rsidR="00E069EA" w:rsidRPr="00DD35EE" w:rsidRDefault="00E069EA">
            <w:pPr>
              <w:autoSpaceDE w:val="0"/>
              <w:autoSpaceDN w:val="0"/>
              <w:adjustRightInd w:val="0"/>
              <w:rPr>
                <w:color w:val="000000" w:themeColor="text1"/>
                <w:sz w:val="20"/>
              </w:rPr>
            </w:pPr>
            <w:r w:rsidRPr="00DD35EE">
              <w:rPr>
                <w:color w:val="000000" w:themeColor="text1"/>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AFB29B" w14:textId="77777777" w:rsidR="00E069EA" w:rsidRPr="00DD35EE" w:rsidRDefault="00E069EA">
            <w:pPr>
              <w:autoSpaceDE w:val="0"/>
              <w:autoSpaceDN w:val="0"/>
              <w:adjustRightInd w:val="0"/>
              <w:rPr>
                <w:color w:val="000000" w:themeColor="text1"/>
                <w:sz w:val="20"/>
              </w:rPr>
            </w:pPr>
            <w:r w:rsidRPr="00DD35EE">
              <w:rPr>
                <w:color w:val="000000" w:themeColor="text1"/>
                <w:sz w:val="20"/>
              </w:rPr>
              <w:t>24.5.2018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63A7E5" w14:textId="77777777" w:rsidR="00E069EA" w:rsidRPr="00DD35EE" w:rsidRDefault="00E069EA">
            <w:pPr>
              <w:autoSpaceDE w:val="0"/>
              <w:autoSpaceDN w:val="0"/>
              <w:adjustRightInd w:val="0"/>
              <w:rPr>
                <w:rFonts w:ascii="sans-serif" w:hAnsi="sans-serif" w:cs="sans-serif"/>
                <w:color w:val="000000" w:themeColor="text1"/>
                <w:szCs w:val="24"/>
              </w:rPr>
            </w:pPr>
          </w:p>
        </w:tc>
      </w:tr>
      <w:tr w:rsidR="00DD35EE" w:rsidRPr="00DD35EE" w14:paraId="5129B624" w14:textId="77777777" w:rsidTr="00C709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300D2F"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7976961E" w14:textId="77777777" w:rsidR="00E069EA" w:rsidRPr="00DD35EE" w:rsidRDefault="00E069EA">
            <w:pPr>
              <w:autoSpaceDE w:val="0"/>
              <w:autoSpaceDN w:val="0"/>
              <w:adjustRightInd w:val="0"/>
              <w:rPr>
                <w:color w:val="000000" w:themeColor="text1"/>
                <w:sz w:val="20"/>
              </w:rPr>
            </w:pPr>
            <w:r w:rsidRPr="00DD35EE">
              <w:rPr>
                <w:color w:val="000000" w:themeColor="text1"/>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14:paraId="5569F921" w14:textId="77777777" w:rsidR="00E069EA" w:rsidRPr="00DD35EE" w:rsidRDefault="00E069EA">
            <w:pPr>
              <w:autoSpaceDE w:val="0"/>
              <w:autoSpaceDN w:val="0"/>
              <w:adjustRightInd w:val="0"/>
              <w:rPr>
                <w:rFonts w:ascii="sans-serif" w:hAnsi="sans-serif" w:cs="sans-serif"/>
                <w:color w:val="000000" w:themeColor="text1"/>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D87471F" w14:textId="77777777" w:rsidR="00E069EA" w:rsidRPr="00DD35EE" w:rsidRDefault="00E069EA">
            <w:pPr>
              <w:autoSpaceDE w:val="0"/>
              <w:autoSpaceDN w:val="0"/>
              <w:adjustRightInd w:val="0"/>
              <w:rPr>
                <w:rFonts w:ascii="sans-serif" w:hAnsi="sans-serif" w:cs="sans-serif"/>
                <w:color w:val="000000" w:themeColor="text1"/>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9C04BD3" w14:textId="77777777" w:rsidR="00E069EA" w:rsidRPr="00DD35EE" w:rsidRDefault="00E069EA">
            <w:pPr>
              <w:autoSpaceDE w:val="0"/>
              <w:autoSpaceDN w:val="0"/>
              <w:adjustRightInd w:val="0"/>
              <w:rPr>
                <w:rFonts w:ascii="sans-serif" w:hAnsi="sans-serif" w:cs="sans-serif"/>
                <w:color w:val="000000" w:themeColor="text1"/>
                <w:szCs w:val="24"/>
              </w:rPr>
            </w:pPr>
          </w:p>
        </w:tc>
      </w:tr>
      <w:tr w:rsidR="00DD35EE" w:rsidRPr="00DD35EE" w14:paraId="12ED5153" w14:textId="77777777" w:rsidTr="00C709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3D70C6"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81C32C5" w14:textId="77777777" w:rsidR="00E069EA" w:rsidRPr="00DD35EE" w:rsidRDefault="00E069EA">
            <w:pPr>
              <w:autoSpaceDE w:val="0"/>
              <w:autoSpaceDN w:val="0"/>
              <w:adjustRightInd w:val="0"/>
              <w:rPr>
                <w:color w:val="000000" w:themeColor="text1"/>
                <w:sz w:val="20"/>
              </w:rPr>
            </w:pPr>
            <w:r w:rsidRPr="00DD35EE">
              <w:rPr>
                <w:color w:val="000000" w:themeColor="text1"/>
                <w:sz w:val="20"/>
              </w:rPr>
              <w:t>+:</w:t>
            </w:r>
          </w:p>
          <w:p w14:paraId="6CD49D69" w14:textId="77777777" w:rsidR="00E069EA" w:rsidRPr="00DD35EE" w:rsidRDefault="00E069EA">
            <w:pPr>
              <w:autoSpaceDE w:val="0"/>
              <w:autoSpaceDN w:val="0"/>
              <w:adjustRightInd w:val="0"/>
              <w:rPr>
                <w:color w:val="000000" w:themeColor="text1"/>
                <w:sz w:val="20"/>
              </w:rPr>
            </w:pPr>
            <w:r w:rsidRPr="00DD35EE">
              <w:rPr>
                <w:color w:val="000000" w:themeColor="text1"/>
                <w:sz w:val="20"/>
              </w:rPr>
              <w:t>–:</w:t>
            </w:r>
          </w:p>
          <w:p w14:paraId="33A7AA13" w14:textId="77777777" w:rsidR="00E069EA" w:rsidRPr="00DD35EE" w:rsidRDefault="00E069EA">
            <w:pPr>
              <w:autoSpaceDE w:val="0"/>
              <w:autoSpaceDN w:val="0"/>
              <w:adjustRightInd w:val="0"/>
              <w:rPr>
                <w:color w:val="000000" w:themeColor="text1"/>
                <w:sz w:val="20"/>
              </w:rPr>
            </w:pPr>
            <w:r w:rsidRPr="00DD35EE">
              <w:rPr>
                <w:color w:val="000000" w:themeColor="text1"/>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346827" w14:textId="77777777" w:rsidR="00E069EA" w:rsidRPr="00DD35EE" w:rsidRDefault="00E069EA">
            <w:pPr>
              <w:autoSpaceDE w:val="0"/>
              <w:autoSpaceDN w:val="0"/>
              <w:adjustRightInd w:val="0"/>
              <w:rPr>
                <w:color w:val="000000" w:themeColor="text1"/>
                <w:sz w:val="20"/>
              </w:rPr>
            </w:pPr>
            <w:r w:rsidRPr="00DD35EE">
              <w:rPr>
                <w:color w:val="000000" w:themeColor="text1"/>
                <w:sz w:val="20"/>
              </w:rPr>
              <w:t>43</w:t>
            </w:r>
          </w:p>
          <w:p w14:paraId="6F8C846B" w14:textId="77777777" w:rsidR="00E069EA" w:rsidRPr="00DD35EE" w:rsidRDefault="00E069EA">
            <w:pPr>
              <w:autoSpaceDE w:val="0"/>
              <w:autoSpaceDN w:val="0"/>
              <w:adjustRightInd w:val="0"/>
              <w:rPr>
                <w:color w:val="000000" w:themeColor="text1"/>
                <w:sz w:val="20"/>
              </w:rPr>
            </w:pPr>
            <w:r w:rsidRPr="00DD35EE">
              <w:rPr>
                <w:color w:val="000000" w:themeColor="text1"/>
                <w:sz w:val="20"/>
              </w:rPr>
              <w:t>7</w:t>
            </w:r>
          </w:p>
          <w:p w14:paraId="7CC0FE6B" w14:textId="77777777" w:rsidR="00E069EA" w:rsidRPr="00DD35EE" w:rsidRDefault="00E069EA">
            <w:pPr>
              <w:autoSpaceDE w:val="0"/>
              <w:autoSpaceDN w:val="0"/>
              <w:adjustRightInd w:val="0"/>
              <w:rPr>
                <w:color w:val="000000" w:themeColor="text1"/>
                <w:sz w:val="20"/>
              </w:rPr>
            </w:pPr>
            <w:r w:rsidRPr="00DD35EE">
              <w:rPr>
                <w:color w:val="000000" w:themeColor="text1"/>
                <w:sz w:val="20"/>
              </w:rPr>
              <w:t>6</w:t>
            </w:r>
          </w:p>
        </w:tc>
      </w:tr>
      <w:tr w:rsidR="00DD35EE" w:rsidRPr="00DD35EE" w14:paraId="7C776EF1" w14:textId="77777777" w:rsidTr="00C7091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5599C5"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F8F262" w14:textId="77777777" w:rsidR="00E069EA" w:rsidRPr="00DD35EE" w:rsidRDefault="00E069EA">
            <w:pPr>
              <w:autoSpaceDE w:val="0"/>
              <w:autoSpaceDN w:val="0"/>
              <w:adjustRightInd w:val="0"/>
              <w:rPr>
                <w:color w:val="000000" w:themeColor="text1"/>
                <w:sz w:val="20"/>
              </w:rPr>
            </w:pPr>
            <w:r w:rsidRPr="00DD35EE">
              <w:rPr>
                <w:color w:val="000000" w:themeColor="text1"/>
                <w:sz w:val="20"/>
              </w:rPr>
              <w:t>Gerolf Annemans, Burkhard Balz, Hugues Bayet, Pervenche Berès, Mercedes Bresso, Fabio Massimo Castaldo, David Coburn, Esther de Lange, Markus Ferber, Jonás Fernández, Sven Giegold, Neena Gill, Roberto Gualtieri, Brian Hayes, Gunnar Hökmark, Danuta Maria Hübner, Cătălin Sorin Ivan, Diane James, Ramón Jáuregui Atondo, Georgios Kyrtsos, Alain Lamassoure, Werner Langen, Jo Leinen, Olle Ludvigsson, Gabriel Mato, Costas Mavrides, Alex Mayer, Morten Messerschmidt, Bernard Monot, Caroline Nagtegaal, Luděk Niedermayer, Stanisław Ożóg, Maite Pagazaurtundúa Ruiz, Sirpa Pietikäinen, Anne Sander, Martin Schirdewan, Helmut Scholz, György Schöpflin, Pedro Silva Pereira, Theodor Dumitru Stolojan, Paul Tang, Josep-Maria Terricabras, Ramon Tremosa i Balcells, Ernest Urtasun, Marco Valli, Jakob von Weizsäcker, Marco Zanni</w:t>
            </w:r>
          </w:p>
        </w:tc>
      </w:tr>
      <w:tr w:rsidR="00DD35EE" w:rsidRPr="00DD35EE" w14:paraId="42F8B862" w14:textId="77777777" w:rsidTr="00C709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E80F7C"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A6CC4F" w14:textId="77777777" w:rsidR="00E069EA" w:rsidRPr="00DD35EE" w:rsidRDefault="00E069EA">
            <w:pPr>
              <w:autoSpaceDE w:val="0"/>
              <w:autoSpaceDN w:val="0"/>
              <w:adjustRightInd w:val="0"/>
              <w:rPr>
                <w:color w:val="000000" w:themeColor="text1"/>
                <w:sz w:val="20"/>
              </w:rPr>
            </w:pPr>
            <w:r w:rsidRPr="00DD35EE">
              <w:rPr>
                <w:color w:val="000000" w:themeColor="text1"/>
                <w:sz w:val="20"/>
              </w:rPr>
              <w:t>Ashley Fox, Eva Maydell, Cristian Dan Preda, Michel Reimon, Lieve Wierinck</w:t>
            </w:r>
          </w:p>
        </w:tc>
      </w:tr>
      <w:tr w:rsidR="00DD35EE" w:rsidRPr="00DD35EE" w14:paraId="1B62C3C1" w14:textId="77777777" w:rsidTr="00C709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C65E98"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27C2A4" w14:textId="77777777" w:rsidR="00E069EA" w:rsidRPr="00DD35EE" w:rsidRDefault="00E069EA">
            <w:pPr>
              <w:autoSpaceDE w:val="0"/>
              <w:autoSpaceDN w:val="0"/>
              <w:adjustRightInd w:val="0"/>
              <w:rPr>
                <w:color w:val="000000" w:themeColor="text1"/>
                <w:sz w:val="20"/>
              </w:rPr>
            </w:pPr>
            <w:r w:rsidRPr="00DD35EE">
              <w:rPr>
                <w:color w:val="000000" w:themeColor="text1"/>
                <w:sz w:val="20"/>
              </w:rPr>
              <w:t>Agustín Díaz de Mera García Consuegra, Seán Kelly, Agnieszka Kozłowska-Rajewicz, Fernando Ruas, Sven Schulze, Ramón Luis Valcárcel Siso</w:t>
            </w:r>
          </w:p>
        </w:tc>
      </w:tr>
      <w:tr w:rsidR="00C70917" w:rsidRPr="00DD35EE" w14:paraId="4333382C" w14:textId="77777777" w:rsidTr="00C7091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6FC831A" w14:textId="77777777" w:rsidR="00E069EA" w:rsidRPr="00DD35EE" w:rsidRDefault="00E069EA">
            <w:pPr>
              <w:autoSpaceDE w:val="0"/>
              <w:autoSpaceDN w:val="0"/>
              <w:adjustRightInd w:val="0"/>
              <w:rPr>
                <w:b/>
                <w:bCs/>
                <w:color w:val="000000" w:themeColor="text1"/>
                <w:sz w:val="20"/>
              </w:rPr>
            </w:pPr>
            <w:r w:rsidRPr="00DD35EE">
              <w:rPr>
                <w:b/>
                <w:bCs/>
                <w:color w:val="000000" w:themeColor="text1"/>
                <w:sz w:val="20"/>
              </w:rPr>
              <w:t>Дата на внасяне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3E5AEF" w14:textId="77777777" w:rsidR="00E069EA" w:rsidRPr="00DD35EE" w:rsidRDefault="00E069EA">
            <w:pPr>
              <w:autoSpaceDE w:val="0"/>
              <w:autoSpaceDN w:val="0"/>
              <w:adjustRightInd w:val="0"/>
              <w:rPr>
                <w:color w:val="000000" w:themeColor="text1"/>
                <w:sz w:val="20"/>
              </w:rPr>
            </w:pPr>
            <w:r w:rsidRPr="00DD35EE">
              <w:rPr>
                <w:color w:val="000000" w:themeColor="text1"/>
                <w:sz w:val="20"/>
              </w:rPr>
              <w:t>25.6.2018</w:t>
            </w:r>
          </w:p>
        </w:tc>
      </w:tr>
    </w:tbl>
    <w:p w14:paraId="1EFED66A" w14:textId="77777777" w:rsidR="00E069EA" w:rsidRPr="00DD35EE" w:rsidRDefault="00E069EA">
      <w:pPr>
        <w:autoSpaceDE w:val="0"/>
        <w:autoSpaceDN w:val="0"/>
        <w:adjustRightInd w:val="0"/>
        <w:rPr>
          <w:rFonts w:ascii="Arial" w:hAnsi="Arial" w:cs="Arial"/>
          <w:color w:val="000000" w:themeColor="text1"/>
          <w:szCs w:val="24"/>
        </w:rPr>
      </w:pPr>
    </w:p>
    <w:bookmarkEnd w:id="3"/>
    <w:p w14:paraId="59688879" w14:textId="5884482C" w:rsidR="00B07A11" w:rsidRPr="00DD35EE" w:rsidRDefault="00B07A11" w:rsidP="00E069EA">
      <w:pPr>
        <w:pStyle w:val="PageHeading"/>
        <w:rPr>
          <w:color w:val="000000" w:themeColor="text1"/>
        </w:rPr>
      </w:pPr>
      <w:r w:rsidRPr="00DD35EE">
        <w:rPr>
          <w:color w:val="000000" w:themeColor="text1"/>
        </w:rPr>
        <w:br w:type="page"/>
      </w:r>
      <w:bookmarkStart w:id="6" w:name="RollCallPageRR"/>
      <w:bookmarkStart w:id="7" w:name="_Toc517979871"/>
      <w:r w:rsidRPr="00DD35EE">
        <w:rPr>
          <w:color w:val="000000" w:themeColor="text1"/>
        </w:rPr>
        <w:lastRenderedPageBreak/>
        <w:t>ПОИМЕННО ОКОНЧАТЕЛНО ГЛАСУВАНЕ ВЪВ ВОДЕЩАТА КОМИСИЯ</w:t>
      </w:r>
      <w:bookmarkEnd w:id="7"/>
    </w:p>
    <w:tbl>
      <w:tblPr>
        <w:tblW w:w="9379"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678"/>
      </w:tblGrid>
      <w:tr w:rsidR="00DD35EE" w:rsidRPr="00DD35EE" w14:paraId="5B4E49D5" w14:textId="77777777" w:rsidTr="00402BC9">
        <w:trPr>
          <w:cantSplit/>
        </w:trPr>
        <w:tc>
          <w:tcPr>
            <w:tcW w:w="1701" w:type="dxa"/>
            <w:shd w:val="pct10" w:color="000000" w:fill="FFFFFF"/>
            <w:vAlign w:val="center"/>
          </w:tcPr>
          <w:p w14:paraId="1A486D8A" w14:textId="055EEB9A" w:rsidR="00B07A11" w:rsidRPr="00DD35EE" w:rsidRDefault="00B07A11" w:rsidP="008920AC">
            <w:pPr>
              <w:spacing w:before="120" w:after="120"/>
              <w:jc w:val="center"/>
              <w:rPr>
                <w:b/>
                <w:color w:val="000000" w:themeColor="text1"/>
                <w:sz w:val="28"/>
                <w:szCs w:val="28"/>
              </w:rPr>
            </w:pPr>
            <w:r w:rsidRPr="00DD35EE">
              <w:rPr>
                <w:b/>
                <w:color w:val="000000" w:themeColor="text1"/>
                <w:sz w:val="28"/>
                <w:szCs w:val="28"/>
              </w:rPr>
              <w:t>43</w:t>
            </w:r>
          </w:p>
        </w:tc>
        <w:tc>
          <w:tcPr>
            <w:tcW w:w="7678" w:type="dxa"/>
            <w:shd w:val="pct10" w:color="000000" w:fill="FFFFFF"/>
          </w:tcPr>
          <w:p w14:paraId="679F09F7" w14:textId="77777777" w:rsidR="00B07A11" w:rsidRPr="00DD35EE" w:rsidRDefault="00B07A11" w:rsidP="008920AC">
            <w:pPr>
              <w:spacing w:before="120" w:after="120"/>
              <w:jc w:val="center"/>
              <w:rPr>
                <w:rFonts w:ascii="Arial" w:hAnsi="Arial" w:cs="Arial"/>
                <w:b/>
                <w:color w:val="000000" w:themeColor="text1"/>
                <w:sz w:val="28"/>
                <w:szCs w:val="28"/>
              </w:rPr>
            </w:pPr>
            <w:r w:rsidRPr="00DD35EE">
              <w:rPr>
                <w:rFonts w:ascii="Arial" w:hAnsi="Arial"/>
                <w:b/>
                <w:color w:val="000000" w:themeColor="text1"/>
                <w:sz w:val="28"/>
                <w:szCs w:val="28"/>
              </w:rPr>
              <w:t>+</w:t>
            </w:r>
          </w:p>
        </w:tc>
      </w:tr>
      <w:tr w:rsidR="00DD35EE" w:rsidRPr="00DD35EE" w14:paraId="404022B4" w14:textId="77777777" w:rsidTr="00402BC9">
        <w:trPr>
          <w:cantSplit/>
        </w:trPr>
        <w:tc>
          <w:tcPr>
            <w:tcW w:w="1701" w:type="dxa"/>
            <w:shd w:val="clear" w:color="auto" w:fill="FFFFFF"/>
            <w:vAlign w:val="center"/>
          </w:tcPr>
          <w:p w14:paraId="657348F1" w14:textId="3B16F878" w:rsidR="005443AF" w:rsidRPr="00DD35EE" w:rsidRDefault="005443AF" w:rsidP="005443AF">
            <w:pPr>
              <w:spacing w:before="120" w:after="120"/>
              <w:rPr>
                <w:color w:val="000000" w:themeColor="text1"/>
                <w:sz w:val="20"/>
              </w:rPr>
            </w:pPr>
            <w:r w:rsidRPr="00DD35EE">
              <w:rPr>
                <w:color w:val="000000" w:themeColor="text1"/>
                <w:sz w:val="20"/>
              </w:rPr>
              <w:t>ALDE</w:t>
            </w:r>
          </w:p>
        </w:tc>
        <w:tc>
          <w:tcPr>
            <w:tcW w:w="7678" w:type="dxa"/>
            <w:shd w:val="clear" w:color="auto" w:fill="FFFFFF"/>
            <w:vAlign w:val="center"/>
          </w:tcPr>
          <w:p w14:paraId="12C23A38" w14:textId="7B46F453" w:rsidR="005443AF" w:rsidRPr="00DD35EE" w:rsidRDefault="005443AF" w:rsidP="005443AF">
            <w:pPr>
              <w:spacing w:before="120" w:after="120"/>
              <w:rPr>
                <w:color w:val="000000" w:themeColor="text1"/>
                <w:sz w:val="20"/>
              </w:rPr>
            </w:pPr>
            <w:r w:rsidRPr="00DD35EE">
              <w:rPr>
                <w:color w:val="000000" w:themeColor="text1"/>
                <w:sz w:val="20"/>
              </w:rPr>
              <w:t>Caroline Nagtegaal, Maite Pagazaurtundúa Ruiz, Ramon Tremosa i Balcells, Lieve Wierinck</w:t>
            </w:r>
          </w:p>
        </w:tc>
      </w:tr>
      <w:tr w:rsidR="00DD35EE" w:rsidRPr="00DD35EE" w14:paraId="40D72255" w14:textId="77777777" w:rsidTr="00402BC9">
        <w:trPr>
          <w:cantSplit/>
        </w:trPr>
        <w:tc>
          <w:tcPr>
            <w:tcW w:w="1701" w:type="dxa"/>
            <w:shd w:val="clear" w:color="auto" w:fill="FFFFFF"/>
            <w:vAlign w:val="center"/>
          </w:tcPr>
          <w:p w14:paraId="29B7A12C" w14:textId="6C180119" w:rsidR="005443AF" w:rsidRPr="00DD35EE" w:rsidRDefault="005443AF" w:rsidP="005443AF">
            <w:pPr>
              <w:spacing w:before="120" w:after="120"/>
              <w:rPr>
                <w:color w:val="000000" w:themeColor="text1"/>
                <w:sz w:val="20"/>
              </w:rPr>
            </w:pPr>
            <w:r w:rsidRPr="00DD35EE">
              <w:rPr>
                <w:color w:val="000000" w:themeColor="text1"/>
                <w:sz w:val="20"/>
              </w:rPr>
              <w:t>ENF</w:t>
            </w:r>
          </w:p>
        </w:tc>
        <w:tc>
          <w:tcPr>
            <w:tcW w:w="7678" w:type="dxa"/>
            <w:shd w:val="clear" w:color="auto" w:fill="FFFFFF"/>
            <w:vAlign w:val="center"/>
          </w:tcPr>
          <w:p w14:paraId="04AECC10" w14:textId="6FEEFA1D" w:rsidR="005443AF" w:rsidRPr="00DD35EE" w:rsidRDefault="005443AF" w:rsidP="005443AF">
            <w:pPr>
              <w:spacing w:before="120" w:after="120"/>
              <w:rPr>
                <w:color w:val="000000" w:themeColor="text1"/>
                <w:sz w:val="20"/>
              </w:rPr>
            </w:pPr>
            <w:r w:rsidRPr="00DD35EE">
              <w:rPr>
                <w:color w:val="000000" w:themeColor="text1"/>
                <w:sz w:val="20"/>
              </w:rPr>
              <w:t>Gerolf Annemans</w:t>
            </w:r>
          </w:p>
        </w:tc>
      </w:tr>
      <w:tr w:rsidR="00DD35EE" w:rsidRPr="00DD35EE" w14:paraId="64F6832E" w14:textId="77777777" w:rsidTr="00402BC9">
        <w:trPr>
          <w:cantSplit/>
        </w:trPr>
        <w:tc>
          <w:tcPr>
            <w:tcW w:w="1701" w:type="dxa"/>
            <w:shd w:val="clear" w:color="auto" w:fill="FFFFFF"/>
            <w:vAlign w:val="center"/>
          </w:tcPr>
          <w:p w14:paraId="5D95D2BE" w14:textId="3DFE293D" w:rsidR="005443AF" w:rsidRPr="00DD35EE" w:rsidRDefault="005443AF" w:rsidP="005443AF">
            <w:pPr>
              <w:spacing w:before="120" w:after="120"/>
              <w:rPr>
                <w:color w:val="000000" w:themeColor="text1"/>
                <w:sz w:val="20"/>
              </w:rPr>
            </w:pPr>
            <w:r w:rsidRPr="00DD35EE">
              <w:rPr>
                <w:color w:val="000000" w:themeColor="text1"/>
                <w:sz w:val="20"/>
              </w:rPr>
              <w:t>PPE</w:t>
            </w:r>
          </w:p>
        </w:tc>
        <w:tc>
          <w:tcPr>
            <w:tcW w:w="7678" w:type="dxa"/>
            <w:shd w:val="clear" w:color="auto" w:fill="FFFFFF"/>
            <w:vAlign w:val="center"/>
          </w:tcPr>
          <w:p w14:paraId="57C2BDC1" w14:textId="5A80E8FE" w:rsidR="005443AF" w:rsidRPr="00DD35EE" w:rsidRDefault="005443AF" w:rsidP="005443AF">
            <w:pPr>
              <w:spacing w:before="120" w:after="120"/>
              <w:rPr>
                <w:color w:val="000000" w:themeColor="text1"/>
                <w:sz w:val="20"/>
              </w:rPr>
            </w:pPr>
            <w:r w:rsidRPr="00DD35EE">
              <w:rPr>
                <w:color w:val="000000" w:themeColor="text1"/>
                <w:sz w:val="20"/>
              </w:rPr>
              <w:t>Burkhard Balz, Agustín Díaz de Mera García Consuegra, Markus Ferber, Brian Hayes, Gunnar Hökmark, Danuta Maria Hübner, Seán Kelly, Agnieszka Kozłowska-Rajewicz, Georgios Kyrtsos, Alain Lamassoure, Esther de Lange, Werner Langen, Gabriel Mato, Eva Maydell, Luděk Niedermayer, Sirpa Pietikäinen, Cristian Dan Preda, Fernando Ruas, Anne Sander, György Schöpflin, Sven Schulze, Theodor Dumitru Stolojan, Ramón Luis Valcárcel Siso</w:t>
            </w:r>
          </w:p>
        </w:tc>
      </w:tr>
      <w:tr w:rsidR="00DD35EE" w:rsidRPr="00DD35EE" w14:paraId="08AE6DA3" w14:textId="77777777" w:rsidTr="00402BC9">
        <w:trPr>
          <w:cantSplit/>
        </w:trPr>
        <w:tc>
          <w:tcPr>
            <w:tcW w:w="1701" w:type="dxa"/>
            <w:shd w:val="clear" w:color="auto" w:fill="FFFFFF"/>
            <w:vAlign w:val="center"/>
          </w:tcPr>
          <w:p w14:paraId="33449D1D" w14:textId="1E773E54" w:rsidR="005443AF" w:rsidRPr="00DD35EE" w:rsidRDefault="005443AF" w:rsidP="005443AF">
            <w:pPr>
              <w:spacing w:before="120" w:after="120"/>
              <w:rPr>
                <w:color w:val="000000" w:themeColor="text1"/>
                <w:sz w:val="20"/>
              </w:rPr>
            </w:pPr>
            <w:r w:rsidRPr="00DD35EE">
              <w:rPr>
                <w:color w:val="000000" w:themeColor="text1"/>
                <w:sz w:val="20"/>
              </w:rPr>
              <w:t>S&amp;D</w:t>
            </w:r>
          </w:p>
        </w:tc>
        <w:tc>
          <w:tcPr>
            <w:tcW w:w="7678" w:type="dxa"/>
            <w:shd w:val="clear" w:color="auto" w:fill="FFFFFF"/>
            <w:vAlign w:val="center"/>
          </w:tcPr>
          <w:p w14:paraId="6A4C3587" w14:textId="5F9EDF20" w:rsidR="005443AF" w:rsidRPr="00DD35EE" w:rsidRDefault="005443AF" w:rsidP="005443AF">
            <w:pPr>
              <w:spacing w:before="120" w:after="120"/>
              <w:rPr>
                <w:color w:val="000000" w:themeColor="text1"/>
                <w:sz w:val="20"/>
              </w:rPr>
            </w:pPr>
            <w:r w:rsidRPr="00DD35EE">
              <w:rPr>
                <w:color w:val="000000" w:themeColor="text1"/>
                <w:sz w:val="20"/>
              </w:rPr>
              <w:t>Hugues Bayet, Pervenche Berès, Mercedes Bresso, Jonás Fernández, Neena Gill, Roberto Gualtieri, Cătălin Sorin Ivan, Ramón Jáuregui Atondo, Jo Leinen, Olle Ludvigsson, Costas Mavrides, Alex Mayer, Pedro Silva Pereira, Paul Tang, Jakob von Weizsäcker</w:t>
            </w:r>
          </w:p>
        </w:tc>
      </w:tr>
    </w:tbl>
    <w:p w14:paraId="77801B3E" w14:textId="77777777" w:rsidR="00B07A11" w:rsidRPr="00DD35EE" w:rsidRDefault="00B07A11" w:rsidP="00147FBF">
      <w:pPr>
        <w:rPr>
          <w:color w:val="000000" w:themeColor="text1"/>
        </w:rPr>
      </w:pPr>
    </w:p>
    <w:tbl>
      <w:tblPr>
        <w:tblW w:w="9379"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678"/>
      </w:tblGrid>
      <w:tr w:rsidR="00DD35EE" w:rsidRPr="00DD35EE" w14:paraId="431FC4D4" w14:textId="77777777" w:rsidTr="00402BC9">
        <w:trPr>
          <w:cantSplit/>
        </w:trPr>
        <w:tc>
          <w:tcPr>
            <w:tcW w:w="1701" w:type="dxa"/>
            <w:shd w:val="pct10" w:color="000000" w:fill="FFFFFF"/>
            <w:vAlign w:val="center"/>
          </w:tcPr>
          <w:p w14:paraId="08A22126" w14:textId="649AE6B3" w:rsidR="00B07A11" w:rsidRPr="00DD35EE" w:rsidRDefault="00B07A11" w:rsidP="008920AC">
            <w:pPr>
              <w:spacing w:before="120" w:after="120"/>
              <w:jc w:val="center"/>
              <w:rPr>
                <w:b/>
                <w:color w:val="000000" w:themeColor="text1"/>
                <w:sz w:val="28"/>
                <w:szCs w:val="28"/>
              </w:rPr>
            </w:pPr>
            <w:r w:rsidRPr="00DD35EE">
              <w:rPr>
                <w:b/>
                <w:color w:val="000000" w:themeColor="text1"/>
                <w:sz w:val="28"/>
                <w:szCs w:val="28"/>
              </w:rPr>
              <w:t>7</w:t>
            </w:r>
          </w:p>
        </w:tc>
        <w:tc>
          <w:tcPr>
            <w:tcW w:w="7678" w:type="dxa"/>
            <w:shd w:val="pct10" w:color="000000" w:fill="FFFFFF"/>
          </w:tcPr>
          <w:p w14:paraId="4EDE5997" w14:textId="77777777" w:rsidR="00B07A11" w:rsidRPr="00DD35EE" w:rsidRDefault="00B07A11" w:rsidP="008920AC">
            <w:pPr>
              <w:spacing w:before="120" w:after="120"/>
              <w:jc w:val="center"/>
              <w:rPr>
                <w:color w:val="000000" w:themeColor="text1"/>
                <w:sz w:val="28"/>
                <w:szCs w:val="28"/>
              </w:rPr>
            </w:pPr>
            <w:r w:rsidRPr="00DD35EE">
              <w:rPr>
                <w:rFonts w:ascii="Arial" w:hAnsi="Arial"/>
                <w:b/>
                <w:color w:val="000000" w:themeColor="text1"/>
                <w:sz w:val="28"/>
                <w:szCs w:val="28"/>
              </w:rPr>
              <w:t>-</w:t>
            </w:r>
          </w:p>
        </w:tc>
      </w:tr>
      <w:tr w:rsidR="00DD35EE" w:rsidRPr="00DD35EE" w14:paraId="298BECAD" w14:textId="77777777" w:rsidTr="00402BC9">
        <w:trPr>
          <w:cantSplit/>
        </w:trPr>
        <w:tc>
          <w:tcPr>
            <w:tcW w:w="1701" w:type="dxa"/>
            <w:shd w:val="clear" w:color="auto" w:fill="FFFFFF"/>
            <w:vAlign w:val="center"/>
          </w:tcPr>
          <w:p w14:paraId="34CEE417" w14:textId="50BEF0AE" w:rsidR="005443AF" w:rsidRPr="00DD35EE" w:rsidRDefault="005443AF" w:rsidP="005443AF">
            <w:pPr>
              <w:spacing w:before="120" w:after="120"/>
              <w:rPr>
                <w:color w:val="000000" w:themeColor="text1"/>
                <w:sz w:val="20"/>
              </w:rPr>
            </w:pPr>
            <w:r w:rsidRPr="00DD35EE">
              <w:rPr>
                <w:color w:val="000000" w:themeColor="text1"/>
                <w:sz w:val="20"/>
              </w:rPr>
              <w:t>EFDD</w:t>
            </w:r>
          </w:p>
        </w:tc>
        <w:tc>
          <w:tcPr>
            <w:tcW w:w="7678" w:type="dxa"/>
            <w:shd w:val="clear" w:color="auto" w:fill="FFFFFF"/>
            <w:vAlign w:val="center"/>
          </w:tcPr>
          <w:p w14:paraId="00110F7D" w14:textId="4824201F" w:rsidR="005443AF" w:rsidRPr="00DD35EE" w:rsidRDefault="005443AF" w:rsidP="005443AF">
            <w:pPr>
              <w:spacing w:before="120" w:after="120"/>
              <w:rPr>
                <w:color w:val="000000" w:themeColor="text1"/>
                <w:sz w:val="20"/>
              </w:rPr>
            </w:pPr>
            <w:r w:rsidRPr="00DD35EE">
              <w:rPr>
                <w:color w:val="000000" w:themeColor="text1"/>
                <w:sz w:val="20"/>
              </w:rPr>
              <w:t>David Coburn, Bernard Monot</w:t>
            </w:r>
          </w:p>
        </w:tc>
      </w:tr>
      <w:tr w:rsidR="00DD35EE" w:rsidRPr="00DD35EE" w14:paraId="56104892" w14:textId="77777777" w:rsidTr="00402BC9">
        <w:trPr>
          <w:cantSplit/>
        </w:trPr>
        <w:tc>
          <w:tcPr>
            <w:tcW w:w="1701" w:type="dxa"/>
            <w:shd w:val="clear" w:color="auto" w:fill="FFFFFF"/>
            <w:vAlign w:val="center"/>
          </w:tcPr>
          <w:p w14:paraId="2B72C94B" w14:textId="2CF12818" w:rsidR="005443AF" w:rsidRPr="00DD35EE" w:rsidRDefault="005443AF" w:rsidP="005443AF">
            <w:pPr>
              <w:spacing w:before="120" w:after="120"/>
              <w:rPr>
                <w:color w:val="000000" w:themeColor="text1"/>
                <w:sz w:val="20"/>
              </w:rPr>
            </w:pPr>
            <w:r w:rsidRPr="00DD35EE">
              <w:rPr>
                <w:color w:val="000000" w:themeColor="text1"/>
                <w:sz w:val="20"/>
              </w:rPr>
              <w:t>NI</w:t>
            </w:r>
          </w:p>
        </w:tc>
        <w:tc>
          <w:tcPr>
            <w:tcW w:w="7678" w:type="dxa"/>
            <w:shd w:val="clear" w:color="auto" w:fill="FFFFFF"/>
            <w:vAlign w:val="center"/>
          </w:tcPr>
          <w:p w14:paraId="6DA10A2D" w14:textId="3A9BEA99" w:rsidR="005443AF" w:rsidRPr="00DD35EE" w:rsidRDefault="005443AF" w:rsidP="005443AF">
            <w:pPr>
              <w:spacing w:before="120" w:after="120"/>
              <w:rPr>
                <w:color w:val="000000" w:themeColor="text1"/>
                <w:sz w:val="20"/>
              </w:rPr>
            </w:pPr>
            <w:r w:rsidRPr="00DD35EE">
              <w:rPr>
                <w:color w:val="000000" w:themeColor="text1"/>
                <w:sz w:val="20"/>
              </w:rPr>
              <w:t>Diane James</w:t>
            </w:r>
          </w:p>
        </w:tc>
      </w:tr>
      <w:tr w:rsidR="00DD35EE" w:rsidRPr="00DD35EE" w14:paraId="37615529" w14:textId="77777777" w:rsidTr="00402BC9">
        <w:trPr>
          <w:cantSplit/>
        </w:trPr>
        <w:tc>
          <w:tcPr>
            <w:tcW w:w="1701" w:type="dxa"/>
            <w:shd w:val="clear" w:color="auto" w:fill="FFFFFF"/>
            <w:vAlign w:val="center"/>
          </w:tcPr>
          <w:p w14:paraId="3F33D27D" w14:textId="0A83CD2C" w:rsidR="005443AF" w:rsidRPr="00DD35EE" w:rsidRDefault="005443AF" w:rsidP="005443AF">
            <w:pPr>
              <w:spacing w:before="120" w:after="120"/>
              <w:rPr>
                <w:color w:val="000000" w:themeColor="text1"/>
                <w:sz w:val="20"/>
              </w:rPr>
            </w:pPr>
            <w:r w:rsidRPr="00DD35EE">
              <w:rPr>
                <w:color w:val="000000" w:themeColor="text1"/>
                <w:sz w:val="20"/>
              </w:rPr>
              <w:t>VERTS/ALE</w:t>
            </w:r>
          </w:p>
        </w:tc>
        <w:tc>
          <w:tcPr>
            <w:tcW w:w="7678" w:type="dxa"/>
            <w:shd w:val="clear" w:color="auto" w:fill="FFFFFF"/>
            <w:vAlign w:val="center"/>
          </w:tcPr>
          <w:p w14:paraId="421EEC70" w14:textId="7D62BF70" w:rsidR="005443AF" w:rsidRPr="00DD35EE" w:rsidRDefault="005443AF" w:rsidP="005443AF">
            <w:pPr>
              <w:spacing w:before="120" w:after="120"/>
              <w:rPr>
                <w:color w:val="000000" w:themeColor="text1"/>
                <w:sz w:val="20"/>
              </w:rPr>
            </w:pPr>
            <w:r w:rsidRPr="00DD35EE">
              <w:rPr>
                <w:color w:val="000000" w:themeColor="text1"/>
                <w:sz w:val="20"/>
              </w:rPr>
              <w:t>Sven Giegold, Michel Reimon, Josep-Maria Terricabras, Ernest Urtasun</w:t>
            </w:r>
          </w:p>
        </w:tc>
      </w:tr>
    </w:tbl>
    <w:p w14:paraId="78038083" w14:textId="77777777" w:rsidR="00B07A11" w:rsidRPr="00DD35EE" w:rsidRDefault="00B07A11" w:rsidP="00147FBF">
      <w:pPr>
        <w:rPr>
          <w:color w:val="000000" w:themeColor="text1"/>
        </w:rPr>
      </w:pPr>
    </w:p>
    <w:tbl>
      <w:tblPr>
        <w:tblW w:w="9379"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678"/>
      </w:tblGrid>
      <w:tr w:rsidR="00DD35EE" w:rsidRPr="00DD35EE" w14:paraId="69D55B20" w14:textId="77777777" w:rsidTr="00402BC9">
        <w:trPr>
          <w:cantSplit/>
        </w:trPr>
        <w:tc>
          <w:tcPr>
            <w:tcW w:w="1701" w:type="dxa"/>
            <w:shd w:val="pct10" w:color="000000" w:fill="FFFFFF"/>
            <w:vAlign w:val="center"/>
          </w:tcPr>
          <w:p w14:paraId="39661CFF" w14:textId="53E1B666" w:rsidR="00B07A11" w:rsidRPr="00DD35EE" w:rsidRDefault="00B07A11" w:rsidP="008920AC">
            <w:pPr>
              <w:spacing w:before="120" w:after="120"/>
              <w:jc w:val="center"/>
              <w:rPr>
                <w:b/>
                <w:color w:val="000000" w:themeColor="text1"/>
                <w:sz w:val="28"/>
                <w:szCs w:val="28"/>
              </w:rPr>
            </w:pPr>
            <w:r w:rsidRPr="00DD35EE">
              <w:rPr>
                <w:b/>
                <w:color w:val="000000" w:themeColor="text1"/>
                <w:sz w:val="28"/>
                <w:szCs w:val="28"/>
              </w:rPr>
              <w:t>6</w:t>
            </w:r>
          </w:p>
        </w:tc>
        <w:tc>
          <w:tcPr>
            <w:tcW w:w="7678" w:type="dxa"/>
            <w:shd w:val="pct10" w:color="000000" w:fill="FFFFFF"/>
          </w:tcPr>
          <w:p w14:paraId="1D7342C6" w14:textId="77777777" w:rsidR="00B07A11" w:rsidRPr="00DD35EE" w:rsidRDefault="00B07A11" w:rsidP="008920AC">
            <w:pPr>
              <w:spacing w:before="120" w:after="120"/>
              <w:jc w:val="center"/>
              <w:rPr>
                <w:color w:val="000000" w:themeColor="text1"/>
                <w:sz w:val="28"/>
                <w:szCs w:val="28"/>
              </w:rPr>
            </w:pPr>
            <w:r w:rsidRPr="00DD35EE">
              <w:rPr>
                <w:rFonts w:ascii="Arial" w:hAnsi="Arial"/>
                <w:b/>
                <w:color w:val="000000" w:themeColor="text1"/>
                <w:sz w:val="28"/>
                <w:szCs w:val="28"/>
              </w:rPr>
              <w:t>0</w:t>
            </w:r>
          </w:p>
        </w:tc>
      </w:tr>
      <w:tr w:rsidR="00DD35EE" w:rsidRPr="00DD35EE" w14:paraId="71C46F4B" w14:textId="77777777" w:rsidTr="00402BC9">
        <w:trPr>
          <w:cantSplit/>
        </w:trPr>
        <w:tc>
          <w:tcPr>
            <w:tcW w:w="1701" w:type="dxa"/>
            <w:shd w:val="clear" w:color="auto" w:fill="FFFFFF"/>
          </w:tcPr>
          <w:p w14:paraId="3915D97B" w14:textId="15C9003A" w:rsidR="005443AF" w:rsidRPr="00DD35EE" w:rsidRDefault="005443AF" w:rsidP="005443AF">
            <w:pPr>
              <w:spacing w:before="120" w:after="120"/>
              <w:rPr>
                <w:color w:val="000000" w:themeColor="text1"/>
                <w:sz w:val="20"/>
              </w:rPr>
            </w:pPr>
            <w:r w:rsidRPr="00DD35EE">
              <w:rPr>
                <w:color w:val="000000" w:themeColor="text1"/>
                <w:sz w:val="20"/>
              </w:rPr>
              <w:t>ECR</w:t>
            </w:r>
          </w:p>
        </w:tc>
        <w:tc>
          <w:tcPr>
            <w:tcW w:w="7678" w:type="dxa"/>
            <w:shd w:val="clear" w:color="auto" w:fill="FFFFFF"/>
          </w:tcPr>
          <w:p w14:paraId="16450B05" w14:textId="5B1A8151" w:rsidR="005443AF" w:rsidRPr="00DD35EE" w:rsidRDefault="005443AF" w:rsidP="005443AF">
            <w:pPr>
              <w:spacing w:before="120" w:after="120"/>
              <w:rPr>
                <w:color w:val="000000" w:themeColor="text1"/>
                <w:sz w:val="20"/>
              </w:rPr>
            </w:pPr>
            <w:r w:rsidRPr="00DD35EE">
              <w:rPr>
                <w:color w:val="000000" w:themeColor="text1"/>
                <w:sz w:val="20"/>
              </w:rPr>
              <w:t>Morten Messerschmidt, Stanisław Ożóg</w:t>
            </w:r>
          </w:p>
        </w:tc>
      </w:tr>
      <w:tr w:rsidR="00DD35EE" w:rsidRPr="00DD35EE" w14:paraId="46E2E158" w14:textId="77777777" w:rsidTr="00402BC9">
        <w:trPr>
          <w:cantSplit/>
        </w:trPr>
        <w:tc>
          <w:tcPr>
            <w:tcW w:w="1701" w:type="dxa"/>
            <w:shd w:val="clear" w:color="auto" w:fill="FFFFFF"/>
          </w:tcPr>
          <w:p w14:paraId="1D619577" w14:textId="22DFEEDF" w:rsidR="005443AF" w:rsidRPr="00DD35EE" w:rsidRDefault="005443AF" w:rsidP="005443AF">
            <w:pPr>
              <w:spacing w:before="120" w:after="120"/>
              <w:rPr>
                <w:color w:val="000000" w:themeColor="text1"/>
                <w:sz w:val="20"/>
              </w:rPr>
            </w:pPr>
            <w:r w:rsidRPr="00DD35EE">
              <w:rPr>
                <w:color w:val="000000" w:themeColor="text1"/>
                <w:sz w:val="20"/>
              </w:rPr>
              <w:t>EFDD</w:t>
            </w:r>
          </w:p>
        </w:tc>
        <w:tc>
          <w:tcPr>
            <w:tcW w:w="7678" w:type="dxa"/>
            <w:shd w:val="clear" w:color="auto" w:fill="FFFFFF"/>
          </w:tcPr>
          <w:p w14:paraId="43AFB5EB" w14:textId="03DBB0D0" w:rsidR="005443AF" w:rsidRPr="00DD35EE" w:rsidRDefault="005443AF" w:rsidP="005443AF">
            <w:pPr>
              <w:spacing w:before="120" w:after="120"/>
              <w:rPr>
                <w:color w:val="000000" w:themeColor="text1"/>
                <w:sz w:val="20"/>
              </w:rPr>
            </w:pPr>
            <w:r w:rsidRPr="00DD35EE">
              <w:rPr>
                <w:color w:val="000000" w:themeColor="text1"/>
                <w:sz w:val="20"/>
              </w:rPr>
              <w:t>Fabio Massimo Castaldo, Marco Valli</w:t>
            </w:r>
          </w:p>
        </w:tc>
      </w:tr>
      <w:tr w:rsidR="00DD35EE" w:rsidRPr="00DD35EE" w14:paraId="471D0419" w14:textId="77777777" w:rsidTr="00402BC9">
        <w:trPr>
          <w:cantSplit/>
        </w:trPr>
        <w:tc>
          <w:tcPr>
            <w:tcW w:w="1701" w:type="dxa"/>
            <w:shd w:val="clear" w:color="auto" w:fill="FFFFFF"/>
          </w:tcPr>
          <w:p w14:paraId="518ECF9D" w14:textId="1E1AE033" w:rsidR="005443AF" w:rsidRPr="00DD35EE" w:rsidRDefault="005443AF" w:rsidP="005443AF">
            <w:pPr>
              <w:spacing w:before="120" w:after="120"/>
              <w:rPr>
                <w:color w:val="000000" w:themeColor="text1"/>
                <w:sz w:val="20"/>
              </w:rPr>
            </w:pPr>
            <w:r w:rsidRPr="00DD35EE">
              <w:rPr>
                <w:color w:val="000000" w:themeColor="text1"/>
                <w:sz w:val="20"/>
              </w:rPr>
              <w:t>GUE/NGL</w:t>
            </w:r>
          </w:p>
        </w:tc>
        <w:tc>
          <w:tcPr>
            <w:tcW w:w="7678" w:type="dxa"/>
            <w:shd w:val="clear" w:color="auto" w:fill="FFFFFF"/>
          </w:tcPr>
          <w:p w14:paraId="6EBF9751" w14:textId="0817C6B1" w:rsidR="005443AF" w:rsidRPr="00DD35EE" w:rsidRDefault="005443AF" w:rsidP="005443AF">
            <w:pPr>
              <w:spacing w:before="120" w:after="120"/>
              <w:rPr>
                <w:color w:val="000000" w:themeColor="text1"/>
                <w:sz w:val="20"/>
              </w:rPr>
            </w:pPr>
            <w:r w:rsidRPr="00DD35EE">
              <w:rPr>
                <w:color w:val="000000" w:themeColor="text1"/>
                <w:sz w:val="20"/>
              </w:rPr>
              <w:t>Martin Schirdewan, Helmut Scholz</w:t>
            </w:r>
          </w:p>
        </w:tc>
      </w:tr>
    </w:tbl>
    <w:p w14:paraId="17EE7E18" w14:textId="77777777" w:rsidR="00B07A11" w:rsidRPr="00DD35EE" w:rsidRDefault="00B07A11" w:rsidP="00147FBF">
      <w:pPr>
        <w:pStyle w:val="Normal12"/>
        <w:rPr>
          <w:color w:val="000000" w:themeColor="text1"/>
        </w:rPr>
      </w:pPr>
    </w:p>
    <w:p w14:paraId="33681D49" w14:textId="0321ECF7" w:rsidR="00B07A11" w:rsidRPr="00DD35EE" w:rsidRDefault="00B07A11" w:rsidP="00B735E3">
      <w:pPr>
        <w:rPr>
          <w:color w:val="000000" w:themeColor="text1"/>
        </w:rPr>
      </w:pPr>
      <w:r w:rsidRPr="00DD35EE">
        <w:rPr>
          <w:color w:val="000000" w:themeColor="text1"/>
        </w:rPr>
        <w:t>Легенда на използваните знаци:</w:t>
      </w:r>
    </w:p>
    <w:p w14:paraId="3C3846B2" w14:textId="704F5F65" w:rsidR="00B07A11" w:rsidRPr="00DD35EE" w:rsidRDefault="00B07A11" w:rsidP="00B735E3">
      <w:pPr>
        <w:pStyle w:val="NormalTabs"/>
        <w:rPr>
          <w:color w:val="000000" w:themeColor="text1"/>
        </w:rPr>
      </w:pPr>
      <w:r w:rsidRPr="00DD35EE">
        <w:rPr>
          <w:color w:val="000000" w:themeColor="text1"/>
        </w:rPr>
        <w:t>+</w:t>
      </w:r>
      <w:r w:rsidRPr="00DD35EE">
        <w:rPr>
          <w:color w:val="000000" w:themeColor="text1"/>
        </w:rPr>
        <w:tab/>
        <w:t>:</w:t>
      </w:r>
      <w:r w:rsidRPr="00DD35EE">
        <w:rPr>
          <w:color w:val="000000" w:themeColor="text1"/>
        </w:rPr>
        <w:tab/>
        <w:t>„за“</w:t>
      </w:r>
    </w:p>
    <w:p w14:paraId="55FCF7F3" w14:textId="46925A6C" w:rsidR="00B07A11" w:rsidRPr="00DD35EE" w:rsidRDefault="00B07A11" w:rsidP="00B735E3">
      <w:pPr>
        <w:pStyle w:val="NormalTabs"/>
        <w:rPr>
          <w:color w:val="000000" w:themeColor="text1"/>
        </w:rPr>
      </w:pPr>
      <w:r w:rsidRPr="00DD35EE">
        <w:rPr>
          <w:color w:val="000000" w:themeColor="text1"/>
        </w:rPr>
        <w:t>-</w:t>
      </w:r>
      <w:r w:rsidRPr="00DD35EE">
        <w:rPr>
          <w:color w:val="000000" w:themeColor="text1"/>
        </w:rPr>
        <w:tab/>
        <w:t>:</w:t>
      </w:r>
      <w:r w:rsidRPr="00DD35EE">
        <w:rPr>
          <w:color w:val="000000" w:themeColor="text1"/>
        </w:rPr>
        <w:tab/>
        <w:t>„против“</w:t>
      </w:r>
    </w:p>
    <w:p w14:paraId="64C10496" w14:textId="60C528A1" w:rsidR="00B07A11" w:rsidRPr="00DD35EE" w:rsidRDefault="00B07A11" w:rsidP="00B735E3">
      <w:pPr>
        <w:pStyle w:val="NormalTabs"/>
        <w:rPr>
          <w:color w:val="000000" w:themeColor="text1"/>
        </w:rPr>
      </w:pPr>
      <w:r w:rsidRPr="00DD35EE">
        <w:rPr>
          <w:color w:val="000000" w:themeColor="text1"/>
        </w:rPr>
        <w:t>0</w:t>
      </w:r>
      <w:r w:rsidRPr="00DD35EE">
        <w:rPr>
          <w:color w:val="000000" w:themeColor="text1"/>
        </w:rPr>
        <w:tab/>
        <w:t>:</w:t>
      </w:r>
      <w:r w:rsidRPr="00DD35EE">
        <w:rPr>
          <w:color w:val="000000" w:themeColor="text1"/>
        </w:rPr>
        <w:tab/>
        <w:t>„въздържал се“</w:t>
      </w:r>
    </w:p>
    <w:p w14:paraId="5BD9CA21" w14:textId="77777777" w:rsidR="00B07A11" w:rsidRPr="00DD35EE" w:rsidRDefault="00B07A11" w:rsidP="00AD5932">
      <w:pPr>
        <w:rPr>
          <w:color w:val="000000" w:themeColor="text1"/>
        </w:rPr>
      </w:pPr>
    </w:p>
    <w:bookmarkEnd w:id="6"/>
    <w:p w14:paraId="3A027BD5" w14:textId="13C323CF" w:rsidR="00D22046" w:rsidRPr="00DD35EE" w:rsidRDefault="00D22046" w:rsidP="00B07A11">
      <w:pPr>
        <w:rPr>
          <w:color w:val="000000" w:themeColor="text1"/>
        </w:rPr>
      </w:pPr>
    </w:p>
    <w:sectPr w:rsidR="00D22046" w:rsidRPr="00DD35EE" w:rsidSect="00DD35E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66C83" w14:textId="77777777" w:rsidR="0090298C" w:rsidRPr="00DD35EE" w:rsidRDefault="0090298C">
      <w:r w:rsidRPr="00DD35EE">
        <w:separator/>
      </w:r>
    </w:p>
  </w:endnote>
  <w:endnote w:type="continuationSeparator" w:id="0">
    <w:p w14:paraId="574EAFB0" w14:textId="77777777" w:rsidR="0090298C" w:rsidRPr="00DD35EE" w:rsidRDefault="0090298C">
      <w:r w:rsidRPr="00DD35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5CF1" w14:textId="77777777" w:rsidR="00DD35EE" w:rsidRPr="00DD35EE" w:rsidRDefault="00DD35EE" w:rsidP="00DD35EE">
    <w:pPr>
      <w:pStyle w:val="Footer"/>
    </w:pPr>
    <w:r w:rsidRPr="00DD35EE">
      <w:t>PE</w:t>
    </w:r>
    <w:r w:rsidRPr="00DD35EE">
      <w:rPr>
        <w:rStyle w:val="HideTWBExt"/>
        <w:noProof w:val="0"/>
      </w:rPr>
      <w:t>&lt;NoPE&gt;</w:t>
    </w:r>
    <w:r w:rsidRPr="00DD35EE">
      <w:t>619.417</w:t>
    </w:r>
    <w:r w:rsidRPr="00DD35EE">
      <w:rPr>
        <w:rStyle w:val="HideTWBExt"/>
        <w:noProof w:val="0"/>
      </w:rPr>
      <w:t>&lt;/NoPE&gt;&lt;Version&gt;</w:t>
    </w:r>
    <w:r w:rsidRPr="00DD35EE">
      <w:t>v03-00</w:t>
    </w:r>
    <w:r w:rsidRPr="00DD35EE">
      <w:rPr>
        <w:rStyle w:val="HideTWBExt"/>
        <w:noProof w:val="0"/>
      </w:rPr>
      <w:t>&lt;/Version&gt;</w:t>
    </w:r>
    <w:r w:rsidRPr="00DD35EE">
      <w:tab/>
    </w:r>
    <w:r w:rsidRPr="00DD35EE">
      <w:fldChar w:fldCharType="begin"/>
    </w:r>
    <w:r w:rsidRPr="00DD35EE">
      <w:instrText xml:space="preserve"> PAGE  \* MERGEFORMAT </w:instrText>
    </w:r>
    <w:r w:rsidRPr="00DD35EE">
      <w:fldChar w:fldCharType="separate"/>
    </w:r>
    <w:r w:rsidR="00C70917">
      <w:rPr>
        <w:noProof/>
      </w:rPr>
      <w:t>16</w:t>
    </w:r>
    <w:r w:rsidRPr="00DD35EE">
      <w:fldChar w:fldCharType="end"/>
    </w:r>
    <w:r w:rsidRPr="00DD35EE">
      <w:t>/</w:t>
    </w:r>
    <w:fldSimple w:instr=" NUMPAGES  \* MERGEFORMAT ">
      <w:r w:rsidR="00C70917">
        <w:rPr>
          <w:noProof/>
        </w:rPr>
        <w:t>17</w:t>
      </w:r>
    </w:fldSimple>
    <w:r w:rsidRPr="00DD35EE">
      <w:tab/>
    </w:r>
    <w:r w:rsidRPr="00DD35EE">
      <w:rPr>
        <w:rStyle w:val="HideTWBExt"/>
        <w:noProof w:val="0"/>
      </w:rPr>
      <w:t>&lt;PathFdR&gt;</w:t>
    </w:r>
    <w:r w:rsidRPr="00DD35EE">
      <w:t>RR\1157157BG.docx</w:t>
    </w:r>
    <w:r w:rsidRPr="00DD35EE">
      <w:rPr>
        <w:rStyle w:val="HideTWBExt"/>
        <w:noProof w:val="0"/>
      </w:rPr>
      <w:t>&lt;/PathFdR&gt;</w:t>
    </w:r>
  </w:p>
  <w:p w14:paraId="00ED5756" w14:textId="68590F91" w:rsidR="00F74B09" w:rsidRPr="00DD35EE" w:rsidRDefault="00DD35EE" w:rsidP="00DD35EE">
    <w:pPr>
      <w:pStyle w:val="Footer2"/>
    </w:pPr>
    <w:r w:rsidRPr="00DD35EE">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E9FB" w14:textId="77777777" w:rsidR="00DD35EE" w:rsidRPr="00DD35EE" w:rsidRDefault="00DD35EE" w:rsidP="00DD35EE">
    <w:pPr>
      <w:pStyle w:val="Footer"/>
    </w:pPr>
    <w:r w:rsidRPr="00DD35EE">
      <w:rPr>
        <w:rStyle w:val="HideTWBExt"/>
        <w:noProof w:val="0"/>
      </w:rPr>
      <w:t>&lt;PathFdR&gt;</w:t>
    </w:r>
    <w:r w:rsidRPr="00DD35EE">
      <w:t>RR\1157157BG.docx</w:t>
    </w:r>
    <w:r w:rsidRPr="00DD35EE">
      <w:rPr>
        <w:rStyle w:val="HideTWBExt"/>
        <w:noProof w:val="0"/>
      </w:rPr>
      <w:t>&lt;/PathFdR&gt;</w:t>
    </w:r>
    <w:r w:rsidRPr="00DD35EE">
      <w:tab/>
    </w:r>
    <w:r w:rsidRPr="00DD35EE">
      <w:fldChar w:fldCharType="begin"/>
    </w:r>
    <w:r w:rsidRPr="00DD35EE">
      <w:instrText xml:space="preserve"> PAGE  \* MERGEFORMAT </w:instrText>
    </w:r>
    <w:r w:rsidRPr="00DD35EE">
      <w:fldChar w:fldCharType="separate"/>
    </w:r>
    <w:r w:rsidR="00C70917">
      <w:rPr>
        <w:noProof/>
      </w:rPr>
      <w:t>15</w:t>
    </w:r>
    <w:r w:rsidRPr="00DD35EE">
      <w:fldChar w:fldCharType="end"/>
    </w:r>
    <w:r w:rsidRPr="00DD35EE">
      <w:t>/</w:t>
    </w:r>
    <w:fldSimple w:instr=" NUMPAGES  \* MERGEFORMAT ">
      <w:r w:rsidR="00C70917">
        <w:rPr>
          <w:noProof/>
        </w:rPr>
        <w:t>17</w:t>
      </w:r>
    </w:fldSimple>
    <w:r w:rsidRPr="00DD35EE">
      <w:tab/>
      <w:t>PE</w:t>
    </w:r>
    <w:r w:rsidRPr="00DD35EE">
      <w:rPr>
        <w:rStyle w:val="HideTWBExt"/>
        <w:noProof w:val="0"/>
      </w:rPr>
      <w:t>&lt;NoPE&gt;</w:t>
    </w:r>
    <w:r w:rsidRPr="00DD35EE">
      <w:t>619.417</w:t>
    </w:r>
    <w:r w:rsidRPr="00DD35EE">
      <w:rPr>
        <w:rStyle w:val="HideTWBExt"/>
        <w:noProof w:val="0"/>
      </w:rPr>
      <w:t>&lt;/NoPE&gt;&lt;Version&gt;</w:t>
    </w:r>
    <w:r w:rsidRPr="00DD35EE">
      <w:t>v03-00</w:t>
    </w:r>
    <w:r w:rsidRPr="00DD35EE">
      <w:rPr>
        <w:rStyle w:val="HideTWBExt"/>
        <w:noProof w:val="0"/>
      </w:rPr>
      <w:t>&lt;/Version&gt;</w:t>
    </w:r>
  </w:p>
  <w:p w14:paraId="76D5B400" w14:textId="5C8BAA95" w:rsidR="00F74B09" w:rsidRPr="00DD35EE" w:rsidRDefault="00DD35EE" w:rsidP="00DD35EE">
    <w:pPr>
      <w:pStyle w:val="Footer2"/>
    </w:pPr>
    <w:r w:rsidRPr="00DD35EE">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808F" w14:textId="77777777" w:rsidR="00DD35EE" w:rsidRPr="00DD35EE" w:rsidRDefault="00DD35EE" w:rsidP="00DD35EE">
    <w:pPr>
      <w:pStyle w:val="Footer"/>
    </w:pPr>
    <w:r w:rsidRPr="00DD35EE">
      <w:rPr>
        <w:rStyle w:val="HideTWBExt"/>
        <w:noProof w:val="0"/>
      </w:rPr>
      <w:t>&lt;PathFdR&gt;</w:t>
    </w:r>
    <w:r w:rsidRPr="00DD35EE">
      <w:t>RR\1157157BG.docx</w:t>
    </w:r>
    <w:r w:rsidRPr="00DD35EE">
      <w:rPr>
        <w:rStyle w:val="HideTWBExt"/>
        <w:noProof w:val="0"/>
      </w:rPr>
      <w:t>&lt;/PathFdR&gt;</w:t>
    </w:r>
    <w:r w:rsidRPr="00DD35EE">
      <w:tab/>
    </w:r>
    <w:r w:rsidRPr="00DD35EE">
      <w:tab/>
      <w:t>PE</w:t>
    </w:r>
    <w:r w:rsidRPr="00DD35EE">
      <w:rPr>
        <w:rStyle w:val="HideTWBExt"/>
        <w:noProof w:val="0"/>
      </w:rPr>
      <w:t>&lt;NoPE&gt;</w:t>
    </w:r>
    <w:r w:rsidRPr="00DD35EE">
      <w:t>619.417</w:t>
    </w:r>
    <w:r w:rsidRPr="00DD35EE">
      <w:rPr>
        <w:rStyle w:val="HideTWBExt"/>
        <w:noProof w:val="0"/>
      </w:rPr>
      <w:t>&lt;/NoPE&gt;&lt;Version&gt;</w:t>
    </w:r>
    <w:r w:rsidRPr="00DD35EE">
      <w:t>v03-00</w:t>
    </w:r>
    <w:r w:rsidRPr="00DD35EE">
      <w:rPr>
        <w:rStyle w:val="HideTWBExt"/>
        <w:noProof w:val="0"/>
      </w:rPr>
      <w:t>&lt;/Version&gt;</w:t>
    </w:r>
  </w:p>
  <w:p w14:paraId="5EF884B5" w14:textId="16A87006" w:rsidR="00F74B09" w:rsidRPr="00DD35EE" w:rsidRDefault="00DD35EE" w:rsidP="00DD35EE">
    <w:pPr>
      <w:pStyle w:val="Footer2"/>
      <w:tabs>
        <w:tab w:val="center" w:pos="4535"/>
      </w:tabs>
    </w:pPr>
    <w:r w:rsidRPr="00DD35EE">
      <w:t>BG</w:t>
    </w:r>
    <w:r w:rsidRPr="00DD35EE">
      <w:tab/>
    </w:r>
    <w:r w:rsidRPr="00DD35EE">
      <w:rPr>
        <w:b w:val="0"/>
        <w:i/>
        <w:color w:val="C0C0C0"/>
        <w:sz w:val="22"/>
      </w:rPr>
      <w:t>Единство в многообразието</w:t>
    </w:r>
    <w:r w:rsidRPr="00DD35EE">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B42C2" w14:textId="77777777" w:rsidR="0090298C" w:rsidRPr="00DD35EE" w:rsidRDefault="0090298C">
      <w:r w:rsidRPr="00DD35EE">
        <w:separator/>
      </w:r>
    </w:p>
  </w:footnote>
  <w:footnote w:type="continuationSeparator" w:id="0">
    <w:p w14:paraId="05E0BD27" w14:textId="77777777" w:rsidR="0090298C" w:rsidRPr="00DD35EE" w:rsidRDefault="0090298C">
      <w:r w:rsidRPr="00DD35EE">
        <w:continuationSeparator/>
      </w:r>
    </w:p>
  </w:footnote>
  <w:footnote w:id="1">
    <w:p w14:paraId="1B184FA0" w14:textId="7CB7E1EC" w:rsidR="001C52B7" w:rsidRPr="00C70917" w:rsidRDefault="001C52B7" w:rsidP="001C52B7">
      <w:pPr>
        <w:pStyle w:val="FootnoteText"/>
        <w:tabs>
          <w:tab w:val="left" w:pos="567"/>
        </w:tabs>
      </w:pPr>
      <w:r w:rsidRPr="00C70917">
        <w:rPr>
          <w:rStyle w:val="FootnoteReference"/>
        </w:rPr>
        <w:footnoteRef/>
      </w:r>
      <w:r w:rsidRPr="00C70917">
        <w:rPr>
          <w:vertAlign w:val="superscript"/>
        </w:rPr>
        <w:t xml:space="preserve"> </w:t>
      </w:r>
      <w:r w:rsidRPr="00C70917">
        <w:tab/>
        <w:t>ОВ C 212, 1.7.2017 г., стр. 14.</w:t>
      </w:r>
    </w:p>
  </w:footnote>
  <w:footnote w:id="2">
    <w:p w14:paraId="1B770EE3" w14:textId="28333DA2" w:rsidR="00177669" w:rsidRPr="00C70917" w:rsidRDefault="00177669" w:rsidP="00F87895">
      <w:pPr>
        <w:pStyle w:val="FootnoteText"/>
        <w:tabs>
          <w:tab w:val="left" w:pos="567"/>
        </w:tabs>
      </w:pPr>
      <w:r w:rsidRPr="00C70917">
        <w:rPr>
          <w:rStyle w:val="FootnoteReference"/>
        </w:rPr>
        <w:footnoteRef/>
      </w:r>
      <w:r w:rsidRPr="00C70917">
        <w:t xml:space="preserve"> </w:t>
      </w:r>
      <w:r w:rsidRPr="00C70917">
        <w:tab/>
        <w:t>ОВ C 340, 11.10.2017 г., стр. 1.</w:t>
      </w:r>
      <w:r w:rsidRPr="00C70917">
        <w:rPr>
          <w:rFonts w:ascii="Lucida Sans Unicode" w:hAnsi="Lucida Sans Unicode"/>
          <w:i/>
          <w:iCs/>
          <w:color w:val="44444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A392" w14:textId="77777777" w:rsidR="00C70917" w:rsidRDefault="00C70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2D61" w14:textId="77777777" w:rsidR="00C70917" w:rsidRDefault="00C70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AF0C" w14:textId="77777777" w:rsidR="00C70917" w:rsidRDefault="00C70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4"/>
    <w:docVar w:name="AMACTMNU" w:val=" 1"/>
    <w:docVar w:name="ARTMNU" w:val=" 2"/>
    <w:docVar w:name="CJMNU" w:val="2"/>
    <w:docVar w:name="COMKEY" w:val="CJ32"/>
    <w:docVar w:name="CopyToNetwork" w:val="-1"/>
    <w:docVar w:name="CVar" w:val="4"/>
    <w:docVar w:name="DOCDT" w:val="25/06/2018"/>
    <w:docVar w:name="DOCMNU" w:val=" 3"/>
    <w:docVar w:name="DOCREFMNU" w:val=" 2"/>
    <w:docVar w:name="EPSTATMNU" w:val=" 2"/>
    <w:docVar w:name="iNoAmend" w:val="4"/>
    <w:docVar w:name="INSTITUTIONSMNU" w:val=" 2"/>
    <w:docVar w:name="JURI1MNU" w:val=" 2"/>
    <w:docVar w:name="JURI2MNU" w:val=" 2"/>
    <w:docVar w:name="LastEditedSection" w:val=" 1"/>
    <w:docVar w:name="ORLANGKEY" w:val="EN"/>
    <w:docVar w:name="ORLANGMNU" w:val=" 1"/>
    <w:docVar w:name="OTHERSTATMNU" w:val=" 2"/>
    <w:docVar w:name="PARLIAMENTS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53326 HideTWBExt;}{\*\cs16 \additive \v\cf15 \spriority0 \styrsid4853326 HideTWBInt;}{\s17\ql \li0\ri0\sa120\nowidctlpar\wrapdefault\aspalpha\aspnum\faauto\adjustright\rin0\lin0\itap0 _x000d__x000a_\rtlch\fcs1 \af0\afs20\alang1025 \ltrch\fcs0 \fs24\lang2057\langfe2057\cgrid\langnp2057\langfenp2057 \sbasedon0 \snext17 \slink18 \spriority0 \styrsid4853326 Normal6;}{\*\cs18 \additive \fs24 \slink17 \slocked \spriority0 \styrsid4853326 Normal6 Char;}{_x000d__x000a_\s19\ql \li0\ri0\nowidctlpar\wrapdefault\aspalpha\aspnum\faauto\adjustright\rin0\lin0\itap0 \rtlch\fcs1 \af0\afs20\alang1025 \ltrch\fcs0 \b\fs24\lang2057\langfe2057\cgrid\langnp2057\langfenp2057 \sbasedon0 \snext19 \slink20 \spriority0 \styrsid4853326 _x000d__x000a_NormalBold;}{\*\cs20 \additive \b\fs24 \slink19 \slocked \spriority0 \styrsid4853326 NormalBold Char;}{\s21\ql \li0\ri0\sb240\nowidctlpar\wrapdefault\aspalpha\aspnum\faauto\adjustright\rin0\lin0\itap0 \rtlch\fcs1 \af0\afs20\alang1025 \ltrch\fcs0 _x000d__x000a_\i\fs24\lang2057\langfe2057\cgrid\langnp2057\langfenp2057 \sbasedon0 \snext21 \spriority0 \styrsid4853326 Normal12Italic;}{\s22\qc \li0\ri0\sb240\nowidctlpar\wrapdefault\aspalpha\aspnum\faauto\adjustright\rin0\lin0\itap0 \rtlch\fcs1 \af0\afs20\alang1025 _x000d__x000a_\ltrch\fcs0 \i\fs24\lang2057\langfe2057\cgrid\langnp2057\langfenp2057 \sbasedon0 \snext22 \spriority0 \styrsid4853326 CrossRef;}{\s23\qc \li0\ri0\sb240\keepn\nowidctlpar\wrapdefault\aspalpha\aspnum\faauto\adjustright\rin0\lin0\itap0 \rtlch\fcs1 _x000d__x000a_\af0\afs20\alang1025 \ltrch\fcs0 \i\fs24\lang2057\langfe2057\cgrid\langnp2057\langfenp2057 \sbasedon0 \snext0 \spriority0 \styrsid4853326 JustificationTitle;}{_x000d__x000a_\s24\qc \li0\ri0\sa240\nowidctlpar\wrapdefault\aspalpha\aspnum\faauto\adjustright\rin0\lin0\itap0 \rtlch\fcs1 \af0\afs20\alang1025 \ltrch\fcs0 \i\fs24\lang2057\langfe2057\cgrid\langnp2057\langfenp2057 \sbasedon0 \snext24 \spriority0 \styrsid4853326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4853326 AMNumberTabs;}{_x000d__x000a_\s26\ql \li0\ri0\sb240\nowidctlpar\wrapdefault\aspalpha\aspnum\faauto\adjustright\rin0\lin0\itap0 \rtlch\fcs1 \af0\afs20\alang1025 \ltrch\fcs0 \b\fs24\lang2057\langfe2057\cgrid\langnp2057\langfenp2057 \sbasedon0 \snext26 \spriority0 \styrsid4853326 _x000d__x000a_NormalBold12b;}}{\*\rsidtbl \rsid24658\rsid735077\rsid2892074\rsid3483499\rsid4666813\rsid4853326\rsid6641733\rsid9636012\rsid11215221\rsid12154954\rsid14424199\rsid15204470\rsid15285974\rsid15950462\rsid16324206\rsid16662270}{\mmathPr\mmathFont34_x000d__x000a_\mbrkBin0\mbrkBinSub0\msmallFrac0\mdispDef1\mlMargin0\mrMargin0\mdefJc1\mwrapIndent1440\mintLim0\mnaryLim1}{\info{\author MLYNAROVA Slavka}{\operator MLYNAROVA Slavka}{\creatim\yr2018\mo6\dy20\hr12\min16}{\revtim\yr2018\mo6\dy20\hr12\min16}{\version1}_x000d__x000a_{\edmins0}{\nofpages1}{\nofwords97}{\nofchars524}{\*\company European Parliament}{\nofcharsws615}{\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53326\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3483499 \chftnsep _x000d__x000a_\par }}{\*\ftnsepc \ltrpar \pard\plain \ltrpar\ql \li0\ri0\widctlpar\wrapdefault\aspalpha\aspnum\faauto\adjustright\rin0\lin0\itap0 \rtlch\fcs1 \af0\afs20\alang1025 \ltrch\fcs0 \fs24\lang2057\langfe2057\cgrid\langnp2057\langfenp2057 {\rtlch\fcs1 \af0 _x000d__x000a_\ltrch\fcs0 \insrsid3483499 \chftnsepc _x000d__x000a_\par }}{\*\aftnsep \ltrpar \pard\plain \ltrpar\ql \li0\ri0\widctlpar\wrapdefault\aspalpha\aspnum\faauto\adjustright\rin0\lin0\itap0 \rtlch\fcs1 \af0\afs20\alang1025 \ltrch\fcs0 \fs24\lang2057\langfe2057\cgrid\langnp2057\langfenp2057 {\rtlch\fcs1 \af0 _x000d__x000a_\ltrch\fcs0 \insrsid3483499 \chftnsep _x000d__x000a_\par }}{\*\aftnsepc \ltrpar \pard\plain \ltrpar\ql \li0\ri0\widctlpar\wrapdefault\aspalpha\aspnum\faauto\adjustright\rin0\lin0\itap0 \rtlch\fcs1 \af0\afs20\alang1025 \ltrch\fcs0 \fs24\lang2057\langfe2057\cgrid\langnp2057\langfenp2057 {\rtlch\fcs1 \af0 _x000d__x000a_\ltrch\fcs0 \insrsid34834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4853326\charrsid9447820 {\*\bkmkstart restart}&lt;Amend&gt;}{_x000d__x000a_\rtlch\fcs1 \af0 \ltrch\fcs0 \insrsid4853326\charrsid9447820 Amendment\tab \tab }{\rtlch\fcs1 \af0 \ltrch\fcs0 \cs15\b0\v\f1\fs20\cf9\insrsid4853326\charrsid9447820 &lt;NumAm&gt;}{\rtlch\fcs1 \af0 \ltrch\fcs0 \insrsid4853326\charrsid9447820 #}{\rtlch\fcs1 \af0 _x000d__x000a_\ltrch\fcs0 \cs16\v\cf15\insrsid4853326\charrsid9447820 ENMIENDA@NRAM@}{\rtlch\fcs1 \af0 \ltrch\fcs0 \insrsid4853326\charrsid9447820 #}{\rtlch\fcs1 \af0 \ltrch\fcs0 \cs15\b0\v\f1\fs20\cf9\insrsid4853326\charrsid9447820 &lt;/NumAm&gt;}{\rtlch\fcs1 \af0 _x000d__x000a_\ltrch\fcs0 \insrsid4853326\charrsid9447820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4853326\charrsid9447820 &lt;DocAmend&gt;}{\rtlch\fcs1 \af0 \ltrch\fcs0 \insrsid4853326\charrsid9447820 Draft #}{\rtlch\fcs1 \af0 \ltrch\fcs0 \cs16\v\cf15\insrsid4853326\charrsid9447820 _x000d__x000a_MNU[DOC1][DOC2][DOC3]@DOCMSG@DOCMNU}{\rtlch\fcs1 \af0 \ltrch\fcs0 \insrsid4853326\charrsid9447820 ##}{\rtlch\fcs1 \af0 \ltrch\fcs0 \cs16\v\cf15\insrsid4853326\charrsid9447820 MNU[AMACTYES][NOTAPP]@CHOICE@AMACTMNU}{\rtlch\fcs1 \af0 \ltrch\fcs0 _x000d__x000a_\insrsid4853326\charrsid9447820 #}{\rtlch\fcs1 \af0 \ltrch\fcs0 \cs15\b0\v\f1\fs20\cf9\insrsid4853326\charrsid9447820 &lt;/DocAmend&gt;}{\rtlch\fcs1 \af0 \ltrch\fcs0 \insrsid4853326\charrsid9447820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4853326\charrsid9447820 &lt;Article&gt;}{\rtlch\fcs1 \af0 \ltrch\fcs0 \insrsid4853326\charrsid9447820 #}{\rtlch\fcs1 \af0 \ltrch\fcs0 \cs16\v\cf15\insrsid4853326\charrsid9447820 _x000d__x000a_MNU[AMACTPARTYES][AMACTPARTNO]@CHOICE@AMACTMNU}{\rtlch\fcs1 \af0 \ltrch\fcs0 \insrsid4853326\charrsid9447820 #}{\rtlch\fcs1 \af0 \ltrch\fcs0 \cs15\b0\v\f1\fs20\cf9\insrsid4853326\charrsid9447820 &lt;/Article&gt;}{\rtlch\fcs1 \af0 \ltrch\fcs0 _x000d__x000a_\insrsid4853326\charrsid9447820 _x000d__x000a_\par }\pard\plain \ltrpar\ql \li0\ri0\keepn\widctlpar\wrapdefault\aspalpha\aspnum\faauto\adjustright\rin0\lin0\itap0\pararsid1856914 \rtlch\fcs1 \af0\afs20\alang1025 \ltrch\fcs0 \fs24\lang2057\langfe2057\cgrid\langnp2057\langfenp2057 {\rtlch\fcs1 \af0 _x000d__x000a_\ltrch\fcs0 \cs15\v\f1\fs20\cf9\insrsid4853326\charrsid9447820 &lt;DocAmend2&gt;&lt;OptDel&gt;}{\rtlch\fcs1 \af0 \ltrch\fcs0 \insrsid4853326\charrsid9447820 #}{\rtlch\fcs1 \af0 \ltrch\fcs0 \cs16\v\cf15\insrsid4853326\charrsid9447820 MNU[OPTNRACTYES][NOTA_x000d__x000a_PP]@CHOICE@AMACTMNU}{\rtlch\fcs1 \af0 \ltrch\fcs0 \insrsid4853326\charrsid9447820 #}{\rtlch\fcs1 \af0 \ltrch\fcs0 \cs15\v\f1\fs20\cf9\insrsid4853326\charrsid9447820 &lt;/OptDel&gt;&lt;/DocAmend2&gt;}{\rtlch\fcs1 \af0 \ltrch\fcs0 \insrsid4853326\charrsid9447820 _x000d__x000a__x000d__x000a_\par }\pard \ltrpar\ql \li0\ri0\widctlpar\wrapdefault\aspalpha\aspnum\faauto\adjustright\rin0\lin0\itap0\pararsid2517430 {\rtlch\fcs1 \af0 \ltrch\fcs0 \cs15\v\f1\fs20\cf9\insrsid4853326\charrsid9447820 &lt;Article2&gt;&lt;OptDel&gt;}{\rtlch\fcs1 \af0 \ltrch\fcs0 _x000d__x000a_\insrsid4853326\charrsid9447820 #}{\rtlch\fcs1 \af0 \ltrch\fcs0 \cs16\v\cf15\insrsid4853326\charrsid9447820 MNU[OPTACTPARTYES][NOTAPP]@CHOICE@AMACTMNU}{\rtlch\fcs1 \af0 \ltrch\fcs0 \insrsid4853326\charrsid9447820 #}{\rtlch\fcs1 \af0 \ltrch\fcs0 _x000d__x000a_\cs15\v\f1\fs20\cf9\insrsid4853326\charrsid9447820 &lt;/OptDel&gt;&lt;/Article2&gt;}{\rtlch\fcs1 \af0 \ltrch\fcs0 \insrsid4853326\charrsid9447820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4853326\charrsid9447820 _x000d__x000a_\cell }\pard \ltrpar\ql \li0\ri0\widctlpar\intbl\wrapdefault\aspalpha\aspnum\faauto\adjustright\rin0\lin0 {\rtlch\fcs1 \af0 \ltrch\fcs0 \insrsid4853326\charrsid9447820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4853326\charrsid9447820 #}{\rtlch\fcs1 \af0 \ltrch\fcs0 \cs16\v\cf15\insrsid4853326\charrsid9447820 MNU[OPTLEFTAMACT][LEFTPROP]@CHOICE@AMACTMNU}{\rtlch\fcs1 \af0 \ltrch\fcs0 \insrsid4853326\charrsid9447820 #\cell _x000d__x000a_Amendment\cell }\pard\plain \ltrpar\ql \li0\ri0\widctlpar\intbl\wrapdefault\aspalpha\aspnum\faauto\adjustright\rin0\lin0 \rtlch\fcs1 \af0\afs20\alang1025 \ltrch\fcs0 \fs24\lang2057\langfe2057\cgrid\langnp2057\langfenp2057 {\rtlch\fcs1 \af0 \ltrch\fcs0 _x000d__x000a_\insrsid4853326\charrsid9447820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4853326\charrsid9447820 ##\cell ##}{\rtlch\fcs1 \af0\afs24 \ltrch\fcs0 \insrsid4853326\charrsid9447820 \cell }\pard\plain \ltrpar\ql \li0\ri0\widctlpar\intbl\wrapdefault\aspalpha\aspnum\faauto\adjustright\rin0\lin0 \rtlch\fcs1 _x000d__x000a_\af0\afs20\alang1025 \ltrch\fcs0 \fs24\lang2057\langfe2057\cgrid\langnp2057\langfenp2057 {\rtlch\fcs1 \af0 \ltrch\fcs0 \insrsid4853326\charrsid9447820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4853326\charrsid9447820 &lt;OptDel&gt;}{\rtlch\fcs1 \af0 \ltrch\fcs0 \insrsid4853326\charrsid9447820 #}{\rtlch\fcs1 \af0 \ltrch\fcs0 \cs16\v\cf15\insrsid4853326\charrsid9447820 MNU[CROSSREFNO][CROSSREFYES]@CHOICE@}{\rtlch\fcs1 _x000d__x000a_\af0 \ltrch\fcs0 \insrsid4853326\charrsid9447820 #}{\rtlch\fcs1 \af0 \ltrch\fcs0 \cs15\i0\v\f1\fs20\cf9\insrsid4853326\charrsid9447820 &lt;/OptDel&gt;}{\rtlch\fcs1 \af0 \ltrch\fcs0 \insrsid4853326\charrsid9447820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4853326\charrsid9447820 &lt;TitreJust&gt;}{\rtlch\fcs1 \af0 \ltrch\fcs0 \insrsid4853326\charrsid9447820 Justification}{\rtlch\fcs1 \af0 \ltrch\fcs0 \cs15\i0\v\f1\fs20\cf9\insrsid4853326\charrsid9447820 _x000d__x000a_&lt;/TitreJust&gt;}{\rtlch\fcs1 \af0 \ltrch\fcs0 \insrsid4853326\charrsid9447820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4853326\charrsid9447820 &lt;OptDelPrev&gt;}{\rtlch\fcs1 \af0 \ltrch\fcs0 \insrsid4853326\charrsid9447820 #}{\rtlch\fcs1 \af0 \ltrch\fcs0 \cs16\v\cf15\insrsid4853326\charrsid9447820 MNU[TEXTJUSTYES][TEXTJUSTNO]@CHOICE@}{_x000d__x000a_\rtlch\fcs1 \af0 \ltrch\fcs0 \insrsid4853326\charrsid9447820 #}{\rtlch\fcs1 \af0 \ltrch\fcs0 \cs15\i0\v\f1\fs20\cf9\insrsid4853326\charrsid9447820 &lt;/OptDelPrev&gt;}{\rtlch\fcs1 \af0 \ltrch\fcs0 \insrsid4853326\charrsid9447820 _x000d__x000a_\par }\pard\plain \ltrpar\ql \li0\ri0\widctlpar\wrapdefault\aspalpha\aspnum\faauto\adjustright\rin0\lin0\itap0\pararsid16324206 \rtlch\fcs1 \af0\afs20\alang1025 \ltrch\fcs0 \fs24\lang2057\langfe2057\cgrid\langnp2057\langfenp2057 {\rtlch\fcs1 \af0 \ltrch\fcs0 _x000d__x000a_\cs15\v\f1\fs20\cf9\insrsid4853326\charrsid9447820 &lt;/Amend&gt;}{\rtlch\fcs1 \af0 \ltrch\fcs0 \insrsid4853326\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4_x000d__x000a_9ec07f0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72597 HideTWBExt;}{\s16\ql \li0\ri0\sa120\nowidctlpar\wrapdefault\aspalpha\aspnum\faauto\adjustright\rin0\lin0\itap0 \rtlch\fcs1 \af0\afs20\alang1025 \ltrch\fcs0 _x000d__x000a_\fs24\lang2057\langfe2057\cgrid\langnp2057\langfenp2057 \sbasedon0 \snext16 \slink17 \spriority0 \styrsid6772597 Normal6;}{\*\cs17 \additive \fs24 \slink16 \slocked \spriority0 \styrsid6772597 Normal6 Char;}{_x000d__x000a_\s18\ql \li0\ri0\nowidctlpar\wrapdefault\aspalpha\aspnum\faauto\adjustright\rin0\lin0\itap0 \rtlch\fcs1 \af0\afs20\alang1025 \ltrch\fcs0 \b\fs24\lang2057\langfe2057\cgrid\langnp2057\langfenp2057 \sbasedon0 \snext18 \slink19 \spriority0 \styrsid6772597 _x000d__x000a_NormalBold;}{\*\cs19 \additive \b\fs24 \slink18 \slocked \spriority0 \styrsid6772597 NormalBold Char;}{\s20\ql \li0\ri0\sb240\nowidctlpar\wrapdefault\aspalpha\aspnum\faauto\adjustright\rin0\lin0\itap0 \rtlch\fcs1 \af0\afs20\alang1025 \ltrch\fcs0 _x000d__x000a_\i\fs24\lang2057\langfe2057\cgrid\langnp2057\langfenp2057 \sbasedon0 \snext20 \spriority0 \styrsid6772597 Normal12Italic;}{\s21\qc \li0\ri0\sb240\nowidctlpar\wrapdefault\aspalpha\aspnum\faauto\adjustright\rin0\lin0\itap0 \rtlch\fcs1 \af0\afs20\alang1025 _x000d__x000a_\ltrch\fcs0 \i\fs24\lang2057\langfe2057\cgrid\langnp2057\langfenp2057 \sbasedon0 \snext21 \spriority0 \styrsid6772597 CrossRef;}{\s22\qc \li0\ri0\sb240\keepn\nowidctlpar\wrapdefault\aspalpha\aspnum\faauto\adjustright\rin0\lin0\itap0 \rtlch\fcs1 _x000d__x000a_\af0\afs20\alang1025 \ltrch\fcs0 \i\fs24\lang2057\langfe2057\cgrid\langnp2057\langfenp2057 \sbasedon0 \snext0 \spriority0 \styrsid6772597 JustificationTitle;}{_x000d__x000a_\s23\qc \li0\ri0\sa240\nowidctlpar\wrapdefault\aspalpha\aspnum\faauto\adjustright\rin0\lin0\itap0 \rtlch\fcs1 \af0\afs20\alang1025 \ltrch\fcs0 \i\fs24\lang2057\langfe2057\cgrid\langnp2057\langfenp2057 \sbasedon0 \snext23 \spriority0 \styrsid677259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772597 AMNumberTabs;}{_x000d__x000a_\s25\ql \li0\ri0\sb240\nowidctlpar\wrapdefault\aspalpha\aspnum\faauto\adjustright\rin0\lin0\itap0 \rtlch\fcs1 \af0\afs20\alang1025 \ltrch\fcs0 \b\fs24\lang2057\langfe2057\cgrid\langnp2057\langfenp2057 \sbasedon0 \snext25 \spriority0 \styrsid6772597 _x000d__x000a_NormalBold12b;}}{\*\rsidtbl \rsid24658\rsid735077\rsid2892074\rsid4666813\rsid6641733\rsid6772597\rsid9202946\rsid9636012\rsid11215221\rsid12154954\rsid14424199\rsid15204470\rsid15285974\rsid15950462\rsid16324206\rsid16662270}{\mmathPr\mmathFont34_x000d__x000a_\mbrkBin0\mbrkBinSub0\msmallFrac0\mdispDef1\mlMargin0\mrMargin0\mdefJc1\mwrapIndent1440\mintLim0\mnaryLim1}{\info{\author MLYNAROVA Slavka}{\operator MLYNAROVA Slavka}{\creatim\yr2018\mo6\dy20\hr12\min16}{\revtim\yr2018\mo6\dy20\hr12\min16}{\version1}_x000d__x000a_{\edmins0}{\nofpages1}{\nofwords57}{\nofchars310}{\*\company European Parliament}{\nofcharsws364}{\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72597\utinl \fet0{\*\wgrffmtfilter 013f}\ilfomacatclnup0{\*\template C:\\Users\\SMLYNA~1\\AppData\\Local\\Temp\\Blank1.dot}{\*\ftnsep \ltrpar \pard\plain \ltrpar_x000d__x000a_\ql \li0\ri0\widctlpar\wrapdefault\aspalpha\aspnum\faauto\adjustright\rin0\lin0\itap0 \rtlch\fcs1 \af0\afs20\alang1025 \ltrch\fcs0 \fs24\lang2057\langfe2057\cgrid\langnp2057\langfenp2057 {\rtlch\fcs1 \af0 \ltrch\fcs0 \insrsid9202946 \chftnsep _x000d__x000a_\par }}{\*\ftnsepc \ltrpar \pard\plain \ltrpar\ql \li0\ri0\widctlpar\wrapdefault\aspalpha\aspnum\faauto\adjustright\rin0\lin0\itap0 \rtlch\fcs1 \af0\afs20\alang1025 \ltrch\fcs0 \fs24\lang2057\langfe2057\cgrid\langnp2057\langfenp2057 {\rtlch\fcs1 \af0 _x000d__x000a_\ltrch\fcs0 \insrsid9202946 \chftnsepc _x000d__x000a_\par }}{\*\aftnsep \ltrpar \pard\plain \ltrpar\ql \li0\ri0\widctlpar\wrapdefault\aspalpha\aspnum\faauto\adjustright\rin0\lin0\itap0 \rtlch\fcs1 \af0\afs20\alang1025 \ltrch\fcs0 \fs24\lang2057\langfe2057\cgrid\langnp2057\langfenp2057 {\rtlch\fcs1 \af0 _x000d__x000a_\ltrch\fcs0 \insrsid9202946 \chftnsep _x000d__x000a_\par }}{\*\aftnsepc \ltrpar \pard\plain \ltrpar\ql \li0\ri0\widctlpar\wrapdefault\aspalpha\aspnum\faauto\adjustright\rin0\lin0\itap0 \rtlch\fcs1 \af0\afs20\alang1025 \ltrch\fcs0 \fs24\lang2057\langfe2057\cgrid\langnp2057\langfenp2057 {\rtlch\fcs1 \af0 _x000d__x000a_\ltrch\fcs0 \insrsid92029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6772597\charrsid4593153 {\*\bkmkstart restart}&lt;Amend&gt;}{_x000d__x000a_\rtlch\fcs1 \af0 \ltrch\fcs0 \insrsid6772597\charrsid4593153 [ZAMENDMENT]\tab \tab }{\rtlch\fcs1 \af0 \ltrch\fcs0 \cs15\b0\v\f1\fs20\cf9\insrsid6772597\charrsid4593153 &lt;NumAm&gt;}{\rtlch\fcs1 \af0 \ltrch\fcs0 \insrsid6772597\charrsid4593153 [ZNRAM]}{_x000d__x000a_\rtlch\fcs1 \af0 \ltrch\fcs0 \cs15\b0\v\f1\fs20\cf9\insrsid6772597\charrsid4593153 &lt;/NumAm&gt;}{\rtlch\fcs1 \af0 \ltrch\fcs0 \insrsid6772597\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6772597\charrsid4593153 &lt;DocAmend&gt;}{\rtlch\fcs1 \af0 \ltrch\fcs0 \insrsid6772597\charrsid4593153 [ZPROPOSAL][ZAMACT]}{\rtlch\fcs1 \af0 \ltrch\fcs0 _x000d__x000a_\cs15\b0\v\f1\fs20\cf9\insrsid6772597\charrsid4593153 &lt;/DocAmend&gt;}{\rtlch\fcs1 \af0 \ltrch\fcs0 \insrsid6772597\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6772597\charrsid4593153 &lt;Article&gt;}{\rtlch\fcs1 \af0 \ltrch\fcs0 \insrsid6772597\charrsid4593153 [ZAMPART]}{\rtlch\fcs1 \af0 \ltrch\fcs0 \cs15\b0\v\f1\fs20\cf9\insrsid6772597\charrsid4593153 &lt;/Article&gt;}{_x000d__x000a_\rtlch\fcs1 \af0 \ltrch\fcs0 \insrsid6772597\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6772597\charrsid4593153 &lt;DocAmend2&gt;&lt;OptDel&gt;}{\rtlch\fcs1 \af0 \ltrch\fcs0 \insrsid6772597\charrsid4593153 [ZNRACT]}{\rtlch\fcs1 \af0 \ltrch\fcs0 \cs15\v\f1\fs20\cf9\insrsid6772597\charrsid4593153 _x000d__x000a_&lt;/OptDel&gt;&lt;/DocAmend2&gt;}{\rtlch\fcs1 \af0 \ltrch\fcs0 \insrsid6772597\charrsid4593153 _x000d__x000a_\par }\pard \ltrpar\ql \li0\ri0\widctlpar\wrapdefault\aspalpha\aspnum\faauto\adjustright\rin0\lin0\itap0\pararsid2517430 {\rtlch\fcs1 \af0 \ltrch\fcs0 \cs15\v\f1\fs20\cf9\insrsid6772597\charrsid4593153 &lt;Article2&gt;&lt;OptDel&gt;}{\rtlch\fcs1 \af0 \ltrch\fcs0 _x000d__x000a_\insrsid6772597\charrsid4593153 [ZACTPART]}{\rtlch\fcs1 \af0 \ltrch\fcs0 \cs15\v\f1\fs20\cf9\insrsid6772597\charrsid4593153 &lt;/OptDel&gt;&lt;/Article2&gt;}{\rtlch\fcs1 \af0 \ltrch\fcs0 \insrsid6772597\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6772597\charrsid4593153 _x000d__x000a_\cell }\pard \ltrpar\ql \li0\ri0\widctlpar\intbl\wrapdefault\aspalpha\aspnum\faauto\adjustright\rin0\lin0 {\rtlch\fcs1 \af0 \ltrch\fcs0 \insrsid677259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6772597\charrsid4593153 [ZLEFT]\cell [ZRIGHT]\cell }\pard\plain \ltrpar\ql \li0\ri0\widctlpar\intbl\wrapdefault\aspalpha\aspnum\faauto\adjustright\rin0\lin0 \rtlch\fcs1 \af0\afs20\alang1025 \ltrch\fcs0 _x000d__x000a_\fs24\lang2057\langfe2057\cgrid\langnp2057\langfenp2057 {\rtlch\fcs1 \af0 \ltrch\fcs0 \insrsid677259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772597\charrsid4593153 [ZTEXTL]\cell [ZTEXTR]}{\rtlch\fcs1 \af0\afs24 \ltrch\fcs0 \insrsid6772597\charrsid4593153 \cell }\pard\plain \ltrpar\ql \li0\ri0\widctlpar\intbl\wrapdefault\aspalpha\aspnum\faauto\adjustright\rin0\lin0 \rtlch\fcs1 _x000d__x000a_\af0\afs20\alang1025 \ltrch\fcs0 \fs24\lang2057\langfe2057\cgrid\langnp2057\langfenp2057 {\rtlch\fcs1 \af0 \ltrch\fcs0 \insrsid6772597\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6772597\charrsid4593153 &lt;OptDel&gt;}{\rtlch\fcs1 \af0 \ltrch\fcs0 \insrsid6772597\charrsid4593153 [ZCROSSREF]}{\rtlch\fcs1 \af0 \ltrch\fcs0 \cs15\i0\v\f1\fs20\cf9\insrsid6772597\charrsid4593153 &lt;/OptDel&gt;}{\rtlch\fcs1 \af0 _x000d__x000a_\ltrch\fcs0 \insrsid6772597\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6772597\charrsid4593153 &lt;TitreJust&gt;}{\rtlch\fcs1 \af0 \ltrch\fcs0 \insrsid6772597\charrsid4593153 [ZJUSTIFICATION]}{\rtlch\fcs1 \af0 \ltrch\fcs0 _x000d__x000a_\cs15\i0\v\f1\fs20\cf9\insrsid6772597\charrsid4593153 &lt;/TitreJust&gt;}{\rtlch\fcs1 \af0 \ltrch\fcs0 \insrsid6772597\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6772597\charrsid4593153 &lt;OptDelPrev&gt;}{\rtlch\fcs1 \af0 \ltrch\fcs0 \insrsid6772597\charrsid4593153 [ZTEXTJUST]}{\rtlch\fcs1 \af0 \ltrch\fcs0 \cs15\i0\v\f1\fs20\cf9\insrsid6772597\charrsid4593153 &lt;/OptDelPrev&gt;}{_x000d__x000a_\rtlch\fcs1 \af0 \ltrch\fcs0 \insrsid6772597\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6772597\charrsid4593153 &lt;/Amend&gt;}{\rtlch\fcs1 \af0 \ltrch\fcs0 \insrsid6772597\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8_x000d__x000a_d6c17f0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Other"/>
    <w:docVar w:name="strSubDir" w:val="619"/>
    <w:docVar w:name="TVTACTPART" w:val="Artcile 22"/>
    <w:docVar w:name="TVTAMACTPART" w:val="Artcile 1"/>
    <w:docVar w:name="TXTAUTHOR" w:val="Danuta Maria Hübner and Gabriel Mato"/>
    <w:docVar w:name="TXTLANGUE" w:val="EN"/>
    <w:docVar w:name="TXTLANGUEMIN" w:val="en"/>
    <w:docVar w:name="TXTNRC" w:val="0228/2017"/>
    <w:docVar w:name="TXTNRCOD" w:val="2017/0810"/>
    <w:docVar w:name="TXTNRECB" w:val="ECB doc number"/>
    <w:docVar w:name="TXTNRFIRSTAM" w:val="1"/>
    <w:docVar w:name="TXTNRLASTAM" w:val="4"/>
    <w:docVar w:name="TXTNRPE" w:val="619.417"/>
    <w:docVar w:name="TXTNRREC" w:val="EU No 1234/12"/>
    <w:docVar w:name="TXTPEorAP" w:val="PE"/>
    <w:docVar w:name="TXTROUTE" w:val="RR\619417EN.docx"/>
    <w:docVar w:name="TXTTITLE" w:val="Proposal for a recommendation for a decision of the European Parliament and of the Council amending Article 22 of the Statute of the European System of Central Banks and of the European Central Bank"/>
    <w:docVar w:name="TXTVERSION" w:val="03-00"/>
  </w:docVars>
  <w:rsids>
    <w:rsidRoot w:val="0090298C"/>
    <w:rsid w:val="00013E09"/>
    <w:rsid w:val="00022903"/>
    <w:rsid w:val="00030691"/>
    <w:rsid w:val="00040CE1"/>
    <w:rsid w:val="00084E89"/>
    <w:rsid w:val="000C2055"/>
    <w:rsid w:val="000D47F0"/>
    <w:rsid w:val="000F1096"/>
    <w:rsid w:val="000F3025"/>
    <w:rsid w:val="001004C2"/>
    <w:rsid w:val="00142215"/>
    <w:rsid w:val="00145909"/>
    <w:rsid w:val="00147729"/>
    <w:rsid w:val="00152628"/>
    <w:rsid w:val="00177669"/>
    <w:rsid w:val="0019714C"/>
    <w:rsid w:val="001A327D"/>
    <w:rsid w:val="001B2B36"/>
    <w:rsid w:val="001C52B7"/>
    <w:rsid w:val="001C5592"/>
    <w:rsid w:val="001C5B44"/>
    <w:rsid w:val="001D163A"/>
    <w:rsid w:val="001E4C58"/>
    <w:rsid w:val="00212B84"/>
    <w:rsid w:val="002346B0"/>
    <w:rsid w:val="002630D0"/>
    <w:rsid w:val="002669B6"/>
    <w:rsid w:val="0027431C"/>
    <w:rsid w:val="0027751F"/>
    <w:rsid w:val="00290BED"/>
    <w:rsid w:val="002C0136"/>
    <w:rsid w:val="002C6C26"/>
    <w:rsid w:val="002D185D"/>
    <w:rsid w:val="002D7169"/>
    <w:rsid w:val="002F17A6"/>
    <w:rsid w:val="002F40BB"/>
    <w:rsid w:val="002F4E07"/>
    <w:rsid w:val="0030338B"/>
    <w:rsid w:val="003055D3"/>
    <w:rsid w:val="00307A45"/>
    <w:rsid w:val="003129B9"/>
    <w:rsid w:val="00320082"/>
    <w:rsid w:val="00322BBE"/>
    <w:rsid w:val="00330104"/>
    <w:rsid w:val="00341D2E"/>
    <w:rsid w:val="003869D9"/>
    <w:rsid w:val="003A729C"/>
    <w:rsid w:val="003C37CF"/>
    <w:rsid w:val="00402BC9"/>
    <w:rsid w:val="00420D5A"/>
    <w:rsid w:val="00454A39"/>
    <w:rsid w:val="004577CB"/>
    <w:rsid w:val="0046119F"/>
    <w:rsid w:val="00461601"/>
    <w:rsid w:val="00461FF5"/>
    <w:rsid w:val="00463BD7"/>
    <w:rsid w:val="004752B0"/>
    <w:rsid w:val="00496F5F"/>
    <w:rsid w:val="004B407E"/>
    <w:rsid w:val="004C0915"/>
    <w:rsid w:val="004C461F"/>
    <w:rsid w:val="004D424E"/>
    <w:rsid w:val="004F1383"/>
    <w:rsid w:val="004F1A16"/>
    <w:rsid w:val="004F4025"/>
    <w:rsid w:val="004F786A"/>
    <w:rsid w:val="00521F46"/>
    <w:rsid w:val="005443AF"/>
    <w:rsid w:val="0054791B"/>
    <w:rsid w:val="0056767A"/>
    <w:rsid w:val="00570A6A"/>
    <w:rsid w:val="00586E50"/>
    <w:rsid w:val="005D0335"/>
    <w:rsid w:val="005D7EE8"/>
    <w:rsid w:val="005E1589"/>
    <w:rsid w:val="005E520F"/>
    <w:rsid w:val="005E6DC5"/>
    <w:rsid w:val="005F7CCC"/>
    <w:rsid w:val="0061071D"/>
    <w:rsid w:val="00655E47"/>
    <w:rsid w:val="006A05B4"/>
    <w:rsid w:val="006A11D4"/>
    <w:rsid w:val="006A79C3"/>
    <w:rsid w:val="006B1688"/>
    <w:rsid w:val="006C586B"/>
    <w:rsid w:val="006C756E"/>
    <w:rsid w:val="006E6D73"/>
    <w:rsid w:val="006F43C7"/>
    <w:rsid w:val="00742C8A"/>
    <w:rsid w:val="007662DB"/>
    <w:rsid w:val="007932B3"/>
    <w:rsid w:val="00793EA9"/>
    <w:rsid w:val="007A6A69"/>
    <w:rsid w:val="007D6D08"/>
    <w:rsid w:val="007D7405"/>
    <w:rsid w:val="007F58E7"/>
    <w:rsid w:val="0082343E"/>
    <w:rsid w:val="008248E3"/>
    <w:rsid w:val="008304B7"/>
    <w:rsid w:val="00852345"/>
    <w:rsid w:val="008633CC"/>
    <w:rsid w:val="00865190"/>
    <w:rsid w:val="008719B9"/>
    <w:rsid w:val="00880D1D"/>
    <w:rsid w:val="008A2F61"/>
    <w:rsid w:val="008A7FB8"/>
    <w:rsid w:val="008C2964"/>
    <w:rsid w:val="009022B8"/>
    <w:rsid w:val="0090298C"/>
    <w:rsid w:val="00905FCB"/>
    <w:rsid w:val="00912E7C"/>
    <w:rsid w:val="009169CF"/>
    <w:rsid w:val="009176DF"/>
    <w:rsid w:val="00917CC4"/>
    <w:rsid w:val="009656C8"/>
    <w:rsid w:val="00973EEB"/>
    <w:rsid w:val="009820DB"/>
    <w:rsid w:val="009B73C0"/>
    <w:rsid w:val="009D2DB1"/>
    <w:rsid w:val="009F6C2F"/>
    <w:rsid w:val="00A05384"/>
    <w:rsid w:val="00A22533"/>
    <w:rsid w:val="00A34FD3"/>
    <w:rsid w:val="00A36929"/>
    <w:rsid w:val="00A54421"/>
    <w:rsid w:val="00A609D8"/>
    <w:rsid w:val="00A9641A"/>
    <w:rsid w:val="00AA35B0"/>
    <w:rsid w:val="00AD18C8"/>
    <w:rsid w:val="00AD5053"/>
    <w:rsid w:val="00AF0416"/>
    <w:rsid w:val="00B06886"/>
    <w:rsid w:val="00B07A11"/>
    <w:rsid w:val="00B23B72"/>
    <w:rsid w:val="00B24365"/>
    <w:rsid w:val="00B265FC"/>
    <w:rsid w:val="00B314C9"/>
    <w:rsid w:val="00B360FF"/>
    <w:rsid w:val="00B42702"/>
    <w:rsid w:val="00B53B10"/>
    <w:rsid w:val="00B94A16"/>
    <w:rsid w:val="00B95702"/>
    <w:rsid w:val="00BA33B9"/>
    <w:rsid w:val="00BB26B0"/>
    <w:rsid w:val="00BF2FBA"/>
    <w:rsid w:val="00C10802"/>
    <w:rsid w:val="00C16E20"/>
    <w:rsid w:val="00C52C11"/>
    <w:rsid w:val="00C56E29"/>
    <w:rsid w:val="00C70917"/>
    <w:rsid w:val="00C7331A"/>
    <w:rsid w:val="00C75AD0"/>
    <w:rsid w:val="00C807B3"/>
    <w:rsid w:val="00C80A53"/>
    <w:rsid w:val="00C875BB"/>
    <w:rsid w:val="00C94A2E"/>
    <w:rsid w:val="00CB5797"/>
    <w:rsid w:val="00CC241A"/>
    <w:rsid w:val="00CC752F"/>
    <w:rsid w:val="00CD1C7B"/>
    <w:rsid w:val="00CD7A17"/>
    <w:rsid w:val="00CE6175"/>
    <w:rsid w:val="00CE6BDA"/>
    <w:rsid w:val="00CF60C8"/>
    <w:rsid w:val="00D22046"/>
    <w:rsid w:val="00D23C9F"/>
    <w:rsid w:val="00D36874"/>
    <w:rsid w:val="00D41112"/>
    <w:rsid w:val="00D70039"/>
    <w:rsid w:val="00DA5030"/>
    <w:rsid w:val="00DA6ED0"/>
    <w:rsid w:val="00DB175A"/>
    <w:rsid w:val="00DD35EE"/>
    <w:rsid w:val="00DE411F"/>
    <w:rsid w:val="00E066CE"/>
    <w:rsid w:val="00E069EA"/>
    <w:rsid w:val="00E171B6"/>
    <w:rsid w:val="00E26CA9"/>
    <w:rsid w:val="00E6439F"/>
    <w:rsid w:val="00E66CB2"/>
    <w:rsid w:val="00E67E37"/>
    <w:rsid w:val="00E71BFD"/>
    <w:rsid w:val="00E8684B"/>
    <w:rsid w:val="00E90ADC"/>
    <w:rsid w:val="00E93F21"/>
    <w:rsid w:val="00EA067B"/>
    <w:rsid w:val="00EB1753"/>
    <w:rsid w:val="00EB6CFF"/>
    <w:rsid w:val="00ED6F9C"/>
    <w:rsid w:val="00F377E4"/>
    <w:rsid w:val="00F544B3"/>
    <w:rsid w:val="00F6248F"/>
    <w:rsid w:val="00F62647"/>
    <w:rsid w:val="00F66A28"/>
    <w:rsid w:val="00F72F0D"/>
    <w:rsid w:val="00F74B09"/>
    <w:rsid w:val="00F82495"/>
    <w:rsid w:val="00F82CE3"/>
    <w:rsid w:val="00F83250"/>
    <w:rsid w:val="00F87895"/>
    <w:rsid w:val="00F904AE"/>
    <w:rsid w:val="00F97A19"/>
    <w:rsid w:val="00FA6DD4"/>
    <w:rsid w:val="00FB52FE"/>
    <w:rsid w:val="00FB7CF0"/>
    <w:rsid w:val="00FC31EB"/>
    <w:rsid w:val="00FC7517"/>
    <w:rsid w:val="00FD6007"/>
    <w:rsid w:val="00FF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BC2E0E"/>
  <w15:chartTrackingRefBased/>
  <w15:docId w15:val="{6D6A34DE-33A7-4C63-8AAD-1ED6E6C5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0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customStyle="1" w:styleId="Lgendesigne">
    <w:name w:val="Légende signe"/>
    <w:basedOn w:val="Normal"/>
    <w:rsid w:val="002630D0"/>
    <w:pPr>
      <w:tabs>
        <w:tab w:val="right" w:pos="454"/>
        <w:tab w:val="left" w:pos="737"/>
      </w:tabs>
      <w:ind w:left="737" w:hanging="737"/>
    </w:pPr>
    <w:rPr>
      <w:snapToGrid w:val="0"/>
      <w:sz w:val="18"/>
      <w:lang w:eastAsia="en-US"/>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bg-BG"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bg-BG"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7662D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CE6BDA"/>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7662DB"/>
    <w:pPr>
      <w:spacing w:after="80"/>
    </w:pPr>
    <w:rPr>
      <w:rFonts w:ascii="Arial" w:hAnsi="Arial" w:cs="Arial"/>
      <w:sz w:val="20"/>
      <w:szCs w:val="22"/>
    </w:rPr>
  </w:style>
  <w:style w:type="paragraph" w:customStyle="1" w:styleId="EPLogo">
    <w:name w:val="EPLogo"/>
    <w:basedOn w:val="Normal"/>
    <w:qFormat/>
    <w:rsid w:val="007662DB"/>
    <w:pPr>
      <w:jc w:val="right"/>
    </w:pPr>
  </w:style>
  <w:style w:type="paragraph" w:customStyle="1" w:styleId="Lgendetitre">
    <w:name w:val="Légende titre"/>
    <w:basedOn w:val="Normal"/>
    <w:rsid w:val="002630D0"/>
    <w:pPr>
      <w:spacing w:before="240" w:after="240"/>
    </w:pPr>
    <w:rPr>
      <w:b/>
      <w:i/>
      <w:snapToGrid w:val="0"/>
      <w:lang w:eastAsia="en-US"/>
    </w:rPr>
  </w:style>
  <w:style w:type="paragraph" w:customStyle="1" w:styleId="Lgendestandard">
    <w:name w:val="Légende standard"/>
    <w:basedOn w:val="Lgendesigne"/>
    <w:rsid w:val="002630D0"/>
    <w:pPr>
      <w:ind w:left="0" w:firstLine="0"/>
    </w:pPr>
  </w:style>
  <w:style w:type="paragraph" w:customStyle="1" w:styleId="Default">
    <w:name w:val="Default"/>
    <w:rsid w:val="00E066CE"/>
    <w:pPr>
      <w:autoSpaceDE w:val="0"/>
      <w:autoSpaceDN w:val="0"/>
      <w:adjustRightInd w:val="0"/>
    </w:pPr>
    <w:rPr>
      <w:rFonts w:ascii="EUAlbertina" w:hAnsi="EUAlbertina" w:cs="EUAlbertina"/>
      <w:color w:val="000000"/>
      <w:sz w:val="24"/>
      <w:szCs w:val="24"/>
    </w:rPr>
  </w:style>
  <w:style w:type="paragraph" w:styleId="FootnoteText">
    <w:name w:val="footnote text"/>
    <w:basedOn w:val="Normal"/>
    <w:link w:val="FootnoteTextChar"/>
    <w:rsid w:val="00177669"/>
    <w:rPr>
      <w:sz w:val="20"/>
    </w:rPr>
  </w:style>
  <w:style w:type="character" w:customStyle="1" w:styleId="FootnoteTextChar">
    <w:name w:val="Footnote Text Char"/>
    <w:basedOn w:val="DefaultParagraphFont"/>
    <w:link w:val="FootnoteText"/>
    <w:rsid w:val="00177669"/>
  </w:style>
  <w:style w:type="character" w:styleId="FootnoteReference">
    <w:name w:val="footnote reference"/>
    <w:basedOn w:val="DefaultParagraphFont"/>
    <w:rsid w:val="00177669"/>
    <w:rPr>
      <w:vertAlign w:val="superscript"/>
    </w:rPr>
  </w:style>
  <w:style w:type="paragraph" w:styleId="BalloonText">
    <w:name w:val="Balloon Text"/>
    <w:basedOn w:val="Normal"/>
    <w:link w:val="BalloonTextChar"/>
    <w:rsid w:val="00BA33B9"/>
    <w:rPr>
      <w:rFonts w:ascii="Segoe UI" w:hAnsi="Segoe UI" w:cs="Segoe UI"/>
      <w:sz w:val="18"/>
      <w:szCs w:val="18"/>
    </w:rPr>
  </w:style>
  <w:style w:type="character" w:customStyle="1" w:styleId="BalloonTextChar">
    <w:name w:val="Balloon Text Char"/>
    <w:basedOn w:val="DefaultParagraphFont"/>
    <w:link w:val="BalloonText"/>
    <w:rsid w:val="00BA33B9"/>
    <w:rPr>
      <w:rFonts w:ascii="Segoe UI" w:hAnsi="Segoe UI" w:cs="Segoe UI"/>
      <w:sz w:val="18"/>
      <w:szCs w:val="18"/>
    </w:rPr>
  </w:style>
  <w:style w:type="character" w:styleId="CommentReference">
    <w:name w:val="annotation reference"/>
    <w:basedOn w:val="DefaultParagraphFont"/>
    <w:rsid w:val="00B53B10"/>
    <w:rPr>
      <w:sz w:val="16"/>
      <w:szCs w:val="16"/>
    </w:rPr>
  </w:style>
  <w:style w:type="paragraph" w:styleId="CommentText">
    <w:name w:val="annotation text"/>
    <w:basedOn w:val="Normal"/>
    <w:link w:val="CommentTextChar"/>
    <w:rsid w:val="00B53B10"/>
    <w:rPr>
      <w:sz w:val="20"/>
    </w:rPr>
  </w:style>
  <w:style w:type="character" w:customStyle="1" w:styleId="CommentTextChar">
    <w:name w:val="Comment Text Char"/>
    <w:basedOn w:val="DefaultParagraphFont"/>
    <w:link w:val="CommentText"/>
    <w:rsid w:val="00B53B10"/>
  </w:style>
  <w:style w:type="paragraph" w:styleId="CommentSubject">
    <w:name w:val="annotation subject"/>
    <w:basedOn w:val="CommentText"/>
    <w:next w:val="CommentText"/>
    <w:link w:val="CommentSubjectChar"/>
    <w:rsid w:val="00B53B10"/>
    <w:rPr>
      <w:b/>
      <w:bCs/>
    </w:rPr>
  </w:style>
  <w:style w:type="character" w:customStyle="1" w:styleId="CommentSubjectChar">
    <w:name w:val="Comment Subject Char"/>
    <w:basedOn w:val="CommentTextChar"/>
    <w:link w:val="CommentSubject"/>
    <w:rsid w:val="00B53B10"/>
    <w:rPr>
      <w:b/>
      <w:bCs/>
    </w:rPr>
  </w:style>
  <w:style w:type="character" w:customStyle="1" w:styleId="HeaderChar">
    <w:name w:val="Header Char"/>
    <w:link w:val="Header"/>
    <w:rsid w:val="0019714C"/>
    <w:rPr>
      <w:sz w:val="24"/>
    </w:rPr>
  </w:style>
  <w:style w:type="character" w:customStyle="1" w:styleId="FooterChar">
    <w:name w:val="Footer Char"/>
    <w:link w:val="Footer"/>
    <w:rsid w:val="00463BD7"/>
    <w:rPr>
      <w:sz w:val="22"/>
    </w:rPr>
  </w:style>
  <w:style w:type="character" w:customStyle="1" w:styleId="SupBoldItalic">
    <w:name w:val="SupBoldItalic"/>
    <w:rsid w:val="000C2055"/>
    <w:rPr>
      <w:b/>
      <w:i/>
      <w:color w:val="000000"/>
      <w:vertAlign w:val="superscript"/>
    </w:rPr>
  </w:style>
  <w:style w:type="paragraph" w:customStyle="1" w:styleId="NormalTabs">
    <w:name w:val="NormalTabs"/>
    <w:basedOn w:val="Normal"/>
    <w:qFormat/>
    <w:rsid w:val="00B07A1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679">
      <w:bodyDiv w:val="1"/>
      <w:marLeft w:val="0"/>
      <w:marRight w:val="0"/>
      <w:marTop w:val="0"/>
      <w:marBottom w:val="0"/>
      <w:divBdr>
        <w:top w:val="none" w:sz="0" w:space="0" w:color="auto"/>
        <w:left w:val="none" w:sz="0" w:space="0" w:color="auto"/>
        <w:bottom w:val="none" w:sz="0" w:space="0" w:color="auto"/>
        <w:right w:val="none" w:sz="0" w:space="0" w:color="auto"/>
      </w:divBdr>
    </w:div>
    <w:div w:id="228925420">
      <w:bodyDiv w:val="1"/>
      <w:marLeft w:val="0"/>
      <w:marRight w:val="0"/>
      <w:marTop w:val="0"/>
      <w:marBottom w:val="0"/>
      <w:divBdr>
        <w:top w:val="none" w:sz="0" w:space="0" w:color="auto"/>
        <w:left w:val="none" w:sz="0" w:space="0" w:color="auto"/>
        <w:bottom w:val="none" w:sz="0" w:space="0" w:color="auto"/>
        <w:right w:val="none" w:sz="0" w:space="0" w:color="auto"/>
      </w:divBdr>
    </w:div>
    <w:div w:id="258175978">
      <w:bodyDiv w:val="1"/>
      <w:marLeft w:val="0"/>
      <w:marRight w:val="0"/>
      <w:marTop w:val="0"/>
      <w:marBottom w:val="0"/>
      <w:divBdr>
        <w:top w:val="none" w:sz="0" w:space="0" w:color="auto"/>
        <w:left w:val="none" w:sz="0" w:space="0" w:color="auto"/>
        <w:bottom w:val="none" w:sz="0" w:space="0" w:color="auto"/>
        <w:right w:val="none" w:sz="0" w:space="0" w:color="auto"/>
      </w:divBdr>
    </w:div>
    <w:div w:id="263537503">
      <w:bodyDiv w:val="1"/>
      <w:marLeft w:val="0"/>
      <w:marRight w:val="0"/>
      <w:marTop w:val="0"/>
      <w:marBottom w:val="0"/>
      <w:divBdr>
        <w:top w:val="none" w:sz="0" w:space="0" w:color="auto"/>
        <w:left w:val="none" w:sz="0" w:space="0" w:color="auto"/>
        <w:bottom w:val="none" w:sz="0" w:space="0" w:color="auto"/>
        <w:right w:val="none" w:sz="0" w:space="0" w:color="auto"/>
      </w:divBdr>
    </w:div>
    <w:div w:id="678121955">
      <w:bodyDiv w:val="1"/>
      <w:marLeft w:val="0"/>
      <w:marRight w:val="0"/>
      <w:marTop w:val="0"/>
      <w:marBottom w:val="0"/>
      <w:divBdr>
        <w:top w:val="none" w:sz="0" w:space="0" w:color="auto"/>
        <w:left w:val="none" w:sz="0" w:space="0" w:color="auto"/>
        <w:bottom w:val="none" w:sz="0" w:space="0" w:color="auto"/>
        <w:right w:val="none" w:sz="0" w:space="0" w:color="auto"/>
      </w:divBdr>
    </w:div>
    <w:div w:id="756362840">
      <w:bodyDiv w:val="1"/>
      <w:marLeft w:val="0"/>
      <w:marRight w:val="0"/>
      <w:marTop w:val="0"/>
      <w:marBottom w:val="0"/>
      <w:divBdr>
        <w:top w:val="none" w:sz="0" w:space="0" w:color="auto"/>
        <w:left w:val="none" w:sz="0" w:space="0" w:color="auto"/>
        <w:bottom w:val="none" w:sz="0" w:space="0" w:color="auto"/>
        <w:right w:val="none" w:sz="0" w:space="0" w:color="auto"/>
      </w:divBdr>
    </w:div>
    <w:div w:id="815339949">
      <w:bodyDiv w:val="1"/>
      <w:marLeft w:val="0"/>
      <w:marRight w:val="0"/>
      <w:marTop w:val="0"/>
      <w:marBottom w:val="0"/>
      <w:divBdr>
        <w:top w:val="none" w:sz="0" w:space="0" w:color="auto"/>
        <w:left w:val="none" w:sz="0" w:space="0" w:color="auto"/>
        <w:bottom w:val="none" w:sz="0" w:space="0" w:color="auto"/>
        <w:right w:val="none" w:sz="0" w:space="0" w:color="auto"/>
      </w:divBdr>
    </w:div>
    <w:div w:id="939331994">
      <w:bodyDiv w:val="1"/>
      <w:marLeft w:val="0"/>
      <w:marRight w:val="0"/>
      <w:marTop w:val="0"/>
      <w:marBottom w:val="0"/>
      <w:divBdr>
        <w:top w:val="none" w:sz="0" w:space="0" w:color="auto"/>
        <w:left w:val="none" w:sz="0" w:space="0" w:color="auto"/>
        <w:bottom w:val="none" w:sz="0" w:space="0" w:color="auto"/>
        <w:right w:val="none" w:sz="0" w:space="0" w:color="auto"/>
      </w:divBdr>
    </w:div>
    <w:div w:id="971446373">
      <w:bodyDiv w:val="1"/>
      <w:marLeft w:val="0"/>
      <w:marRight w:val="0"/>
      <w:marTop w:val="0"/>
      <w:marBottom w:val="0"/>
      <w:divBdr>
        <w:top w:val="none" w:sz="0" w:space="0" w:color="auto"/>
        <w:left w:val="none" w:sz="0" w:space="0" w:color="auto"/>
        <w:bottom w:val="none" w:sz="0" w:space="0" w:color="auto"/>
        <w:right w:val="none" w:sz="0" w:space="0" w:color="auto"/>
      </w:divBdr>
    </w:div>
    <w:div w:id="984238439">
      <w:bodyDiv w:val="1"/>
      <w:marLeft w:val="0"/>
      <w:marRight w:val="0"/>
      <w:marTop w:val="0"/>
      <w:marBottom w:val="0"/>
      <w:divBdr>
        <w:top w:val="none" w:sz="0" w:space="0" w:color="auto"/>
        <w:left w:val="none" w:sz="0" w:space="0" w:color="auto"/>
        <w:bottom w:val="none" w:sz="0" w:space="0" w:color="auto"/>
        <w:right w:val="none" w:sz="0" w:space="0" w:color="auto"/>
      </w:divBdr>
    </w:div>
    <w:div w:id="1131747398">
      <w:bodyDiv w:val="1"/>
      <w:marLeft w:val="0"/>
      <w:marRight w:val="0"/>
      <w:marTop w:val="0"/>
      <w:marBottom w:val="0"/>
      <w:divBdr>
        <w:top w:val="none" w:sz="0" w:space="0" w:color="auto"/>
        <w:left w:val="none" w:sz="0" w:space="0" w:color="auto"/>
        <w:bottom w:val="none" w:sz="0" w:space="0" w:color="auto"/>
        <w:right w:val="none" w:sz="0" w:space="0" w:color="auto"/>
      </w:divBdr>
    </w:div>
    <w:div w:id="1419643459">
      <w:bodyDiv w:val="1"/>
      <w:marLeft w:val="0"/>
      <w:marRight w:val="0"/>
      <w:marTop w:val="0"/>
      <w:marBottom w:val="0"/>
      <w:divBdr>
        <w:top w:val="none" w:sz="0" w:space="0" w:color="auto"/>
        <w:left w:val="none" w:sz="0" w:space="0" w:color="auto"/>
        <w:bottom w:val="none" w:sz="0" w:space="0" w:color="auto"/>
        <w:right w:val="none" w:sz="0" w:space="0" w:color="auto"/>
      </w:divBdr>
    </w:div>
    <w:div w:id="1431393003">
      <w:bodyDiv w:val="1"/>
      <w:marLeft w:val="0"/>
      <w:marRight w:val="0"/>
      <w:marTop w:val="0"/>
      <w:marBottom w:val="0"/>
      <w:divBdr>
        <w:top w:val="none" w:sz="0" w:space="0" w:color="auto"/>
        <w:left w:val="none" w:sz="0" w:space="0" w:color="auto"/>
        <w:bottom w:val="none" w:sz="0" w:space="0" w:color="auto"/>
        <w:right w:val="none" w:sz="0" w:space="0" w:color="auto"/>
      </w:divBdr>
    </w:div>
    <w:div w:id="1739784626">
      <w:bodyDiv w:val="1"/>
      <w:marLeft w:val="0"/>
      <w:marRight w:val="0"/>
      <w:marTop w:val="0"/>
      <w:marBottom w:val="0"/>
      <w:divBdr>
        <w:top w:val="none" w:sz="0" w:space="0" w:color="auto"/>
        <w:left w:val="none" w:sz="0" w:space="0" w:color="auto"/>
        <w:bottom w:val="none" w:sz="0" w:space="0" w:color="auto"/>
        <w:right w:val="none" w:sz="0" w:space="0" w:color="auto"/>
      </w:divBdr>
    </w:div>
    <w:div w:id="2007707122">
      <w:bodyDiv w:val="1"/>
      <w:marLeft w:val="0"/>
      <w:marRight w:val="0"/>
      <w:marTop w:val="0"/>
      <w:marBottom w:val="0"/>
      <w:divBdr>
        <w:top w:val="none" w:sz="0" w:space="0" w:color="auto"/>
        <w:left w:val="none" w:sz="0" w:space="0" w:color="auto"/>
        <w:bottom w:val="none" w:sz="0" w:space="0" w:color="auto"/>
        <w:right w:val="none" w:sz="0" w:space="0" w:color="auto"/>
      </w:divBdr>
    </w:div>
    <w:div w:id="2024277281">
      <w:bodyDiv w:val="1"/>
      <w:marLeft w:val="0"/>
      <w:marRight w:val="0"/>
      <w:marTop w:val="0"/>
      <w:marBottom w:val="0"/>
      <w:divBdr>
        <w:top w:val="none" w:sz="0" w:space="0" w:color="auto"/>
        <w:left w:val="none" w:sz="0" w:space="0" w:color="auto"/>
        <w:bottom w:val="none" w:sz="0" w:space="0" w:color="auto"/>
        <w:right w:val="none" w:sz="0" w:space="0" w:color="auto"/>
      </w:divBdr>
    </w:div>
    <w:div w:id="20796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F25F-FFFB-4991-BE77-FF998349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D980E1D7.dotm</Template>
  <TotalTime>0</TotalTime>
  <Pages>17</Pages>
  <Words>3624</Words>
  <Characters>21384</Characters>
  <Application>Microsoft Office Word</Application>
  <DocSecurity>0</DocSecurity>
  <Lines>822</Lines>
  <Paragraphs>263</Paragraphs>
  <ScaleCrop>false</ScaleCrop>
  <HeadingPairs>
    <vt:vector size="2" baseType="variant">
      <vt:variant>
        <vt:lpstr>Title</vt:lpstr>
      </vt:variant>
      <vt:variant>
        <vt:i4>1</vt:i4>
      </vt:variant>
    </vt:vector>
  </HeadingPairs>
  <TitlesOfParts>
    <vt:vector size="1" baseType="lpstr">
      <vt:lpstr>PR_COD_1amOther</vt:lpstr>
    </vt:vector>
  </TitlesOfParts>
  <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PR_COD_1amOther</dc:title>
  <dc:subject/>
  <dc:creator>KRIEG Milena</dc:creator>
  <cp:keywords/>
  <dc:description/>
  <cp:lastModifiedBy>FILIPOVA Gergana</cp:lastModifiedBy>
  <cp:revision>2</cp:revision>
  <cp:lastPrinted>2018-04-03T14:58:00Z</cp:lastPrinted>
  <dcterms:created xsi:type="dcterms:W3CDTF">2018-06-28T18:09:00Z</dcterms:created>
  <dcterms:modified xsi:type="dcterms:W3CDTF">2018-06-28T18:09:00Z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9.3.2 Build [20180601]</vt:lpwstr>
  </property>
  <property fmtid="{D5CDD505-2E9C-101B-9397-08002B2CF9AE}" pid="4" name="&lt;FdR&gt;">
    <vt:lpwstr>1157157</vt:lpwstr>
  </property>
  <property fmtid="{D5CDD505-2E9C-101B-9397-08002B2CF9AE}" pid="5" name="&lt;Type&gt;">
    <vt:lpwstr>RR</vt:lpwstr>
  </property>
  <property fmtid="{D5CDD505-2E9C-101B-9397-08002B2CF9AE}" pid="6" name="&lt;ModelCod&gt;">
    <vt:lpwstr>\\eiciBRUpr1\pdocep$\DocEP\DOCS\General\PR\PR_Leg\COD\COD_1st\PR_COD_1amOther.dot(30/06/2017 07:37:06)</vt:lpwstr>
  </property>
  <property fmtid="{D5CDD505-2E9C-101B-9397-08002B2CF9AE}" pid="7" name="&lt;ModelTra&gt;">
    <vt:lpwstr>\\eiciBRUpr1\pdocep$\DocEP\TRANSFIL\EN\PR_COD_1amOther.EN(30/06/2017 07:41:14)</vt:lpwstr>
  </property>
  <property fmtid="{D5CDD505-2E9C-101B-9397-08002B2CF9AE}" pid="8" name="&lt;Model&gt;">
    <vt:lpwstr>PR_COD_1amOther</vt:lpwstr>
  </property>
  <property fmtid="{D5CDD505-2E9C-101B-9397-08002B2CF9AE}" pid="9" name="FooterPath">
    <vt:lpwstr>RR\1157157BG.docx</vt:lpwstr>
  </property>
  <property fmtid="{D5CDD505-2E9C-101B-9397-08002B2CF9AE}" pid="10" name="PE number">
    <vt:lpwstr>619.417</vt:lpwstr>
  </property>
  <property fmtid="{D5CDD505-2E9C-101B-9397-08002B2CF9AE}" pid="11" name="SendToEpades">
    <vt:lpwstr>OK - 2018/06/25 16:57</vt:lpwstr>
  </property>
  <property fmtid="{D5CDD505-2E9C-101B-9397-08002B2CF9AE}" pid="12" name="SubscribeElise">
    <vt:lpwstr/>
  </property>
  <property fmtid="{D5CDD505-2E9C-101B-9397-08002B2CF9AE}" pid="13" name="CheckDocument">
    <vt:lpwstr>NOK(TWBEXT) - 2018/04/03 17:37</vt:lpwstr>
  </property>
  <property fmtid="{D5CDD505-2E9C-101B-9397-08002B2CF9AE}" pid="14" name="SDLStudio">
    <vt:lpwstr/>
  </property>
  <property fmtid="{D5CDD505-2E9C-101B-9397-08002B2CF9AE}" pid="15" name="&lt;Extension&gt;">
    <vt:lpwstr>BG</vt:lpwstr>
  </property>
  <property fmtid="{D5CDD505-2E9C-101B-9397-08002B2CF9AE}" pid="16" name="Bookout">
    <vt:lpwstr>OK - 2018/06/28 20:09</vt:lpwstr>
  </property>
</Properties>
</file>