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A77B3E">
      <w:pPr>
        <w:pStyle w:val="Interstitial1"/>
      </w:pP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07/12/2016</w:t>
      </w:r>
      <w:r>
        <w:rPr>
          <w:rStyle w:val="HideTWBInt"/>
        </w:rPr>
        <w:t>}</w:t>
      </w:r>
      <w:r>
        <w:t>7.12.2016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A8-0344</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313</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313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Isabella Adinolfi</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EFDD</w:t>
      </w:r>
      <w:r>
        <w:rPr>
          <w:rStyle w:val="HideTWBInt"/>
        </w:rPr>
        <w:t>}</w:t>
      </w:r>
      <w:r>
        <w:t xml:space="preserve">on behalf of the </w:t>
      </w:r>
      <w:r>
        <w:t>EFDD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Ashley Fox</w:t>
      </w:r>
      <w:r>
        <w:t xml:space="preserve">, </w:t>
      </w:r>
      <w:r>
        <w:t>Kazimierz Michał Ujazdowski</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 xml:space="preserve">on behalf of the </w:t>
      </w:r>
      <w:r>
        <w:t>ECR</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Helmut Scholz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A8-0344/2016</w:t>
      </w:r>
    </w:p>
    <w:p>
      <w:pPr>
        <w:pStyle w:val="NormalBold"/>
      </w:pPr>
      <w:r>
        <w:rPr>
          <w:rStyle w:val="HideTWBExt"/>
        </w:rPr>
        <w:t>&lt;</w:t>
      </w:r>
      <w:r>
        <w:rPr>
          <w:rStyle w:val="HideTWBExt"/>
        </w:rPr>
        <w:t>Rapporteur</w:t>
      </w:r>
      <w:r>
        <w:rPr>
          <w:rStyle w:val="HideTWBExt"/>
        </w:rPr>
        <w:t>&gt;</w:t>
      </w:r>
      <w:r>
        <w:t>Richard Corbett</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General revision of Parliament's Rules of Procedure</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2016/2114(REG)</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Rules of Procedure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Chapter 2 – rule 15 – paragraph 1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Present text</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The President, Vice-Presidents and Quaestors shall be elected by secret ballot, in accordance with Rule 182. Nominations shall be with consent. They may only be made by a political group or by at least 40 Members. However, if the number of nominations does not exceed the number of seats to be filled, the candidates may be elected by acclamation.</w:t>
            </w:r>
          </w:p>
        </w:tc>
        <w:tc>
          <w:tcPr/>
          <w:p>
            <w:pPr>
              <w:pStyle w:val="Normal6"/>
            </w:pPr>
            <w:r>
              <w:t xml:space="preserve">The President, Vice-Presidents and Quaestors shall be elected by secret ballot, in accordance with Rule 182. Nominations shall be with consent. They may only be made by a political group or by at least 40 Members. However, if the number of nominations does not exceed the number of seats to be filled, the candidates may be elected by acclamation. </w:t>
            </w:r>
            <w:r>
              <w:rPr>
                <w:rFonts w:ascii="Times New Roman" w:eastAsia="Times New Roman" w:hAnsi="Times New Roman" w:cs="Times New Roman"/>
                <w:b/>
                <w:i/>
                <w:strike w:val="0"/>
                <w:color w:val="000000"/>
                <w:sz w:val="24"/>
                <w:highlight w:val="none"/>
                <w:u w:val="none" w:color="auto"/>
              </w:rPr>
              <w:t>Members shall be permitted to serve a maximum of two terms in the office of President pursuant to Rule 19(1), regardless of whether those terms are served consecutively or not.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Justification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Normal12Italic"/>
      </w:pPr>
      <w:r>
        <w:t>At a time when we are criticising the concentration of power within a number of countries around the world we feel that this amendment would not only promote fresh leadership, but also showcase the democratic values of this House and encourage checks and balances on one of our most visible representatives. Furthermore, given that the President of the European Council is elected for two and a half years, renewable once, it would be logical to align the rules on the term of office of the President of the European Parliament.</w:t>
      </w:r>
    </w:p>
    <w:p>
      <w:pPr>
        <w:pStyle w:val="Normal12Italic"/>
      </w:pPr>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4"/>
      <w:footerReference w:type="default" r:id="rId5"/>
      <w:footerReference w:type="first" r:id="rId6"/>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AM\P8_AMA(2016)0344(313-313)EN.docx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AM\P8_AMA(2016)0344(313-313)EN.docx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AM\P8_AMA(2016)0344(313-313)EN.docx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6"/>
        <w:tab w:val="right" w:pos="9072"/>
      </w:tabs>
      <w:spacing w:before="240" w:after="240"/>
    </w:pPr>
    <w:rPr>
      <w:sz w:val="22"/>
      <w:szCs w:val="24"/>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pPr>
      <w:tabs>
        <w:tab w:val="center" w:pos="4535"/>
        <w:tab w:val="right" w:pos="9072"/>
        <w:tab w:val="right" w:pos="9923"/>
      </w:tabs>
      <w:spacing w:before="0" w:after="0" w:line="480" w:lineRule="auto"/>
      <w:ind w:left="-851" w:right="-284"/>
    </w:pPr>
    <w:rPr>
      <w:rFonts w:ascii="Arial" w:eastAsia="Arial" w:hAnsi="Arial" w:cs="Arial"/>
      <w:b/>
      <w:color w:val="000000"/>
      <w:sz w:val="48"/>
      <w:szCs w:val="24"/>
    </w:rPr>
  </w:style>
  <w:style w:type="paragraph" w:customStyle="1" w:styleId="Footer2Landscape">
    <w:name w:val="Footer2Landscape"/>
    <w:qFormat/>
    <w:rsid w:val="002F0BDD"/>
    <w:pPr>
      <w:tabs>
        <w:tab w:val="center" w:pos="4535"/>
        <w:tab w:val="center" w:pos="6804"/>
        <w:tab w:val="clear" w:pos="9072"/>
        <w:tab w:val="clear" w:pos="9923"/>
        <w:tab w:val="center" w:pos="13608"/>
      </w:tabs>
      <w:spacing w:before="0" w:after="0"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lear" w:pos="9072"/>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szCs w:val="24"/>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szCs w:val="24"/>
    </w:rPr>
  </w:style>
  <w:style w:type="paragraph" w:styleId="Header">
    <w:name w:val="header"/>
    <w:basedOn w:val="Normal"/>
    <w:link w:val="HeaderChar"/>
    <w:rsid w:val="00173229"/>
    <w:pPr>
      <w:tabs>
        <w:tab w:val="center" w:pos="4513"/>
        <w:tab w:val="right" w:pos="9026"/>
      </w:tabs>
    </w:pPr>
    <w:rPr>
      <w:sz w:val="24"/>
      <w:szCs w:val="24"/>
    </w:r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rPr>
      <w:sz w:val="24"/>
      <w:szCs w:val="24"/>
    </w:rPr>
  </w:style>
  <w:style w:type="character" w:customStyle="1" w:styleId="Heading2Char">
    <w:name w:val="Heading 2 Char"/>
    <w:basedOn w:val="DefaultParagraphFont"/>
    <w:link w:val="Heading2"/>
    <w:rsid w:val="00D311CB"/>
    <w:rPr>
      <w:rFonts w:ascii="Cambria" w:eastAsia="Times New Roman" w:hAnsi="Cambria" w:cs="Times New Roman"/>
      <w:color w:val="365F91" w:themeShade="BF"/>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themeShade="BF"/>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spacing w:before="0" w:after="0"/>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sz w:val="24"/>
      <w:szCs w:val="24"/>
    </w:rPr>
  </w:style>
  <w:style w:type="paragraph" w:customStyle="1" w:styleId="Normal12Italic">
    <w:name w:val="Normal12Italic"/>
    <w:pPr>
      <w:tabs>
        <w:tab w:val="right" w:pos="9072"/>
      </w:tabs>
      <w:spacing w:before="0" w:after="0"/>
      <w:ind w:right="-284"/>
    </w:pPr>
    <w:rPr>
      <w:i/>
      <w:color w:val="000000"/>
      <w:sz w:val="22"/>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szCs w:val="24"/>
    </w:rPr>
  </w:style>
  <w:style w:type="paragraph" w:customStyle="1" w:styleId="PERight">
    <w:name w:val="PERight"/>
    <w:basedOn w:val="Normal"/>
    <w:next w:val="Normal"/>
    <w:pPr>
      <w:spacing w:line="220" w:lineRule="auto"/>
      <w:jc w:val="right"/>
    </w:pPr>
    <w:rPr>
      <w:rFonts w:ascii="Arial" w:eastAsia="Arial" w:hAnsi="Arial" w:cs="Arial"/>
      <w:color w:val="000000"/>
      <w:sz w:val="22"/>
      <w:szCs w:val="24"/>
    </w:rPr>
  </w:style>
  <w:style w:type="paragraph" w:customStyle="1" w:styleId="ProjRap">
    <w:name w:val="ProjRap"/>
    <w:basedOn w:val="Normal"/>
    <w:rsid w:val="00D311CB"/>
    <w:pPr>
      <w:widowControl w:val="0"/>
      <w:tabs>
        <w:tab w:val="right" w:pos="9072"/>
        <w:tab w:val="right" w:pos="13608"/>
      </w:tabs>
      <w:ind w:right="-284"/>
    </w:pPr>
    <w:rPr>
      <w:b/>
      <w:snapToGrid w:val="0"/>
      <w:sz w:val="24"/>
      <w:szCs w:val="20"/>
      <w:lang w:val="fr-FR"/>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pPr>
      <w:spacing w:after="240"/>
      <w:jc w:val="right"/>
    </w:pPr>
    <w:rPr>
      <w:rFonts w:ascii="Arial" w:eastAsia="Arial" w:hAnsi="Arial" w:cs="Arial"/>
      <w:b/>
      <w:caps/>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
  </property>
  <property fmtid="{D5CDD505-2E9C-101B-9397-08002B2CF9AE}" pid="4" name="&lt;FooterPath&gt;">
    <vt:lpwstr>AM\P8_AMA(2016)0344(313-313)EN.doc</vt:lpwstr>
  </property>
  <property fmtid="{D5CDD505-2E9C-101B-9397-08002B2CF9AE}" pid="5" name="&lt;Model&gt;">
    <vt:lpwstr>AM_Ple_Rules</vt:lpwstr>
  </property>
  <property fmtid="{D5CDD505-2E9C-101B-9397-08002B2CF9AE}" pid="6" name="&lt;Type&gt;">
    <vt:lpwstr>AM</vt:lpwstr>
  </property>
  <property fmtid="{D5CDD505-2E9C-101B-9397-08002B2CF9AE}" pid="7" name="DMXMLUID">
    <vt:lpwstr>20161207-183849-004218-007013</vt:lpwstr>
  </property>
  <property fmtid="{D5CDD505-2E9C-101B-9397-08002B2CF9AE}" pid="8" name="PE Number">
    <vt:lpwstr>596.594</vt:lpwstr>
  </property>
  <property fmtid="{D5CDD505-2E9C-101B-9397-08002B2CF9AE}" pid="9" name="UID">
    <vt:lpwstr>eu.europa.europarl-DIN1-2016-0000083852_01.00-en-01.00_text-xml</vt:lpwstr>
  </property>
</Properties>
</file>