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 -->
  <w:body>
    <w:p w:rsidR="00A77B3E">
      <w:pPr>
        <w:pStyle w:val="Interstitial1"/>
      </w:pPr>
      <w:r>
        <w:rPr>
          <w:rStyle w:val="HideTWBExt"/>
        </w:rPr>
        <w:t>&lt;</w:t>
      </w:r>
      <w:r>
        <w:rPr>
          <w:rStyle w:val="HideTWBExt"/>
        </w:rPr>
        <w:t>RepeatBlock-Amend</w:t>
      </w:r>
      <w:r>
        <w:rPr>
          <w:rStyle w:val="HideTWBExt"/>
        </w:rPr>
        <w:t>&gt;</w:t>
      </w:r>
      <w:r>
        <w:rPr>
          <w:rStyle w:val="HideTWBExt"/>
        </w:rPr>
        <w:t>&lt;</w:t>
      </w:r>
      <w:r>
        <w:rPr>
          <w:rStyle w:val="HideTWBExt"/>
        </w:rPr>
        <w:t>Amend</w:t>
      </w:r>
      <w:r>
        <w:rPr>
          <w:rStyle w:val="HideTWBExt"/>
        </w:rPr>
        <w:t>&gt;</w:t>
      </w:r>
      <w:r>
        <w:rPr>
          <w:rStyle w:val="HideTWBExt"/>
        </w:rPr>
        <w:t>&lt;</w:t>
      </w:r>
      <w:r>
        <w:rPr>
          <w:rStyle w:val="HideTWBExt"/>
        </w:rPr>
        <w:t>Date</w:t>
      </w:r>
      <w:r>
        <w:rPr>
          <w:rStyle w:val="HideTWBExt"/>
        </w:rPr>
        <w:t>&gt;</w:t>
      </w:r>
      <w:r>
        <w:rPr>
          <w:rStyle w:val="HideTWBInt"/>
        </w:rPr>
        <w:t>{</w:t>
      </w:r>
      <w:r>
        <w:rPr>
          <w:rStyle w:val="HideTWBInt"/>
        </w:rPr>
        <w:t>07/12/2016</w:t>
      </w:r>
      <w:r>
        <w:rPr>
          <w:rStyle w:val="HideTWBInt"/>
        </w:rPr>
        <w:t>}</w:t>
      </w:r>
      <w:r>
        <w:t>7.12.2016</w:t>
      </w:r>
      <w:r>
        <w:rPr>
          <w:rStyle w:val="HideTWBExt"/>
        </w:rPr>
        <w:t>&lt;/</w:t>
      </w:r>
      <w:r>
        <w:rPr>
          <w:rStyle w:val="HideTWBExt"/>
        </w:rPr>
        <w:t>Date</w:t>
      </w:r>
      <w:r>
        <w:rPr>
          <w:rStyle w:val="HideTWBExt"/>
        </w:rPr>
        <w:t>&gt;</w:t>
      </w:r>
      <w:r>
        <w:tab/>
      </w:r>
      <w:r>
        <w:rPr>
          <w:rStyle w:val="HideTWBExt"/>
        </w:rPr>
        <w:t>&lt;</w:t>
      </w:r>
      <w:r>
        <w:rPr>
          <w:rStyle w:val="HideTWBExt"/>
        </w:rPr>
        <w:t>ANo</w:t>
      </w:r>
      <w:r>
        <w:rPr>
          <w:rStyle w:val="HideTWBExt"/>
        </w:rPr>
        <w:t>&gt;</w:t>
      </w:r>
      <w:r>
        <w:t>A8-0344</w:t>
      </w:r>
      <w:r>
        <w:rPr>
          <w:rStyle w:val="HideTWBExt"/>
        </w:rPr>
        <w:t>&lt;/</w:t>
      </w:r>
      <w:r>
        <w:rPr>
          <w:rStyle w:val="HideTWBExt"/>
        </w:rPr>
        <w:t>ANo</w:t>
      </w:r>
      <w:r>
        <w:rPr>
          <w:rStyle w:val="HideTWBExt"/>
        </w:rPr>
        <w:t>&gt;</w:t>
      </w:r>
      <w:r>
        <w:t>/</w:t>
      </w:r>
      <w:r>
        <w:rPr>
          <w:rStyle w:val="HideTWBExt"/>
        </w:rPr>
        <w:t>&lt;</w:t>
      </w:r>
      <w:r>
        <w:rPr>
          <w:rStyle w:val="HideTWBExt"/>
        </w:rPr>
        <w:t>NumAm</w:t>
      </w:r>
      <w:r>
        <w:rPr>
          <w:rStyle w:val="HideTWBExt"/>
        </w:rPr>
        <w:t>&gt;</w:t>
      </w:r>
      <w:r>
        <w:t>313</w:t>
      </w:r>
      <w:r>
        <w:rPr>
          <w:rStyle w:val="HideTWBExt"/>
        </w:rPr>
        <w:t>&lt;/</w:t>
      </w:r>
      <w:r>
        <w:rPr>
          <w:rStyle w:val="HideTWBExt"/>
        </w:rPr>
        <w:t>NumAm</w:t>
      </w:r>
      <w:r>
        <w:rPr>
          <w:rStyle w:val="HideTWBExt"/>
        </w:rPr>
        <w:t>&gt;</w:t>
      </w:r>
    </w:p>
    <w:p>
      <w:pPr>
        <w:pStyle w:val="AMNumberTabs"/>
      </w:pPr>
      <w:r>
        <w:t>Tarkistus</w:t>
      </w:r>
      <w:r>
        <w:tab/>
      </w:r>
      <w:r>
        <w:tab/>
      </w:r>
      <w:r>
        <w:rPr>
          <w:rStyle w:val="HideTWBExt"/>
        </w:rPr>
        <w:t>&lt;</w:t>
      </w:r>
      <w:r>
        <w:rPr>
          <w:rStyle w:val="HideTWBExt"/>
        </w:rPr>
        <w:t>NumAm</w:t>
      </w:r>
      <w:r>
        <w:rPr>
          <w:rStyle w:val="HideTWBExt"/>
        </w:rPr>
        <w:t>&gt;</w:t>
      </w:r>
      <w:r>
        <w:t>313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Isabella Adinolfi</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EFDD</w:t>
      </w:r>
      <w:r>
        <w:rPr>
          <w:rStyle w:val="HideTWBInt"/>
        </w:rPr>
        <w:t>}</w:t>
      </w:r>
      <w:r>
        <w:t>EFDD</w:t>
      </w:r>
      <w:r>
        <w:t>-ryhmän puolesta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Ashley Fox</w:t>
      </w:r>
      <w:r>
        <w:t xml:space="preserve">, </w:t>
      </w:r>
      <w:r>
        <w:t>Kazimierz Michał Ujazdowski</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ECR</w:t>
      </w:r>
      <w:r>
        <w:rPr>
          <w:rStyle w:val="HideTWBInt"/>
        </w:rPr>
        <w:t>}</w:t>
      </w:r>
      <w:r>
        <w:t>ECR</w:t>
      </w:r>
      <w:r>
        <w:t>-ryhmän puolesta</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Helmut Scholz</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ProjRap"/>
      </w:pPr>
      <w:r>
        <w:rPr>
          <w:rStyle w:val="HideTWBExt"/>
        </w:rPr>
        <w:t>&lt;</w:t>
      </w:r>
      <w:r>
        <w:rPr>
          <w:rStyle w:val="HideTWBExt"/>
        </w:rPr>
        <w:t>TitreType</w:t>
      </w:r>
      <w:r>
        <w:rPr>
          <w:rStyle w:val="HideTWBExt"/>
        </w:rPr>
        <w:t>&gt;</w:t>
      </w:r>
      <w:r>
        <w:t>Mietintö</w:t>
      </w:r>
      <w:r>
        <w:rPr>
          <w:rStyle w:val="HideTWBExt"/>
        </w:rPr>
        <w:t>&lt;/</w:t>
      </w:r>
      <w:r>
        <w:rPr>
          <w:rStyle w:val="HideTWBExt"/>
        </w:rPr>
        <w:t>TitreType</w:t>
      </w:r>
      <w:r>
        <w:rPr>
          <w:rStyle w:val="HideTWBExt"/>
        </w:rPr>
        <w:t>&gt;</w:t>
      </w:r>
      <w:r>
        <w:tab/>
      </w:r>
      <w:r>
        <w:t>A8-0344/2016</w:t>
      </w:r>
    </w:p>
    <w:p>
      <w:pPr>
        <w:pStyle w:val="NormalBold"/>
      </w:pPr>
      <w:r>
        <w:rPr>
          <w:rStyle w:val="HideTWBExt"/>
        </w:rPr>
        <w:t>&lt;</w:t>
      </w:r>
      <w:r>
        <w:rPr>
          <w:rStyle w:val="HideTWBExt"/>
        </w:rPr>
        <w:t>Rapporteur</w:t>
      </w:r>
      <w:r>
        <w:rPr>
          <w:rStyle w:val="HideTWBExt"/>
        </w:rPr>
        <w:t>&gt;</w:t>
      </w:r>
      <w:r>
        <w:t>Richard Corbett</w:t>
      </w:r>
      <w:r>
        <w:rPr>
          <w:rStyle w:val="HideTWBExt"/>
        </w:rPr>
        <w:t>&lt;/</w:t>
      </w:r>
      <w:r>
        <w:rPr>
          <w:rStyle w:val="HideTWBExt"/>
        </w:rPr>
        <w:t>Rapporteur</w:t>
      </w:r>
      <w:r>
        <w:rPr>
          <w:rStyle w:val="HideTWBExt"/>
        </w:rPr>
        <w:t>&gt;</w:t>
      </w:r>
    </w:p>
    <w:p>
      <w:pPr>
        <w:pStyle w:val="Normal12"/>
      </w:pPr>
      <w:r>
        <w:rPr>
          <w:rStyle w:val="HideTWBExt"/>
        </w:rPr>
        <w:t>&lt;</w:t>
      </w:r>
      <w:r>
        <w:rPr>
          <w:rStyle w:val="HideTWBExt"/>
        </w:rPr>
        <w:t>Titre</w:t>
      </w:r>
      <w:r>
        <w:rPr>
          <w:rStyle w:val="HideTWBExt"/>
        </w:rPr>
        <w:t>&gt;</w:t>
      </w:r>
      <w:r>
        <w:t>Euroopan parlamentin työjärjestyksen yleinen tarkistaminen</w:t>
      </w:r>
      <w:r>
        <w:rPr>
          <w:rStyle w:val="HideTWBExt"/>
        </w:rPr>
        <w:t>&lt;/</w:t>
      </w:r>
      <w:r>
        <w:rPr>
          <w:rStyle w:val="HideTWBExt"/>
        </w:rPr>
        <w:t>Titre</w:t>
      </w:r>
      <w:r>
        <w:rPr>
          <w:rStyle w:val="HideTWBExt"/>
        </w:rPr>
        <w:t>&gt;</w:t>
      </w:r>
    </w:p>
    <w:p>
      <w:pPr>
        <w:pStyle w:val="Normal12"/>
      </w:pPr>
      <w:r>
        <w:rPr>
          <w:rStyle w:val="HideTWBExt"/>
        </w:rPr>
        <w:t>&lt;</w:t>
      </w:r>
      <w:r>
        <w:rPr>
          <w:rStyle w:val="HideTWBExt"/>
        </w:rPr>
        <w:t>DocRef</w:t>
      </w:r>
      <w:r>
        <w:rPr>
          <w:rStyle w:val="HideTWBExt"/>
        </w:rPr>
        <w:t>&gt;</w:t>
      </w:r>
      <w:r>
        <w:t>2016/2114(REG)</w:t>
      </w:r>
      <w:r>
        <w:rPr>
          <w:rStyle w:val="HideTWBExt"/>
        </w:rPr>
        <w:t>&lt;/</w:t>
      </w:r>
      <w:r>
        <w:rPr>
          <w:rStyle w:val="HideTWBExt"/>
        </w:rPr>
        <w:t>DocRef</w:t>
      </w:r>
      <w:r>
        <w:rPr>
          <w:rStyle w:val="HideTWBExt"/>
        </w:rPr>
        <w:t>&gt;</w:t>
      </w:r>
    </w:p>
    <w:p>
      <w:pPr>
        <w:pStyle w:val="Normal12"/>
      </w:pPr>
    </w:p>
    <w:p>
      <w:pPr>
        <w:pStyle w:val="NormalBold"/>
      </w:pPr>
      <w:r>
        <w:rPr>
          <w:rStyle w:val="HideTWBExt"/>
        </w:rPr>
        <w:t>&lt;</w:t>
      </w:r>
      <w:r>
        <w:rPr>
          <w:rStyle w:val="HideTWBExt"/>
        </w:rPr>
        <w:t>DocAmend</w:t>
      </w:r>
      <w:r>
        <w:rPr>
          <w:rStyle w:val="HideTWBExt"/>
        </w:rPr>
        <w:t>&gt;</w:t>
      </w:r>
      <w:r>
        <w:t>Euroopan parlamentin työjärjestys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Luku 2 – 15 artikla – 1 kohta – 1 alakohta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Nykyinen teksti</w:t>
            </w:r>
          </w:p>
        </w:tc>
        <w:tc>
          <w:tcPr/>
          <w:p>
            <w:pPr>
              <w:pStyle w:val="ColumnHeading"/>
            </w:pPr>
            <w:r>
              <w:t>Tarkistus</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Puhemies, varapuhemiehet ja kvestorit valitaan salaisessa äänestyksessä 182 artiklan mukaisesti. Ehdokkaaksi asettaminen edellyttää, että kyseinen henkilö on antanut suostumuksensa. Ehdokkaita voivat nimetä ainoastaan poliittiset ryhmät tai vähintään 40 jäsentä. Jos ehdokkaita kuitenkin on yhtä monta tai vähemmän kuin täytettäviä paikkoja, heidän valintansa voidaan vahvistaa suosionosoituksin.</w:t>
            </w:r>
          </w:p>
        </w:tc>
        <w:tc>
          <w:tcPr/>
          <w:p>
            <w:pPr>
              <w:pStyle w:val="Normal6"/>
            </w:pPr>
            <w:r>
              <w:t xml:space="preserve">Puhemies, varapuhemiehet ja kvestorit valitaan salaisessa äänestyksessä 182 artiklan mukaisesti. Ehdokkaaksi asettaminen edellyttää, että kyseinen henkilö on antanut suostumuksensa. Ehdokkaita voivat nimetä ainoastaan poliittiset ryhmät tai vähintään 40 jäsentä. Jos ehdokkaita kuitenkin on yhtä monta tai vähemmän kuin täytettäviä paikkoja, heidän valintansa voidaan vahvistaa suosionosoituksin. </w:t>
            </w:r>
            <w:r>
              <w:rPr>
                <w:rFonts w:ascii="Times New Roman" w:eastAsia="Times New Roman" w:hAnsi="Times New Roman" w:cs="Times New Roman"/>
                <w:b/>
                <w:i/>
                <w:strike w:val="0"/>
                <w:color w:val="000000"/>
                <w:sz w:val="24"/>
                <w:highlight w:val="none"/>
                <w:u w:val="none" w:color="auto"/>
              </w:rPr>
              <w:t>Jäsenet voivat hoitaa puhemiehen tehtävää enintään kahden toimikauden ajan 19 artiklan 1 kohdan mukaisesti riippumatta siitä, ovatko toimikaudet peräkkäisiä vai eivät.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JustificationTitle"/>
      </w:pPr>
      <w:r>
        <w:rPr>
          <w:rStyle w:val="HideTWBExt"/>
        </w:rPr>
        <w:t>&lt;</w:t>
      </w:r>
      <w:r>
        <w:rPr>
          <w:rStyle w:val="HideTWBExt"/>
        </w:rPr>
        <w:t>TitreJust</w:t>
      </w:r>
      <w:r>
        <w:rPr>
          <w:rStyle w:val="HideTWBExt"/>
        </w:rPr>
        <w:t>&gt;</w:t>
      </w:r>
      <w:r>
        <w:t>Perustelu</w:t>
      </w:r>
      <w:r>
        <w:rPr>
          <w:rStyle w:val="HideTWBExt"/>
        </w:rPr>
        <w:t>&lt;/</w:t>
      </w:r>
      <w:r>
        <w:rPr>
          <w:rStyle w:val="HideTWBExt"/>
        </w:rPr>
        <w:t>TitreJust</w:t>
      </w:r>
      <w:r>
        <w:rPr>
          <w:rStyle w:val="HideTWBExt"/>
        </w:rPr>
        <w:t>&gt;</w:t>
      </w:r>
    </w:p>
    <w:p>
      <w:pPr>
        <w:pStyle w:val="Normal12Italic"/>
      </w:pPr>
      <w:r>
        <w:t>Aikana, jolloin arvostelemme vallan keskittymistä eräissä maissa eri puolilla maailmaa, mielestämme tämä tarkistus paitsi edistäisi tuoretta johtajuutta myös toisi esille parlamenttimme demokraattiset arvot ja kannustaisi valvontaan, joka koskee yhtä sen näkyvimmistä edustajista. Koska Eurooppa-neuvoston puheenjohtaja valitaan kahden ja puolen vuoden toimikaudeksi, joka voidaan uusia kerran, olisi myös loogista mukauttaa Euroopan parlamentin puhemiehen toimikautta koskevia sääntöjä.</w:t>
      </w:r>
    </w:p>
    <w:p>
      <w:pPr>
        <w:pStyle w:val="Normal12Italic"/>
      </w:pPr>
      <w:r>
        <w:rPr>
          <w:rStyle w:val="HideTWBExt"/>
        </w:rPr>
        <w:t>&lt;/</w:t>
      </w:r>
      <w:r>
        <w:rPr>
          <w:rStyle w:val="HideTWBExt"/>
        </w:rPr>
        <w:t>Amend</w:t>
      </w:r>
      <w:r>
        <w:rPr>
          <w:rStyle w:val="HideTWBExt"/>
        </w:rPr>
        <w:t>&gt;</w:t>
      </w:r>
      <w:r>
        <w:rPr>
          <w:rStyle w:val="HideTWBExt"/>
        </w:rPr>
        <w:t>&lt;/</w:t>
      </w:r>
      <w:r>
        <w:rPr>
          <w:rStyle w:val="HideTWBExt"/>
        </w:rPr>
        <w:t>RepeatBlock-Amend</w:t>
      </w:r>
      <w:r>
        <w:rPr>
          <w:rStyle w:val="HideTWBExt"/>
        </w:rPr>
        <w:t>&gt;</w:t>
      </w:r>
    </w:p>
    <w:sectPr>
      <w:footerReference w:type="even" r:id="rId4"/>
      <w:footerReference w:type="default" r:id="rId5"/>
      <w:footerReference w:type="first" r:id="rId6"/>
      <w:pgSz w:w="11906" w:h="16838"/>
      <w:pgMar w:top="1134" w:right="1417" w:bottom="1417" w:left="1417" w:header="1134" w:footer="567"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HideTWBExt"/>
      </w:rPr>
      <w:t>&lt;</w:t>
    </w:r>
    <w:r>
      <w:rPr>
        <w:rStyle w:val="HideTWBExt"/>
      </w:rPr>
      <w:t>PathFdR</w:t>
    </w:r>
    <w:r>
      <w:rPr>
        <w:rStyle w:val="HideTWBExt"/>
      </w:rPr>
      <w:t>&gt;</w:t>
    </w:r>
    <w:r>
      <w:t>AM\1112149FI.docx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596.594</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Footer2"/>
    </w:pPr>
    <w:r>
      <w:t>FI</w:t>
    </w:r>
    <w:r>
      <w:tab/>
    </w:r>
    <w:r>
      <w:rPr>
        <w:rStyle w:val="Footer2Middle"/>
      </w:rPr>
      <w:t>Moninaisuudessaan yhtenäinen</w:t>
    </w:r>
    <w:r>
      <w:tab/>
    </w:r>
    <w:r>
      <w:t>FI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HideTWBExt"/>
      </w:rPr>
      <w:t>&lt;</w:t>
    </w:r>
    <w:r>
      <w:rPr>
        <w:rStyle w:val="HideTWBExt"/>
      </w:rPr>
      <w:t>PathFdR</w:t>
    </w:r>
    <w:r>
      <w:rPr>
        <w:rStyle w:val="HideTWBExt"/>
      </w:rPr>
      <w:t>&gt;</w:t>
    </w:r>
    <w:r>
      <w:t>AM\1112149FI.docx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596.594</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Footer2"/>
    </w:pPr>
    <w:r>
      <w:t>FI</w:t>
    </w:r>
    <w:r>
      <w:tab/>
    </w:r>
    <w:r>
      <w:rPr>
        <w:rStyle w:val="Footer2Middle"/>
      </w:rPr>
      <w:t>Moninaisuudessaan yhtenäinen</w:t>
    </w:r>
    <w:r>
      <w:tab/>
    </w:r>
    <w:r>
      <w:t>FI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HideTWBExt"/>
      </w:rPr>
      <w:t>&lt;</w:t>
    </w:r>
    <w:r>
      <w:rPr>
        <w:rStyle w:val="HideTWBExt"/>
      </w:rPr>
      <w:t>PathFdR</w:t>
    </w:r>
    <w:r>
      <w:rPr>
        <w:rStyle w:val="HideTWBExt"/>
      </w:rPr>
      <w:t>&gt;</w:t>
    </w:r>
    <w:r>
      <w:t>AM\1112149FI.docx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596.594</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Footer2"/>
    </w:pPr>
    <w:r>
      <w:t>FI</w:t>
    </w:r>
    <w:r>
      <w:tab/>
    </w:r>
    <w:r>
      <w:rPr>
        <w:rStyle w:val="Footer2Middle"/>
      </w:rPr>
      <w:t>Moninaisuudessaan yhtenäinen</w:t>
    </w:r>
    <w:r>
      <w:tab/>
    </w:r>
    <w:r>
      <w:t>FI</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D311CB"/>
    <w:pPr>
      <w:keepNext/>
      <w:keepLines/>
      <w:spacing w:before="40"/>
      <w:outlineLvl w:val="1"/>
    </w:pPr>
    <w:rPr>
      <w:rFonts w:ascii="Cambria" w:eastAsia="Times New Roman" w:hAnsi="Cambria" w:cs="Times New Roman"/>
      <w:color w:val="365F91" w:themeShade="BF"/>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sz w:val="24"/>
      <w:szCs w:val="24"/>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sz w:val="24"/>
      <w:szCs w:val="24"/>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sz w:val="24"/>
      <w:szCs w:val="24"/>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next w:val="DefaultParagraphFont"/>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6"/>
        <w:tab w:val="right" w:pos="9072"/>
      </w:tabs>
      <w:spacing w:before="240" w:after="240"/>
    </w:pPr>
    <w:rPr>
      <w:sz w:val="22"/>
      <w:szCs w:val="24"/>
    </w:rPr>
  </w:style>
  <w:style w:type="character" w:customStyle="1" w:styleId="FooterChar">
    <w:name w:val="Footer Char"/>
    <w:basedOn w:val="DefaultParagraphFont"/>
    <w:link w:val="Footer"/>
    <w:rsid w:val="00F54C98"/>
    <w:rPr>
      <w:sz w:val="22"/>
      <w:szCs w:val="24"/>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szCs w:val="24"/>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pPr>
      <w:tabs>
        <w:tab w:val="center" w:pos="4535"/>
        <w:tab w:val="right" w:pos="9072"/>
        <w:tab w:val="right" w:pos="9923"/>
      </w:tabs>
      <w:spacing w:before="0" w:after="0" w:line="480" w:lineRule="auto"/>
      <w:ind w:left="-851" w:right="-284"/>
    </w:pPr>
    <w:rPr>
      <w:rFonts w:ascii="Arial" w:eastAsia="Arial" w:hAnsi="Arial" w:cs="Arial"/>
      <w:b/>
      <w:color w:val="000000"/>
      <w:sz w:val="48"/>
      <w:szCs w:val="24"/>
    </w:rPr>
  </w:style>
  <w:style w:type="paragraph" w:customStyle="1" w:styleId="Footer2Landscape">
    <w:name w:val="Footer2Landscape"/>
    <w:qFormat/>
    <w:rsid w:val="002F0BDD"/>
    <w:pPr>
      <w:tabs>
        <w:tab w:val="center" w:pos="4535"/>
        <w:tab w:val="center" w:pos="6804"/>
        <w:tab w:val="clear" w:pos="9072"/>
        <w:tab w:val="clear" w:pos="9923"/>
        <w:tab w:val="center" w:pos="13608"/>
      </w:tabs>
      <w:spacing w:before="0" w:after="0"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645FC6"/>
    <w:pPr>
      <w:tabs>
        <w:tab w:val="center" w:pos="4536"/>
        <w:tab w:val="clear" w:pos="9072"/>
        <w:tab w:val="center" w:pos="13608"/>
      </w:tabs>
      <w:spacing w:before="240" w:after="240"/>
    </w:pPr>
    <w:rPr>
      <w:sz w:val="22"/>
      <w:szCs w:val="24"/>
    </w:rPr>
  </w:style>
  <w:style w:type="paragraph" w:customStyle="1" w:styleId="FooterRc">
    <w:name w:val="FooterRc"/>
    <w:basedOn w:val="Normal"/>
    <w:link w:val="FooterRcChar"/>
    <w:qFormat/>
    <w:rsid w:val="001B2A8C"/>
    <w:pPr>
      <w:tabs>
        <w:tab w:val="left" w:pos="6237"/>
      </w:tabs>
    </w:pPr>
    <w:rPr>
      <w:sz w:val="22"/>
      <w:szCs w:val="24"/>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szCs w:val="24"/>
    </w:rPr>
  </w:style>
  <w:style w:type="paragraph" w:styleId="Header">
    <w:name w:val="header"/>
    <w:basedOn w:val="Normal"/>
    <w:link w:val="HeaderChar"/>
    <w:rsid w:val="00173229"/>
    <w:pPr>
      <w:tabs>
        <w:tab w:val="center" w:pos="4513"/>
        <w:tab w:val="right" w:pos="9026"/>
      </w:tabs>
    </w:pPr>
    <w:rPr>
      <w:sz w:val="24"/>
      <w:szCs w:val="24"/>
    </w:r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rPr>
      <w:sz w:val="24"/>
      <w:szCs w:val="24"/>
    </w:rPr>
  </w:style>
  <w:style w:type="character" w:customStyle="1" w:styleId="Heading2Char">
    <w:name w:val="Heading 2 Char"/>
    <w:basedOn w:val="DefaultParagraphFont"/>
    <w:link w:val="Heading2"/>
    <w:rsid w:val="00D311CB"/>
    <w:rPr>
      <w:rFonts w:ascii="Cambria" w:eastAsia="Times New Roman" w:hAnsi="Cambria" w:cs="Times New Roman"/>
      <w:color w:val="365F91" w:themeShade="BF"/>
      <w:sz w:val="26"/>
      <w:szCs w:val="26"/>
    </w:rPr>
  </w:style>
  <w:style w:type="character" w:customStyle="1" w:styleId="Heading2Char0">
    <w:name w:val="Heading 2 Char_0"/>
    <w:basedOn w:val="DefaultParagraphFont"/>
    <w:link w:val="Heading20"/>
    <w:rsid w:val="00D311CB"/>
    <w:rPr>
      <w:rFonts w:ascii="Cambria" w:eastAsia="Times New Roman" w:hAnsi="Cambria" w:cs="Times New Roman"/>
      <w:color w:val="365F91" w:themeShade="BF"/>
      <w:sz w:val="26"/>
      <w:szCs w:val="26"/>
    </w:rPr>
  </w:style>
  <w:style w:type="paragraph" w:customStyle="1" w:styleId="Heading20">
    <w:name w:val="Heading 2_0"/>
    <w:basedOn w:val="Normal"/>
    <w:next w:val="Normal"/>
    <w:link w:val="Heading2Char0"/>
    <w:unhideWhenUsed/>
    <w:qFormat/>
    <w:rsid w:val="00D311CB"/>
    <w:pPr>
      <w:keepNext/>
      <w:keepLines/>
      <w:spacing w:before="40"/>
      <w:outlineLvl w:val="1"/>
    </w:pPr>
    <w:rPr>
      <w:rFonts w:ascii="Cambria" w:eastAsia="Times New Roman" w:hAnsi="Cambria" w:cs="Times New Roman"/>
      <w:color w:val="365F91" w:themeShade="BF"/>
      <w:sz w:val="26"/>
      <w:szCs w:val="26"/>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E24A24"/>
    <w:pPr>
      <w:tabs>
        <w:tab w:val="right" w:pos="9072"/>
      </w:tabs>
      <w:spacing w:before="0" w:after="0"/>
      <w:ind w:right="-284"/>
    </w:pPr>
    <w:rPr>
      <w:color w:val="000000"/>
      <w:sz w:val="22"/>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szCs w:val="24"/>
    </w:rPr>
  </w:style>
  <w:style w:type="paragraph" w:customStyle="1" w:styleId="LineTop">
    <w:name w:val="LineTop"/>
    <w:basedOn w:val="Normal"/>
    <w:pPr>
      <w:pBdr>
        <w:top w:val="single" w:sz="4" w:space="0" w:color="auto"/>
      </w:pBdr>
      <w:jc w:val="center"/>
    </w:pPr>
    <w:rPr>
      <w:rFonts w:ascii="Arial" w:eastAsia="Arial" w:hAnsi="Arial" w:cs="Arial"/>
      <w:color w:val="000000"/>
      <w:sz w:val="16"/>
      <w:szCs w:val="24"/>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sz w:val="24"/>
      <w:szCs w:val="24"/>
    </w:rPr>
  </w:style>
  <w:style w:type="paragraph" w:customStyle="1" w:styleId="Normal12Italic">
    <w:name w:val="Normal12Italic"/>
    <w:pPr>
      <w:tabs>
        <w:tab w:val="right" w:pos="9072"/>
      </w:tabs>
      <w:spacing w:before="0" w:after="0"/>
      <w:ind w:right="-284"/>
    </w:pPr>
    <w:rPr>
      <w:i/>
      <w:color w:val="000000"/>
      <w:sz w:val="22"/>
      <w:szCs w:val="24"/>
    </w:rPr>
  </w:style>
  <w:style w:type="paragraph" w:customStyle="1" w:styleId="Normal12a12b">
    <w:name w:val="Normal12a12b"/>
    <w:basedOn w:val="Normal"/>
    <w:pPr>
      <w:spacing w:before="240" w:after="240"/>
    </w:pPr>
    <w:rPr>
      <w:color w:val="000000"/>
      <w:sz w:val="24"/>
      <w:szCs w:val="24"/>
    </w:rPr>
  </w:style>
  <w:style w:type="paragraph" w:customStyle="1" w:styleId="Normal24">
    <w:name w:val="Normal24"/>
    <w:basedOn w:val="Normal"/>
    <w:pPr>
      <w:spacing w:after="480"/>
    </w:pPr>
    <w:rPr>
      <w:color w:val="000000"/>
      <w:sz w:val="24"/>
      <w:szCs w:val="24"/>
    </w:rPr>
  </w:style>
  <w:style w:type="paragraph" w:customStyle="1" w:styleId="Normal6">
    <w:name w:val="Normal6"/>
    <w:basedOn w:val="Normal"/>
    <w:pPr>
      <w:spacing w:after="120"/>
    </w:pPr>
    <w:rPr>
      <w:color w:val="000000"/>
      <w:sz w:val="24"/>
      <w:szCs w:val="24"/>
    </w:rPr>
  </w:style>
  <w:style w:type="paragraph" w:customStyle="1" w:styleId="Normal6Italic">
    <w:name w:val="Normal6Italic"/>
    <w:basedOn w:val="Normal"/>
    <w:pPr>
      <w:spacing w:after="120"/>
    </w:pPr>
    <w:rPr>
      <w:i/>
      <w:color w:val="000000"/>
      <w:sz w:val="24"/>
      <w:szCs w:val="24"/>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sz w:val="24"/>
      <w:szCs w:val="24"/>
    </w:rPr>
  </w:style>
  <w:style w:type="paragraph" w:customStyle="1" w:styleId="NormalBold12b">
    <w:name w:val="NormalBold12b"/>
    <w:basedOn w:val="Normal"/>
    <w:pPr>
      <w:spacing w:before="240"/>
    </w:pPr>
    <w:rPr>
      <w:b/>
      <w:color w:val="000000"/>
      <w:sz w:val="24"/>
      <w:szCs w:val="24"/>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szCs w:val="24"/>
    </w:rPr>
  </w:style>
  <w:style w:type="paragraph" w:customStyle="1" w:styleId="PERight">
    <w:name w:val="PERight"/>
    <w:basedOn w:val="Normal"/>
    <w:next w:val="Normal"/>
    <w:pPr>
      <w:spacing w:line="220" w:lineRule="auto"/>
      <w:jc w:val="right"/>
    </w:pPr>
    <w:rPr>
      <w:rFonts w:ascii="Arial" w:eastAsia="Arial" w:hAnsi="Arial" w:cs="Arial"/>
      <w:color w:val="000000"/>
      <w:sz w:val="22"/>
      <w:szCs w:val="24"/>
    </w:rPr>
  </w:style>
  <w:style w:type="paragraph" w:customStyle="1" w:styleId="ProjRap">
    <w:name w:val="ProjRap"/>
    <w:basedOn w:val="Normal"/>
    <w:rsid w:val="00D311CB"/>
    <w:pPr>
      <w:widowControl w:val="0"/>
      <w:tabs>
        <w:tab w:val="right" w:pos="9072"/>
        <w:tab w:val="right" w:pos="13608"/>
      </w:tabs>
      <w:ind w:right="-284"/>
    </w:pPr>
    <w:rPr>
      <w:b/>
      <w:snapToGrid w:val="0"/>
      <w:sz w:val="24"/>
      <w:szCs w:val="20"/>
      <w:lang w:val="fr-FR"/>
    </w:rPr>
  </w:style>
  <w:style w:type="paragraph" w:customStyle="1" w:styleId="RefPE">
    <w:name w:val="RefPE"/>
    <w:basedOn w:val="Normal"/>
    <w:rsid w:val="00A92086"/>
    <w:pPr>
      <w:spacing w:after="240"/>
      <w:jc w:val="right"/>
    </w:pPr>
    <w:rPr>
      <w:rFonts w:ascii="Arial" w:hAnsi="Arial"/>
      <w:b/>
      <w:sz w:val="24"/>
      <w:szCs w:val="24"/>
    </w:rPr>
  </w:style>
  <w:style w:type="paragraph" w:customStyle="1" w:styleId="RefProc">
    <w:name w:val="RefProc"/>
    <w:basedOn w:val="Normal"/>
    <w:pPr>
      <w:spacing w:after="240"/>
      <w:jc w:val="right"/>
    </w:pPr>
    <w:rPr>
      <w:rFonts w:ascii="Arial" w:eastAsia="Arial" w:hAnsi="Arial" w:cs="Arial"/>
      <w:b/>
      <w:caps/>
      <w:color w:val="000000"/>
      <w:sz w:val="22"/>
      <w:szCs w:val="24"/>
    </w:rPr>
  </w:style>
  <w:style w:type="paragraph" w:customStyle="1" w:styleId="StyleNormal6TimesNewRomanBoldItalic">
    <w:name w:val="Style Normal6 + TimesNewRoman Bold Italic"/>
    <w:pPr>
      <w:spacing w:after="120"/>
    </w:pPr>
    <w:rPr>
      <w:b/>
      <w:i/>
      <w:color w:val="000000"/>
      <w:sz w:val="24"/>
      <w:szCs w:val="24"/>
    </w:rPr>
  </w:style>
  <w:style w:type="paragraph" w:customStyle="1" w:styleId="StyleNormalBoldNotBold">
    <w:name w:val="Style NormalBold + Not Bold"/>
    <w:rPr>
      <w:b w:val="0"/>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style>
  <w:style w:type="paragraph" w:customStyle="1" w:styleId="TypeDocAM">
    <w:name w:val="TypeDocAM"/>
    <w:basedOn w:val="Normal"/>
    <w:pPr>
      <w:ind w:left="1418"/>
    </w:pPr>
    <w:rPr>
      <w:rFonts w:ascii="Arial" w:eastAsia="Arial" w:hAnsi="Arial" w:cs="Arial"/>
      <w:b/>
      <w:color w:val="000000"/>
      <w:sz w:val="48"/>
      <w:szCs w:val="24"/>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szCs w:val="24"/>
    </w:rPr>
  </w:style>
  <w:style w:type="paragraph" w:customStyle="1" w:styleId="ZDate">
    <w:name w:val="ZDate"/>
    <w:basedOn w:val="Normal"/>
    <w:pPr>
      <w:spacing w:after="1680"/>
    </w:pPr>
    <w:rPr>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AM_Ple_Rules</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FI</vt:lpwstr>
  </property>
  <property fmtid="{D5CDD505-2E9C-101B-9397-08002B2CF9AE}" pid="3" name="&lt;FdR&gt;">
    <vt:lpwstr>1112149</vt:lpwstr>
  </property>
  <property fmtid="{D5CDD505-2E9C-101B-9397-08002B2CF9AE}" pid="4" name="&lt;FooterPath&gt;">
    <vt:lpwstr>AM\1112149FI.doc</vt:lpwstr>
  </property>
  <property fmtid="{D5CDD505-2E9C-101B-9397-08002B2CF9AE}" pid="5" name="&lt;Model&gt;">
    <vt:lpwstr>AM_Ple_Rules</vt:lpwstr>
  </property>
  <property fmtid="{D5CDD505-2E9C-101B-9397-08002B2CF9AE}" pid="6" name="&lt;Type&gt;">
    <vt:lpwstr>AM</vt:lpwstr>
  </property>
  <property fmtid="{D5CDD505-2E9C-101B-9397-08002B2CF9AE}" pid="7" name="DMXMLUID">
    <vt:lpwstr>20161209-141920-017697-311837</vt:lpwstr>
  </property>
  <property fmtid="{D5CDD505-2E9C-101B-9397-08002B2CF9AE}" pid="8" name="PE Number">
    <vt:lpwstr>596.594</vt:lpwstr>
  </property>
  <property fmtid="{D5CDD505-2E9C-101B-9397-08002B2CF9AE}" pid="9" name="UID">
    <vt:lpwstr>eu.europa.europarl-DIN1-2016-0000083852_01.00-fi-01.00_text-xml</vt:lpwstr>
  </property>
</Properties>
</file>