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5D4C50" w:rsidRDefault="00CC1148">
      <w:pPr>
        <w:pStyle w:val="Interstitial1"/>
        <w:rPr>
          <w:color w:val="auto"/>
          <w:lang w:val="es-ES_tradnl"/>
        </w:rPr>
      </w:pPr>
      <w:r w:rsidRPr="005D4C50">
        <w:rPr>
          <w:rStyle w:val="HideTWBExt"/>
          <w:lang w:val="es-ES_tradnl"/>
        </w:rPr>
        <w:t>&lt;RepeatBlock-Amend&gt;&lt;Amend&gt;&lt;Date&gt;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142</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142</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2</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color w:val="auto"/>
              </w:rPr>
              <w:t>(2)</w:t>
            </w:r>
            <w:r w:rsidRPr="005D4C50">
              <w:rPr>
                <w:color w:val="auto"/>
              </w:rPr>
              <w:tab/>
              <w:t>En su Comunicación sobre una Estrategia europea a favor de la movilidad de bajas emisiones</w:t>
            </w:r>
            <w:r w:rsidRPr="005D4C50">
              <w:rPr>
                <w:rStyle w:val="Sup"/>
                <w:color w:val="auto"/>
              </w:rPr>
              <w:t>14</w:t>
            </w:r>
            <w:r w:rsidRPr="005D4C50">
              <w:rPr>
                <w:color w:val="auto"/>
              </w:rPr>
              <w:t>, la Comisión anunció que propondría la revisión de la Directiva relativa a la aplicación de gravámenes a los camiones para permitir también la tarificación diferenciada según las emisiones de dióxido de carbono</w:t>
            </w:r>
            <w:r w:rsidRPr="005D4C50">
              <w:rPr>
                <w:b/>
                <w:i/>
                <w:color w:val="auto"/>
              </w:rPr>
              <w:t>, así como la extensión de algunos de sus principios a los autocares y autobuses, y a los turismos y furgonetas</w:t>
            </w:r>
            <w:r w:rsidRPr="005D4C50">
              <w:rPr>
                <w:color w:val="auto"/>
              </w:rPr>
              <w:t>.</w:t>
            </w:r>
          </w:p>
        </w:tc>
        <w:tc>
          <w:tcPr>
            <w:tcW w:w="4876" w:type="dxa"/>
          </w:tcPr>
          <w:p w:rsidR="00DF3F90" w:rsidRPr="005D4C50" w:rsidRDefault="00CC1148">
            <w:pPr>
              <w:pStyle w:val="Normal6"/>
              <w:rPr>
                <w:color w:val="auto"/>
              </w:rPr>
            </w:pPr>
            <w:r w:rsidRPr="005D4C50">
              <w:rPr>
                <w:color w:val="auto"/>
              </w:rPr>
              <w:t>(2)</w:t>
            </w:r>
            <w:r w:rsidRPr="005D4C50">
              <w:rPr>
                <w:color w:val="auto"/>
              </w:rPr>
              <w:tab/>
              <w:t>En su Comunicación sobre una Estrategia europea a favor de la movilidad de bajas emisiones</w:t>
            </w:r>
            <w:r w:rsidRPr="005D4C50">
              <w:rPr>
                <w:rStyle w:val="Sup"/>
                <w:color w:val="auto"/>
              </w:rPr>
              <w:t>14</w:t>
            </w:r>
            <w:r w:rsidRPr="005D4C50">
              <w:rPr>
                <w:color w:val="auto"/>
              </w:rPr>
              <w:t>, la Comisión anunció que propondría la revisión de la Directiva relativa a la aplicación de gravámenes a los camiones para permitir también la tarificación diferenciada según las emisiones de dióxido de carbono.</w:t>
            </w:r>
          </w:p>
        </w:tc>
      </w:tr>
      <w:tr w:rsidR="005D4C50" w:rsidRPr="005D4C50">
        <w:trPr>
          <w:jc w:val="center"/>
        </w:trPr>
        <w:tc>
          <w:tcPr>
            <w:tcW w:w="4876" w:type="dxa"/>
          </w:tcPr>
          <w:p w:rsidR="00DF3F90" w:rsidRPr="005D4C50" w:rsidRDefault="00CC1148">
            <w:pPr>
              <w:pStyle w:val="Normal6"/>
              <w:rPr>
                <w:color w:val="auto"/>
              </w:rPr>
            </w:pPr>
            <w:r w:rsidRPr="005D4C50">
              <w:rPr>
                <w:color w:val="auto"/>
              </w:rPr>
              <w:t>_________________</w:t>
            </w:r>
          </w:p>
        </w:tc>
        <w:tc>
          <w:tcPr>
            <w:tcW w:w="4876" w:type="dxa"/>
          </w:tcPr>
          <w:p w:rsidR="00DF3F90" w:rsidRPr="005D4C50" w:rsidRDefault="00CC1148">
            <w:pPr>
              <w:pStyle w:val="Normal6"/>
              <w:rPr>
                <w:color w:val="auto"/>
              </w:rPr>
            </w:pPr>
            <w:r w:rsidRPr="005D4C50">
              <w:rPr>
                <w:color w:val="auto"/>
              </w:rPr>
              <w:t>_________________</w:t>
            </w:r>
          </w:p>
        </w:tc>
      </w:tr>
      <w:tr w:rsidR="005D4C50" w:rsidRPr="005D4C50">
        <w:trPr>
          <w:jc w:val="center"/>
        </w:trPr>
        <w:tc>
          <w:tcPr>
            <w:tcW w:w="4876" w:type="dxa"/>
          </w:tcPr>
          <w:p w:rsidR="00DF3F90" w:rsidRPr="005D4C50" w:rsidRDefault="00CC1148">
            <w:pPr>
              <w:pStyle w:val="Normal6"/>
              <w:rPr>
                <w:color w:val="auto"/>
              </w:rPr>
            </w:pPr>
            <w:r w:rsidRPr="005D4C50">
              <w:rPr>
                <w:rStyle w:val="Sup"/>
                <w:color w:val="auto"/>
              </w:rPr>
              <w:t>14</w:t>
            </w:r>
            <w:r w:rsidRPr="005D4C50">
              <w:rPr>
                <w:color w:val="auto"/>
              </w:rPr>
              <w:t xml:space="preserve"> COM(2016) 501 final.</w:t>
            </w:r>
          </w:p>
        </w:tc>
        <w:tc>
          <w:tcPr>
            <w:tcW w:w="4876" w:type="dxa"/>
          </w:tcPr>
          <w:p w:rsidR="00DF3F90" w:rsidRPr="005D4C50" w:rsidRDefault="00CC1148">
            <w:pPr>
              <w:pStyle w:val="Normal6"/>
              <w:rPr>
                <w:color w:val="auto"/>
              </w:rPr>
            </w:pPr>
            <w:r w:rsidRPr="005D4C50">
              <w:rPr>
                <w:rStyle w:val="Sup"/>
                <w:color w:val="auto"/>
              </w:rPr>
              <w:t>14</w:t>
            </w:r>
            <w:r w:rsidRPr="005D4C50">
              <w:rPr>
                <w:color w:val="auto"/>
              </w:rPr>
              <w:t xml:space="preserve"> COM(2016) 501 final.</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rsidSect="009F2FA7">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lastRenderedPageBreak/>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143</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143</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3</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(3)</w:t>
            </w:r>
            <w:r w:rsidRPr="005D4C50">
              <w:rPr>
                <w:color w:val="auto"/>
              </w:rPr>
              <w:tab/>
            </w:r>
            <w:r w:rsidRPr="005D4C50">
              <w:rPr>
                <w:b/>
                <w:i/>
                <w:color w:val="auto"/>
              </w:rPr>
              <w:t>Todos los vehículos pesados tienen un impacto significativo en las infraestructuras viarias y contribuyen a la contaminación atmosférica, mientras que los vehículos ligeros constituyen la fuente de la mayoría de los impactos ambientales y sociales negativos del transporte por carretera relacionados con las emisiones y la congestión. En aras de la igualdad de trato y la competencia leal, procede garantizar que los vehículos no abarcados hasta ahora por el marco establecido en la Directiva 1999/62/CE</w:t>
            </w:r>
            <w:r w:rsidRPr="005D4C50">
              <w:rPr>
                <w:b/>
                <w:i/>
                <w:color w:val="auto"/>
                <w:vertAlign w:val="superscript"/>
              </w:rPr>
              <w:t>15</w:t>
            </w:r>
            <w:r w:rsidRPr="005D4C50">
              <w:rPr>
                <w:b/>
                <w:i/>
                <w:color w:val="auto"/>
              </w:rPr>
              <w:t xml:space="preserve"> del Parlamento Europeo y del Consejo en lo que se refiere a los peajes y tasas de infraestructura sean incluidos en el presente marco. El ámbito de aplicación de esta Directiva debe por tanto ampliarse a los vehículos pesados distintos de los destinados al transporte de mercancías y a los vehículos ligeros, incluidos los turismos.</w:t>
            </w:r>
          </w:p>
        </w:tc>
        <w:tc>
          <w:tcPr>
            <w:tcW w:w="4876" w:type="dxa"/>
          </w:tcPr>
          <w:p w:rsidR="00DF3F90" w:rsidRPr="005D4C50" w:rsidRDefault="00CC1148">
            <w:pPr>
              <w:pStyle w:val="Normal6"/>
              <w:rPr>
                <w:color w:val="auto"/>
              </w:rPr>
            </w:pPr>
            <w:r w:rsidRPr="005D4C50">
              <w:rPr>
                <w:b/>
                <w:i/>
                <w:color w:val="auto"/>
              </w:rPr>
              <w:t>suprimido</w:t>
            </w:r>
          </w:p>
        </w:tc>
      </w:tr>
      <w:tr w:rsidR="005D4C50" w:rsidRPr="005D4C50">
        <w:trPr>
          <w:jc w:val="center"/>
        </w:trPr>
        <w:tc>
          <w:tcPr>
            <w:tcW w:w="4876" w:type="dxa"/>
          </w:tcPr>
          <w:p w:rsidR="00DF3F90" w:rsidRPr="005D4C50" w:rsidRDefault="00CC1148">
            <w:pPr>
              <w:pStyle w:val="Normal6"/>
              <w:rPr>
                <w:color w:val="auto"/>
              </w:rPr>
            </w:pPr>
            <w:r w:rsidRPr="005D4C50">
              <w:rPr>
                <w:color w:val="auto"/>
              </w:rPr>
              <w:t>_________________</w:t>
            </w:r>
          </w:p>
        </w:tc>
        <w:tc>
          <w:tcPr>
            <w:tcW w:w="4876" w:type="dxa"/>
          </w:tcPr>
          <w:p w:rsidR="00DF3F90" w:rsidRPr="005D4C50" w:rsidRDefault="00DF3F90">
            <w:pPr>
              <w:pStyle w:val="Normal6"/>
              <w:rPr>
                <w:color w:val="auto"/>
              </w:rPr>
            </w:pPr>
          </w:p>
        </w:tc>
      </w:tr>
      <w:tr w:rsidR="005D4C50" w:rsidRPr="005D4C50">
        <w:trPr>
          <w:jc w:val="center"/>
        </w:trPr>
        <w:tc>
          <w:tcPr>
            <w:tcW w:w="4876" w:type="dxa"/>
          </w:tcPr>
          <w:p w:rsidR="00DF3F90" w:rsidRPr="005D4C50" w:rsidRDefault="00CC1148">
            <w:pPr>
              <w:pStyle w:val="Normal6"/>
              <w:rPr>
                <w:color w:val="auto"/>
              </w:rPr>
            </w:pPr>
            <w:r w:rsidRPr="005D4C50">
              <w:rPr>
                <w:rStyle w:val="SupBoldItalic"/>
                <w:color w:val="auto"/>
              </w:rPr>
              <w:t>15</w:t>
            </w:r>
            <w:r w:rsidRPr="005D4C50">
              <w:rPr>
                <w:color w:val="auto"/>
              </w:rPr>
              <w:t xml:space="preserve"> </w:t>
            </w:r>
            <w:r w:rsidRPr="005D4C50">
              <w:rPr>
                <w:b/>
                <w:i/>
                <w:color w:val="auto"/>
              </w:rPr>
              <w:t>Directiva 1999/62/CE del Parlamento Europeo y del Consejo, de 17 de junio de 1999, relativa a la aplicación de gravámenes a los vehículos pesados de transporte de mercancías por la utilización de determinadas infraestructuras (DO L 187 de 20.7.1999, p. 42).</w:t>
            </w:r>
          </w:p>
        </w:tc>
        <w:tc>
          <w:tcPr>
            <w:tcW w:w="4876" w:type="dxa"/>
          </w:tcPr>
          <w:p w:rsidR="00DF3F90" w:rsidRPr="005D4C50" w:rsidRDefault="00DF3F90">
            <w:pPr>
              <w:pStyle w:val="Normal6"/>
              <w:rPr>
                <w:color w:val="auto"/>
              </w:rPr>
            </w:pP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144</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144</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 Marie-Christine Arnautu</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4</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(4)</w:t>
            </w:r>
            <w:r w:rsidRPr="005D4C50">
              <w:rPr>
                <w:color w:val="auto"/>
              </w:rPr>
              <w:tab/>
            </w:r>
            <w:r w:rsidRPr="005D4C50">
              <w:rPr>
                <w:b/>
                <w:i/>
                <w:color w:val="auto"/>
              </w:rPr>
              <w:t>Las tasas de base temporal por el uso de infraestructuras, por su propia naturaleza, no reflejan con exactitud los costes reales de las infraestructuras y, por razones similares, no son eficaces cuando se trata de incentivar un sistema más limpio y eficiente, o la reducción de la congestión. Por consiguiente, deben ser gradualmente sustituidas por tasas basadas en la distancia, que son más justas, más eficientes y más eficaces.</w:t>
            </w:r>
          </w:p>
        </w:tc>
        <w:tc>
          <w:tcPr>
            <w:tcW w:w="4876" w:type="dxa"/>
          </w:tcPr>
          <w:p w:rsidR="00DF3F90" w:rsidRPr="005D4C50" w:rsidRDefault="00CC1148">
            <w:pPr>
              <w:pStyle w:val="Normal6"/>
              <w:rPr>
                <w:color w:val="auto"/>
              </w:rPr>
            </w:pPr>
            <w:r w:rsidRPr="005D4C50">
              <w:rPr>
                <w:b/>
                <w:i/>
                <w:color w:val="auto"/>
              </w:rPr>
              <w:t>suprimido</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145</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145</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11</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(11)</w:t>
            </w:r>
            <w:r w:rsidRPr="005D4C50">
              <w:rPr>
                <w:color w:val="auto"/>
              </w:rPr>
              <w:tab/>
            </w:r>
            <w:r w:rsidRPr="005D4C50">
              <w:rPr>
                <w:b/>
                <w:i/>
                <w:color w:val="auto"/>
              </w:rPr>
              <w:t>Los vehículos ligeros son responsables de dos tercios de los impactos negativos del transporte por carretera sobre el medio ambiente y la salud. Por consiguiente, es importante incentivar el uso de vehículos más limpios y eficientes en términos de consumo de combustible a través de la diferenciación de los peajes atendiendo a los factores de conformidad definidos en el Reglamento (UE) 2016/427</w:t>
            </w:r>
            <w:r w:rsidRPr="005D4C50">
              <w:rPr>
                <w:b/>
                <w:i/>
                <w:color w:val="auto"/>
                <w:vertAlign w:val="superscript"/>
              </w:rPr>
              <w:t>18</w:t>
            </w:r>
            <w:r w:rsidRPr="005D4C50">
              <w:rPr>
                <w:b/>
                <w:i/>
                <w:color w:val="auto"/>
              </w:rPr>
              <w:t xml:space="preserve"> de la Comisión, el Reglamento (UE) 2016/646</w:t>
            </w:r>
            <w:r w:rsidRPr="005D4C50">
              <w:rPr>
                <w:b/>
                <w:i/>
                <w:color w:val="auto"/>
                <w:vertAlign w:val="superscript"/>
              </w:rPr>
              <w:t>19</w:t>
            </w:r>
            <w:r w:rsidRPr="005D4C50">
              <w:rPr>
                <w:b/>
                <w:i/>
                <w:color w:val="auto"/>
              </w:rPr>
              <w:t xml:space="preserve"> de la Comisión, y el Reglamento (UE) 2017/xxx</w:t>
            </w:r>
            <w:r w:rsidRPr="005D4C50">
              <w:rPr>
                <w:b/>
                <w:i/>
                <w:color w:val="auto"/>
                <w:vertAlign w:val="superscript"/>
              </w:rPr>
              <w:t>20</w:t>
            </w:r>
            <w:r w:rsidRPr="005D4C50">
              <w:rPr>
                <w:b/>
                <w:i/>
                <w:color w:val="auto"/>
              </w:rPr>
              <w:t xml:space="preserve"> de la Comisión.</w:t>
            </w:r>
          </w:p>
        </w:tc>
        <w:tc>
          <w:tcPr>
            <w:tcW w:w="4876" w:type="dxa"/>
          </w:tcPr>
          <w:p w:rsidR="00DF3F90" w:rsidRPr="005D4C50" w:rsidRDefault="00CC1148">
            <w:pPr>
              <w:pStyle w:val="Normal6"/>
              <w:rPr>
                <w:color w:val="auto"/>
              </w:rPr>
            </w:pPr>
            <w:r w:rsidRPr="005D4C50">
              <w:rPr>
                <w:b/>
                <w:i/>
                <w:color w:val="auto"/>
              </w:rPr>
              <w:t>suprimido</w:t>
            </w:r>
          </w:p>
        </w:tc>
      </w:tr>
      <w:tr w:rsidR="005D4C50" w:rsidRPr="005D4C50">
        <w:trPr>
          <w:jc w:val="center"/>
        </w:trPr>
        <w:tc>
          <w:tcPr>
            <w:tcW w:w="4876" w:type="dxa"/>
          </w:tcPr>
          <w:p w:rsidR="00DF3F90" w:rsidRPr="005D4C50" w:rsidRDefault="00CC1148">
            <w:pPr>
              <w:pStyle w:val="Normal6"/>
              <w:rPr>
                <w:color w:val="auto"/>
              </w:rPr>
            </w:pPr>
            <w:r w:rsidRPr="005D4C50">
              <w:rPr>
                <w:color w:val="auto"/>
              </w:rPr>
              <w:t>_________________</w:t>
            </w:r>
          </w:p>
        </w:tc>
        <w:tc>
          <w:tcPr>
            <w:tcW w:w="4876" w:type="dxa"/>
          </w:tcPr>
          <w:p w:rsidR="00DF3F90" w:rsidRPr="005D4C50" w:rsidRDefault="00DF3F90">
            <w:pPr>
              <w:pStyle w:val="Normal6"/>
              <w:rPr>
                <w:color w:val="auto"/>
              </w:rPr>
            </w:pPr>
          </w:p>
        </w:tc>
      </w:tr>
      <w:tr w:rsidR="005D4C50" w:rsidRPr="005D4C50">
        <w:trPr>
          <w:jc w:val="center"/>
        </w:trPr>
        <w:tc>
          <w:tcPr>
            <w:tcW w:w="4876" w:type="dxa"/>
          </w:tcPr>
          <w:p w:rsidR="00DF3F90" w:rsidRPr="005D4C50" w:rsidRDefault="00CC1148">
            <w:pPr>
              <w:pStyle w:val="Normal6"/>
              <w:rPr>
                <w:color w:val="auto"/>
              </w:rPr>
            </w:pPr>
            <w:r w:rsidRPr="005D4C50">
              <w:rPr>
                <w:rStyle w:val="SupBoldItalic"/>
                <w:color w:val="auto"/>
              </w:rPr>
              <w:t>18</w:t>
            </w:r>
            <w:r w:rsidRPr="005D4C50">
              <w:rPr>
                <w:color w:val="auto"/>
              </w:rPr>
              <w:t xml:space="preserve"> </w:t>
            </w:r>
            <w:r w:rsidRPr="005D4C50">
              <w:rPr>
                <w:b/>
                <w:i/>
                <w:color w:val="auto"/>
              </w:rPr>
              <w:t>Reglamento (UE) 2016/427 de la Comisión, de 10 de marzo de 2016, por el que se modifica el Reglamento (CE) n.º 692/2008 en lo que concierne a las emisiones procedentes de turismos y vehículos comerciales ligeros (DO L 82 de 31.3.2016, p. 1).</w:t>
            </w:r>
          </w:p>
        </w:tc>
        <w:tc>
          <w:tcPr>
            <w:tcW w:w="4876" w:type="dxa"/>
          </w:tcPr>
          <w:p w:rsidR="00DF3F90" w:rsidRPr="005D4C50" w:rsidRDefault="00DF3F90">
            <w:pPr>
              <w:pStyle w:val="Normal6"/>
              <w:rPr>
                <w:color w:val="auto"/>
              </w:rPr>
            </w:pPr>
          </w:p>
        </w:tc>
      </w:tr>
      <w:tr w:rsidR="005D4C50" w:rsidRPr="005D4C50">
        <w:trPr>
          <w:jc w:val="center"/>
        </w:trPr>
        <w:tc>
          <w:tcPr>
            <w:tcW w:w="4876" w:type="dxa"/>
          </w:tcPr>
          <w:p w:rsidR="00DF3F90" w:rsidRPr="005D4C50" w:rsidRDefault="00CC1148">
            <w:pPr>
              <w:pStyle w:val="Normal6"/>
              <w:rPr>
                <w:color w:val="auto"/>
              </w:rPr>
            </w:pPr>
            <w:r w:rsidRPr="005D4C50">
              <w:rPr>
                <w:rStyle w:val="SupBoldItalic"/>
                <w:color w:val="auto"/>
              </w:rPr>
              <w:t>19</w:t>
            </w:r>
            <w:r w:rsidRPr="005D4C50">
              <w:rPr>
                <w:color w:val="auto"/>
              </w:rPr>
              <w:t xml:space="preserve"> </w:t>
            </w:r>
            <w:r w:rsidRPr="005D4C50">
              <w:rPr>
                <w:b/>
                <w:i/>
                <w:color w:val="auto"/>
              </w:rPr>
              <w:t>Reglamento (UE) 2016/646 de la Comisión, de miércoles, 20 de abril de 2016, por el que se modifica el Reglamento (CE) n.º 692/2008 en lo que concierne a las emisiones procedentes de turismos y vehículos comerciales ligeros (DO L 109 de 26.4.2016, p. 1).</w:t>
            </w:r>
          </w:p>
        </w:tc>
        <w:tc>
          <w:tcPr>
            <w:tcW w:w="4876" w:type="dxa"/>
          </w:tcPr>
          <w:p w:rsidR="00DF3F90" w:rsidRPr="005D4C50" w:rsidRDefault="00DF3F90">
            <w:pPr>
              <w:pStyle w:val="Normal6"/>
              <w:rPr>
                <w:color w:val="auto"/>
              </w:rPr>
            </w:pPr>
          </w:p>
        </w:tc>
      </w:tr>
      <w:tr w:rsidR="005D4C50" w:rsidRPr="005D4C50">
        <w:trPr>
          <w:jc w:val="center"/>
        </w:trPr>
        <w:tc>
          <w:tcPr>
            <w:tcW w:w="4876" w:type="dxa"/>
          </w:tcPr>
          <w:p w:rsidR="00DF3F90" w:rsidRPr="005D4C50" w:rsidRDefault="00CC1148">
            <w:pPr>
              <w:pStyle w:val="Normal6"/>
              <w:rPr>
                <w:color w:val="auto"/>
              </w:rPr>
            </w:pPr>
            <w:r w:rsidRPr="005D4C50">
              <w:rPr>
                <w:rStyle w:val="SupBoldItalic"/>
                <w:color w:val="auto"/>
              </w:rPr>
              <w:t>20</w:t>
            </w:r>
            <w:r w:rsidRPr="005D4C50">
              <w:rPr>
                <w:color w:val="auto"/>
              </w:rPr>
              <w:t xml:space="preserve"> </w:t>
            </w:r>
          </w:p>
        </w:tc>
        <w:tc>
          <w:tcPr>
            <w:tcW w:w="4876" w:type="dxa"/>
          </w:tcPr>
          <w:p w:rsidR="00DF3F90" w:rsidRPr="005D4C50" w:rsidRDefault="00DF3F90">
            <w:pPr>
              <w:pStyle w:val="Normal6"/>
              <w:rPr>
                <w:color w:val="auto"/>
              </w:rPr>
            </w:pP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146</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146</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 Marie-Christine Arnautu</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13</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(13)</w:t>
            </w:r>
            <w:r w:rsidRPr="005D4C50">
              <w:rPr>
                <w:color w:val="auto"/>
              </w:rPr>
              <w:tab/>
            </w:r>
            <w:r w:rsidRPr="005D4C50">
              <w:rPr>
                <w:b/>
                <w:i/>
                <w:color w:val="auto"/>
              </w:rPr>
              <w:t>La congestión vial, a la que contribuyen en proporciones diferentes todos los vehículos de motor, representa un coste de cerca del 1 % del PIB. Una parte significativa de este coste puede atribuirse a la congestión interurbana. Conviene por tanto permitir una tasa de congestión específica, a condición de que se aplique a todas las categorías de vehículos. Para que sea eficaz y proporcionada, la tasa debe calcularse a partir de los costes marginales y diferenciarse en función de la localización, de la hora y de la categoría del vehículo. A fin de maximizar el efecto positivo de las tasas de congestión, la recaudación correspondiente debe destinarse a proyectos que aborden las causas del problema.</w:t>
            </w:r>
          </w:p>
        </w:tc>
        <w:tc>
          <w:tcPr>
            <w:tcW w:w="4876" w:type="dxa"/>
          </w:tcPr>
          <w:p w:rsidR="00DF3F90" w:rsidRPr="005D4C50" w:rsidRDefault="00CC1148">
            <w:pPr>
              <w:pStyle w:val="Normal6"/>
              <w:rPr>
                <w:color w:val="auto"/>
              </w:rPr>
            </w:pPr>
            <w:r w:rsidRPr="005D4C50">
              <w:rPr>
                <w:b/>
                <w:i/>
                <w:color w:val="auto"/>
              </w:rPr>
              <w:t>suprimido</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147</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147</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 Marie-Christine Arnautu</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14</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(14)</w:t>
            </w:r>
            <w:r w:rsidRPr="005D4C50">
              <w:rPr>
                <w:color w:val="auto"/>
              </w:rPr>
              <w:tab/>
            </w:r>
            <w:r w:rsidRPr="005D4C50">
              <w:rPr>
                <w:b/>
                <w:i/>
                <w:color w:val="auto"/>
              </w:rPr>
              <w:t>Las tasas de congestión deben reflejar los costes reales impuestos por cada vehículo directamente a otros usuarios de la carretera, e indirectamente a la sociedad en general, de manera proporcionada. A fin de evitar que obstaculicen desproporcionadamente la libre circulación de personas y bienes, deben limitarse a importes específicos que reflejen los costes marginales de la congestión en condiciones próximas a la capacidad máxima, es decir, siempre que el volumen de tráfico se aproxime a la capacidad máxima de la infraestructura.</w:t>
            </w:r>
          </w:p>
        </w:tc>
        <w:tc>
          <w:tcPr>
            <w:tcW w:w="4876" w:type="dxa"/>
          </w:tcPr>
          <w:p w:rsidR="00DF3F90" w:rsidRPr="005D4C50" w:rsidRDefault="00CC1148">
            <w:pPr>
              <w:pStyle w:val="Normal6"/>
              <w:rPr>
                <w:color w:val="auto"/>
              </w:rPr>
            </w:pPr>
            <w:r w:rsidRPr="005D4C50">
              <w:rPr>
                <w:b/>
                <w:i/>
                <w:color w:val="auto"/>
              </w:rPr>
              <w:t>suprimido</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24"/>
          <w:footerReference w:type="default" r:id="rId25"/>
          <w:footerReference w:type="first" r:id="rId26"/>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148</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148</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19</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color w:val="auto"/>
              </w:rPr>
              <w:t>(19)</w:t>
            </w:r>
            <w:r w:rsidRPr="005D4C50">
              <w:rPr>
                <w:color w:val="auto"/>
              </w:rPr>
              <w:tab/>
              <w:t xml:space="preserve">La tarificación vial puede movilizar recursos que contribuyan a la financiación del mantenimiento y el desarrollo de una infraestructura de transporte de alta calidad. Resulta por tanto adecuado </w:t>
            </w:r>
            <w:r w:rsidRPr="005D4C50">
              <w:rPr>
                <w:b/>
                <w:i/>
                <w:color w:val="auto"/>
              </w:rPr>
              <w:t>incentivar a</w:t>
            </w:r>
            <w:r w:rsidRPr="005D4C50">
              <w:rPr>
                <w:color w:val="auto"/>
              </w:rPr>
              <w:t xml:space="preserve"> los Estados miembros </w:t>
            </w:r>
            <w:r w:rsidRPr="005D4C50">
              <w:rPr>
                <w:b/>
                <w:i/>
                <w:color w:val="auto"/>
              </w:rPr>
              <w:t>a usar</w:t>
            </w:r>
            <w:r w:rsidRPr="005D4C50">
              <w:rPr>
                <w:color w:val="auto"/>
              </w:rPr>
              <w:t xml:space="preserve"> los ingresos procedentes de la tarificación vial en consecuencia y, a tal fin, </w:t>
            </w:r>
            <w:r w:rsidRPr="005D4C50">
              <w:rPr>
                <w:b/>
                <w:i/>
                <w:color w:val="auto"/>
              </w:rPr>
              <w:t>pedir</w:t>
            </w:r>
            <w:r w:rsidRPr="005D4C50">
              <w:rPr>
                <w:color w:val="auto"/>
              </w:rPr>
              <w:t xml:space="preserve"> a los Estados miembros que informen adecuadamente sobre el uso de esos ingresos. Dicha información debe servir en particular para detectar posibles lagunas de financiación y contribuir a aumentar la aceptación de la tarificación vial por parte de la población.</w:t>
            </w:r>
          </w:p>
        </w:tc>
        <w:tc>
          <w:tcPr>
            <w:tcW w:w="4876" w:type="dxa"/>
          </w:tcPr>
          <w:p w:rsidR="00DF3F90" w:rsidRPr="005D4C50" w:rsidRDefault="00CC1148">
            <w:pPr>
              <w:pStyle w:val="Normal6"/>
              <w:rPr>
                <w:color w:val="auto"/>
              </w:rPr>
            </w:pPr>
            <w:r w:rsidRPr="005D4C50">
              <w:rPr>
                <w:color w:val="auto"/>
              </w:rPr>
              <w:t>(19)</w:t>
            </w:r>
            <w:r w:rsidRPr="005D4C50">
              <w:rPr>
                <w:color w:val="auto"/>
              </w:rPr>
              <w:tab/>
              <w:t xml:space="preserve">La tarificación vial puede movilizar recursos que contribuyan a la financiación del mantenimiento y el desarrollo de una infraestructura de transporte de alta calidad. Resulta por tanto adecuado </w:t>
            </w:r>
            <w:r w:rsidRPr="005D4C50">
              <w:rPr>
                <w:b/>
                <w:i/>
                <w:color w:val="auto"/>
              </w:rPr>
              <w:t>que</w:t>
            </w:r>
            <w:r w:rsidRPr="005D4C50">
              <w:rPr>
                <w:color w:val="auto"/>
              </w:rPr>
              <w:t xml:space="preserve"> los Estados miembros </w:t>
            </w:r>
            <w:r w:rsidRPr="005D4C50">
              <w:rPr>
                <w:b/>
                <w:i/>
                <w:color w:val="auto"/>
              </w:rPr>
              <w:t>usen</w:t>
            </w:r>
            <w:r w:rsidRPr="005D4C50">
              <w:rPr>
                <w:color w:val="auto"/>
              </w:rPr>
              <w:t xml:space="preserve"> los ingresos procedentes de la tarificación vial en consecuencia y, a tal fin, </w:t>
            </w:r>
            <w:r w:rsidRPr="005D4C50">
              <w:rPr>
                <w:b/>
                <w:i/>
                <w:color w:val="auto"/>
              </w:rPr>
              <w:t>se pida</w:t>
            </w:r>
            <w:r w:rsidRPr="005D4C50">
              <w:rPr>
                <w:color w:val="auto"/>
              </w:rPr>
              <w:t xml:space="preserve"> a los Estados miembros que informen adecuadamente sobre el uso de esos ingresos</w:t>
            </w:r>
            <w:r w:rsidRPr="005D4C50">
              <w:rPr>
                <w:b/>
                <w:i/>
                <w:color w:val="auto"/>
              </w:rPr>
              <w:t>. Los ingresos por peaje deben invertirse en el mantenimiento de la infraestructura de transporte.</w:t>
            </w:r>
            <w:r w:rsidRPr="005D4C50">
              <w:rPr>
                <w:color w:val="auto"/>
              </w:rPr>
              <w:t xml:space="preserve"> Dicha información debe servir en particular para detectar posibles lagunas de financiación y contribuir a aumentar la aceptación de la tarificación vial por parte de la población.</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sectPr w:rsidR="00DF3F90" w:rsidRPr="005D4C50">
          <w:footerReference w:type="even" r:id="rId27"/>
          <w:footerReference w:type="default" r:id="rId28"/>
          <w:footerReference w:type="first" r:id="rId29"/>
          <w:pgSz w:w="11906" w:h="16838"/>
          <w:pgMar w:top="1134" w:right="1417" w:bottom="1417" w:left="1417" w:header="1134" w:footer="567" w:gutter="0"/>
          <w:cols w:space="708"/>
          <w:docGrid w:linePitch="360"/>
        </w:sectPr>
      </w:pPr>
      <w:r w:rsidRPr="005D4C50">
        <w:rPr>
          <w:rStyle w:val="HideTWBExt"/>
          <w:lang w:val="es-ES_tradnl"/>
        </w:rPr>
        <w:t>&lt;/Amend&gt;</w:t>
      </w:r>
    </w:p>
    <w:p w:rsidR="00DF3F90" w:rsidRPr="005D4C50" w:rsidRDefault="00CC1148">
      <w:pPr>
        <w:pStyle w:val="Interstitial1"/>
        <w:rPr>
          <w:color w:val="auto"/>
          <w:lang w:val="es-ES_tradnl"/>
        </w:rPr>
      </w:pPr>
      <w:r w:rsidRPr="005D4C50">
        <w:rPr>
          <w:rStyle w:val="HideTWBExt"/>
          <w:lang w:val="es-ES_tradnl"/>
        </w:rPr>
        <w:t>&lt;Amend&gt;&lt;Date&gt;</w:t>
      </w:r>
      <w:r w:rsidRPr="005D4C50">
        <w:rPr>
          <w:rStyle w:val="HideTWBInt"/>
          <w:lang w:val="es-ES_tradnl"/>
        </w:rPr>
        <w:t>{18/10/2018}</w:t>
      </w:r>
      <w:r w:rsidRPr="005D4C50">
        <w:rPr>
          <w:color w:val="auto"/>
          <w:lang w:val="es-ES_tradnl"/>
        </w:rPr>
        <w:t>18.10.2018</w:t>
      </w:r>
      <w:r w:rsidRPr="005D4C50">
        <w:rPr>
          <w:rStyle w:val="HideTWBExt"/>
          <w:lang w:val="es-ES_tradnl"/>
        </w:rPr>
        <w:t>&lt;/Date&gt;</w:t>
      </w:r>
      <w:r w:rsidRPr="005D4C50">
        <w:rPr>
          <w:color w:val="auto"/>
          <w:lang w:val="es-ES_tradnl"/>
        </w:rPr>
        <w:tab/>
      </w:r>
      <w:r w:rsidRPr="005D4C50">
        <w:rPr>
          <w:rStyle w:val="HideTWBExt"/>
          <w:lang w:val="es-ES_tradnl"/>
        </w:rPr>
        <w:t>&lt;ANo&gt;</w:t>
      </w:r>
      <w:r w:rsidRPr="005D4C50">
        <w:rPr>
          <w:color w:val="auto"/>
          <w:lang w:val="es-ES_tradnl"/>
        </w:rPr>
        <w:t>A8-0202</w:t>
      </w:r>
      <w:r w:rsidRPr="005D4C50">
        <w:rPr>
          <w:rStyle w:val="HideTWBExt"/>
          <w:lang w:val="es-ES_tradnl"/>
        </w:rPr>
        <w:t>&lt;/ANo&gt;</w:t>
      </w:r>
      <w:r w:rsidRPr="005D4C50">
        <w:rPr>
          <w:color w:val="auto"/>
          <w:lang w:val="es-ES_tradnl"/>
        </w:rPr>
        <w:t>/</w:t>
      </w:r>
      <w:r w:rsidRPr="005D4C50">
        <w:rPr>
          <w:rStyle w:val="HideTWBExt"/>
          <w:lang w:val="es-ES_tradnl"/>
        </w:rPr>
        <w:t>&lt;NumAm&gt;</w:t>
      </w:r>
      <w:r w:rsidRPr="005D4C50">
        <w:rPr>
          <w:color w:val="auto"/>
          <w:lang w:val="es-ES_tradnl"/>
        </w:rPr>
        <w:t>149</w:t>
      </w:r>
      <w:r w:rsidRPr="005D4C50">
        <w:rPr>
          <w:rStyle w:val="HideTWBExt"/>
          <w:lang w:val="es-ES_tradnl"/>
        </w:rPr>
        <w:t>&lt;/NumAm&gt;</w:t>
      </w:r>
    </w:p>
    <w:p w:rsidR="00DF3F90" w:rsidRPr="005D4C50" w:rsidRDefault="00CC1148">
      <w:pPr>
        <w:pStyle w:val="AMNumberTabs"/>
        <w:rPr>
          <w:color w:val="auto"/>
        </w:rPr>
      </w:pPr>
      <w:r w:rsidRPr="005D4C50">
        <w:rPr>
          <w:color w:val="auto"/>
        </w:rPr>
        <w:t>Enmienda</w:t>
      </w:r>
      <w:r w:rsidRPr="005D4C50">
        <w:rPr>
          <w:color w:val="auto"/>
        </w:rPr>
        <w:tab/>
      </w:r>
      <w:r w:rsidRPr="005D4C50">
        <w:rPr>
          <w:color w:val="auto"/>
        </w:rPr>
        <w:tab/>
      </w:r>
      <w:r w:rsidRPr="005D4C50">
        <w:rPr>
          <w:rStyle w:val="HideTWBExt"/>
          <w:b w:val="0"/>
        </w:rPr>
        <w:t>&lt;NumAm&gt;</w:t>
      </w:r>
      <w:r w:rsidRPr="005D4C50">
        <w:rPr>
          <w:color w:val="auto"/>
        </w:rPr>
        <w:t>149</w:t>
      </w:r>
      <w:r w:rsidRPr="005D4C50">
        <w:rPr>
          <w:rStyle w:val="HideTWBExt"/>
          <w:b w:val="0"/>
        </w:rPr>
        <w:t>&lt;/NumAm&gt;</w:t>
      </w:r>
    </w:p>
    <w:p w:rsidR="00DF3F90" w:rsidRPr="005D4C50" w:rsidRDefault="00CC1148">
      <w:pPr>
        <w:pStyle w:val="NormalBold"/>
        <w:rPr>
          <w:color w:val="auto"/>
        </w:rPr>
      </w:pPr>
      <w:r w:rsidRPr="005D4C50">
        <w:rPr>
          <w:rStyle w:val="HideTWBExt"/>
          <w:b w:val="0"/>
        </w:rPr>
        <w:t>&lt;RepeatBlock-By&gt;&lt;Members&gt;</w:t>
      </w:r>
      <w:r w:rsidRPr="005D4C50">
        <w:rPr>
          <w:color w:val="auto"/>
        </w:rPr>
        <w:t>Georg Mayer, Marie-Christine Arnautu</w:t>
      </w:r>
      <w:r w:rsidRPr="005D4C50">
        <w:rPr>
          <w:rStyle w:val="HideTWBExt"/>
          <w:b w:val="0"/>
        </w:rPr>
        <w:t>&lt;/Members&gt;</w:t>
      </w:r>
    </w:p>
    <w:p w:rsidR="00DF3F90" w:rsidRPr="005D4C50" w:rsidRDefault="00CC1148">
      <w:r w:rsidRPr="005D4C50">
        <w:rPr>
          <w:rStyle w:val="HideTWBExt"/>
        </w:rPr>
        <w:t>&lt;AuNomDe&gt;</w:t>
      </w:r>
      <w:r w:rsidRPr="005D4C50">
        <w:rPr>
          <w:rStyle w:val="HideTWBInt"/>
        </w:rPr>
        <w:t>{ENF}</w:t>
      </w:r>
      <w:r w:rsidRPr="005D4C50">
        <w:t>en nombre del Grupo ENF</w:t>
      </w:r>
      <w:r w:rsidRPr="005D4C50">
        <w:rPr>
          <w:rStyle w:val="HideTWBExt"/>
        </w:rPr>
        <w:t>&lt;/AuNomDe&gt;</w:t>
      </w:r>
    </w:p>
    <w:p w:rsidR="00DF3F90" w:rsidRPr="005D4C50" w:rsidRDefault="00CC1148">
      <w:r w:rsidRPr="005D4C50">
        <w:rPr>
          <w:rStyle w:val="HideTWBExt"/>
        </w:rPr>
        <w:t>&lt;/RepeatBlock-By&gt;</w:t>
      </w:r>
    </w:p>
    <w:p w:rsidR="00DF3F90" w:rsidRPr="005D4C50" w:rsidRDefault="00CC1148">
      <w:pPr>
        <w:pStyle w:val="ProjRap"/>
      </w:pPr>
      <w:r w:rsidRPr="005D4C50">
        <w:rPr>
          <w:rStyle w:val="HideTWBExt"/>
          <w:b w:val="0"/>
          <w:snapToGrid/>
          <w:szCs w:val="24"/>
        </w:rPr>
        <w:t>&lt;TitreType&gt;</w:t>
      </w:r>
      <w:r w:rsidRPr="005D4C50">
        <w:t>Informe</w:t>
      </w:r>
      <w:r w:rsidRPr="005D4C50">
        <w:rPr>
          <w:rStyle w:val="HideTWBExt"/>
          <w:b w:val="0"/>
          <w:snapToGrid/>
          <w:szCs w:val="24"/>
        </w:rPr>
        <w:t>&lt;/TitreType&gt;</w:t>
      </w:r>
      <w:r w:rsidRPr="005D4C50">
        <w:tab/>
        <w:t>A8-0202/2018</w:t>
      </w:r>
    </w:p>
    <w:p w:rsidR="00DF3F90" w:rsidRPr="005D4C50" w:rsidRDefault="00CC1148">
      <w:pPr>
        <w:pStyle w:val="NormalBold"/>
        <w:rPr>
          <w:color w:val="auto"/>
        </w:rPr>
      </w:pPr>
      <w:r w:rsidRPr="005D4C50">
        <w:rPr>
          <w:rStyle w:val="HideTWBExt"/>
          <w:b w:val="0"/>
        </w:rPr>
        <w:t>&lt;Rapporteur&gt;</w:t>
      </w:r>
      <w:r w:rsidRPr="005D4C50">
        <w:rPr>
          <w:color w:val="auto"/>
        </w:rPr>
        <w:t>Christine Revault d'Allonnes Bonnefoy</w:t>
      </w:r>
      <w:r w:rsidRPr="005D4C50">
        <w:rPr>
          <w:rStyle w:val="HideTWBExt"/>
          <w:b w:val="0"/>
        </w:rPr>
        <w:t>&lt;/Rapporteur&gt;</w:t>
      </w:r>
    </w:p>
    <w:p w:rsidR="00DF3F90" w:rsidRPr="005D4C50" w:rsidRDefault="00CC1148">
      <w:pPr>
        <w:pStyle w:val="Normal12"/>
        <w:rPr>
          <w:color w:val="auto"/>
        </w:rPr>
      </w:pPr>
      <w:r w:rsidRPr="005D4C50">
        <w:rPr>
          <w:rStyle w:val="HideTWBExt"/>
        </w:rPr>
        <w:t>&lt;Titre&gt;</w:t>
      </w:r>
      <w:r w:rsidRPr="005D4C50">
        <w:rPr>
          <w:color w:val="auto"/>
        </w:rPr>
        <w:t>Aplicación de gravámenes a los vehículos pesados de transporte de mercancías por la utilización de determinadas infraestructuras</w:t>
      </w:r>
      <w:r w:rsidRPr="005D4C50">
        <w:rPr>
          <w:rStyle w:val="HideTWBExt"/>
        </w:rPr>
        <w:t>&lt;/Titre&gt;</w:t>
      </w:r>
    </w:p>
    <w:p w:rsidR="00DF3F90" w:rsidRPr="005D4C50" w:rsidRDefault="00CC1148">
      <w:pPr>
        <w:pStyle w:val="Normal12"/>
        <w:rPr>
          <w:color w:val="auto"/>
        </w:rPr>
      </w:pPr>
      <w:r w:rsidRPr="005D4C50">
        <w:rPr>
          <w:rStyle w:val="HideTWBExt"/>
        </w:rPr>
        <w:t>&lt;DocRef&gt;</w:t>
      </w:r>
      <w:r w:rsidRPr="005D4C50">
        <w:rPr>
          <w:color w:val="auto"/>
        </w:rPr>
        <w:t>(COM(2017)0275 – C8-0171/2017 – 2017/0114(COD))</w:t>
      </w:r>
      <w:r w:rsidRPr="005D4C50">
        <w:rPr>
          <w:rStyle w:val="HideTWBExt"/>
        </w:rPr>
        <w:t>&lt;/DocRef&gt;</w:t>
      </w:r>
    </w:p>
    <w:p w:rsidR="00DF3F90" w:rsidRPr="005D4C50" w:rsidRDefault="00DF3F90">
      <w:pPr>
        <w:pStyle w:val="Normal12"/>
        <w:rPr>
          <w:color w:val="auto"/>
        </w:rPr>
      </w:pPr>
    </w:p>
    <w:p w:rsidR="00DF3F90" w:rsidRPr="005D4C50" w:rsidRDefault="00CC1148">
      <w:pPr>
        <w:pStyle w:val="NormalBold"/>
        <w:rPr>
          <w:color w:val="auto"/>
        </w:rPr>
      </w:pPr>
      <w:r w:rsidRPr="005D4C50">
        <w:rPr>
          <w:rStyle w:val="HideTWBExt"/>
          <w:b w:val="0"/>
        </w:rPr>
        <w:t>&lt;DocAmend&gt;</w:t>
      </w:r>
      <w:r w:rsidRPr="005D4C50">
        <w:rPr>
          <w:color w:val="auto"/>
        </w:rPr>
        <w:t>Propuesta de Directiva</w:t>
      </w:r>
      <w:r w:rsidRPr="005D4C50">
        <w:rPr>
          <w:rStyle w:val="HideTWBExt"/>
          <w:b w:val="0"/>
        </w:rPr>
        <w:t>&lt;/DocAmend&gt;</w:t>
      </w:r>
    </w:p>
    <w:p w:rsidR="00DF3F90" w:rsidRPr="005D4C50" w:rsidRDefault="00CC1148">
      <w:pPr>
        <w:pStyle w:val="NormalBold"/>
        <w:rPr>
          <w:color w:val="auto"/>
        </w:rPr>
      </w:pPr>
      <w:r w:rsidRPr="005D4C50">
        <w:rPr>
          <w:rStyle w:val="HideTWBExt"/>
          <w:b w:val="0"/>
        </w:rPr>
        <w:t>&lt;Article&gt;</w:t>
      </w:r>
      <w:r w:rsidRPr="005D4C50">
        <w:rPr>
          <w:color w:val="auto"/>
        </w:rPr>
        <w:t>Considerando 20</w:t>
      </w:r>
      <w:r w:rsidRPr="005D4C5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D4C50" w:rsidRPr="005D4C50">
        <w:trPr>
          <w:trHeight w:hRule="exact" w:val="240"/>
          <w:jc w:val="center"/>
        </w:trPr>
        <w:tc>
          <w:tcPr>
            <w:tcW w:w="9752" w:type="dxa"/>
            <w:gridSpan w:val="2"/>
          </w:tcPr>
          <w:p w:rsidR="00DF3F90" w:rsidRPr="005D4C50" w:rsidRDefault="00DF3F90"/>
        </w:tc>
      </w:tr>
      <w:tr w:rsidR="005D4C50" w:rsidRPr="005D4C50">
        <w:trPr>
          <w:trHeight w:val="240"/>
          <w:jc w:val="center"/>
        </w:trPr>
        <w:tc>
          <w:tcPr>
            <w:tcW w:w="4876" w:type="dxa"/>
          </w:tcPr>
          <w:p w:rsidR="00DF3F90" w:rsidRPr="005D4C50" w:rsidRDefault="00CC1148">
            <w:pPr>
              <w:pStyle w:val="ColumnHeading"/>
              <w:rPr>
                <w:color w:val="auto"/>
              </w:rPr>
            </w:pPr>
            <w:r w:rsidRPr="005D4C50">
              <w:rPr>
                <w:color w:val="auto"/>
              </w:rPr>
              <w:t>Texto de la Comisión</w:t>
            </w:r>
          </w:p>
        </w:tc>
        <w:tc>
          <w:tcPr>
            <w:tcW w:w="4876" w:type="dxa"/>
          </w:tcPr>
          <w:p w:rsidR="00DF3F90" w:rsidRPr="005D4C50" w:rsidRDefault="00CC1148">
            <w:pPr>
              <w:pStyle w:val="ColumnHeading"/>
              <w:rPr>
                <w:color w:val="auto"/>
              </w:rPr>
            </w:pPr>
            <w:r w:rsidRPr="005D4C50">
              <w:rPr>
                <w:color w:val="auto"/>
              </w:rPr>
              <w:t>Enmienda</w:t>
            </w:r>
          </w:p>
        </w:tc>
      </w:tr>
      <w:tr w:rsidR="005D4C50" w:rsidRPr="005D4C50">
        <w:trPr>
          <w:jc w:val="center"/>
        </w:trPr>
        <w:tc>
          <w:tcPr>
            <w:tcW w:w="4876" w:type="dxa"/>
          </w:tcPr>
          <w:p w:rsidR="00DF3F90" w:rsidRPr="005D4C50" w:rsidRDefault="00CC1148">
            <w:pPr>
              <w:pStyle w:val="Normal6"/>
              <w:rPr>
                <w:color w:val="auto"/>
              </w:rPr>
            </w:pPr>
            <w:r w:rsidRPr="005D4C50">
              <w:rPr>
                <w:b/>
                <w:i/>
                <w:color w:val="auto"/>
              </w:rPr>
              <w:t>(20)</w:t>
            </w:r>
            <w:r w:rsidRPr="005D4C50">
              <w:rPr>
                <w:color w:val="auto"/>
              </w:rPr>
              <w:tab/>
            </w:r>
            <w:r w:rsidRPr="005D4C50">
              <w:rPr>
                <w:b/>
                <w:i/>
                <w:color w:val="auto"/>
              </w:rPr>
              <w:t>Puesto que el objetivo de la presente Directiva es, en particular, asegurar que los sistemas nacionales de tarificación aplicados a los vehículos distintos de los vehículos pesados de transporte de mercancías se apliquen en un marco coherente que garantice la igualdad de trato en toda la Unión, no puede ser alcanzado de manera suficiente por los Estados miembros y, en cambio, debido a la dimensión transfronteriza del transporte y de los problemas que la presente Directiva pretende resolver, puede lograrse mejor a nivel de la Unión, esta puede adoptar medidas, de acuerdo con el principio de subsidiariedad consagrado en el artículo 5 del Tratado de la Unión Europea. De conformidad con el principio de proporcionalidad establecido en el mismo artículo, la presente Directiva no excede de lo necesario para alcanzar dicho objetivo.</w:t>
            </w:r>
          </w:p>
        </w:tc>
        <w:tc>
          <w:tcPr>
            <w:tcW w:w="4876" w:type="dxa"/>
          </w:tcPr>
          <w:p w:rsidR="00DF3F90" w:rsidRPr="005D4C50" w:rsidRDefault="00CC1148">
            <w:pPr>
              <w:pStyle w:val="Normal6"/>
              <w:rPr>
                <w:color w:val="auto"/>
              </w:rPr>
            </w:pPr>
            <w:r w:rsidRPr="005D4C50">
              <w:rPr>
                <w:b/>
                <w:i/>
                <w:color w:val="auto"/>
              </w:rPr>
              <w:t>suprimido</w:t>
            </w:r>
          </w:p>
        </w:tc>
      </w:tr>
    </w:tbl>
    <w:p w:rsidR="00DF3F90" w:rsidRPr="005D4C50" w:rsidRDefault="00CC1148" w:rsidP="00392067">
      <w:pPr>
        <w:pStyle w:val="Olang"/>
        <w:rPr>
          <w:color w:val="auto"/>
          <w:lang w:val="es-ES_tradnl"/>
        </w:rPr>
      </w:pPr>
      <w:r w:rsidRPr="005D4C50">
        <w:rPr>
          <w:color w:val="auto"/>
          <w:lang w:val="es-ES_tradnl"/>
        </w:rPr>
        <w:t xml:space="preserve">Or. </w:t>
      </w:r>
      <w:r w:rsidRPr="005D4C50">
        <w:rPr>
          <w:rStyle w:val="HideTWBExt"/>
          <w:lang w:val="es-ES_tradnl"/>
        </w:rPr>
        <w:t>&lt;Original&gt;</w:t>
      </w:r>
      <w:r w:rsidRPr="005D4C50">
        <w:rPr>
          <w:rStyle w:val="HideTWBInt"/>
          <w:lang w:val="es-ES_tradnl"/>
        </w:rPr>
        <w:t>{EN}</w:t>
      </w:r>
      <w:r w:rsidRPr="005D4C50">
        <w:rPr>
          <w:color w:val="auto"/>
          <w:lang w:val="es-ES_tradnl"/>
        </w:rPr>
        <w:t>en</w:t>
      </w:r>
      <w:r w:rsidRPr="005D4C50">
        <w:rPr>
          <w:rStyle w:val="HideTWBExt"/>
          <w:lang w:val="es-ES_tradnl"/>
        </w:rPr>
        <w:t>&lt;/Original&gt;</w:t>
      </w:r>
    </w:p>
    <w:p w:rsidR="00DF3F90" w:rsidRPr="005D4C50" w:rsidRDefault="00CC1148">
      <w:pPr>
        <w:pStyle w:val="Olang"/>
        <w:rPr>
          <w:color w:val="auto"/>
          <w:lang w:val="es-ES_tradnl"/>
        </w:rPr>
      </w:pPr>
      <w:r w:rsidRPr="005D4C50">
        <w:rPr>
          <w:rStyle w:val="HideTWBExt"/>
          <w:lang w:val="es-ES_tradnl"/>
        </w:rPr>
        <w:t>&lt;/Amend&gt;&lt;/RepeatBlock-Amend&gt;</w:t>
      </w:r>
      <w:bookmarkStart w:id="0" w:name="_GoBack"/>
      <w:bookmarkEnd w:id="0"/>
    </w:p>
    <w:sectPr w:rsidR="00DF3F90" w:rsidRPr="005D4C50">
      <w:footerReference w:type="even" r:id="rId30"/>
      <w:footerReference w:type="default" r:id="rId31"/>
      <w:footerReference w:type="first" r:id="rId3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5B" w:rsidRPr="005D4C50" w:rsidRDefault="00CC1148">
      <w:r w:rsidRPr="005D4C50">
        <w:separator/>
      </w:r>
    </w:p>
  </w:endnote>
  <w:endnote w:type="continuationSeparator" w:id="0">
    <w:p w:rsidR="0053675B" w:rsidRPr="005D4C50" w:rsidRDefault="00CC1148">
      <w:r w:rsidRPr="005D4C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Pr="005D4C50" w:rsidRDefault="00CC1148">
    <w:pPr>
      <w:pStyle w:val="Footer"/>
    </w:pPr>
    <w:r w:rsidRPr="005D4C50">
      <w:rPr>
        <w:rStyle w:val="HideTWBExt"/>
      </w:rPr>
      <w:t>&lt;PathFdR&gt;</w:t>
    </w:r>
    <w:r w:rsidRPr="005D4C50">
      <w:t>AM\P8_AMA(2018)0202(142-149)EN.docx</w:t>
    </w:r>
    <w:r w:rsidRPr="005D4C50">
      <w:rPr>
        <w:rStyle w:val="HideTWBExt"/>
      </w:rPr>
      <w:t>&lt;/PathFdR&gt;</w:t>
    </w:r>
    <w:r w:rsidRPr="005D4C50">
      <w:tab/>
    </w:r>
    <w:r w:rsidRPr="005D4C50">
      <w:tab/>
      <w:t>PE</w:t>
    </w:r>
    <w:r w:rsidRPr="005D4C50">
      <w:rPr>
        <w:rStyle w:val="HideTWBExt"/>
      </w:rPr>
      <w:t>&lt;NoPE&gt;</w:t>
    </w:r>
    <w:r w:rsidRPr="005D4C50">
      <w:t>624.159</w:t>
    </w:r>
    <w:r w:rsidRPr="005D4C50">
      <w:rPr>
        <w:rStyle w:val="HideTWBExt"/>
      </w:rPr>
      <w:t>&lt;/NoPE&gt;&lt;Version&gt;</w:t>
    </w:r>
    <w:r w:rsidRPr="005D4C50">
      <w:t>v01-00</w:t>
    </w:r>
    <w:r w:rsidRPr="005D4C50">
      <w:rPr>
        <w:rStyle w:val="HideTWBExt"/>
      </w:rPr>
      <w:t>&lt;/Version&gt;</w:t>
    </w:r>
  </w:p>
  <w:p w:rsidR="00DF3F90" w:rsidRPr="005D4C50" w:rsidRDefault="00CC1148" w:rsidP="005D4C50">
    <w:pPr>
      <w:pStyle w:val="Footer2"/>
    </w:pPr>
    <w:r w:rsidRPr="005D4C50">
      <w:t>EN</w:t>
    </w:r>
    <w:r w:rsidRPr="005D4C50">
      <w:tab/>
    </w:r>
    <w:proofErr w:type="spellStart"/>
    <w:r w:rsidRPr="005D4C50">
      <w:rPr>
        <w:rStyle w:val="Footer2Middle"/>
      </w:rPr>
      <w:t>United</w:t>
    </w:r>
    <w:proofErr w:type="spellEnd"/>
    <w:r w:rsidRPr="005D4C50">
      <w:rPr>
        <w:rStyle w:val="Footer2Middle"/>
      </w:rPr>
      <w:t xml:space="preserve"> in </w:t>
    </w:r>
    <w:proofErr w:type="spellStart"/>
    <w:r w:rsidRPr="005D4C50">
      <w:rPr>
        <w:rStyle w:val="Footer2Middle"/>
      </w:rPr>
      <w:t>diversity</w:t>
    </w:r>
    <w:proofErr w:type="spellEnd"/>
    <w:r w:rsidRPr="005D4C50">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Pr="005D4C5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Pr="005D4C50" w:rsidRDefault="00CC1148">
    <w:pPr>
      <w:pStyle w:val="Footer"/>
    </w:pPr>
    <w:r w:rsidRPr="005D4C50">
      <w:rPr>
        <w:rStyle w:val="HideTWBExt"/>
      </w:rPr>
      <w:t>&lt;PathFdR&gt;</w:t>
    </w:r>
    <w:r w:rsidRPr="005D4C50">
      <w:t>AM\P8_AMA(2018)0202(142-149)EN.docx</w:t>
    </w:r>
    <w:r w:rsidRPr="005D4C50">
      <w:rPr>
        <w:rStyle w:val="HideTWBExt"/>
      </w:rPr>
      <w:t>&lt;/PathFdR&gt;</w:t>
    </w:r>
    <w:r w:rsidRPr="005D4C50">
      <w:tab/>
    </w:r>
    <w:r w:rsidRPr="005D4C50">
      <w:tab/>
      <w:t>PE</w:t>
    </w:r>
    <w:r w:rsidRPr="005D4C50">
      <w:rPr>
        <w:rStyle w:val="HideTWBExt"/>
      </w:rPr>
      <w:t>&lt;NoPE&gt;</w:t>
    </w:r>
    <w:r w:rsidRPr="005D4C50">
      <w:t>624.159</w:t>
    </w:r>
    <w:r w:rsidRPr="005D4C50">
      <w:rPr>
        <w:rStyle w:val="HideTWBExt"/>
      </w:rPr>
      <w:t>&lt;/NoPE&gt;&lt;Version&gt;</w:t>
    </w:r>
    <w:r w:rsidRPr="005D4C50">
      <w:t>v01-00</w:t>
    </w:r>
    <w:r w:rsidRPr="005D4C50">
      <w:rPr>
        <w:rStyle w:val="HideTWBExt"/>
      </w:rPr>
      <w:t>&lt;/Version&gt;</w:t>
    </w:r>
  </w:p>
  <w:p w:rsidR="00DF3F90" w:rsidRPr="005D4C50" w:rsidRDefault="00CC1148">
    <w:pPr>
      <w:pStyle w:val="Footer2"/>
    </w:pPr>
    <w:r w:rsidRPr="005D4C50">
      <w:t>EN</w:t>
    </w:r>
    <w:r w:rsidRPr="005D4C50">
      <w:tab/>
    </w:r>
    <w:proofErr w:type="spellStart"/>
    <w:r w:rsidRPr="005D4C50">
      <w:rPr>
        <w:rStyle w:val="Footer2Middle"/>
      </w:rPr>
      <w:t>United</w:t>
    </w:r>
    <w:proofErr w:type="spellEnd"/>
    <w:r w:rsidRPr="005D4C50">
      <w:rPr>
        <w:rStyle w:val="Footer2Middle"/>
      </w:rPr>
      <w:t xml:space="preserve"> in </w:t>
    </w:r>
    <w:proofErr w:type="spellStart"/>
    <w:r w:rsidRPr="005D4C50">
      <w:rPr>
        <w:rStyle w:val="Footer2Middle"/>
      </w:rPr>
      <w:t>diversity</w:t>
    </w:r>
    <w:proofErr w:type="spellEnd"/>
    <w:r w:rsidRPr="005D4C50">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8" w:rsidRPr="001A5288" w:rsidRDefault="001A5288" w:rsidP="001A5288">
    <w:pPr>
      <w:pStyle w:val="Footer"/>
      <w:rPr>
        <w:lang w:val="de-DE"/>
      </w:rPr>
    </w:pPr>
    <w:r w:rsidRPr="001A5288">
      <w:rPr>
        <w:rStyle w:val="HideTWBExt"/>
        <w:lang w:val="de-DE"/>
      </w:rPr>
      <w:t>&lt;PathFdR&gt;</w:t>
    </w:r>
    <w:r w:rsidRPr="001A5288">
      <w:rPr>
        <w:lang w:val="de-DE"/>
      </w:rPr>
      <w:t>AM\1166455ES.docx</w:t>
    </w:r>
    <w:r w:rsidRPr="001A5288">
      <w:rPr>
        <w:rStyle w:val="HideTWBExt"/>
        <w:lang w:val="de-DE"/>
      </w:rPr>
      <w:t>&lt;/PathFdR&gt;</w:t>
    </w:r>
    <w:r w:rsidRPr="001A5288">
      <w:rPr>
        <w:lang w:val="de-DE"/>
      </w:rPr>
      <w:tab/>
    </w:r>
    <w:r w:rsidRPr="001A5288">
      <w:rPr>
        <w:lang w:val="de-DE"/>
      </w:rPr>
      <w:tab/>
      <w:t>PE</w:t>
    </w:r>
    <w:r w:rsidRPr="001A5288">
      <w:rPr>
        <w:rStyle w:val="HideTWBExt"/>
        <w:lang w:val="de-DE"/>
      </w:rPr>
      <w:t>&lt;NoPE&gt;</w:t>
    </w:r>
    <w:r w:rsidRPr="001A5288">
      <w:rPr>
        <w:lang w:val="de-DE"/>
      </w:rPr>
      <w:t>624.159</w:t>
    </w:r>
    <w:r w:rsidRPr="001A5288">
      <w:rPr>
        <w:rStyle w:val="HideTWBExt"/>
        <w:lang w:val="de-DE"/>
      </w:rPr>
      <w:t>&lt;/NoPE&gt;&lt;Version&gt;</w:t>
    </w:r>
    <w:r w:rsidRPr="001A5288">
      <w:rPr>
        <w:lang w:val="de-DE"/>
      </w:rPr>
      <w:t>v01-00</w:t>
    </w:r>
    <w:r w:rsidRPr="001A5288">
      <w:rPr>
        <w:rStyle w:val="HideTWBExt"/>
        <w:lang w:val="de-DE"/>
      </w:rPr>
      <w:t>&lt;/Version&gt;</w:t>
    </w:r>
  </w:p>
  <w:p w:rsidR="00DF3F90" w:rsidRDefault="001A5288" w:rsidP="001A5288">
    <w:pPr>
      <w:pStyle w:val="Footer2"/>
      <w:tabs>
        <w:tab w:val="center" w:pos="4535"/>
      </w:tabs>
    </w:pPr>
    <w:r>
      <w:t>ES</w:t>
    </w:r>
    <w:r>
      <w:tab/>
    </w:r>
    <w:r w:rsidRPr="001A5288">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90" w:rsidRDefault="00CC1148">
    <w:pPr>
      <w:pStyle w:val="Footer"/>
    </w:pPr>
    <w:r>
      <w:rPr>
        <w:rStyle w:val="HideTWBExt"/>
      </w:rPr>
      <w:t>&lt;PathFdR&gt;</w:t>
    </w:r>
    <w:r>
      <w:t>AM\P8_AMA(2018)0202(142-149)EN.docx</w:t>
    </w:r>
    <w:r>
      <w:rPr>
        <w:rStyle w:val="HideTWBExt"/>
      </w:rPr>
      <w:t>&lt;/PathFdR&gt;</w:t>
    </w:r>
    <w:r>
      <w:tab/>
    </w:r>
    <w:r>
      <w:tab/>
      <w:t>PE</w:t>
    </w:r>
    <w:r>
      <w:rPr>
        <w:rStyle w:val="HideTWBExt"/>
      </w:rPr>
      <w:t>&lt;NoPE&gt;</w:t>
    </w:r>
    <w:r>
      <w:t>624.159</w:t>
    </w:r>
    <w:r>
      <w:rPr>
        <w:rStyle w:val="HideTWBExt"/>
      </w:rPr>
      <w:t>&lt;/NoPE&gt;&lt;Version&gt;</w:t>
    </w:r>
    <w:r>
      <w:t>v01-00</w:t>
    </w:r>
    <w:r>
      <w:rPr>
        <w:rStyle w:val="HideTWBExt"/>
      </w:rPr>
      <w:t>&lt;/Version&gt;</w:t>
    </w:r>
  </w:p>
  <w:p w:rsidR="00DF3F90" w:rsidRDefault="00CC1148">
    <w:pPr>
      <w:pStyle w:val="Footer2"/>
    </w:pPr>
    <w:r>
      <w:t>EN</w:t>
    </w:r>
    <w:r>
      <w:tab/>
    </w:r>
    <w:proofErr w:type="spellStart"/>
    <w:r>
      <w:rPr>
        <w:rStyle w:val="Footer2Middle"/>
      </w:rPr>
      <w:t>United</w:t>
    </w:r>
    <w:proofErr w:type="spellEnd"/>
    <w:r>
      <w:rPr>
        <w:rStyle w:val="Footer2Middle"/>
      </w:rPr>
      <w:t xml:space="preserve"> in </w:t>
    </w:r>
    <w:proofErr w:type="spellStart"/>
    <w:r>
      <w:rPr>
        <w:rStyle w:val="Footer2Middle"/>
      </w:rPr>
      <w:t>diversity</w:t>
    </w:r>
    <w:proofErr w:type="spellEnd"/>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5B" w:rsidRPr="005D4C50" w:rsidRDefault="00CC1148">
      <w:r w:rsidRPr="005D4C50">
        <w:separator/>
      </w:r>
    </w:p>
  </w:footnote>
  <w:footnote w:type="continuationSeparator" w:id="0">
    <w:p w:rsidR="0053675B" w:rsidRPr="005D4C50" w:rsidRDefault="00CC1148">
      <w:r w:rsidRPr="005D4C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5" w:rsidRDefault="00540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5" w:rsidRDefault="00540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5" w:rsidRDefault="00540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24.159"/>
    <w:docVar w:name="TXTPEorAP" w:val="PE"/>
    <w:docVar w:name="TXTVERSION" w:val="01-00"/>
  </w:docVars>
  <w:rsids>
    <w:rsidRoot w:val="00DF3F90"/>
    <w:rsid w:val="001A5288"/>
    <w:rsid w:val="002D4B9C"/>
    <w:rsid w:val="00392067"/>
    <w:rsid w:val="0053675B"/>
    <w:rsid w:val="00540FA5"/>
    <w:rsid w:val="00550DCA"/>
    <w:rsid w:val="005D4C50"/>
    <w:rsid w:val="007E2E97"/>
    <w:rsid w:val="009F2FA7"/>
    <w:rsid w:val="00CC1148"/>
    <w:rsid w:val="00DA1EF4"/>
    <w:rsid w:val="00DF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E80AD-CC29-44BF-9EBD-BAEEA40D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lang w:val="es-ES_tradnl"/>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strike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1472</Words>
  <Characters>11055</Characters>
  <Application>Microsoft Office Word</Application>
  <DocSecurity>0</DocSecurity>
  <Lines>442</Lines>
  <Paragraphs>189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GARRALDA EGUARAS Maria Carmen</cp:lastModifiedBy>
  <cp:revision>2</cp:revision>
  <dcterms:created xsi:type="dcterms:W3CDTF">2018-10-22T15:17:00Z</dcterms:created>
  <dcterms:modified xsi:type="dcterms:W3CDTF">2018-10-22T15:17:00Z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1166455</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20181018-111714-208660-083961</vt:lpwstr>
  </property>
  <property fmtid="{D5CDD505-2E9C-101B-9397-08002B2CF9AE}" pid="6" name="FooterPath">
    <vt:lpwstr>AM\1166455ES.docx</vt:lpwstr>
  </property>
  <property fmtid="{D5CDD505-2E9C-101B-9397-08002B2CF9AE}" pid="7" name="PE Number">
    <vt:lpwstr>624.159</vt:lpwstr>
  </property>
  <property fmtid="{D5CDD505-2E9C-101B-9397-08002B2CF9AE}" pid="8" name="UID">
    <vt:lpwstr>eu.europa.europarl-DIN1-2018-0000117917_01.00-en-01.00_text-xml</vt:lpwstr>
  </property>
  <property fmtid="{D5CDD505-2E9C-101B-9397-08002B2CF9AE}" pid="9" name="SDLStudio">
    <vt:lpwstr/>
  </property>
  <property fmtid="{D5CDD505-2E9C-101B-9397-08002B2CF9AE}" pid="10" name="&lt;Extension&gt;">
    <vt:lpwstr>ES</vt:lpwstr>
  </property>
  <property fmtid="{D5CDD505-2E9C-101B-9397-08002B2CF9AE}" pid="11" name="Bookout">
    <vt:lpwstr>OK - 2018/10/22 17:16</vt:lpwstr>
  </property>
</Properties>
</file>