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24AAE" w:rsidRDefault="003B08AA">
      <w:pPr>
        <w:pStyle w:val="Interstitial1"/>
      </w:pPr>
      <w:bookmarkStart w:id="0" w:name="_GoBack"/>
      <w:bookmarkEnd w:id="0"/>
      <w:r w:rsidRPr="00624AAE">
        <w:rPr>
          <w:rStyle w:val="HideTWBExt"/>
        </w:rPr>
        <w:t>&lt;RepeatBlock-Amend&gt;&lt;Amend&gt;&lt;Date&gt;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179</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179</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35 preambulumbekezdés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(35)</w:t>
            </w:r>
            <w:r w:rsidRPr="00624AAE">
              <w:rPr>
                <w:color w:val="auto"/>
              </w:rPr>
              <w:tab/>
            </w:r>
            <w:r w:rsidRPr="00624AAE">
              <w:rPr>
                <w:b/>
                <w:i/>
                <w:color w:val="auto"/>
              </w:rPr>
              <w:t>A sajtókiadványok kiadóinak ezen irányelv értelmében nyújtott védelem nem érintheti a szerzők és más jogosultak e kiadványokba beépített művekhez és egyéb teljesítményekhez fűződő jogait, többek között a tekintetben sem, hogy a szerzők és más jogosultak milyen mértékben hasznosíthatják műveiket és egyéb teljesítményeiket attól a sajtókiadványtól függetlenül, amelybe azok beépülnek. A sajtókiadványok kiadói ezért szerzőkkel és egyéb jogosultakkal szemben nem hivatkozhatnak a számukra biztosított védelemre. Ez nem érinti az egyrészről a sajtókiadványok kiadói, másrészről a szerzők és más jogosultak között létrejött szerződéses megállapodásokat.</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rsidSect="00624AAE">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lastRenderedPageBreak/>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180</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180</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36 preambulumbekezdés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(36)</w:t>
            </w:r>
            <w:r w:rsidRPr="00624AAE">
              <w:rPr>
                <w:color w:val="auto"/>
              </w:rPr>
              <w:tab/>
            </w:r>
            <w:r w:rsidRPr="00624AAE">
              <w:rPr>
                <w:b/>
                <w:i/>
                <w:color w:val="auto"/>
              </w:rPr>
              <w:t>A kiadók, így a sajtókiadványok, könyvek vagy tudományos kiadványos kiadóinak tevékenysége gyakran a szerzői jogok szerződéses megállapodások vagy jogszabályi rendelkezések útján történő átruházására épül. Ezzel összefüggésben a kiadók a kiadványaikban szereplő művek hasznosítása érdekében beruházást hajtanak végre, és egyes esetekben bevételektől eshetnek el e művek kivételek vagy korlátozások alapján történő felhasználása, például magáncélú másolat készítése vagy reprográfia esetén. Az ilyen kivételek szerinti felhasználásért járó ellenszolgáltatást a szerzők és a kiadók számos tagállamban megosztják egymás között. E helyzet figyelembevétele és minden érintett fél jogbiztonságának növelése érdekében a tagállamoknak meg kell engedni annak előírását, hogy amennyiben a szerző a jogait a kiadóra átruházta vagy számára engedélyezte, vagy műveivel egyéb módon hozzájárul egy kiadványhoz, és rendelkezésre állnak rendszerek a kivétel vagy korlátozás által okozott kár megtérítésére, akkor a kiadók jogosultak részesedést követelni ebből a kártérítésből, míg a követelése alátámasztása tekintetében a kiadóra nehezedő teher nem haladhatja meg a rendszer alapján megkövetelt mértéket.</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lastRenderedPageBreak/>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lastRenderedPageBreak/>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181</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181</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37 preambulumbekezdés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(37)</w:t>
            </w:r>
            <w:r w:rsidRPr="00624AAE">
              <w:rPr>
                <w:color w:val="auto"/>
              </w:rPr>
              <w:tab/>
            </w:r>
            <w:r w:rsidRPr="00624AAE">
              <w:rPr>
                <w:b/>
                <w:i/>
                <w:color w:val="auto"/>
              </w:rPr>
              <w:t>Az online tartalompiac működése az elmúlt években összetettebbé vált. A felhasználók által feltöltött, szerzői joggal védett tartalmakat a jogosultak közreműködése nélkül hozzáférhetővé tevő online szolgáltatások fellendültek, és a tartalmakhoz való online hozzáférés egyik fő forrásává váltak. Ez kihatással van a jogosultak lehetőségeire a tekintetben, hogy eldöntsék, műveik és egyéb teljesítményük felhasználható-e, és ha igen, milyen feltételek mellett, továbbá hogy megfelelő javadalmazásban részesüljenek érte.</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182</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182</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38 preambulumbekezdés – 1 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Ha az információs társadalommal összefüggő szolgáltatást nyújtó szolgáltatók a felhasználók által feltöltött, szerzői joggal védett műveket és egyéb teljesítményeket tárolnak és tesznek nyilvánosan hozzáférhetővé, és tevékenységük túlmutat a fizikai létesítmények puszta biztosításán és a nyilvánossághoz közvetítésen, akkor kötelesek engedélyezési megállapodást kötni a jogosultakkal, feltéve, ha jogosultak a 2000/31/EK európai parlamenti és tanácsi irányelv</w:t>
            </w:r>
            <w:r w:rsidRPr="00624AAE">
              <w:rPr>
                <w:rStyle w:val="SupBoldItalic"/>
                <w:color w:val="auto"/>
              </w:rPr>
              <w:t>34</w:t>
            </w:r>
            <w:r w:rsidRPr="00624AAE">
              <w:rPr>
                <w:b/>
                <w:i/>
                <w:color w:val="auto"/>
              </w:rPr>
              <w:t xml:space="preserve"> 14. cikkében biztosított, felelősség alóli mentességre.</w:t>
            </w:r>
          </w:p>
        </w:tc>
        <w:tc>
          <w:tcPr>
            <w:tcW w:w="4876" w:type="dxa"/>
          </w:tcPr>
          <w:p w:rsidR="008467BA" w:rsidRPr="00624AAE" w:rsidRDefault="003B08AA">
            <w:pPr>
              <w:pStyle w:val="Normal6"/>
              <w:rPr>
                <w:color w:val="auto"/>
              </w:rPr>
            </w:pPr>
            <w:r w:rsidRPr="00624AAE">
              <w:rPr>
                <w:b/>
                <w:i/>
                <w:color w:val="auto"/>
              </w:rPr>
              <w:t>törölve</w:t>
            </w:r>
          </w:p>
        </w:tc>
      </w:tr>
      <w:tr w:rsidR="008467BA" w:rsidRPr="00624AAE">
        <w:trPr>
          <w:jc w:val="center"/>
        </w:trPr>
        <w:tc>
          <w:tcPr>
            <w:tcW w:w="4876" w:type="dxa"/>
          </w:tcPr>
          <w:p w:rsidR="008467BA" w:rsidRPr="00624AAE" w:rsidRDefault="003B08AA">
            <w:pPr>
              <w:pStyle w:val="Normal6"/>
              <w:rPr>
                <w:color w:val="auto"/>
              </w:rPr>
            </w:pPr>
            <w:r w:rsidRPr="00624AAE">
              <w:rPr>
                <w:color w:val="auto"/>
              </w:rPr>
              <w:t>_________________</w:t>
            </w:r>
          </w:p>
        </w:tc>
        <w:tc>
          <w:tcPr>
            <w:tcW w:w="4876" w:type="dxa"/>
          </w:tcPr>
          <w:p w:rsidR="008467BA" w:rsidRPr="00624AAE" w:rsidRDefault="008467BA">
            <w:pPr>
              <w:pStyle w:val="Normal6"/>
              <w:rPr>
                <w:color w:val="auto"/>
              </w:rPr>
            </w:pPr>
          </w:p>
        </w:tc>
      </w:tr>
      <w:tr w:rsidR="008467BA" w:rsidRPr="00624AAE">
        <w:trPr>
          <w:jc w:val="center"/>
        </w:trPr>
        <w:tc>
          <w:tcPr>
            <w:tcW w:w="4876" w:type="dxa"/>
          </w:tcPr>
          <w:p w:rsidR="008467BA" w:rsidRPr="00624AAE" w:rsidRDefault="003B08AA">
            <w:pPr>
              <w:pStyle w:val="Normal6"/>
              <w:rPr>
                <w:color w:val="auto"/>
              </w:rPr>
            </w:pPr>
            <w:r w:rsidRPr="00624AAE">
              <w:rPr>
                <w:rStyle w:val="SupBoldItalic"/>
                <w:color w:val="auto"/>
              </w:rPr>
              <w:t>34</w:t>
            </w:r>
            <w:r w:rsidRPr="00624AAE">
              <w:rPr>
                <w:color w:val="auto"/>
              </w:rPr>
              <w:t xml:space="preserve"> </w:t>
            </w:r>
            <w:r w:rsidRPr="00624AAE">
              <w:rPr>
                <w:b/>
                <w:i/>
                <w:color w:val="auto"/>
              </w:rPr>
              <w:t>Az Európai Parlament és a Tanács 2000. június 8-i 2000/31/EK irányelve a belső piacon az információs társadalommal összefüggő szolgáltatások, különösen az elektronikus kereskedelem, egyes jogi vonatkozásairól (HL L 178., 2000.7.17., 1–16. o.).</w:t>
            </w:r>
          </w:p>
        </w:tc>
        <w:tc>
          <w:tcPr>
            <w:tcW w:w="4876" w:type="dxa"/>
          </w:tcPr>
          <w:p w:rsidR="008467BA" w:rsidRPr="00624AAE" w:rsidRDefault="008467BA">
            <w:pPr>
              <w:pStyle w:val="Normal6"/>
              <w:rPr>
                <w:color w:val="auto"/>
              </w:rPr>
            </w:pP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183</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183</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38 preambulumbekezdés – 2 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A 14. cikk rendelkezéseit illetően ellenőrizni kell, hogy a szolgáltató aktív szerepet játszik-e, tehát a feltöltött művek és egyéb teljesítmények megjelenítését optimalizálja, vagy azokat reklámozza-e, függetlenül az ehhez alkalmazott módszerektől.</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21"/>
          <w:footerReference w:type="default" r:id="rId22"/>
          <w:footerReference w:type="first" r:id="rId23"/>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184</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184</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38 preambulumbekezdés – 3 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A felhasználók által feltöltött nagyszámú, szerzői joggal védett művet és egyéb teljesítményt zároló és nyilvánosan hozzáférhetővé tevő, az információs társadalommal összefüggő szolgáltatást nyújtó szolgáltatóknak az engedélyezési szerződések működése érdekében meg kell tenniük a megfelelő és arányos intézkedéseket a művek és egyéb teljesítmények védelmének biztosítására, például hatékony technológiák bevezetésével. Ez a kötelezettség abban az esetben is fennáll, ha az információs társadalommal összefüggő szolgáltatást nyújtó szolgáltatók jogosultak a 2000/31/EK irányelv 14. cikke szerinti, felelősség alóli kivételre.</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24"/>
          <w:footerReference w:type="default" r:id="rId25"/>
          <w:footerReference w:type="first" r:id="rId26"/>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185</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185</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39 preambulumbekezdés</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3B08AA">
            <w:pPr>
              <w:pStyle w:val="Normal6"/>
              <w:rPr>
                <w:color w:val="auto"/>
              </w:rPr>
            </w:pPr>
            <w:r w:rsidRPr="00624AAE">
              <w:rPr>
                <w:b/>
                <w:i/>
                <w:color w:val="auto"/>
              </w:rPr>
              <w:t>(39)</w:t>
            </w:r>
            <w:r w:rsidRPr="00624AAE">
              <w:rPr>
                <w:color w:val="auto"/>
              </w:rPr>
              <w:tab/>
            </w:r>
            <w:r w:rsidRPr="00624AAE">
              <w:rPr>
                <w:b/>
                <w:i/>
                <w:color w:val="auto"/>
              </w:rPr>
              <w:t>A technológiák (például a tartalomfelismerő technológia) működéséhez elengedhetetlen, hogy a felhasználók által feltöltött nagyszámú, szerzői joggal védett művet és egyéb teljesítményt zároló és nyilvánosan hozzáférhetővé tevő, az információs társadalommal összefüggő szolgáltatást nyújtó szolgáltatók együttműködjenek. Ilyen esetekben a jogosultaknak közölniük kell azokat az adatokat, amelyek alapján a szolgáltatások azonosítani tudják az e jogosultakat megillető tartalmakat, a szolgáltatásoknak pedig az alkalmazott technológiák tekintetében a jogosultak számára átláthatónak kell lenniük, lehetővé téve azok helyénvalóságának értékelését. A szolgáltatásoknak különösen a felhasznált technológiák típusáról, azok üzemeltetésének módjáról, valamint a jogosultakat megillető tartalmak azonosításában való sikerességükről kell tájékoztatniuk a jogosultakat. A technológiáknak lehetővé kell tenniük, hogy a jogosultak az őket megillető tartalmak megállapodás alapján történő felhasználásáról tájékozódjanak az információs társadalommal összefüggő szolgáltatást nyújtó szolgáltatóknál.</w:t>
            </w:r>
          </w:p>
        </w:tc>
        <w:tc>
          <w:tcPr>
            <w:tcW w:w="4876" w:type="dxa"/>
          </w:tcPr>
          <w:p w:rsidR="008467BA" w:rsidRPr="00624AAE" w:rsidRDefault="003B08AA">
            <w:pPr>
              <w:pStyle w:val="Normal6"/>
              <w:rPr>
                <w:color w:val="auto"/>
              </w:rPr>
            </w:pPr>
            <w:r w:rsidRPr="00624AAE">
              <w:rPr>
                <w:b/>
                <w:i/>
                <w:color w:val="auto"/>
              </w:rPr>
              <w:t>törölve</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rPr>
          <w:color w:val="auto"/>
        </w:rPr>
        <w:sectPr w:rsidR="008467BA" w:rsidRPr="00624AAE">
          <w:footerReference w:type="even" r:id="rId27"/>
          <w:footerReference w:type="default" r:id="rId28"/>
          <w:footerReference w:type="first" r:id="rId29"/>
          <w:pgSz w:w="11906" w:h="16838"/>
          <w:pgMar w:top="1134" w:right="1417" w:bottom="1417" w:left="1417" w:header="1134" w:footer="567" w:gutter="0"/>
          <w:cols w:space="708"/>
          <w:docGrid w:linePitch="360"/>
        </w:sectPr>
      </w:pPr>
      <w:r w:rsidRPr="00624AAE">
        <w:rPr>
          <w:rStyle w:val="HideTWBExt"/>
        </w:rPr>
        <w:t>&lt;/Amend&gt;</w:t>
      </w:r>
    </w:p>
    <w:p w:rsidR="008467BA" w:rsidRPr="00624AAE" w:rsidRDefault="003B08AA">
      <w:pPr>
        <w:pStyle w:val="Interstitial1"/>
      </w:pPr>
      <w:r w:rsidRPr="00624AAE">
        <w:rPr>
          <w:rStyle w:val="HideTWBExt"/>
        </w:rPr>
        <w:t>&lt;Amend&gt;&lt;Date&gt;</w:t>
      </w:r>
      <w:r w:rsidRPr="00624AAE">
        <w:rPr>
          <w:rStyle w:val="HideTWBInt"/>
          <w:color w:val="auto"/>
        </w:rPr>
        <w:t>{06/09/2018}</w:t>
      </w:r>
      <w:r w:rsidRPr="00624AAE">
        <w:rPr>
          <w:color w:val="auto"/>
        </w:rPr>
        <w:t>6.9.2018</w:t>
      </w:r>
      <w:r w:rsidRPr="00624AAE">
        <w:rPr>
          <w:rStyle w:val="HideTWBExt"/>
        </w:rPr>
        <w:t>&lt;/Date&gt;</w:t>
      </w:r>
      <w:r w:rsidRPr="00624AAE">
        <w:rPr>
          <w:color w:val="auto"/>
        </w:rPr>
        <w:tab/>
      </w:r>
      <w:r w:rsidRPr="00624AAE">
        <w:rPr>
          <w:rStyle w:val="HideTWBExt"/>
        </w:rPr>
        <w:t>&lt;ANo&gt;</w:t>
      </w:r>
      <w:r w:rsidRPr="00624AAE">
        <w:rPr>
          <w:color w:val="auto"/>
        </w:rPr>
        <w:t>A8-0245</w:t>
      </w:r>
      <w:r w:rsidRPr="00624AAE">
        <w:rPr>
          <w:rStyle w:val="HideTWBExt"/>
        </w:rPr>
        <w:t>&lt;/ANo&gt;</w:t>
      </w:r>
      <w:r w:rsidRPr="00624AAE">
        <w:rPr>
          <w:color w:val="auto"/>
        </w:rPr>
        <w:t>/</w:t>
      </w:r>
      <w:r w:rsidRPr="00624AAE">
        <w:rPr>
          <w:rStyle w:val="HideTWBExt"/>
        </w:rPr>
        <w:t>&lt;NumAm&gt;</w:t>
      </w:r>
      <w:r w:rsidRPr="00624AAE">
        <w:rPr>
          <w:color w:val="auto"/>
        </w:rPr>
        <w:t>186</w:t>
      </w:r>
      <w:r w:rsidRPr="00624AAE">
        <w:rPr>
          <w:rStyle w:val="HideTWBExt"/>
        </w:rPr>
        <w:t>&lt;/NumAm&gt;</w:t>
      </w:r>
    </w:p>
    <w:p w:rsidR="008467BA" w:rsidRPr="00624AAE" w:rsidRDefault="003B08AA">
      <w:pPr>
        <w:pStyle w:val="AMNumberTabs"/>
      </w:pPr>
      <w:r w:rsidRPr="00624AAE">
        <w:rPr>
          <w:color w:val="auto"/>
        </w:rPr>
        <w:t>Módosítás</w:t>
      </w:r>
      <w:r w:rsidRPr="00624AAE">
        <w:rPr>
          <w:color w:val="auto"/>
        </w:rPr>
        <w:tab/>
      </w:r>
      <w:r w:rsidRPr="00624AAE">
        <w:rPr>
          <w:color w:val="auto"/>
        </w:rPr>
        <w:tab/>
      </w:r>
      <w:r w:rsidRPr="00624AAE">
        <w:rPr>
          <w:rStyle w:val="HideTWBExt"/>
        </w:rPr>
        <w:t>&lt;NumAm&gt;</w:t>
      </w:r>
      <w:r w:rsidRPr="00624AAE">
        <w:rPr>
          <w:color w:val="auto"/>
        </w:rPr>
        <w:t>186</w:t>
      </w:r>
      <w:r w:rsidRPr="00624AAE">
        <w:rPr>
          <w:rStyle w:val="HideTWBExt"/>
        </w:rPr>
        <w:t>&lt;/NumAm&gt;</w:t>
      </w:r>
    </w:p>
    <w:p w:rsidR="008467BA" w:rsidRPr="00624AAE" w:rsidRDefault="003B08AA">
      <w:pPr>
        <w:pStyle w:val="NormalBold"/>
      </w:pPr>
      <w:r w:rsidRPr="00624AAE">
        <w:rPr>
          <w:rStyle w:val="HideTWBExt"/>
        </w:rPr>
        <w:t>&lt;RepeatBlock-By&gt;&lt;Members&gt;</w:t>
      </w:r>
      <w:r w:rsidRPr="00624AAE">
        <w:rPr>
          <w:color w:val="auto"/>
        </w:rPr>
        <w:t>Isabella Adinolfi</w:t>
      </w:r>
      <w:r w:rsidRPr="00624AAE">
        <w:rPr>
          <w:rStyle w:val="HideTWBExt"/>
        </w:rPr>
        <w:t>&lt;/Members&gt;</w:t>
      </w:r>
    </w:p>
    <w:p w:rsidR="008467BA" w:rsidRPr="00624AAE" w:rsidRDefault="003B08AA">
      <w:r w:rsidRPr="00624AAE">
        <w:rPr>
          <w:rStyle w:val="HideTWBExt"/>
        </w:rPr>
        <w:t>&lt;AuNomDe&gt;</w:t>
      </w:r>
      <w:r w:rsidRPr="00624AAE">
        <w:rPr>
          <w:rStyle w:val="HideTWBInt"/>
          <w:color w:val="auto"/>
        </w:rPr>
        <w:t>{EFDD}</w:t>
      </w:r>
      <w:r w:rsidRPr="00624AAE">
        <w:t>az EFDD képviselőcsoport nevében</w:t>
      </w:r>
      <w:r w:rsidRPr="00624AAE">
        <w:rPr>
          <w:rStyle w:val="HideTWBExt"/>
        </w:rPr>
        <w:t>&lt;/AuNomDe&gt;</w:t>
      </w:r>
    </w:p>
    <w:p w:rsidR="008467BA" w:rsidRPr="00624AAE" w:rsidRDefault="003B08AA">
      <w:r w:rsidRPr="00624AAE">
        <w:rPr>
          <w:rStyle w:val="HideTWBExt"/>
        </w:rPr>
        <w:t>&lt;/RepeatBlock-By&gt;</w:t>
      </w:r>
    </w:p>
    <w:p w:rsidR="008467BA" w:rsidRPr="00624AAE" w:rsidRDefault="003B08AA">
      <w:pPr>
        <w:pStyle w:val="ProjRap"/>
      </w:pPr>
      <w:r w:rsidRPr="00624AAE">
        <w:rPr>
          <w:rStyle w:val="HideTWBExt"/>
        </w:rPr>
        <w:t>&lt;TitreType&gt;</w:t>
      </w:r>
      <w:r w:rsidRPr="00624AAE">
        <w:t>Jelentés</w:t>
      </w:r>
      <w:r w:rsidRPr="00624AAE">
        <w:rPr>
          <w:rStyle w:val="HideTWBExt"/>
        </w:rPr>
        <w:t>&lt;/TitreType&gt;</w:t>
      </w:r>
      <w:r w:rsidRPr="00624AAE">
        <w:tab/>
        <w:t>A8-0245/2018</w:t>
      </w:r>
    </w:p>
    <w:p w:rsidR="008467BA" w:rsidRPr="00624AAE" w:rsidRDefault="003B08AA">
      <w:pPr>
        <w:pStyle w:val="NormalBold"/>
      </w:pPr>
      <w:r w:rsidRPr="00624AAE">
        <w:rPr>
          <w:rStyle w:val="HideTWBExt"/>
        </w:rPr>
        <w:t>&lt;Rapporteur&gt;</w:t>
      </w:r>
      <w:r w:rsidRPr="00624AAE">
        <w:rPr>
          <w:color w:val="auto"/>
        </w:rPr>
        <w:t>Axel Voss</w:t>
      </w:r>
      <w:r w:rsidRPr="00624AAE">
        <w:rPr>
          <w:rStyle w:val="HideTWBExt"/>
        </w:rPr>
        <w:t>&lt;/Rapporteur&gt;</w:t>
      </w:r>
    </w:p>
    <w:p w:rsidR="008467BA" w:rsidRPr="00624AAE" w:rsidRDefault="003B08AA">
      <w:pPr>
        <w:pStyle w:val="Normal12"/>
      </w:pPr>
      <w:r w:rsidRPr="00624AAE">
        <w:rPr>
          <w:rStyle w:val="HideTWBExt"/>
        </w:rPr>
        <w:t>&lt;Titre&gt;</w:t>
      </w:r>
      <w:r w:rsidRPr="00624AAE">
        <w:t>Szerzői jog a digitális egységes piacon</w:t>
      </w:r>
      <w:r w:rsidRPr="00624AAE">
        <w:rPr>
          <w:rStyle w:val="HideTWBExt"/>
        </w:rPr>
        <w:t>&lt;/Titre&gt;</w:t>
      </w:r>
    </w:p>
    <w:p w:rsidR="008467BA" w:rsidRPr="00624AAE" w:rsidRDefault="003B08AA">
      <w:pPr>
        <w:pStyle w:val="Normal12"/>
      </w:pPr>
      <w:r w:rsidRPr="00624AAE">
        <w:rPr>
          <w:rStyle w:val="HideTWBExt"/>
        </w:rPr>
        <w:t>&lt;DocRef&gt;</w:t>
      </w:r>
      <w:r w:rsidRPr="00624AAE">
        <w:rPr>
          <w:color w:val="auto"/>
        </w:rPr>
        <w:t>(COM(2016)0593 - C8-0383/2016 - 2016/0280(COD))</w:t>
      </w:r>
      <w:r w:rsidRPr="00624AAE">
        <w:rPr>
          <w:rStyle w:val="HideTWBExt"/>
        </w:rPr>
        <w:t>&lt;/DocRef&gt;</w:t>
      </w:r>
    </w:p>
    <w:p w:rsidR="008467BA" w:rsidRPr="00624AAE" w:rsidRDefault="008467BA">
      <w:pPr>
        <w:pStyle w:val="Normal12"/>
      </w:pPr>
    </w:p>
    <w:p w:rsidR="008467BA" w:rsidRPr="00624AAE" w:rsidRDefault="003B08AA">
      <w:pPr>
        <w:pStyle w:val="NormalBold"/>
      </w:pPr>
      <w:r w:rsidRPr="00624AAE">
        <w:rPr>
          <w:rStyle w:val="HideTWBExt"/>
        </w:rPr>
        <w:t>&lt;DocAmend&gt;</w:t>
      </w:r>
      <w:r w:rsidRPr="00624AAE">
        <w:rPr>
          <w:color w:val="auto"/>
        </w:rPr>
        <w:t>Irányelvre irányuló javaslat</w:t>
      </w:r>
      <w:r w:rsidRPr="00624AAE">
        <w:rPr>
          <w:rStyle w:val="HideTWBExt"/>
        </w:rPr>
        <w:t>&lt;/DocAmend&gt;</w:t>
      </w:r>
    </w:p>
    <w:p w:rsidR="008467BA" w:rsidRPr="00624AAE" w:rsidRDefault="003B08AA">
      <w:pPr>
        <w:pStyle w:val="NormalBold"/>
      </w:pPr>
      <w:r w:rsidRPr="00624AAE">
        <w:rPr>
          <w:rStyle w:val="HideTWBExt"/>
        </w:rPr>
        <w:t>&lt;Article&gt;</w:t>
      </w:r>
      <w:r w:rsidRPr="00624AAE">
        <w:rPr>
          <w:color w:val="auto"/>
        </w:rPr>
        <w:t>2 cikk – 3 a bekezdés (új)</w:t>
      </w:r>
      <w:r w:rsidRPr="00624AA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67BA" w:rsidRPr="00624AAE">
        <w:trPr>
          <w:trHeight w:hRule="exact" w:val="240"/>
          <w:jc w:val="center"/>
        </w:trPr>
        <w:tc>
          <w:tcPr>
            <w:tcW w:w="9752" w:type="dxa"/>
            <w:gridSpan w:val="2"/>
          </w:tcPr>
          <w:p w:rsidR="008467BA" w:rsidRPr="00624AAE" w:rsidRDefault="008467BA"/>
        </w:tc>
      </w:tr>
      <w:tr w:rsidR="008467BA" w:rsidRPr="00624AAE">
        <w:trPr>
          <w:trHeight w:val="240"/>
          <w:jc w:val="center"/>
        </w:trPr>
        <w:tc>
          <w:tcPr>
            <w:tcW w:w="4876" w:type="dxa"/>
          </w:tcPr>
          <w:p w:rsidR="008467BA" w:rsidRPr="00624AAE" w:rsidRDefault="003B08AA">
            <w:pPr>
              <w:pStyle w:val="ColumnHeading"/>
              <w:rPr>
                <w:color w:val="auto"/>
              </w:rPr>
            </w:pPr>
            <w:r w:rsidRPr="00624AAE">
              <w:rPr>
                <w:color w:val="auto"/>
              </w:rPr>
              <w:t>A Bizottság által javasolt szöveg</w:t>
            </w:r>
          </w:p>
        </w:tc>
        <w:tc>
          <w:tcPr>
            <w:tcW w:w="4876" w:type="dxa"/>
          </w:tcPr>
          <w:p w:rsidR="008467BA" w:rsidRPr="00624AAE" w:rsidRDefault="003B08AA">
            <w:pPr>
              <w:pStyle w:val="ColumnHeading"/>
              <w:rPr>
                <w:color w:val="auto"/>
              </w:rPr>
            </w:pPr>
            <w:r w:rsidRPr="00624AAE">
              <w:rPr>
                <w:color w:val="auto"/>
              </w:rPr>
              <w:t>Módosítás</w:t>
            </w:r>
          </w:p>
        </w:tc>
      </w:tr>
      <w:tr w:rsidR="008467BA" w:rsidRPr="00624AAE">
        <w:trPr>
          <w:jc w:val="center"/>
        </w:trPr>
        <w:tc>
          <w:tcPr>
            <w:tcW w:w="4876" w:type="dxa"/>
          </w:tcPr>
          <w:p w:rsidR="008467BA" w:rsidRPr="00624AAE" w:rsidRDefault="008467BA">
            <w:pPr>
              <w:pStyle w:val="Normal6"/>
              <w:rPr>
                <w:color w:val="auto"/>
              </w:rPr>
            </w:pPr>
          </w:p>
        </w:tc>
        <w:tc>
          <w:tcPr>
            <w:tcW w:w="4876" w:type="dxa"/>
          </w:tcPr>
          <w:p w:rsidR="008467BA" w:rsidRPr="00624AAE" w:rsidRDefault="003B08AA">
            <w:pPr>
              <w:pStyle w:val="Normal6"/>
              <w:rPr>
                <w:color w:val="auto"/>
              </w:rPr>
            </w:pPr>
            <w:r w:rsidRPr="00624AAE">
              <w:rPr>
                <w:b/>
                <w:i/>
                <w:color w:val="auto"/>
              </w:rPr>
              <w:t>(3a)</w:t>
            </w:r>
            <w:r w:rsidRPr="00624AAE">
              <w:rPr>
                <w:color w:val="auto"/>
              </w:rPr>
              <w:tab/>
            </w:r>
            <w:r w:rsidRPr="00624AAE">
              <w:rPr>
                <w:b/>
                <w:i/>
                <w:color w:val="auto"/>
              </w:rPr>
              <w:t>„közkincs”: egy mű vagy egyéb teljesítmény helyzete, amikor a kapcsolódó szerzői jog és a szomszédos jogok:</w:t>
            </w:r>
          </w:p>
        </w:tc>
      </w:tr>
      <w:tr w:rsidR="008467BA" w:rsidRPr="00624AAE">
        <w:trPr>
          <w:jc w:val="center"/>
        </w:trPr>
        <w:tc>
          <w:tcPr>
            <w:tcW w:w="4876" w:type="dxa"/>
          </w:tcPr>
          <w:p w:rsidR="008467BA" w:rsidRPr="00624AAE" w:rsidRDefault="008467BA">
            <w:pPr>
              <w:pStyle w:val="Normal6"/>
              <w:rPr>
                <w:color w:val="auto"/>
              </w:rPr>
            </w:pPr>
          </w:p>
        </w:tc>
        <w:tc>
          <w:tcPr>
            <w:tcW w:w="4876" w:type="dxa"/>
          </w:tcPr>
          <w:p w:rsidR="008467BA" w:rsidRPr="00624AAE" w:rsidRDefault="003B08AA">
            <w:pPr>
              <w:pStyle w:val="Normal6"/>
              <w:rPr>
                <w:color w:val="auto"/>
              </w:rPr>
            </w:pPr>
            <w:r w:rsidRPr="00624AAE">
              <w:rPr>
                <w:b/>
                <w:i/>
                <w:color w:val="auto"/>
              </w:rPr>
              <w:t>a) lejártak; vagy</w:t>
            </w:r>
          </w:p>
        </w:tc>
      </w:tr>
      <w:tr w:rsidR="008467BA" w:rsidRPr="00624AAE">
        <w:trPr>
          <w:jc w:val="center"/>
        </w:trPr>
        <w:tc>
          <w:tcPr>
            <w:tcW w:w="4876" w:type="dxa"/>
          </w:tcPr>
          <w:p w:rsidR="008467BA" w:rsidRPr="00624AAE" w:rsidRDefault="008467BA">
            <w:pPr>
              <w:pStyle w:val="Normal6"/>
              <w:rPr>
                <w:color w:val="auto"/>
              </w:rPr>
            </w:pPr>
          </w:p>
        </w:tc>
        <w:tc>
          <w:tcPr>
            <w:tcW w:w="4876" w:type="dxa"/>
          </w:tcPr>
          <w:p w:rsidR="008467BA" w:rsidRPr="00624AAE" w:rsidRDefault="003B08AA">
            <w:pPr>
              <w:pStyle w:val="Normal6"/>
              <w:rPr>
                <w:color w:val="auto"/>
              </w:rPr>
            </w:pPr>
            <w:r w:rsidRPr="00624AAE">
              <w:rPr>
                <w:b/>
                <w:i/>
                <w:color w:val="auto"/>
              </w:rPr>
              <w:t>b) soha nem is léteztek; vagy</w:t>
            </w:r>
          </w:p>
        </w:tc>
      </w:tr>
      <w:tr w:rsidR="008467BA" w:rsidRPr="00624AAE">
        <w:trPr>
          <w:jc w:val="center"/>
        </w:trPr>
        <w:tc>
          <w:tcPr>
            <w:tcW w:w="4876" w:type="dxa"/>
          </w:tcPr>
          <w:p w:rsidR="008467BA" w:rsidRPr="00624AAE" w:rsidRDefault="008467BA">
            <w:pPr>
              <w:pStyle w:val="Normal6"/>
              <w:rPr>
                <w:color w:val="auto"/>
              </w:rPr>
            </w:pPr>
          </w:p>
        </w:tc>
        <w:tc>
          <w:tcPr>
            <w:tcW w:w="4876" w:type="dxa"/>
          </w:tcPr>
          <w:p w:rsidR="008467BA" w:rsidRPr="00624AAE" w:rsidRDefault="003B08AA">
            <w:pPr>
              <w:pStyle w:val="Normal6"/>
              <w:rPr>
                <w:color w:val="auto"/>
              </w:rPr>
            </w:pPr>
            <w:r w:rsidRPr="00624AAE">
              <w:rPr>
                <w:b/>
                <w:i/>
                <w:color w:val="auto"/>
              </w:rPr>
              <w:t>c) azokról a jogosultak önként lemondtak.</w:t>
            </w:r>
          </w:p>
        </w:tc>
      </w:tr>
    </w:tbl>
    <w:p w:rsidR="008467BA" w:rsidRPr="00624AAE" w:rsidRDefault="003B08AA" w:rsidP="00811BFA">
      <w:pPr>
        <w:pStyle w:val="Olang"/>
      </w:pPr>
      <w:r w:rsidRPr="00624AAE">
        <w:rPr>
          <w:color w:val="auto"/>
        </w:rPr>
        <w:t xml:space="preserve">Or. </w:t>
      </w:r>
      <w:r w:rsidRPr="00624AAE">
        <w:rPr>
          <w:rStyle w:val="HideTWBExt"/>
        </w:rPr>
        <w:t>&lt;Original&gt;</w:t>
      </w:r>
      <w:r w:rsidRPr="00624AAE">
        <w:rPr>
          <w:rStyle w:val="HideTWBInt"/>
        </w:rPr>
        <w:t>{EN}</w:t>
      </w:r>
      <w:r w:rsidRPr="00624AAE">
        <w:rPr>
          <w:color w:val="auto"/>
        </w:rPr>
        <w:t>en</w:t>
      </w:r>
      <w:r w:rsidRPr="00624AAE">
        <w:rPr>
          <w:rStyle w:val="HideTWBExt"/>
        </w:rPr>
        <w:t>&lt;/Original&gt;</w:t>
      </w:r>
    </w:p>
    <w:p w:rsidR="008467BA" w:rsidRPr="00624AAE" w:rsidRDefault="003B08AA">
      <w:pPr>
        <w:pStyle w:val="Olang"/>
      </w:pPr>
      <w:r w:rsidRPr="00624AAE">
        <w:rPr>
          <w:rStyle w:val="HideTWBExt"/>
        </w:rPr>
        <w:t>&lt;/Amend&gt;&lt;/RepeatBlock-Amend&gt;</w:t>
      </w:r>
    </w:p>
    <w:sectPr w:rsidR="008467BA" w:rsidRPr="00624AAE">
      <w:footerReference w:type="even" r:id="rId30"/>
      <w:footerReference w:type="default" r:id="rId31"/>
      <w:footerReference w:type="first" r:id="rId3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00" w:rsidRPr="00624AAE" w:rsidRDefault="003B08AA">
      <w:r w:rsidRPr="00624AAE">
        <w:separator/>
      </w:r>
    </w:p>
  </w:endnote>
  <w:endnote w:type="continuationSeparator" w:id="0">
    <w:p w:rsidR="005C0E00" w:rsidRPr="00624AAE" w:rsidRDefault="003B08AA">
      <w:r w:rsidRPr="00624A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Pr="00624AAE" w:rsidRDefault="003B08AA">
    <w:pPr>
      <w:pStyle w:val="Footer"/>
    </w:pPr>
    <w:r w:rsidRPr="00624AAE">
      <w:rPr>
        <w:rStyle w:val="HideTWBExt"/>
      </w:rPr>
      <w:t>&lt;PathFdR&gt;</w:t>
    </w:r>
    <w:r w:rsidRPr="00624AAE">
      <w:t>AM\P8_AMA(2018)0245(179-186)EN.docx</w:t>
    </w:r>
    <w:r w:rsidRPr="00624AAE">
      <w:rPr>
        <w:rStyle w:val="HideTWBExt"/>
      </w:rPr>
      <w:t>&lt;/PathFdR&gt;</w:t>
    </w:r>
    <w:r w:rsidRPr="00624AAE">
      <w:tab/>
    </w:r>
    <w:r w:rsidRPr="00624AAE">
      <w:tab/>
      <w:t>PE</w:t>
    </w:r>
    <w:r w:rsidRPr="00624AAE">
      <w:rPr>
        <w:rStyle w:val="HideTWBExt"/>
      </w:rPr>
      <w:t>&lt;NoPE&gt;</w:t>
    </w:r>
    <w:r w:rsidRPr="00624AAE">
      <w:t>624.050</w:t>
    </w:r>
    <w:r w:rsidRPr="00624AAE">
      <w:rPr>
        <w:rStyle w:val="HideTWBExt"/>
      </w:rPr>
      <w:t>&lt;/NoPE&gt;&lt;Version&gt;</w:t>
    </w:r>
    <w:r w:rsidRPr="00624AAE">
      <w:t>v01-00</w:t>
    </w:r>
    <w:r w:rsidRPr="00624AAE">
      <w:rPr>
        <w:rStyle w:val="HideTWBExt"/>
      </w:rPr>
      <w:t>&lt;/Version&gt;</w:t>
    </w:r>
  </w:p>
  <w:p w:rsidR="008467BA" w:rsidRPr="00624AAE" w:rsidRDefault="003B08AA">
    <w:pPr>
      <w:pStyle w:val="Footer2"/>
    </w:pPr>
    <w:r w:rsidRPr="00624AAE">
      <w:t>EN</w:t>
    </w:r>
    <w:r w:rsidRPr="00624AAE">
      <w:tab/>
    </w:r>
    <w:r w:rsidRPr="00624AAE">
      <w:rPr>
        <w:rStyle w:val="Footer2Middle"/>
      </w:rPr>
      <w:t>United in diversity</w:t>
    </w:r>
    <w:r w:rsidRPr="00624AAE">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s>
    </w:pPr>
    <w:r>
      <w:t>HU</w:t>
    </w:r>
    <w:r>
      <w:tab/>
    </w:r>
    <w:r w:rsidRPr="00624AAE">
      <w:rPr>
        <w:b w:val="0"/>
        <w:i/>
        <w:color w:val="C0C0C0"/>
        <w:sz w:val="22"/>
      </w:rPr>
      <w:t>Egyesülve a sokféleségben</w:t>
    </w:r>
    <w:r>
      <w:tab/>
      <w:t>HU</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 w:val="right" w:pos="9921"/>
      </w:tabs>
    </w:pPr>
    <w:r>
      <w:t>HU</w:t>
    </w:r>
    <w:r>
      <w:tab/>
    </w:r>
    <w:r w:rsidRPr="00624AAE">
      <w:rPr>
        <w:b w:val="0"/>
        <w:i/>
        <w:color w:val="C0C0C0"/>
        <w:sz w:val="22"/>
      </w:rPr>
      <w:t>Egyesülve a sokféleségben</w:t>
    </w:r>
    <w:r>
      <w:tab/>
      <w:t>HU</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 w:val="right" w:pos="9921"/>
      </w:tabs>
    </w:pPr>
    <w:r>
      <w:t>HU</w:t>
    </w:r>
    <w:r>
      <w:tab/>
    </w:r>
    <w:r w:rsidRPr="00624AAE">
      <w:rPr>
        <w:b w:val="0"/>
        <w:i/>
        <w:color w:val="C0C0C0"/>
        <w:sz w:val="22"/>
      </w:rPr>
      <w:t>Egyesülve a sokféleségben</w:t>
    </w:r>
    <w:r>
      <w:tab/>
      <w:t>HU</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Pr="00624AAE" w:rsidRDefault="00624AAE" w:rsidP="00624AAE">
    <w:pPr>
      <w:pStyle w:val="Footer"/>
    </w:pPr>
    <w:r w:rsidRPr="00624AAE">
      <w:rPr>
        <w:rStyle w:val="HideTWBExt"/>
      </w:rPr>
      <w:t>&lt;PathFdR&gt;</w:t>
    </w:r>
    <w:r w:rsidRPr="00624AAE">
      <w:t>AM\1162314HU.docx</w:t>
    </w:r>
    <w:r w:rsidRPr="00624AAE">
      <w:rPr>
        <w:rStyle w:val="HideTWBExt"/>
      </w:rPr>
      <w:t>&lt;/PathFdR&gt;</w:t>
    </w:r>
    <w:r w:rsidRPr="00624AAE">
      <w:tab/>
    </w:r>
    <w:r w:rsidRPr="00624AAE">
      <w:tab/>
      <w:t>PE</w:t>
    </w:r>
    <w:r w:rsidRPr="00624AAE">
      <w:rPr>
        <w:rStyle w:val="HideTWBExt"/>
      </w:rPr>
      <w:t>&lt;NoPE&gt;</w:t>
    </w:r>
    <w:r w:rsidRPr="00624AAE">
      <w:t>624.050</w:t>
    </w:r>
    <w:r w:rsidRPr="00624AAE">
      <w:rPr>
        <w:rStyle w:val="HideTWBExt"/>
      </w:rPr>
      <w:t>&lt;/NoPE&gt;&lt;Version&gt;</w:t>
    </w:r>
    <w:r w:rsidRPr="00624AAE">
      <w:t>v01-00</w:t>
    </w:r>
    <w:r w:rsidRPr="00624AAE">
      <w:rPr>
        <w:rStyle w:val="HideTWBExt"/>
      </w:rPr>
      <w:t>&lt;/Version&gt;</w:t>
    </w:r>
  </w:p>
  <w:p w:rsidR="008467BA" w:rsidRPr="00624AAE" w:rsidRDefault="00624AAE" w:rsidP="00624AAE">
    <w:pPr>
      <w:pStyle w:val="Footer2"/>
      <w:tabs>
        <w:tab w:val="center" w:pos="4535"/>
      </w:tabs>
    </w:pPr>
    <w:r w:rsidRPr="00624AAE">
      <w:t>HU</w:t>
    </w:r>
    <w:r w:rsidRPr="00624AAE">
      <w:tab/>
    </w:r>
    <w:r w:rsidRPr="00624AAE">
      <w:rPr>
        <w:b w:val="0"/>
        <w:i/>
        <w:color w:val="C0C0C0"/>
        <w:sz w:val="22"/>
      </w:rPr>
      <w:t>Egyesülve a sokféleségben</w:t>
    </w:r>
    <w:r w:rsidRPr="00624AAE">
      <w:tab/>
      <w:t>HU</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 w:val="right" w:pos="9921"/>
      </w:tabs>
    </w:pPr>
    <w:r>
      <w:t>HU</w:t>
    </w:r>
    <w:r>
      <w:tab/>
    </w:r>
    <w:r w:rsidRPr="00624AAE">
      <w:rPr>
        <w:b w:val="0"/>
        <w:i/>
        <w:color w:val="C0C0C0"/>
        <w:sz w:val="22"/>
      </w:rPr>
      <w:t>Egyesülve a sokféleségben</w:t>
    </w:r>
    <w:r>
      <w:tab/>
      <w:t>HU</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 w:val="right" w:pos="9921"/>
      </w:tabs>
    </w:pPr>
    <w:r>
      <w:t>HU</w:t>
    </w:r>
    <w:r>
      <w:tab/>
    </w:r>
    <w:r w:rsidRPr="00624AAE">
      <w:rPr>
        <w:b w:val="0"/>
        <w:i/>
        <w:color w:val="C0C0C0"/>
        <w:sz w:val="22"/>
      </w:rPr>
      <w:t>Egyesülve a sokféleségben</w:t>
    </w:r>
    <w:r>
      <w:tab/>
      <w:t>HU</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Pr="00624AAE" w:rsidRDefault="003B08AA">
    <w:pPr>
      <w:pStyle w:val="Footer"/>
    </w:pPr>
    <w:r w:rsidRPr="00624AAE">
      <w:rPr>
        <w:rStyle w:val="HideTWBExt"/>
      </w:rPr>
      <w:t>&lt;PathFdR&gt;</w:t>
    </w:r>
    <w:r w:rsidRPr="00624AAE">
      <w:t>AM\P8_AMA(2018)0245(179-186)EN.docx</w:t>
    </w:r>
    <w:r w:rsidRPr="00624AAE">
      <w:rPr>
        <w:rStyle w:val="HideTWBExt"/>
      </w:rPr>
      <w:t>&lt;/PathFdR&gt;</w:t>
    </w:r>
    <w:r w:rsidRPr="00624AAE">
      <w:tab/>
    </w:r>
    <w:r w:rsidRPr="00624AAE">
      <w:tab/>
      <w:t>PE</w:t>
    </w:r>
    <w:r w:rsidRPr="00624AAE">
      <w:rPr>
        <w:rStyle w:val="HideTWBExt"/>
      </w:rPr>
      <w:t>&lt;NoPE&gt;</w:t>
    </w:r>
    <w:r w:rsidRPr="00624AAE">
      <w:t>624.050</w:t>
    </w:r>
    <w:r w:rsidRPr="00624AAE">
      <w:rPr>
        <w:rStyle w:val="HideTWBExt"/>
      </w:rPr>
      <w:t>&lt;/NoPE&gt;&lt;Version&gt;</w:t>
    </w:r>
    <w:r w:rsidRPr="00624AAE">
      <w:t>v01-00</w:t>
    </w:r>
    <w:r w:rsidRPr="00624AAE">
      <w:rPr>
        <w:rStyle w:val="HideTWBExt"/>
      </w:rPr>
      <w:t>&lt;/Version&gt;</w:t>
    </w:r>
  </w:p>
  <w:p w:rsidR="008467BA" w:rsidRPr="00624AAE" w:rsidRDefault="003B08AA">
    <w:pPr>
      <w:pStyle w:val="Footer2"/>
    </w:pPr>
    <w:r w:rsidRPr="00624AAE">
      <w:t>EN</w:t>
    </w:r>
    <w:r w:rsidRPr="00624AAE">
      <w:tab/>
    </w:r>
    <w:r w:rsidRPr="00624AAE">
      <w:rPr>
        <w:rStyle w:val="Footer2Middle"/>
      </w:rPr>
      <w:t>United in diversity</w:t>
    </w:r>
    <w:r w:rsidRPr="00624AAE">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s>
    </w:pPr>
    <w:r>
      <w:t>HU</w:t>
    </w:r>
    <w:r>
      <w:tab/>
    </w:r>
    <w:r w:rsidRPr="00624AAE">
      <w:rPr>
        <w:b w:val="0"/>
        <w:i/>
        <w:color w:val="C0C0C0"/>
        <w:sz w:val="22"/>
      </w:rPr>
      <w:t>Egyesülve a sokféleségben</w:t>
    </w:r>
    <w:r>
      <w:tab/>
      <w:t>HU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E" w:rsidRDefault="00624AAE" w:rsidP="00624AAE">
    <w:pPr>
      <w:pStyle w:val="Footer"/>
    </w:pPr>
    <w:r w:rsidRPr="00624AAE">
      <w:rPr>
        <w:rStyle w:val="HideTWBExt"/>
      </w:rPr>
      <w:t>&lt;PathFdR&gt;</w:t>
    </w:r>
    <w:r>
      <w:t>AM\1162314HU.docx</w:t>
    </w:r>
    <w:r w:rsidRPr="00624AAE">
      <w:rPr>
        <w:rStyle w:val="HideTWBExt"/>
      </w:rPr>
      <w:t>&lt;/PathFdR&gt;</w:t>
    </w:r>
    <w:r>
      <w:tab/>
    </w:r>
    <w:r>
      <w:tab/>
      <w:t>PE</w:t>
    </w:r>
    <w:r w:rsidRPr="00624AAE">
      <w:rPr>
        <w:rStyle w:val="HideTWBExt"/>
      </w:rPr>
      <w:t>&lt;NoPE&gt;</w:t>
    </w:r>
    <w:r>
      <w:t>624.050</w:t>
    </w:r>
    <w:r w:rsidRPr="00624AAE">
      <w:rPr>
        <w:rStyle w:val="HideTWBExt"/>
      </w:rPr>
      <w:t>&lt;/NoPE&gt;&lt;Version&gt;</w:t>
    </w:r>
    <w:r>
      <w:t>v01-00</w:t>
    </w:r>
    <w:r w:rsidRPr="00624AAE">
      <w:rPr>
        <w:rStyle w:val="HideTWBExt"/>
      </w:rPr>
      <w:t>&lt;/Version&gt;</w:t>
    </w:r>
  </w:p>
  <w:p w:rsidR="008467BA" w:rsidRDefault="00624AAE" w:rsidP="00624AAE">
    <w:pPr>
      <w:pStyle w:val="Footer2"/>
      <w:tabs>
        <w:tab w:val="center" w:pos="4535"/>
      </w:tabs>
    </w:pPr>
    <w:r>
      <w:t>HU</w:t>
    </w:r>
    <w:r>
      <w:tab/>
    </w:r>
    <w:r w:rsidRPr="00624AAE">
      <w:rPr>
        <w:b w:val="0"/>
        <w:i/>
        <w:color w:val="C0C0C0"/>
        <w:sz w:val="22"/>
      </w:rPr>
      <w:t>Egyesülve a sokféleségben</w:t>
    </w:r>
    <w:r>
      <w:tab/>
      <w:t>HU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BA" w:rsidRDefault="003B08AA">
    <w:pPr>
      <w:pStyle w:val="Footer"/>
    </w:pPr>
    <w:r>
      <w:rPr>
        <w:rStyle w:val="HideTWBExt"/>
      </w:rPr>
      <w:t>&lt;PathFdR&gt;</w:t>
    </w:r>
    <w:r>
      <w:t>AM\P8_AMA(2018)0245(179-186)EN.docx</w:t>
    </w:r>
    <w:r>
      <w:rPr>
        <w:rStyle w:val="HideTWBExt"/>
      </w:rPr>
      <w:t>&lt;/PathFdR&gt;</w:t>
    </w:r>
    <w:r>
      <w:tab/>
    </w:r>
    <w:r>
      <w:tab/>
      <w:t>PE</w:t>
    </w:r>
    <w:r>
      <w:rPr>
        <w:rStyle w:val="HideTWBExt"/>
      </w:rPr>
      <w:t>&lt;NoPE&gt;</w:t>
    </w:r>
    <w:r>
      <w:t>624.050</w:t>
    </w:r>
    <w:r>
      <w:rPr>
        <w:rStyle w:val="HideTWBExt"/>
      </w:rPr>
      <w:t>&lt;/NoPE&gt;&lt;Version&gt;</w:t>
    </w:r>
    <w:r>
      <w:t>v01-00</w:t>
    </w:r>
    <w:r>
      <w:rPr>
        <w:rStyle w:val="HideTWBExt"/>
      </w:rPr>
      <w:t>&lt;/Version&gt;</w:t>
    </w:r>
  </w:p>
  <w:p w:rsidR="008467BA" w:rsidRDefault="003B08AA">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00" w:rsidRPr="00624AAE" w:rsidRDefault="003B08AA">
      <w:r w:rsidRPr="00624AAE">
        <w:separator/>
      </w:r>
    </w:p>
  </w:footnote>
  <w:footnote w:type="continuationSeparator" w:id="0">
    <w:p w:rsidR="005C0E00" w:rsidRPr="00624AAE" w:rsidRDefault="003B08AA">
      <w:r w:rsidRPr="00624AA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F7" w:rsidRDefault="00D94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F7" w:rsidRDefault="00D94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F7" w:rsidRDefault="00D94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24.050"/>
    <w:docVar w:name="TXTPEorAP" w:val="PE"/>
    <w:docVar w:name="TXTVERSION" w:val="01-00"/>
  </w:docVars>
  <w:rsids>
    <w:rsidRoot w:val="008467BA"/>
    <w:rsid w:val="000114B6"/>
    <w:rsid w:val="003B08AA"/>
    <w:rsid w:val="005C0E00"/>
    <w:rsid w:val="00624AAE"/>
    <w:rsid w:val="00811BFA"/>
    <w:rsid w:val="008467BA"/>
    <w:rsid w:val="00A8686C"/>
    <w:rsid w:val="00C73C6F"/>
    <w:rsid w:val="00D949F7"/>
    <w:rsid w:val="00DF047A"/>
    <w:rsid w:val="00ED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7D4E6-A5E0-4CFF-B90C-BA26E01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967</Words>
  <Characters>6922</Characters>
  <Application>Microsoft Office Word</Application>
  <DocSecurity>0</DocSecurity>
  <Lines>294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WOIDICH Alexandra</cp:lastModifiedBy>
  <cp:revision>2</cp:revision>
  <dcterms:created xsi:type="dcterms:W3CDTF">2018-09-10T15:18:00Z</dcterms:created>
  <dcterms:modified xsi:type="dcterms:W3CDTF">2018-09-10T15:18:00Z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1162314</vt:lpwstr>
  </property>
  <property fmtid="{D5CDD505-2E9C-101B-9397-08002B2CF9AE}" pid="3" name="&lt;FooterPath&gt;">
    <vt:lpwstr>AM\P8_AMA(2018)0245(179-186)EN.docx</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20180906-150457-042615-878743</vt:lpwstr>
  </property>
  <property fmtid="{D5CDD505-2E9C-101B-9397-08002B2CF9AE}" pid="7" name="PE Number">
    <vt:lpwstr>624.050</vt:lpwstr>
  </property>
  <property fmtid="{D5CDD505-2E9C-101B-9397-08002B2CF9AE}" pid="8" name="UID">
    <vt:lpwstr>eu.europa.europarl-DIN1-2018-0000080458_01.00-en-01.00_text-xml</vt:lpwstr>
  </property>
  <property fmtid="{D5CDD505-2E9C-101B-9397-08002B2CF9AE}" pid="9" name="SDLStudio">
    <vt:lpwstr/>
  </property>
  <property fmtid="{D5CDD505-2E9C-101B-9397-08002B2CF9AE}" pid="10" name="&lt;Extension&gt;">
    <vt:lpwstr>HU</vt:lpwstr>
  </property>
  <property fmtid="{D5CDD505-2E9C-101B-9397-08002B2CF9AE}" pid="11" name="FooterPath">
    <vt:lpwstr>AM\1162314HU.docx</vt:lpwstr>
  </property>
  <property fmtid="{D5CDD505-2E9C-101B-9397-08002B2CF9AE}" pid="12" name="Bookout">
    <vt:lpwstr>OK - 2018/09/10 17:16</vt:lpwstr>
  </property>
</Properties>
</file>