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856D2" w:rsidRPr="00FE6277" w14:paraId="4F80DA6B" w14:textId="77777777" w:rsidTr="003E2402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4C53E520" w14:textId="77777777" w:rsidR="00E856D2" w:rsidRPr="00FE6277" w:rsidRDefault="00E92E82" w:rsidP="003E2402">
            <w:pPr>
              <w:pStyle w:val="EPName"/>
            </w:pPr>
            <w:r>
              <w:t>Parlament Europejski</w:t>
            </w:r>
          </w:p>
          <w:p w14:paraId="4989DB2F" w14:textId="77777777" w:rsidR="00E856D2" w:rsidRPr="00FE6277" w:rsidRDefault="003A2DF9" w:rsidP="003A2DF9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14:paraId="48AA7CC1" w14:textId="77777777" w:rsidR="00E856D2" w:rsidRPr="00FE6277" w:rsidRDefault="00573CFC" w:rsidP="003E2402">
            <w:pPr>
              <w:pStyle w:val="EPLogo"/>
            </w:pPr>
            <w:r>
              <w:pict w14:anchorId="203875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pt;height:52.2pt">
                  <v:imagedata r:id="rId7" o:title="EP logo RGB_Mute"/>
                </v:shape>
              </w:pict>
            </w:r>
          </w:p>
        </w:tc>
      </w:tr>
    </w:tbl>
    <w:p w14:paraId="1D4820B3" w14:textId="77777777" w:rsidR="001746D0" w:rsidRPr="00FE6277" w:rsidRDefault="001746D0" w:rsidP="001746D0">
      <w:pPr>
        <w:pStyle w:val="LineTop"/>
      </w:pPr>
    </w:p>
    <w:p w14:paraId="731B4718" w14:textId="77777777" w:rsidR="001746D0" w:rsidRPr="00FE6277" w:rsidRDefault="001746D0" w:rsidP="001746D0">
      <w:pPr>
        <w:pStyle w:val="ZCommittee"/>
      </w:pPr>
      <w:r>
        <w:rPr>
          <w:rStyle w:val="HideTWBExt"/>
          <w:noProof w:val="0"/>
        </w:rPr>
        <w:t>&lt;</w:t>
      </w:r>
      <w:r>
        <w:rPr>
          <w:rStyle w:val="HideTWBExt"/>
          <w:i w:val="0"/>
          <w:noProof w:val="0"/>
        </w:rPr>
        <w:t>Commission</w:t>
      </w:r>
      <w:r>
        <w:rPr>
          <w:rStyle w:val="HideTWBExt"/>
          <w:noProof w:val="0"/>
        </w:rPr>
        <w:t>&gt;</w:t>
      </w:r>
      <w:r>
        <w:rPr>
          <w:rStyle w:val="HideTWBInt"/>
        </w:rPr>
        <w:t>{PECH}</w:t>
      </w:r>
      <w:r>
        <w:t>Komisja Rybołówstwa</w:t>
      </w:r>
      <w:r>
        <w:rPr>
          <w:rStyle w:val="HideTWBExt"/>
          <w:noProof w:val="0"/>
        </w:rPr>
        <w:t>&lt;/</w:t>
      </w:r>
      <w:r>
        <w:rPr>
          <w:rStyle w:val="HideTWBExt"/>
          <w:i w:val="0"/>
          <w:noProof w:val="0"/>
        </w:rPr>
        <w:t>Commission</w:t>
      </w:r>
      <w:r>
        <w:rPr>
          <w:rStyle w:val="HideTWBExt"/>
          <w:noProof w:val="0"/>
        </w:rPr>
        <w:t>&gt;</w:t>
      </w:r>
    </w:p>
    <w:p w14:paraId="78835C46" w14:textId="77777777" w:rsidR="001746D0" w:rsidRPr="00FE6277" w:rsidRDefault="001746D0" w:rsidP="001746D0">
      <w:pPr>
        <w:pStyle w:val="LineBottom"/>
      </w:pPr>
    </w:p>
    <w:p w14:paraId="56571D57" w14:textId="77777777" w:rsidR="007B5F9A" w:rsidRPr="00FE6277" w:rsidRDefault="007B5F9A" w:rsidP="007B5F9A">
      <w:pPr>
        <w:pStyle w:val="RefProc"/>
      </w:pPr>
      <w:r>
        <w:rPr>
          <w:rStyle w:val="HideTWBExt"/>
          <w:b w:val="0"/>
          <w:noProof w:val="0"/>
        </w:rPr>
        <w:t>&lt;</w:t>
      </w:r>
      <w:r>
        <w:rPr>
          <w:rStyle w:val="HideTWBExt"/>
          <w:b w:val="0"/>
          <w:caps w:val="0"/>
          <w:noProof w:val="0"/>
        </w:rPr>
        <w:t>RefProc</w:t>
      </w:r>
      <w:r>
        <w:rPr>
          <w:rStyle w:val="HideTWBExt"/>
          <w:b w:val="0"/>
          <w:noProof w:val="0"/>
        </w:rPr>
        <w:t>&gt;</w:t>
      </w:r>
      <w:r>
        <w:t>2017/2136(DEC)</w:t>
      </w:r>
      <w:r>
        <w:rPr>
          <w:rStyle w:val="HideTWBExt"/>
          <w:b w:val="0"/>
          <w:noProof w:val="0"/>
        </w:rPr>
        <w:t>&lt;/</w:t>
      </w:r>
      <w:r>
        <w:rPr>
          <w:rStyle w:val="HideTWBExt"/>
          <w:b w:val="0"/>
          <w:caps w:val="0"/>
          <w:noProof w:val="0"/>
        </w:rPr>
        <w:t>RefProc</w:t>
      </w:r>
      <w:r>
        <w:rPr>
          <w:rStyle w:val="HideTWBExt"/>
          <w:b w:val="0"/>
          <w:noProof w:val="0"/>
        </w:rPr>
        <w:t>&gt;</w:t>
      </w:r>
    </w:p>
    <w:p w14:paraId="670D841F" w14:textId="77777777" w:rsidR="007B5F9A" w:rsidRPr="00FE6277" w:rsidRDefault="007B5F9A" w:rsidP="007B5F9A">
      <w:pPr>
        <w:pStyle w:val="ZDate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{02/03/2018}</w:t>
      </w:r>
      <w:r>
        <w:t>2.3.2018</w:t>
      </w:r>
      <w:r>
        <w:rPr>
          <w:rStyle w:val="HideTWBExt"/>
          <w:noProof w:val="0"/>
        </w:rPr>
        <w:t>&lt;/Date&gt;</w:t>
      </w:r>
    </w:p>
    <w:p w14:paraId="0C927A39" w14:textId="77777777" w:rsidR="007B5F9A" w:rsidRPr="00FE6277" w:rsidRDefault="007B5F9A" w:rsidP="007B5F9A">
      <w:pPr>
        <w:pStyle w:val="TypeDoc"/>
      </w:pPr>
      <w:r>
        <w:rPr>
          <w:rStyle w:val="HideTWBExt"/>
          <w:b w:val="0"/>
          <w:noProof w:val="0"/>
        </w:rPr>
        <w:t>&lt;TitreType&gt;</w:t>
      </w:r>
      <w:r>
        <w:t>OPINIA</w:t>
      </w:r>
      <w:r>
        <w:rPr>
          <w:rStyle w:val="HideTWBExt"/>
          <w:b w:val="0"/>
          <w:noProof w:val="0"/>
        </w:rPr>
        <w:t>&lt;/TitreType&gt;</w:t>
      </w:r>
    </w:p>
    <w:p w14:paraId="6A6791D4" w14:textId="77777777" w:rsidR="007B5F9A" w:rsidRPr="00FE6277" w:rsidRDefault="007B5F9A" w:rsidP="007B5F9A">
      <w:pPr>
        <w:pStyle w:val="Cover24"/>
      </w:pPr>
      <w:r>
        <w:rPr>
          <w:rStyle w:val="HideTWBExt"/>
          <w:noProof w:val="0"/>
        </w:rPr>
        <w:t>&lt;CommissionResp&gt;</w:t>
      </w:r>
      <w:r>
        <w:t>Komisji Rybołówstwa</w:t>
      </w:r>
      <w:r>
        <w:rPr>
          <w:rStyle w:val="HideTWBExt"/>
          <w:noProof w:val="0"/>
        </w:rPr>
        <w:t>&lt;/CommissionResp&gt;</w:t>
      </w:r>
    </w:p>
    <w:p w14:paraId="225269E7" w14:textId="77777777" w:rsidR="007B5F9A" w:rsidRPr="00FE6277" w:rsidRDefault="007B5F9A" w:rsidP="007B5F9A">
      <w:pPr>
        <w:pStyle w:val="Cover24"/>
      </w:pPr>
      <w:r>
        <w:rPr>
          <w:rStyle w:val="HideTWBExt"/>
          <w:noProof w:val="0"/>
        </w:rPr>
        <w:t>&lt;CommissionInt&gt;</w:t>
      </w:r>
      <w:r>
        <w:t>dla Komisji Kontroli Budżetowej</w:t>
      </w:r>
      <w:r>
        <w:rPr>
          <w:rStyle w:val="HideTWBExt"/>
          <w:noProof w:val="0"/>
        </w:rPr>
        <w:t>&lt;/CommissionInt&gt;</w:t>
      </w:r>
    </w:p>
    <w:p w14:paraId="4EB58E5F" w14:textId="77777777" w:rsidR="007B5F9A" w:rsidRPr="00FE6277" w:rsidRDefault="007B5F9A" w:rsidP="007B5F9A">
      <w:pPr>
        <w:pStyle w:val="CoverNormal"/>
      </w:pPr>
      <w:r>
        <w:rPr>
          <w:rStyle w:val="HideTWBExt"/>
          <w:noProof w:val="0"/>
        </w:rPr>
        <w:t>&lt;Titre&gt;</w:t>
      </w:r>
      <w:r>
        <w:t xml:space="preserve">w sprawie absolutorium z wykonania budżetu ogólnego Unii Europejskiej za rok budżetowy 2016, sekcja III – Komisja i agencje wykonawcze </w:t>
      </w:r>
      <w:r>
        <w:rPr>
          <w:rStyle w:val="HideTWBExt"/>
          <w:noProof w:val="0"/>
        </w:rPr>
        <w:t>&lt;/Titre&gt;</w:t>
      </w:r>
    </w:p>
    <w:p w14:paraId="2623A8FB" w14:textId="77777777" w:rsidR="007B5F9A" w:rsidRPr="00FE6277" w:rsidRDefault="007B5F9A" w:rsidP="007B5F9A">
      <w:pPr>
        <w:pStyle w:val="Cover24"/>
      </w:pPr>
      <w:r>
        <w:rPr>
          <w:rStyle w:val="HideTWBExt"/>
          <w:noProof w:val="0"/>
        </w:rPr>
        <w:t>&lt;DocRef&gt;</w:t>
      </w:r>
      <w:r>
        <w:t>(2017/2136(</w:t>
      </w:r>
      <w:bookmarkStart w:id="0" w:name="DocEPTmp"/>
      <w:bookmarkEnd w:id="0"/>
      <w:r>
        <w:t>DEC))</w:t>
      </w:r>
      <w:r>
        <w:rPr>
          <w:rStyle w:val="HideTWBExt"/>
          <w:noProof w:val="0"/>
        </w:rPr>
        <w:t>&lt;/DocRef&gt;</w:t>
      </w:r>
    </w:p>
    <w:p w14:paraId="41167030" w14:textId="77777777" w:rsidR="007B5F9A" w:rsidRPr="00FE6277" w:rsidRDefault="007B5F9A" w:rsidP="007B5F9A">
      <w:pPr>
        <w:pStyle w:val="Cover24"/>
      </w:pPr>
      <w:r>
        <w:t xml:space="preserve">Sprawozdawca komisji opiniodawczej: </w:t>
      </w:r>
      <w:r>
        <w:rPr>
          <w:rStyle w:val="HideTWBExt"/>
          <w:noProof w:val="0"/>
        </w:rPr>
        <w:t>&lt;Depute&gt;</w:t>
      </w:r>
      <w:r>
        <w:t>Alain Cadec</w:t>
      </w:r>
      <w:r>
        <w:rPr>
          <w:rStyle w:val="HideTWBExt"/>
          <w:noProof w:val="0"/>
        </w:rPr>
        <w:t>&lt;/Depute&gt;</w:t>
      </w:r>
    </w:p>
    <w:p w14:paraId="14DAB476" w14:textId="3FB48DEF" w:rsidR="007B5F9A" w:rsidRPr="00FE6277" w:rsidRDefault="007B5F9A" w:rsidP="007B5F9A">
      <w:pPr>
        <w:pStyle w:val="CoverNormal"/>
      </w:pPr>
      <w:r>
        <w:br w:type="page"/>
      </w:r>
    </w:p>
    <w:p w14:paraId="2549D03C" w14:textId="77777777" w:rsidR="007B5F9A" w:rsidRPr="00FE6277" w:rsidRDefault="007B5F9A" w:rsidP="007B5F9A">
      <w:pPr>
        <w:widowControl/>
        <w:tabs>
          <w:tab w:val="center" w:pos="4677"/>
        </w:tabs>
      </w:pPr>
      <w:r>
        <w:t>PA_NonLeg</w:t>
      </w:r>
    </w:p>
    <w:p w14:paraId="1BC65E92" w14:textId="77777777" w:rsidR="007B5F9A" w:rsidRPr="00FE6277" w:rsidRDefault="007B5F9A" w:rsidP="007B5F9A">
      <w:pPr>
        <w:pStyle w:val="PageHeadingNotTOC"/>
      </w:pPr>
      <w:r>
        <w:br w:type="page"/>
      </w:r>
      <w:r>
        <w:lastRenderedPageBreak/>
        <w:t>WSKAZÓWKI</w:t>
      </w:r>
    </w:p>
    <w:p w14:paraId="2426D98A" w14:textId="77777777" w:rsidR="007B5F9A" w:rsidRPr="00FE6277" w:rsidRDefault="007B5F9A" w:rsidP="007B5F9A">
      <w:pPr>
        <w:pStyle w:val="Normal12Tab"/>
        <w:rPr>
          <w:szCs w:val="24"/>
        </w:rPr>
      </w:pPr>
      <w:r>
        <w:t>Komisja Rybołówstwa zwraca się do Komisji Kontroli Budżetowej, jako komisji przedmiotowo właściwej, o uwzględnienie w końcowym tekście projektu rezolucji następujących wskazówek:</w:t>
      </w:r>
    </w:p>
    <w:p w14:paraId="01743617" w14:textId="77777777" w:rsidR="007B5F9A" w:rsidRPr="00FE6277" w:rsidRDefault="007B5F9A" w:rsidP="007B5F9A">
      <w:pPr>
        <w:pStyle w:val="Hanging12"/>
        <w:tabs>
          <w:tab w:val="clear" w:pos="357"/>
        </w:tabs>
        <w:ind w:left="426" w:hanging="426"/>
        <w:rPr>
          <w:szCs w:val="24"/>
        </w:rPr>
      </w:pPr>
      <w:r>
        <w:t>1.</w:t>
      </w:r>
      <w:r>
        <w:tab/>
        <w:t>odnotowuje komunikat skierowany przez Komisję do Parlamentu Europejskiego, Rady i Trybunału Obrachunkowego w sprawie rocznego sprawozdania finansowego Unii Europejskiej za rok budżetowy 2016; przyjmuje do wiadomości sprawozdanie roczne Trybunału Obrachunkowego (zwanego dalej „Trybunałem”), dotyczące roku budżetowego 2016; odnotowuje roczne sprawozdanie z działalności Dyrekcji Generalnej ds. Gospodarki Morskiej i Rybołówstwa (DG MARE) za rok 2016;</w:t>
      </w:r>
    </w:p>
    <w:p w14:paraId="0CDBB421" w14:textId="77777777" w:rsidR="007B5F9A" w:rsidRPr="00FE6277" w:rsidRDefault="007B5F9A" w:rsidP="007B5F9A">
      <w:pPr>
        <w:pStyle w:val="Normal12Hanging"/>
      </w:pPr>
      <w:r>
        <w:t>2.</w:t>
      </w:r>
      <w:r>
        <w:tab/>
        <w:t>stwierdza, że w ostatnich latach utrzymała się pozytywna tendencja w zarządzaniu budżetem i że Trybunał nie ma szczególnych uwag do rocznego sprawozdania z działalności DG MARE za 2016 r.;</w:t>
      </w:r>
    </w:p>
    <w:p w14:paraId="26FF90B0" w14:textId="77777777" w:rsidR="007B5F9A" w:rsidRPr="00FE6277" w:rsidRDefault="007B5F9A" w:rsidP="007B5F9A">
      <w:pPr>
        <w:pStyle w:val="Normal12Hanging"/>
      </w:pPr>
      <w:r>
        <w:t>3.</w:t>
      </w:r>
      <w:r>
        <w:tab/>
        <w:t>nalega, by w swoich kolejnych sprawozdaniach Trybunał przedstawił oddzielnie wskaźnik błędu dla rybołówstwa i gospodarki morskiej w celu wyeliminowania zniekształceń wynikających z włączenia innych dziedzin do tego samego działu; stwierdza, że dziedzina gospodarki morskiej i rybołówstwa nie została wystarczająco szczegółowo omówiona w sprawozdaniu rocznym Trybunału, co utrudnia właściwą ocenę zarządzania finansami w tych dziedzinach;</w:t>
      </w:r>
    </w:p>
    <w:p w14:paraId="06A1CB6D" w14:textId="77777777" w:rsidR="007B5F9A" w:rsidRPr="00FE6277" w:rsidRDefault="007B5F9A" w:rsidP="007B5F9A">
      <w:pPr>
        <w:pStyle w:val="Normal12Hanging"/>
      </w:pPr>
      <w:r>
        <w:t>4.</w:t>
      </w:r>
      <w:r>
        <w:tab/>
        <w:t>podkreśla, że ogólny poziom błędu odnotowany w sprawozdaniu Trybunału jest niższy niż w poprzednim roku i wzywa Komisję, aby nadal utrzymywała tendencję spadkową;</w:t>
      </w:r>
    </w:p>
    <w:p w14:paraId="610470A2" w14:textId="77777777" w:rsidR="007B5F9A" w:rsidRPr="00FE6277" w:rsidRDefault="007B5F9A" w:rsidP="007B5F9A">
      <w:pPr>
        <w:pStyle w:val="Normal12Hanging"/>
      </w:pPr>
      <w:r>
        <w:t>5.</w:t>
      </w:r>
      <w:r>
        <w:tab/>
        <w:t>wyraża uznanie dla Komisji za szczególnie wysoki wskaźnik wykonania tytułu 11 w sekcji III budżetu na 2016 r., przeznaczonego na gospodarkę morską i rybołówstwo, zarówno w odniesieniu do środków na zobowiązania (99,2%), jak i środków na płatności (94,7%); przypomina, że zgodnie z art. 13 rozporządzenia nr 508/2014 środki budżetowe są segregowane ze względu na ich przeznaczenie, a zatem Komisja w swoim sprawozdaniu powinna wyszczególnić wskaźnik wykonania budżetu w poszczególnych liniach budżetowych;</w:t>
      </w:r>
    </w:p>
    <w:p w14:paraId="0261DF28" w14:textId="77777777" w:rsidR="007B5F9A" w:rsidRPr="00FE6277" w:rsidRDefault="007B5F9A" w:rsidP="007B5F9A">
      <w:pPr>
        <w:pStyle w:val="Hanging12"/>
        <w:tabs>
          <w:tab w:val="clear" w:pos="357"/>
        </w:tabs>
        <w:ind w:left="426" w:hanging="426"/>
        <w:rPr>
          <w:szCs w:val="24"/>
        </w:rPr>
      </w:pPr>
      <w:r>
        <w:t>6.</w:t>
      </w:r>
      <w:r>
        <w:tab/>
        <w:t>zwraca uwagę na zastrzeżenie zgłoszone w rocznym sprawozdaniu z działalności DG MARE w odniesieniu do ośmiu państw członkowskich, dotyczące wykrytych niekwalifikowalnych wydatków poniesionych w ramach Europejskiego Funduszu Rybackiego (EFR);</w:t>
      </w:r>
    </w:p>
    <w:p w14:paraId="7FBAAF02" w14:textId="77777777" w:rsidR="007B5F9A" w:rsidRPr="00FE6277" w:rsidRDefault="007B5F9A" w:rsidP="007B5F9A">
      <w:pPr>
        <w:pStyle w:val="Hanging12"/>
        <w:tabs>
          <w:tab w:val="clear" w:pos="357"/>
        </w:tabs>
        <w:ind w:left="426" w:hanging="426"/>
        <w:rPr>
          <w:szCs w:val="24"/>
        </w:rPr>
      </w:pPr>
      <w:r>
        <w:t>7.</w:t>
      </w:r>
      <w:r>
        <w:tab/>
        <w:t>popiera wysiłki podejmowane przez DG MARE na rzecz kontroli środków w ramach zarządzania dzielonego, zwłaszcza w ramach EFR i Europejskiego Funduszu Morskiego i Rybackiego (EFMR);</w:t>
      </w:r>
    </w:p>
    <w:p w14:paraId="178C2546" w14:textId="77777777" w:rsidR="007B5F9A" w:rsidRPr="00FE6277" w:rsidRDefault="007B5F9A" w:rsidP="007B5F9A">
      <w:pPr>
        <w:pStyle w:val="Normal12Hanging"/>
      </w:pPr>
      <w:r>
        <w:t>8.</w:t>
      </w:r>
      <w:r>
        <w:tab/>
        <w:t>zauważa, że ryzyko utraty środków dotyczy kwoty 5,9 mln EUR i że Komisja przyjęła środki niezbędne do dokonania oceny wydatków w 2017 r. oraz, w stosownych przypadkach, odzyskania przyznanych funduszy;</w:t>
      </w:r>
    </w:p>
    <w:p w14:paraId="7249FC22" w14:textId="77777777" w:rsidR="007B5F9A" w:rsidRPr="00FE6277" w:rsidRDefault="007B5F9A" w:rsidP="007B5F9A">
      <w:pPr>
        <w:pStyle w:val="Normal12Hanging"/>
      </w:pPr>
      <w:r>
        <w:lastRenderedPageBreak/>
        <w:t>9.</w:t>
      </w:r>
      <w:r>
        <w:tab/>
        <w:t>podkreśla, że po upływie trzech lat, odkąd w dniu 15 maja 2014 r. przyjęto EFMR na lata 2014–2020, poziom jego realizacji jest nadal niezadowalający, skoro do września 2017 r. wykorzystano zaledwie 1,7 % kwoty udostępnionej w ramach zarządzania dzielonego, wynoszącej 5,7 mld EUR; zauważa, że za wykorzystywanie środków z EFMR odpowiedzialne są państwa członkowskie; przypomina, że zgodnie z art. 13 rozporządzenia nr 508/2014 środki budżetowe są segregowane ze względu na ich przeznaczenie, a zatem Komisja w swoim sprawozdaniu powinna wyszczególnić wskaźnik wykonania budżetu w poszczególnych liniach budżetowych;</w:t>
      </w:r>
    </w:p>
    <w:p w14:paraId="7D3446AD" w14:textId="77777777" w:rsidR="007B5F9A" w:rsidRPr="00FE6277" w:rsidRDefault="007B5F9A" w:rsidP="007B5F9A">
      <w:pPr>
        <w:pStyle w:val="Normal12Hanging"/>
      </w:pPr>
      <w:r>
        <w:t>10</w:t>
      </w:r>
      <w:r>
        <w:tab/>
        <w:t>uważa, że należy udzielić wszelkiego możliwego wsparcia państwom członkowskim w celu zapewnienia właściwego i pełnego wykorzystania zasobów EFMR oraz zagwarantowania wysokich wskaźników wykorzystania, zgodnie z ich odnośnymi priorytetami i potrzebami, w szczególności w odniesieniu do zrównoważonego rozwoju sektora rybołówstwa;</w:t>
      </w:r>
    </w:p>
    <w:p w14:paraId="598863AA" w14:textId="77777777" w:rsidR="007B5F9A" w:rsidRPr="002D446A" w:rsidRDefault="007B5F9A" w:rsidP="00573CFC">
      <w:pPr>
        <w:pStyle w:val="Hanging12"/>
        <w:tabs>
          <w:tab w:val="clear" w:pos="357"/>
          <w:tab w:val="left" w:pos="567"/>
        </w:tabs>
        <w:ind w:left="426" w:hanging="426"/>
      </w:pPr>
      <w:r>
        <w:t>11.</w:t>
      </w:r>
      <w:r>
        <w:tab/>
      </w:r>
      <w:bookmarkStart w:id="1" w:name="_GoBack"/>
      <w:bookmarkEnd w:id="1"/>
      <w:r>
        <w:t>na podstawie dostępnych danych proponuje udzielić Komisji absolutorium w związku z wydatkami w dziedzinie gospodarki morskiej i rybołówstwa za rok budżetowy 2016.</w:t>
      </w:r>
    </w:p>
    <w:p w14:paraId="1B8B7AA6" w14:textId="18152FF0" w:rsidR="002D446A" w:rsidRDefault="007B5F9A" w:rsidP="002D446A">
      <w:pPr>
        <w:pStyle w:val="PageHeadingNotTOC"/>
      </w:pPr>
      <w:r>
        <w:br w:type="page"/>
      </w:r>
      <w:bookmarkStart w:id="2" w:name="ProcPageAD"/>
      <w:r>
        <w:t>INFORMACJE O PRZYJĘCIU OPINII</w:t>
      </w:r>
      <w:r>
        <w:br/>
        <w:t>W KOMISJI OPINIODAWCZEJ</w:t>
      </w: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2D446A" w14:paraId="1ECE7A0F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0ECFAAF" w14:textId="77777777" w:rsidR="002D446A" w:rsidRDefault="002D44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Data przyjęcia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E59F73F" w14:textId="77777777" w:rsidR="002D446A" w:rsidRDefault="002D446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27.2.2018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C6F0666" w14:textId="77777777" w:rsidR="002D446A" w:rsidRDefault="002D446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A556114" w14:textId="77777777" w:rsidR="002D446A" w:rsidRDefault="002D446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87A16EE" w14:textId="77777777" w:rsidR="002D446A" w:rsidRDefault="002D446A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2D446A" w14:paraId="7C1C33FE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22D63DE" w14:textId="77777777" w:rsidR="002D446A" w:rsidRDefault="002D44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Wynik głosowania końcowego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25D345B" w14:textId="77777777" w:rsidR="002D446A" w:rsidRDefault="002D446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+:</w:t>
            </w:r>
          </w:p>
          <w:p w14:paraId="5CAE78E0" w14:textId="77777777" w:rsidR="002D446A" w:rsidRDefault="002D446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–:</w:t>
            </w:r>
          </w:p>
          <w:p w14:paraId="2C5FFFD8" w14:textId="77777777" w:rsidR="002D446A" w:rsidRDefault="002D446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9E6CC78" w14:textId="77777777" w:rsidR="002D446A" w:rsidRDefault="002D446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  <w:p w14:paraId="263F10FB" w14:textId="77777777" w:rsidR="002D446A" w:rsidRDefault="002D446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  <w:p w14:paraId="5C7B2A8C" w14:textId="77777777" w:rsidR="002D446A" w:rsidRDefault="002D446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2D446A" w14:paraId="578FE43F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1039022" w14:textId="77777777" w:rsidR="002D446A" w:rsidRDefault="002D44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Posłowie obecni podczas głosowania końcowego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0BD41BD" w14:textId="77777777" w:rsidR="002D446A" w:rsidRDefault="002D446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Clara Eugenia Aguilera García, Alain Cadec, David Coburn, Linnéa Engström, João Ferreira, Sylvie Goddyn, Mike Hookem, Carlos Iturgaiz, Werner Kuhn, António Marinho e Pinto, Gabriel Mato, Norica Nicolai, Liadh Ní Riada, Ulrike Rodust, Annie Schreijer-Pierik, Remo Sernagiotto, Ricardo Serrão Santos, Isabelle Thomas, Ruža Tomašić, Peter van Dalen, Jarosław Wałęsa</w:t>
            </w:r>
          </w:p>
        </w:tc>
      </w:tr>
      <w:tr w:rsidR="002D446A" w:rsidRPr="002D446A" w14:paraId="0F54037E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6343701" w14:textId="77777777" w:rsidR="002D446A" w:rsidRDefault="002D44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Zastępcy obecni podczas głosowania końcowego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C2EED57" w14:textId="77777777" w:rsidR="002D446A" w:rsidRPr="002D446A" w:rsidRDefault="002D446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Norbert Erdős, Maria Lidia Senra Rodríguez</w:t>
            </w:r>
          </w:p>
        </w:tc>
      </w:tr>
      <w:tr w:rsidR="002D446A" w14:paraId="6005ACE3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516A6EE" w14:textId="77777777" w:rsidR="002D446A" w:rsidRDefault="002D44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Zastępcy (art. 200 ust. 2) obecni podczas głosowania końcowego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10ECE1A" w14:textId="77777777" w:rsidR="002D446A" w:rsidRDefault="002D446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Liliana Rodrigues</w:t>
            </w:r>
          </w:p>
        </w:tc>
      </w:tr>
    </w:tbl>
    <w:p w14:paraId="54C65A9A" w14:textId="77777777" w:rsidR="002D446A" w:rsidRDefault="002D446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bookmarkEnd w:id="2"/>
    <w:p w14:paraId="1B977DCE" w14:textId="7588B1AD" w:rsidR="007B5F9A" w:rsidRPr="00FE6277" w:rsidRDefault="007B5F9A" w:rsidP="002D446A">
      <w:pPr>
        <w:pStyle w:val="PageHeadingNotTOC"/>
      </w:pPr>
      <w:r>
        <w:br w:type="page"/>
      </w:r>
      <w:bookmarkStart w:id="3" w:name="RollCallPageAD"/>
      <w:r>
        <w:t>GŁOSOWANIE KOŃCOWE W FORMIE GŁOSOWANIA IMIENNEGO W KOMISJI PRZEDMIOTOWO WŁAŚCIWEJ</w:t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B5F9A" w:rsidRPr="00FE6277" w14:paraId="469A9BFF" w14:textId="77777777" w:rsidTr="000F591C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1DC211B8" w14:textId="77777777" w:rsidR="007B5F9A" w:rsidRPr="00FE6277" w:rsidRDefault="007B5F9A" w:rsidP="000F591C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371" w:type="dxa"/>
            <w:shd w:val="pct10" w:color="000000" w:fill="FFFFFF"/>
          </w:tcPr>
          <w:p w14:paraId="392E7711" w14:textId="77777777" w:rsidR="007B5F9A" w:rsidRPr="00FE6277" w:rsidRDefault="007B5F9A" w:rsidP="000F591C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+</w:t>
            </w:r>
          </w:p>
        </w:tc>
      </w:tr>
      <w:tr w:rsidR="007B5F9A" w:rsidRPr="00FE6277" w14:paraId="0E508319" w14:textId="77777777" w:rsidTr="000F591C">
        <w:trPr>
          <w:cantSplit/>
        </w:trPr>
        <w:tc>
          <w:tcPr>
            <w:tcW w:w="1701" w:type="dxa"/>
            <w:shd w:val="clear" w:color="auto" w:fill="FFFFFF"/>
          </w:tcPr>
          <w:p w14:paraId="345F50CA" w14:textId="77777777" w:rsidR="007B5F9A" w:rsidRPr="00FE6277" w:rsidRDefault="007B5F9A" w:rsidP="000F591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ALDE</w:t>
            </w:r>
          </w:p>
        </w:tc>
        <w:tc>
          <w:tcPr>
            <w:tcW w:w="7371" w:type="dxa"/>
            <w:shd w:val="clear" w:color="auto" w:fill="FFFFFF"/>
          </w:tcPr>
          <w:p w14:paraId="47AB3657" w14:textId="77777777" w:rsidR="007B5F9A" w:rsidRPr="00FE6277" w:rsidRDefault="007B5F9A" w:rsidP="000F591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António Marinho e Pinto, Norica Nicolai</w:t>
            </w:r>
          </w:p>
        </w:tc>
      </w:tr>
      <w:tr w:rsidR="007B5F9A" w:rsidRPr="00FE6277" w14:paraId="5465B749" w14:textId="77777777" w:rsidTr="000F591C">
        <w:trPr>
          <w:cantSplit/>
        </w:trPr>
        <w:tc>
          <w:tcPr>
            <w:tcW w:w="1701" w:type="dxa"/>
            <w:shd w:val="clear" w:color="auto" w:fill="FFFFFF"/>
          </w:tcPr>
          <w:p w14:paraId="41C2013E" w14:textId="77777777" w:rsidR="007B5F9A" w:rsidRPr="00FE6277" w:rsidRDefault="007B5F9A" w:rsidP="000F591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ECR</w:t>
            </w:r>
          </w:p>
        </w:tc>
        <w:tc>
          <w:tcPr>
            <w:tcW w:w="7371" w:type="dxa"/>
            <w:shd w:val="clear" w:color="auto" w:fill="FFFFFF"/>
          </w:tcPr>
          <w:p w14:paraId="4AB672FA" w14:textId="77777777" w:rsidR="007B5F9A" w:rsidRPr="00FE6277" w:rsidRDefault="007B5F9A" w:rsidP="000F591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Peter van Dalen, Remo Sernagiotto, Ruža Tomašić</w:t>
            </w:r>
          </w:p>
        </w:tc>
      </w:tr>
      <w:tr w:rsidR="007B5F9A" w:rsidRPr="00FE6277" w14:paraId="26DECFC7" w14:textId="77777777" w:rsidTr="000F591C">
        <w:trPr>
          <w:cantSplit/>
        </w:trPr>
        <w:tc>
          <w:tcPr>
            <w:tcW w:w="1701" w:type="dxa"/>
            <w:shd w:val="clear" w:color="auto" w:fill="FFFFFF"/>
          </w:tcPr>
          <w:p w14:paraId="5D355CE2" w14:textId="77777777" w:rsidR="007B5F9A" w:rsidRPr="00FE6277" w:rsidRDefault="007B5F9A" w:rsidP="000F591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PPE</w:t>
            </w:r>
          </w:p>
        </w:tc>
        <w:tc>
          <w:tcPr>
            <w:tcW w:w="7371" w:type="dxa"/>
            <w:shd w:val="clear" w:color="auto" w:fill="FFFFFF"/>
          </w:tcPr>
          <w:p w14:paraId="6339437C" w14:textId="77777777" w:rsidR="007B5F9A" w:rsidRPr="00FE6277" w:rsidRDefault="007B5F9A" w:rsidP="000F591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Alain Cadec, Norbert Erdős, Carlos Iturgaiz, Werner Kuhn, Gabriel Mato, Annie Schreijer-Pierik, Jarosław Wałęsa</w:t>
            </w:r>
          </w:p>
        </w:tc>
      </w:tr>
      <w:tr w:rsidR="007B5F9A" w:rsidRPr="00FE6277" w14:paraId="1492CBCD" w14:textId="77777777" w:rsidTr="000F591C">
        <w:trPr>
          <w:cantSplit/>
        </w:trPr>
        <w:tc>
          <w:tcPr>
            <w:tcW w:w="1701" w:type="dxa"/>
            <w:shd w:val="clear" w:color="auto" w:fill="FFFFFF"/>
          </w:tcPr>
          <w:p w14:paraId="4CD5D611" w14:textId="77777777" w:rsidR="007B5F9A" w:rsidRPr="00FE6277" w:rsidRDefault="007B5F9A" w:rsidP="000F591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S&amp;D</w:t>
            </w:r>
          </w:p>
        </w:tc>
        <w:tc>
          <w:tcPr>
            <w:tcW w:w="7371" w:type="dxa"/>
            <w:shd w:val="clear" w:color="auto" w:fill="FFFFFF"/>
          </w:tcPr>
          <w:p w14:paraId="42821CAC" w14:textId="77777777" w:rsidR="007B5F9A" w:rsidRPr="00FE6277" w:rsidRDefault="007B5F9A" w:rsidP="000F591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Clara Eugenia Aguilera García, Liliana Rodrigues, Ulrike Rodust, Isabelle Thomas</w:t>
            </w:r>
          </w:p>
        </w:tc>
      </w:tr>
    </w:tbl>
    <w:p w14:paraId="5EA13EBA" w14:textId="77777777" w:rsidR="007B5F9A" w:rsidRPr="00FE6277" w:rsidRDefault="007B5F9A" w:rsidP="007B5F9A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B5F9A" w:rsidRPr="00FE6277" w14:paraId="49DC9FF4" w14:textId="77777777" w:rsidTr="000F591C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6AF05BCE" w14:textId="77777777" w:rsidR="007B5F9A" w:rsidRPr="00FE6277" w:rsidRDefault="007B5F9A" w:rsidP="000F591C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371" w:type="dxa"/>
            <w:shd w:val="pct10" w:color="000000" w:fill="FFFFFF"/>
          </w:tcPr>
          <w:p w14:paraId="21FEDFCE" w14:textId="77777777" w:rsidR="007B5F9A" w:rsidRPr="00FE6277" w:rsidRDefault="007B5F9A" w:rsidP="000F591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-</w:t>
            </w:r>
          </w:p>
        </w:tc>
      </w:tr>
      <w:tr w:rsidR="007B5F9A" w:rsidRPr="00FE6277" w14:paraId="416722F5" w14:textId="77777777" w:rsidTr="000F591C">
        <w:trPr>
          <w:cantSplit/>
        </w:trPr>
        <w:tc>
          <w:tcPr>
            <w:tcW w:w="1701" w:type="dxa"/>
            <w:shd w:val="clear" w:color="auto" w:fill="FFFFFF"/>
          </w:tcPr>
          <w:p w14:paraId="2FF11D5F" w14:textId="77777777" w:rsidR="007B5F9A" w:rsidRPr="00FE6277" w:rsidRDefault="007B5F9A" w:rsidP="000F591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EFDD</w:t>
            </w:r>
          </w:p>
        </w:tc>
        <w:tc>
          <w:tcPr>
            <w:tcW w:w="7371" w:type="dxa"/>
            <w:shd w:val="clear" w:color="auto" w:fill="FFFFFF"/>
          </w:tcPr>
          <w:p w14:paraId="50009529" w14:textId="77777777" w:rsidR="007B5F9A" w:rsidRPr="00FE6277" w:rsidRDefault="007B5F9A" w:rsidP="000F591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David Coburn, Mike Hookem</w:t>
            </w:r>
          </w:p>
        </w:tc>
      </w:tr>
      <w:tr w:rsidR="007B5F9A" w:rsidRPr="00FE6277" w14:paraId="33C132FE" w14:textId="77777777" w:rsidTr="000F591C">
        <w:trPr>
          <w:cantSplit/>
        </w:trPr>
        <w:tc>
          <w:tcPr>
            <w:tcW w:w="1701" w:type="dxa"/>
            <w:shd w:val="clear" w:color="auto" w:fill="FFFFFF"/>
          </w:tcPr>
          <w:p w14:paraId="2CB4DB69" w14:textId="77777777" w:rsidR="007B5F9A" w:rsidRPr="00FE6277" w:rsidRDefault="007B5F9A" w:rsidP="000F591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ENF</w:t>
            </w:r>
          </w:p>
        </w:tc>
        <w:tc>
          <w:tcPr>
            <w:tcW w:w="7371" w:type="dxa"/>
            <w:shd w:val="clear" w:color="auto" w:fill="FFFFFF"/>
          </w:tcPr>
          <w:p w14:paraId="31520CC8" w14:textId="77777777" w:rsidR="007B5F9A" w:rsidRPr="00FE6277" w:rsidRDefault="007B5F9A" w:rsidP="000F591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Sylvie Goddyn</w:t>
            </w:r>
          </w:p>
        </w:tc>
      </w:tr>
      <w:tr w:rsidR="007B5F9A" w:rsidRPr="00FE6277" w14:paraId="51D6283F" w14:textId="77777777" w:rsidTr="000F591C">
        <w:trPr>
          <w:cantSplit/>
        </w:trPr>
        <w:tc>
          <w:tcPr>
            <w:tcW w:w="1701" w:type="dxa"/>
            <w:shd w:val="clear" w:color="auto" w:fill="FFFFFF"/>
          </w:tcPr>
          <w:p w14:paraId="15CE080D" w14:textId="77777777" w:rsidR="007B5F9A" w:rsidRPr="00FE6277" w:rsidRDefault="007B5F9A" w:rsidP="000F591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VERTS/ALE</w:t>
            </w:r>
          </w:p>
        </w:tc>
        <w:tc>
          <w:tcPr>
            <w:tcW w:w="7371" w:type="dxa"/>
            <w:shd w:val="clear" w:color="auto" w:fill="FFFFFF"/>
          </w:tcPr>
          <w:p w14:paraId="1C17A308" w14:textId="77777777" w:rsidR="007B5F9A" w:rsidRPr="00FE6277" w:rsidRDefault="007B5F9A" w:rsidP="000F591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Linnéa Engström</w:t>
            </w:r>
          </w:p>
        </w:tc>
      </w:tr>
    </w:tbl>
    <w:p w14:paraId="1FD2D786" w14:textId="77777777" w:rsidR="007B5F9A" w:rsidRPr="00FE6277" w:rsidRDefault="007B5F9A" w:rsidP="007B5F9A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B5F9A" w:rsidRPr="00FE6277" w14:paraId="644EB648" w14:textId="77777777" w:rsidTr="000F591C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76A2F2F6" w14:textId="77777777" w:rsidR="007B5F9A" w:rsidRPr="00FE6277" w:rsidRDefault="007B5F9A" w:rsidP="000F591C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371" w:type="dxa"/>
            <w:shd w:val="pct10" w:color="000000" w:fill="FFFFFF"/>
          </w:tcPr>
          <w:p w14:paraId="644FCBEA" w14:textId="77777777" w:rsidR="007B5F9A" w:rsidRPr="00FE6277" w:rsidRDefault="007B5F9A" w:rsidP="000F591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</w:tr>
      <w:tr w:rsidR="007B5F9A" w:rsidRPr="00FE6277" w14:paraId="0DBF1680" w14:textId="77777777" w:rsidTr="000F591C">
        <w:trPr>
          <w:cantSplit/>
        </w:trPr>
        <w:tc>
          <w:tcPr>
            <w:tcW w:w="1701" w:type="dxa"/>
            <w:shd w:val="clear" w:color="auto" w:fill="FFFFFF"/>
          </w:tcPr>
          <w:p w14:paraId="3AB3E609" w14:textId="77777777" w:rsidR="007B5F9A" w:rsidRPr="00FE6277" w:rsidRDefault="007B5F9A" w:rsidP="000F591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GUE/NGL</w:t>
            </w:r>
          </w:p>
        </w:tc>
        <w:tc>
          <w:tcPr>
            <w:tcW w:w="7371" w:type="dxa"/>
            <w:shd w:val="clear" w:color="auto" w:fill="FFFFFF"/>
          </w:tcPr>
          <w:p w14:paraId="228CC71B" w14:textId="77777777" w:rsidR="007B5F9A" w:rsidRPr="00FE6277" w:rsidRDefault="007B5F9A" w:rsidP="000F591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João Ferreira, Liadh Ní Riada</w:t>
            </w:r>
          </w:p>
        </w:tc>
      </w:tr>
    </w:tbl>
    <w:p w14:paraId="76CEEF1C" w14:textId="77777777" w:rsidR="007B5F9A" w:rsidRPr="00FE6277" w:rsidRDefault="007B5F9A" w:rsidP="007B5F9A">
      <w:pPr>
        <w:pStyle w:val="Normal12"/>
      </w:pPr>
    </w:p>
    <w:p w14:paraId="7BB7F15D" w14:textId="77777777" w:rsidR="007B5F9A" w:rsidRPr="00FE6277" w:rsidRDefault="007B5F9A" w:rsidP="007B5F9A">
      <w:r>
        <w:t>Objaśnienie używanych znaków:</w:t>
      </w:r>
    </w:p>
    <w:p w14:paraId="5AB38813" w14:textId="77777777" w:rsidR="007B5F9A" w:rsidRPr="00FE6277" w:rsidRDefault="007B5F9A" w:rsidP="007B5F9A">
      <w:pPr>
        <w:pStyle w:val="NormalTabs"/>
      </w:pPr>
      <w:r>
        <w:t>+</w:t>
      </w:r>
      <w:r>
        <w:tab/>
        <w:t>:</w:t>
      </w:r>
      <w:r>
        <w:tab/>
        <w:t>za</w:t>
      </w:r>
    </w:p>
    <w:p w14:paraId="34783485" w14:textId="77777777" w:rsidR="007B5F9A" w:rsidRPr="00FE6277" w:rsidRDefault="007B5F9A" w:rsidP="007B5F9A">
      <w:pPr>
        <w:pStyle w:val="NormalTabs"/>
      </w:pPr>
      <w:r>
        <w:t>-</w:t>
      </w:r>
      <w:r>
        <w:tab/>
        <w:t>:</w:t>
      </w:r>
      <w:r>
        <w:tab/>
        <w:t>przeciw</w:t>
      </w:r>
    </w:p>
    <w:p w14:paraId="02839036" w14:textId="77777777" w:rsidR="007B5F9A" w:rsidRPr="00FE6277" w:rsidRDefault="007B5F9A" w:rsidP="007B5F9A">
      <w:pPr>
        <w:pStyle w:val="NormalTabs"/>
      </w:pPr>
      <w:r>
        <w:t>0</w:t>
      </w:r>
      <w:r>
        <w:tab/>
        <w:t>:</w:t>
      </w:r>
      <w:r>
        <w:tab/>
        <w:t>wstrzymało się</w:t>
      </w:r>
    </w:p>
    <w:p w14:paraId="0C401C72" w14:textId="77777777" w:rsidR="007B5F9A" w:rsidRPr="00FE6277" w:rsidRDefault="007B5F9A" w:rsidP="007B5F9A"/>
    <w:bookmarkEnd w:id="3"/>
    <w:p w14:paraId="128FF711" w14:textId="77777777" w:rsidR="007B5F9A" w:rsidRPr="00FE6277" w:rsidRDefault="007B5F9A" w:rsidP="007B5F9A"/>
    <w:p w14:paraId="09B75810" w14:textId="008ABD35" w:rsidR="00E06D91" w:rsidRPr="00FE6277" w:rsidRDefault="00E06D91" w:rsidP="007B5F9A">
      <w:pPr>
        <w:pStyle w:val="RefProc"/>
      </w:pPr>
    </w:p>
    <w:sectPr w:rsidR="00E06D91" w:rsidRPr="00FE6277" w:rsidSect="00783E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92C6A" w14:textId="77777777" w:rsidR="00E92E82" w:rsidRPr="00FE6277" w:rsidRDefault="00E92E82">
      <w:r w:rsidRPr="00FE6277">
        <w:separator/>
      </w:r>
    </w:p>
  </w:endnote>
  <w:endnote w:type="continuationSeparator" w:id="0">
    <w:p w14:paraId="49DE9D9A" w14:textId="77777777" w:rsidR="00E92E82" w:rsidRPr="00FE6277" w:rsidRDefault="00E92E82">
      <w:r w:rsidRPr="00FE627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89157" w14:textId="77777777" w:rsidR="00783E17" w:rsidRPr="00FE6277" w:rsidRDefault="00783E17" w:rsidP="00783E17">
    <w:pPr>
      <w:pStyle w:val="Footer"/>
    </w:pPr>
    <w:r w:rsidRPr="00FE6277">
      <w:t>PE</w:t>
    </w:r>
    <w:r w:rsidRPr="00FE6277">
      <w:rPr>
        <w:rStyle w:val="HideTWBExt"/>
        <w:noProof w:val="0"/>
      </w:rPr>
      <w:t>&lt;NoPE&gt;</w:t>
    </w:r>
    <w:r w:rsidRPr="00FE6277">
      <w:t>613.408</w:t>
    </w:r>
    <w:r w:rsidRPr="00FE6277">
      <w:rPr>
        <w:rStyle w:val="HideTWBExt"/>
        <w:noProof w:val="0"/>
      </w:rPr>
      <w:t>&lt;/NoPE&gt;&lt;Version&gt;</w:t>
    </w:r>
    <w:r w:rsidRPr="00FE6277">
      <w:t>v02-00</w:t>
    </w:r>
    <w:r w:rsidRPr="00FE6277">
      <w:rPr>
        <w:rStyle w:val="HideTWBExt"/>
        <w:noProof w:val="0"/>
      </w:rPr>
      <w:t>&lt;/Version&gt;</w:t>
    </w:r>
    <w:r w:rsidRPr="00FE6277">
      <w:tab/>
    </w:r>
    <w:r w:rsidRPr="00FE6277">
      <w:fldChar w:fldCharType="begin"/>
    </w:r>
    <w:r w:rsidRPr="00FE6277">
      <w:instrText xml:space="preserve"> PAGE  \* MERGEFORMAT </w:instrText>
    </w:r>
    <w:r w:rsidRPr="00FE6277">
      <w:fldChar w:fldCharType="separate"/>
    </w:r>
    <w:r w:rsidR="00573CFC">
      <w:rPr>
        <w:noProof/>
      </w:rPr>
      <w:t>4</w:t>
    </w:r>
    <w:r w:rsidRPr="00FE6277">
      <w:fldChar w:fldCharType="end"/>
    </w:r>
    <w:r w:rsidRPr="00FE6277">
      <w:t>/</w:t>
    </w:r>
    <w:fldSimple w:instr=" NUMPAGES  \* MERGEFORMAT ">
      <w:r w:rsidR="00573CFC">
        <w:rPr>
          <w:noProof/>
        </w:rPr>
        <w:t>6</w:t>
      </w:r>
    </w:fldSimple>
    <w:r w:rsidRPr="00FE6277">
      <w:tab/>
    </w:r>
    <w:r w:rsidRPr="00FE6277">
      <w:rPr>
        <w:rStyle w:val="HideTWBExt"/>
        <w:noProof w:val="0"/>
      </w:rPr>
      <w:t>&lt;PathFdR&gt;</w:t>
    </w:r>
    <w:r w:rsidRPr="00FE6277">
      <w:t>AD\1146807PL.docx</w:t>
    </w:r>
    <w:r w:rsidRPr="00FE6277">
      <w:rPr>
        <w:rStyle w:val="HideTWBExt"/>
        <w:noProof w:val="0"/>
      </w:rPr>
      <w:t>&lt;/PathFdR&gt;</w:t>
    </w:r>
  </w:p>
  <w:p w14:paraId="751C415B" w14:textId="46186421" w:rsidR="002E2F2E" w:rsidRPr="00FE6277" w:rsidRDefault="00783E17" w:rsidP="00783E17">
    <w:pPr>
      <w:pStyle w:val="Footer2"/>
    </w:pPr>
    <w:r w:rsidRPr="00FE6277">
      <w:t>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5D935" w14:textId="77777777" w:rsidR="00783E17" w:rsidRPr="00FE6277" w:rsidRDefault="00783E17" w:rsidP="00783E17">
    <w:pPr>
      <w:pStyle w:val="Footer"/>
    </w:pPr>
    <w:r w:rsidRPr="00FE6277">
      <w:rPr>
        <w:rStyle w:val="HideTWBExt"/>
        <w:noProof w:val="0"/>
      </w:rPr>
      <w:t>&lt;PathFdR&gt;</w:t>
    </w:r>
    <w:r w:rsidRPr="00FE6277">
      <w:t>AD\1146807PL.docx</w:t>
    </w:r>
    <w:r w:rsidRPr="00FE6277">
      <w:rPr>
        <w:rStyle w:val="HideTWBExt"/>
        <w:noProof w:val="0"/>
      </w:rPr>
      <w:t>&lt;/PathFdR&gt;</w:t>
    </w:r>
    <w:r w:rsidRPr="00FE6277">
      <w:tab/>
    </w:r>
    <w:r w:rsidRPr="00FE6277">
      <w:fldChar w:fldCharType="begin"/>
    </w:r>
    <w:r w:rsidRPr="00FE6277">
      <w:instrText xml:space="preserve"> PAGE  \* MERGEFORMAT </w:instrText>
    </w:r>
    <w:r w:rsidRPr="00FE6277">
      <w:fldChar w:fldCharType="separate"/>
    </w:r>
    <w:r w:rsidR="00573CFC">
      <w:rPr>
        <w:noProof/>
      </w:rPr>
      <w:t>3</w:t>
    </w:r>
    <w:r w:rsidRPr="00FE6277">
      <w:fldChar w:fldCharType="end"/>
    </w:r>
    <w:r w:rsidRPr="00FE6277">
      <w:t>/</w:t>
    </w:r>
    <w:fldSimple w:instr=" NUMPAGES  \* MERGEFORMAT ">
      <w:r w:rsidR="00573CFC">
        <w:rPr>
          <w:noProof/>
        </w:rPr>
        <w:t>6</w:t>
      </w:r>
    </w:fldSimple>
    <w:r w:rsidRPr="00FE6277">
      <w:tab/>
      <w:t>PE</w:t>
    </w:r>
    <w:r w:rsidRPr="00FE6277">
      <w:rPr>
        <w:rStyle w:val="HideTWBExt"/>
        <w:noProof w:val="0"/>
      </w:rPr>
      <w:t>&lt;NoPE&gt;</w:t>
    </w:r>
    <w:r w:rsidRPr="00FE6277">
      <w:t>613.408</w:t>
    </w:r>
    <w:r w:rsidRPr="00FE6277">
      <w:rPr>
        <w:rStyle w:val="HideTWBExt"/>
        <w:noProof w:val="0"/>
      </w:rPr>
      <w:t>&lt;/NoPE&gt;&lt;Version&gt;</w:t>
    </w:r>
    <w:r w:rsidRPr="00FE6277">
      <w:t>v02-00</w:t>
    </w:r>
    <w:r w:rsidRPr="00FE6277">
      <w:rPr>
        <w:rStyle w:val="HideTWBExt"/>
        <w:noProof w:val="0"/>
      </w:rPr>
      <w:t>&lt;/Version&gt;</w:t>
    </w:r>
  </w:p>
  <w:p w14:paraId="2EBB9B32" w14:textId="768EDE03" w:rsidR="002E2F2E" w:rsidRPr="00FE6277" w:rsidRDefault="00783E17" w:rsidP="00783E17">
    <w:pPr>
      <w:pStyle w:val="Footer2"/>
    </w:pPr>
    <w:r w:rsidRPr="00FE6277">
      <w:tab/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A82C3" w14:textId="77777777" w:rsidR="00783E17" w:rsidRPr="00FE6277" w:rsidRDefault="00783E17" w:rsidP="00783E17">
    <w:pPr>
      <w:pStyle w:val="Footer"/>
    </w:pPr>
    <w:r w:rsidRPr="00FE6277">
      <w:rPr>
        <w:rStyle w:val="HideTWBExt"/>
        <w:noProof w:val="0"/>
      </w:rPr>
      <w:t>&lt;PathFdR&gt;</w:t>
    </w:r>
    <w:r w:rsidRPr="00FE6277">
      <w:t>AD\1146807PL.docx</w:t>
    </w:r>
    <w:r w:rsidRPr="00FE6277">
      <w:rPr>
        <w:rStyle w:val="HideTWBExt"/>
        <w:noProof w:val="0"/>
      </w:rPr>
      <w:t>&lt;/PathFdR&gt;</w:t>
    </w:r>
    <w:r w:rsidRPr="00FE6277">
      <w:tab/>
    </w:r>
    <w:r w:rsidRPr="00FE6277">
      <w:tab/>
      <w:t>PE</w:t>
    </w:r>
    <w:r w:rsidRPr="00FE6277">
      <w:rPr>
        <w:rStyle w:val="HideTWBExt"/>
        <w:noProof w:val="0"/>
      </w:rPr>
      <w:t>&lt;NoPE&gt;</w:t>
    </w:r>
    <w:r w:rsidRPr="00FE6277">
      <w:t>613.408</w:t>
    </w:r>
    <w:r w:rsidRPr="00FE6277">
      <w:rPr>
        <w:rStyle w:val="HideTWBExt"/>
        <w:noProof w:val="0"/>
      </w:rPr>
      <w:t>&lt;/NoPE&gt;&lt;Version&gt;</w:t>
    </w:r>
    <w:r w:rsidRPr="00FE6277">
      <w:t>v02-00</w:t>
    </w:r>
    <w:r w:rsidRPr="00FE6277">
      <w:rPr>
        <w:rStyle w:val="HideTWBExt"/>
        <w:noProof w:val="0"/>
      </w:rPr>
      <w:t>&lt;/Version&gt;</w:t>
    </w:r>
  </w:p>
  <w:p w14:paraId="018D9F98" w14:textId="12F29088" w:rsidR="002E2F2E" w:rsidRPr="00FE6277" w:rsidRDefault="00783E17" w:rsidP="00783E17">
    <w:pPr>
      <w:pStyle w:val="Footer2"/>
      <w:tabs>
        <w:tab w:val="center" w:pos="4535"/>
      </w:tabs>
    </w:pPr>
    <w:r w:rsidRPr="00FE6277">
      <w:t>PL</w:t>
    </w:r>
    <w:r w:rsidRPr="00FE6277">
      <w:tab/>
    </w:r>
    <w:r w:rsidRPr="00FE6277">
      <w:rPr>
        <w:b w:val="0"/>
        <w:i/>
        <w:color w:val="C0C0C0"/>
        <w:sz w:val="22"/>
      </w:rPr>
      <w:t>Zjednoczona w różnorodności</w:t>
    </w:r>
    <w:r w:rsidRPr="00FE6277">
      <w:tab/>
      <w:t>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E4163" w14:textId="77777777" w:rsidR="00E92E82" w:rsidRPr="00FE6277" w:rsidRDefault="00E92E82">
      <w:r w:rsidRPr="00FE6277">
        <w:separator/>
      </w:r>
    </w:p>
  </w:footnote>
  <w:footnote w:type="continuationSeparator" w:id="0">
    <w:p w14:paraId="350AB635" w14:textId="77777777" w:rsidR="00E92E82" w:rsidRPr="00FE6277" w:rsidRDefault="00E92E82">
      <w:r w:rsidRPr="00FE627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2DFB6" w14:textId="77777777" w:rsidR="00573CFC" w:rsidRDefault="00573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291CF" w14:textId="77777777" w:rsidR="00573CFC" w:rsidRDefault="00573C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CAAA9" w14:textId="77777777" w:rsidR="00573CFC" w:rsidRDefault="00573C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82876"/>
    <w:multiLevelType w:val="hybridMultilevel"/>
    <w:tmpl w:val="5AACF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41E51"/>
    <w:multiLevelType w:val="hybridMultilevel"/>
    <w:tmpl w:val="9E1C2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JMNU" w:val="1"/>
    <w:docVar w:name="COM2KEY" w:val="PECH"/>
    <w:docVar w:name="COMKEY" w:val="PECH"/>
    <w:docVar w:name="CopyToNetwork" w:val="-1"/>
    <w:docVar w:name="LastAMInserted" w:val="7"/>
    <w:docVar w:name="LastEditedSection" w:val=" 1"/>
    <w:docVar w:name="NumberAMInserted" w:val="7"/>
    <w:docVar w:name="PROCMNU" w:val=" 3"/>
    <w:docVar w:name="RepeatBlock-AmendFR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309\fbidi \froman\fcharset238\fprq2 Times New Roman CE;}_x000d__x000a_{\f310\fbidi \froman\fcharset204\fprq2 Times New Roman Cyr;}{\f312\fbidi \froman\fcharset161\fprq2 Times New Roman Greek;}{\f313\fbidi \froman\fcharset162\fprq2 Times New Roman Tur;}{\f314\fbidi \froman\fcharset177\fprq2 Times New Roman (Hebrew);}_x000d__x000a_{\f315\fbidi \froman\fcharset178\fprq2 Times New Roman (Arabic);}{\f316\fbidi \froman\fcharset186\fprq2 Times New Roman Baltic;}{\f317\fbidi \froman\fcharset163\fprq2 Times New Roman (Vietnamese);}{\f649\fbidi \froman\fcharset238\fprq2 Cambria Math CE;}_x000d__x000a_{\f650\fbidi \froman\fcharset204\fprq2 Cambria Math Cyr;}{\f652\fbidi \froman\fcharset161\fprq2 Cambria Math Greek;}{\f653\fbidi \froman\fcharset162\fprq2 Cambria Math Tur;}{\f656\fbidi \froman\fcharset186\fprq2 Cambria Math Baltic;}_x000d__x000a_{\f657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5\fbidi \fswiss\fcharset186\fprq2 Calibri Light Baltic;}{\fhimajor\f31536\fbidi \fswiss\fcharset163\fprq2 Calibri Light (Vietnamese);}{\fbimajor\f31538\fbidi \froman\fcharset238\fprq2 Times New Roman CE;}_x000d__x000a_{\fbimajor\f31539\fbidi \froman\fcharset204\fprq2 Times New Roman Cyr;}{\fbimajor\f31541\fbidi \froman\fcharset161\fprq2 Times New Roman Greek;}{\fbimajor\f31542\fbidi \froman\fcharset162\fprq2 Times New Roman Tur;}_x000d__x000a_{\fbimajor\f31543\fbidi \froman\fcharset177\fprq2 Times New Roman (Hebrew);}{\fbimajor\f31544\fbidi \froman\fcharset178\fprq2 Times New Roman (Arabic);}{\fbimajor\f31545\fbidi \froman\fcharset186\fprq2 Times New Roman Baltic;}_x000d__x000a_{\fbimajor\f31546\fbidi \froman\fcharset163\fprq2 Times New Roman (Vietnamese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;}_x000d__x000a_{\fbiminor\f31579\fbidi \froman\fcharset204\fprq2 Times New Roman Cyr;}{\fbiminor\f31581\fbidi \froman\fcharset161\fprq2 Times New Roman Greek;}{\fbiminor\f31582\fbidi \froman\fcharset162\fprq2 Times New Roman Tur;}_x000d__x000a_{\fbiminor\f31583\fbidi \froman\fcharset177\fprq2 Times New Roman (Hebrew);}{\fbiminor\f31584\fbidi \froman\fcharset178\fprq2 Times New Roman (Arabic);}{\fbiminor\f31585\fbidi \froman\fcharset186\fprq2 Times New Roman Baltic;}_x000d__x000a_{\fbiminor\f31586\fbidi \froman\fcharset163\fprq2 Times New Roman (Vietnamese);}}{\colortbl;\red0\green0\blue0;\red0\green0\blue255;\red0\green255\blue255;\red0\green255\blue0;\red255\green0\blue255;\red255\green0\blue0;\red255\green255\blue0;_x000d__x000a_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cf15 \spriority0 \styrsid1115762 HideTWBInt;}{\s16\ql \fi-567\li567\ri0\sa240\nowidctlpar\wrapdefault\aspalpha\aspnum\faauto\adjustright\rin0\lin567\itap0 \rtlch\fcs1 \af0\afs20\alang1025 \ltrch\fcs0 _x000d__x000a_\fs24\lang1036\langfe2057\cgrid\langnp1036\langfenp2057 \sbasedon0 \snext16 \spriority0 \styrsid1115762 Normal12Hanging;}}{\*\rsidtbl \rsid24658\rsid735077\rsid1115762\rsid2892074\rsid4666813\rsid6641733\rsid9636012\rsid9838266\rsid11215221\rsid12154954_x000d__x000a_\rsid14424199\rsid15204470\rsid15285974\rsid15950462\rsid16324206\rsid16662270}{\mmathPr\mmathFont34\mbrkBin0\mbrkBinSub0\msmallFrac0\mdispDef1\mlMargin0\mrMargin0\mdefJc1\mwrapIndent1440\mintLim0\mnaryLim1}{\info{\author VACLAVOVA Mariana}_x000d__x000a_{\operator VACLAVOVA Mariana}{\creatim\yr2018\mo2\dy27\hr11\min21}{\revtim\yr2018\mo2\dy27\hr11\min21}{\version1}{\edmins0}{\nofpages1}{\nofwords2}{\nofchars11}{\*\company European Parliament}{\nofcharsws12}{\vern57443}}{\*\xmlnstbl {\xmlns1 http://schema_x000d__x000a_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115762\utinl \donotshowcomments1\fet0{\*\wgrffmtfilter 013f}\ilfomacatclnup0{\*\template C:\\Users\\MVACLA~1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983826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83826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83826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838266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fi-567\li567\ri0\sa240\nowidctlpar\wrapdefault\aspalpha\aspnum\faauto\adjustright\rin0\lin567\itap0\pararsid14496312 \rtlch\fcs1 \af0\afs20\alang1025 \ltrch\fcs0 \fs24\lang1036\langfe2057\cgrid\langnp1036\langfenp2057 {\rtlch\fcs1 \af0 _x000d__x000a_\ltrch\fcs0 \insrsid1115762\charrsid15281794 {\*\bkmkstart restart}#}{\rtlch\fcs1 \af0 \ltrch\fcs0 \cs15\v\cf15\insrsid1115762\charrsid15281794 NRMSG}{\rtlch\fcs1 \af0 \ltrch\fcs0 \insrsid1115762\charrsid15281794 #.\tab ##}{\rtlch\fcs1 \af0 \ltrch\fcs0 _x000d__x000a_\insrsid1115762\charrsid16324206 {\*\bkmkend restart}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e3_x000d__x000a_2facb4af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309\fbidi \froman\fcharset238\fprq2 Times New Roman CE;}_x000d__x000a_{\f310\fbidi \froman\fcharset204\fprq2 Times New Roman Cyr;}{\f312\fbidi \froman\fcharset161\fprq2 Times New Roman Greek;}{\f313\fbidi \froman\fcharset162\fprq2 Times New Roman Tur;}{\f314\fbidi \froman\fcharset177\fprq2 Times New Roman (Hebrew);}_x000d__x000a_{\f315\fbidi \froman\fcharset178\fprq2 Times New Roman (Arabic);}{\f316\fbidi \froman\fcharset186\fprq2 Times New Roman Baltic;}{\f317\fbidi \froman\fcharset163\fprq2 Times New Roman (Vietnamese);}{\f649\fbidi \froman\fcharset238\fprq2 Cambria Math CE;}_x000d__x000a_{\f650\fbidi \froman\fcharset204\fprq2 Cambria Math Cyr;}{\f652\fbidi \froman\fcharset161\fprq2 Cambria Math Greek;}{\f653\fbidi \froman\fcharset162\fprq2 Cambria Math Tur;}{\f656\fbidi \froman\fcharset186\fprq2 Cambria Math Baltic;}_x000d__x000a_{\f657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5\fbidi \fswiss\fcharset186\fprq2 Calibri Light Baltic;}{\fhimajor\f31536\fbidi \fswiss\fcharset163\fprq2 Calibri Light (Vietnamese);}{\fbimajor\f31538\fbidi \froman\fcharset238\fprq2 Times New Roman CE;}_x000d__x000a_{\fbimajor\f31539\fbidi \froman\fcharset204\fprq2 Times New Roman Cyr;}{\fbimajor\f31541\fbidi \froman\fcharset161\fprq2 Times New Roman Greek;}{\fbimajor\f31542\fbidi \froman\fcharset162\fprq2 Times New Roman Tur;}_x000d__x000a_{\fbimajor\f31543\fbidi \froman\fcharset177\fprq2 Times New Roman (Hebrew);}{\fbimajor\f31544\fbidi \froman\fcharset178\fprq2 Times New Roman (Arabic);}{\fbimajor\f31545\fbidi \froman\fcharset186\fprq2 Times New Roman Baltic;}_x000d__x000a_{\fbimajor\f31546\fbidi \froman\fcharset163\fprq2 Times New Roman (Vietnamese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;}_x000d__x000a_{\fbiminor\f31579\fbidi \froman\fcharset204\fprq2 Times New Roman Cyr;}{\fbiminor\f31581\fbidi \froman\fcharset161\fprq2 Times New Roman Greek;}{\fbiminor\f31582\fbidi \froman\fcharset162\fprq2 Times New Roman Tur;}_x000d__x000a_{\fbiminor\f31583\fbidi \froman\fcharset177\fprq2 Times New Roman (Hebrew);}{\fbiminor\f31584\fbidi \froman\fcharset178\fprq2 Times New Roman (Arabic);}{\fbiminor\f31585\fbidi \froman\fcharset186\fprq2 Times New Roman Baltic;}_x000d__x000a_{\fbiminor\f31586\fbidi \froman\fcharset163\fprq2 Times New Roman (Vietnamese);}}{\colortbl;\red0\green0\blue0;\red0\green0\blue255;\red0\green255\blue255;\red0\green255\blue0;\red255\green0\blue255;\red255\green0\blue0;\red255\green255\blue0;_x000d__x000a_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567\li567\ri0\sa240\nowidctlpar\wrapdefault\aspalpha\aspnum\faauto\adjustright\rin0\lin567\itap0 \rtlch\fcs1 \af0\afs20\alang1025 \ltrch\fcs0 \fs24\lang2057\langfe2057\cgrid\langnp2057\langfenp2057 _x000d__x000a_\sbasedon0 \snext15 \spriority0 \styrsid15487976 Normal12Hanging;}}{\*\rsidtbl \rsid24658\rsid735077\rsid2892074\rsid4666813\rsid6567110\rsid6641733\rsid9636012\rsid11215221\rsid12154954\rsid14424199\rsid15204470\rsid15285974\rsid15487976\rsid15950462_x000d__x000a_\rsid16324206\rsid16662270}{\mmathPr\mmathFont34\mbrkBin0\mbrkBinSub0\msmallFrac0\mdispDef1\mlMargin0\mrMargin0\mdefJc1\mwrapIndent1440\mintLim0\mnaryLim1}{\info{\author VACLAVOVA Mariana}{\operator VACLAVOVA Mariana}{\creatim\yr2018\mo2\dy27\hr11\min21}_x000d__x000a_{\revtim\yr2018\mo2\dy27\hr11\min21}{\version1}{\edmins0}{\nofpages1}{\nofwords5}{\nofchars30}{\*\company European Parliament}{\nofcharsws34}{\vern57443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487976\utinl \donotshowcomments1\fet0{\*\wgrffmtfilter 013f}\ilfomacatclnup0{\*\template C:\\Users\\MVACLA~1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6567110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56711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56711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567110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567\li567\ri0\sa240\nowidctlpar\wrapdefault\aspalpha\aspnum\faauto\adjustright\rin0\lin567\itap0\pararsid810535 \rtlch\fcs1 \af0\afs20\alang1025 \ltrch\fcs0 \fs24\lang2057\langfe2057\cgrid\langnp2057\langfenp2057 {\rtlch\fcs1 \af0 \ltrch\fcs0 _x000d__x000a_\insrsid15487976\charrsid1525456 {\*\bkmkstart restart}[ZSUGGESTIONNR]\tab [ZSUGGESTIONTEXT]}{\rtlch\fcs1 \af0 \ltrch\fcs0 \insrsid15487976\charrsid16324206 {\*\bkmkend restart}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2a_x000d__x000a_5eadb4af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NonLeg"/>
    <w:docVar w:name="strSubDir" w:val="1146"/>
    <w:docVar w:name="TXTLANGUE" w:val="PL"/>
    <w:docVar w:name="TXTLANGUEMIN" w:val="pl"/>
    <w:docVar w:name="TXTNRPE" w:val="613.408"/>
    <w:docVar w:name="TXTNRPROC" w:val="2017/2136"/>
    <w:docVar w:name="TXTPEorAP" w:val="PE"/>
    <w:docVar w:name="TXTROUTE" w:val="AD\1146807PL.docx"/>
    <w:docVar w:name="TXTTITLE" w:val=" Décharge 2016: Budget général de l'UE - Commission européenne "/>
    <w:docVar w:name="TXTVERSION" w:val="02-00"/>
  </w:docVars>
  <w:rsids>
    <w:rsidRoot w:val="00E92E82"/>
    <w:rsid w:val="000222D5"/>
    <w:rsid w:val="0006057E"/>
    <w:rsid w:val="00076F99"/>
    <w:rsid w:val="000E7EBF"/>
    <w:rsid w:val="00122EC1"/>
    <w:rsid w:val="001323EC"/>
    <w:rsid w:val="00140BE6"/>
    <w:rsid w:val="0016635E"/>
    <w:rsid w:val="0017181C"/>
    <w:rsid w:val="001746D0"/>
    <w:rsid w:val="001D2ED9"/>
    <w:rsid w:val="0020233C"/>
    <w:rsid w:val="002770E6"/>
    <w:rsid w:val="002C5CFE"/>
    <w:rsid w:val="002D446A"/>
    <w:rsid w:val="002E2F2E"/>
    <w:rsid w:val="002F3120"/>
    <w:rsid w:val="00325BCB"/>
    <w:rsid w:val="00340601"/>
    <w:rsid w:val="0036656B"/>
    <w:rsid w:val="00390EB2"/>
    <w:rsid w:val="00396A0E"/>
    <w:rsid w:val="003A2DF9"/>
    <w:rsid w:val="003E2402"/>
    <w:rsid w:val="003E6E5E"/>
    <w:rsid w:val="003F0186"/>
    <w:rsid w:val="004024C8"/>
    <w:rsid w:val="004037E1"/>
    <w:rsid w:val="00446537"/>
    <w:rsid w:val="00467502"/>
    <w:rsid w:val="004C28FB"/>
    <w:rsid w:val="004E7246"/>
    <w:rsid w:val="00523A9F"/>
    <w:rsid w:val="00541730"/>
    <w:rsid w:val="00565D0E"/>
    <w:rsid w:val="00573CFC"/>
    <w:rsid w:val="005B2F11"/>
    <w:rsid w:val="005C147E"/>
    <w:rsid w:val="005D60C6"/>
    <w:rsid w:val="0064634D"/>
    <w:rsid w:val="006506B8"/>
    <w:rsid w:val="00657AFB"/>
    <w:rsid w:val="00783E17"/>
    <w:rsid w:val="007A2BB6"/>
    <w:rsid w:val="007B5F9A"/>
    <w:rsid w:val="007C7870"/>
    <w:rsid w:val="007D1FD3"/>
    <w:rsid w:val="007F3ACD"/>
    <w:rsid w:val="007F4F56"/>
    <w:rsid w:val="00826081"/>
    <w:rsid w:val="008313E7"/>
    <w:rsid w:val="00850402"/>
    <w:rsid w:val="008A32C5"/>
    <w:rsid w:val="008D74A9"/>
    <w:rsid w:val="008E48DF"/>
    <w:rsid w:val="008F7002"/>
    <w:rsid w:val="00910A9C"/>
    <w:rsid w:val="00981C4B"/>
    <w:rsid w:val="0099704B"/>
    <w:rsid w:val="009E3E97"/>
    <w:rsid w:val="00A00C05"/>
    <w:rsid w:val="00A16BEA"/>
    <w:rsid w:val="00A41CF3"/>
    <w:rsid w:val="00A72C35"/>
    <w:rsid w:val="00B362F7"/>
    <w:rsid w:val="00B56CCF"/>
    <w:rsid w:val="00B7030C"/>
    <w:rsid w:val="00BB5861"/>
    <w:rsid w:val="00BD1EAA"/>
    <w:rsid w:val="00BD2B5C"/>
    <w:rsid w:val="00C028DE"/>
    <w:rsid w:val="00C05DA2"/>
    <w:rsid w:val="00C05FD4"/>
    <w:rsid w:val="00C513AB"/>
    <w:rsid w:val="00C576AE"/>
    <w:rsid w:val="00CB4987"/>
    <w:rsid w:val="00CF2164"/>
    <w:rsid w:val="00D518B1"/>
    <w:rsid w:val="00DF44D8"/>
    <w:rsid w:val="00E0173C"/>
    <w:rsid w:val="00E06D91"/>
    <w:rsid w:val="00E529C8"/>
    <w:rsid w:val="00E617FB"/>
    <w:rsid w:val="00E82274"/>
    <w:rsid w:val="00E856D2"/>
    <w:rsid w:val="00E92E82"/>
    <w:rsid w:val="00EC0B7F"/>
    <w:rsid w:val="00F10B6B"/>
    <w:rsid w:val="00FC2D9A"/>
    <w:rsid w:val="00FD0D14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E797DF9"/>
  <w15:chartTrackingRefBased/>
  <w15:docId w15:val="{BFC3A8CC-9D76-46AD-B979-1DBDD673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NotTOC">
    <w:name w:val="PageHeadingNotTOC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efProc">
    <w:name w:val="RefProc"/>
    <w:basedOn w:val="Normal"/>
    <w:rsid w:val="005D60C6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1746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1746D0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customStyle="1" w:styleId="Normal12Hanging">
    <w:name w:val="Normal12Hanging"/>
    <w:basedOn w:val="Normal12"/>
    <w:link w:val="Normal12HangingChar"/>
    <w:rsid w:val="008313E7"/>
    <w:pPr>
      <w:ind w:left="567" w:hanging="567"/>
    </w:pPr>
  </w:style>
  <w:style w:type="paragraph" w:customStyle="1" w:styleId="Hanging12">
    <w:name w:val="Hanging12"/>
    <w:basedOn w:val="Normal"/>
    <w:rsid w:val="00E06D91"/>
    <w:pPr>
      <w:tabs>
        <w:tab w:val="left" w:pos="357"/>
      </w:tabs>
      <w:snapToGrid w:val="0"/>
      <w:spacing w:after="240"/>
      <w:ind w:left="357" w:hanging="357"/>
    </w:pPr>
  </w:style>
  <w:style w:type="paragraph" w:customStyle="1" w:styleId="Normal12Tab">
    <w:name w:val="Normal12Tab"/>
    <w:basedOn w:val="Normal"/>
    <w:rsid w:val="00E06D91"/>
    <w:pPr>
      <w:tabs>
        <w:tab w:val="left" w:pos="357"/>
      </w:tabs>
      <w:snapToGrid w:val="0"/>
      <w:spacing w:after="240"/>
    </w:pPr>
  </w:style>
  <w:style w:type="paragraph" w:styleId="BalloonText">
    <w:name w:val="Balloon Text"/>
    <w:basedOn w:val="Normal"/>
    <w:link w:val="BalloonTextChar"/>
    <w:rsid w:val="00DF4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4D8"/>
    <w:rPr>
      <w:rFonts w:ascii="Segoe UI" w:hAnsi="Segoe UI" w:cs="Segoe UI"/>
      <w:sz w:val="18"/>
      <w:szCs w:val="18"/>
      <w:lang w:val="pl-PL"/>
    </w:rPr>
  </w:style>
  <w:style w:type="character" w:styleId="CommentReference">
    <w:name w:val="annotation reference"/>
    <w:basedOn w:val="DefaultParagraphFont"/>
    <w:rsid w:val="003F01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018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F0186"/>
    <w:rPr>
      <w:lang w:val="pl-PL"/>
    </w:rPr>
  </w:style>
  <w:style w:type="paragraph" w:styleId="CommentSubject">
    <w:name w:val="annotation subject"/>
    <w:basedOn w:val="CommentText"/>
    <w:next w:val="CommentText"/>
    <w:link w:val="CommentSubjectChar"/>
    <w:rsid w:val="003F0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0186"/>
    <w:rPr>
      <w:b/>
      <w:bCs/>
      <w:lang w:val="pl-PL"/>
    </w:rPr>
  </w:style>
  <w:style w:type="character" w:customStyle="1" w:styleId="Normal12HangingChar">
    <w:name w:val="Normal12Hanging Char"/>
    <w:link w:val="Normal12Hanging"/>
    <w:rsid w:val="002C5CFE"/>
    <w:rPr>
      <w:sz w:val="24"/>
    </w:rPr>
  </w:style>
  <w:style w:type="paragraph" w:customStyle="1" w:styleId="NormalTabs">
    <w:name w:val="NormalTabs"/>
    <w:basedOn w:val="Normal"/>
    <w:qFormat/>
    <w:rsid w:val="00C028DE"/>
    <w:pPr>
      <w:tabs>
        <w:tab w:val="center" w:pos="284"/>
        <w:tab w:val="left" w:pos="426"/>
      </w:tabs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B59C54EF.dotm</Template>
  <TotalTime>0</TotalTime>
  <Pages>6</Pages>
  <Words>719</Words>
  <Characters>4847</Characters>
  <Application>Microsoft Office Word</Application>
  <DocSecurity>0</DocSecurity>
  <Lines>85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subject/>
  <dc:creator>VACLAVOVA Mariana</dc:creator>
  <cp:keywords/>
  <dc:description/>
  <cp:lastModifiedBy>WOJCIECHOWSKA Joanna</cp:lastModifiedBy>
  <cp:revision>2</cp:revision>
  <cp:lastPrinted>2018-03-02T11:23:00Z</cp:lastPrinted>
  <dcterms:created xsi:type="dcterms:W3CDTF">2018-03-16T09:01:00Z</dcterms:created>
  <dcterms:modified xsi:type="dcterms:W3CDTF">2018-03-16T09:01:00Z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[20170911]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1146807</vt:lpwstr>
  </property>
  <property fmtid="{D5CDD505-2E9C-101B-9397-08002B2CF9AE}" pid="5" name="&lt;Type&gt;">
    <vt:lpwstr>AD</vt:lpwstr>
  </property>
  <property fmtid="{D5CDD505-2E9C-101B-9397-08002B2CF9AE}" pid="6" name="&lt;ModelCod&gt;">
    <vt:lpwstr>\\eiciBRUpr1\pdocep$\DocEP\DOCS\General\PA\PA_NonLeg.dot(05/07/2017 15:38:43)</vt:lpwstr>
  </property>
  <property fmtid="{D5CDD505-2E9C-101B-9397-08002B2CF9AE}" pid="7" name="&lt;ModelTra&gt;">
    <vt:lpwstr>\\eiciBRUpr1\pdocep$\DocEP\TRANSFIL\FR\PA_NonLeg.FR(31/05/2017 19:21:40)</vt:lpwstr>
  </property>
  <property fmtid="{D5CDD505-2E9C-101B-9397-08002B2CF9AE}" pid="8" name="&lt;Model&gt;">
    <vt:lpwstr>PA_NonLeg</vt:lpwstr>
  </property>
  <property fmtid="{D5CDD505-2E9C-101B-9397-08002B2CF9AE}" pid="9" name="FooterPath">
    <vt:lpwstr>AD\1146807PL.docx</vt:lpwstr>
  </property>
  <property fmtid="{D5CDD505-2E9C-101B-9397-08002B2CF9AE}" pid="10" name="PE number">
    <vt:lpwstr>613.408</vt:lpwstr>
  </property>
  <property fmtid="{D5CDD505-2E9C-101B-9397-08002B2CF9AE}" pid="11" name="SubscribeElise">
    <vt:lpwstr/>
  </property>
  <property fmtid="{D5CDD505-2E9C-101B-9397-08002B2CF9AE}" pid="12" name="SendToEpades">
    <vt:lpwstr>OK - 2018/03/02 12:31</vt:lpwstr>
  </property>
  <property fmtid="{D5CDD505-2E9C-101B-9397-08002B2CF9AE}" pid="13" name="Bookout">
    <vt:lpwstr>OK - 2018/03/16 10:01</vt:lpwstr>
  </property>
  <property fmtid="{D5CDD505-2E9C-101B-9397-08002B2CF9AE}" pid="14" name="SDLStudio">
    <vt:lpwstr/>
  </property>
  <property fmtid="{D5CDD505-2E9C-101B-9397-08002B2CF9AE}" pid="15" name="&lt;Extension&gt;">
    <vt:lpwstr>PL</vt:lpwstr>
  </property>
</Properties>
</file>