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593324" w14:paraId="3E5AD42E" w14:textId="77777777" w:rsidTr="003E2402">
        <w:trPr>
          <w:trHeight w:hRule="exact" w:val="1418"/>
        </w:trPr>
        <w:tc>
          <w:tcPr>
            <w:tcW w:w="6804" w:type="dxa"/>
            <w:shd w:val="clear" w:color="auto" w:fill="auto"/>
            <w:vAlign w:val="center"/>
          </w:tcPr>
          <w:p w14:paraId="51D34999" w14:textId="77777777" w:rsidR="00E856D2" w:rsidRPr="00593324" w:rsidRDefault="00F8734D" w:rsidP="003E2402">
            <w:pPr>
              <w:pStyle w:val="EPName"/>
              <w:rPr>
                <w:lang w:val="en-GB"/>
              </w:rPr>
            </w:pPr>
            <w:r w:rsidRPr="00593324">
              <w:rPr>
                <w:lang w:val="en-GB"/>
              </w:rPr>
              <w:t>European Parliament</w:t>
            </w:r>
          </w:p>
          <w:p w14:paraId="31BB411C" w14:textId="77777777" w:rsidR="00E856D2" w:rsidRPr="00593324" w:rsidRDefault="00593324" w:rsidP="00593324">
            <w:pPr>
              <w:pStyle w:val="EPTerm"/>
              <w:rPr>
                <w:rStyle w:val="HideTWBExt"/>
                <w:noProof w:val="0"/>
                <w:vanish w:val="0"/>
                <w:color w:val="auto"/>
                <w:lang w:val="en-GB"/>
              </w:rPr>
            </w:pPr>
            <w:r w:rsidRPr="00593324">
              <w:rPr>
                <w:lang w:val="en-GB"/>
              </w:rPr>
              <w:t>2014-2019</w:t>
            </w:r>
          </w:p>
        </w:tc>
        <w:tc>
          <w:tcPr>
            <w:tcW w:w="2268" w:type="dxa"/>
            <w:shd w:val="clear" w:color="auto" w:fill="auto"/>
          </w:tcPr>
          <w:p w14:paraId="77BD906E" w14:textId="77777777" w:rsidR="00E856D2" w:rsidRPr="00593324" w:rsidRDefault="00826AF0" w:rsidP="003E2402">
            <w:pPr>
              <w:pStyle w:val="EPLogo"/>
            </w:pPr>
            <w:r>
              <w:rPr>
                <w:noProof/>
              </w:rPr>
              <w:drawing>
                <wp:inline distT="0" distB="0" distL="0" distR="0" wp14:anchorId="232F2CA5" wp14:editId="63D06C6A">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D8ACB3E" w14:textId="77777777" w:rsidR="001746D0" w:rsidRPr="00593324" w:rsidRDefault="001746D0" w:rsidP="001746D0">
      <w:pPr>
        <w:pStyle w:val="LineTop"/>
        <w:rPr>
          <w:lang w:val="en-GB"/>
        </w:rPr>
      </w:pPr>
    </w:p>
    <w:p w14:paraId="10A3DDE5" w14:textId="77777777" w:rsidR="001746D0" w:rsidRPr="00593324" w:rsidRDefault="001746D0" w:rsidP="001746D0">
      <w:pPr>
        <w:pStyle w:val="ZCommittee"/>
        <w:rPr>
          <w:lang w:val="en-GB"/>
        </w:rPr>
      </w:pPr>
      <w:r w:rsidRPr="00593324">
        <w:rPr>
          <w:rStyle w:val="HideTWBExt"/>
          <w:noProof w:val="0"/>
          <w:lang w:val="en-GB"/>
        </w:rPr>
        <w:t>&lt;</w:t>
      </w:r>
      <w:r w:rsidRPr="00593324">
        <w:rPr>
          <w:rStyle w:val="HideTWBExt"/>
          <w:i w:val="0"/>
          <w:noProof w:val="0"/>
          <w:lang w:val="en-GB"/>
        </w:rPr>
        <w:t>Commission</w:t>
      </w:r>
      <w:r w:rsidRPr="00593324">
        <w:rPr>
          <w:rStyle w:val="HideTWBExt"/>
          <w:noProof w:val="0"/>
          <w:lang w:val="en-GB"/>
        </w:rPr>
        <w:t>&gt;</w:t>
      </w:r>
      <w:r w:rsidR="00593324" w:rsidRPr="00593324">
        <w:rPr>
          <w:rStyle w:val="HideTWBInt"/>
          <w:lang w:val="en-GB"/>
        </w:rPr>
        <w:t>{ITRE}</w:t>
      </w:r>
      <w:r w:rsidR="00593324" w:rsidRPr="00593324">
        <w:rPr>
          <w:lang w:val="en-GB"/>
        </w:rPr>
        <w:t>Committee on Industry, Research and Energy</w:t>
      </w:r>
      <w:r w:rsidRPr="00593324">
        <w:rPr>
          <w:rStyle w:val="HideTWBExt"/>
          <w:noProof w:val="0"/>
          <w:lang w:val="en-GB"/>
        </w:rPr>
        <w:t>&lt;/</w:t>
      </w:r>
      <w:r w:rsidRPr="00593324">
        <w:rPr>
          <w:rStyle w:val="HideTWBExt"/>
          <w:i w:val="0"/>
          <w:noProof w:val="0"/>
          <w:lang w:val="en-GB"/>
        </w:rPr>
        <w:t>Commission</w:t>
      </w:r>
      <w:r w:rsidRPr="00593324">
        <w:rPr>
          <w:rStyle w:val="HideTWBExt"/>
          <w:noProof w:val="0"/>
          <w:lang w:val="en-GB"/>
        </w:rPr>
        <w:t>&gt;</w:t>
      </w:r>
    </w:p>
    <w:p w14:paraId="798461E5" w14:textId="77777777" w:rsidR="001746D0" w:rsidRPr="00593324" w:rsidRDefault="001746D0" w:rsidP="001746D0">
      <w:pPr>
        <w:pStyle w:val="LineBottom"/>
      </w:pPr>
    </w:p>
    <w:p w14:paraId="66AC87DF" w14:textId="77777777" w:rsidR="002E2F2E" w:rsidRPr="00593324" w:rsidRDefault="002E2F2E">
      <w:pPr>
        <w:pStyle w:val="RefProc"/>
      </w:pPr>
      <w:r w:rsidRPr="00593324">
        <w:rPr>
          <w:rStyle w:val="HideTWBExt"/>
          <w:b w:val="0"/>
          <w:noProof w:val="0"/>
        </w:rPr>
        <w:t>&lt;</w:t>
      </w:r>
      <w:r w:rsidRPr="00593324">
        <w:rPr>
          <w:rStyle w:val="HideTWBExt"/>
          <w:b w:val="0"/>
          <w:caps w:val="0"/>
          <w:noProof w:val="0"/>
        </w:rPr>
        <w:t>RefProc</w:t>
      </w:r>
      <w:r w:rsidRPr="00593324">
        <w:rPr>
          <w:rStyle w:val="HideTWBExt"/>
          <w:b w:val="0"/>
          <w:noProof w:val="0"/>
        </w:rPr>
        <w:t>&gt;</w:t>
      </w:r>
      <w:r w:rsidR="00593324" w:rsidRPr="00593324">
        <w:t>2018/2023</w:t>
      </w:r>
      <w:r w:rsidR="00F8734D" w:rsidRPr="00593324">
        <w:t>(</w:t>
      </w:r>
      <w:r w:rsidR="00593324" w:rsidRPr="00593324">
        <w:t>INI</w:t>
      </w:r>
      <w:r w:rsidR="00F8734D" w:rsidRPr="00593324">
        <w:t>)</w:t>
      </w:r>
      <w:r w:rsidRPr="00593324">
        <w:rPr>
          <w:rStyle w:val="HideTWBExt"/>
          <w:b w:val="0"/>
          <w:noProof w:val="0"/>
        </w:rPr>
        <w:t>&lt;/</w:t>
      </w:r>
      <w:r w:rsidRPr="00593324">
        <w:rPr>
          <w:rStyle w:val="HideTWBExt"/>
          <w:b w:val="0"/>
          <w:caps w:val="0"/>
          <w:noProof w:val="0"/>
        </w:rPr>
        <w:t>RefProc</w:t>
      </w:r>
      <w:r w:rsidRPr="00593324">
        <w:rPr>
          <w:rStyle w:val="HideTWBExt"/>
          <w:b w:val="0"/>
          <w:noProof w:val="0"/>
        </w:rPr>
        <w:t>&gt;</w:t>
      </w:r>
    </w:p>
    <w:p w14:paraId="03E5759E" w14:textId="222823C2" w:rsidR="002E2F2E" w:rsidRPr="00593324" w:rsidRDefault="002E2F2E">
      <w:pPr>
        <w:pStyle w:val="ZDate"/>
      </w:pPr>
      <w:r w:rsidRPr="00593324">
        <w:rPr>
          <w:rStyle w:val="HideTWBExt"/>
          <w:noProof w:val="0"/>
        </w:rPr>
        <w:t>&lt;Date&gt;</w:t>
      </w:r>
      <w:r w:rsidR="002D4158" w:rsidRPr="002D4158">
        <w:rPr>
          <w:rStyle w:val="HideTWBInt"/>
        </w:rPr>
        <w:t>{</w:t>
      </w:r>
      <w:r w:rsidR="00EB1B84">
        <w:rPr>
          <w:rStyle w:val="HideTWBInt"/>
        </w:rPr>
        <w:t>10</w:t>
      </w:r>
      <w:r w:rsidR="002D4158" w:rsidRPr="002D4158">
        <w:rPr>
          <w:rStyle w:val="HideTWBInt"/>
        </w:rPr>
        <w:t>/07/2018}</w:t>
      </w:r>
      <w:r w:rsidR="00EB1B84">
        <w:t>10</w:t>
      </w:r>
      <w:r w:rsidR="002D4158" w:rsidRPr="002D4158">
        <w:t>.7.2018</w:t>
      </w:r>
      <w:r w:rsidRPr="00593324">
        <w:rPr>
          <w:rStyle w:val="HideTWBExt"/>
          <w:noProof w:val="0"/>
        </w:rPr>
        <w:t>&lt;/Date&gt;</w:t>
      </w:r>
    </w:p>
    <w:p w14:paraId="14DDEEB1" w14:textId="016A34EB" w:rsidR="002E2F2E" w:rsidRPr="00593324" w:rsidRDefault="002E2F2E">
      <w:pPr>
        <w:pStyle w:val="TypeDoc"/>
      </w:pPr>
      <w:r w:rsidRPr="00593324">
        <w:rPr>
          <w:rStyle w:val="HideTWBExt"/>
          <w:b w:val="0"/>
          <w:noProof w:val="0"/>
        </w:rPr>
        <w:t>&lt;TitreType&gt;</w:t>
      </w:r>
      <w:r w:rsidR="002D4158" w:rsidRPr="002D4158">
        <w:t>OPINION</w:t>
      </w:r>
      <w:r w:rsidRPr="00593324">
        <w:rPr>
          <w:rStyle w:val="HideTWBExt"/>
          <w:b w:val="0"/>
          <w:noProof w:val="0"/>
        </w:rPr>
        <w:t>&lt;/TitreType&gt;</w:t>
      </w:r>
    </w:p>
    <w:p w14:paraId="211AA9EF" w14:textId="77777777" w:rsidR="002E2F2E" w:rsidRPr="00593324" w:rsidRDefault="002E2F2E">
      <w:pPr>
        <w:pStyle w:val="Cover24"/>
      </w:pPr>
      <w:r w:rsidRPr="00593324">
        <w:rPr>
          <w:rStyle w:val="HideTWBExt"/>
          <w:noProof w:val="0"/>
        </w:rPr>
        <w:t>&lt;CommissionResp&gt;</w:t>
      </w:r>
      <w:r w:rsidR="00F8734D" w:rsidRPr="00593324">
        <w:t xml:space="preserve">of the </w:t>
      </w:r>
      <w:r w:rsidR="00593324" w:rsidRPr="00593324">
        <w:t>Committee on Industry, Research and Energy</w:t>
      </w:r>
      <w:r w:rsidRPr="00593324">
        <w:rPr>
          <w:rStyle w:val="HideTWBExt"/>
          <w:noProof w:val="0"/>
        </w:rPr>
        <w:t>&lt;/CommissionResp&gt;</w:t>
      </w:r>
    </w:p>
    <w:p w14:paraId="16F6010E" w14:textId="77777777" w:rsidR="002E2F2E" w:rsidRPr="00593324" w:rsidRDefault="002E2F2E">
      <w:pPr>
        <w:pStyle w:val="Cover24"/>
      </w:pPr>
      <w:r w:rsidRPr="00593324">
        <w:rPr>
          <w:rStyle w:val="HideTWBExt"/>
          <w:noProof w:val="0"/>
        </w:rPr>
        <w:t>&lt;CommissionInt&gt;</w:t>
      </w:r>
      <w:r w:rsidR="00F8734D" w:rsidRPr="00593324">
        <w:t xml:space="preserve">for the </w:t>
      </w:r>
      <w:r w:rsidR="00593324" w:rsidRPr="00593324">
        <w:t>Committee on Transport and Tourism</w:t>
      </w:r>
      <w:r w:rsidRPr="00593324">
        <w:rPr>
          <w:rStyle w:val="HideTWBExt"/>
          <w:noProof w:val="0"/>
        </w:rPr>
        <w:t>&lt;/CommissionInt&gt;</w:t>
      </w:r>
    </w:p>
    <w:p w14:paraId="769337A5" w14:textId="5B26867A" w:rsidR="002E2F2E" w:rsidRPr="00593324" w:rsidRDefault="002E2F2E">
      <w:pPr>
        <w:pStyle w:val="CoverNormal"/>
      </w:pPr>
      <w:r w:rsidRPr="00593324">
        <w:rPr>
          <w:rStyle w:val="HideTWBExt"/>
          <w:noProof w:val="0"/>
        </w:rPr>
        <w:t>&lt;Titre&gt;</w:t>
      </w:r>
      <w:r w:rsidR="00F8734D" w:rsidRPr="00593324">
        <w:t xml:space="preserve">on </w:t>
      </w:r>
      <w:r w:rsidR="00593324" w:rsidRPr="00593324">
        <w:t>deployment of infrastructure for alternative fuels in the European Union: Time to act!</w:t>
      </w:r>
      <w:r w:rsidRPr="00593324">
        <w:rPr>
          <w:rStyle w:val="HideTWBExt"/>
          <w:noProof w:val="0"/>
        </w:rPr>
        <w:t>&lt;/Titre&gt;</w:t>
      </w:r>
    </w:p>
    <w:p w14:paraId="08CAB2AD" w14:textId="77777777" w:rsidR="002E2F2E" w:rsidRPr="00AE1063" w:rsidRDefault="002E2F2E">
      <w:pPr>
        <w:pStyle w:val="Cover24"/>
      </w:pPr>
      <w:r w:rsidRPr="00AE1063">
        <w:rPr>
          <w:rStyle w:val="HideTWBExt"/>
          <w:noProof w:val="0"/>
        </w:rPr>
        <w:t>&lt;DocRef&gt;</w:t>
      </w:r>
      <w:r w:rsidR="00F8734D" w:rsidRPr="00AE1063">
        <w:t>(</w:t>
      </w:r>
      <w:r w:rsidR="00593324" w:rsidRPr="00AE1063">
        <w:t>2018/2023</w:t>
      </w:r>
      <w:r w:rsidR="00F8734D" w:rsidRPr="00AE1063">
        <w:t>(</w:t>
      </w:r>
      <w:bookmarkStart w:id="0" w:name="DocEPTmp"/>
      <w:bookmarkEnd w:id="0"/>
      <w:r w:rsidR="00593324" w:rsidRPr="00AE1063">
        <w:t>INI</w:t>
      </w:r>
      <w:r w:rsidR="00F8734D" w:rsidRPr="00AE1063">
        <w:t>))</w:t>
      </w:r>
      <w:r w:rsidRPr="00AE1063">
        <w:rPr>
          <w:rStyle w:val="HideTWBExt"/>
          <w:noProof w:val="0"/>
        </w:rPr>
        <w:t>&lt;/DocRef&gt;</w:t>
      </w:r>
    </w:p>
    <w:p w14:paraId="63354287" w14:textId="77777777" w:rsidR="002E2F2E" w:rsidRPr="00AE1063" w:rsidRDefault="00F8734D">
      <w:pPr>
        <w:pStyle w:val="Cover24"/>
      </w:pPr>
      <w:r w:rsidRPr="00AE1063">
        <w:t>Rapporteur for opinion:</w:t>
      </w:r>
      <w:r w:rsidR="002E2F2E" w:rsidRPr="00AE1063">
        <w:t xml:space="preserve"> </w:t>
      </w:r>
      <w:r w:rsidR="002E2F2E" w:rsidRPr="00AE1063">
        <w:rPr>
          <w:rStyle w:val="HideTWBExt"/>
          <w:noProof w:val="0"/>
        </w:rPr>
        <w:t>&lt;Depute&gt;</w:t>
      </w:r>
      <w:r w:rsidR="00593324" w:rsidRPr="00AE1063">
        <w:t>Zdzisław Krasnodębski</w:t>
      </w:r>
      <w:r w:rsidR="002E2F2E" w:rsidRPr="00AE1063">
        <w:rPr>
          <w:rStyle w:val="HideTWBExt"/>
          <w:noProof w:val="0"/>
        </w:rPr>
        <w:t>&lt;/Depute&gt;</w:t>
      </w:r>
    </w:p>
    <w:p w14:paraId="58DD2A69" w14:textId="77777777" w:rsidR="000E7EBF" w:rsidRPr="00826AF0" w:rsidRDefault="002E2F2E" w:rsidP="00E856D2">
      <w:pPr>
        <w:widowControl/>
        <w:tabs>
          <w:tab w:val="center" w:pos="4677"/>
        </w:tabs>
      </w:pPr>
      <w:r w:rsidRPr="00826AF0">
        <w:br w:type="page"/>
      </w:r>
    </w:p>
    <w:p w14:paraId="37B0F222" w14:textId="77777777" w:rsidR="002E2F2E" w:rsidRPr="00593324" w:rsidRDefault="00F8734D" w:rsidP="00E856D2">
      <w:pPr>
        <w:widowControl/>
        <w:tabs>
          <w:tab w:val="center" w:pos="4677"/>
        </w:tabs>
      </w:pPr>
      <w:r w:rsidRPr="00593324">
        <w:lastRenderedPageBreak/>
        <w:t>PA_NonLeg</w:t>
      </w:r>
    </w:p>
    <w:p w14:paraId="1A45E316" w14:textId="77777777" w:rsidR="002E2F2E" w:rsidRPr="00593324" w:rsidRDefault="002E2F2E">
      <w:pPr>
        <w:pStyle w:val="PageHeadingNotTOC"/>
      </w:pPr>
      <w:r w:rsidRPr="00593324">
        <w:br w:type="page"/>
      </w:r>
      <w:r w:rsidR="00F8734D" w:rsidRPr="00593324">
        <w:lastRenderedPageBreak/>
        <w:t>SUGGESTIONS</w:t>
      </w:r>
    </w:p>
    <w:p w14:paraId="0332E8C9" w14:textId="77777777" w:rsidR="005743A4" w:rsidRDefault="00F8734D" w:rsidP="005743A4">
      <w:pPr>
        <w:pStyle w:val="Normal12"/>
      </w:pPr>
      <w:r w:rsidRPr="00593324">
        <w:t xml:space="preserve">The </w:t>
      </w:r>
      <w:r w:rsidR="00593324" w:rsidRPr="00593324">
        <w:t>Committee on Industry, Research and Energy</w:t>
      </w:r>
      <w:r w:rsidRPr="00593324">
        <w:t xml:space="preserve"> calls on the </w:t>
      </w:r>
      <w:r w:rsidR="00593324" w:rsidRPr="00593324">
        <w:t>Committee on Transport and Tourism</w:t>
      </w:r>
      <w:r w:rsidRPr="00593324">
        <w:t xml:space="preserve">, </w:t>
      </w:r>
      <w:r w:rsidR="00593324" w:rsidRPr="00593324">
        <w:t>as the committee responsible</w:t>
      </w:r>
      <w:r w:rsidRPr="00593324">
        <w:t xml:space="preserve">, to incorporate the following suggestions </w:t>
      </w:r>
      <w:r w:rsidR="00593324" w:rsidRPr="00593324">
        <w:t>into its</w:t>
      </w:r>
      <w:bookmarkStart w:id="1" w:name="DocEPTmp2"/>
      <w:bookmarkEnd w:id="1"/>
      <w:r w:rsidRPr="00593324">
        <w:t xml:space="preserve"> motion for a resolution:</w:t>
      </w:r>
      <w:bookmarkStart w:id="2" w:name="restart"/>
    </w:p>
    <w:p w14:paraId="47128E0C" w14:textId="64CDB7DC" w:rsidR="007325A2" w:rsidRPr="005743A4" w:rsidRDefault="00860182" w:rsidP="007325A2">
      <w:pPr>
        <w:pStyle w:val="Normal12Hanging"/>
        <w:rPr>
          <w:szCs w:val="24"/>
        </w:rPr>
      </w:pPr>
      <w:r>
        <w:t>A</w:t>
      </w:r>
      <w:r w:rsidR="00E44CA0" w:rsidRPr="00E44CA0">
        <w:t>.</w:t>
      </w:r>
      <w:r w:rsidR="00E44CA0" w:rsidRPr="00E44CA0">
        <w:tab/>
        <w:t>whereas Member States have adopted their national policy frameworks</w:t>
      </w:r>
      <w:r w:rsidR="00051136">
        <w:t xml:space="preserve"> (NPF)</w:t>
      </w:r>
      <w:r w:rsidR="00E44CA0" w:rsidRPr="00E44CA0">
        <w:t>, which were assessed by the Commission in its recent communication COM(2017)0652</w:t>
      </w:r>
      <w:r w:rsidR="00C50F41">
        <w:t>,</w:t>
      </w:r>
      <w:r w:rsidR="009E528E" w:rsidRPr="00AD6C15">
        <w:rPr>
          <w:rFonts w:eastAsiaTheme="minorHAnsi"/>
          <w:b/>
          <w:i/>
          <w:szCs w:val="24"/>
          <w:lang w:eastAsia="en-US"/>
        </w:rPr>
        <w:t xml:space="preserve"> </w:t>
      </w:r>
      <w:r w:rsidR="00C50F41">
        <w:rPr>
          <w:rFonts w:eastAsiaTheme="minorHAnsi"/>
          <w:szCs w:val="24"/>
          <w:lang w:eastAsia="en-US"/>
        </w:rPr>
        <w:t>which noted that</w:t>
      </w:r>
      <w:r w:rsidR="009E528E" w:rsidRPr="005743A4">
        <w:rPr>
          <w:rFonts w:eastAsiaTheme="minorHAnsi"/>
          <w:szCs w:val="24"/>
          <w:lang w:eastAsia="en-US"/>
        </w:rPr>
        <w:t xml:space="preserve"> </w:t>
      </w:r>
      <w:r w:rsidR="00C50F41">
        <w:rPr>
          <w:rFonts w:eastAsiaTheme="minorHAnsi"/>
          <w:szCs w:val="24"/>
          <w:lang w:eastAsia="en-US"/>
        </w:rPr>
        <w:t xml:space="preserve">the </w:t>
      </w:r>
      <w:r w:rsidR="009E528E" w:rsidRPr="005743A4">
        <w:rPr>
          <w:rFonts w:eastAsiaTheme="minorHAnsi"/>
          <w:szCs w:val="24"/>
          <w:lang w:eastAsia="en-US"/>
        </w:rPr>
        <w:t>objectives and the implementation of charging infrastructure for electric vehicles var</w:t>
      </w:r>
      <w:r w:rsidR="00C50F41">
        <w:rPr>
          <w:rFonts w:eastAsiaTheme="minorHAnsi"/>
          <w:szCs w:val="24"/>
          <w:lang w:eastAsia="en-US"/>
        </w:rPr>
        <w:t>y</w:t>
      </w:r>
      <w:r w:rsidR="009E528E" w:rsidRPr="005743A4">
        <w:rPr>
          <w:rFonts w:eastAsiaTheme="minorHAnsi"/>
          <w:szCs w:val="24"/>
          <w:lang w:eastAsia="en-US"/>
        </w:rPr>
        <w:t xml:space="preserve"> from one Member State to another</w:t>
      </w:r>
      <w:r w:rsidR="00C50F41">
        <w:rPr>
          <w:rFonts w:eastAsiaTheme="minorHAnsi"/>
          <w:szCs w:val="24"/>
          <w:lang w:eastAsia="en-US"/>
        </w:rPr>
        <w:t>,</w:t>
      </w:r>
      <w:r w:rsidR="009E528E" w:rsidRPr="005743A4">
        <w:rPr>
          <w:rFonts w:eastAsiaTheme="minorHAnsi"/>
          <w:szCs w:val="24"/>
          <w:lang w:eastAsia="en-US"/>
        </w:rPr>
        <w:t xml:space="preserve"> as only </w:t>
      </w:r>
      <w:r w:rsidR="00C50F41">
        <w:rPr>
          <w:rFonts w:eastAsiaTheme="minorHAnsi"/>
          <w:szCs w:val="24"/>
          <w:lang w:eastAsia="en-US"/>
        </w:rPr>
        <w:t>eight</w:t>
      </w:r>
      <w:r w:rsidR="009E528E" w:rsidRPr="005743A4">
        <w:rPr>
          <w:rFonts w:eastAsiaTheme="minorHAnsi"/>
          <w:szCs w:val="24"/>
          <w:lang w:eastAsia="en-US"/>
        </w:rPr>
        <w:t xml:space="preserve"> out of 25 Member States fully meet the NPF requirements set out in Directive 2014/94/EU</w:t>
      </w:r>
      <w:r w:rsidR="00C50F41">
        <w:rPr>
          <w:rStyle w:val="FootnoteReference"/>
          <w:rFonts w:eastAsiaTheme="minorHAnsi"/>
          <w:szCs w:val="24"/>
          <w:lang w:eastAsia="en-US"/>
        </w:rPr>
        <w:footnoteReference w:id="1"/>
      </w:r>
      <w:r w:rsidR="009E528E" w:rsidRPr="005743A4">
        <w:rPr>
          <w:rFonts w:eastAsiaTheme="minorHAnsi"/>
          <w:szCs w:val="24"/>
          <w:lang w:eastAsia="en-US"/>
        </w:rPr>
        <w:t xml:space="preserve">, and that </w:t>
      </w:r>
      <w:r w:rsidR="00C50F41">
        <w:rPr>
          <w:rFonts w:eastAsiaTheme="minorHAnsi"/>
          <w:szCs w:val="24"/>
          <w:lang w:eastAsia="en-US"/>
        </w:rPr>
        <w:t>two</w:t>
      </w:r>
      <w:r w:rsidR="009E528E" w:rsidRPr="005743A4">
        <w:rPr>
          <w:rFonts w:eastAsiaTheme="minorHAnsi"/>
          <w:szCs w:val="24"/>
          <w:lang w:eastAsia="en-US"/>
        </w:rPr>
        <w:t xml:space="preserve"> Member </w:t>
      </w:r>
      <w:r w:rsidR="009E528E" w:rsidRPr="00C16451">
        <w:t>States failed to submit their NPF by 16 November 2016</w:t>
      </w:r>
      <w:r w:rsidR="00C50F41">
        <w:t>,</w:t>
      </w:r>
      <w:r w:rsidR="009E528E" w:rsidRPr="00C16451">
        <w:t xml:space="preserve"> as </w:t>
      </w:r>
      <w:r w:rsidR="00C50F41">
        <w:t>required under</w:t>
      </w:r>
      <w:r w:rsidR="009E528E" w:rsidRPr="00C16451">
        <w:t xml:space="preserve"> Article 3 of</w:t>
      </w:r>
      <w:r w:rsidR="009E528E" w:rsidRPr="005743A4">
        <w:rPr>
          <w:rFonts w:eastAsiaTheme="minorHAnsi"/>
          <w:szCs w:val="24"/>
          <w:lang w:eastAsia="en-US"/>
        </w:rPr>
        <w:t xml:space="preserve"> Directive</w:t>
      </w:r>
      <w:r w:rsidR="00BE7E7A">
        <w:rPr>
          <w:rFonts w:eastAsiaTheme="minorHAnsi"/>
          <w:szCs w:val="24"/>
          <w:lang w:eastAsia="en-US"/>
        </w:rPr>
        <w:t xml:space="preserve"> </w:t>
      </w:r>
      <w:r w:rsidR="009E528E" w:rsidRPr="005743A4">
        <w:rPr>
          <w:rFonts w:eastAsiaTheme="minorHAnsi"/>
          <w:szCs w:val="24"/>
          <w:lang w:eastAsia="en-US"/>
        </w:rPr>
        <w:t>2014/94/EU;</w:t>
      </w:r>
    </w:p>
    <w:p w14:paraId="4A1D4BDC" w14:textId="16409155" w:rsidR="009E528E" w:rsidRPr="005743A4" w:rsidRDefault="00D80E2F" w:rsidP="00860182">
      <w:pPr>
        <w:pStyle w:val="Normal12Hanging"/>
        <w:rPr>
          <w:szCs w:val="24"/>
        </w:rPr>
      </w:pPr>
      <w:r>
        <w:rPr>
          <w:rFonts w:eastAsiaTheme="minorHAnsi"/>
          <w:szCs w:val="24"/>
          <w:lang w:eastAsia="en-US"/>
        </w:rPr>
        <w:t>B</w:t>
      </w:r>
      <w:r w:rsidR="009E528E" w:rsidRPr="005743A4">
        <w:rPr>
          <w:rFonts w:eastAsiaTheme="minorHAnsi"/>
          <w:szCs w:val="24"/>
          <w:lang w:eastAsia="en-US"/>
        </w:rPr>
        <w:t>.</w:t>
      </w:r>
      <w:r w:rsidR="009E528E" w:rsidRPr="005743A4">
        <w:rPr>
          <w:rFonts w:eastAsiaTheme="minorHAnsi"/>
          <w:szCs w:val="24"/>
          <w:lang w:eastAsia="en-US"/>
        </w:rPr>
        <w:tab/>
        <w:t>whereas the transport sector is the Union</w:t>
      </w:r>
      <w:r w:rsidR="0082285E">
        <w:rPr>
          <w:rFonts w:eastAsiaTheme="minorHAnsi"/>
          <w:szCs w:val="24"/>
          <w:lang w:eastAsia="en-US"/>
        </w:rPr>
        <w:t>’</w:t>
      </w:r>
      <w:r w:rsidR="009E528E" w:rsidRPr="005743A4">
        <w:rPr>
          <w:rFonts w:eastAsiaTheme="minorHAnsi"/>
          <w:szCs w:val="24"/>
          <w:lang w:eastAsia="en-US"/>
        </w:rPr>
        <w:t>s main source of carbon emissions and the</w:t>
      </w:r>
      <w:r w:rsidR="009E528E" w:rsidRPr="00AD6C15">
        <w:rPr>
          <w:rFonts w:eastAsiaTheme="minorHAnsi"/>
          <w:b/>
          <w:i/>
          <w:szCs w:val="24"/>
          <w:lang w:eastAsia="en-US"/>
        </w:rPr>
        <w:t xml:space="preserve"> </w:t>
      </w:r>
      <w:r w:rsidR="009E528E" w:rsidRPr="005743A4">
        <w:rPr>
          <w:rFonts w:eastAsiaTheme="minorHAnsi"/>
          <w:szCs w:val="24"/>
          <w:lang w:eastAsia="en-US"/>
        </w:rPr>
        <w:t>only sector in which emissions are still rising</w:t>
      </w:r>
      <w:r w:rsidR="00C50F41">
        <w:rPr>
          <w:rFonts w:eastAsiaTheme="minorHAnsi"/>
          <w:szCs w:val="24"/>
          <w:lang w:eastAsia="en-US"/>
        </w:rPr>
        <w:t>; whereas</w:t>
      </w:r>
      <w:r w:rsidR="009E528E" w:rsidRPr="005743A4">
        <w:rPr>
          <w:rFonts w:eastAsiaTheme="minorHAnsi"/>
          <w:szCs w:val="24"/>
          <w:lang w:eastAsia="en-US"/>
        </w:rPr>
        <w:t xml:space="preserve"> further coordination at EU level is needed in order to ensure the deployment of an adequate infrastructure network for alternative fuels in view of the </w:t>
      </w:r>
      <w:r w:rsidR="00C50F41">
        <w:rPr>
          <w:rFonts w:eastAsiaTheme="minorHAnsi"/>
          <w:szCs w:val="24"/>
          <w:lang w:eastAsia="en-US"/>
        </w:rPr>
        <w:t xml:space="preserve">objective of </w:t>
      </w:r>
      <w:r w:rsidR="009E528E" w:rsidRPr="005743A4">
        <w:rPr>
          <w:rFonts w:eastAsiaTheme="minorHAnsi"/>
          <w:szCs w:val="24"/>
          <w:lang w:eastAsia="en-US"/>
        </w:rPr>
        <w:t>decarbonis</w:t>
      </w:r>
      <w:r w:rsidR="00C50F41">
        <w:rPr>
          <w:rFonts w:eastAsiaTheme="minorHAnsi"/>
          <w:szCs w:val="24"/>
          <w:lang w:eastAsia="en-US"/>
        </w:rPr>
        <w:t>ing</w:t>
      </w:r>
      <w:r w:rsidR="009E528E" w:rsidRPr="005743A4">
        <w:rPr>
          <w:rFonts w:eastAsiaTheme="minorHAnsi"/>
          <w:szCs w:val="24"/>
          <w:lang w:eastAsia="en-US"/>
        </w:rPr>
        <w:t xml:space="preserve"> the transport sector by 2050;</w:t>
      </w:r>
    </w:p>
    <w:p w14:paraId="2044C1C4" w14:textId="709D70AD" w:rsidR="005743A4" w:rsidRDefault="00D80E2F" w:rsidP="00860182">
      <w:pPr>
        <w:pStyle w:val="Normal12Hanging"/>
        <w:rPr>
          <w:rFonts w:eastAsiaTheme="minorHAnsi"/>
          <w:szCs w:val="24"/>
          <w:lang w:eastAsia="en-US"/>
        </w:rPr>
      </w:pPr>
      <w:r>
        <w:rPr>
          <w:rFonts w:eastAsiaTheme="minorHAnsi"/>
          <w:szCs w:val="24"/>
          <w:lang w:eastAsia="en-US"/>
        </w:rPr>
        <w:t>C</w:t>
      </w:r>
      <w:r w:rsidR="00860182">
        <w:rPr>
          <w:rFonts w:eastAsiaTheme="minorHAnsi"/>
          <w:szCs w:val="24"/>
          <w:lang w:eastAsia="en-US"/>
        </w:rPr>
        <w:t>.</w:t>
      </w:r>
      <w:r w:rsidR="00860182">
        <w:rPr>
          <w:rFonts w:eastAsiaTheme="minorHAnsi"/>
          <w:szCs w:val="24"/>
          <w:lang w:eastAsia="en-US"/>
        </w:rPr>
        <w:tab/>
      </w:r>
      <w:r w:rsidR="009E528E" w:rsidRPr="005743A4">
        <w:rPr>
          <w:rFonts w:eastAsiaTheme="minorHAnsi"/>
          <w:szCs w:val="24"/>
          <w:lang w:eastAsia="en-US"/>
        </w:rPr>
        <w:t>whereas the decarbonisation of transport in the EU should follow the principle of technology neutrality, thus ensuring a level playing field for the various low emission technologies for clean mobility and encouraging a competitive environment and further innovation in this area;</w:t>
      </w:r>
    </w:p>
    <w:p w14:paraId="393E424D" w14:textId="61C87150" w:rsidR="005743A4" w:rsidRPr="0082285E" w:rsidRDefault="00860182" w:rsidP="0082285E">
      <w:pPr>
        <w:pStyle w:val="Normal12Hanging"/>
        <w:rPr>
          <w:szCs w:val="24"/>
        </w:rPr>
      </w:pPr>
      <w:r w:rsidRPr="007A475F">
        <w:t>1</w:t>
      </w:r>
      <w:r w:rsidRPr="001443A5">
        <w:t>.</w:t>
      </w:r>
      <w:r w:rsidR="00E44CA0" w:rsidRPr="003F2FE3">
        <w:tab/>
      </w:r>
      <w:r w:rsidR="00E44CA0" w:rsidRPr="005743A4">
        <w:t>Stresses that the Union has the potential to become a forerunner in clean transport and lead this global shift</w:t>
      </w:r>
      <w:r w:rsidR="00C50F41">
        <w:t>;</w:t>
      </w:r>
      <w:r w:rsidR="00E44CA0" w:rsidRPr="005743A4">
        <w:t xml:space="preserve"> </w:t>
      </w:r>
      <w:r w:rsidR="00C50F41">
        <w:rPr>
          <w:rFonts w:eastAsiaTheme="minorHAnsi"/>
          <w:szCs w:val="24"/>
          <w:lang w:eastAsia="en-US"/>
        </w:rPr>
        <w:t>n</w:t>
      </w:r>
      <w:r w:rsidR="00E44CA0" w:rsidRPr="00C16451">
        <w:rPr>
          <w:rFonts w:eastAsiaTheme="minorHAnsi"/>
          <w:szCs w:val="24"/>
          <w:lang w:eastAsia="en-US"/>
        </w:rPr>
        <w:t>otes</w:t>
      </w:r>
      <w:r w:rsidR="00E44CA0" w:rsidRPr="005743A4">
        <w:t xml:space="preserve"> that the clean energy transition offers plenty of new growth opportunities for the industry and strengthens the energy security of Europe; </w:t>
      </w:r>
      <w:r w:rsidR="00E44CA0" w:rsidRPr="007325A2">
        <w:t>u</w:t>
      </w:r>
      <w:r w:rsidR="00E44CA0" w:rsidRPr="00AD6C15">
        <w:t xml:space="preserve">nderlines that </w:t>
      </w:r>
      <w:r w:rsidR="008D1B5E" w:rsidRPr="005743A4">
        <w:t>currently</w:t>
      </w:r>
      <w:r w:rsidR="00E44CA0" w:rsidRPr="00AD6C15">
        <w:t xml:space="preserve"> more than 65</w:t>
      </w:r>
      <w:r w:rsidR="00C50F41">
        <w:t> </w:t>
      </w:r>
      <w:r w:rsidR="00E44CA0" w:rsidRPr="00AD6C15">
        <w:t xml:space="preserve">% of battery electric vehicles and plug-in hybrid electric vehicles are produced outside the Union and </w:t>
      </w:r>
      <w:r w:rsidR="00C50F41">
        <w:t xml:space="preserve">that </w:t>
      </w:r>
      <w:r w:rsidR="00E44CA0" w:rsidRPr="00AD6C15">
        <w:t xml:space="preserve">new mobility will lead to a shift in </w:t>
      </w:r>
      <w:r w:rsidR="008D1B5E" w:rsidRPr="005743A4">
        <w:t>required</w:t>
      </w:r>
      <w:r w:rsidR="00E44CA0" w:rsidRPr="00AD6C15">
        <w:rPr>
          <w:b/>
          <w:i/>
        </w:rPr>
        <w:t xml:space="preserve"> </w:t>
      </w:r>
      <w:r w:rsidR="00E44CA0" w:rsidRPr="00AD6C15">
        <w:t xml:space="preserve">skills, </w:t>
      </w:r>
      <w:r w:rsidR="00C50F41">
        <w:t xml:space="preserve">meaning </w:t>
      </w:r>
      <w:r w:rsidR="00E44CA0" w:rsidRPr="00AD6C15">
        <w:t xml:space="preserve">it is crucial to ensure the momentum to boost our industry and create new </w:t>
      </w:r>
      <w:r w:rsidR="00CA0AD8" w:rsidRPr="005743A4">
        <w:t>quality</w:t>
      </w:r>
      <w:r w:rsidR="00E44CA0" w:rsidRPr="005743A4">
        <w:t xml:space="preserve"> </w:t>
      </w:r>
      <w:r w:rsidR="00E44CA0" w:rsidRPr="00AD6C15">
        <w:t xml:space="preserve">jobs in </w:t>
      </w:r>
      <w:r w:rsidR="00CA0AD8" w:rsidRPr="005743A4">
        <w:t>the Union; believes it is crucial to boost our battery industry by creating sustainable battery cell manufacturing in the Union and ensur</w:t>
      </w:r>
      <w:r w:rsidR="00C16451">
        <w:t>ing</w:t>
      </w:r>
      <w:r w:rsidR="00CA0AD8" w:rsidRPr="005743A4">
        <w:t xml:space="preserve"> a full</w:t>
      </w:r>
      <w:r w:rsidR="00C16451">
        <w:t>y</w:t>
      </w:r>
      <w:r w:rsidR="00CA0AD8" w:rsidRPr="005743A4">
        <w:t xml:space="preserve"> EU-based value chain while making use of the potential of battery and raw material recycling in line with</w:t>
      </w:r>
      <w:r w:rsidR="0082285E">
        <w:t xml:space="preserve"> </w:t>
      </w:r>
      <w:r w:rsidR="00CA0AD8" w:rsidRPr="005743A4">
        <w:t>the circular economy principle;</w:t>
      </w:r>
    </w:p>
    <w:p w14:paraId="3F5A62D7" w14:textId="1C236857" w:rsidR="00E40165" w:rsidRPr="00E40165" w:rsidRDefault="00E40165" w:rsidP="00E40165">
      <w:pPr>
        <w:pStyle w:val="Normal12Hanging"/>
        <w:rPr>
          <w:szCs w:val="24"/>
        </w:rPr>
      </w:pPr>
      <w:r>
        <w:t>2</w:t>
      </w:r>
      <w:r w:rsidRPr="00E40165">
        <w:t>.</w:t>
      </w:r>
      <w:r w:rsidRPr="00E40165">
        <w:tab/>
        <w:t>Welcomes the aforementioned Commission communication on the deployment of alternative fuels infrastructure, notes, however, that the</w:t>
      </w:r>
      <w:r w:rsidR="004807DC">
        <w:t xml:space="preserve"> </w:t>
      </w:r>
      <w:r w:rsidR="00051136">
        <w:t>NPFs</w:t>
      </w:r>
      <w:r w:rsidRPr="00E40165">
        <w:t xml:space="preserve"> do not add up to a sufficient deployment of alternative fuels infrastructure for the projected uptake of alternative-fuel mobility by 2025; calls </w:t>
      </w:r>
      <w:r w:rsidR="00051136">
        <w:t>on</w:t>
      </w:r>
      <w:r w:rsidRPr="00E40165">
        <w:t xml:space="preserve"> the Commi</w:t>
      </w:r>
      <w:bookmarkStart w:id="3" w:name="_GoBack"/>
      <w:bookmarkEnd w:id="3"/>
      <w:r w:rsidRPr="00E40165">
        <w:t>ssion</w:t>
      </w:r>
      <w:r w:rsidR="00C16451">
        <w:t xml:space="preserve">, </w:t>
      </w:r>
      <w:r w:rsidR="00C16451" w:rsidRPr="00E40165">
        <w:t>therefore</w:t>
      </w:r>
      <w:r w:rsidR="00C16451">
        <w:t>,</w:t>
      </w:r>
      <w:r w:rsidRPr="00E40165">
        <w:t xml:space="preserve"> to require Member States to include in their NPFs mandatory minimum targets, while also taking into account the projected and realised uptake of alternative-fuel vehicles and their technological progress, as well as with a view to realising a trans-European infrastructure network for alternative fuels;</w:t>
      </w:r>
    </w:p>
    <w:p w14:paraId="4C8A3204" w14:textId="23FC90A3" w:rsidR="005743A4" w:rsidRDefault="00E40165" w:rsidP="00860182">
      <w:pPr>
        <w:pStyle w:val="Normal12Hanging"/>
        <w:rPr>
          <w:rFonts w:eastAsiaTheme="minorHAnsi"/>
          <w:szCs w:val="24"/>
          <w:lang w:eastAsia="en-US"/>
        </w:rPr>
      </w:pPr>
      <w:r>
        <w:t>3</w:t>
      </w:r>
      <w:r w:rsidR="00860182">
        <w:t>.</w:t>
      </w:r>
      <w:r w:rsidR="00F242AD" w:rsidRPr="005743A4">
        <w:tab/>
      </w:r>
      <w:r w:rsidR="00F242AD" w:rsidRPr="005743A4">
        <w:rPr>
          <w:rFonts w:eastAsiaTheme="minorHAnsi"/>
          <w:szCs w:val="24"/>
          <w:lang w:eastAsia="en-US"/>
        </w:rPr>
        <w:t xml:space="preserve">Notes with concern that the level of ambition </w:t>
      </w:r>
      <w:r w:rsidR="00C16451">
        <w:rPr>
          <w:rFonts w:eastAsiaTheme="minorHAnsi"/>
          <w:szCs w:val="24"/>
          <w:lang w:eastAsia="en-US"/>
        </w:rPr>
        <w:t>among</w:t>
      </w:r>
      <w:r w:rsidR="00F242AD" w:rsidRPr="005743A4">
        <w:rPr>
          <w:rFonts w:eastAsiaTheme="minorHAnsi"/>
          <w:szCs w:val="24"/>
          <w:lang w:eastAsia="en-US"/>
        </w:rPr>
        <w:t xml:space="preserve"> Member States differs greatly; urges the Member States to ensure the rapid deployment of sufficient alternative fuels infrastructure; calls on the Member States to develop and adjust their NPFs to this end </w:t>
      </w:r>
      <w:r w:rsidR="00F242AD" w:rsidRPr="005743A4">
        <w:rPr>
          <w:rFonts w:eastAsiaTheme="minorHAnsi"/>
          <w:szCs w:val="24"/>
          <w:lang w:eastAsia="en-US"/>
        </w:rPr>
        <w:lastRenderedPageBreak/>
        <w:t>by taking into account the projected and realised uptake of alternative-fuel vehicles and their technological progress; calls on the Member States to scale up implementation efforts with sufficiently ambitious goals;</w:t>
      </w:r>
    </w:p>
    <w:p w14:paraId="1A785E41" w14:textId="0EA2879E" w:rsidR="005743A4" w:rsidRDefault="00E40165" w:rsidP="00860182">
      <w:pPr>
        <w:pStyle w:val="Normal12Hanging"/>
      </w:pPr>
      <w:r w:rsidRPr="00C16451">
        <w:t>4</w:t>
      </w:r>
      <w:r w:rsidR="00860182">
        <w:t>.</w:t>
      </w:r>
      <w:r w:rsidR="00F242AD" w:rsidRPr="005743A4">
        <w:tab/>
        <w:t>Calls on the Member States to accelerate the uptake of research related to electro-mobility by making full use of EU funds; welcomes the Commission</w:t>
      </w:r>
      <w:r w:rsidR="0082285E">
        <w:t>’</w:t>
      </w:r>
      <w:r w:rsidR="00F242AD" w:rsidRPr="005743A4">
        <w:t>s proposal to provide an additional EUR</w:t>
      </w:r>
      <w:r w:rsidR="00C16451">
        <w:t> </w:t>
      </w:r>
      <w:r w:rsidR="00F242AD" w:rsidRPr="005743A4">
        <w:rPr>
          <w:rFonts w:eastAsiaTheme="minorHAnsi"/>
          <w:szCs w:val="24"/>
          <w:lang w:eastAsia="en-US"/>
        </w:rPr>
        <w:t>800</w:t>
      </w:r>
      <w:r w:rsidR="00F242AD" w:rsidRPr="005743A4">
        <w:t xml:space="preserve"> </w:t>
      </w:r>
      <w:r w:rsidR="00F242AD" w:rsidRPr="005743A4">
        <w:rPr>
          <w:rFonts w:eastAsiaTheme="minorHAnsi"/>
          <w:szCs w:val="24"/>
          <w:lang w:eastAsia="en-US"/>
        </w:rPr>
        <w:t>million</w:t>
      </w:r>
      <w:r w:rsidR="00F242AD" w:rsidRPr="005743A4">
        <w:t xml:space="preserve"> through European funding; highlights, however, that additional support </w:t>
      </w:r>
      <w:r w:rsidR="00F242AD" w:rsidRPr="005743A4">
        <w:rPr>
          <w:rFonts w:eastAsiaTheme="minorHAnsi"/>
          <w:szCs w:val="24"/>
          <w:lang w:eastAsia="en-US"/>
        </w:rPr>
        <w:t>instruments</w:t>
      </w:r>
      <w:r w:rsidR="00F242AD" w:rsidRPr="005743A4">
        <w:t xml:space="preserve"> at Union and Member State level are needed to mobilise appropriate public and private investment;</w:t>
      </w:r>
    </w:p>
    <w:p w14:paraId="1FE736E8" w14:textId="6EB2A740" w:rsidR="005743A4" w:rsidRPr="005743A4" w:rsidRDefault="00E40165" w:rsidP="00860182">
      <w:pPr>
        <w:pStyle w:val="Normal12Hanging"/>
        <w:rPr>
          <w:rFonts w:eastAsiaTheme="minorHAnsi"/>
          <w:szCs w:val="24"/>
          <w:lang w:eastAsia="en-US"/>
        </w:rPr>
      </w:pPr>
      <w:r w:rsidRPr="00C16451">
        <w:t>5</w:t>
      </w:r>
      <w:r w:rsidR="00F242AD" w:rsidRPr="005743A4">
        <w:t>.</w:t>
      </w:r>
      <w:r w:rsidR="00F242AD" w:rsidRPr="005743A4">
        <w:tab/>
      </w:r>
      <w:r w:rsidR="00F242AD" w:rsidRPr="005743A4">
        <w:rPr>
          <w:rFonts w:eastAsiaTheme="minorHAnsi"/>
          <w:szCs w:val="24"/>
          <w:lang w:eastAsia="en-US"/>
        </w:rPr>
        <w:t>Notes that electrification is a necessary step in decarbonising the Union</w:t>
      </w:r>
      <w:r w:rsidR="0082285E">
        <w:rPr>
          <w:rFonts w:eastAsiaTheme="minorHAnsi"/>
          <w:szCs w:val="24"/>
          <w:lang w:eastAsia="en-US"/>
        </w:rPr>
        <w:t>’</w:t>
      </w:r>
      <w:r w:rsidR="00F242AD" w:rsidRPr="005743A4">
        <w:rPr>
          <w:rFonts w:eastAsiaTheme="minorHAnsi"/>
          <w:szCs w:val="24"/>
          <w:lang w:eastAsia="en-US"/>
        </w:rPr>
        <w:t>s transport sector and meeting its climate goals; stresses the importance of focusing on combining the most effective measures available in order to meet the EU</w:t>
      </w:r>
      <w:r w:rsidR="0082285E">
        <w:rPr>
          <w:rFonts w:eastAsiaTheme="minorHAnsi"/>
          <w:szCs w:val="24"/>
          <w:lang w:eastAsia="en-US"/>
        </w:rPr>
        <w:t>’</w:t>
      </w:r>
      <w:r w:rsidR="00F96E06">
        <w:rPr>
          <w:rFonts w:eastAsiaTheme="minorHAnsi"/>
          <w:szCs w:val="24"/>
          <w:lang w:eastAsia="en-US"/>
        </w:rPr>
        <w:t>s climate</w:t>
      </w:r>
      <w:r w:rsidR="00F242AD" w:rsidRPr="005743A4">
        <w:rPr>
          <w:rFonts w:eastAsiaTheme="minorHAnsi"/>
          <w:szCs w:val="24"/>
          <w:lang w:eastAsia="en-US"/>
        </w:rPr>
        <w:t xml:space="preserve"> targets, as several low-emission options are available, such as electricity, advanced biofuels, hydrogen and LNG; calls</w:t>
      </w:r>
      <w:r w:rsidR="00F96E06">
        <w:rPr>
          <w:rFonts w:eastAsiaTheme="minorHAnsi"/>
          <w:szCs w:val="24"/>
          <w:lang w:eastAsia="en-US"/>
        </w:rPr>
        <w:t>, therefore,</w:t>
      </w:r>
      <w:r w:rsidR="00F242AD" w:rsidRPr="005743A4">
        <w:rPr>
          <w:rFonts w:eastAsiaTheme="minorHAnsi"/>
          <w:szCs w:val="24"/>
          <w:lang w:eastAsia="en-US"/>
        </w:rPr>
        <w:t xml:space="preserve"> for the technology neutral approach </w:t>
      </w:r>
      <w:r w:rsidR="00F96E06">
        <w:rPr>
          <w:rFonts w:eastAsiaTheme="minorHAnsi"/>
          <w:szCs w:val="24"/>
          <w:lang w:eastAsia="en-US"/>
        </w:rPr>
        <w:t xml:space="preserve">to be maintained </w:t>
      </w:r>
      <w:r w:rsidR="00F242AD" w:rsidRPr="005743A4">
        <w:rPr>
          <w:rFonts w:eastAsiaTheme="minorHAnsi"/>
          <w:szCs w:val="24"/>
          <w:lang w:eastAsia="en-US"/>
        </w:rPr>
        <w:t>while ensuring the reduction of CO2 emissions;</w:t>
      </w:r>
    </w:p>
    <w:p w14:paraId="284BAA8D" w14:textId="6B67FAE3" w:rsidR="00EC3282" w:rsidRPr="0082285E" w:rsidRDefault="00E40165" w:rsidP="0082285E">
      <w:pPr>
        <w:pStyle w:val="Normal12Hanging"/>
        <w:rPr>
          <w:rFonts w:eastAsiaTheme="minorHAnsi"/>
          <w:szCs w:val="24"/>
          <w:lang w:eastAsia="en-US"/>
        </w:rPr>
      </w:pPr>
      <w:r>
        <w:t>6</w:t>
      </w:r>
      <w:r w:rsidR="00F242AD" w:rsidRPr="000D4956">
        <w:t>.</w:t>
      </w:r>
      <w:r w:rsidR="00F242AD" w:rsidRPr="00052BD7">
        <w:rPr>
          <w:b/>
          <w:i/>
        </w:rPr>
        <w:tab/>
      </w:r>
      <w:r w:rsidR="00B261BE" w:rsidRPr="00AD6C15">
        <w:rPr>
          <w:rFonts w:eastAsiaTheme="minorHAnsi"/>
          <w:szCs w:val="24"/>
          <w:lang w:eastAsia="en-US"/>
        </w:rPr>
        <w:t xml:space="preserve">Calls on transmission system operators and distribution system operators to ensure the stability of local grids, </w:t>
      </w:r>
      <w:r w:rsidR="00B261BE" w:rsidRPr="005743A4">
        <w:rPr>
          <w:rFonts w:eastAsiaTheme="minorHAnsi"/>
          <w:szCs w:val="24"/>
          <w:lang w:eastAsia="en-US"/>
        </w:rPr>
        <w:t xml:space="preserve">while taking into account </w:t>
      </w:r>
      <w:r w:rsidR="001F2131">
        <w:rPr>
          <w:rFonts w:eastAsiaTheme="minorHAnsi"/>
          <w:szCs w:val="24"/>
          <w:lang w:eastAsia="en-US"/>
        </w:rPr>
        <w:t>the need for</w:t>
      </w:r>
      <w:r w:rsidR="00B261BE" w:rsidRPr="005743A4">
        <w:rPr>
          <w:rFonts w:eastAsiaTheme="minorHAnsi"/>
          <w:szCs w:val="24"/>
          <w:lang w:eastAsia="en-US"/>
        </w:rPr>
        <w:t xml:space="preserve"> better cross</w:t>
      </w:r>
      <w:r w:rsidR="001F2131">
        <w:rPr>
          <w:rFonts w:eastAsiaTheme="minorHAnsi"/>
          <w:szCs w:val="24"/>
          <w:lang w:eastAsia="en-US"/>
        </w:rPr>
        <w:t>-</w:t>
      </w:r>
      <w:r w:rsidR="00B261BE" w:rsidRPr="005743A4">
        <w:rPr>
          <w:rFonts w:eastAsiaTheme="minorHAnsi"/>
          <w:szCs w:val="24"/>
          <w:lang w:eastAsia="en-US"/>
        </w:rPr>
        <w:t>border flow</w:t>
      </w:r>
      <w:r w:rsidR="001F2131">
        <w:rPr>
          <w:rFonts w:eastAsiaTheme="minorHAnsi"/>
          <w:szCs w:val="24"/>
          <w:lang w:eastAsia="en-US"/>
        </w:rPr>
        <w:t>s</w:t>
      </w:r>
      <w:r w:rsidR="00D866CD">
        <w:rPr>
          <w:rFonts w:eastAsiaTheme="minorHAnsi"/>
          <w:szCs w:val="24"/>
          <w:lang w:eastAsia="en-US"/>
        </w:rPr>
        <w:t>,</w:t>
      </w:r>
      <w:r w:rsidR="00B261BE" w:rsidRPr="00AD6C15">
        <w:rPr>
          <w:rFonts w:eastAsiaTheme="minorHAnsi"/>
          <w:szCs w:val="24"/>
          <w:lang w:eastAsia="en-US"/>
        </w:rPr>
        <w:t xml:space="preserve"> and to mitigate a future energy consumption peak; </w:t>
      </w:r>
      <w:r w:rsidR="00B261BE" w:rsidRPr="005743A4">
        <w:rPr>
          <w:rFonts w:eastAsiaTheme="minorHAnsi"/>
          <w:szCs w:val="24"/>
          <w:lang w:eastAsia="en-US"/>
        </w:rPr>
        <w:t>emphasises that the electricity market design reform should set the correct regulatory framework to ensure grid stability, affordable prices</w:t>
      </w:r>
      <w:r w:rsidR="00D866CD">
        <w:rPr>
          <w:rFonts w:eastAsiaTheme="minorHAnsi"/>
          <w:szCs w:val="24"/>
          <w:lang w:eastAsia="en-US"/>
        </w:rPr>
        <w:t xml:space="preserve"> and</w:t>
      </w:r>
      <w:r w:rsidR="00B261BE" w:rsidRPr="005743A4">
        <w:rPr>
          <w:rFonts w:eastAsiaTheme="minorHAnsi"/>
          <w:szCs w:val="24"/>
          <w:lang w:eastAsia="en-US"/>
        </w:rPr>
        <w:t xml:space="preserve"> security of supply</w:t>
      </w:r>
      <w:r w:rsidR="00D866CD">
        <w:rPr>
          <w:rFonts w:eastAsiaTheme="minorHAnsi"/>
          <w:szCs w:val="24"/>
          <w:lang w:eastAsia="en-US"/>
        </w:rPr>
        <w:t>,</w:t>
      </w:r>
      <w:r w:rsidR="00B261BE" w:rsidRPr="005743A4">
        <w:rPr>
          <w:rFonts w:eastAsiaTheme="minorHAnsi"/>
          <w:szCs w:val="24"/>
          <w:lang w:eastAsia="en-US"/>
        </w:rPr>
        <w:t xml:space="preserve"> and to enable self-consumption, demand response and active consumers; underlines</w:t>
      </w:r>
      <w:r w:rsidR="00D866CD">
        <w:rPr>
          <w:rFonts w:eastAsiaTheme="minorHAnsi"/>
          <w:szCs w:val="24"/>
          <w:lang w:eastAsia="en-US"/>
        </w:rPr>
        <w:t>,</w:t>
      </w:r>
      <w:r w:rsidR="00B261BE" w:rsidRPr="005743A4">
        <w:rPr>
          <w:rFonts w:eastAsiaTheme="minorHAnsi"/>
          <w:szCs w:val="24"/>
          <w:lang w:eastAsia="en-US"/>
        </w:rPr>
        <w:t xml:space="preserve"> therefore</w:t>
      </w:r>
      <w:r w:rsidR="00D866CD">
        <w:rPr>
          <w:rFonts w:eastAsiaTheme="minorHAnsi"/>
          <w:szCs w:val="24"/>
          <w:lang w:eastAsia="en-US"/>
        </w:rPr>
        <w:t>,</w:t>
      </w:r>
      <w:r w:rsidR="00B261BE" w:rsidRPr="005743A4">
        <w:rPr>
          <w:rFonts w:eastAsiaTheme="minorHAnsi"/>
          <w:szCs w:val="24"/>
          <w:lang w:eastAsia="en-US"/>
        </w:rPr>
        <w:t xml:space="preserve"> the importance of invest</w:t>
      </w:r>
      <w:r w:rsidR="00D866CD">
        <w:rPr>
          <w:rFonts w:eastAsiaTheme="minorHAnsi"/>
          <w:szCs w:val="24"/>
          <w:lang w:eastAsia="en-US"/>
        </w:rPr>
        <w:t>ment</w:t>
      </w:r>
      <w:r w:rsidR="00B261BE" w:rsidRPr="005743A4">
        <w:rPr>
          <w:rFonts w:eastAsiaTheme="minorHAnsi"/>
          <w:szCs w:val="24"/>
          <w:lang w:eastAsia="en-US"/>
        </w:rPr>
        <w:t xml:space="preserve"> in smart charging technologies, including smart grids</w:t>
      </w:r>
      <w:r w:rsidR="00D866CD">
        <w:rPr>
          <w:rFonts w:eastAsiaTheme="minorHAnsi"/>
          <w:szCs w:val="24"/>
          <w:lang w:eastAsia="en-US"/>
        </w:rPr>
        <w:t>, in</w:t>
      </w:r>
      <w:r w:rsidR="00B261BE" w:rsidRPr="005743A4">
        <w:rPr>
          <w:rFonts w:eastAsiaTheme="minorHAnsi"/>
          <w:szCs w:val="24"/>
          <w:lang w:eastAsia="en-US"/>
        </w:rPr>
        <w:t xml:space="preserve"> contributing to a successful energy transition;</w:t>
      </w:r>
    </w:p>
    <w:p w14:paraId="214C29D9" w14:textId="15E6F43C" w:rsidR="005743A4" w:rsidRDefault="00E40165" w:rsidP="00860182">
      <w:pPr>
        <w:pStyle w:val="Normal12Hanging"/>
        <w:rPr>
          <w:rFonts w:eastAsiaTheme="minorHAnsi"/>
          <w:szCs w:val="24"/>
          <w:lang w:eastAsia="en-US"/>
        </w:rPr>
      </w:pPr>
      <w:r>
        <w:t>7</w:t>
      </w:r>
      <w:r w:rsidR="00593324" w:rsidRPr="00C16451">
        <w:t>.</w:t>
      </w:r>
      <w:r w:rsidR="00593324" w:rsidRPr="00C16451">
        <w:tab/>
      </w:r>
      <w:r w:rsidR="00B261BE" w:rsidRPr="00AD6C15">
        <w:rPr>
          <w:rFonts w:eastAsiaTheme="minorHAnsi"/>
          <w:szCs w:val="24"/>
          <w:lang w:eastAsia="en-US"/>
        </w:rPr>
        <w:t xml:space="preserve">Stresses the importance of ensuring fair access </w:t>
      </w:r>
      <w:r w:rsidR="00B261BE" w:rsidRPr="005743A4">
        <w:rPr>
          <w:rFonts w:eastAsiaTheme="minorHAnsi"/>
          <w:szCs w:val="24"/>
          <w:lang w:eastAsia="en-US"/>
        </w:rPr>
        <w:t xml:space="preserve">to </w:t>
      </w:r>
      <w:r w:rsidR="00162F4A">
        <w:rPr>
          <w:rFonts w:eastAsiaTheme="minorHAnsi"/>
          <w:szCs w:val="24"/>
          <w:lang w:eastAsia="en-US"/>
        </w:rPr>
        <w:t xml:space="preserve">the </w:t>
      </w:r>
      <w:r w:rsidR="00B261BE" w:rsidRPr="005743A4">
        <w:rPr>
          <w:rFonts w:eastAsiaTheme="minorHAnsi"/>
          <w:szCs w:val="24"/>
          <w:lang w:eastAsia="en-US"/>
        </w:rPr>
        <w:t>develop</w:t>
      </w:r>
      <w:r w:rsidR="00162F4A">
        <w:rPr>
          <w:rFonts w:eastAsiaTheme="minorHAnsi"/>
          <w:szCs w:val="24"/>
          <w:lang w:eastAsia="en-US"/>
        </w:rPr>
        <w:t>ment</w:t>
      </w:r>
      <w:r w:rsidR="00B261BE" w:rsidRPr="005743A4">
        <w:rPr>
          <w:rFonts w:eastAsiaTheme="minorHAnsi"/>
          <w:szCs w:val="24"/>
          <w:lang w:eastAsia="en-US"/>
        </w:rPr>
        <w:t>, operat</w:t>
      </w:r>
      <w:r w:rsidR="00162F4A">
        <w:rPr>
          <w:rFonts w:eastAsiaTheme="minorHAnsi"/>
          <w:szCs w:val="24"/>
          <w:lang w:eastAsia="en-US"/>
        </w:rPr>
        <w:t>ion</w:t>
      </w:r>
      <w:r w:rsidR="00B261BE" w:rsidRPr="005743A4">
        <w:rPr>
          <w:rFonts w:eastAsiaTheme="minorHAnsi"/>
          <w:szCs w:val="24"/>
          <w:lang w:eastAsia="en-US"/>
        </w:rPr>
        <w:t xml:space="preserve"> and fuel</w:t>
      </w:r>
      <w:r w:rsidR="00162F4A">
        <w:rPr>
          <w:rFonts w:eastAsiaTheme="minorHAnsi"/>
          <w:szCs w:val="24"/>
          <w:lang w:eastAsia="en-US"/>
        </w:rPr>
        <w:t>ling of</w:t>
      </w:r>
      <w:r w:rsidR="00B261BE" w:rsidRPr="005743A4">
        <w:rPr>
          <w:rFonts w:eastAsiaTheme="minorHAnsi"/>
          <w:szCs w:val="24"/>
          <w:lang w:eastAsia="en-US"/>
        </w:rPr>
        <w:t xml:space="preserve"> recharging point</w:t>
      </w:r>
      <w:r w:rsidR="00051136">
        <w:rPr>
          <w:rFonts w:eastAsiaTheme="minorHAnsi"/>
          <w:szCs w:val="24"/>
          <w:lang w:eastAsia="en-US"/>
        </w:rPr>
        <w:t>s</w:t>
      </w:r>
      <w:r w:rsidR="00B261BE" w:rsidRPr="005743A4">
        <w:rPr>
          <w:rFonts w:eastAsiaTheme="minorHAnsi"/>
          <w:szCs w:val="24"/>
          <w:lang w:eastAsia="en-US"/>
        </w:rPr>
        <w:t xml:space="preserve"> for all relevant actors, including local authorities, municipal enterprises and actors from other Member States</w:t>
      </w:r>
      <w:r w:rsidR="00162F4A">
        <w:rPr>
          <w:rFonts w:eastAsiaTheme="minorHAnsi"/>
          <w:szCs w:val="24"/>
          <w:lang w:eastAsia="en-US"/>
        </w:rPr>
        <w:t>,</w:t>
      </w:r>
      <w:r w:rsidR="00B261BE" w:rsidRPr="005743A4">
        <w:rPr>
          <w:rFonts w:eastAsiaTheme="minorHAnsi"/>
          <w:szCs w:val="24"/>
          <w:lang w:eastAsia="en-US"/>
        </w:rPr>
        <w:t xml:space="preserve"> in order</w:t>
      </w:r>
      <w:r w:rsidR="00B261BE" w:rsidRPr="00AD6C15">
        <w:rPr>
          <w:rFonts w:eastAsiaTheme="minorHAnsi"/>
          <w:szCs w:val="24"/>
          <w:lang w:eastAsia="en-US"/>
        </w:rPr>
        <w:t xml:space="preserve"> to avoid monopoly situatio</w:t>
      </w:r>
      <w:r w:rsidR="00B261BE" w:rsidRPr="00162F4A">
        <w:rPr>
          <w:rFonts w:eastAsiaTheme="minorHAnsi"/>
          <w:szCs w:val="24"/>
          <w:lang w:eastAsia="en-US"/>
        </w:rPr>
        <w:t>ns</w:t>
      </w:r>
      <w:r w:rsidR="00B261BE" w:rsidRPr="00AD6C15">
        <w:rPr>
          <w:rFonts w:eastAsiaTheme="minorHAnsi"/>
          <w:szCs w:val="24"/>
          <w:lang w:eastAsia="en-US"/>
        </w:rPr>
        <w:t xml:space="preserve">; calls on the Commission to promote open access for all relevant actors to the market </w:t>
      </w:r>
      <w:r w:rsidR="00B261BE" w:rsidRPr="005743A4">
        <w:rPr>
          <w:rFonts w:eastAsiaTheme="minorHAnsi"/>
          <w:szCs w:val="24"/>
          <w:lang w:eastAsia="en-US"/>
        </w:rPr>
        <w:t xml:space="preserve">and to encourage initiatives for the deployment of recharging points to ensure that consumers have a free choice of energy suppliers and sources; stresses that infrastructure </w:t>
      </w:r>
      <w:r w:rsidR="00162F4A">
        <w:rPr>
          <w:rFonts w:eastAsiaTheme="minorHAnsi"/>
          <w:szCs w:val="24"/>
          <w:lang w:eastAsia="en-US"/>
        </w:rPr>
        <w:t xml:space="preserve">solutions </w:t>
      </w:r>
      <w:r w:rsidR="00B261BE" w:rsidRPr="005743A4">
        <w:rPr>
          <w:rFonts w:eastAsiaTheme="minorHAnsi"/>
          <w:szCs w:val="24"/>
          <w:lang w:eastAsia="en-US"/>
        </w:rPr>
        <w:t xml:space="preserve">should be market-based; </w:t>
      </w:r>
      <w:r w:rsidR="00162F4A">
        <w:rPr>
          <w:rFonts w:eastAsiaTheme="minorHAnsi"/>
          <w:szCs w:val="24"/>
          <w:lang w:eastAsia="en-US"/>
        </w:rPr>
        <w:t xml:space="preserve">insists that </w:t>
      </w:r>
      <w:r w:rsidR="00B261BE" w:rsidRPr="005743A4">
        <w:rPr>
          <w:rFonts w:eastAsiaTheme="minorHAnsi"/>
          <w:szCs w:val="24"/>
          <w:lang w:eastAsia="en-US"/>
        </w:rPr>
        <w:t>the distribution network</w:t>
      </w:r>
      <w:r w:rsidR="00162F4A">
        <w:rPr>
          <w:rFonts w:eastAsiaTheme="minorHAnsi"/>
          <w:szCs w:val="24"/>
          <w:lang w:eastAsia="en-US"/>
        </w:rPr>
        <w:t>s</w:t>
      </w:r>
      <w:r w:rsidR="00B261BE" w:rsidRPr="005743A4">
        <w:rPr>
          <w:rFonts w:eastAsiaTheme="minorHAnsi"/>
          <w:szCs w:val="24"/>
          <w:lang w:eastAsia="en-US"/>
        </w:rPr>
        <w:t xml:space="preserve"> of different fuels and the </w:t>
      </w:r>
      <w:r w:rsidR="00162F4A">
        <w:rPr>
          <w:rFonts w:eastAsiaTheme="minorHAnsi"/>
          <w:szCs w:val="24"/>
          <w:lang w:eastAsia="en-US"/>
        </w:rPr>
        <w:t xml:space="preserve">publically accessible </w:t>
      </w:r>
      <w:r w:rsidR="00B261BE" w:rsidRPr="005743A4">
        <w:rPr>
          <w:rFonts w:eastAsiaTheme="minorHAnsi"/>
          <w:szCs w:val="24"/>
          <w:lang w:eastAsia="en-US"/>
        </w:rPr>
        <w:t>recharging points required for electric vehicles must be mainly built on market terms, provided that market players are able to deliver services at a reasonable cost and in a timely manner;</w:t>
      </w:r>
    </w:p>
    <w:p w14:paraId="3F3FB59C" w14:textId="68CB4D24" w:rsidR="00B261BE" w:rsidRPr="005743A4" w:rsidRDefault="00E40165" w:rsidP="00860182">
      <w:pPr>
        <w:pStyle w:val="Normal12Hanging"/>
        <w:rPr>
          <w:rFonts w:eastAsiaTheme="minorHAnsi"/>
          <w:szCs w:val="24"/>
          <w:lang w:eastAsia="en-US"/>
        </w:rPr>
      </w:pPr>
      <w:r w:rsidRPr="00C16451">
        <w:t>8</w:t>
      </w:r>
      <w:r w:rsidR="00020707">
        <w:t>.</w:t>
      </w:r>
      <w:r w:rsidR="001443A5" w:rsidRPr="005743A4">
        <w:tab/>
      </w:r>
      <w:r w:rsidR="00B261BE" w:rsidRPr="005743A4">
        <w:rPr>
          <w:rFonts w:eastAsiaTheme="minorHAnsi"/>
          <w:szCs w:val="24"/>
          <w:lang w:eastAsia="en-US"/>
        </w:rPr>
        <w:t xml:space="preserve">Underlines the need for comprehensive private and shared public charging infrastructure </w:t>
      </w:r>
      <w:r w:rsidR="00162F4A">
        <w:rPr>
          <w:rFonts w:eastAsiaTheme="minorHAnsi"/>
          <w:szCs w:val="24"/>
          <w:lang w:eastAsia="en-US"/>
        </w:rPr>
        <w:t xml:space="preserve">to </w:t>
      </w:r>
      <w:r w:rsidR="00B261BE" w:rsidRPr="005743A4">
        <w:rPr>
          <w:rFonts w:eastAsiaTheme="minorHAnsi"/>
          <w:szCs w:val="24"/>
          <w:lang w:eastAsia="en-US"/>
        </w:rPr>
        <w:t xml:space="preserve">allow charging of electric vehicles and bikes at home and </w:t>
      </w:r>
      <w:r w:rsidR="00162F4A">
        <w:rPr>
          <w:rFonts w:eastAsiaTheme="minorHAnsi"/>
          <w:szCs w:val="24"/>
          <w:lang w:eastAsia="en-US"/>
        </w:rPr>
        <w:t>at</w:t>
      </w:r>
      <w:r w:rsidR="00B261BE" w:rsidRPr="005743A4">
        <w:rPr>
          <w:rFonts w:eastAsiaTheme="minorHAnsi"/>
          <w:szCs w:val="24"/>
          <w:lang w:eastAsia="en-US"/>
        </w:rPr>
        <w:t xml:space="preserve"> the workplace, taking into account the need for both public and private investments to meet the minimum provisions outlined in the revision of the Energy Performance of Buildings Directive</w:t>
      </w:r>
      <w:r w:rsidR="00162F4A">
        <w:rPr>
          <w:rStyle w:val="FootnoteReference"/>
          <w:rFonts w:eastAsiaTheme="minorHAnsi"/>
          <w:szCs w:val="24"/>
          <w:lang w:eastAsia="en-US"/>
        </w:rPr>
        <w:footnoteReference w:id="2"/>
      </w:r>
      <w:r w:rsidR="00B261BE" w:rsidRPr="005743A4">
        <w:rPr>
          <w:rFonts w:eastAsiaTheme="minorHAnsi"/>
          <w:szCs w:val="24"/>
          <w:lang w:eastAsia="en-US"/>
        </w:rPr>
        <w:t>;</w:t>
      </w:r>
    </w:p>
    <w:p w14:paraId="40FDE3F0" w14:textId="087BFE78" w:rsidR="00860182" w:rsidRDefault="00E40165" w:rsidP="00860182">
      <w:pPr>
        <w:pStyle w:val="Normal12Hanging"/>
      </w:pPr>
      <w:r>
        <w:t>9</w:t>
      </w:r>
      <w:r w:rsidR="001443A5" w:rsidRPr="001443A5">
        <w:t>.</w:t>
      </w:r>
      <w:r w:rsidR="00593324">
        <w:tab/>
        <w:t xml:space="preserve">Underlines that although digital opportunities will arise from further developments </w:t>
      </w:r>
      <w:r w:rsidR="00864A88">
        <w:t>in</w:t>
      </w:r>
      <w:r w:rsidR="00593324">
        <w:t xml:space="preserve"> electro-mobility</w:t>
      </w:r>
      <w:r w:rsidR="00162F4A">
        <w:t>,</w:t>
      </w:r>
      <w:r w:rsidR="00593324">
        <w:t xml:space="preserve"> such as smart grid</w:t>
      </w:r>
      <w:r w:rsidR="00856E90">
        <w:t>s</w:t>
      </w:r>
      <w:r w:rsidR="00593324">
        <w:t>, e-payment or connectivity with other associated services, new challenges will result from smart charging and data exchange</w:t>
      </w:r>
      <w:r w:rsidR="00856E90">
        <w:t>,</w:t>
      </w:r>
      <w:r w:rsidR="00593324">
        <w:t xml:space="preserve"> such as </w:t>
      </w:r>
      <w:r w:rsidR="00593324">
        <w:lastRenderedPageBreak/>
        <w:t>data protection, interoperability of systems, future</w:t>
      </w:r>
      <w:r w:rsidR="00856E90">
        <w:t>-</w:t>
      </w:r>
      <w:r w:rsidR="00593324">
        <w:t>proof systems or free flow of data;</w:t>
      </w:r>
    </w:p>
    <w:p w14:paraId="7BC08159" w14:textId="17DDF632" w:rsidR="002D4158" w:rsidRDefault="00E40165" w:rsidP="00860182">
      <w:pPr>
        <w:pStyle w:val="Normal12Hanging"/>
      </w:pPr>
      <w:r>
        <w:t>10</w:t>
      </w:r>
      <w:r w:rsidR="00860182" w:rsidRPr="001443A5">
        <w:t>.</w:t>
      </w:r>
      <w:r w:rsidR="00593324">
        <w:tab/>
        <w:t>Re</w:t>
      </w:r>
      <w:r w:rsidR="00856E90">
        <w:t>calls</w:t>
      </w:r>
      <w:r w:rsidR="00593324">
        <w:t xml:space="preserve"> the importance </w:t>
      </w:r>
      <w:r w:rsidR="00856E90">
        <w:t>of</w:t>
      </w:r>
      <w:r w:rsidR="00593324">
        <w:t xml:space="preserve"> maintain</w:t>
      </w:r>
      <w:r w:rsidR="00856E90">
        <w:t>ing</w:t>
      </w:r>
      <w:r w:rsidR="00593324">
        <w:t xml:space="preserve"> a harmonised market by promoting the interoperability between servers</w:t>
      </w:r>
      <w:r w:rsidR="0041103C">
        <w:t xml:space="preserve"> and</w:t>
      </w:r>
      <w:r w:rsidR="00593324">
        <w:t xml:space="preserve"> data formats</w:t>
      </w:r>
      <w:r w:rsidR="002A763C">
        <w:t>,</w:t>
      </w:r>
      <w:r w:rsidR="00593324">
        <w:t xml:space="preserve"> and </w:t>
      </w:r>
      <w:r w:rsidR="004B3D5A">
        <w:t xml:space="preserve">standardised </w:t>
      </w:r>
      <w:r w:rsidR="00593324">
        <w:t xml:space="preserve">protocols for the fleet of vehicles; </w:t>
      </w:r>
      <w:r w:rsidR="004B3D5A">
        <w:t xml:space="preserve">welcomes </w:t>
      </w:r>
      <w:r w:rsidR="00125F9D">
        <w:t xml:space="preserve">the </w:t>
      </w:r>
      <w:r w:rsidR="00593324">
        <w:t xml:space="preserve">recent </w:t>
      </w:r>
      <w:r w:rsidR="00125F9D">
        <w:t xml:space="preserve">achievements by </w:t>
      </w:r>
      <w:r w:rsidR="00593324">
        <w:t xml:space="preserve">CEN-CENELEC </w:t>
      </w:r>
      <w:r w:rsidR="00856E90">
        <w:t>in</w:t>
      </w:r>
      <w:r w:rsidR="00593324">
        <w:t xml:space="preserve"> partially overcom</w:t>
      </w:r>
      <w:r w:rsidR="00856E90">
        <w:t>ing</w:t>
      </w:r>
      <w:r w:rsidR="00593324">
        <w:t xml:space="preserve"> the problem of standardisation</w:t>
      </w:r>
      <w:r w:rsidR="00B15C98">
        <w:t>.</w:t>
      </w:r>
      <w:bookmarkEnd w:id="2"/>
    </w:p>
    <w:p w14:paraId="56C286AB" w14:textId="77777777" w:rsidR="002D4158" w:rsidRPr="002D4158" w:rsidRDefault="002D4158" w:rsidP="002D4158">
      <w:r w:rsidRPr="002D4158">
        <w:br w:type="page"/>
      </w:r>
    </w:p>
    <w:p w14:paraId="712CDD8A" w14:textId="1B2002E4" w:rsidR="003E3338" w:rsidRDefault="003E3338">
      <w:pPr>
        <w:autoSpaceDE w:val="0"/>
        <w:autoSpaceDN w:val="0"/>
        <w:adjustRightInd w:val="0"/>
        <w:spacing w:before="240" w:after="240"/>
        <w:jc w:val="center"/>
        <w:rPr>
          <w:rFonts w:ascii="Arial" w:hAnsi="Arial" w:cs="Arial"/>
          <w:b/>
          <w:bCs/>
          <w:color w:val="000000"/>
          <w:szCs w:val="24"/>
        </w:rPr>
      </w:pPr>
      <w:bookmarkStart w:id="4" w:name="ProcPageAD"/>
      <w:r>
        <w:rPr>
          <w:rFonts w:ascii="Arial" w:hAnsi="Arial" w:cs="Arial"/>
          <w:b/>
          <w:bCs/>
          <w:color w:val="000000"/>
          <w:szCs w:val="24"/>
        </w:rPr>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E3338" w14:paraId="2A2CEBD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3BFB61" w14:textId="77777777" w:rsidR="003E3338" w:rsidRDefault="003E3338">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527A901" w14:textId="77777777" w:rsidR="003E3338" w:rsidRDefault="003E3338">
            <w:pPr>
              <w:autoSpaceDE w:val="0"/>
              <w:autoSpaceDN w:val="0"/>
              <w:adjustRightInd w:val="0"/>
              <w:rPr>
                <w:color w:val="000000"/>
                <w:sz w:val="20"/>
              </w:rPr>
            </w:pPr>
            <w:r>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8B735C" w14:textId="77777777" w:rsidR="003E3338" w:rsidRDefault="003E33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D5951F" w14:textId="77777777" w:rsidR="003E3338" w:rsidRDefault="003E33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C6941D" w14:textId="77777777" w:rsidR="003E3338" w:rsidRDefault="003E3338">
            <w:pPr>
              <w:autoSpaceDE w:val="0"/>
              <w:autoSpaceDN w:val="0"/>
              <w:adjustRightInd w:val="0"/>
              <w:rPr>
                <w:rFonts w:ascii="sans-serif" w:hAnsi="sans-serif" w:cs="sans-serif"/>
                <w:color w:val="000000"/>
                <w:szCs w:val="24"/>
              </w:rPr>
            </w:pPr>
          </w:p>
        </w:tc>
      </w:tr>
      <w:tr w:rsidR="003E3338" w14:paraId="2EAE8F3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5F44C9" w14:textId="77777777" w:rsidR="003E3338" w:rsidRDefault="003E3338">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9DE8BAB" w14:textId="77777777" w:rsidR="003E3338" w:rsidRDefault="003E3338">
            <w:pPr>
              <w:autoSpaceDE w:val="0"/>
              <w:autoSpaceDN w:val="0"/>
              <w:adjustRightInd w:val="0"/>
              <w:rPr>
                <w:color w:val="000000"/>
                <w:sz w:val="20"/>
              </w:rPr>
            </w:pPr>
            <w:r>
              <w:rPr>
                <w:color w:val="000000"/>
                <w:sz w:val="20"/>
              </w:rPr>
              <w:t>+:</w:t>
            </w:r>
          </w:p>
          <w:p w14:paraId="09A0DEE4" w14:textId="77777777" w:rsidR="003E3338" w:rsidRDefault="003E3338">
            <w:pPr>
              <w:autoSpaceDE w:val="0"/>
              <w:autoSpaceDN w:val="0"/>
              <w:adjustRightInd w:val="0"/>
              <w:rPr>
                <w:color w:val="000000"/>
                <w:sz w:val="20"/>
              </w:rPr>
            </w:pPr>
            <w:r>
              <w:rPr>
                <w:color w:val="000000"/>
                <w:sz w:val="20"/>
              </w:rPr>
              <w:t>–:</w:t>
            </w:r>
          </w:p>
          <w:p w14:paraId="7B93740B" w14:textId="77777777" w:rsidR="003E3338" w:rsidRDefault="003E333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D7B212" w14:textId="77777777" w:rsidR="003E3338" w:rsidRDefault="003E3338">
            <w:pPr>
              <w:autoSpaceDE w:val="0"/>
              <w:autoSpaceDN w:val="0"/>
              <w:adjustRightInd w:val="0"/>
              <w:rPr>
                <w:color w:val="000000"/>
                <w:sz w:val="20"/>
              </w:rPr>
            </w:pPr>
            <w:r>
              <w:rPr>
                <w:color w:val="000000"/>
                <w:sz w:val="20"/>
              </w:rPr>
              <w:t>53</w:t>
            </w:r>
          </w:p>
          <w:p w14:paraId="07D741EC" w14:textId="77777777" w:rsidR="003E3338" w:rsidRDefault="003E3338">
            <w:pPr>
              <w:autoSpaceDE w:val="0"/>
              <w:autoSpaceDN w:val="0"/>
              <w:adjustRightInd w:val="0"/>
              <w:rPr>
                <w:color w:val="000000"/>
                <w:sz w:val="20"/>
              </w:rPr>
            </w:pPr>
            <w:r>
              <w:rPr>
                <w:color w:val="000000"/>
                <w:sz w:val="20"/>
              </w:rPr>
              <w:t>3</w:t>
            </w:r>
          </w:p>
          <w:p w14:paraId="6808A4FE" w14:textId="77777777" w:rsidR="003E3338" w:rsidRDefault="003E3338">
            <w:pPr>
              <w:autoSpaceDE w:val="0"/>
              <w:autoSpaceDN w:val="0"/>
              <w:adjustRightInd w:val="0"/>
              <w:rPr>
                <w:color w:val="000000"/>
                <w:sz w:val="20"/>
              </w:rPr>
            </w:pPr>
            <w:r>
              <w:rPr>
                <w:color w:val="000000"/>
                <w:sz w:val="20"/>
              </w:rPr>
              <w:t>1</w:t>
            </w:r>
          </w:p>
        </w:tc>
      </w:tr>
      <w:tr w:rsidR="003E3338" w14:paraId="4FFAC87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B852B8" w14:textId="77777777" w:rsidR="003E3338" w:rsidRDefault="003E3338">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4A49B7" w14:textId="77777777" w:rsidR="003E3338" w:rsidRDefault="003E3338">
            <w:pPr>
              <w:autoSpaceDE w:val="0"/>
              <w:autoSpaceDN w:val="0"/>
              <w:adjustRightInd w:val="0"/>
              <w:rPr>
                <w:color w:val="000000"/>
                <w:sz w:val="20"/>
              </w:rPr>
            </w:pPr>
            <w:r>
              <w:rPr>
                <w:color w:val="000000"/>
                <w:sz w:val="20"/>
              </w:rPr>
              <w:t>Zigmantas Balčytis, Bendt Bendtsen, Xabier Benito Ziluaga, José Blanco López, Cristian-Silviu Buşoi, Jerzy Buzek, Angelo Ciocca, Edward Czesak, Jakop Dalunde, Pilar del Castillo Vera, Christian Ehler, Fredrick Federley, Adam Gierek, Theresa Griffin, Rebecca Harms, Barbara Kappel, Krišjānis Kariņš, Seán Kelly, Jeppe Kofod, Jaromír Kohlíček, Peter Kouroumbashev, Zdzisław Krasnodębski, Christelle Lechevalier, Janusz Lewandowski, Edouard Martin, Tilly Metz, Csaba Molnár, Nadine Morano, Dan Nica, Angelika Niebler, Morten Helveg Petersen, Miroslav Poche, Paul Rübig, Massimiliano Salini, Algirdas Saudargas, Sven Schulze, Neoklis Sylikiotis, Dario Tamburrano, Patrizia Toia, Evžen Tošenovský, Vladimir Urutchev, Kathleen Van Brempt, Henna Virkkunen, Lieve Wierinck, Hermann Winkler, Anna Záborská, Flavio Zanonato, Carlos Zorrinho</w:t>
            </w:r>
          </w:p>
        </w:tc>
      </w:tr>
      <w:tr w:rsidR="003E3338" w14:paraId="442D5C7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E99F60" w14:textId="77777777" w:rsidR="003E3338" w:rsidRDefault="003E3338">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794026A" w14:textId="77777777" w:rsidR="003E3338" w:rsidRDefault="003E3338">
            <w:pPr>
              <w:autoSpaceDE w:val="0"/>
              <w:autoSpaceDN w:val="0"/>
              <w:adjustRightInd w:val="0"/>
              <w:rPr>
                <w:color w:val="000000"/>
                <w:sz w:val="20"/>
              </w:rPr>
            </w:pPr>
            <w:r>
              <w:rPr>
                <w:color w:val="000000"/>
                <w:sz w:val="20"/>
              </w:rPr>
              <w:t>Michał Boni, Benedek Jávor, Olle Ludvigsson, Marisa Matias, Rupert Matthews, Gesine Meissner, Dominique Riquet</w:t>
            </w:r>
          </w:p>
        </w:tc>
      </w:tr>
      <w:tr w:rsidR="003E3338" w14:paraId="7508FD6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4252A0" w14:textId="77777777" w:rsidR="003E3338" w:rsidRDefault="003E3338">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A687979" w14:textId="77777777" w:rsidR="003E3338" w:rsidRDefault="003E3338">
            <w:pPr>
              <w:autoSpaceDE w:val="0"/>
              <w:autoSpaceDN w:val="0"/>
              <w:adjustRightInd w:val="0"/>
              <w:rPr>
                <w:color w:val="000000"/>
                <w:sz w:val="20"/>
              </w:rPr>
            </w:pPr>
            <w:r>
              <w:rPr>
                <w:color w:val="000000"/>
                <w:sz w:val="20"/>
              </w:rPr>
              <w:t>Romeo Franz, Ulrike Rodust</w:t>
            </w:r>
          </w:p>
        </w:tc>
      </w:tr>
    </w:tbl>
    <w:p w14:paraId="74ED7E0D" w14:textId="77777777" w:rsidR="003E3338" w:rsidRDefault="003E3338">
      <w:pPr>
        <w:autoSpaceDE w:val="0"/>
        <w:autoSpaceDN w:val="0"/>
        <w:adjustRightInd w:val="0"/>
        <w:rPr>
          <w:rFonts w:ascii="Arial" w:hAnsi="Arial" w:cs="Arial"/>
          <w:szCs w:val="24"/>
        </w:rPr>
      </w:pPr>
    </w:p>
    <w:p w14:paraId="13DF0101" w14:textId="4DB7B177" w:rsidR="003E3338" w:rsidRDefault="003E3338" w:rsidP="002D4158"/>
    <w:bookmarkEnd w:id="4"/>
    <w:p w14:paraId="63E0FB56" w14:textId="62117E71" w:rsidR="00DD5DD3" w:rsidRPr="00DD5DD3" w:rsidRDefault="00DD5DD3" w:rsidP="00DD5DD3">
      <w:r w:rsidRPr="00DD5DD3">
        <w:br w:type="page"/>
      </w:r>
    </w:p>
    <w:p w14:paraId="2CD503DC" w14:textId="677D72FD" w:rsidR="00DD5DD3" w:rsidRPr="0099178F" w:rsidRDefault="00DD5DD3" w:rsidP="00C2406B">
      <w:pPr>
        <w:pStyle w:val="PageHeadingNotTOC"/>
      </w:pPr>
      <w:bookmarkStart w:id="5" w:name="RollCallPageAD"/>
      <w:r>
        <w:lastRenderedPageBreak/>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5DD3" w:rsidRPr="00F64B87" w14:paraId="2B55C17F" w14:textId="77777777" w:rsidTr="00DD5DD3">
        <w:trPr>
          <w:cantSplit/>
        </w:trPr>
        <w:tc>
          <w:tcPr>
            <w:tcW w:w="1701" w:type="dxa"/>
            <w:shd w:val="pct10" w:color="000000" w:fill="FFFFFF"/>
            <w:vAlign w:val="center"/>
          </w:tcPr>
          <w:p w14:paraId="0301E70B" w14:textId="383CF8E6" w:rsidR="00DD5DD3" w:rsidRPr="00F079B8" w:rsidRDefault="00DD5DD3" w:rsidP="008920AC">
            <w:pPr>
              <w:spacing w:before="120" w:after="120"/>
              <w:jc w:val="center"/>
              <w:rPr>
                <w:b/>
                <w:sz w:val="20"/>
              </w:rPr>
            </w:pPr>
            <w:r>
              <w:rPr>
                <w:b/>
                <w:sz w:val="20"/>
              </w:rPr>
              <w:t>53</w:t>
            </w:r>
          </w:p>
        </w:tc>
        <w:tc>
          <w:tcPr>
            <w:tcW w:w="7371" w:type="dxa"/>
            <w:shd w:val="pct10" w:color="000000" w:fill="FFFFFF"/>
          </w:tcPr>
          <w:p w14:paraId="7B09357C" w14:textId="77777777" w:rsidR="00DD5DD3" w:rsidRPr="00AB7DBA" w:rsidRDefault="00DD5DD3" w:rsidP="008920AC">
            <w:pPr>
              <w:spacing w:before="120" w:after="120"/>
              <w:jc w:val="center"/>
              <w:rPr>
                <w:rFonts w:ascii="Arial" w:hAnsi="Arial" w:cs="Arial"/>
                <w:b/>
                <w:sz w:val="28"/>
                <w:szCs w:val="28"/>
              </w:rPr>
            </w:pPr>
            <w:r w:rsidRPr="00AB7DBA">
              <w:rPr>
                <w:rFonts w:ascii="Arial" w:hAnsi="Arial" w:cs="Arial"/>
                <w:b/>
                <w:sz w:val="28"/>
                <w:szCs w:val="28"/>
              </w:rPr>
              <w:t>+</w:t>
            </w:r>
          </w:p>
        </w:tc>
      </w:tr>
      <w:tr w:rsidR="00DD5DD3" w:rsidRPr="00F64B87" w14:paraId="70210901" w14:textId="77777777" w:rsidTr="00DD5DD3">
        <w:trPr>
          <w:cantSplit/>
        </w:trPr>
        <w:tc>
          <w:tcPr>
            <w:tcW w:w="1701" w:type="dxa"/>
            <w:shd w:val="clear" w:color="auto" w:fill="FFFFFF"/>
          </w:tcPr>
          <w:p w14:paraId="13ED01D3" w14:textId="69F91C62" w:rsidR="00DD5DD3" w:rsidRPr="00F079B8" w:rsidRDefault="00DD5DD3" w:rsidP="008920AC">
            <w:pPr>
              <w:spacing w:before="120" w:after="120"/>
              <w:rPr>
                <w:sz w:val="20"/>
              </w:rPr>
            </w:pPr>
            <w:r>
              <w:rPr>
                <w:sz w:val="20"/>
              </w:rPr>
              <w:t>ALDE</w:t>
            </w:r>
          </w:p>
        </w:tc>
        <w:tc>
          <w:tcPr>
            <w:tcW w:w="7371" w:type="dxa"/>
            <w:shd w:val="clear" w:color="auto" w:fill="FFFFFF"/>
          </w:tcPr>
          <w:p w14:paraId="066BC995" w14:textId="335C4E96" w:rsidR="00DD5DD3" w:rsidRPr="00DD5DD3" w:rsidRDefault="00DD5DD3" w:rsidP="008920AC">
            <w:pPr>
              <w:spacing w:before="120" w:after="120"/>
              <w:rPr>
                <w:sz w:val="20"/>
              </w:rPr>
            </w:pPr>
            <w:r>
              <w:rPr>
                <w:sz w:val="20"/>
              </w:rPr>
              <w:t>Fredrick Federley, Gesine Meissner, Morten Helveg Petersen, Dominique Riquet, Lieve Wierinck</w:t>
            </w:r>
          </w:p>
        </w:tc>
      </w:tr>
      <w:tr w:rsidR="00DD5DD3" w:rsidRPr="00F64B87" w14:paraId="63D4125B" w14:textId="77777777" w:rsidTr="00DD5DD3">
        <w:trPr>
          <w:cantSplit/>
        </w:trPr>
        <w:tc>
          <w:tcPr>
            <w:tcW w:w="1701" w:type="dxa"/>
            <w:shd w:val="clear" w:color="auto" w:fill="FFFFFF"/>
          </w:tcPr>
          <w:p w14:paraId="02B523FA" w14:textId="13889729" w:rsidR="00DD5DD3" w:rsidRPr="00DD5DD3" w:rsidRDefault="00DD5DD3" w:rsidP="008920AC">
            <w:pPr>
              <w:spacing w:before="120" w:after="120"/>
              <w:rPr>
                <w:sz w:val="20"/>
              </w:rPr>
            </w:pPr>
            <w:r>
              <w:rPr>
                <w:sz w:val="20"/>
              </w:rPr>
              <w:t xml:space="preserve">ECR </w:t>
            </w:r>
          </w:p>
        </w:tc>
        <w:tc>
          <w:tcPr>
            <w:tcW w:w="7371" w:type="dxa"/>
            <w:shd w:val="clear" w:color="auto" w:fill="FFFFFF"/>
          </w:tcPr>
          <w:p w14:paraId="7A31CEB6" w14:textId="74C3AC7B" w:rsidR="00DD5DD3" w:rsidRDefault="00DD5DD3" w:rsidP="008920AC">
            <w:pPr>
              <w:spacing w:before="120" w:after="120"/>
              <w:rPr>
                <w:sz w:val="20"/>
              </w:rPr>
            </w:pPr>
            <w:r>
              <w:rPr>
                <w:sz w:val="20"/>
              </w:rPr>
              <w:t>Edward Czesak, Zdzisław Krasnodębski, Rupert Matthews, Evžen Tošenovský</w:t>
            </w:r>
          </w:p>
        </w:tc>
      </w:tr>
      <w:tr w:rsidR="00DD5DD3" w:rsidRPr="00F64B87" w14:paraId="58E9DFD5" w14:textId="77777777" w:rsidTr="00DD5DD3">
        <w:trPr>
          <w:cantSplit/>
        </w:trPr>
        <w:tc>
          <w:tcPr>
            <w:tcW w:w="1701" w:type="dxa"/>
            <w:shd w:val="clear" w:color="auto" w:fill="FFFFFF"/>
          </w:tcPr>
          <w:p w14:paraId="3644A9CE" w14:textId="70105A9F" w:rsidR="00DD5DD3" w:rsidRDefault="00DD5DD3" w:rsidP="008920AC">
            <w:pPr>
              <w:spacing w:before="120" w:after="120"/>
              <w:rPr>
                <w:sz w:val="20"/>
              </w:rPr>
            </w:pPr>
            <w:r>
              <w:rPr>
                <w:sz w:val="20"/>
              </w:rPr>
              <w:t>EFDD</w:t>
            </w:r>
          </w:p>
        </w:tc>
        <w:tc>
          <w:tcPr>
            <w:tcW w:w="7371" w:type="dxa"/>
            <w:shd w:val="clear" w:color="auto" w:fill="FFFFFF"/>
          </w:tcPr>
          <w:p w14:paraId="03330F98" w14:textId="7B988FA4" w:rsidR="00DD5DD3" w:rsidRDefault="00DD5DD3" w:rsidP="008920AC">
            <w:pPr>
              <w:spacing w:before="120" w:after="120"/>
              <w:rPr>
                <w:sz w:val="20"/>
              </w:rPr>
            </w:pPr>
            <w:r>
              <w:rPr>
                <w:sz w:val="20"/>
              </w:rPr>
              <w:t>Dario Tamburrano</w:t>
            </w:r>
          </w:p>
        </w:tc>
      </w:tr>
      <w:tr w:rsidR="00DD5DD3" w:rsidRPr="00F64B87" w14:paraId="6E622448" w14:textId="77777777" w:rsidTr="00DD5DD3">
        <w:trPr>
          <w:cantSplit/>
        </w:trPr>
        <w:tc>
          <w:tcPr>
            <w:tcW w:w="1701" w:type="dxa"/>
            <w:shd w:val="clear" w:color="auto" w:fill="FFFFFF"/>
          </w:tcPr>
          <w:p w14:paraId="7439C7E7" w14:textId="3FDF564E" w:rsidR="00DD5DD3" w:rsidRDefault="00DD5DD3" w:rsidP="008920AC">
            <w:pPr>
              <w:spacing w:before="120" w:after="120"/>
              <w:rPr>
                <w:sz w:val="20"/>
              </w:rPr>
            </w:pPr>
            <w:r>
              <w:rPr>
                <w:sz w:val="20"/>
              </w:rPr>
              <w:t>ENF</w:t>
            </w:r>
          </w:p>
        </w:tc>
        <w:tc>
          <w:tcPr>
            <w:tcW w:w="7371" w:type="dxa"/>
            <w:shd w:val="clear" w:color="auto" w:fill="FFFFFF"/>
          </w:tcPr>
          <w:p w14:paraId="67B6E453" w14:textId="1DA23252" w:rsidR="00DD5DD3" w:rsidRDefault="00DD5DD3" w:rsidP="008920AC">
            <w:pPr>
              <w:spacing w:before="120" w:after="120"/>
              <w:rPr>
                <w:sz w:val="20"/>
              </w:rPr>
            </w:pPr>
            <w:r>
              <w:rPr>
                <w:sz w:val="20"/>
              </w:rPr>
              <w:t>Angelo Ciocca, Barbara Kappel, Christelle Lechevalier</w:t>
            </w:r>
          </w:p>
        </w:tc>
      </w:tr>
      <w:tr w:rsidR="00DD5DD3" w:rsidRPr="00F64B87" w14:paraId="60CF1CAF" w14:textId="77777777" w:rsidTr="00DD5DD3">
        <w:trPr>
          <w:cantSplit/>
        </w:trPr>
        <w:tc>
          <w:tcPr>
            <w:tcW w:w="1701" w:type="dxa"/>
            <w:shd w:val="clear" w:color="auto" w:fill="FFFFFF"/>
          </w:tcPr>
          <w:p w14:paraId="56DBA946" w14:textId="2B786C5C" w:rsidR="00DD5DD3" w:rsidRDefault="00DD5DD3" w:rsidP="00DD5DD3">
            <w:pPr>
              <w:spacing w:before="120" w:after="120"/>
              <w:rPr>
                <w:sz w:val="20"/>
              </w:rPr>
            </w:pPr>
            <w:r>
              <w:rPr>
                <w:sz w:val="20"/>
              </w:rPr>
              <w:t>EPP</w:t>
            </w:r>
          </w:p>
        </w:tc>
        <w:tc>
          <w:tcPr>
            <w:tcW w:w="7371" w:type="dxa"/>
            <w:shd w:val="clear" w:color="auto" w:fill="FFFFFF"/>
          </w:tcPr>
          <w:p w14:paraId="43F9CA35" w14:textId="6BA48D00" w:rsidR="00DD5DD3" w:rsidRDefault="00DD5DD3" w:rsidP="00DD5DD3">
            <w:pPr>
              <w:spacing w:before="120" w:after="120"/>
              <w:rPr>
                <w:sz w:val="20"/>
              </w:rPr>
            </w:pPr>
            <w:r>
              <w:rPr>
                <w:sz w:val="20"/>
              </w:rPr>
              <w:t>Bendt Bendtsen, Michał Boni, Jerzy Buzek, Cristian</w:t>
            </w:r>
            <w:r>
              <w:rPr>
                <w:sz w:val="20"/>
              </w:rPr>
              <w:noBreakHyphen/>
              <w:t>Silviu Buşoi, Christian Ehler, Krišjānis Kariņš, Seán Kelly, Janusz Lewandowski, Nadine Morano, Angelika Niebler, Paul Rübig, Massimiliano Salini, Algirdas Saudargas, Sven Schulze, Vladimir Urutchev, Henna Virkkunen, Hermann Winkler, Anna Záborská, Pilar del Castillo Vera</w:t>
            </w:r>
          </w:p>
        </w:tc>
      </w:tr>
      <w:tr w:rsidR="00DD5DD3" w:rsidRPr="00F64B87" w14:paraId="6FBFD3E3" w14:textId="77777777" w:rsidTr="00DD5DD3">
        <w:trPr>
          <w:cantSplit/>
        </w:trPr>
        <w:tc>
          <w:tcPr>
            <w:tcW w:w="1701" w:type="dxa"/>
            <w:shd w:val="clear" w:color="auto" w:fill="FFFFFF"/>
          </w:tcPr>
          <w:p w14:paraId="4E5B02DA" w14:textId="04934393" w:rsidR="00DD5DD3" w:rsidRDefault="00DD5DD3" w:rsidP="00DD5DD3">
            <w:pPr>
              <w:spacing w:before="120" w:after="120"/>
              <w:rPr>
                <w:sz w:val="20"/>
              </w:rPr>
            </w:pPr>
            <w:r>
              <w:rPr>
                <w:sz w:val="20"/>
              </w:rPr>
              <w:t>S&amp;D</w:t>
            </w:r>
          </w:p>
        </w:tc>
        <w:tc>
          <w:tcPr>
            <w:tcW w:w="7371" w:type="dxa"/>
            <w:shd w:val="clear" w:color="auto" w:fill="FFFFFF"/>
          </w:tcPr>
          <w:p w14:paraId="14893B97" w14:textId="6A466AD9" w:rsidR="00DD5DD3" w:rsidRPr="00DD5DD3" w:rsidRDefault="00DD5DD3" w:rsidP="00DD5DD3">
            <w:pPr>
              <w:spacing w:before="120" w:after="120"/>
              <w:rPr>
                <w:sz w:val="20"/>
              </w:rPr>
            </w:pPr>
            <w:r>
              <w:rPr>
                <w:sz w:val="20"/>
              </w:rPr>
              <w:t>Zigmantas Balčytis, José Blanco López, Jakop Dalunde, Romeo Franz, Adam Gierek, Theresa Griffin, Rebecca Harms, Benedek Jávor, Jeppe Kofod, Peter Kouroumbashev, Olle Ludvigsson, Edouard Martin, Tilly Metz, Csaba Molnár, Dan Nica, Miroslav Poche, Ulrike Rodust, Patrizia Toia, Kathleen Van Brempt, Flavio Zanonato, Carlos Zorrinho</w:t>
            </w:r>
          </w:p>
        </w:tc>
      </w:tr>
    </w:tbl>
    <w:p w14:paraId="3E636E30" w14:textId="77777777" w:rsidR="00DD5DD3" w:rsidRDefault="00DD5DD3"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5DD3" w:rsidRPr="00F64B87" w14:paraId="7EA6684F" w14:textId="77777777" w:rsidTr="008920AC">
        <w:trPr>
          <w:cantSplit/>
        </w:trPr>
        <w:tc>
          <w:tcPr>
            <w:tcW w:w="1701" w:type="dxa"/>
            <w:shd w:val="pct10" w:color="000000" w:fill="FFFFFF"/>
            <w:vAlign w:val="center"/>
          </w:tcPr>
          <w:p w14:paraId="078706FA" w14:textId="36D44375" w:rsidR="00DD5DD3" w:rsidRPr="00BF54D6" w:rsidRDefault="00DD5DD3" w:rsidP="008920AC">
            <w:pPr>
              <w:spacing w:before="120" w:after="120"/>
              <w:jc w:val="center"/>
              <w:rPr>
                <w:b/>
                <w:sz w:val="16"/>
              </w:rPr>
            </w:pPr>
            <w:r>
              <w:rPr>
                <w:b/>
                <w:sz w:val="20"/>
              </w:rPr>
              <w:t>3</w:t>
            </w:r>
          </w:p>
        </w:tc>
        <w:tc>
          <w:tcPr>
            <w:tcW w:w="7371" w:type="dxa"/>
            <w:shd w:val="pct10" w:color="000000" w:fill="FFFFFF"/>
          </w:tcPr>
          <w:p w14:paraId="622348A2" w14:textId="77777777" w:rsidR="00DD5DD3" w:rsidRPr="00AB7DBA" w:rsidRDefault="00DD5DD3" w:rsidP="008920AC">
            <w:pPr>
              <w:spacing w:before="120" w:after="120"/>
              <w:jc w:val="center"/>
              <w:rPr>
                <w:sz w:val="28"/>
                <w:szCs w:val="28"/>
              </w:rPr>
            </w:pPr>
            <w:r w:rsidRPr="00AB7DBA">
              <w:rPr>
                <w:rFonts w:ascii="Arial" w:hAnsi="Arial" w:cs="Arial"/>
                <w:b/>
                <w:sz w:val="28"/>
                <w:szCs w:val="28"/>
              </w:rPr>
              <w:t>-</w:t>
            </w:r>
          </w:p>
        </w:tc>
      </w:tr>
      <w:tr w:rsidR="00DD5DD3" w:rsidRPr="00AE1063" w14:paraId="5DE624A0" w14:textId="77777777" w:rsidTr="008920AC">
        <w:trPr>
          <w:cantSplit/>
        </w:trPr>
        <w:tc>
          <w:tcPr>
            <w:tcW w:w="1701" w:type="dxa"/>
            <w:shd w:val="clear" w:color="auto" w:fill="FFFFFF"/>
          </w:tcPr>
          <w:p w14:paraId="50FC8965" w14:textId="36592E9E" w:rsidR="00DD5DD3" w:rsidRPr="00F079B8" w:rsidRDefault="00DD5DD3" w:rsidP="008920AC">
            <w:pPr>
              <w:spacing w:before="120" w:after="120"/>
              <w:rPr>
                <w:sz w:val="20"/>
              </w:rPr>
            </w:pPr>
            <w:r>
              <w:rPr>
                <w:sz w:val="20"/>
              </w:rPr>
              <w:t>GUE/NGL</w:t>
            </w:r>
          </w:p>
        </w:tc>
        <w:tc>
          <w:tcPr>
            <w:tcW w:w="7371" w:type="dxa"/>
            <w:shd w:val="clear" w:color="auto" w:fill="FFFFFF"/>
          </w:tcPr>
          <w:p w14:paraId="032FDAB6" w14:textId="781D14F8" w:rsidR="00DD5DD3" w:rsidRPr="00316EA9" w:rsidRDefault="00DD5DD3" w:rsidP="00E8697C">
            <w:pPr>
              <w:spacing w:before="120" w:after="120"/>
              <w:rPr>
                <w:sz w:val="20"/>
                <w:lang w:val="pt-PT"/>
              </w:rPr>
            </w:pPr>
            <w:r w:rsidRPr="00316EA9">
              <w:rPr>
                <w:sz w:val="20"/>
                <w:lang w:val="pt-PT"/>
              </w:rPr>
              <w:t>Xabier Benito Ziluaga, Marisa Matias, Neoklis Sylikiotis</w:t>
            </w:r>
          </w:p>
        </w:tc>
      </w:tr>
    </w:tbl>
    <w:p w14:paraId="6117E3EB" w14:textId="77777777" w:rsidR="00DD5DD3" w:rsidRPr="00316EA9" w:rsidRDefault="00DD5DD3" w:rsidP="00147FBF">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5DD3" w:rsidRPr="00F64B87" w14:paraId="39CACD0F" w14:textId="77777777" w:rsidTr="008920AC">
        <w:trPr>
          <w:cantSplit/>
        </w:trPr>
        <w:tc>
          <w:tcPr>
            <w:tcW w:w="1701" w:type="dxa"/>
            <w:shd w:val="pct10" w:color="000000" w:fill="FFFFFF"/>
            <w:vAlign w:val="center"/>
          </w:tcPr>
          <w:p w14:paraId="6C8F9E63" w14:textId="69695772" w:rsidR="00DD5DD3" w:rsidRPr="00BF54D6" w:rsidRDefault="00DD5DD3" w:rsidP="008920AC">
            <w:pPr>
              <w:spacing w:before="120" w:after="120"/>
              <w:jc w:val="center"/>
              <w:rPr>
                <w:b/>
                <w:sz w:val="16"/>
              </w:rPr>
            </w:pPr>
            <w:r>
              <w:rPr>
                <w:b/>
                <w:sz w:val="20"/>
              </w:rPr>
              <w:t>1</w:t>
            </w:r>
          </w:p>
        </w:tc>
        <w:tc>
          <w:tcPr>
            <w:tcW w:w="7371" w:type="dxa"/>
            <w:shd w:val="pct10" w:color="000000" w:fill="FFFFFF"/>
          </w:tcPr>
          <w:p w14:paraId="5CBC2B02" w14:textId="77777777" w:rsidR="00DD5DD3" w:rsidRPr="00AB7DBA" w:rsidRDefault="00DD5DD3" w:rsidP="008920AC">
            <w:pPr>
              <w:spacing w:before="120" w:after="120"/>
              <w:jc w:val="center"/>
              <w:rPr>
                <w:sz w:val="28"/>
                <w:szCs w:val="28"/>
              </w:rPr>
            </w:pPr>
            <w:r w:rsidRPr="00AB7DBA">
              <w:rPr>
                <w:rFonts w:ascii="Arial" w:hAnsi="Arial" w:cs="Arial"/>
                <w:b/>
                <w:sz w:val="28"/>
                <w:szCs w:val="28"/>
              </w:rPr>
              <w:t>0</w:t>
            </w:r>
          </w:p>
        </w:tc>
      </w:tr>
      <w:tr w:rsidR="00DD5DD3" w:rsidRPr="00F64B87" w14:paraId="4DCEB3B5" w14:textId="77777777" w:rsidTr="008920AC">
        <w:trPr>
          <w:cantSplit/>
        </w:trPr>
        <w:tc>
          <w:tcPr>
            <w:tcW w:w="1701" w:type="dxa"/>
            <w:shd w:val="clear" w:color="auto" w:fill="FFFFFF"/>
          </w:tcPr>
          <w:p w14:paraId="3429906B" w14:textId="4AAC4BFF" w:rsidR="00DD5DD3" w:rsidRPr="00F079B8" w:rsidRDefault="00DD5DD3" w:rsidP="008920AC">
            <w:pPr>
              <w:spacing w:before="120" w:after="120"/>
              <w:rPr>
                <w:sz w:val="20"/>
              </w:rPr>
            </w:pPr>
            <w:r>
              <w:rPr>
                <w:sz w:val="20"/>
              </w:rPr>
              <w:t>GUE/NGL</w:t>
            </w:r>
            <w:bookmarkStart w:id="6" w:name="DocEPLastPosition"/>
            <w:bookmarkEnd w:id="6"/>
          </w:p>
        </w:tc>
        <w:tc>
          <w:tcPr>
            <w:tcW w:w="7371" w:type="dxa"/>
            <w:shd w:val="clear" w:color="auto" w:fill="FFFFFF"/>
          </w:tcPr>
          <w:p w14:paraId="399615CA" w14:textId="31A2BB9E" w:rsidR="00DD5DD3" w:rsidRPr="00DD5DD3" w:rsidRDefault="00DD5DD3" w:rsidP="008920AC">
            <w:pPr>
              <w:spacing w:before="120" w:after="120"/>
              <w:rPr>
                <w:sz w:val="20"/>
              </w:rPr>
            </w:pPr>
            <w:r>
              <w:rPr>
                <w:sz w:val="20"/>
              </w:rPr>
              <w:t>Jaromír Kohlíček</w:t>
            </w:r>
          </w:p>
        </w:tc>
      </w:tr>
    </w:tbl>
    <w:p w14:paraId="0DD111FB" w14:textId="77777777" w:rsidR="00DD5DD3" w:rsidRDefault="00DD5DD3" w:rsidP="00147FBF">
      <w:pPr>
        <w:pStyle w:val="Normal12"/>
      </w:pPr>
    </w:p>
    <w:p w14:paraId="28AB7AE4" w14:textId="2BE93A9A" w:rsidR="00DD5DD3" w:rsidRDefault="00DD5DD3" w:rsidP="00B735E3">
      <w:r>
        <w:t>Key to symbols:</w:t>
      </w:r>
    </w:p>
    <w:p w14:paraId="559632DA" w14:textId="39121953" w:rsidR="00DD5DD3" w:rsidRDefault="00DD5DD3" w:rsidP="00B735E3">
      <w:pPr>
        <w:pStyle w:val="NormalTabs"/>
      </w:pPr>
      <w:r>
        <w:t>+</w:t>
      </w:r>
      <w:r>
        <w:tab/>
        <w:t>:</w:t>
      </w:r>
      <w:r>
        <w:tab/>
        <w:t>in favour</w:t>
      </w:r>
    </w:p>
    <w:p w14:paraId="7E29AD9B" w14:textId="08501786" w:rsidR="00DD5DD3" w:rsidRDefault="00DD5DD3" w:rsidP="00B735E3">
      <w:pPr>
        <w:pStyle w:val="NormalTabs"/>
      </w:pPr>
      <w:r>
        <w:t>-</w:t>
      </w:r>
      <w:r>
        <w:tab/>
        <w:t>:</w:t>
      </w:r>
      <w:r>
        <w:tab/>
        <w:t>against</w:t>
      </w:r>
    </w:p>
    <w:p w14:paraId="1FF62067" w14:textId="26855050" w:rsidR="00DD5DD3" w:rsidRDefault="00DD5DD3" w:rsidP="00B735E3">
      <w:pPr>
        <w:pStyle w:val="NormalTabs"/>
      </w:pPr>
      <w:r>
        <w:t>0</w:t>
      </w:r>
      <w:r>
        <w:tab/>
        <w:t>:</w:t>
      </w:r>
      <w:r>
        <w:tab/>
        <w:t>abstention</w:t>
      </w:r>
    </w:p>
    <w:p w14:paraId="4045C418" w14:textId="77777777" w:rsidR="00DD5DD3" w:rsidRDefault="00DD5DD3" w:rsidP="00AD5932"/>
    <w:bookmarkEnd w:id="5"/>
    <w:p w14:paraId="542C9BC7" w14:textId="77777777" w:rsidR="00593324" w:rsidRPr="00DD5DD3" w:rsidRDefault="00593324" w:rsidP="00DD5DD3"/>
    <w:sectPr w:rsidR="00593324" w:rsidRPr="00DD5DD3" w:rsidSect="00FA531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99DC" w14:textId="77777777" w:rsidR="006350B9" w:rsidRPr="00593324" w:rsidRDefault="006350B9">
      <w:r w:rsidRPr="00593324">
        <w:separator/>
      </w:r>
    </w:p>
  </w:endnote>
  <w:endnote w:type="continuationSeparator" w:id="0">
    <w:p w14:paraId="093972A4" w14:textId="77777777" w:rsidR="006350B9" w:rsidRPr="00593324" w:rsidRDefault="006350B9">
      <w:r w:rsidRPr="005933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2638" w14:textId="49FED015" w:rsidR="00FA5312" w:rsidRPr="00C16451" w:rsidRDefault="00FA5312" w:rsidP="00FA5312">
    <w:pPr>
      <w:pStyle w:val="Footer"/>
      <w:rPr>
        <w:lang w:val="it-IT"/>
      </w:rPr>
    </w:pPr>
    <w:r w:rsidRPr="00C16451">
      <w:rPr>
        <w:lang w:val="it-IT"/>
      </w:rPr>
      <w:t>PE</w:t>
    </w:r>
    <w:r w:rsidRPr="00C16451">
      <w:rPr>
        <w:rStyle w:val="HideTWBExt"/>
        <w:lang w:val="it-IT"/>
      </w:rPr>
      <w:t>&lt;NoPE&gt;</w:t>
    </w:r>
    <w:r w:rsidRPr="00C16451">
      <w:rPr>
        <w:lang w:val="it-IT"/>
      </w:rPr>
      <w:t>622.172</w:t>
    </w:r>
    <w:r w:rsidRPr="00C16451">
      <w:rPr>
        <w:rStyle w:val="HideTWBExt"/>
        <w:lang w:val="it-IT"/>
      </w:rPr>
      <w:t>&lt;/NoPE&gt;&lt;Version&gt;</w:t>
    </w:r>
    <w:r w:rsidRPr="00C16451">
      <w:rPr>
        <w:lang w:val="it-IT"/>
      </w:rPr>
      <w:t>v02-00</w:t>
    </w:r>
    <w:r w:rsidRPr="00C16451">
      <w:rPr>
        <w:rStyle w:val="HideTWBExt"/>
        <w:lang w:val="it-IT"/>
      </w:rPr>
      <w:t>&lt;/Version&gt;</w:t>
    </w:r>
    <w:r w:rsidRPr="00C16451">
      <w:rPr>
        <w:lang w:val="it-IT"/>
      </w:rPr>
      <w:tab/>
    </w:r>
    <w:r>
      <w:rPr>
        <w:lang w:val="fr-FR"/>
      </w:rPr>
      <w:fldChar w:fldCharType="begin"/>
    </w:r>
    <w:r w:rsidRPr="00C16451">
      <w:rPr>
        <w:lang w:val="it-IT"/>
      </w:rPr>
      <w:instrText xml:space="preserve"> PAGE  \* MERGEFORMAT </w:instrText>
    </w:r>
    <w:r>
      <w:rPr>
        <w:lang w:val="fr-FR"/>
      </w:rPr>
      <w:fldChar w:fldCharType="separate"/>
    </w:r>
    <w:r w:rsidR="0082285E">
      <w:rPr>
        <w:noProof/>
        <w:lang w:val="it-IT"/>
      </w:rPr>
      <w:t>6</w:t>
    </w:r>
    <w:r>
      <w:rPr>
        <w:lang w:val="fr-FR"/>
      </w:rPr>
      <w:fldChar w:fldCharType="end"/>
    </w:r>
    <w:r w:rsidRPr="00C16451">
      <w:rPr>
        <w:lang w:val="it-IT"/>
      </w:rPr>
      <w:t>/</w:t>
    </w:r>
    <w:r>
      <w:rPr>
        <w:lang w:val="fr-FR"/>
      </w:rPr>
      <w:fldChar w:fldCharType="begin"/>
    </w:r>
    <w:r w:rsidRPr="00C16451">
      <w:rPr>
        <w:lang w:val="it-IT"/>
      </w:rPr>
      <w:instrText xml:space="preserve"> NUMPAGES  \* MERGEFORMAT </w:instrText>
    </w:r>
    <w:r>
      <w:rPr>
        <w:lang w:val="fr-FR"/>
      </w:rPr>
      <w:fldChar w:fldCharType="separate"/>
    </w:r>
    <w:r w:rsidR="0082285E">
      <w:rPr>
        <w:noProof/>
        <w:lang w:val="it-IT"/>
      </w:rPr>
      <w:t>7</w:t>
    </w:r>
    <w:r>
      <w:rPr>
        <w:lang w:val="fr-FR"/>
      </w:rPr>
      <w:fldChar w:fldCharType="end"/>
    </w:r>
    <w:r w:rsidRPr="00C16451">
      <w:rPr>
        <w:lang w:val="it-IT"/>
      </w:rPr>
      <w:tab/>
    </w:r>
    <w:r w:rsidRPr="00C16451">
      <w:rPr>
        <w:rStyle w:val="HideTWBExt"/>
        <w:lang w:val="it-IT"/>
      </w:rPr>
      <w:t>&lt;PathFdR&gt;</w:t>
    </w:r>
    <w:r w:rsidRPr="00C16451">
      <w:rPr>
        <w:lang w:val="it-IT"/>
      </w:rPr>
      <w:t>AD\1155346</w:t>
    </w:r>
    <w:r w:rsidR="0082285E">
      <w:rPr>
        <w:lang w:val="it-IT"/>
      </w:rPr>
      <w:t>EN</w:t>
    </w:r>
    <w:r w:rsidRPr="00C16451">
      <w:rPr>
        <w:lang w:val="it-IT"/>
      </w:rPr>
      <w:t>.docx</w:t>
    </w:r>
    <w:r w:rsidRPr="00C16451">
      <w:rPr>
        <w:rStyle w:val="HideTWBExt"/>
        <w:lang w:val="it-IT"/>
      </w:rPr>
      <w:t>&lt;/PathFdR&gt;</w:t>
    </w:r>
  </w:p>
  <w:p w14:paraId="4AA648A3" w14:textId="1996765F" w:rsidR="002E2F2E" w:rsidRPr="00826AF0" w:rsidRDefault="0082285E" w:rsidP="00FA5312">
    <w:pPr>
      <w:pStyle w:val="Footer2"/>
      <w:rPr>
        <w:lang w:val="fr-FR"/>
      </w:rPr>
    </w:pPr>
    <w:r>
      <w:rPr>
        <w:lang w:val="fr-FR"/>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CBB3" w14:textId="2EC2073C" w:rsidR="00FA5312" w:rsidRPr="00C16451" w:rsidRDefault="00FA5312" w:rsidP="00FA5312">
    <w:pPr>
      <w:pStyle w:val="Footer"/>
      <w:rPr>
        <w:lang w:val="it-IT"/>
      </w:rPr>
    </w:pPr>
    <w:r w:rsidRPr="00C16451">
      <w:rPr>
        <w:rStyle w:val="HideTWBExt"/>
        <w:lang w:val="it-IT"/>
      </w:rPr>
      <w:t>&lt;PathFdR&gt;</w:t>
    </w:r>
    <w:r w:rsidRPr="00C16451">
      <w:rPr>
        <w:lang w:val="it-IT"/>
      </w:rPr>
      <w:t>AD\1155346</w:t>
    </w:r>
    <w:r w:rsidR="0082285E">
      <w:rPr>
        <w:lang w:val="it-IT"/>
      </w:rPr>
      <w:t>EN</w:t>
    </w:r>
    <w:r w:rsidRPr="00C16451">
      <w:rPr>
        <w:lang w:val="it-IT"/>
      </w:rPr>
      <w:t>.docx</w:t>
    </w:r>
    <w:r w:rsidRPr="00C16451">
      <w:rPr>
        <w:rStyle w:val="HideTWBExt"/>
        <w:lang w:val="it-IT"/>
      </w:rPr>
      <w:t>&lt;/PathFdR&gt;</w:t>
    </w:r>
    <w:r w:rsidRPr="00C16451">
      <w:rPr>
        <w:lang w:val="it-IT"/>
      </w:rPr>
      <w:tab/>
    </w:r>
    <w:r>
      <w:rPr>
        <w:lang w:val="es-ES"/>
      </w:rPr>
      <w:fldChar w:fldCharType="begin"/>
    </w:r>
    <w:r w:rsidRPr="00C16451">
      <w:rPr>
        <w:lang w:val="it-IT"/>
      </w:rPr>
      <w:instrText xml:space="preserve"> PAGE  \* MERGEFORMAT </w:instrText>
    </w:r>
    <w:r>
      <w:rPr>
        <w:lang w:val="es-ES"/>
      </w:rPr>
      <w:fldChar w:fldCharType="separate"/>
    </w:r>
    <w:r w:rsidR="0082285E">
      <w:rPr>
        <w:noProof/>
        <w:lang w:val="it-IT"/>
      </w:rPr>
      <w:t>5</w:t>
    </w:r>
    <w:r>
      <w:rPr>
        <w:lang w:val="es-ES"/>
      </w:rPr>
      <w:fldChar w:fldCharType="end"/>
    </w:r>
    <w:r w:rsidRPr="00C16451">
      <w:rPr>
        <w:lang w:val="it-IT"/>
      </w:rPr>
      <w:t>/</w:t>
    </w:r>
    <w:r>
      <w:rPr>
        <w:lang w:val="es-ES"/>
      </w:rPr>
      <w:fldChar w:fldCharType="begin"/>
    </w:r>
    <w:r w:rsidRPr="00C16451">
      <w:rPr>
        <w:lang w:val="it-IT"/>
      </w:rPr>
      <w:instrText xml:space="preserve"> NUMPAGES  \* MERGEFORMAT </w:instrText>
    </w:r>
    <w:r>
      <w:rPr>
        <w:lang w:val="es-ES"/>
      </w:rPr>
      <w:fldChar w:fldCharType="separate"/>
    </w:r>
    <w:r w:rsidR="0082285E">
      <w:rPr>
        <w:noProof/>
        <w:lang w:val="it-IT"/>
      </w:rPr>
      <w:t>7</w:t>
    </w:r>
    <w:r>
      <w:rPr>
        <w:lang w:val="es-ES"/>
      </w:rPr>
      <w:fldChar w:fldCharType="end"/>
    </w:r>
    <w:r w:rsidRPr="00C16451">
      <w:rPr>
        <w:lang w:val="it-IT"/>
      </w:rPr>
      <w:tab/>
      <w:t>PE</w:t>
    </w:r>
    <w:r w:rsidRPr="00C16451">
      <w:rPr>
        <w:rStyle w:val="HideTWBExt"/>
        <w:lang w:val="it-IT"/>
      </w:rPr>
      <w:t>&lt;NoPE&gt;</w:t>
    </w:r>
    <w:r w:rsidRPr="00C16451">
      <w:rPr>
        <w:lang w:val="it-IT"/>
      </w:rPr>
      <w:t>622.172</w:t>
    </w:r>
    <w:r w:rsidRPr="00C16451">
      <w:rPr>
        <w:rStyle w:val="HideTWBExt"/>
        <w:lang w:val="it-IT"/>
      </w:rPr>
      <w:t>&lt;/NoPE&gt;&lt;Version&gt;</w:t>
    </w:r>
    <w:r w:rsidRPr="00C16451">
      <w:rPr>
        <w:lang w:val="it-IT"/>
      </w:rPr>
      <w:t>v02-00</w:t>
    </w:r>
    <w:r w:rsidRPr="00C16451">
      <w:rPr>
        <w:rStyle w:val="HideTWBExt"/>
        <w:lang w:val="it-IT"/>
      </w:rPr>
      <w:t>&lt;/Version&gt;</w:t>
    </w:r>
  </w:p>
  <w:p w14:paraId="3421A64B" w14:textId="28D03EEE" w:rsidR="002E2F2E" w:rsidRPr="00826AF0" w:rsidRDefault="00FA5312" w:rsidP="00FA5312">
    <w:pPr>
      <w:pStyle w:val="Footer2"/>
      <w:rPr>
        <w:lang w:val="es-ES"/>
      </w:rPr>
    </w:pPr>
    <w:r w:rsidRPr="00C16451">
      <w:rPr>
        <w:lang w:val="it-IT"/>
      </w:rPr>
      <w:tab/>
    </w:r>
    <w:r w:rsidR="0082285E">
      <w:rPr>
        <w:lang w:val="es-ES"/>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1589" w14:textId="580AFA44" w:rsidR="00FA5312" w:rsidRPr="00C16451" w:rsidRDefault="00FA5312" w:rsidP="00FA5312">
    <w:pPr>
      <w:pStyle w:val="Footer"/>
      <w:rPr>
        <w:lang w:val="it-IT"/>
      </w:rPr>
    </w:pPr>
    <w:r w:rsidRPr="00C16451">
      <w:rPr>
        <w:rStyle w:val="HideTWBExt"/>
        <w:lang w:val="it-IT"/>
      </w:rPr>
      <w:t>&lt;PathFdR&gt;</w:t>
    </w:r>
    <w:r w:rsidRPr="00C16451">
      <w:rPr>
        <w:lang w:val="it-IT"/>
      </w:rPr>
      <w:t>AD\1155346</w:t>
    </w:r>
    <w:r w:rsidR="0082285E">
      <w:rPr>
        <w:lang w:val="it-IT"/>
      </w:rPr>
      <w:t>EN</w:t>
    </w:r>
    <w:r w:rsidRPr="00C16451">
      <w:rPr>
        <w:lang w:val="it-IT"/>
      </w:rPr>
      <w:t>.docx</w:t>
    </w:r>
    <w:r w:rsidRPr="00C16451">
      <w:rPr>
        <w:rStyle w:val="HideTWBExt"/>
        <w:lang w:val="it-IT"/>
      </w:rPr>
      <w:t>&lt;/PathFdR&gt;</w:t>
    </w:r>
    <w:r w:rsidRPr="00C16451">
      <w:rPr>
        <w:lang w:val="it-IT"/>
      </w:rPr>
      <w:tab/>
    </w:r>
    <w:r w:rsidRPr="00C16451">
      <w:rPr>
        <w:lang w:val="it-IT"/>
      </w:rPr>
      <w:tab/>
      <w:t>PE</w:t>
    </w:r>
    <w:r w:rsidRPr="00C16451">
      <w:rPr>
        <w:rStyle w:val="HideTWBExt"/>
        <w:lang w:val="it-IT"/>
      </w:rPr>
      <w:t>&lt;NoPE&gt;</w:t>
    </w:r>
    <w:r w:rsidRPr="00C16451">
      <w:rPr>
        <w:lang w:val="it-IT"/>
      </w:rPr>
      <w:t>622.172</w:t>
    </w:r>
    <w:r w:rsidRPr="00C16451">
      <w:rPr>
        <w:rStyle w:val="HideTWBExt"/>
        <w:lang w:val="it-IT"/>
      </w:rPr>
      <w:t>&lt;/NoPE&gt;&lt;Version&gt;</w:t>
    </w:r>
    <w:r w:rsidRPr="00C16451">
      <w:rPr>
        <w:lang w:val="it-IT"/>
      </w:rPr>
      <w:t>v02-00</w:t>
    </w:r>
    <w:r w:rsidRPr="00C16451">
      <w:rPr>
        <w:rStyle w:val="HideTWBExt"/>
        <w:lang w:val="it-IT"/>
      </w:rPr>
      <w:t>&lt;/Version&gt;</w:t>
    </w:r>
  </w:p>
  <w:p w14:paraId="594A49B6" w14:textId="1EB0F7BB" w:rsidR="002E2F2E" w:rsidRPr="00593324" w:rsidRDefault="0082285E" w:rsidP="00FA5312">
    <w:pPr>
      <w:pStyle w:val="Footer2"/>
      <w:tabs>
        <w:tab w:val="center" w:pos="4535"/>
      </w:tabs>
    </w:pPr>
    <w:r>
      <w:t>EN</w:t>
    </w:r>
    <w:r w:rsidR="00FA5312">
      <w:tab/>
    </w:r>
    <w:r w:rsidR="00FA5312" w:rsidRPr="00FA5312">
      <w:rPr>
        <w:b w:val="0"/>
        <w:i/>
        <w:color w:val="C0C0C0"/>
        <w:sz w:val="22"/>
      </w:rPr>
      <w:t>United in diversity</w:t>
    </w:r>
    <w:r w:rsidR="00FA5312">
      <w:tab/>
    </w:r>
    <w: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0BFA6" w14:textId="77777777" w:rsidR="006350B9" w:rsidRPr="00593324" w:rsidRDefault="006350B9">
      <w:r w:rsidRPr="00593324">
        <w:separator/>
      </w:r>
    </w:p>
  </w:footnote>
  <w:footnote w:type="continuationSeparator" w:id="0">
    <w:p w14:paraId="08977A68" w14:textId="77777777" w:rsidR="006350B9" w:rsidRPr="00593324" w:rsidRDefault="006350B9">
      <w:r w:rsidRPr="00593324">
        <w:continuationSeparator/>
      </w:r>
    </w:p>
  </w:footnote>
  <w:footnote w:id="1">
    <w:p w14:paraId="52500CF1" w14:textId="3FF3EFC8" w:rsidR="00C50F41" w:rsidRPr="0082285E" w:rsidRDefault="00C50F41">
      <w:pPr>
        <w:pStyle w:val="FootnoteText"/>
        <w:rPr>
          <w:lang w:val="fr-FR"/>
        </w:rPr>
      </w:pPr>
      <w:r>
        <w:rPr>
          <w:rStyle w:val="FootnoteReference"/>
        </w:rPr>
        <w:footnoteRef/>
      </w:r>
      <w:r>
        <w:t xml:space="preserve"> </w:t>
      </w:r>
      <w:r w:rsidRPr="00C50F41">
        <w:t>OJ L 307, 28.10.2014, p. 1</w:t>
      </w:r>
      <w:r>
        <w:t>.</w:t>
      </w:r>
    </w:p>
  </w:footnote>
  <w:footnote w:id="2">
    <w:p w14:paraId="70401468" w14:textId="1465FA7A" w:rsidR="00162F4A" w:rsidRPr="0082285E" w:rsidRDefault="00162F4A">
      <w:pPr>
        <w:pStyle w:val="FootnoteText"/>
        <w:rPr>
          <w:lang w:val="fr-FR"/>
        </w:rPr>
      </w:pPr>
      <w:r>
        <w:rPr>
          <w:rStyle w:val="FootnoteReference"/>
        </w:rPr>
        <w:footnoteRef/>
      </w:r>
      <w:r>
        <w:t xml:space="preserve"> </w:t>
      </w:r>
      <w:r w:rsidRPr="00162F4A">
        <w:t>OJ L 153, 18.6.2010, p. 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46E26" w14:textId="77777777" w:rsidR="0082285E" w:rsidRDefault="00822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9C76" w14:textId="77777777" w:rsidR="0082285E" w:rsidRDefault="00822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1EE3" w14:textId="77777777" w:rsidR="0082285E" w:rsidRDefault="00822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814133"/>
    <w:multiLevelType w:val="hybridMultilevel"/>
    <w:tmpl w:val="C8B8C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TRAN"/>
    <w:docVar w:name="COMKEY" w:val="ITRE"/>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930965 HideTWBInt;}{\s16\ql \fi-567\li567\ri0\sa240\nowidctlpar\wrapdefault\aspalpha\aspnum\faauto\adjustright\rin0\lin567\itap0 \rtlch\fcs1 \af0\afs20\alang1025 \ltrch\fcs0 _x000d__x000a_\fs24\lang2057\langfe2057\cgrid\langnp2057\langfenp2057 \sbasedon0 \snext16 \spriority0 \styrsid8930965 Normal12Hanging;}}{\*\rsidtbl \rsid24658\rsid735077\rsid2892074\rsid3803182\rsid4666813\rsid6641733\rsid8930965\rsid9636012\rsid11215221\rsid12154954_x000d__x000a_\rsid14424199\rsid15204470\rsid15285974\rsid15950462\rsid16324206\rsid16662270}{\mmathPr\mmathFont34\mbrkBin0\mbrkBinSub0\msmallFrac0\mdispDef1\mlMargin0\mrMargin0\mdefJc1\mwrapIndent1440\mintLim0\mnaryLim1}{\info{\author TENGELIDOU Gesthimani}_x000d__x000a_{\operator TENGELIDOU Gesthimani}{\creatim\yr2018\mo7\dy5\hr10\min1}{\revtim\yr2018\mo7\dy5\hr10\min1}{\version1}{\edmins0}{\nofpages1}{\nofwords1}{\nofchars12}{\*\company European Parliament}{\nofcharsws12}{\vern93}}{\*\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30965\utinl \fet0{\*\wgrffmtfilter 013f}\ilfomacatclnup0{\*\template C:\\Users\\GTENGE~1\\AppData\\Local\\Temp\\Blank1.dot}{\*\ftnsep \ltrpar \pard\plain \ltrpar_x000d__x000a_\ql \li0\ri0\widctlpar\wrapdefault\aspalpha\aspnum\faauto\adjustright\rin0\lin0\itap0 \rtlch\fcs1 \af0\afs20\alang1025 \ltrch\fcs0 \fs24\lang2057\langfe2057\cgrid\langnp2057\langfenp2057 {\rtlch\fcs1 \af0 \ltrch\fcs0 \insrsid3803182 \chftnsep _x000d__x000a_\par }}{\*\ftnsepc \ltrpar \pard\plain \ltrpar\ql \li0\ri0\widctlpar\wrapdefault\aspalpha\aspnum\faauto\adjustright\rin0\lin0\itap0 \rtlch\fcs1 \af0\afs20\alang1025 \ltrch\fcs0 \fs24\lang2057\langfe2057\cgrid\langnp2057\langfenp2057 {\rtlch\fcs1 \af0 _x000d__x000a_\ltrch\fcs0 \insrsid3803182 \chftnsepc _x000d__x000a_\par }}{\*\aftnsep \ltrpar \pard\plain \ltrpar\ql \li0\ri0\widctlpar\wrapdefault\aspalpha\aspnum\faauto\adjustright\rin0\lin0\itap0 \rtlch\fcs1 \af0\afs20\alang1025 \ltrch\fcs0 \fs24\lang2057\langfe2057\cgrid\langnp2057\langfenp2057 {\rtlch\fcs1 \af0 _x000d__x000a_\ltrch\fcs0 \insrsid3803182 \chftnsep _x000d__x000a_\par }}{\*\aftnsepc \ltrpar \pard\plain \ltrpar\ql \li0\ri0\widctlpar\wrapdefault\aspalpha\aspnum\faauto\adjustright\rin0\lin0\itap0 \rtlch\fcs1 \af0\afs20\alang1025 \ltrch\fcs0 \fs24\lang2057\langfe2057\cgrid\langnp2057\langfenp2057 {\rtlch\fcs1 \af0 _x000d__x000a_\ltrch\fcs0 \insrsid38031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8930965 \rtlch\fcs1 \af0\afs20\alang1025 \ltrch\fcs0 \fs24\lang2057\langfe2057\cgrid\langnp2057\langfenp2057 {\rtlch\fcs1 \af0 _x000d__x000a_\ltrch\fcs0 \insrsid8930965\charrsid16282445 {\*\bkmkstart restart}#}{\rtlch\fcs1 \af0 \ltrch\fcs0 \cs15\v\cf15\insrsid8930965\charrsid16282445 NRMSG}{\rtlch\fcs1 \af0 \ltrch\fcs0 \insrsid8930965\charrsid16282445 #.\tab ##}{\rtlch\fcs1 \af0 \ltrch\fcs0 _x000d__x000a_\insrsid893096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5_x000d__x000a_5768361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8520780 Normal12Hanging;}}{\*\rsidtbl \rsid24658\rsid735077\rsid2892074\rsid4330845\rsid4666813\rsid6641733\rsid8520780\rsid9636012\rsid11215221\rsid12154954\rsid14424199\rsid15204470\rsid15285974\rsid15950462_x000d__x000a_\rsid16324206\rsid16662270}{\mmathPr\mmathFont34\mbrkBin0\mbrkBinSub0\msmallFrac0\mdispDef1\mlMargin0\mrMargin0\mdefJc1\mwrapIndent1440\mintLim0\mnaryLim1}{\info{\author TENGELIDOU Gesthimani}{\operator TENGELIDOU Gesthimani}_x000d__x000a_{\creatim\yr2018\mo7\dy5\hr10\min1}{\revtim\yr2018\mo7\dy5\hr10\min1}{\version1}{\edmins0}{\nofpages1}{\nofwords5}{\nofchars30}{\*\company European Parliament}{\nofcharsws34}{\vern93}}{\*\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20780\utinl \fet0{\*\wgrffmtfilter 013f}\ilfomacatclnup0{\*\template C:\\Users\\GTENGE~1\\AppData\\Local\\Temp\\Blank1.dot}{\*\ftnsep \ltrpar \pard\plain \ltrpar_x000d__x000a_\ql \li0\ri0\widctlpar\wrapdefault\aspalpha\aspnum\faauto\adjustright\rin0\lin0\itap0 \rtlch\fcs1 \af0\afs20\alang1025 \ltrch\fcs0 \fs24\lang2057\langfe2057\cgrid\langnp2057\langfenp2057 {\rtlch\fcs1 \af0 \ltrch\fcs0 \insrsid4330845 \chftnsep _x000d__x000a_\par }}{\*\ftnsepc \ltrpar \pard\plain \ltrpar\ql \li0\ri0\widctlpar\wrapdefault\aspalpha\aspnum\faauto\adjustright\rin0\lin0\itap0 \rtlch\fcs1 \af0\afs20\alang1025 \ltrch\fcs0 \fs24\lang2057\langfe2057\cgrid\langnp2057\langfenp2057 {\rtlch\fcs1 \af0 _x000d__x000a_\ltrch\fcs0 \insrsid4330845 \chftnsepc _x000d__x000a_\par }}{\*\aftnsep \ltrpar \pard\plain \ltrpar\ql \li0\ri0\widctlpar\wrapdefault\aspalpha\aspnum\faauto\adjustright\rin0\lin0\itap0 \rtlch\fcs1 \af0\afs20\alang1025 \ltrch\fcs0 \fs24\lang2057\langfe2057\cgrid\langnp2057\langfenp2057 {\rtlch\fcs1 \af0 _x000d__x000a_\ltrch\fcs0 \insrsid4330845 \chftnsep _x000d__x000a_\par }}{\*\aftnsepc \ltrpar \pard\plain \ltrpar\ql \li0\ri0\widctlpar\wrapdefault\aspalpha\aspnum\faauto\adjustright\rin0\lin0\itap0 \rtlch\fcs1 \af0\afs20\alang1025 \ltrch\fcs0 \fs24\lang2057\langfe2057\cgrid\langnp2057\langfenp2057 {\rtlch\fcs1 \af0 _x000d__x000a_\ltrch\fcs0 \insrsid43308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520780 \rtlch\fcs1 \af0\afs20\alang1025 \ltrch\fcs0 \fs24\lang2057\langfe2057\cgrid\langnp2057\langfenp2057 {\rtlch\fcs1 \af0 _x000d__x000a_\ltrch\fcs0 \insrsid8520780\charrsid1525456 {\*\bkmkstart restart}[ZSUGGESTIONNR]\tab [ZSUGGESTIONTEXT]}{\rtlch\fcs1 \af0 \ltrch\fcs0 \insrsid852078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f_x000d__x000a_5869361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55"/>
    <w:docVar w:name="TXTLANGUE" w:val="EN"/>
    <w:docVar w:name="TXTLANGUEMIN" w:val="en"/>
    <w:docVar w:name="TXTNRPE" w:val="622.172"/>
    <w:docVar w:name="TXTNRPROC" w:val="2018/2023"/>
    <w:docVar w:name="TXTPEorAP" w:val="PE"/>
    <w:docVar w:name="TXTROUTE" w:val="AD\1155346XT.docx"/>
    <w:docVar w:name="TXTTITLE" w:val="on deployment of infrastructure for alternative fuels in the European Union: Time to act!"/>
    <w:docVar w:name="TXTVERSION" w:val="02-00"/>
  </w:docVars>
  <w:rsids>
    <w:rsidRoot w:val="00F8734D"/>
    <w:rsid w:val="00002DAA"/>
    <w:rsid w:val="00020707"/>
    <w:rsid w:val="00022EF2"/>
    <w:rsid w:val="00051136"/>
    <w:rsid w:val="000678C5"/>
    <w:rsid w:val="000728FB"/>
    <w:rsid w:val="000D4956"/>
    <w:rsid w:val="000E7EBF"/>
    <w:rsid w:val="000F5765"/>
    <w:rsid w:val="001118A5"/>
    <w:rsid w:val="00125F9D"/>
    <w:rsid w:val="00140BE6"/>
    <w:rsid w:val="001443A5"/>
    <w:rsid w:val="00160DBF"/>
    <w:rsid w:val="00162F4A"/>
    <w:rsid w:val="0016635E"/>
    <w:rsid w:val="001746D0"/>
    <w:rsid w:val="001A61B1"/>
    <w:rsid w:val="001D2ED9"/>
    <w:rsid w:val="001E0805"/>
    <w:rsid w:val="001F2131"/>
    <w:rsid w:val="002A763C"/>
    <w:rsid w:val="002D1223"/>
    <w:rsid w:val="002D4158"/>
    <w:rsid w:val="002E2F2E"/>
    <w:rsid w:val="002E3361"/>
    <w:rsid w:val="002F2C3F"/>
    <w:rsid w:val="00316EA9"/>
    <w:rsid w:val="00325BCB"/>
    <w:rsid w:val="00390EB2"/>
    <w:rsid w:val="00396A0E"/>
    <w:rsid w:val="003E2402"/>
    <w:rsid w:val="003E3338"/>
    <w:rsid w:val="003E4405"/>
    <w:rsid w:val="0041103C"/>
    <w:rsid w:val="0045684C"/>
    <w:rsid w:val="004605A3"/>
    <w:rsid w:val="00475A96"/>
    <w:rsid w:val="004807DC"/>
    <w:rsid w:val="004A47CC"/>
    <w:rsid w:val="004B3D5A"/>
    <w:rsid w:val="004C28FB"/>
    <w:rsid w:val="004D4A31"/>
    <w:rsid w:val="00572CFB"/>
    <w:rsid w:val="005743A4"/>
    <w:rsid w:val="00593324"/>
    <w:rsid w:val="005B2F11"/>
    <w:rsid w:val="005D3B9B"/>
    <w:rsid w:val="005D60C6"/>
    <w:rsid w:val="005F408F"/>
    <w:rsid w:val="005F76ED"/>
    <w:rsid w:val="006058D1"/>
    <w:rsid w:val="00607C86"/>
    <w:rsid w:val="006350B9"/>
    <w:rsid w:val="0064748A"/>
    <w:rsid w:val="00657AFB"/>
    <w:rsid w:val="00677CB0"/>
    <w:rsid w:val="006C2CF4"/>
    <w:rsid w:val="006F07D9"/>
    <w:rsid w:val="007325A2"/>
    <w:rsid w:val="00780440"/>
    <w:rsid w:val="00782A92"/>
    <w:rsid w:val="007A475F"/>
    <w:rsid w:val="007D6755"/>
    <w:rsid w:val="0082285E"/>
    <w:rsid w:val="00826AF0"/>
    <w:rsid w:val="008313E7"/>
    <w:rsid w:val="00842FC3"/>
    <w:rsid w:val="00856E90"/>
    <w:rsid w:val="00860182"/>
    <w:rsid w:val="00864A88"/>
    <w:rsid w:val="008805F1"/>
    <w:rsid w:val="008A32C5"/>
    <w:rsid w:val="008D1B5E"/>
    <w:rsid w:val="008F7002"/>
    <w:rsid w:val="0091428F"/>
    <w:rsid w:val="009277A2"/>
    <w:rsid w:val="009C5A36"/>
    <w:rsid w:val="009E528E"/>
    <w:rsid w:val="009F214C"/>
    <w:rsid w:val="00A068AB"/>
    <w:rsid w:val="00A16BEA"/>
    <w:rsid w:val="00A72C35"/>
    <w:rsid w:val="00AE1063"/>
    <w:rsid w:val="00AE6326"/>
    <w:rsid w:val="00B14184"/>
    <w:rsid w:val="00B1492A"/>
    <w:rsid w:val="00B15C98"/>
    <w:rsid w:val="00B261BE"/>
    <w:rsid w:val="00B362F7"/>
    <w:rsid w:val="00B91503"/>
    <w:rsid w:val="00BD1EAA"/>
    <w:rsid w:val="00BE7E7A"/>
    <w:rsid w:val="00C16451"/>
    <w:rsid w:val="00C50F41"/>
    <w:rsid w:val="00C83B03"/>
    <w:rsid w:val="00CA0046"/>
    <w:rsid w:val="00CA0AD8"/>
    <w:rsid w:val="00CC5FCB"/>
    <w:rsid w:val="00CE0CAE"/>
    <w:rsid w:val="00CF2301"/>
    <w:rsid w:val="00D77DA4"/>
    <w:rsid w:val="00D80BAE"/>
    <w:rsid w:val="00D80E2F"/>
    <w:rsid w:val="00D866CD"/>
    <w:rsid w:val="00DD5DD3"/>
    <w:rsid w:val="00E17DD6"/>
    <w:rsid w:val="00E40165"/>
    <w:rsid w:val="00E44CA0"/>
    <w:rsid w:val="00E81B57"/>
    <w:rsid w:val="00E856D2"/>
    <w:rsid w:val="00E8697C"/>
    <w:rsid w:val="00E8709B"/>
    <w:rsid w:val="00EA36BB"/>
    <w:rsid w:val="00EB1B84"/>
    <w:rsid w:val="00EC3282"/>
    <w:rsid w:val="00F11E8A"/>
    <w:rsid w:val="00F1256F"/>
    <w:rsid w:val="00F242AD"/>
    <w:rsid w:val="00F8734D"/>
    <w:rsid w:val="00F96E06"/>
    <w:rsid w:val="00FA5312"/>
    <w:rsid w:val="00FC3A10"/>
    <w:rsid w:val="00FD0D14"/>
    <w:rsid w:val="00FE5485"/>
    <w:rsid w:val="00FF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D51DC"/>
  <w15:chartTrackingRefBased/>
  <w15:docId w15:val="{E19F005D-7BE2-4D3D-862C-5F108AB7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593324"/>
    <w:pPr>
      <w:widowControl/>
      <w:ind w:left="720"/>
      <w:contextualSpacing/>
      <w:jc w:val="both"/>
    </w:pPr>
    <w:rPr>
      <w:rFonts w:eastAsia="Calibri"/>
      <w:szCs w:val="24"/>
      <w:lang w:eastAsia="en-US"/>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0728FB"/>
    <w:rPr>
      <w:rFonts w:ascii="Segoe UI" w:hAnsi="Segoe UI" w:cs="Segoe UI"/>
      <w:sz w:val="18"/>
      <w:szCs w:val="18"/>
    </w:rPr>
  </w:style>
  <w:style w:type="character" w:customStyle="1" w:styleId="BalloonTextChar">
    <w:name w:val="Balloon Text Char"/>
    <w:basedOn w:val="DefaultParagraphFont"/>
    <w:link w:val="BalloonText"/>
    <w:rsid w:val="000728FB"/>
    <w:rPr>
      <w:rFonts w:ascii="Segoe UI" w:hAnsi="Segoe UI" w:cs="Segoe UI"/>
      <w:sz w:val="18"/>
      <w:szCs w:val="18"/>
    </w:rPr>
  </w:style>
  <w:style w:type="character" w:styleId="CommentReference">
    <w:name w:val="annotation reference"/>
    <w:basedOn w:val="DefaultParagraphFont"/>
    <w:rsid w:val="000728FB"/>
    <w:rPr>
      <w:sz w:val="16"/>
      <w:szCs w:val="16"/>
    </w:rPr>
  </w:style>
  <w:style w:type="paragraph" w:styleId="CommentText">
    <w:name w:val="annotation text"/>
    <w:basedOn w:val="Normal"/>
    <w:link w:val="CommentTextChar"/>
    <w:rsid w:val="000728FB"/>
    <w:rPr>
      <w:sz w:val="20"/>
    </w:rPr>
  </w:style>
  <w:style w:type="character" w:customStyle="1" w:styleId="CommentTextChar">
    <w:name w:val="Comment Text Char"/>
    <w:basedOn w:val="DefaultParagraphFont"/>
    <w:link w:val="CommentText"/>
    <w:rsid w:val="000728FB"/>
  </w:style>
  <w:style w:type="paragraph" w:styleId="CommentSubject">
    <w:name w:val="annotation subject"/>
    <w:basedOn w:val="CommentText"/>
    <w:next w:val="CommentText"/>
    <w:link w:val="CommentSubjectChar"/>
    <w:rsid w:val="000728FB"/>
    <w:rPr>
      <w:b/>
      <w:bCs/>
    </w:rPr>
  </w:style>
  <w:style w:type="character" w:customStyle="1" w:styleId="CommentSubjectChar">
    <w:name w:val="Comment Subject Char"/>
    <w:basedOn w:val="CommentTextChar"/>
    <w:link w:val="CommentSubject"/>
    <w:rsid w:val="000728FB"/>
    <w:rPr>
      <w:b/>
      <w:bCs/>
    </w:rPr>
  </w:style>
  <w:style w:type="paragraph" w:customStyle="1" w:styleId="NormalTabs">
    <w:name w:val="NormalTabs"/>
    <w:basedOn w:val="Normal"/>
    <w:qFormat/>
    <w:rsid w:val="00DD5DD3"/>
    <w:pPr>
      <w:tabs>
        <w:tab w:val="center" w:pos="284"/>
        <w:tab w:val="left" w:pos="426"/>
      </w:tabs>
    </w:pPr>
    <w:rPr>
      <w:snapToGrid w:val="0"/>
      <w:lang w:val="en-US" w:eastAsia="en-US"/>
    </w:rPr>
  </w:style>
  <w:style w:type="paragraph" w:styleId="FootnoteText">
    <w:name w:val="footnote text"/>
    <w:basedOn w:val="Normal"/>
    <w:link w:val="FootnoteTextChar"/>
    <w:rsid w:val="00C50F41"/>
    <w:rPr>
      <w:sz w:val="20"/>
    </w:rPr>
  </w:style>
  <w:style w:type="character" w:customStyle="1" w:styleId="FootnoteTextChar">
    <w:name w:val="Footnote Text Char"/>
    <w:basedOn w:val="DefaultParagraphFont"/>
    <w:link w:val="FootnoteText"/>
    <w:rsid w:val="00C50F41"/>
  </w:style>
  <w:style w:type="character" w:styleId="FootnoteReference">
    <w:name w:val="footnote reference"/>
    <w:basedOn w:val="DefaultParagraphFont"/>
    <w:rsid w:val="00C50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A045-DF39-4D85-8680-EF40987A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TENGELIDOU Gesthimani</dc:creator>
  <cp:keywords/>
  <dc:description/>
  <cp:lastModifiedBy>WHITE Samuel George</cp:lastModifiedBy>
  <cp:revision>2</cp:revision>
  <cp:lastPrinted>2018-05-23T08:24:00Z</cp:lastPrinted>
  <dcterms:created xsi:type="dcterms:W3CDTF">2018-07-11T13:50:00Z</dcterms:created>
  <dcterms:modified xsi:type="dcterms:W3CDTF">2018-07-11T13:50:00Z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Created with">
    <vt:lpwstr>9.3.0 Build [20180301]</vt:lpwstr>
  </property>
  <property fmtid="{D5CDD505-2E9C-101B-9397-08002B2CF9AE}" pid="4" name="LastEdited with">
    <vt:lpwstr>9.3.0 Build [20180301]</vt:lpwstr>
  </property>
  <property fmtid="{D5CDD505-2E9C-101B-9397-08002B2CF9AE}" pid="5" name="&lt;FdR&gt;">
    <vt:lpwstr>1155346</vt:lpwstr>
  </property>
  <property fmtid="{D5CDD505-2E9C-101B-9397-08002B2CF9AE}" pid="6" name="&lt;Type&gt;">
    <vt:lpwstr>AD</vt:lpwstr>
  </property>
  <property fmtid="{D5CDD505-2E9C-101B-9397-08002B2CF9AE}" pid="7" name="&lt;ModelCod&gt;">
    <vt:lpwstr>\\eiciBRUpr1\pdocep$\DocEP\DOCS\General\PA\PA_NonLeg.dot(05/07/2017 16:38:43)</vt:lpwstr>
  </property>
  <property fmtid="{D5CDD505-2E9C-101B-9397-08002B2CF9AE}" pid="8" name="&lt;ModelTra&gt;">
    <vt:lpwstr>\\eiciBRUpr1\pdocep$\DocEP\TRANSFIL\EN\PA_NonLeg.EN(01/02/2018 11:41:31)</vt:lpwstr>
  </property>
  <property fmtid="{D5CDD505-2E9C-101B-9397-08002B2CF9AE}" pid="9" name="&lt;Model&gt;">
    <vt:lpwstr>PA_NonLeg</vt:lpwstr>
  </property>
  <property fmtid="{D5CDD505-2E9C-101B-9397-08002B2CF9AE}" pid="10" name="FooterPath">
    <vt:lpwstr>AD\1155346XT.docx</vt:lpwstr>
  </property>
  <property fmtid="{D5CDD505-2E9C-101B-9397-08002B2CF9AE}" pid="11" name="PE number">
    <vt:lpwstr>622.172</vt:lpwstr>
  </property>
  <property fmtid="{D5CDD505-2E9C-101B-9397-08002B2CF9AE}" pid="12" name="SubscribeElise">
    <vt:lpwstr/>
  </property>
  <property fmtid="{D5CDD505-2E9C-101B-9397-08002B2CF9AE}" pid="13" name="SendToEpades">
    <vt:lpwstr>OK - 2018/07/10 17:46</vt:lpwstr>
  </property>
</Properties>
</file>