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3659B8" w14:paraId="64C25536" w14:textId="77777777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077C9E37" w14:textId="77777777" w:rsidR="00E856D2" w:rsidRPr="003659B8" w:rsidRDefault="00E977E7" w:rsidP="003E2402">
            <w:pPr>
              <w:pStyle w:val="EPName"/>
            </w:pPr>
            <w:bookmarkStart w:id="0" w:name="_GoBack"/>
            <w:bookmarkEnd w:id="0"/>
            <w:r w:rsidRPr="003659B8">
              <w:t>Parlament Europejski</w:t>
            </w:r>
          </w:p>
          <w:p w14:paraId="52CE6218" w14:textId="77777777" w:rsidR="00E856D2" w:rsidRPr="003659B8" w:rsidRDefault="00B543A4" w:rsidP="00B543A4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3659B8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529622D0" w14:textId="77777777" w:rsidR="00E856D2" w:rsidRPr="003659B8" w:rsidRDefault="003659B8" w:rsidP="003E2402">
            <w:pPr>
              <w:pStyle w:val="EPLogo"/>
            </w:pPr>
            <w:r w:rsidRPr="003659B8">
              <w:pict w14:anchorId="7CC669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5pt;height:50.75pt">
                  <v:imagedata r:id="rId7" o:title="EP logo RGB_Mute"/>
                </v:shape>
              </w:pict>
            </w:r>
          </w:p>
        </w:tc>
      </w:tr>
    </w:tbl>
    <w:p w14:paraId="0E4BD5AE" w14:textId="77777777" w:rsidR="001746D0" w:rsidRPr="003659B8" w:rsidRDefault="001746D0" w:rsidP="001746D0">
      <w:pPr>
        <w:pStyle w:val="LineTop"/>
      </w:pPr>
    </w:p>
    <w:p w14:paraId="0E513E9E" w14:textId="77777777" w:rsidR="001746D0" w:rsidRPr="003659B8" w:rsidRDefault="001746D0" w:rsidP="001746D0">
      <w:pPr>
        <w:pStyle w:val="ZCommittee"/>
      </w:pPr>
      <w:r w:rsidRPr="003659B8">
        <w:rPr>
          <w:rStyle w:val="HideTWBExt"/>
          <w:noProof w:val="0"/>
        </w:rPr>
        <w:t>&lt;</w:t>
      </w:r>
      <w:r w:rsidRPr="003659B8">
        <w:rPr>
          <w:rStyle w:val="HideTWBExt"/>
          <w:i w:val="0"/>
          <w:noProof w:val="0"/>
        </w:rPr>
        <w:t>Commission</w:t>
      </w:r>
      <w:r w:rsidRPr="003659B8">
        <w:rPr>
          <w:rStyle w:val="HideTWBExt"/>
          <w:noProof w:val="0"/>
        </w:rPr>
        <w:t>&gt;</w:t>
      </w:r>
      <w:r w:rsidRPr="003659B8">
        <w:rPr>
          <w:rStyle w:val="HideTWBInt"/>
        </w:rPr>
        <w:t>{PECH}</w:t>
      </w:r>
      <w:r w:rsidRPr="003659B8">
        <w:t>Komisja Rybołówstwa</w:t>
      </w:r>
      <w:r w:rsidRPr="003659B8">
        <w:rPr>
          <w:rStyle w:val="HideTWBExt"/>
          <w:noProof w:val="0"/>
        </w:rPr>
        <w:t>&lt;/</w:t>
      </w:r>
      <w:r w:rsidRPr="003659B8">
        <w:rPr>
          <w:rStyle w:val="HideTWBExt"/>
          <w:i w:val="0"/>
          <w:noProof w:val="0"/>
        </w:rPr>
        <w:t>Commission</w:t>
      </w:r>
      <w:r w:rsidRPr="003659B8">
        <w:rPr>
          <w:rStyle w:val="HideTWBExt"/>
          <w:noProof w:val="0"/>
        </w:rPr>
        <w:t>&gt;</w:t>
      </w:r>
    </w:p>
    <w:p w14:paraId="5DDBF509" w14:textId="77777777" w:rsidR="001746D0" w:rsidRPr="003659B8" w:rsidRDefault="001746D0" w:rsidP="001746D0">
      <w:pPr>
        <w:pStyle w:val="LineBottom"/>
      </w:pPr>
    </w:p>
    <w:p w14:paraId="5A54389A" w14:textId="77777777" w:rsidR="002E2F2E" w:rsidRPr="003659B8" w:rsidRDefault="002E2F2E">
      <w:pPr>
        <w:pStyle w:val="RefProc"/>
      </w:pPr>
      <w:r w:rsidRPr="003659B8">
        <w:rPr>
          <w:rStyle w:val="HideTWBExt"/>
          <w:b w:val="0"/>
          <w:noProof w:val="0"/>
        </w:rPr>
        <w:t>&lt;</w:t>
      </w:r>
      <w:r w:rsidRPr="003659B8">
        <w:rPr>
          <w:rStyle w:val="HideTWBExt"/>
          <w:b w:val="0"/>
          <w:caps w:val="0"/>
          <w:noProof w:val="0"/>
        </w:rPr>
        <w:t>RefProc</w:t>
      </w:r>
      <w:r w:rsidRPr="003659B8">
        <w:rPr>
          <w:rStyle w:val="HideTWBExt"/>
          <w:b w:val="0"/>
          <w:noProof w:val="0"/>
        </w:rPr>
        <w:t>&gt;</w:t>
      </w:r>
      <w:r w:rsidRPr="003659B8">
        <w:t>2018/2046(BUD)</w:t>
      </w:r>
      <w:r w:rsidRPr="003659B8">
        <w:rPr>
          <w:rStyle w:val="HideTWBExt"/>
          <w:b w:val="0"/>
          <w:noProof w:val="0"/>
        </w:rPr>
        <w:t>&lt;/</w:t>
      </w:r>
      <w:r w:rsidRPr="003659B8">
        <w:rPr>
          <w:rStyle w:val="HideTWBExt"/>
          <w:b w:val="0"/>
          <w:caps w:val="0"/>
          <w:noProof w:val="0"/>
        </w:rPr>
        <w:t>RefProc</w:t>
      </w:r>
      <w:r w:rsidRPr="003659B8">
        <w:rPr>
          <w:rStyle w:val="HideTWBExt"/>
          <w:b w:val="0"/>
          <w:noProof w:val="0"/>
        </w:rPr>
        <w:t>&gt;</w:t>
      </w:r>
    </w:p>
    <w:p w14:paraId="6C0C6015" w14:textId="3A0311D7" w:rsidR="002E2F2E" w:rsidRPr="003659B8" w:rsidRDefault="002E2F2E">
      <w:pPr>
        <w:pStyle w:val="ZDate"/>
      </w:pPr>
      <w:r w:rsidRPr="003659B8">
        <w:rPr>
          <w:rStyle w:val="HideTWBExt"/>
          <w:noProof w:val="0"/>
        </w:rPr>
        <w:t>&lt;Date&gt;</w:t>
      </w:r>
      <w:r w:rsidRPr="003659B8">
        <w:rPr>
          <w:rStyle w:val="HideTWBInt"/>
        </w:rPr>
        <w:t>{31/08/2018}</w:t>
      </w:r>
      <w:r w:rsidRPr="003659B8">
        <w:t>31.8.2018</w:t>
      </w:r>
      <w:r w:rsidRPr="003659B8">
        <w:rPr>
          <w:rStyle w:val="HideTWBExt"/>
          <w:noProof w:val="0"/>
        </w:rPr>
        <w:t>&lt;/Date&gt;</w:t>
      </w:r>
    </w:p>
    <w:p w14:paraId="31CEF44D" w14:textId="2714BDBB" w:rsidR="002E2F2E" w:rsidRPr="003659B8" w:rsidRDefault="002E2F2E">
      <w:pPr>
        <w:pStyle w:val="TypeDoc"/>
      </w:pPr>
      <w:r w:rsidRPr="003659B8">
        <w:rPr>
          <w:rStyle w:val="HideTWBExt"/>
          <w:b w:val="0"/>
          <w:noProof w:val="0"/>
        </w:rPr>
        <w:t>&lt;TitreType&gt;</w:t>
      </w:r>
      <w:r w:rsidRPr="003659B8">
        <w:t>OPINIA</w:t>
      </w:r>
      <w:r w:rsidRPr="003659B8">
        <w:rPr>
          <w:rStyle w:val="HideTWBExt"/>
          <w:b w:val="0"/>
          <w:noProof w:val="0"/>
        </w:rPr>
        <w:t>&lt;/TitreType&gt;</w:t>
      </w:r>
    </w:p>
    <w:p w14:paraId="6B7EEC63" w14:textId="77777777" w:rsidR="002E2F2E" w:rsidRPr="003659B8" w:rsidRDefault="002E2F2E">
      <w:pPr>
        <w:pStyle w:val="Cover24"/>
      </w:pPr>
      <w:r w:rsidRPr="003659B8">
        <w:rPr>
          <w:rStyle w:val="HideTWBExt"/>
          <w:noProof w:val="0"/>
        </w:rPr>
        <w:t>&lt;CommissionResp&gt;</w:t>
      </w:r>
      <w:r w:rsidRPr="003659B8">
        <w:t>Komisji Rybołówstwa</w:t>
      </w:r>
      <w:r w:rsidRPr="003659B8">
        <w:rPr>
          <w:rStyle w:val="HideTWBExt"/>
          <w:noProof w:val="0"/>
        </w:rPr>
        <w:t>&lt;/CommissionResp&gt;</w:t>
      </w:r>
    </w:p>
    <w:p w14:paraId="7F3F7790" w14:textId="77777777" w:rsidR="002E2F2E" w:rsidRPr="003659B8" w:rsidRDefault="002E2F2E">
      <w:pPr>
        <w:pStyle w:val="Cover24"/>
      </w:pPr>
      <w:r w:rsidRPr="003659B8">
        <w:rPr>
          <w:rStyle w:val="HideTWBExt"/>
          <w:noProof w:val="0"/>
        </w:rPr>
        <w:t>&lt;CommissionInt&gt;</w:t>
      </w:r>
      <w:r w:rsidRPr="003659B8">
        <w:t>dla Komisji Budżetowej</w:t>
      </w:r>
      <w:r w:rsidRPr="003659B8">
        <w:rPr>
          <w:rStyle w:val="HideTWBExt"/>
          <w:noProof w:val="0"/>
        </w:rPr>
        <w:t>&lt;/CommissionInt&gt;</w:t>
      </w:r>
    </w:p>
    <w:p w14:paraId="5AB9BF35" w14:textId="77777777" w:rsidR="001F7DF9" w:rsidRPr="003659B8" w:rsidRDefault="001F7DF9" w:rsidP="001F7DF9">
      <w:pPr>
        <w:pStyle w:val="CoverNormal"/>
      </w:pPr>
      <w:bookmarkStart w:id="1" w:name="ProcPageAD"/>
      <w:r w:rsidRPr="003659B8">
        <w:rPr>
          <w:rStyle w:val="HideTWBExt"/>
          <w:noProof w:val="0"/>
        </w:rPr>
        <w:t>&lt;Titre&gt;</w:t>
      </w:r>
      <w:r w:rsidRPr="003659B8">
        <w:t xml:space="preserve">w sprawie projektu budżetu ogólnego Unii Europejskiej na rok budżetowy 2019 </w:t>
      </w:r>
      <w:r w:rsidRPr="003659B8">
        <w:rPr>
          <w:rStyle w:val="HideTWBExt"/>
          <w:noProof w:val="0"/>
        </w:rPr>
        <w:t>&lt;/Titre&gt;</w:t>
      </w:r>
    </w:p>
    <w:p w14:paraId="22E92DDF" w14:textId="77777777" w:rsidR="001F7DF9" w:rsidRPr="003659B8" w:rsidRDefault="001F7DF9" w:rsidP="001F7DF9">
      <w:pPr>
        <w:pStyle w:val="Cover24"/>
      </w:pPr>
      <w:r w:rsidRPr="003659B8">
        <w:rPr>
          <w:rStyle w:val="HideTWBExt"/>
          <w:noProof w:val="0"/>
        </w:rPr>
        <w:t>&lt;DocRef&gt;</w:t>
      </w:r>
      <w:r w:rsidRPr="003659B8">
        <w:t>(2018/2046(BUD))</w:t>
      </w:r>
      <w:r w:rsidRPr="003659B8">
        <w:rPr>
          <w:rStyle w:val="HideTWBExt"/>
          <w:noProof w:val="0"/>
        </w:rPr>
        <w:t>&lt;/DocRef&gt;</w:t>
      </w:r>
    </w:p>
    <w:p w14:paraId="669180C7" w14:textId="77777777" w:rsidR="001F7DF9" w:rsidRPr="003659B8" w:rsidRDefault="001F7DF9" w:rsidP="001F7DF9">
      <w:pPr>
        <w:pStyle w:val="Cover24"/>
      </w:pPr>
      <w:r w:rsidRPr="003659B8">
        <w:t xml:space="preserve">Sprawozdawca komisji opiniodawczej: </w:t>
      </w:r>
      <w:r w:rsidRPr="003659B8">
        <w:rPr>
          <w:rStyle w:val="HideTWBExt"/>
          <w:noProof w:val="0"/>
        </w:rPr>
        <w:t>&lt;Depute&gt;</w:t>
      </w:r>
      <w:r w:rsidRPr="003659B8">
        <w:t>Alain Cadec</w:t>
      </w:r>
      <w:r w:rsidRPr="003659B8">
        <w:rPr>
          <w:rStyle w:val="HideTWBExt"/>
          <w:noProof w:val="0"/>
        </w:rPr>
        <w:t>&lt;/Depute&gt;</w:t>
      </w:r>
    </w:p>
    <w:p w14:paraId="7706380B" w14:textId="77777777" w:rsidR="001F7DF9" w:rsidRPr="003659B8" w:rsidRDefault="001F7DF9" w:rsidP="001F7DF9">
      <w:pPr>
        <w:widowControl/>
        <w:tabs>
          <w:tab w:val="center" w:pos="4677"/>
        </w:tabs>
      </w:pPr>
      <w:r w:rsidRPr="003659B8">
        <w:br w:type="page"/>
      </w:r>
    </w:p>
    <w:p w14:paraId="44A0F176" w14:textId="77777777" w:rsidR="001F7DF9" w:rsidRPr="003659B8" w:rsidRDefault="001F7DF9" w:rsidP="001F7DF9">
      <w:pPr>
        <w:widowControl/>
        <w:tabs>
          <w:tab w:val="center" w:pos="4677"/>
        </w:tabs>
      </w:pPr>
      <w:r w:rsidRPr="003659B8">
        <w:t>PA_NonLeg</w:t>
      </w:r>
    </w:p>
    <w:p w14:paraId="6D5C1242" w14:textId="77777777" w:rsidR="001F7DF9" w:rsidRPr="003659B8" w:rsidRDefault="001F7DF9" w:rsidP="001F7DF9">
      <w:pPr>
        <w:pStyle w:val="PageHeadingNotTOC"/>
      </w:pPr>
      <w:r w:rsidRPr="003659B8">
        <w:br w:type="page"/>
      </w:r>
      <w:r w:rsidRPr="003659B8">
        <w:lastRenderedPageBreak/>
        <w:t>WSKAZÓWKI</w:t>
      </w:r>
    </w:p>
    <w:p w14:paraId="00355861" w14:textId="77777777" w:rsidR="001F7DF9" w:rsidRPr="003659B8" w:rsidRDefault="001F7DF9" w:rsidP="001F7DF9">
      <w:pPr>
        <w:pStyle w:val="Normal12"/>
      </w:pPr>
      <w:r w:rsidRPr="003659B8">
        <w:t>Komisja Rybołówstwa zwraca się do Komisji Budżetowej, jako komisji przedmiotowo właściwej, o uwzględnienie w końcowym tekście projektu rezolucji następujących wskazówek:</w:t>
      </w:r>
    </w:p>
    <w:p w14:paraId="198C3205" w14:textId="77777777" w:rsidR="001F7DF9" w:rsidRPr="003659B8" w:rsidRDefault="001F7DF9" w:rsidP="001F7DF9">
      <w:pPr>
        <w:pStyle w:val="Normal12"/>
      </w:pPr>
      <w:bookmarkStart w:id="2" w:name="restart"/>
      <w:r w:rsidRPr="003659B8">
        <w:t>A. środki finansowe Wspólnej Polityki Rybołówstwa (WPRyb) oraz obowiązkowe składki na regionalne organizacje ds. zarządzania rybołówstwem i w ramach porozumień w sprawie zrównoważonego zarządzania rybołówstwem skupiono w sekcji III i w tytule 11 budżetu (Gospodarka Morska i Rybołówstwo, Europejski Fundusz Morski i Rybacki (EFMR));</w:t>
      </w:r>
    </w:p>
    <w:p w14:paraId="3267A6D0" w14:textId="77777777" w:rsidR="001F7DF9" w:rsidRPr="003659B8" w:rsidRDefault="001F7DF9" w:rsidP="001F7DF9">
      <w:pPr>
        <w:pStyle w:val="Normal12Hanging"/>
        <w:ind w:left="0" w:firstLine="0"/>
      </w:pPr>
      <w:r w:rsidRPr="003659B8">
        <w:t>B. podstawowym celem WPRyb jest zrównoważenie rentowności sektora o strategicznym znaczeniu gospodarczym dla Unii Europejskiej – sektora, który przyczynia się do zaopatrzenia w żywność, zatrudnienia oraz spójności gospodarczej i społecznej unijnych regionów przybrzeżnych i regionów najbardziej oddalonych – z koniecznością ochrony ekosystemów morskich poprzez rozwój rybołówstwa zrównoważonego pod względem gospodarczym i środowiskowym;</w:t>
      </w:r>
    </w:p>
    <w:bookmarkEnd w:id="2"/>
    <w:p w14:paraId="4D7735DC" w14:textId="77777777" w:rsidR="001F7DF9" w:rsidRPr="003659B8" w:rsidRDefault="001F7DF9" w:rsidP="001F7DF9">
      <w:pPr>
        <w:pStyle w:val="Normal12"/>
        <w:ind w:left="567" w:hanging="567"/>
      </w:pPr>
      <w:r w:rsidRPr="003659B8">
        <w:t>1.</w:t>
      </w:r>
      <w:r w:rsidRPr="003659B8">
        <w:tab/>
        <w:t>podkreśla, że w budżecie UE na rok 2019 należy przewidzieć odpowiedni poziom środków na zobowiązania i płatności, aby zaspokoić potrzeby w zakresie finansowania WPRyb; uważa, że aby w pełni wdrożyć WPRyb oraz zagwarantować zrównoważony charakter akwakultury i europejskiej działalności połowowej niezbędne są odpowiednie i łatwo dostępne środki na potrzeby długoterminowych inwestycji;</w:t>
      </w:r>
    </w:p>
    <w:p w14:paraId="715A2318" w14:textId="77777777" w:rsidR="001F7DF9" w:rsidRPr="003659B8" w:rsidRDefault="001F7DF9" w:rsidP="001F7DF9">
      <w:pPr>
        <w:pStyle w:val="Normal12"/>
        <w:ind w:left="567" w:hanging="567"/>
      </w:pPr>
      <w:r w:rsidRPr="003659B8">
        <w:t>2.</w:t>
      </w:r>
      <w:r w:rsidRPr="003659B8">
        <w:tab/>
        <w:t>podkreśla, że unijny sektor rybołówstwa jest bardzo skoncentrowany w niektórych regionach w dużym stopniu zależnych od rybołówstwa oraz że rybołówstwo, zwłaszcza lokalne rybołówstwo przybrzeżne, przyczynia się do tworzenia tkanki społeczno-gospodarczej i kulturowej w wielu regionach przybrzeżnych, najbardziej oddalonych i wyspiarskich;</w:t>
      </w:r>
    </w:p>
    <w:p w14:paraId="2A013852" w14:textId="77777777" w:rsidR="001F7DF9" w:rsidRPr="003659B8" w:rsidRDefault="001F7DF9" w:rsidP="001F7DF9">
      <w:pPr>
        <w:pStyle w:val="Normal12"/>
        <w:ind w:left="567" w:hanging="567"/>
      </w:pPr>
      <w:r w:rsidRPr="003659B8">
        <w:t>3.</w:t>
      </w:r>
      <w:r w:rsidRPr="003659B8">
        <w:tab/>
        <w:t>zaznacza, że biorąc pod uwagę, iż ponad 60 % produktów rybołówstwa spożywanych w UE pochodzi z wód międzynarodowych i wyłącznych stref ekonomicznych państw trzecich, w budżecie rocznym na 2019 r. należy uwzględnić odpowiednie środki budżetowe, w szczególności z uwagi na przewidziane na ten rok odnowienie protokołów z Mauretanią i Senegalem;</w:t>
      </w:r>
    </w:p>
    <w:p w14:paraId="0BDA6B26" w14:textId="77777777" w:rsidR="001F7DF9" w:rsidRPr="003659B8" w:rsidRDefault="001F7DF9" w:rsidP="001F7DF9">
      <w:pPr>
        <w:pStyle w:val="Normal12Hanging"/>
      </w:pPr>
      <w:r w:rsidRPr="003659B8">
        <w:t>4.</w:t>
      </w:r>
      <w:r w:rsidRPr="003659B8">
        <w:tab/>
        <w:t>uważa, że wymiar zewnętrzny WPRyb wymaga realistycznych szacunków budżetowych w celu sfinansowania umów o partnerstwie w sprawie zrównoważonych połowów z państwami trzecimi;</w:t>
      </w:r>
    </w:p>
    <w:p w14:paraId="554D3D9C" w14:textId="77777777" w:rsidR="001F7DF9" w:rsidRPr="003659B8" w:rsidRDefault="001F7DF9" w:rsidP="001F7DF9">
      <w:pPr>
        <w:pStyle w:val="Normal12"/>
        <w:ind w:left="567" w:hanging="567"/>
      </w:pPr>
      <w:r w:rsidRPr="003659B8">
        <w:t>5.</w:t>
      </w:r>
      <w:r w:rsidRPr="003659B8">
        <w:tab/>
        <w:t>podkreśla, że po upływie czterech lat od czasu przyjęcia EFMR na lata 2014–2020, co miało miejsce w dniu 15 maja 2014 r., poziom jego realizacji nadal pozostaje niezadowalający, gdyż poziom wykonania budżetu wynosi obecnie jedynie 4,5% (część EFMR podlegająca zarządzaniu dzielonemu); wyraża nadzieję, że poziom realizacji EFMR będzie się stopniowo poprawiać i podkreśla, że niski poziom wykonania wynika częściowo z obciążeń biurokratycznych na szczeblu krajowym i unijnym oraz z braku ambicji ze strony państw członkowskich, zwłaszcza jeżeli chodzi o pełne i terminowe egzekwowanie obowiązku wyładunku; przypomina, że fundusze te są niezbędne, by wesprzeć sektor w związku z obowiązkiem wyładunku;</w:t>
      </w:r>
    </w:p>
    <w:p w14:paraId="0F417B57" w14:textId="77777777" w:rsidR="001F7DF9" w:rsidRPr="003659B8" w:rsidRDefault="001F7DF9" w:rsidP="001F7DF9">
      <w:pPr>
        <w:pStyle w:val="Normal12Hanging"/>
      </w:pPr>
      <w:r w:rsidRPr="003659B8">
        <w:t>6.</w:t>
      </w:r>
      <w:r w:rsidRPr="003659B8">
        <w:tab/>
        <w:t>podkreśla potrzebę utrzymania wystarczających środków finansowych na działania współfinansowane, aby zapewnić dostępność finansowania dla sektorów rybołówstwa przybrzeżnego, tradycyjnego łodziowego rybołówstwa przybrzeżnego oraz rybołówstwa rekreacyjnego; uważa ponadto, że szczególnie ważne jest przeznaczenie odpowiednich środków finansowych na modernizację infrastruktury rybołówstwa; uważa, że na podstawie ogólnych ram wspieranych przez EFMR państwa członkowskie powinny ustalać priorytety w zakresie finansowania w taki sposób, aby reagować na konkretne problemy w tej dziedzinie;</w:t>
      </w:r>
    </w:p>
    <w:p w14:paraId="5E258122" w14:textId="77777777" w:rsidR="001F7DF9" w:rsidRPr="003659B8" w:rsidRDefault="001F7DF9" w:rsidP="001F7DF9">
      <w:pPr>
        <w:pStyle w:val="Normal12Hanging"/>
      </w:pPr>
      <w:r w:rsidRPr="003659B8">
        <w:t>7.</w:t>
      </w:r>
      <w:r w:rsidRPr="003659B8">
        <w:tab/>
        <w:t>podkreśla znaczenie społecznego i gospodarczego wymiaru połowów dla społeczności lokalnych oraz niektórych regionów morskich i przybrzeżnych; uznaje potrzebę utrzymania wystarczających rezerw finansowych, aby umożliwić finansowanie sektora tradycyjnego łodziowego rybołówstwa przybrzeżnego;</w:t>
      </w:r>
    </w:p>
    <w:p w14:paraId="5FD7EEF5" w14:textId="77777777" w:rsidR="001F7DF9" w:rsidRPr="003659B8" w:rsidRDefault="001F7DF9" w:rsidP="001F7DF9">
      <w:pPr>
        <w:pStyle w:val="Normal12Hanging"/>
      </w:pPr>
      <w:r w:rsidRPr="003659B8">
        <w:t>8.</w:t>
      </w:r>
      <w:r w:rsidRPr="003659B8">
        <w:tab/>
        <w:t>podkreśla, że dane naukowe mają zasadnicze znaczenie dla lepszego zrozumienia funkcjonowania ekosystemów morskich, co jest niezbędnym warunkiem wstępnym do uzyskania maksymalnego podtrzymywalnego połowu zasobów rybnych; przypomina o konieczności skuteczniejszego gromadzenia danych naukowych, a także wspierania współpracy i wymiany danych naukowych pomiędzy sektorem morskim i gospodarki rybnej a społecznością naukową; przypomina o konieczności gromadzenia danych naukowych na temat wpływu połowów rekreacyjnych na stada ryb;</w:t>
      </w:r>
    </w:p>
    <w:p w14:paraId="79F725A3" w14:textId="77777777" w:rsidR="001F7DF9" w:rsidRPr="003659B8" w:rsidRDefault="001F7DF9" w:rsidP="001F7DF9">
      <w:pPr>
        <w:pStyle w:val="Normal12Hanging"/>
      </w:pPr>
      <w:r w:rsidRPr="003659B8">
        <w:t>9.</w:t>
      </w:r>
      <w:r w:rsidRPr="003659B8">
        <w:tab/>
        <w:t>podkreśla, że aby podejmowane decyzje zarządcze umożliwiały uzyskanie maksymalnego podtrzymywalnego połowu, istotne jest, by przy ocenie stanu zasobów rybnych opierać się na ścisłych i niezależnych opiniach naukowych; wzywa państwa członkowskie do wykorzystywania finansowania z EFMR na gromadzenie danych naukowych, gdyż jest to kluczowe zadanie umożliwiające podejmowanie rozsądnych i naukowo uzasadnionych decyzji w dziedzinie rybołówstwa;</w:t>
      </w:r>
    </w:p>
    <w:p w14:paraId="196BC8FE" w14:textId="77777777" w:rsidR="001F7DF9" w:rsidRPr="003659B8" w:rsidRDefault="001F7DF9" w:rsidP="001F7DF9">
      <w:pPr>
        <w:pStyle w:val="Normal12"/>
        <w:ind w:left="567" w:hanging="567"/>
      </w:pPr>
      <w:r w:rsidRPr="003659B8">
        <w:t>10.</w:t>
      </w:r>
      <w:r w:rsidRPr="003659B8">
        <w:tab/>
        <w:t>podkreśla znaczenie kontroli rybołówstwa jako filaru WPRyb; uważa, że Unia powinna w dalszym ciągu finansować kontrolę rybołówstwa i że państwa członkowskie muszą zwiększyć wysiłki w celu wykorzystania tych środków;</w:t>
      </w:r>
    </w:p>
    <w:p w14:paraId="570A659B" w14:textId="77777777" w:rsidR="001F7DF9" w:rsidRPr="003659B8" w:rsidRDefault="001F7DF9" w:rsidP="001F7DF9">
      <w:pPr>
        <w:pStyle w:val="Normal12"/>
        <w:ind w:left="567" w:hanging="567"/>
      </w:pPr>
      <w:r w:rsidRPr="003659B8">
        <w:t>11.</w:t>
      </w:r>
      <w:r w:rsidRPr="003659B8">
        <w:tab/>
        <w:t>podkreśla znaczenie utrzymania aktualnego poziomu finansowania w przypadku Europejskiej Agencji Kontroli Rybołówstwa, aby mogła ona należycie wypełniać powierzone jej zadań w zakresie kontroli i inspekcji sektora rybołówstwa oraz nadzoru nad nim; apeluje o wzmocnienie roli Agencji w przyszłości, aby umożliwić osiągnięcie celów WPRyb, a także aby skonsolidować działania Agencji w odniesieniu do zarządzania flotami rybackimi i nadzorowania procedur monitorowania;</w:t>
      </w:r>
    </w:p>
    <w:p w14:paraId="44E8C107" w14:textId="77777777" w:rsidR="001F7DF9" w:rsidRPr="003659B8" w:rsidRDefault="001F7DF9" w:rsidP="001F7DF9">
      <w:pPr>
        <w:pStyle w:val="Normal12Hanging"/>
      </w:pPr>
      <w:r w:rsidRPr="003659B8">
        <w:t>12.</w:t>
      </w:r>
      <w:r w:rsidRPr="003659B8">
        <w:tab/>
        <w:t>zwraca uwagę, że jednym z wyzwań w sektorze rybołówstwa jest wymiana pokoleniowa oraz że wymianę tę należy przede wszystkim zagwarantować za pomocą specjalnych politycznych środków działania i wsparcia finansowego w celu zachęcenia młodych ludzi do pracy w tym sektorze oraz stworzenia im warunków podobnych do warunków panujących w innych sektorach gospodarki, zwłaszcza w regionach najbardziej oddalonych;</w:t>
      </w:r>
    </w:p>
    <w:p w14:paraId="3041FB97" w14:textId="77777777" w:rsidR="001F7DF9" w:rsidRPr="003659B8" w:rsidRDefault="001F7DF9" w:rsidP="001F7DF9">
      <w:pPr>
        <w:pStyle w:val="Normal12Hanging"/>
      </w:pPr>
      <w:r w:rsidRPr="003659B8">
        <w:t>13.</w:t>
      </w:r>
      <w:r w:rsidRPr="003659B8">
        <w:tab/>
        <w:t>podkreśla konieczność ułatwienia młodym ludziom dostępu do zawodów związanych z rybołówstwem za pośrednictwem EFMR i innych unijnych mechanizmów finansowania;</w:t>
      </w:r>
    </w:p>
    <w:p w14:paraId="6E5DA5B9" w14:textId="08E17C55" w:rsidR="001F7DF9" w:rsidRPr="003659B8" w:rsidRDefault="001F7DF9" w:rsidP="001F7DF9">
      <w:pPr>
        <w:pStyle w:val="Normal12"/>
        <w:ind w:left="567" w:hanging="567"/>
      </w:pPr>
      <w:r w:rsidRPr="003659B8">
        <w:t>14.</w:t>
      </w:r>
      <w:r w:rsidRPr="003659B8">
        <w:tab/>
        <w:t>zauważa, że nie należy wykorzystywać brexitu jako pretekstu do ograniczania finansowania; uważa, że Unia powinna znaleźć środki niezbędne do finansowania solidnego wsparcia finansowego WPRyb.</w:t>
      </w:r>
    </w:p>
    <w:p w14:paraId="61BC1E41" w14:textId="77777777" w:rsidR="001F7DF9" w:rsidRPr="003659B8" w:rsidRDefault="001F7DF9" w:rsidP="001F7DF9">
      <w:pPr>
        <w:pStyle w:val="Normal12"/>
        <w:ind w:left="567" w:hanging="567"/>
      </w:pPr>
      <w:r w:rsidRPr="003659B8">
        <w:br w:type="page"/>
      </w:r>
    </w:p>
    <w:p w14:paraId="67D8DC54" w14:textId="53756BEA" w:rsidR="00C96D86" w:rsidRPr="003659B8" w:rsidRDefault="00C96D86" w:rsidP="00C96D86">
      <w:pPr>
        <w:pStyle w:val="PageHeadingNotTOC"/>
      </w:pPr>
      <w:r w:rsidRPr="003659B8">
        <w:t>INFORMACJE O PRZYJĘCIU PRZEZ KOMISJĘ OPINIODAWCZĄ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C96D86" w:rsidRPr="003659B8" w14:paraId="0AE5774A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5896ABF" w14:textId="77777777" w:rsidR="00C96D86" w:rsidRPr="003659B8" w:rsidRDefault="00C96D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659B8">
              <w:rPr>
                <w:b/>
                <w:bCs/>
                <w:color w:val="000000"/>
                <w:sz w:val="20"/>
              </w:rPr>
              <w:t>Data przyjęcia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D0C7E7" w14:textId="77777777" w:rsidR="00C96D86" w:rsidRPr="003659B8" w:rsidRDefault="00C96D8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659B8">
              <w:rPr>
                <w:color w:val="000000"/>
                <w:sz w:val="20"/>
              </w:rPr>
              <w:t>29.8.2018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B91AA54" w14:textId="77777777" w:rsidR="00C96D86" w:rsidRPr="003659B8" w:rsidRDefault="00C96D86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E404850" w14:textId="77777777" w:rsidR="00C96D86" w:rsidRPr="003659B8" w:rsidRDefault="00C96D86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322D8D7" w14:textId="77777777" w:rsidR="00C96D86" w:rsidRPr="003659B8" w:rsidRDefault="00C96D86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C96D86" w:rsidRPr="003659B8" w14:paraId="059131F7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01E1ACA" w14:textId="77777777" w:rsidR="00C96D86" w:rsidRPr="003659B8" w:rsidRDefault="00C96D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659B8">
              <w:rPr>
                <w:b/>
                <w:bCs/>
                <w:color w:val="000000"/>
                <w:sz w:val="20"/>
              </w:rPr>
              <w:t>Wynik głosowania końcowego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DF6871B" w14:textId="77777777" w:rsidR="00C96D86" w:rsidRPr="003659B8" w:rsidRDefault="00C96D8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659B8">
              <w:rPr>
                <w:color w:val="000000"/>
                <w:sz w:val="20"/>
              </w:rPr>
              <w:t>+:</w:t>
            </w:r>
          </w:p>
          <w:p w14:paraId="35A9FAD7" w14:textId="77777777" w:rsidR="00C96D86" w:rsidRPr="003659B8" w:rsidRDefault="00C96D8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659B8">
              <w:rPr>
                <w:color w:val="000000"/>
                <w:sz w:val="20"/>
              </w:rPr>
              <w:t>–:</w:t>
            </w:r>
          </w:p>
          <w:p w14:paraId="5508D063" w14:textId="77777777" w:rsidR="00C96D86" w:rsidRPr="003659B8" w:rsidRDefault="00C96D8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659B8"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E2F4E57" w14:textId="77777777" w:rsidR="00C96D86" w:rsidRPr="003659B8" w:rsidRDefault="00C96D8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659B8">
              <w:rPr>
                <w:color w:val="000000"/>
                <w:sz w:val="20"/>
              </w:rPr>
              <w:t>16</w:t>
            </w:r>
          </w:p>
          <w:p w14:paraId="07DD3A6C" w14:textId="77777777" w:rsidR="00C96D86" w:rsidRPr="003659B8" w:rsidRDefault="00C96D8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659B8">
              <w:rPr>
                <w:color w:val="000000"/>
                <w:sz w:val="20"/>
              </w:rPr>
              <w:t>1</w:t>
            </w:r>
          </w:p>
          <w:p w14:paraId="4D16FA67" w14:textId="77777777" w:rsidR="00C96D86" w:rsidRPr="003659B8" w:rsidRDefault="00C96D8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659B8">
              <w:rPr>
                <w:color w:val="000000"/>
                <w:sz w:val="20"/>
              </w:rPr>
              <w:t>3</w:t>
            </w:r>
          </w:p>
        </w:tc>
      </w:tr>
      <w:tr w:rsidR="00C96D86" w:rsidRPr="003659B8" w14:paraId="46074154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E367D77" w14:textId="77777777" w:rsidR="00C96D86" w:rsidRPr="003659B8" w:rsidRDefault="00C96D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659B8">
              <w:rPr>
                <w:b/>
                <w:bCs/>
                <w:color w:val="000000"/>
                <w:sz w:val="20"/>
              </w:rPr>
              <w:t>Posłowie obecni podczas głosowania końcowego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B780290" w14:textId="77777777" w:rsidR="00C96D86" w:rsidRPr="003659B8" w:rsidRDefault="00C96D8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659B8">
              <w:rPr>
                <w:color w:val="000000"/>
                <w:sz w:val="20"/>
              </w:rPr>
              <w:t>Clara Eugenia Aguilera García, Renata Briano, Alain Cadec, Richard Corbett, João Ferreira, Mike Hookem, Ian Hudghton, Carlos Iturgaiz, Werner Kuhn, António Marinho e Pinto, Gabriel Mato, Annie Schreijer-Pierik, Remo Sernagiotto, Ricardo Serrão Santos, Isabelle Thomas, Peter van Dalen, Jarosław Wałęsa</w:t>
            </w:r>
          </w:p>
        </w:tc>
      </w:tr>
      <w:tr w:rsidR="00C96D86" w:rsidRPr="003659B8" w14:paraId="7A442A61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F620677" w14:textId="77777777" w:rsidR="00C96D86" w:rsidRPr="003659B8" w:rsidRDefault="00C96D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659B8">
              <w:rPr>
                <w:b/>
                <w:bCs/>
                <w:color w:val="000000"/>
                <w:sz w:val="20"/>
              </w:rPr>
              <w:t>Zastępcy obecni podczas głosowania końcowego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E9EB9A2" w14:textId="77777777" w:rsidR="00C96D86" w:rsidRPr="003659B8" w:rsidRDefault="00C96D8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659B8">
              <w:rPr>
                <w:color w:val="000000"/>
                <w:sz w:val="20"/>
              </w:rPr>
              <w:t>Ole Christensen, Rosa D’Amato, Seán Kelly, Francisco José Millán Mon, Nosheena Mobarik</w:t>
            </w:r>
          </w:p>
        </w:tc>
      </w:tr>
    </w:tbl>
    <w:p w14:paraId="241AC3BA" w14:textId="77777777" w:rsidR="00C96D86" w:rsidRPr="003659B8" w:rsidRDefault="00C96D8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1"/>
    <w:p w14:paraId="514B2196" w14:textId="77777777" w:rsidR="001F7DF9" w:rsidRPr="003659B8" w:rsidRDefault="001F7DF9" w:rsidP="001F7DF9">
      <w:pPr>
        <w:pStyle w:val="PageHeadingNotTOC"/>
      </w:pPr>
      <w:r w:rsidRPr="003659B8">
        <w:br w:type="page"/>
      </w:r>
      <w:bookmarkStart w:id="3" w:name="RollCallPageAD"/>
      <w:r w:rsidRPr="003659B8">
        <w:t>GŁOSOWANIE KOŃCOWE W FORMIE GŁOSOWANIA IMIENNEGO W KOMISJI OPINIODAWCZEJ</w:t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1F7DF9" w:rsidRPr="003659B8" w14:paraId="5970F8C3" w14:textId="77777777" w:rsidTr="000F043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4A5449B0" w14:textId="77777777" w:rsidR="001F7DF9" w:rsidRPr="003659B8" w:rsidRDefault="001F7DF9" w:rsidP="000F043C">
            <w:pPr>
              <w:spacing w:before="120" w:after="120"/>
              <w:jc w:val="center"/>
              <w:rPr>
                <w:b/>
                <w:sz w:val="20"/>
              </w:rPr>
            </w:pPr>
            <w:r w:rsidRPr="003659B8">
              <w:rPr>
                <w:b/>
                <w:sz w:val="20"/>
              </w:rPr>
              <w:t>16</w:t>
            </w:r>
          </w:p>
        </w:tc>
        <w:tc>
          <w:tcPr>
            <w:tcW w:w="7371" w:type="dxa"/>
            <w:shd w:val="pct10" w:color="000000" w:fill="FFFFFF"/>
          </w:tcPr>
          <w:p w14:paraId="1E9BC8BF" w14:textId="77777777" w:rsidR="001F7DF9" w:rsidRPr="003659B8" w:rsidRDefault="001F7DF9" w:rsidP="000F043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59B8">
              <w:rPr>
                <w:rFonts w:ascii="Arial" w:hAnsi="Arial"/>
                <w:b/>
                <w:sz w:val="28"/>
                <w:szCs w:val="28"/>
              </w:rPr>
              <w:t>+</w:t>
            </w:r>
          </w:p>
        </w:tc>
      </w:tr>
      <w:tr w:rsidR="001F7DF9" w:rsidRPr="003659B8" w14:paraId="1D2D043E" w14:textId="77777777" w:rsidTr="000F043C">
        <w:trPr>
          <w:cantSplit/>
        </w:trPr>
        <w:tc>
          <w:tcPr>
            <w:tcW w:w="1701" w:type="dxa"/>
            <w:shd w:val="clear" w:color="auto" w:fill="FFFFFF"/>
          </w:tcPr>
          <w:p w14:paraId="5E044594" w14:textId="77777777" w:rsidR="001F7DF9" w:rsidRPr="003659B8" w:rsidRDefault="001F7DF9" w:rsidP="000F043C">
            <w:pPr>
              <w:spacing w:before="120" w:after="120"/>
              <w:rPr>
                <w:sz w:val="20"/>
              </w:rPr>
            </w:pPr>
            <w:r w:rsidRPr="003659B8"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14:paraId="64EE1874" w14:textId="77777777" w:rsidR="001F7DF9" w:rsidRPr="003659B8" w:rsidRDefault="001F7DF9" w:rsidP="000F043C">
            <w:pPr>
              <w:spacing w:before="120" w:after="120"/>
              <w:rPr>
                <w:sz w:val="20"/>
              </w:rPr>
            </w:pPr>
            <w:r w:rsidRPr="003659B8">
              <w:rPr>
                <w:sz w:val="20"/>
              </w:rPr>
              <w:t>António Marinho e Pinto</w:t>
            </w:r>
          </w:p>
        </w:tc>
      </w:tr>
      <w:tr w:rsidR="001F7DF9" w:rsidRPr="003659B8" w14:paraId="2E3B1381" w14:textId="77777777" w:rsidTr="000F043C">
        <w:trPr>
          <w:cantSplit/>
        </w:trPr>
        <w:tc>
          <w:tcPr>
            <w:tcW w:w="1701" w:type="dxa"/>
            <w:shd w:val="clear" w:color="auto" w:fill="FFFFFF"/>
          </w:tcPr>
          <w:p w14:paraId="630879CA" w14:textId="77777777" w:rsidR="001F7DF9" w:rsidRPr="003659B8" w:rsidRDefault="001F7DF9" w:rsidP="000F043C">
            <w:pPr>
              <w:spacing w:before="120" w:after="120"/>
              <w:rPr>
                <w:sz w:val="20"/>
              </w:rPr>
            </w:pPr>
            <w:r w:rsidRPr="003659B8">
              <w:rPr>
                <w:sz w:val="20"/>
              </w:rPr>
              <w:t>GUE</w:t>
            </w:r>
          </w:p>
        </w:tc>
        <w:tc>
          <w:tcPr>
            <w:tcW w:w="7371" w:type="dxa"/>
            <w:shd w:val="clear" w:color="auto" w:fill="FFFFFF"/>
          </w:tcPr>
          <w:p w14:paraId="57352E39" w14:textId="77777777" w:rsidR="001F7DF9" w:rsidRPr="003659B8" w:rsidRDefault="001F7DF9" w:rsidP="000F043C">
            <w:pPr>
              <w:spacing w:before="120" w:after="120"/>
              <w:rPr>
                <w:sz w:val="20"/>
              </w:rPr>
            </w:pPr>
            <w:r w:rsidRPr="003659B8">
              <w:rPr>
                <w:sz w:val="20"/>
              </w:rPr>
              <w:t>João Ferreira</w:t>
            </w:r>
          </w:p>
        </w:tc>
      </w:tr>
      <w:tr w:rsidR="001F7DF9" w:rsidRPr="003659B8" w14:paraId="2570AD47" w14:textId="77777777" w:rsidTr="000F043C">
        <w:trPr>
          <w:cantSplit/>
        </w:trPr>
        <w:tc>
          <w:tcPr>
            <w:tcW w:w="1701" w:type="dxa"/>
            <w:shd w:val="clear" w:color="auto" w:fill="FFFFFF"/>
          </w:tcPr>
          <w:p w14:paraId="2B680AB0" w14:textId="77777777" w:rsidR="001F7DF9" w:rsidRPr="003659B8" w:rsidRDefault="001F7DF9" w:rsidP="000F043C">
            <w:pPr>
              <w:spacing w:before="120" w:after="120"/>
              <w:rPr>
                <w:sz w:val="20"/>
              </w:rPr>
            </w:pPr>
            <w:r w:rsidRPr="003659B8"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14:paraId="516EDF13" w14:textId="0B781EC3" w:rsidR="001F7DF9" w:rsidRPr="003659B8" w:rsidRDefault="001F7DF9" w:rsidP="000F043C">
            <w:pPr>
              <w:spacing w:before="120" w:after="120"/>
              <w:rPr>
                <w:sz w:val="20"/>
              </w:rPr>
            </w:pPr>
            <w:r w:rsidRPr="003659B8">
              <w:rPr>
                <w:sz w:val="20"/>
              </w:rPr>
              <w:t>Alain Cadec, Carlos Iturgaiz, Seán Kelly, Werner Kuhn, Gabriel Mato, Annie Schreijer-Pierik, Jarosław Wałęsa</w:t>
            </w:r>
          </w:p>
        </w:tc>
      </w:tr>
      <w:tr w:rsidR="001F7DF9" w:rsidRPr="003659B8" w14:paraId="5E47D166" w14:textId="77777777" w:rsidTr="000F043C">
        <w:trPr>
          <w:cantSplit/>
        </w:trPr>
        <w:tc>
          <w:tcPr>
            <w:tcW w:w="1701" w:type="dxa"/>
            <w:shd w:val="clear" w:color="auto" w:fill="FFFFFF"/>
          </w:tcPr>
          <w:p w14:paraId="6EB43A4E" w14:textId="77777777" w:rsidR="001F7DF9" w:rsidRPr="003659B8" w:rsidRDefault="001F7DF9" w:rsidP="000F043C">
            <w:pPr>
              <w:spacing w:before="120" w:after="120"/>
              <w:rPr>
                <w:sz w:val="20"/>
              </w:rPr>
            </w:pPr>
            <w:r w:rsidRPr="003659B8"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14:paraId="132DC769" w14:textId="77777777" w:rsidR="001F7DF9" w:rsidRPr="003659B8" w:rsidRDefault="001F7DF9" w:rsidP="000F043C">
            <w:pPr>
              <w:spacing w:before="120" w:after="120"/>
              <w:rPr>
                <w:sz w:val="20"/>
              </w:rPr>
            </w:pPr>
            <w:r w:rsidRPr="003659B8">
              <w:rPr>
                <w:sz w:val="20"/>
              </w:rPr>
              <w:t>Clara Eugenia Aguilera García, Renata Briano, Ole Christensen, Richard Corbett, Ricardo Serrão Santos, Isabelle Thomas</w:t>
            </w:r>
          </w:p>
        </w:tc>
      </w:tr>
      <w:tr w:rsidR="001F7DF9" w:rsidRPr="003659B8" w14:paraId="670C5658" w14:textId="77777777" w:rsidTr="000F043C">
        <w:trPr>
          <w:cantSplit/>
        </w:trPr>
        <w:tc>
          <w:tcPr>
            <w:tcW w:w="1701" w:type="dxa"/>
            <w:shd w:val="clear" w:color="auto" w:fill="FFFFFF"/>
          </w:tcPr>
          <w:p w14:paraId="0439101F" w14:textId="77777777" w:rsidR="001F7DF9" w:rsidRPr="003659B8" w:rsidRDefault="001F7DF9" w:rsidP="000F043C">
            <w:pPr>
              <w:spacing w:before="120" w:after="120"/>
              <w:rPr>
                <w:sz w:val="20"/>
              </w:rPr>
            </w:pPr>
            <w:r w:rsidRPr="003659B8"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14:paraId="1C2C357A" w14:textId="77777777" w:rsidR="001F7DF9" w:rsidRPr="003659B8" w:rsidRDefault="001F7DF9" w:rsidP="000F043C">
            <w:pPr>
              <w:spacing w:before="120" w:after="120"/>
              <w:rPr>
                <w:sz w:val="20"/>
              </w:rPr>
            </w:pPr>
            <w:r w:rsidRPr="003659B8">
              <w:rPr>
                <w:sz w:val="20"/>
              </w:rPr>
              <w:t>Ian Hudghton</w:t>
            </w:r>
          </w:p>
        </w:tc>
      </w:tr>
    </w:tbl>
    <w:p w14:paraId="5F5963AE" w14:textId="77777777" w:rsidR="001F7DF9" w:rsidRPr="003659B8" w:rsidRDefault="001F7DF9" w:rsidP="001F7DF9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1F7DF9" w:rsidRPr="003659B8" w14:paraId="2186E614" w14:textId="77777777" w:rsidTr="000F043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0351F1C4" w14:textId="77777777" w:rsidR="001F7DF9" w:rsidRPr="003659B8" w:rsidRDefault="001F7DF9" w:rsidP="000F043C">
            <w:pPr>
              <w:spacing w:before="120" w:after="120"/>
              <w:jc w:val="center"/>
              <w:rPr>
                <w:b/>
                <w:sz w:val="16"/>
              </w:rPr>
            </w:pPr>
            <w:r w:rsidRPr="003659B8">
              <w:rPr>
                <w:b/>
                <w:sz w:val="20"/>
              </w:rPr>
              <w:t>1</w:t>
            </w:r>
          </w:p>
        </w:tc>
        <w:tc>
          <w:tcPr>
            <w:tcW w:w="7371" w:type="dxa"/>
            <w:shd w:val="pct10" w:color="000000" w:fill="FFFFFF"/>
          </w:tcPr>
          <w:p w14:paraId="79B4A0BA" w14:textId="77777777" w:rsidR="001F7DF9" w:rsidRPr="003659B8" w:rsidRDefault="001F7DF9" w:rsidP="000F043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659B8">
              <w:rPr>
                <w:rFonts w:ascii="Arial" w:hAnsi="Arial"/>
                <w:b/>
                <w:sz w:val="28"/>
                <w:szCs w:val="28"/>
              </w:rPr>
              <w:t>-</w:t>
            </w:r>
          </w:p>
        </w:tc>
      </w:tr>
      <w:tr w:rsidR="001F7DF9" w:rsidRPr="003659B8" w14:paraId="4F4CDB3E" w14:textId="77777777" w:rsidTr="000F043C">
        <w:trPr>
          <w:cantSplit/>
        </w:trPr>
        <w:tc>
          <w:tcPr>
            <w:tcW w:w="1701" w:type="dxa"/>
            <w:shd w:val="clear" w:color="auto" w:fill="FFFFFF"/>
          </w:tcPr>
          <w:p w14:paraId="4F35440A" w14:textId="77777777" w:rsidR="001F7DF9" w:rsidRPr="003659B8" w:rsidRDefault="001F7DF9" w:rsidP="000F043C">
            <w:pPr>
              <w:spacing w:before="120" w:after="120"/>
              <w:rPr>
                <w:sz w:val="20"/>
              </w:rPr>
            </w:pPr>
            <w:r w:rsidRPr="003659B8"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14:paraId="49800501" w14:textId="77777777" w:rsidR="001F7DF9" w:rsidRPr="003659B8" w:rsidRDefault="001F7DF9" w:rsidP="000F043C">
            <w:pPr>
              <w:spacing w:before="120" w:after="120"/>
              <w:rPr>
                <w:sz w:val="20"/>
              </w:rPr>
            </w:pPr>
            <w:r w:rsidRPr="003659B8">
              <w:rPr>
                <w:sz w:val="20"/>
              </w:rPr>
              <w:t>Mike Hookem</w:t>
            </w:r>
          </w:p>
        </w:tc>
      </w:tr>
    </w:tbl>
    <w:p w14:paraId="5283B83B" w14:textId="77777777" w:rsidR="001F7DF9" w:rsidRPr="003659B8" w:rsidRDefault="001F7DF9" w:rsidP="001F7DF9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1F7DF9" w:rsidRPr="003659B8" w14:paraId="5EE7C198" w14:textId="77777777" w:rsidTr="000F043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223FA00E" w14:textId="77777777" w:rsidR="001F7DF9" w:rsidRPr="003659B8" w:rsidRDefault="001F7DF9" w:rsidP="000F043C">
            <w:pPr>
              <w:spacing w:before="120" w:after="120"/>
              <w:jc w:val="center"/>
              <w:rPr>
                <w:b/>
                <w:sz w:val="16"/>
              </w:rPr>
            </w:pPr>
            <w:r w:rsidRPr="003659B8">
              <w:rPr>
                <w:b/>
                <w:sz w:val="20"/>
              </w:rPr>
              <w:t>3</w:t>
            </w:r>
          </w:p>
        </w:tc>
        <w:tc>
          <w:tcPr>
            <w:tcW w:w="7371" w:type="dxa"/>
            <w:shd w:val="pct10" w:color="000000" w:fill="FFFFFF"/>
          </w:tcPr>
          <w:p w14:paraId="7DEBECC8" w14:textId="77777777" w:rsidR="001F7DF9" w:rsidRPr="003659B8" w:rsidRDefault="001F7DF9" w:rsidP="000F043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659B8"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1F7DF9" w:rsidRPr="003659B8" w14:paraId="36475042" w14:textId="77777777" w:rsidTr="000F043C">
        <w:trPr>
          <w:cantSplit/>
        </w:trPr>
        <w:tc>
          <w:tcPr>
            <w:tcW w:w="1701" w:type="dxa"/>
            <w:shd w:val="clear" w:color="auto" w:fill="FFFFFF"/>
          </w:tcPr>
          <w:p w14:paraId="7BFAD7AE" w14:textId="77777777" w:rsidR="001F7DF9" w:rsidRPr="003659B8" w:rsidRDefault="001F7DF9" w:rsidP="000F043C">
            <w:pPr>
              <w:spacing w:before="120" w:after="120"/>
              <w:rPr>
                <w:sz w:val="20"/>
              </w:rPr>
            </w:pPr>
            <w:r w:rsidRPr="003659B8"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14:paraId="61312AE4" w14:textId="77777777" w:rsidR="001F7DF9" w:rsidRPr="003659B8" w:rsidRDefault="001F7DF9" w:rsidP="000F043C">
            <w:pPr>
              <w:spacing w:before="120" w:after="120"/>
              <w:rPr>
                <w:sz w:val="20"/>
              </w:rPr>
            </w:pPr>
            <w:r w:rsidRPr="003659B8">
              <w:rPr>
                <w:sz w:val="20"/>
              </w:rPr>
              <w:t>Nosheena Mobarik, Remo Sernagiotto, Peter van Dalen</w:t>
            </w:r>
          </w:p>
        </w:tc>
      </w:tr>
    </w:tbl>
    <w:p w14:paraId="68DECF3D" w14:textId="77777777" w:rsidR="001F7DF9" w:rsidRPr="003659B8" w:rsidRDefault="001F7DF9" w:rsidP="001F7DF9">
      <w:pPr>
        <w:pStyle w:val="Normal12"/>
      </w:pPr>
    </w:p>
    <w:p w14:paraId="46C13A24" w14:textId="77777777" w:rsidR="001F7DF9" w:rsidRPr="003659B8" w:rsidRDefault="001F7DF9" w:rsidP="001F7DF9">
      <w:r w:rsidRPr="003659B8">
        <w:t>Objaśnienie używanych znaków:</w:t>
      </w:r>
    </w:p>
    <w:p w14:paraId="7DE04EE4" w14:textId="77777777" w:rsidR="001F7DF9" w:rsidRPr="003659B8" w:rsidRDefault="001F7DF9" w:rsidP="001F7DF9">
      <w:pPr>
        <w:pStyle w:val="NormalTabs"/>
      </w:pPr>
      <w:r w:rsidRPr="003659B8">
        <w:t>+</w:t>
      </w:r>
      <w:r w:rsidRPr="003659B8">
        <w:tab/>
        <w:t>:</w:t>
      </w:r>
      <w:r w:rsidRPr="003659B8">
        <w:tab/>
        <w:t>za</w:t>
      </w:r>
    </w:p>
    <w:p w14:paraId="213F7C89" w14:textId="77777777" w:rsidR="001F7DF9" w:rsidRPr="003659B8" w:rsidRDefault="001F7DF9" w:rsidP="001F7DF9">
      <w:pPr>
        <w:pStyle w:val="NormalTabs"/>
      </w:pPr>
      <w:r w:rsidRPr="003659B8">
        <w:t>-</w:t>
      </w:r>
      <w:r w:rsidRPr="003659B8">
        <w:tab/>
        <w:t>:</w:t>
      </w:r>
      <w:r w:rsidRPr="003659B8">
        <w:tab/>
        <w:t>przeciw</w:t>
      </w:r>
    </w:p>
    <w:p w14:paraId="1B99696A" w14:textId="77777777" w:rsidR="001F7DF9" w:rsidRPr="003659B8" w:rsidRDefault="001F7DF9" w:rsidP="001F7DF9">
      <w:pPr>
        <w:pStyle w:val="NormalTabs"/>
      </w:pPr>
      <w:r w:rsidRPr="003659B8">
        <w:t>0</w:t>
      </w:r>
      <w:r w:rsidRPr="003659B8">
        <w:tab/>
        <w:t>:</w:t>
      </w:r>
      <w:r w:rsidRPr="003659B8">
        <w:tab/>
        <w:t>wstrzymało się</w:t>
      </w:r>
    </w:p>
    <w:p w14:paraId="676DD295" w14:textId="77777777" w:rsidR="001F7DF9" w:rsidRPr="003659B8" w:rsidRDefault="001F7DF9" w:rsidP="001F7DF9"/>
    <w:bookmarkEnd w:id="3"/>
    <w:p w14:paraId="7B349E7A" w14:textId="77777777" w:rsidR="001F7DF9" w:rsidRPr="003659B8" w:rsidRDefault="001F7DF9" w:rsidP="001F7DF9"/>
    <w:p w14:paraId="5E40F366" w14:textId="318CA6D7" w:rsidR="002E2F2E" w:rsidRPr="003659B8" w:rsidRDefault="002E2F2E" w:rsidP="00C96D86"/>
    <w:sectPr w:rsidR="002E2F2E" w:rsidRPr="003659B8" w:rsidSect="003659B8">
      <w:footerReference w:type="even" r:id="rId8"/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8E5EA" w14:textId="77777777" w:rsidR="00E977E7" w:rsidRPr="003659B8" w:rsidRDefault="00E977E7">
      <w:r w:rsidRPr="003659B8">
        <w:separator/>
      </w:r>
    </w:p>
  </w:endnote>
  <w:endnote w:type="continuationSeparator" w:id="0">
    <w:p w14:paraId="371E3C82" w14:textId="77777777" w:rsidR="00E977E7" w:rsidRPr="003659B8" w:rsidRDefault="00E977E7">
      <w:r w:rsidRPr="003659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937FA" w14:textId="7E5AAF1A" w:rsidR="003659B8" w:rsidRPr="003659B8" w:rsidRDefault="003659B8" w:rsidP="003659B8">
    <w:pPr>
      <w:pStyle w:val="Footer"/>
    </w:pPr>
    <w:r w:rsidRPr="003659B8">
      <w:t>PE</w:t>
    </w:r>
    <w:r w:rsidRPr="003659B8">
      <w:rPr>
        <w:rStyle w:val="HideTWBExt"/>
        <w:noProof w:val="0"/>
      </w:rPr>
      <w:t>&lt;NoPE&gt;</w:t>
    </w:r>
    <w:r w:rsidRPr="003659B8">
      <w:t>623.684</w:t>
    </w:r>
    <w:r w:rsidRPr="003659B8">
      <w:rPr>
        <w:rStyle w:val="HideTWBExt"/>
        <w:noProof w:val="0"/>
      </w:rPr>
      <w:t>&lt;/NoPE&gt;&lt;Version&gt;</w:t>
    </w:r>
    <w:r w:rsidRPr="003659B8">
      <w:t>v02-00</w:t>
    </w:r>
    <w:r w:rsidRPr="003659B8">
      <w:rPr>
        <w:rStyle w:val="HideTWBExt"/>
        <w:noProof w:val="0"/>
      </w:rPr>
      <w:t>&lt;/Version&gt;</w:t>
    </w:r>
    <w:r w:rsidRPr="003659B8">
      <w:tab/>
    </w:r>
    <w:r w:rsidRPr="003659B8">
      <w:fldChar w:fldCharType="begin"/>
    </w:r>
    <w:r w:rsidRPr="003659B8">
      <w:instrText xml:space="preserve"> PAGE  \* MERGEFORMAT </w:instrText>
    </w:r>
    <w:r w:rsidRPr="003659B8">
      <w:fldChar w:fldCharType="separate"/>
    </w:r>
    <w:r>
      <w:rPr>
        <w:noProof/>
      </w:rPr>
      <w:t>2</w:t>
    </w:r>
    <w:r w:rsidRPr="003659B8">
      <w:fldChar w:fldCharType="end"/>
    </w:r>
    <w:r w:rsidRPr="003659B8">
      <w:t>/</w:t>
    </w:r>
    <w:fldSimple w:instr=" NUMPAGES  \* MERGEFORMAT ">
      <w:r>
        <w:rPr>
          <w:noProof/>
        </w:rPr>
        <w:t>7</w:t>
      </w:r>
    </w:fldSimple>
    <w:r w:rsidRPr="003659B8">
      <w:tab/>
    </w:r>
    <w:r w:rsidRPr="003659B8">
      <w:rPr>
        <w:rStyle w:val="HideTWBExt"/>
        <w:noProof w:val="0"/>
      </w:rPr>
      <w:t>&lt;PathFdR&gt;</w:t>
    </w:r>
    <w:r w:rsidRPr="003659B8">
      <w:t>AD\1161263PL.docx</w:t>
    </w:r>
    <w:r w:rsidRPr="003659B8">
      <w:rPr>
        <w:rStyle w:val="HideTWBExt"/>
        <w:noProof w:val="0"/>
      </w:rPr>
      <w:t>&lt;/PathFdR&gt;</w:t>
    </w:r>
  </w:p>
  <w:p w14:paraId="1FA1BF4B" w14:textId="22AD6A63" w:rsidR="002E2F2E" w:rsidRPr="003659B8" w:rsidRDefault="003659B8" w:rsidP="003659B8">
    <w:pPr>
      <w:pStyle w:val="Footer2"/>
    </w:pPr>
    <w:r w:rsidRPr="003659B8"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993A" w14:textId="1C7AC143" w:rsidR="003659B8" w:rsidRPr="003659B8" w:rsidRDefault="003659B8" w:rsidP="003659B8">
    <w:pPr>
      <w:pStyle w:val="Footer"/>
    </w:pPr>
    <w:r w:rsidRPr="003659B8">
      <w:rPr>
        <w:rStyle w:val="HideTWBExt"/>
        <w:noProof w:val="0"/>
      </w:rPr>
      <w:t>&lt;PathFdR&gt;</w:t>
    </w:r>
    <w:r w:rsidRPr="003659B8">
      <w:t>AD\1161263PL.docx</w:t>
    </w:r>
    <w:r w:rsidRPr="003659B8">
      <w:rPr>
        <w:rStyle w:val="HideTWBExt"/>
        <w:noProof w:val="0"/>
      </w:rPr>
      <w:t>&lt;/PathFdR&gt;</w:t>
    </w:r>
    <w:r w:rsidRPr="003659B8">
      <w:tab/>
    </w:r>
    <w:r w:rsidRPr="003659B8">
      <w:fldChar w:fldCharType="begin"/>
    </w:r>
    <w:r w:rsidRPr="003659B8">
      <w:instrText xml:space="preserve"> PAGE  \* MERGEFORMAT </w:instrText>
    </w:r>
    <w:r w:rsidRPr="003659B8">
      <w:fldChar w:fldCharType="separate"/>
    </w:r>
    <w:r w:rsidRPr="003659B8">
      <w:t>7</w:t>
    </w:r>
    <w:r w:rsidRPr="003659B8">
      <w:fldChar w:fldCharType="end"/>
    </w:r>
    <w:r w:rsidRPr="003659B8">
      <w:t>/</w:t>
    </w:r>
    <w:fldSimple w:instr=" NUMPAGES  \* MERGEFORMAT ">
      <w:r w:rsidRPr="003659B8">
        <w:t>7</w:t>
      </w:r>
    </w:fldSimple>
    <w:r w:rsidRPr="003659B8">
      <w:tab/>
      <w:t>PE</w:t>
    </w:r>
    <w:r w:rsidRPr="003659B8">
      <w:rPr>
        <w:rStyle w:val="HideTWBExt"/>
        <w:noProof w:val="0"/>
      </w:rPr>
      <w:t>&lt;NoPE&gt;</w:t>
    </w:r>
    <w:r w:rsidRPr="003659B8">
      <w:t>623.684</w:t>
    </w:r>
    <w:r w:rsidRPr="003659B8">
      <w:rPr>
        <w:rStyle w:val="HideTWBExt"/>
        <w:noProof w:val="0"/>
      </w:rPr>
      <w:t>&lt;/NoPE&gt;&lt;Version&gt;</w:t>
    </w:r>
    <w:r w:rsidRPr="003659B8">
      <w:t>v02-00</w:t>
    </w:r>
    <w:r w:rsidRPr="003659B8">
      <w:rPr>
        <w:rStyle w:val="HideTWBExt"/>
        <w:noProof w:val="0"/>
      </w:rPr>
      <w:t>&lt;/Version&gt;</w:t>
    </w:r>
  </w:p>
  <w:p w14:paraId="0135219B" w14:textId="56207A7D" w:rsidR="002E2F2E" w:rsidRPr="003659B8" w:rsidRDefault="003659B8" w:rsidP="003659B8">
    <w:pPr>
      <w:pStyle w:val="Footer2"/>
    </w:pPr>
    <w:r w:rsidRPr="003659B8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F311" w14:textId="77777777" w:rsidR="003659B8" w:rsidRPr="003659B8" w:rsidRDefault="003659B8" w:rsidP="003659B8">
    <w:pPr>
      <w:pStyle w:val="Footer"/>
    </w:pPr>
    <w:r w:rsidRPr="003659B8">
      <w:rPr>
        <w:rStyle w:val="HideTWBExt"/>
        <w:noProof w:val="0"/>
      </w:rPr>
      <w:t>&lt;PathFdR&gt;</w:t>
    </w:r>
    <w:r w:rsidRPr="003659B8">
      <w:t>AD\1161263PL.docx</w:t>
    </w:r>
    <w:r w:rsidRPr="003659B8">
      <w:rPr>
        <w:rStyle w:val="HideTWBExt"/>
        <w:noProof w:val="0"/>
      </w:rPr>
      <w:t>&lt;/PathFdR&gt;</w:t>
    </w:r>
    <w:r w:rsidRPr="003659B8">
      <w:tab/>
    </w:r>
    <w:r w:rsidRPr="003659B8">
      <w:tab/>
      <w:t>PE</w:t>
    </w:r>
    <w:r w:rsidRPr="003659B8">
      <w:rPr>
        <w:rStyle w:val="HideTWBExt"/>
        <w:noProof w:val="0"/>
      </w:rPr>
      <w:t>&lt;NoPE&gt;</w:t>
    </w:r>
    <w:r w:rsidRPr="003659B8">
      <w:t>623.684</w:t>
    </w:r>
    <w:r w:rsidRPr="003659B8">
      <w:rPr>
        <w:rStyle w:val="HideTWBExt"/>
        <w:noProof w:val="0"/>
      </w:rPr>
      <w:t>&lt;/NoPE&gt;&lt;Version&gt;</w:t>
    </w:r>
    <w:r w:rsidRPr="003659B8">
      <w:t>v02-00</w:t>
    </w:r>
    <w:r w:rsidRPr="003659B8">
      <w:rPr>
        <w:rStyle w:val="HideTWBExt"/>
        <w:noProof w:val="0"/>
      </w:rPr>
      <w:t>&lt;/Version&gt;</w:t>
    </w:r>
  </w:p>
  <w:p w14:paraId="5BF9EFA3" w14:textId="7CBEF53E" w:rsidR="002E2F2E" w:rsidRPr="003659B8" w:rsidRDefault="003659B8" w:rsidP="003659B8">
    <w:pPr>
      <w:pStyle w:val="Footer2"/>
      <w:tabs>
        <w:tab w:val="center" w:pos="4535"/>
      </w:tabs>
    </w:pPr>
    <w:r w:rsidRPr="003659B8">
      <w:t>PL</w:t>
    </w:r>
    <w:r w:rsidRPr="003659B8">
      <w:tab/>
    </w:r>
    <w:r w:rsidRPr="003659B8">
      <w:rPr>
        <w:b w:val="0"/>
        <w:i/>
        <w:color w:val="C0C0C0"/>
        <w:sz w:val="22"/>
      </w:rPr>
      <w:t>Zjednoczona w różnorodności</w:t>
    </w:r>
    <w:r w:rsidRPr="003659B8"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C0B5D" w14:textId="77777777" w:rsidR="00E977E7" w:rsidRPr="003659B8" w:rsidRDefault="00E977E7">
      <w:r w:rsidRPr="003659B8">
        <w:separator/>
      </w:r>
    </w:p>
  </w:footnote>
  <w:footnote w:type="continuationSeparator" w:id="0">
    <w:p w14:paraId="69DDF450" w14:textId="77777777" w:rsidR="00E977E7" w:rsidRPr="003659B8" w:rsidRDefault="00E977E7">
      <w:r w:rsidRPr="003659B8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ORMFMNU" w:val=" 1"/>
    <w:docVar w:name="CJMNU" w:val="1"/>
    <w:docVar w:name="COM2KEY" w:val="BUDG"/>
    <w:docVar w:name="COMKEY" w:val="PECH"/>
    <w:docVar w:name="CopyToNetwork" w:val="-1"/>
    <w:docVar w:name="LastEditedSection" w:val=" 1"/>
    <w:docVar w:name="PROCMNU" w:val=" 2"/>
    <w:docVar w:name="RepeatBlock-AmendFR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10631343 HideTWBInt;}{\s16\ql \fi-567\li567\ri0\sa240\nowidctlpar\wrapdefault\aspalpha\aspnum\faauto\adjustright\rin0\lin567\itap0 \rtlch\fcs1 \af0\afs20\alang1025 \ltrch\fcs0 _x000d__x000a_\fs24\lang1036\langfe2057\cgrid\langnp1036\langfenp2057 \sbasedon0 \snext16 \spriority0 \styrsid10631343 Normal12Hanging;}}{\*\rsidtbl \rsid24658\rsid735077\rsid936300\rsid2892074\rsid4666813\rsid6641733\rsid9636012\rsid10631343\rsid11215221\rsid12154954_x000d__x000a_\rsid14424199\rsid15204470\rsid15285974\rsid15950462\rsid16324206\rsid16662270}{\mmathPr\mmathFont34\mbrkBin0\mbrkBinSub0\msmallFrac0\mdispDef1\mlMargin0\mrMargin0\mdefJc1\mwrapIndent1440\mintLim0\mnaryLim1}{\info{\author WOJCIECHOWSKA Joanna}_x000d__x000a_{\operator WOJCIECHOWSKA Joanna}{\creatim\yr2018\mo9\dy5\hr7\min55}{\revtim\yr2018\mo9\dy5\hr7\min55}{\version1}{\edmins0}{\nofpages1}{\nofwords1}{\nofchars12}{\*\company European Parliament}{\nofcharsws12}{\vern95}}{\*\xmlnstbl {\xmlns1 http://schemas.mi_x000d__x000a_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631343\utinl \donotshowprops1\fet0{\*\wgrffmtfilter 013f}\ilfomacatclnup0{\*\template C:\\Users\\JWOJCI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93630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3630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3630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3630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fi-567\li567\ri0\sa240\nowidctlpar\wrapdefault\aspalpha\aspnum\faauto\adjustright\rin0\lin567\itap0\pararsid10631343 \rtlch\fcs1 \af0\afs20\alang1025 \ltrch\fcs0 \fs24\lang1036\langfe2057\cgrid\langnp1036\langfenp2057 {\rtlch\fcs1 \af0 _x000d__x000a_\ltrch\fcs0 \insrsid10631343\charrsid15300583 {\*\bkmkstart restart}#}{\rtlch\fcs1 \af0 \ltrch\fcs0 \cs15\v\cf15\insrsid10631343\charrsid15300583 NRMSG}{\rtlch\fcs1 \af0 \ltrch\fcs0 \insrsid10631343\charrsid15300583 #.\tab ##}{\rtlch\fcs1 \af0 _x000d__x000a_\ltrch\fcs0 \insrsid10631343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86_x000d__x000a_1004dd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4225329 Normal12Hanging;}}{\*\rsidtbl \rsid24658\rsid735077\rsid2892074\rsid4225329\rsid4666813\rsid6641733\rsid9310359\rsid9636012\rsid11215221\rsid12154954\rsid14424199\rsid15204470\rsid15285974\rsid15950462_x000d__x000a_\rsid16324206\rsid16662270}{\mmathPr\mmathFont34\mbrkBin0\mbrkBinSub0\msmallFrac0\mdispDef1\mlMargin0\mrMargin0\mdefJc1\mwrapIndent1440\mintLim0\mnaryLim1}{\info{\author WOJCIECHOWSKA Joanna}{\operator WOJCIECHOWSKA Joanna}_x000d__x000a_{\creatim\yr2018\mo9\dy5\hr7\min55}{\revtim\yr2018\mo9\dy5\hr7\min55}{\version1}{\edmins0}{\nofpages1}{\nofwords5}{\nofchars30}{\*\company European Parliament}{\nofcharsws34}{\vern95}}{\*\xmlnstbl {\xmlns1 http://schemas.microsoft.com/office/word/2003/wor_x000d__x000a_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4225329\utinl \donotshowprops1\fet0{\*\wgrffmtfilter 013f}\ilfomacatclnup0{\*\template C:\\Users\\JWOJCI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931035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31035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31035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310359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4225329 \rtlch\fcs1 \af0\afs20\alang1025 \ltrch\fcs0 \fs24\lang2057\langfe2057\cgrid\langnp2057\langfenp2057 {\rtlch\fcs1 \af0 _x000d__x000a_\ltrch\fcs0 \insrsid4225329\charrsid1525456 {\*\bkmkstart restart}[ZSUGGESTIONNR]\tab [ZSUGGESTIONTEXT]}{\rtlch\fcs1 \af0 \ltrch\fcs0 \insrsid4225329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82_x000d__x000a_3305dd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CONV"/>
    <w:docVar w:name="strSubDir" w:val="1161"/>
    <w:docVar w:name="TXTLANGUE" w:val="PL"/>
    <w:docVar w:name="TXTLANGUEMIN" w:val="pl"/>
    <w:docVar w:name="TXTNRPE" w:val="623.684"/>
    <w:docVar w:name="TXTNRPROC" w:val="2018/2046"/>
    <w:docVar w:name="TXTPEorAP" w:val="PE"/>
    <w:docVar w:name="TXTROUTE" w:val="AD\1161263PL.docx"/>
    <w:docVar w:name="TXTTITLE" w:val="Budget général de l'Union européenne pour l'exercice 2019 - toutes sections"/>
    <w:docVar w:name="TXTVERSION" w:val="02-00"/>
  </w:docVars>
  <w:rsids>
    <w:rsidRoot w:val="00E977E7"/>
    <w:rsid w:val="000E7EBF"/>
    <w:rsid w:val="00140BE6"/>
    <w:rsid w:val="0016635E"/>
    <w:rsid w:val="001746D0"/>
    <w:rsid w:val="001D2ED9"/>
    <w:rsid w:val="001F7DF9"/>
    <w:rsid w:val="00293317"/>
    <w:rsid w:val="00294AC1"/>
    <w:rsid w:val="002B11F3"/>
    <w:rsid w:val="002E2F2E"/>
    <w:rsid w:val="00325BCB"/>
    <w:rsid w:val="003277DE"/>
    <w:rsid w:val="00352A76"/>
    <w:rsid w:val="003659B8"/>
    <w:rsid w:val="00390EB2"/>
    <w:rsid w:val="00396A0E"/>
    <w:rsid w:val="003C37E2"/>
    <w:rsid w:val="003E2402"/>
    <w:rsid w:val="003F0F6E"/>
    <w:rsid w:val="00424BD9"/>
    <w:rsid w:val="004C1536"/>
    <w:rsid w:val="004C28FB"/>
    <w:rsid w:val="0059406B"/>
    <w:rsid w:val="005B2F11"/>
    <w:rsid w:val="005D60C6"/>
    <w:rsid w:val="00611CA3"/>
    <w:rsid w:val="0064291A"/>
    <w:rsid w:val="00657AFB"/>
    <w:rsid w:val="007A04D9"/>
    <w:rsid w:val="007C4695"/>
    <w:rsid w:val="007D47BB"/>
    <w:rsid w:val="007D67FA"/>
    <w:rsid w:val="008313E7"/>
    <w:rsid w:val="008323C3"/>
    <w:rsid w:val="0083284F"/>
    <w:rsid w:val="008521A7"/>
    <w:rsid w:val="008964D7"/>
    <w:rsid w:val="008A32C5"/>
    <w:rsid w:val="008F7002"/>
    <w:rsid w:val="00910DD4"/>
    <w:rsid w:val="009D1CB3"/>
    <w:rsid w:val="00A1268A"/>
    <w:rsid w:val="00A16BEA"/>
    <w:rsid w:val="00A5485B"/>
    <w:rsid w:val="00A67D09"/>
    <w:rsid w:val="00A72C35"/>
    <w:rsid w:val="00B362F7"/>
    <w:rsid w:val="00B51D2B"/>
    <w:rsid w:val="00B543A4"/>
    <w:rsid w:val="00BD1EAA"/>
    <w:rsid w:val="00C017A4"/>
    <w:rsid w:val="00C217C6"/>
    <w:rsid w:val="00C96D86"/>
    <w:rsid w:val="00E0075C"/>
    <w:rsid w:val="00E562B3"/>
    <w:rsid w:val="00E856D2"/>
    <w:rsid w:val="00E977E7"/>
    <w:rsid w:val="00EA602C"/>
    <w:rsid w:val="00ED2A89"/>
    <w:rsid w:val="00FA7E61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BAB6C7"/>
  <w15:chartTrackingRefBased/>
  <w15:docId w15:val="{733A9E5C-6396-4391-934A-6136FBA7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efProc">
    <w:name w:val="RefProc"/>
    <w:basedOn w:val="Normal"/>
    <w:rsid w:val="005D60C6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1746D0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12Hanging">
    <w:name w:val="Normal12Hanging"/>
    <w:basedOn w:val="Normal12"/>
    <w:link w:val="Normal12HangingChar"/>
    <w:rsid w:val="008313E7"/>
    <w:pPr>
      <w:ind w:left="567" w:hanging="567"/>
    </w:pPr>
  </w:style>
  <w:style w:type="paragraph" w:customStyle="1" w:styleId="Normal12Tab">
    <w:name w:val="Normal12Tab"/>
    <w:basedOn w:val="Normal"/>
    <w:rsid w:val="00C217C6"/>
    <w:pPr>
      <w:tabs>
        <w:tab w:val="left" w:pos="357"/>
      </w:tabs>
      <w:spacing w:after="240"/>
    </w:pPr>
  </w:style>
  <w:style w:type="paragraph" w:customStyle="1" w:styleId="Hanging12">
    <w:name w:val="Hanging12"/>
    <w:basedOn w:val="Normal"/>
    <w:rsid w:val="00C217C6"/>
    <w:pPr>
      <w:tabs>
        <w:tab w:val="left" w:pos="357"/>
      </w:tabs>
      <w:spacing w:after="240"/>
      <w:ind w:left="357" w:hanging="357"/>
    </w:pPr>
  </w:style>
  <w:style w:type="paragraph" w:customStyle="1" w:styleId="Normal12Justified">
    <w:name w:val="Normal12Justified"/>
    <w:basedOn w:val="Normal"/>
    <w:rsid w:val="00C217C6"/>
    <w:pPr>
      <w:snapToGrid w:val="0"/>
      <w:spacing w:after="240"/>
      <w:jc w:val="both"/>
    </w:pPr>
    <w:rPr>
      <w:lang w:eastAsia="en-US"/>
    </w:rPr>
  </w:style>
  <w:style w:type="paragraph" w:styleId="BalloonText">
    <w:name w:val="Balloon Text"/>
    <w:basedOn w:val="Normal"/>
    <w:link w:val="BalloonTextChar"/>
    <w:rsid w:val="00E00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075C"/>
    <w:rPr>
      <w:rFonts w:ascii="Segoe UI" w:hAnsi="Segoe UI" w:cs="Segoe UI"/>
      <w:sz w:val="18"/>
      <w:szCs w:val="18"/>
      <w:lang w:val="pl-PL"/>
    </w:rPr>
  </w:style>
  <w:style w:type="character" w:styleId="CommentReference">
    <w:name w:val="annotation reference"/>
    <w:basedOn w:val="DefaultParagraphFont"/>
    <w:rsid w:val="009D1C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1C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1CB3"/>
    <w:rPr>
      <w:lang w:val="pl-PL"/>
    </w:rPr>
  </w:style>
  <w:style w:type="paragraph" w:styleId="CommentSubject">
    <w:name w:val="annotation subject"/>
    <w:basedOn w:val="CommentText"/>
    <w:next w:val="CommentText"/>
    <w:link w:val="CommentSubjectChar"/>
    <w:rsid w:val="009D1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1CB3"/>
    <w:rPr>
      <w:b/>
      <w:bCs/>
      <w:lang w:val="pl-PL"/>
    </w:rPr>
  </w:style>
  <w:style w:type="character" w:customStyle="1" w:styleId="Normal12HangingChar">
    <w:name w:val="Normal12Hanging Char"/>
    <w:link w:val="Normal12Hanging"/>
    <w:rsid w:val="001F7DF9"/>
    <w:rPr>
      <w:sz w:val="24"/>
    </w:rPr>
  </w:style>
  <w:style w:type="paragraph" w:customStyle="1" w:styleId="NormalTabs">
    <w:name w:val="NormalTabs"/>
    <w:basedOn w:val="Normal"/>
    <w:qFormat/>
    <w:rsid w:val="001F7DF9"/>
    <w:pPr>
      <w:tabs>
        <w:tab w:val="center" w:pos="284"/>
        <w:tab w:val="left" w:pos="426"/>
      </w:tabs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EPIE~1\AppData\Local\Temp\PA_NonLe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PA_NonLeg</Template>
  <TotalTime>0</TotalTime>
  <Pages>7</Pages>
  <Words>1017</Words>
  <Characters>6866</Characters>
  <Application>Microsoft Office Word</Application>
  <DocSecurity>0</DocSecurity>
  <Lines>176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DEPIERRAZ Gwenaelle</dc:creator>
  <cp:keywords/>
  <dc:description/>
  <cp:lastModifiedBy>FABINSKA Bozena</cp:lastModifiedBy>
  <cp:revision>2</cp:revision>
  <cp:lastPrinted>2018-06-21T13:44:00Z</cp:lastPrinted>
  <dcterms:created xsi:type="dcterms:W3CDTF">2018-09-17T08:12:00Z</dcterms:created>
  <dcterms:modified xsi:type="dcterms:W3CDTF">2018-09-17T08:12:00Z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9.3.2 Build [20180601]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1161263</vt:lpwstr>
  </property>
  <property fmtid="{D5CDD505-2E9C-101B-9397-08002B2CF9AE}" pid="5" name="&lt;Type&gt;">
    <vt:lpwstr>AD</vt:lpwstr>
  </property>
  <property fmtid="{D5CDD505-2E9C-101B-9397-08002B2CF9AE}" pid="6" name="&lt;ModelCod&gt;">
    <vt:lpwstr>\\eiciBRUpr1\pdocep$\DocEP\DOCS\General\PA\PA_NonLeg.dot(05/07/2017 16:38:43)</vt:lpwstr>
  </property>
  <property fmtid="{D5CDD505-2E9C-101B-9397-08002B2CF9AE}" pid="7" name="&lt;ModelTra&gt;">
    <vt:lpwstr>\\eiciBRUpr1\pdocep$\DocEP\TRANSFIL\FR\PA_NonLeg.FR(16/05/2018 19:21:09)</vt:lpwstr>
  </property>
  <property fmtid="{D5CDD505-2E9C-101B-9397-08002B2CF9AE}" pid="8" name="&lt;Model&gt;">
    <vt:lpwstr>PA_NonLeg</vt:lpwstr>
  </property>
  <property fmtid="{D5CDD505-2E9C-101B-9397-08002B2CF9AE}" pid="9" name="FooterPath">
    <vt:lpwstr>AD\1161263PL.docx</vt:lpwstr>
  </property>
  <property fmtid="{D5CDD505-2E9C-101B-9397-08002B2CF9AE}" pid="10" name="PE number">
    <vt:lpwstr>623.684</vt:lpwstr>
  </property>
  <property fmtid="{D5CDD505-2E9C-101B-9397-08002B2CF9AE}" pid="11" name="SubscribeElise">
    <vt:lpwstr/>
  </property>
  <property fmtid="{D5CDD505-2E9C-101B-9397-08002B2CF9AE}" pid="12" name="SendToEpades">
    <vt:lpwstr>OK - 2018/06/21 15:30</vt:lpwstr>
  </property>
  <property fmtid="{D5CDD505-2E9C-101B-9397-08002B2CF9AE}" pid="13" name="Bookout">
    <vt:lpwstr>OK - 2018/09/05 07:57</vt:lpwstr>
  </property>
  <property fmtid="{D5CDD505-2E9C-101B-9397-08002B2CF9AE}" pid="14" name="SDLStudio">
    <vt:lpwstr/>
  </property>
  <property fmtid="{D5CDD505-2E9C-101B-9397-08002B2CF9AE}" pid="15" name="&lt;Extension&gt;">
    <vt:lpwstr>PL</vt:lpwstr>
  </property>
</Properties>
</file>