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97376" w:rsidRPr="000422E3" w:rsidTr="00BC0938">
        <w:trPr>
          <w:trHeight w:hRule="exact" w:val="1418"/>
        </w:trPr>
        <w:tc>
          <w:tcPr>
            <w:tcW w:w="6804" w:type="dxa"/>
            <w:shd w:val="clear" w:color="auto" w:fill="auto"/>
            <w:vAlign w:val="center"/>
          </w:tcPr>
          <w:p w:rsidR="00697376" w:rsidRPr="000422E3" w:rsidRDefault="00FD37D1" w:rsidP="00BC0938">
            <w:pPr>
              <w:pStyle w:val="EPName"/>
            </w:pPr>
            <w:r w:rsidRPr="000422E3">
              <w:t>Europa-Parlamentet</w:t>
            </w:r>
          </w:p>
          <w:p w:rsidR="00697376" w:rsidRPr="000422E3" w:rsidRDefault="00084C34" w:rsidP="00084C34">
            <w:pPr>
              <w:pStyle w:val="EPTerm"/>
              <w:rPr>
                <w:rStyle w:val="HideTWBExt"/>
                <w:noProof w:val="0"/>
                <w:vanish w:val="0"/>
                <w:color w:val="auto"/>
              </w:rPr>
            </w:pPr>
            <w:r w:rsidRPr="000422E3">
              <w:t>2014-2019</w:t>
            </w:r>
          </w:p>
        </w:tc>
        <w:tc>
          <w:tcPr>
            <w:tcW w:w="2268" w:type="dxa"/>
            <w:shd w:val="clear" w:color="auto" w:fill="auto"/>
          </w:tcPr>
          <w:p w:rsidR="00697376" w:rsidRPr="000422E3" w:rsidRDefault="000422E3" w:rsidP="00BC0938">
            <w:pPr>
              <w:pStyle w:val="EPLogo"/>
            </w:pPr>
            <w:r w:rsidRPr="000422E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B2664F" w:rsidRPr="000422E3" w:rsidRDefault="00B2664F" w:rsidP="00B2664F">
      <w:pPr>
        <w:pStyle w:val="LineTop"/>
      </w:pPr>
    </w:p>
    <w:p w:rsidR="00B2664F" w:rsidRPr="000422E3" w:rsidRDefault="00B2664F" w:rsidP="00B2664F">
      <w:pPr>
        <w:pStyle w:val="ZCommittee"/>
      </w:pPr>
      <w:r w:rsidRPr="000422E3">
        <w:rPr>
          <w:rStyle w:val="HideTWBExt"/>
          <w:noProof w:val="0"/>
        </w:rPr>
        <w:t>&lt;</w:t>
      </w:r>
      <w:r w:rsidRPr="000422E3">
        <w:rPr>
          <w:rStyle w:val="HideTWBExt"/>
          <w:i w:val="0"/>
          <w:noProof w:val="0"/>
        </w:rPr>
        <w:t>Commission&gt;</w:t>
      </w:r>
      <w:r w:rsidRPr="000422E3">
        <w:rPr>
          <w:rStyle w:val="HideTWBInt"/>
          <w:i w:val="0"/>
        </w:rPr>
        <w:t>{JURI}</w:t>
      </w:r>
      <w:r w:rsidRPr="000422E3">
        <w:t>Retsudvalget</w:t>
      </w:r>
      <w:r w:rsidRPr="000422E3">
        <w:rPr>
          <w:rStyle w:val="HideTWBExt"/>
          <w:noProof w:val="0"/>
        </w:rPr>
        <w:t>&lt;/</w:t>
      </w:r>
      <w:r w:rsidRPr="000422E3">
        <w:rPr>
          <w:rStyle w:val="HideTWBExt"/>
          <w:i w:val="0"/>
          <w:noProof w:val="0"/>
        </w:rPr>
        <w:t>Commission</w:t>
      </w:r>
      <w:r w:rsidRPr="000422E3">
        <w:rPr>
          <w:rStyle w:val="HideTWBExt"/>
          <w:noProof w:val="0"/>
        </w:rPr>
        <w:t>&gt;</w:t>
      </w:r>
    </w:p>
    <w:p w:rsidR="00B2664F" w:rsidRPr="000422E3" w:rsidRDefault="00B2664F" w:rsidP="00B2664F">
      <w:pPr>
        <w:pStyle w:val="LineBottom"/>
      </w:pPr>
    </w:p>
    <w:p w:rsidR="00BE72C9" w:rsidRPr="000422E3" w:rsidRDefault="00C60AFF">
      <w:pPr>
        <w:pStyle w:val="ZDateCM"/>
      </w:pPr>
      <w:r w:rsidRPr="000422E3">
        <w:rPr>
          <w:rStyle w:val="HideTWBExt"/>
          <w:noProof w:val="0"/>
        </w:rPr>
        <w:t>&lt;Date&gt;</w:t>
      </w:r>
      <w:r w:rsidRPr="000422E3">
        <w:rPr>
          <w:rStyle w:val="HideTWBInt"/>
        </w:rPr>
        <w:t>{18/07/2018}</w:t>
      </w:r>
      <w:r w:rsidRPr="000422E3">
        <w:t>18.7.2018</w:t>
      </w:r>
      <w:r w:rsidRPr="000422E3">
        <w:rPr>
          <w:rStyle w:val="HideTWBExt"/>
          <w:noProof w:val="0"/>
        </w:rPr>
        <w:t>&lt;/Date&gt;</w:t>
      </w:r>
    </w:p>
    <w:p w:rsidR="00AA23FF" w:rsidRPr="000422E3" w:rsidRDefault="00AA23FF" w:rsidP="00AA23FF">
      <w:pPr>
        <w:pStyle w:val="TypeDoc"/>
      </w:pPr>
      <w:r w:rsidRPr="000422E3">
        <w:rPr>
          <w:rStyle w:val="HideTWBExt"/>
          <w:b w:val="0"/>
          <w:noProof w:val="0"/>
        </w:rPr>
        <w:t>&lt;TitreType&gt;</w:t>
      </w:r>
      <w:r w:rsidRPr="000422E3">
        <w:t>MEDDELELSE TIL MEDLEMMERNE</w:t>
      </w:r>
      <w:r w:rsidRPr="000422E3">
        <w:rPr>
          <w:rStyle w:val="HideTWBExt"/>
          <w:b w:val="0"/>
          <w:noProof w:val="0"/>
        </w:rPr>
        <w:t>&lt;/TitreType&gt;</w:t>
      </w:r>
    </w:p>
    <w:p w:rsidR="00AA23FF" w:rsidRPr="000422E3" w:rsidRDefault="00FD37D1">
      <w:pPr>
        <w:pStyle w:val="CMHeading"/>
      </w:pPr>
      <w:r w:rsidRPr="000422E3">
        <w:t>(20/2018)</w:t>
      </w:r>
    </w:p>
    <w:p w:rsidR="00E31765" w:rsidRPr="000422E3" w:rsidRDefault="00FD37D1" w:rsidP="00487EF1">
      <w:pPr>
        <w:pStyle w:val="SubjectCM"/>
      </w:pPr>
      <w:bookmarkStart w:id="0" w:name="text"/>
      <w:bookmarkEnd w:id="0"/>
      <w:r w:rsidRPr="000422E3">
        <w:t>Om:</w:t>
      </w:r>
      <w:r w:rsidRPr="000422E3">
        <w:tab/>
      </w:r>
      <w:r w:rsidRPr="000422E3">
        <w:rPr>
          <w:rStyle w:val="HideTWBExt"/>
          <w:noProof w:val="0"/>
        </w:rPr>
        <w:t>&lt;Titre&gt;</w:t>
      </w:r>
      <w:r w:rsidRPr="000422E3">
        <w:t>Forslag til Europa-Parlamentets og Rådets forordning om persistente organiske miljøgifte (omarbejdning)</w:t>
      </w:r>
      <w:r w:rsidRPr="000422E3">
        <w:rPr>
          <w:rStyle w:val="HideTWBExt"/>
          <w:noProof w:val="0"/>
        </w:rPr>
        <w:t>&lt;/Titre&gt;</w:t>
      </w:r>
    </w:p>
    <w:p w:rsidR="00E31765" w:rsidRPr="000422E3" w:rsidRDefault="00E31765" w:rsidP="00E31765">
      <w:pPr>
        <w:pStyle w:val="SubjectCM"/>
      </w:pPr>
      <w:r w:rsidRPr="000422E3">
        <w:tab/>
        <w:t>(COM(2018)0144 – C8-0124/2018 – 2018/0070(COD))</w:t>
      </w:r>
    </w:p>
    <w:p w:rsidR="000C6C1F" w:rsidRPr="000422E3" w:rsidRDefault="000C6C1F" w:rsidP="000C6C1F">
      <w:pPr>
        <w:pStyle w:val="Normal18"/>
      </w:pPr>
    </w:p>
    <w:p w:rsidR="00E31765" w:rsidRPr="000422E3" w:rsidRDefault="00FD37D1" w:rsidP="005B4438">
      <w:pPr>
        <w:pStyle w:val="Normal12"/>
      </w:pPr>
      <w:r w:rsidRPr="000422E3">
        <w:t>Ifølge den interinstitutionelle aftale af 28. november 2001 om en mere systematisk omarbejdning af retsakter</w:t>
      </w:r>
      <w:r w:rsidR="00084C34" w:rsidRPr="000422E3">
        <w:rPr>
          <w:rStyle w:val="FootnoteReference"/>
        </w:rPr>
        <w:footnoteReference w:id="1"/>
      </w:r>
      <w:r w:rsidRPr="000422E3">
        <w:t xml:space="preserve"> skal en rådgivende gruppe bestående af de juridiske tjenester i Europa-Parlamentet, Rådet og Kommissionen behandle forslag til omarbejdning, der forelægges af Kommissionen.</w:t>
      </w:r>
    </w:p>
    <w:p w:rsidR="009053D6" w:rsidRPr="000422E3" w:rsidRDefault="00FD37D1" w:rsidP="005B4438">
      <w:pPr>
        <w:pStyle w:val="Normal12"/>
      </w:pPr>
      <w:r w:rsidRPr="000422E3">
        <w:t>Vedlagt fremsendes den rådgivende gruppes udtalelse om ovennævnte forslag.</w:t>
      </w:r>
    </w:p>
    <w:p w:rsidR="009053D6" w:rsidRPr="000422E3" w:rsidRDefault="00FD37D1" w:rsidP="009053D6">
      <w:pPr>
        <w:pStyle w:val="Normal12"/>
      </w:pPr>
      <w:r w:rsidRPr="000422E3">
        <w:t>Retsudvalget forventes at tage stilling hertil på sit møde den 3. september 2018.</w:t>
      </w:r>
    </w:p>
    <w:p w:rsidR="009053D6" w:rsidRPr="000422E3" w:rsidRDefault="00084C34" w:rsidP="00652BEB">
      <w:pPr>
        <w:pStyle w:val="Annex"/>
      </w:pPr>
      <w:r w:rsidRPr="000422E3">
        <w:t>Bilag</w:t>
      </w:r>
    </w:p>
    <w:p w:rsidR="0093077A" w:rsidRPr="000422E3" w:rsidRDefault="0093077A" w:rsidP="0093077A">
      <w:pPr>
        <w:pStyle w:val="StyleAnnexRight"/>
      </w:pPr>
      <w:r w:rsidRPr="000422E3">
        <w:br w:type="page"/>
      </w:r>
      <w:r w:rsidRPr="000422E3">
        <w:lastRenderedPageBreak/>
        <w:t>Bilag</w:t>
      </w:r>
    </w:p>
    <w:tbl>
      <w:tblPr>
        <w:tblW w:w="9469" w:type="dxa"/>
        <w:tblLayout w:type="fixed"/>
        <w:tblCellMar>
          <w:left w:w="0" w:type="dxa"/>
          <w:right w:w="0" w:type="dxa"/>
        </w:tblCellMar>
        <w:tblLook w:val="0000" w:firstRow="0" w:lastRow="0" w:firstColumn="0" w:lastColumn="0" w:noHBand="0" w:noVBand="0"/>
      </w:tblPr>
      <w:tblGrid>
        <w:gridCol w:w="1814"/>
        <w:gridCol w:w="7655"/>
      </w:tblGrid>
      <w:tr w:rsidR="0093077A" w:rsidRPr="000422E3" w:rsidTr="0093077A">
        <w:tc>
          <w:tcPr>
            <w:tcW w:w="1814" w:type="dxa"/>
          </w:tcPr>
          <w:p w:rsidR="0093077A" w:rsidRPr="000422E3" w:rsidRDefault="000422E3" w:rsidP="0093077A">
            <w:pPr>
              <w:spacing w:before="120" w:after="120"/>
            </w:pPr>
            <w:r w:rsidRPr="000422E3">
              <w:pict>
                <v:shape id="_x0000_i1026" type="#_x0000_t75" style="width:79.5pt;height:53.25pt" fillcolor="window">
                  <v:imagedata r:id="rId8" o:title=""/>
                </v:shape>
              </w:pict>
            </w:r>
          </w:p>
        </w:tc>
        <w:tc>
          <w:tcPr>
            <w:tcW w:w="7655" w:type="dxa"/>
          </w:tcPr>
          <w:p w:rsidR="0093077A" w:rsidRPr="000422E3" w:rsidRDefault="0093077A" w:rsidP="0093077A">
            <w:pPr>
              <w:pStyle w:val="WorkingParty"/>
            </w:pPr>
          </w:p>
          <w:p w:rsidR="0093077A" w:rsidRPr="000422E3" w:rsidRDefault="0093077A" w:rsidP="0093077A">
            <w:pPr>
              <w:rPr>
                <w:sz w:val="20"/>
                <w:lang w:eastAsia="en-US"/>
              </w:rPr>
            </w:pPr>
          </w:p>
          <w:p w:rsidR="0093077A" w:rsidRPr="000422E3" w:rsidRDefault="0093077A" w:rsidP="0093077A">
            <w:pPr>
              <w:rPr>
                <w:sz w:val="20"/>
                <w:lang w:eastAsia="en-US"/>
              </w:rPr>
            </w:pPr>
          </w:p>
          <w:p w:rsidR="0093077A" w:rsidRPr="000422E3" w:rsidRDefault="00FD37D1" w:rsidP="0093077A">
            <w:pPr>
              <w:pStyle w:val="WorkingParty"/>
            </w:pPr>
            <w:r w:rsidRPr="000422E3">
              <w:t>DE JURIDISKE TJENESTERS</w:t>
            </w:r>
          </w:p>
          <w:p w:rsidR="0093077A" w:rsidRPr="000422E3" w:rsidRDefault="00FD37D1" w:rsidP="0093077A">
            <w:pPr>
              <w:pStyle w:val="WorkingParty"/>
            </w:pPr>
            <w:r w:rsidRPr="000422E3">
              <w:t>RÅDGIVENDE GRUPPE</w:t>
            </w:r>
          </w:p>
        </w:tc>
      </w:tr>
    </w:tbl>
    <w:p w:rsidR="0093077A" w:rsidRPr="000422E3" w:rsidRDefault="00FD37D1" w:rsidP="0093077A">
      <w:pPr>
        <w:pStyle w:val="AnnexDate"/>
      </w:pPr>
      <w:r w:rsidRPr="000422E3">
        <w:t>Bruxelles, den 22. juni 2018</w:t>
      </w:r>
    </w:p>
    <w:p w:rsidR="0093077A" w:rsidRPr="000422E3" w:rsidRDefault="00FD37D1" w:rsidP="0093077A">
      <w:pPr>
        <w:pStyle w:val="NormalCentreBold12a12b"/>
      </w:pPr>
      <w:r w:rsidRPr="000422E3">
        <w:t>UDTALELSE</w:t>
      </w:r>
    </w:p>
    <w:p w:rsidR="0093077A" w:rsidRPr="000422E3" w:rsidRDefault="0093077A" w:rsidP="0093077A">
      <w:pPr>
        <w:pStyle w:val="NormalBoldTabs"/>
      </w:pPr>
      <w:r w:rsidRPr="000422E3">
        <w:tab/>
        <w:t>TIL</w:t>
      </w:r>
      <w:r w:rsidRPr="000422E3">
        <w:tab/>
        <w:t>EUROPA-PARLAMENTET</w:t>
      </w:r>
    </w:p>
    <w:p w:rsidR="0093077A" w:rsidRPr="000422E3" w:rsidRDefault="0093077A" w:rsidP="0093077A">
      <w:pPr>
        <w:pStyle w:val="NormalBoldTabs"/>
      </w:pPr>
      <w:r w:rsidRPr="000422E3">
        <w:tab/>
      </w:r>
      <w:r w:rsidRPr="000422E3">
        <w:tab/>
        <w:t>RÅDET</w:t>
      </w:r>
    </w:p>
    <w:p w:rsidR="0093077A" w:rsidRPr="000422E3" w:rsidRDefault="0093077A" w:rsidP="0093077A">
      <w:pPr>
        <w:pStyle w:val="NormalBoldTabs"/>
      </w:pPr>
      <w:r w:rsidRPr="000422E3">
        <w:tab/>
      </w:r>
      <w:r w:rsidRPr="000422E3">
        <w:tab/>
        <w:t>KOMMISSIONEN</w:t>
      </w:r>
    </w:p>
    <w:p w:rsidR="0093077A" w:rsidRPr="000422E3" w:rsidRDefault="00FD37D1" w:rsidP="000422E3">
      <w:pPr>
        <w:pStyle w:val="NormalBold24b"/>
      </w:pPr>
      <w:r w:rsidRPr="000422E3">
        <w:t>Forslag til Europa-Parlamentets og</w:t>
      </w:r>
      <w:r w:rsidR="003754B4" w:rsidRPr="000422E3">
        <w:t xml:space="preserve"> Rådets forordning om persistente organiske miljøgifte</w:t>
      </w:r>
      <w:r w:rsidR="000422E3" w:rsidRPr="000422E3">
        <w:t xml:space="preserve"> (omarbejdning)</w:t>
      </w:r>
    </w:p>
    <w:p w:rsidR="00084C34" w:rsidRPr="000422E3" w:rsidRDefault="00084C34" w:rsidP="00084C34">
      <w:pPr>
        <w:rPr>
          <w:b/>
        </w:rPr>
      </w:pPr>
      <w:r w:rsidRPr="000422E3">
        <w:rPr>
          <w:b/>
        </w:rPr>
        <w:t>COM(2018) 144 final of 22.3.2018 - 2018/0070 (COD)</w:t>
      </w:r>
    </w:p>
    <w:p w:rsidR="00084C34" w:rsidRPr="000422E3" w:rsidRDefault="00084C34" w:rsidP="00084C34">
      <w:pPr>
        <w:rPr>
          <w:b/>
        </w:rPr>
      </w:pPr>
    </w:p>
    <w:p w:rsidR="00084C34" w:rsidRPr="000422E3" w:rsidRDefault="00084C34" w:rsidP="00084C34">
      <w:r w:rsidRPr="000422E3">
        <w:t>I henhold til den interinstitutionelle aftale af 28. november 2001 om en mere systematisk omarbejdning af retsakter, særlig punkt 9, behandlede den rådgivende gruppe bestående af Europa-Parlamentets, Rådets og Kommissionens juridiske tjenester på møder den 13. og 20. april 2018 bl.a. ovennævnte forslag fra Kommissionen.</w:t>
      </w:r>
    </w:p>
    <w:p w:rsidR="00084C34" w:rsidRPr="000422E3" w:rsidRDefault="00084C34" w:rsidP="00084C34"/>
    <w:p w:rsidR="00084C34" w:rsidRPr="000422E3" w:rsidRDefault="00084C34" w:rsidP="00084C34">
      <w:r w:rsidRPr="000422E3">
        <w:t>Under behandlingen på disse møder</w:t>
      </w:r>
      <w:r w:rsidRPr="000422E3">
        <w:rPr>
          <w:rStyle w:val="FootnoteReference"/>
        </w:rPr>
        <w:footnoteReference w:id="2"/>
      </w:r>
      <w:r w:rsidRPr="000422E3">
        <w:t xml:space="preserve"> af forslaget til Europa-Parlamentets og Rådets forordning om omarbejdning af Europa-Parlamentets og Rådets forordning (EF) nr. 850/2004 af 29. april 2004 om persistente organiske miljøgifte og om ændring af direktiv 79/117/EØF konstaterede den rådgivende gruppe samstemmende følgende:</w:t>
      </w:r>
    </w:p>
    <w:p w:rsidR="00084C34" w:rsidRPr="000422E3" w:rsidRDefault="00084C34" w:rsidP="00084C34">
      <w:pPr>
        <w:rPr>
          <w:szCs w:val="24"/>
        </w:rPr>
      </w:pPr>
    </w:p>
    <w:p w:rsidR="00084C34" w:rsidRPr="000422E3" w:rsidRDefault="00084C34" w:rsidP="00084C34">
      <w:pPr>
        <w:rPr>
          <w:szCs w:val="24"/>
        </w:rPr>
      </w:pPr>
      <w:r w:rsidRPr="000422E3">
        <w:t>1. Følgende burde have været markeret med den gråskravering, der normalt anvendes til at markere indholdsmæssige ændringer:</w:t>
      </w:r>
    </w:p>
    <w:p w:rsidR="00084C34" w:rsidRPr="000422E3" w:rsidRDefault="00084C34" w:rsidP="00084C34">
      <w:pPr>
        <w:rPr>
          <w:szCs w:val="24"/>
        </w:rPr>
      </w:pPr>
      <w:r w:rsidRPr="000422E3">
        <w:t>- i artikel 4, stk. 3, fjerde afsnit, tilføjes ordene "i en anmærkning" og erstatningen af ordet "1." med "2."</w:t>
      </w:r>
    </w:p>
    <w:p w:rsidR="00084C34" w:rsidRPr="000422E3" w:rsidRDefault="00084C34" w:rsidP="00084C34">
      <w:pPr>
        <w:rPr>
          <w:szCs w:val="24"/>
        </w:rPr>
      </w:pPr>
      <w:r w:rsidRPr="000422E3">
        <w:t>- i artikel 7, stk. 5, erstatningen af den nuværende henvisning til "stk. 4, litra b)" med en henvisning til "stk. 4"</w:t>
      </w:r>
    </w:p>
    <w:p w:rsidR="00084C34" w:rsidRPr="000422E3" w:rsidRDefault="00084C34" w:rsidP="00084C34">
      <w:pPr>
        <w:rPr>
          <w:szCs w:val="24"/>
        </w:rPr>
      </w:pPr>
      <w:r w:rsidRPr="000422E3">
        <w:t>- i artikel 9, stk. 2, tilføjelsen af ordene "dens offentliggørelse"</w:t>
      </w:r>
    </w:p>
    <w:p w:rsidR="00084C34" w:rsidRPr="000422E3" w:rsidRDefault="00084C34" w:rsidP="00084C34">
      <w:pPr>
        <w:rPr>
          <w:szCs w:val="24"/>
        </w:rPr>
      </w:pPr>
      <w:r w:rsidRPr="000422E3">
        <w:t>- i artikel 13, stk. 1, litra a), slettelsen af ordene "sender" og "Kommissionen"</w:t>
      </w:r>
    </w:p>
    <w:p w:rsidR="00084C34" w:rsidRPr="000422E3" w:rsidRDefault="00084C34" w:rsidP="00084C34">
      <w:pPr>
        <w:rPr>
          <w:szCs w:val="24"/>
        </w:rPr>
      </w:pPr>
      <w:r w:rsidRPr="000422E3">
        <w:t>- i artikel 13, stk. 1, litra f), slettelsen af ordene "sender" og "Kommissionen".</w:t>
      </w:r>
    </w:p>
    <w:p w:rsidR="00084C34" w:rsidRPr="000422E3" w:rsidRDefault="00084C34" w:rsidP="00084C34">
      <w:pPr>
        <w:rPr>
          <w:szCs w:val="24"/>
        </w:rPr>
      </w:pPr>
      <w:r w:rsidRPr="000422E3">
        <w:t>2. I artikel 9, stk. 4, tredje afsnit, skulle ordet "that" i den engelske originaludgave have været mellem tilpasningspile, og ordet "plan" skulle ikke have været mellem tilpasningspile (NB: I den danske sprogudgave er ordet "planen" sat mellem tilpasningspile).</w:t>
      </w:r>
    </w:p>
    <w:p w:rsidR="00084C34" w:rsidRPr="000422E3" w:rsidRDefault="00084C34" w:rsidP="00084C34">
      <w:pPr>
        <w:rPr>
          <w:szCs w:val="24"/>
        </w:rPr>
      </w:pPr>
      <w:r w:rsidRPr="000422E3">
        <w:t>3. I bilag IV affattes fo</w:t>
      </w:r>
      <w:bookmarkStart w:id="1" w:name="_GoBack"/>
      <w:bookmarkEnd w:id="1"/>
      <w:r w:rsidRPr="000422E3">
        <w:t>dnote 7 således, at den læses som angivet i vedlagte dokument.</w:t>
      </w:r>
    </w:p>
    <w:p w:rsidR="00084C34" w:rsidRPr="000422E3" w:rsidRDefault="00084C34" w:rsidP="00084C34"/>
    <w:p w:rsidR="00084C34" w:rsidRPr="000422E3" w:rsidRDefault="00084C34" w:rsidP="00084C34">
      <w:r w:rsidRPr="000422E3">
        <w:t>Efter behandlingen af forslaget var der i den rådgivende gruppe enighed om, at forslaget ikke indeholder andre indholdsmæssige ændringer end dem, der er angivet som sådanne. Den rådgivende gruppe konstaterede desuden, at forslaget, hvad angår de uændrede bestemmelser i de tidligere retsakter sammen med de nævnte ændringer, udelukkende består i en kodifikation af de eksisterende retsakter uden indholdsmæssige ændringer.</w:t>
      </w:r>
    </w:p>
    <w:p w:rsidR="00084C34" w:rsidRPr="000422E3" w:rsidRDefault="00084C34" w:rsidP="00084C34">
      <w:pPr>
        <w:ind w:left="1440" w:hanging="1440"/>
      </w:pPr>
    </w:p>
    <w:p w:rsidR="00084C34" w:rsidRPr="000422E3" w:rsidRDefault="00084C34" w:rsidP="00084C34">
      <w:pPr>
        <w:ind w:left="1440" w:hanging="1440"/>
        <w:rPr>
          <w:szCs w:val="24"/>
        </w:rPr>
      </w:pPr>
    </w:p>
    <w:p w:rsidR="00084C34" w:rsidRPr="000422E3" w:rsidRDefault="00084C34" w:rsidP="00084C34">
      <w:pPr>
        <w:ind w:left="1440" w:hanging="1440"/>
      </w:pPr>
    </w:p>
    <w:p w:rsidR="00084C34" w:rsidRPr="000422E3" w:rsidRDefault="00084C34" w:rsidP="00084C34">
      <w:pPr>
        <w:ind w:left="1440" w:hanging="1440"/>
      </w:pPr>
    </w:p>
    <w:p w:rsidR="00084C34" w:rsidRPr="000422E3" w:rsidRDefault="00084C34" w:rsidP="00084C34">
      <w:pPr>
        <w:ind w:left="1440" w:hanging="1440"/>
      </w:pPr>
      <w:r w:rsidRPr="000422E3">
        <w:t>F. DREXLER</w:t>
      </w:r>
      <w:r w:rsidRPr="000422E3">
        <w:tab/>
      </w:r>
      <w:r w:rsidRPr="000422E3">
        <w:tab/>
      </w:r>
      <w:r w:rsidRPr="000422E3">
        <w:tab/>
        <w:t>H. LEGAL</w:t>
      </w:r>
      <w:r w:rsidRPr="000422E3">
        <w:tab/>
      </w:r>
      <w:r w:rsidRPr="000422E3">
        <w:tab/>
      </w:r>
      <w:r w:rsidRPr="000422E3">
        <w:tab/>
        <w:t>L. ROMERO REQUENA</w:t>
      </w:r>
    </w:p>
    <w:p w:rsidR="00084C34" w:rsidRPr="000422E3" w:rsidRDefault="00084C34" w:rsidP="00084C34">
      <w:r w:rsidRPr="000422E3">
        <w:t>Juridisk rådgiver</w:t>
      </w:r>
      <w:r w:rsidRPr="000422E3">
        <w:tab/>
      </w:r>
      <w:r w:rsidRPr="000422E3">
        <w:tab/>
      </w:r>
      <w:r w:rsidRPr="000422E3">
        <w:tab/>
        <w:t>Juridisk rådgiver</w:t>
      </w:r>
      <w:r w:rsidRPr="000422E3">
        <w:tab/>
      </w:r>
      <w:r w:rsidRPr="000422E3">
        <w:tab/>
      </w:r>
      <w:r w:rsidRPr="000422E3">
        <w:tab/>
        <w:t>Generaldirektør</w:t>
      </w:r>
    </w:p>
    <w:p w:rsidR="0093077A" w:rsidRPr="000422E3" w:rsidRDefault="0093077A" w:rsidP="00084C34">
      <w:pPr>
        <w:pStyle w:val="Normal12Bold"/>
      </w:pPr>
    </w:p>
    <w:sectPr w:rsidR="0093077A" w:rsidRPr="000422E3" w:rsidSect="005F15BB">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7D1" w:rsidRPr="00461FCF" w:rsidRDefault="00FD37D1">
      <w:r w:rsidRPr="00461FCF">
        <w:separator/>
      </w:r>
    </w:p>
  </w:endnote>
  <w:endnote w:type="continuationSeparator" w:id="0">
    <w:p w:rsidR="00FD37D1" w:rsidRPr="00461FCF" w:rsidRDefault="00FD37D1">
      <w:r w:rsidRPr="00461FC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BB" w:rsidRPr="00461FCF" w:rsidRDefault="005F15BB" w:rsidP="005F15BB">
    <w:pPr>
      <w:pStyle w:val="Footer"/>
    </w:pPr>
    <w:r w:rsidRPr="00461FCF">
      <w:t>PE</w:t>
    </w:r>
    <w:r w:rsidRPr="00461FCF">
      <w:rPr>
        <w:rStyle w:val="HideTWBExt"/>
        <w:noProof w:val="0"/>
      </w:rPr>
      <w:t>&lt;NoPE&gt;</w:t>
    </w:r>
    <w:r w:rsidRPr="00461FCF">
      <w:t>625.541</w:t>
    </w:r>
    <w:r w:rsidRPr="00461FCF">
      <w:rPr>
        <w:rStyle w:val="HideTWBExt"/>
        <w:noProof w:val="0"/>
      </w:rPr>
      <w:t>&lt;/NoPE&gt;&lt;Version&gt;</w:t>
    </w:r>
    <w:r w:rsidRPr="00461FCF">
      <w:t>v01-00</w:t>
    </w:r>
    <w:r w:rsidRPr="00461FCF">
      <w:rPr>
        <w:rStyle w:val="HideTWBExt"/>
        <w:noProof w:val="0"/>
      </w:rPr>
      <w:t>&lt;/Version&gt;</w:t>
    </w:r>
    <w:r w:rsidRPr="00461FCF">
      <w:tab/>
    </w:r>
    <w:r w:rsidRPr="00461FCF">
      <w:fldChar w:fldCharType="begin"/>
    </w:r>
    <w:r w:rsidRPr="00461FCF">
      <w:instrText xml:space="preserve"> PAGE  \* MERGEFORMAT </w:instrText>
    </w:r>
    <w:r w:rsidRPr="00461FCF">
      <w:fldChar w:fldCharType="separate"/>
    </w:r>
    <w:r w:rsidR="000422E3">
      <w:rPr>
        <w:noProof/>
      </w:rPr>
      <w:t>2</w:t>
    </w:r>
    <w:r w:rsidRPr="00461FCF">
      <w:fldChar w:fldCharType="end"/>
    </w:r>
    <w:r w:rsidRPr="00461FCF">
      <w:t>/</w:t>
    </w:r>
    <w:r w:rsidR="000422E3">
      <w:rPr>
        <w:noProof/>
      </w:rPr>
      <w:fldChar w:fldCharType="begin"/>
    </w:r>
    <w:r w:rsidR="000422E3">
      <w:rPr>
        <w:noProof/>
      </w:rPr>
      <w:instrText xml:space="preserve"> NUMPAGES  \* MERGEFORMAT </w:instrText>
    </w:r>
    <w:r w:rsidR="000422E3">
      <w:rPr>
        <w:noProof/>
      </w:rPr>
      <w:fldChar w:fldCharType="separate"/>
    </w:r>
    <w:r w:rsidR="000422E3">
      <w:rPr>
        <w:noProof/>
      </w:rPr>
      <w:t>3</w:t>
    </w:r>
    <w:r w:rsidR="000422E3">
      <w:rPr>
        <w:noProof/>
      </w:rPr>
      <w:fldChar w:fldCharType="end"/>
    </w:r>
    <w:r w:rsidRPr="00461FCF">
      <w:tab/>
    </w:r>
    <w:r w:rsidRPr="00461FCF">
      <w:rPr>
        <w:rStyle w:val="HideTWBExt"/>
        <w:noProof w:val="0"/>
      </w:rPr>
      <w:t>&lt;PathFdR&gt;</w:t>
    </w:r>
    <w:r w:rsidRPr="00461FCF">
      <w:t>CM\1161733DA.docx</w:t>
    </w:r>
    <w:r w:rsidRPr="00461FCF">
      <w:rPr>
        <w:rStyle w:val="HideTWBExt"/>
        <w:noProof w:val="0"/>
      </w:rPr>
      <w:t>&lt;/PathFdR&gt;</w:t>
    </w:r>
  </w:p>
  <w:p w:rsidR="00162602" w:rsidRPr="00461FCF" w:rsidRDefault="005F15BB" w:rsidP="005F15BB">
    <w:pPr>
      <w:pStyle w:val="Footer2"/>
    </w:pPr>
    <w:r w:rsidRPr="00461FCF">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BB" w:rsidRPr="00461FCF" w:rsidRDefault="005F15BB" w:rsidP="005F15BB">
    <w:pPr>
      <w:pStyle w:val="Footer"/>
    </w:pPr>
    <w:r w:rsidRPr="00461FCF">
      <w:rPr>
        <w:rStyle w:val="HideTWBExt"/>
        <w:noProof w:val="0"/>
      </w:rPr>
      <w:t>&lt;PathFdR&gt;</w:t>
    </w:r>
    <w:r w:rsidRPr="00461FCF">
      <w:t>CM\1161733DA.docx</w:t>
    </w:r>
    <w:r w:rsidRPr="00461FCF">
      <w:rPr>
        <w:rStyle w:val="HideTWBExt"/>
        <w:noProof w:val="0"/>
      </w:rPr>
      <w:t>&lt;/PathFdR&gt;</w:t>
    </w:r>
    <w:r w:rsidRPr="00461FCF">
      <w:tab/>
    </w:r>
    <w:r w:rsidRPr="00461FCF">
      <w:fldChar w:fldCharType="begin"/>
    </w:r>
    <w:r w:rsidRPr="00461FCF">
      <w:instrText xml:space="preserve"> PAGE  \* MERGEFORMAT </w:instrText>
    </w:r>
    <w:r w:rsidRPr="00461FCF">
      <w:fldChar w:fldCharType="separate"/>
    </w:r>
    <w:r w:rsidR="000422E3">
      <w:rPr>
        <w:noProof/>
      </w:rPr>
      <w:t>3</w:t>
    </w:r>
    <w:r w:rsidRPr="00461FCF">
      <w:fldChar w:fldCharType="end"/>
    </w:r>
    <w:r w:rsidRPr="00461FCF">
      <w:t>/</w:t>
    </w:r>
    <w:r w:rsidR="000422E3">
      <w:rPr>
        <w:noProof/>
      </w:rPr>
      <w:fldChar w:fldCharType="begin"/>
    </w:r>
    <w:r w:rsidR="000422E3">
      <w:rPr>
        <w:noProof/>
      </w:rPr>
      <w:instrText xml:space="preserve"> NUMPAGES  \* MERGEFORMAT </w:instrText>
    </w:r>
    <w:r w:rsidR="000422E3">
      <w:rPr>
        <w:noProof/>
      </w:rPr>
      <w:fldChar w:fldCharType="separate"/>
    </w:r>
    <w:r w:rsidR="000422E3">
      <w:rPr>
        <w:noProof/>
      </w:rPr>
      <w:t>3</w:t>
    </w:r>
    <w:r w:rsidR="000422E3">
      <w:rPr>
        <w:noProof/>
      </w:rPr>
      <w:fldChar w:fldCharType="end"/>
    </w:r>
    <w:r w:rsidRPr="00461FCF">
      <w:tab/>
      <w:t>PE</w:t>
    </w:r>
    <w:r w:rsidRPr="00461FCF">
      <w:rPr>
        <w:rStyle w:val="HideTWBExt"/>
        <w:noProof w:val="0"/>
      </w:rPr>
      <w:t>&lt;NoPE&gt;</w:t>
    </w:r>
    <w:r w:rsidRPr="00461FCF">
      <w:t>625.541</w:t>
    </w:r>
    <w:r w:rsidRPr="00461FCF">
      <w:rPr>
        <w:rStyle w:val="HideTWBExt"/>
        <w:noProof w:val="0"/>
      </w:rPr>
      <w:t>&lt;/NoPE&gt;&lt;Version&gt;</w:t>
    </w:r>
    <w:r w:rsidRPr="00461FCF">
      <w:t>v01-00</w:t>
    </w:r>
    <w:r w:rsidRPr="00461FCF">
      <w:rPr>
        <w:rStyle w:val="HideTWBExt"/>
        <w:noProof w:val="0"/>
      </w:rPr>
      <w:t>&lt;/Version&gt;</w:t>
    </w:r>
  </w:p>
  <w:p w:rsidR="00162602" w:rsidRPr="00461FCF" w:rsidRDefault="005F15BB" w:rsidP="005F15BB">
    <w:pPr>
      <w:pStyle w:val="Footer2"/>
    </w:pPr>
    <w:r w:rsidRPr="00461FCF">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BB" w:rsidRPr="00461FCF" w:rsidRDefault="005F15BB" w:rsidP="005F15BB">
    <w:pPr>
      <w:pStyle w:val="Footer"/>
    </w:pPr>
    <w:r w:rsidRPr="00461FCF">
      <w:rPr>
        <w:rStyle w:val="HideTWBExt"/>
        <w:noProof w:val="0"/>
      </w:rPr>
      <w:t>&lt;PathFdR&gt;</w:t>
    </w:r>
    <w:r w:rsidRPr="00461FCF">
      <w:t>CM\1161733DA.docx</w:t>
    </w:r>
    <w:r w:rsidRPr="00461FCF">
      <w:rPr>
        <w:rStyle w:val="HideTWBExt"/>
        <w:noProof w:val="0"/>
      </w:rPr>
      <w:t>&lt;/PathFdR&gt;</w:t>
    </w:r>
    <w:r w:rsidRPr="00461FCF">
      <w:tab/>
    </w:r>
    <w:r w:rsidRPr="00461FCF">
      <w:tab/>
      <w:t>PE</w:t>
    </w:r>
    <w:r w:rsidRPr="00461FCF">
      <w:rPr>
        <w:rStyle w:val="HideTWBExt"/>
        <w:noProof w:val="0"/>
      </w:rPr>
      <w:t>&lt;NoPE&gt;</w:t>
    </w:r>
    <w:r w:rsidRPr="00461FCF">
      <w:t>625.541</w:t>
    </w:r>
    <w:r w:rsidRPr="00461FCF">
      <w:rPr>
        <w:rStyle w:val="HideTWBExt"/>
        <w:noProof w:val="0"/>
      </w:rPr>
      <w:t>&lt;/NoPE&gt;&lt;Version&gt;</w:t>
    </w:r>
    <w:r w:rsidRPr="00461FCF">
      <w:t>v01-00</w:t>
    </w:r>
    <w:r w:rsidRPr="00461FCF">
      <w:rPr>
        <w:rStyle w:val="HideTWBExt"/>
        <w:noProof w:val="0"/>
      </w:rPr>
      <w:t>&lt;/Version&gt;</w:t>
    </w:r>
  </w:p>
  <w:p w:rsidR="00162602" w:rsidRPr="00461FCF" w:rsidRDefault="005F15BB" w:rsidP="005F15BB">
    <w:pPr>
      <w:pStyle w:val="Footer2"/>
      <w:tabs>
        <w:tab w:val="center" w:pos="4535"/>
      </w:tabs>
    </w:pPr>
    <w:r w:rsidRPr="00461FCF">
      <w:t>DA</w:t>
    </w:r>
    <w:r w:rsidRPr="00461FCF">
      <w:tab/>
    </w:r>
    <w:r w:rsidRPr="00461FCF">
      <w:rPr>
        <w:b w:val="0"/>
        <w:i/>
        <w:color w:val="C0C0C0"/>
        <w:sz w:val="22"/>
      </w:rPr>
      <w:t>Forenet i mangfoldighed</w:t>
    </w:r>
    <w:r w:rsidRPr="00461FCF">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7D1" w:rsidRPr="00461FCF" w:rsidRDefault="00FD37D1">
      <w:r w:rsidRPr="00461FCF">
        <w:separator/>
      </w:r>
    </w:p>
  </w:footnote>
  <w:footnote w:type="continuationSeparator" w:id="0">
    <w:p w:rsidR="00FD37D1" w:rsidRPr="00461FCF" w:rsidRDefault="00FD37D1">
      <w:r w:rsidRPr="00461FCF">
        <w:continuationSeparator/>
      </w:r>
    </w:p>
  </w:footnote>
  <w:footnote w:id="1">
    <w:p w:rsidR="00084C34" w:rsidRPr="00461FCF" w:rsidRDefault="00084C34">
      <w:pPr>
        <w:pStyle w:val="FootnoteText"/>
      </w:pPr>
      <w:r w:rsidRPr="00461FCF">
        <w:rPr>
          <w:rStyle w:val="FootnoteReference"/>
        </w:rPr>
        <w:footnoteRef/>
      </w:r>
      <w:r w:rsidRPr="00461FCF">
        <w:t xml:space="preserve"> EFT C 77 af 28.3.2002, s. 1.</w:t>
      </w:r>
    </w:p>
  </w:footnote>
  <w:footnote w:id="2">
    <w:p w:rsidR="00084C34" w:rsidRPr="00461FCF" w:rsidRDefault="00084C34" w:rsidP="00084C34">
      <w:pPr>
        <w:pStyle w:val="FootnoteText"/>
      </w:pPr>
      <w:r w:rsidRPr="00461FCF">
        <w:rPr>
          <w:rStyle w:val="FootnoteReference"/>
        </w:rPr>
        <w:footnoteRef/>
      </w:r>
      <w:r w:rsidRPr="00461FCF">
        <w:tab/>
        <w:t>Den rådgivende gruppe benyttede den engelske originaludgave af forslaget som grundlag for behandlingen.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2E3" w:rsidRDefault="00042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2E3" w:rsidRDefault="00042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2E3" w:rsidRDefault="00042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NNEXDT" w:val="25/07/2018"/>
    <w:docVar w:name="ANNEXMNU" w:val=" 1"/>
    <w:docVar w:name="CODEMNU" w:val=" 1"/>
    <w:docVar w:name="COMDT" w:val="22/03/2018"/>
    <w:docVar w:name="DOCMNU" w:val=" 1"/>
    <w:docVar w:name="LastEditedSection" w:val=" 1"/>
    <w:docVar w:name="strDocTypeID" w:val="CM_Recasting"/>
    <w:docVar w:name="strSubDir" w:val="1161"/>
    <w:docVar w:name="TXTLANGUE" w:val="DA"/>
    <w:docVar w:name="TXTLANGUEMIN" w:val="da"/>
    <w:docVar w:name="TXTNRCOM" w:val="xx"/>
    <w:docVar w:name="TXTNRPE" w:val="625.541"/>
    <w:docVar w:name="TXTNRPROC" w:val="xx"/>
    <w:docVar w:name="TXTPEorAP" w:val="PE"/>
    <w:docVar w:name="TXTROUTE" w:val="CM\1161733DA.docx"/>
    <w:docVar w:name="TXTTITLE" w:val="xx"/>
    <w:docVar w:name="TXTVERSION" w:val="01-00"/>
  </w:docVars>
  <w:rsids>
    <w:rsidRoot w:val="00FD37D1"/>
    <w:rsid w:val="000422E3"/>
    <w:rsid w:val="000771F3"/>
    <w:rsid w:val="00084C34"/>
    <w:rsid w:val="000C6C1F"/>
    <w:rsid w:val="00162602"/>
    <w:rsid w:val="001B5706"/>
    <w:rsid w:val="001D68FF"/>
    <w:rsid w:val="00247FBE"/>
    <w:rsid w:val="0025419C"/>
    <w:rsid w:val="002906F2"/>
    <w:rsid w:val="003145EB"/>
    <w:rsid w:val="003156CE"/>
    <w:rsid w:val="00322B3B"/>
    <w:rsid w:val="00361E83"/>
    <w:rsid w:val="003754B4"/>
    <w:rsid w:val="004268E9"/>
    <w:rsid w:val="0045478E"/>
    <w:rsid w:val="00461FCF"/>
    <w:rsid w:val="00487EF1"/>
    <w:rsid w:val="004B31E6"/>
    <w:rsid w:val="005B4438"/>
    <w:rsid w:val="005F1036"/>
    <w:rsid w:val="005F15BB"/>
    <w:rsid w:val="00613768"/>
    <w:rsid w:val="00627560"/>
    <w:rsid w:val="00652BEB"/>
    <w:rsid w:val="00692741"/>
    <w:rsid w:val="00697376"/>
    <w:rsid w:val="006F5E9D"/>
    <w:rsid w:val="00722EE4"/>
    <w:rsid w:val="007B42FF"/>
    <w:rsid w:val="007D607E"/>
    <w:rsid w:val="008C69E6"/>
    <w:rsid w:val="008D2176"/>
    <w:rsid w:val="008D6AA7"/>
    <w:rsid w:val="009053D6"/>
    <w:rsid w:val="009248D3"/>
    <w:rsid w:val="0093077A"/>
    <w:rsid w:val="00967272"/>
    <w:rsid w:val="00A26DBF"/>
    <w:rsid w:val="00A42F52"/>
    <w:rsid w:val="00A62C90"/>
    <w:rsid w:val="00AA23FF"/>
    <w:rsid w:val="00AB26AC"/>
    <w:rsid w:val="00B2664F"/>
    <w:rsid w:val="00BB44C4"/>
    <w:rsid w:val="00BC0938"/>
    <w:rsid w:val="00BE72C9"/>
    <w:rsid w:val="00C13ACA"/>
    <w:rsid w:val="00C60931"/>
    <w:rsid w:val="00C60AFF"/>
    <w:rsid w:val="00DF2972"/>
    <w:rsid w:val="00E27AA6"/>
    <w:rsid w:val="00E31765"/>
    <w:rsid w:val="00EE493B"/>
    <w:rsid w:val="00FD37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6D06600"/>
  <w15:chartTrackingRefBased/>
  <w15:docId w15:val="{853432C9-F764-407C-B75B-FA628485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link w:val="PageHeadingChar"/>
    <w:pPr>
      <w:keepNext/>
      <w:jc w:val="center"/>
    </w:pPr>
    <w:rPr>
      <w:rFonts w:ascii="Arial" w:hAnsi="Arial"/>
      <w:b/>
    </w:rPr>
  </w:style>
  <w:style w:type="character" w:customStyle="1" w:styleId="PageHeadingChar">
    <w:name w:val="PageHeading Char"/>
    <w:link w:val="PageHeading"/>
    <w:rsid w:val="0093077A"/>
    <w:rPr>
      <w:rFonts w:ascii="Arial" w:hAnsi="Arial"/>
      <w:b/>
      <w:sz w:val="24"/>
      <w:lang w:val="da-DK" w:eastAsia="en-GB" w:bidi="ar-SA"/>
    </w:rPr>
  </w:style>
  <w:style w:type="paragraph" w:customStyle="1" w:styleId="Hanging12">
    <w:name w:val="Hanging12"/>
    <w:basedOn w:val="Normal12"/>
    <w:pPr>
      <w:tabs>
        <w:tab w:val="left" w:pos="357"/>
      </w:tabs>
      <w:ind w:left="357" w:hanging="357"/>
    </w:pPr>
  </w:style>
  <w:style w:type="paragraph" w:styleId="Header">
    <w:name w:val="header"/>
    <w:basedOn w:val="Normal"/>
    <w:pPr>
      <w:tabs>
        <w:tab w:val="center" w:pos="4153"/>
        <w:tab w:val="right" w:pos="8306"/>
      </w:tabs>
    </w:pPr>
  </w:style>
  <w:style w:type="paragraph" w:customStyle="1" w:styleId="SubjectCM">
    <w:name w:val="SubjectCM"/>
    <w:basedOn w:val="Normal"/>
    <w:rsid w:val="00487EF1"/>
    <w:pPr>
      <w:tabs>
        <w:tab w:val="left" w:pos="1134"/>
      </w:tabs>
      <w:ind w:left="1134" w:hanging="1134"/>
    </w:pPr>
    <w:rPr>
      <w:szCs w:val="24"/>
    </w:rPr>
  </w:style>
  <w:style w:type="paragraph" w:customStyle="1" w:styleId="Footer1">
    <w:name w:val="Footer1"/>
    <w:basedOn w:val="Footer"/>
    <w:pPr>
      <w:spacing w:before="0"/>
    </w:pPr>
  </w:style>
  <w:style w:type="paragraph" w:customStyle="1" w:styleId="CMHeading">
    <w:name w:val="CM_Heading"/>
    <w:basedOn w:val="Normal"/>
    <w:rsid w:val="000C6C1F"/>
    <w:pPr>
      <w:spacing w:after="720"/>
      <w:jc w:val="center"/>
    </w:pPr>
    <w:rPr>
      <w:b/>
      <w:sz w:val="28"/>
    </w:rPr>
  </w:style>
  <w:style w:type="paragraph" w:customStyle="1" w:styleId="EPName">
    <w:name w:val="EPName"/>
    <w:basedOn w:val="Normal"/>
    <w:rsid w:val="00697376"/>
    <w:pPr>
      <w:spacing w:before="80" w:after="80"/>
    </w:pPr>
    <w:rPr>
      <w:rFonts w:ascii="Arial Narrow" w:hAnsi="Arial Narrow" w:cs="Arial"/>
      <w:b/>
      <w:color w:val="000000"/>
      <w:sz w:val="32"/>
      <w:szCs w:val="22"/>
    </w:rPr>
  </w:style>
  <w:style w:type="paragraph" w:customStyle="1" w:styleId="ZDateCM">
    <w:name w:val="ZDateCM"/>
    <w:basedOn w:val="Normal"/>
    <w:pPr>
      <w:spacing w:after="480"/>
    </w:pPr>
  </w:style>
  <w:style w:type="paragraph" w:customStyle="1" w:styleId="Normal24">
    <w:name w:val="Normal24"/>
    <w:basedOn w:val="Normal"/>
    <w:pPr>
      <w:spacing w:after="480"/>
    </w:pPr>
  </w:style>
  <w:style w:type="paragraph" w:customStyle="1" w:styleId="TypeDoc">
    <w:name w:val="TypeDoc"/>
    <w:basedOn w:val="Normal12"/>
    <w:rsid w:val="00AA23FF"/>
    <w:pPr>
      <w:jc w:val="center"/>
    </w:pPr>
    <w:rPr>
      <w:rFonts w:ascii="Arial" w:hAnsi="Arial"/>
      <w:b/>
      <w:sz w:val="48"/>
    </w:rPr>
  </w:style>
  <w:style w:type="paragraph" w:customStyle="1" w:styleId="Normal18">
    <w:name w:val="Normal18"/>
    <w:basedOn w:val="Normal"/>
    <w:rsid w:val="000C6C1F"/>
    <w:pPr>
      <w:spacing w:after="360"/>
    </w:pPr>
  </w:style>
  <w:style w:type="paragraph" w:customStyle="1" w:styleId="Annex">
    <w:name w:val="Annex"/>
    <w:basedOn w:val="Normal"/>
    <w:rsid w:val="0045478E"/>
    <w:pPr>
      <w:spacing w:before="480"/>
    </w:pPr>
  </w:style>
  <w:style w:type="paragraph" w:customStyle="1" w:styleId="Normal12Bold">
    <w:name w:val="Normal12Bold"/>
    <w:basedOn w:val="Normal12"/>
    <w:rsid w:val="0093077A"/>
    <w:rPr>
      <w:b/>
    </w:rPr>
  </w:style>
  <w:style w:type="paragraph" w:customStyle="1" w:styleId="PageHeadingCaps">
    <w:name w:val="PageHeadingCaps"/>
    <w:basedOn w:val="PageHeading"/>
    <w:next w:val="Normal"/>
    <w:link w:val="PageHeadingCapsChar"/>
    <w:rsid w:val="0093077A"/>
    <w:rPr>
      <w:caps/>
      <w:szCs w:val="24"/>
    </w:rPr>
  </w:style>
  <w:style w:type="character" w:customStyle="1" w:styleId="PageHeadingCapsChar">
    <w:name w:val="PageHeadingCaps Char"/>
    <w:link w:val="PageHeadingCaps"/>
    <w:rsid w:val="0093077A"/>
    <w:rPr>
      <w:rFonts w:ascii="Arial" w:hAnsi="Arial"/>
      <w:b/>
      <w:caps/>
      <w:sz w:val="24"/>
      <w:szCs w:val="24"/>
      <w:lang w:val="da-DK" w:eastAsia="en-GB" w:bidi="ar-SA"/>
    </w:rPr>
  </w:style>
  <w:style w:type="paragraph" w:customStyle="1" w:styleId="NormalBoldTabs">
    <w:name w:val="NormalBoldTabs"/>
    <w:basedOn w:val="Normal"/>
    <w:rsid w:val="0093077A"/>
    <w:pPr>
      <w:tabs>
        <w:tab w:val="right" w:pos="3686"/>
        <w:tab w:val="left" w:pos="3827"/>
      </w:tabs>
    </w:pPr>
    <w:rPr>
      <w:b/>
    </w:rPr>
  </w:style>
  <w:style w:type="paragraph" w:customStyle="1" w:styleId="AnnexDate">
    <w:name w:val="AnnexDate"/>
    <w:basedOn w:val="Normal"/>
    <w:rsid w:val="0093077A"/>
    <w:pPr>
      <w:spacing w:before="240" w:after="240"/>
      <w:jc w:val="right"/>
    </w:pPr>
  </w:style>
  <w:style w:type="paragraph" w:customStyle="1" w:styleId="WorkingParty">
    <w:name w:val="WorkingParty"/>
    <w:basedOn w:val="Normal"/>
    <w:rsid w:val="0093077A"/>
    <w:rPr>
      <w:smallCaps/>
      <w:sz w:val="20"/>
    </w:rPr>
  </w:style>
  <w:style w:type="paragraph" w:customStyle="1" w:styleId="NormalCentreBold12a12b">
    <w:name w:val="NormalCentreBold12a12b"/>
    <w:basedOn w:val="Normal"/>
    <w:rsid w:val="0093077A"/>
    <w:pPr>
      <w:spacing w:before="240" w:after="240"/>
      <w:jc w:val="center"/>
    </w:pPr>
    <w:rPr>
      <w:b/>
    </w:rPr>
  </w:style>
  <w:style w:type="paragraph" w:customStyle="1" w:styleId="NormalBold24b">
    <w:name w:val="NormalBold24b"/>
    <w:basedOn w:val="Normal"/>
    <w:rsid w:val="0093077A"/>
    <w:pPr>
      <w:spacing w:before="480"/>
    </w:pPr>
    <w:rPr>
      <w:b/>
    </w:rPr>
  </w:style>
  <w:style w:type="paragraph" w:customStyle="1" w:styleId="StyleAnnexRight">
    <w:name w:val="Style Annex + Right"/>
    <w:basedOn w:val="Annex"/>
    <w:rsid w:val="0093077A"/>
    <w:pPr>
      <w:spacing w:after="240"/>
      <w:jc w:val="right"/>
    </w:pPr>
  </w:style>
  <w:style w:type="table" w:styleId="TableGrid">
    <w:name w:val="Table Grid"/>
    <w:basedOn w:val="TableNormal"/>
    <w:rsid w:val="00B2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2664F"/>
    <w:pPr>
      <w:jc w:val="center"/>
    </w:pPr>
    <w:rPr>
      <w:rFonts w:ascii="Arial" w:hAnsi="Arial" w:cs="Arial"/>
      <w:i/>
      <w:sz w:val="22"/>
      <w:szCs w:val="22"/>
    </w:rPr>
  </w:style>
  <w:style w:type="paragraph" w:customStyle="1" w:styleId="LineTop">
    <w:name w:val="LineTop"/>
    <w:basedOn w:val="Normal"/>
    <w:next w:val="ZCommittee"/>
    <w:rsid w:val="00B2664F"/>
    <w:pPr>
      <w:pBdr>
        <w:top w:val="single" w:sz="4" w:space="1" w:color="auto"/>
      </w:pBdr>
      <w:jc w:val="center"/>
    </w:pPr>
    <w:rPr>
      <w:rFonts w:ascii="Arial" w:hAnsi="Arial"/>
      <w:sz w:val="16"/>
      <w:szCs w:val="16"/>
    </w:rPr>
  </w:style>
  <w:style w:type="paragraph" w:customStyle="1" w:styleId="LineBottom">
    <w:name w:val="LineBottom"/>
    <w:basedOn w:val="Normal"/>
    <w:next w:val="Normal"/>
    <w:rsid w:val="00B2664F"/>
    <w:pPr>
      <w:pBdr>
        <w:bottom w:val="single" w:sz="4" w:space="1" w:color="auto"/>
      </w:pBdr>
      <w:spacing w:after="720"/>
      <w:jc w:val="center"/>
    </w:pPr>
    <w:rPr>
      <w:rFonts w:ascii="Arial" w:hAnsi="Arial"/>
      <w:sz w:val="16"/>
      <w:szCs w:val="16"/>
    </w:rPr>
  </w:style>
  <w:style w:type="paragraph" w:customStyle="1" w:styleId="EPTerm">
    <w:name w:val="EPTerm"/>
    <w:basedOn w:val="Normal"/>
    <w:next w:val="Normal"/>
    <w:rsid w:val="00697376"/>
    <w:pPr>
      <w:spacing w:after="80"/>
    </w:pPr>
    <w:rPr>
      <w:rFonts w:ascii="Arial" w:hAnsi="Arial" w:cs="Arial"/>
      <w:sz w:val="20"/>
      <w:szCs w:val="22"/>
    </w:rPr>
  </w:style>
  <w:style w:type="paragraph" w:customStyle="1" w:styleId="EPLogo">
    <w:name w:val="EPLogo"/>
    <w:basedOn w:val="Normal"/>
    <w:qFormat/>
    <w:rsid w:val="00697376"/>
    <w:pPr>
      <w:jc w:val="right"/>
    </w:pPr>
  </w:style>
  <w:style w:type="paragraph" w:styleId="FootnoteText">
    <w:name w:val="footnote text"/>
    <w:basedOn w:val="Normal"/>
    <w:link w:val="FootnoteTextChar"/>
    <w:rsid w:val="00084C34"/>
    <w:rPr>
      <w:sz w:val="20"/>
    </w:rPr>
  </w:style>
  <w:style w:type="character" w:customStyle="1" w:styleId="FootnoteTextChar">
    <w:name w:val="Footnote Text Char"/>
    <w:basedOn w:val="DefaultParagraphFont"/>
    <w:link w:val="FootnoteText"/>
    <w:rsid w:val="00084C34"/>
  </w:style>
  <w:style w:type="character" w:styleId="FootnoteReference">
    <w:name w:val="footnote reference"/>
    <w:basedOn w:val="DefaultParagraphFont"/>
    <w:rsid w:val="00084C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37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CM_Recasting</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CM_Recasting</dc:title>
  <dc:subject/>
  <dc:creator>EWIAKOVA Natalia</dc:creator>
  <cp:keywords/>
  <dc:description/>
  <cp:lastModifiedBy>RORMAND Mia</cp:lastModifiedBy>
  <cp:revision>2</cp:revision>
  <cp:lastPrinted>2005-04-04T14:04:00Z</cp:lastPrinted>
  <dcterms:created xsi:type="dcterms:W3CDTF">2018-09-03T08:55:00Z</dcterms:created>
  <dcterms:modified xsi:type="dcterms:W3CDTF">2018-09-03T08:55:00Z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[20180708]</vt:lpwstr>
  </property>
  <property fmtid="{D5CDD505-2E9C-101B-9397-08002B2CF9AE}" pid="3" name="LastEdited with">
    <vt:lpwstr>9.4.0 Build [20180620]</vt:lpwstr>
  </property>
  <property fmtid="{D5CDD505-2E9C-101B-9397-08002B2CF9AE}" pid="4" name="&lt;FdR&gt;">
    <vt:lpwstr>1161733</vt:lpwstr>
  </property>
  <property fmtid="{D5CDD505-2E9C-101B-9397-08002B2CF9AE}" pid="5" name="&lt;Type&gt;">
    <vt:lpwstr>CM</vt:lpwstr>
  </property>
  <property fmtid="{D5CDD505-2E9C-101B-9397-08002B2CF9AE}" pid="6" name="&lt;ModelCod&gt;">
    <vt:lpwstr>\\eiciBRUpr1\pdocep$\DocEP\DOCS\General\CM\CM_Recasting.dot(17/02/2016 11:44:16)</vt:lpwstr>
  </property>
  <property fmtid="{D5CDD505-2E9C-101B-9397-08002B2CF9AE}" pid="7" name="&lt;ModelTra&gt;">
    <vt:lpwstr>\\eiciBRUpr1\pdocep$\DocEP\TRANSFIL\EN\CM_Recasting.EN(20/03/2018 13:17:04)</vt:lpwstr>
  </property>
  <property fmtid="{D5CDD505-2E9C-101B-9397-08002B2CF9AE}" pid="8" name="&lt;Model&gt;">
    <vt:lpwstr>CM_Recasting</vt:lpwstr>
  </property>
  <property fmtid="{D5CDD505-2E9C-101B-9397-08002B2CF9AE}" pid="9" name="FooterPath">
    <vt:lpwstr>CM\1161733DA.docx</vt:lpwstr>
  </property>
  <property fmtid="{D5CDD505-2E9C-101B-9397-08002B2CF9AE}" pid="10" name="PE number">
    <vt:lpwstr>625.541</vt:lpwstr>
  </property>
  <property fmtid="{D5CDD505-2E9C-101B-9397-08002B2CF9AE}" pid="11" name="SendToEpades">
    <vt:lpwstr>OK - 2018/07/18 19:12</vt:lpwstr>
  </property>
  <property fmtid="{D5CDD505-2E9C-101B-9397-08002B2CF9AE}" pid="12" name="SDLStudio">
    <vt:lpwstr/>
  </property>
  <property fmtid="{D5CDD505-2E9C-101B-9397-08002B2CF9AE}" pid="13" name="&lt;Extension&gt;">
    <vt:lpwstr>DA</vt:lpwstr>
  </property>
  <property fmtid="{D5CDD505-2E9C-101B-9397-08002B2CF9AE}" pid="14" name="Bookout">
    <vt:lpwstr>OK - 2018/09/03 10:55</vt:lpwstr>
  </property>
  <property fmtid="{D5CDD505-2E9C-101B-9397-08002B2CF9AE}" pid="15" name="SubscribeElise">
    <vt:lpwstr/>
  </property>
</Properties>
</file>