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F06AD1" w:rsidRPr="00717A19" w:rsidTr="00004A2B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F06AD1" w:rsidRPr="00717A19" w:rsidRDefault="00717A19" w:rsidP="00004A2B">
            <w:pPr>
              <w:pStyle w:val="EPName"/>
            </w:pPr>
            <w:bookmarkStart w:id="0" w:name="_GoBack"/>
            <w:bookmarkEnd w:id="0"/>
            <w:r>
              <w:t>Evropski parlament</w:t>
            </w:r>
          </w:p>
          <w:p w:rsidR="00F06AD1" w:rsidRPr="00F8672B" w:rsidRDefault="00F8672B" w:rsidP="00F8672B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F06AD1" w:rsidRPr="00717A19" w:rsidRDefault="00E35C42" w:rsidP="00004A2B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5116AA" w:rsidRPr="00717A19" w:rsidRDefault="005116AA" w:rsidP="005116AA">
      <w:pPr>
        <w:pStyle w:val="LineTop"/>
      </w:pPr>
    </w:p>
    <w:p w:rsidR="005116AA" w:rsidRPr="00717A19" w:rsidRDefault="005116AA" w:rsidP="005116AA">
      <w:pPr>
        <w:pStyle w:val="ZCommittee"/>
      </w:pPr>
      <w:r>
        <w:rPr>
          <w:rStyle w:val="HideTWBExt"/>
          <w:noProof w:val="0"/>
        </w:rPr>
        <w:t>&lt;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  <w:r>
        <w:rPr>
          <w:rStyle w:val="HideTWBInt"/>
          <w:i w:val="0"/>
        </w:rPr>
        <w:t>{JURI}</w:t>
      </w:r>
      <w:r>
        <w:t>Odbor za pravne zadeve</w:t>
      </w:r>
      <w:r>
        <w:rPr>
          <w:rStyle w:val="HideTWBExt"/>
          <w:noProof w:val="0"/>
        </w:rPr>
        <w:t>&lt;/</w:t>
      </w:r>
      <w:r>
        <w:rPr>
          <w:rStyle w:val="HideTWBExt"/>
          <w:i w:val="0"/>
          <w:noProof w:val="0"/>
        </w:rPr>
        <w:t>Commission</w:t>
      </w:r>
      <w:r>
        <w:rPr>
          <w:rStyle w:val="HideTWBExt"/>
          <w:noProof w:val="0"/>
        </w:rPr>
        <w:t>&gt;</w:t>
      </w:r>
    </w:p>
    <w:p w:rsidR="005116AA" w:rsidRPr="00717A19" w:rsidRDefault="005116AA" w:rsidP="005116AA">
      <w:pPr>
        <w:pStyle w:val="LineBottom"/>
      </w:pPr>
    </w:p>
    <w:p w:rsidR="00ED0821" w:rsidRPr="00717A19" w:rsidRDefault="00C036B7" w:rsidP="00726C00">
      <w:pPr>
        <w:pStyle w:val="RefProc"/>
      </w:pPr>
      <w:r>
        <w:rPr>
          <w:rStyle w:val="HideTWBExt"/>
          <w:b w:val="0"/>
          <w:noProof w:val="0"/>
        </w:rPr>
        <w:t>&lt;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</w:t>
      </w:r>
      <w:r>
        <w:t>2018/0160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RefProc</w:t>
      </w:r>
      <w:r>
        <w:rPr>
          <w:rStyle w:val="HideTWBExt"/>
          <w:b w:val="0"/>
          <w:noProof w:val="0"/>
        </w:rPr>
        <w:t>&gt;&lt;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  <w:r>
        <w:t>(COD)</w:t>
      </w:r>
      <w:r>
        <w:rPr>
          <w:rStyle w:val="HideTWBExt"/>
          <w:b w:val="0"/>
          <w:noProof w:val="0"/>
        </w:rPr>
        <w:t>&lt;/</w:t>
      </w:r>
      <w:r>
        <w:rPr>
          <w:rStyle w:val="HideTWBExt"/>
          <w:b w:val="0"/>
          <w:caps w:val="0"/>
          <w:noProof w:val="0"/>
        </w:rPr>
        <w:t>RefTypeProc</w:t>
      </w:r>
      <w:r>
        <w:rPr>
          <w:rStyle w:val="HideTWBExt"/>
          <w:b w:val="0"/>
          <w:noProof w:val="0"/>
        </w:rPr>
        <w:t>&gt;</w:t>
      </w:r>
    </w:p>
    <w:p w:rsidR="00ED0821" w:rsidRPr="00717A19" w:rsidRDefault="00ED0821">
      <w:pPr>
        <w:pStyle w:val="ZDate"/>
      </w:pPr>
      <w:r>
        <w:rPr>
          <w:rStyle w:val="HideTWBExt"/>
          <w:noProof w:val="0"/>
        </w:rPr>
        <w:t>&lt;Date&gt;</w:t>
      </w:r>
      <w:r>
        <w:rPr>
          <w:rStyle w:val="HideTWBInt"/>
        </w:rPr>
        <w:t>{06/11/2018}</w:t>
      </w:r>
      <w:r>
        <w:t>6.11.2018</w:t>
      </w:r>
      <w:r>
        <w:rPr>
          <w:rStyle w:val="HideTWBExt"/>
          <w:noProof w:val="0"/>
        </w:rPr>
        <w:t>&lt;/Date&gt;</w:t>
      </w:r>
    </w:p>
    <w:p w:rsidR="00ED0821" w:rsidRPr="00717A19" w:rsidRDefault="00ED0821">
      <w:pPr>
        <w:pStyle w:val="StarsAndIs"/>
      </w:pPr>
      <w:r>
        <w:rPr>
          <w:rStyle w:val="HideTWBExt"/>
          <w:b w:val="0"/>
          <w:noProof w:val="0"/>
        </w:rPr>
        <w:t>&lt;RefProcLect&gt;</w:t>
      </w:r>
      <w:r>
        <w:t>***I</w:t>
      </w:r>
      <w:r>
        <w:rPr>
          <w:rStyle w:val="HideTWBExt"/>
          <w:b w:val="0"/>
          <w:noProof w:val="0"/>
        </w:rPr>
        <w:t>&lt;/RefProcLect&gt;</w:t>
      </w:r>
    </w:p>
    <w:p w:rsidR="00ED0821" w:rsidRPr="00717A19" w:rsidRDefault="00ED0821">
      <w:pPr>
        <w:pStyle w:val="TypeDoc"/>
      </w:pPr>
      <w:r>
        <w:rPr>
          <w:rStyle w:val="HideTWBExt"/>
          <w:b w:val="0"/>
          <w:noProof w:val="0"/>
        </w:rPr>
        <w:t>&lt;TitreType&gt;</w:t>
      </w:r>
      <w:r>
        <w:t>OSNUTEK POROČILA</w:t>
      </w:r>
      <w:r>
        <w:rPr>
          <w:rStyle w:val="HideTWBExt"/>
          <w:b w:val="0"/>
          <w:noProof w:val="0"/>
        </w:rPr>
        <w:t>&lt;/TitreType&gt;</w:t>
      </w:r>
    </w:p>
    <w:p w:rsidR="00ED0821" w:rsidRPr="00717A19" w:rsidRDefault="00ED0821">
      <w:pPr>
        <w:pStyle w:val="CoverNormal"/>
      </w:pPr>
      <w:r>
        <w:rPr>
          <w:rStyle w:val="HideTWBExt"/>
          <w:noProof w:val="0"/>
        </w:rPr>
        <w:t>&lt;Titre&gt;</w:t>
      </w:r>
      <w:r>
        <w:t>o predlogu uredbe</w:t>
      </w:r>
      <w:r w:rsidR="00E35C42">
        <w:t xml:space="preserve"> Evropskega parlamenta in Sveta </w:t>
      </w:r>
      <w:r>
        <w:t>o trgovini z določenim blagom, ki bi se lahko uporabilo za izvršitev smrtne kazni, mučenje ali drugo okrutno, nečloveško ali poniževalno ravnanje ali kaznovanje</w:t>
      </w:r>
      <w:r w:rsidR="00E35C42">
        <w:t xml:space="preserve"> </w:t>
      </w:r>
      <w:r>
        <w:t>(kodificirano besedilo)</w:t>
      </w:r>
      <w:r>
        <w:rPr>
          <w:rStyle w:val="HideTWBExt"/>
          <w:noProof w:val="0"/>
        </w:rPr>
        <w:t>&lt;/Titre&gt;</w:t>
      </w:r>
    </w:p>
    <w:p w:rsidR="00ED0821" w:rsidRPr="00717A19" w:rsidRDefault="00ED0821">
      <w:pPr>
        <w:pStyle w:val="Cover24"/>
      </w:pPr>
      <w:r>
        <w:rPr>
          <w:rStyle w:val="HideTWBExt"/>
          <w:noProof w:val="0"/>
        </w:rPr>
        <w:t>&lt;DocRef&gt;</w:t>
      </w:r>
      <w:r>
        <w:t>(COM(2018)0316 – C8-0210/2018 – 2018/0160(COD))</w:t>
      </w:r>
      <w:r>
        <w:rPr>
          <w:rStyle w:val="HideTWBExt"/>
          <w:noProof w:val="0"/>
        </w:rPr>
        <w:t>&lt;/DocRef&gt;</w:t>
      </w:r>
    </w:p>
    <w:p w:rsidR="00ED0821" w:rsidRPr="00717A19" w:rsidRDefault="00ED0821">
      <w:pPr>
        <w:pStyle w:val="Cover24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{JURI}</w:t>
      </w:r>
      <w:r>
        <w:t>Odbor za pravne zadeve</w:t>
      </w:r>
      <w:r>
        <w:rPr>
          <w:rStyle w:val="HideTWBExt"/>
          <w:noProof w:val="0"/>
        </w:rPr>
        <w:t>&lt;/Commission&gt;</w:t>
      </w:r>
    </w:p>
    <w:p w:rsidR="00ED0821" w:rsidRPr="00717A19" w:rsidRDefault="00F8672B" w:rsidP="00852087">
      <w:pPr>
        <w:pStyle w:val="Cover48"/>
      </w:pPr>
      <w:r>
        <w:t xml:space="preserve">Poročevalka: </w:t>
      </w:r>
      <w:r>
        <w:rPr>
          <w:rStyle w:val="HideTWBExt"/>
          <w:noProof w:val="0"/>
        </w:rPr>
        <w:t>&lt;Depute&gt;</w:t>
      </w:r>
      <w:r>
        <w:t>Lidia Joanna Geringer de Oedenberg</w:t>
      </w:r>
      <w:r>
        <w:rPr>
          <w:rStyle w:val="HideTWBExt"/>
          <w:noProof w:val="0"/>
        </w:rPr>
        <w:t>&lt;/Depute&gt;</w:t>
      </w:r>
    </w:p>
    <w:p w:rsidR="003B5DAA" w:rsidRPr="00717A19" w:rsidRDefault="00717A19" w:rsidP="003B5DAA">
      <w:pPr>
        <w:pStyle w:val="Cover24"/>
      </w:pPr>
      <w:r>
        <w:t>(Kodifikacija – člen 103 Poslovnika)</w:t>
      </w:r>
    </w:p>
    <w:p w:rsidR="00ED0821" w:rsidRPr="00717A19" w:rsidRDefault="00ED0821" w:rsidP="00F06AD1">
      <w:pPr>
        <w:widowControl/>
        <w:tabs>
          <w:tab w:val="center" w:pos="4677"/>
        </w:tabs>
      </w:pPr>
      <w:r>
        <w:br w:type="page"/>
      </w:r>
    </w:p>
    <w:p w:rsidR="00F8672B" w:rsidRDefault="009A2B35" w:rsidP="009A7557">
      <w:fldSimple w:instr=" TITLE  \* MERGEFORMAT ">
        <w:r w:rsidR="00E35C42">
          <w:t>PR_COD_Codification</w:t>
        </w:r>
      </w:fldSimple>
    </w:p>
    <w:p w:rsidR="00F8672B" w:rsidRDefault="00F8672B">
      <w:pPr>
        <w:tabs>
          <w:tab w:val="left" w:pos="-1134"/>
          <w:tab w:val="left" w:pos="-114"/>
          <w:tab w:val="left" w:pos="772"/>
          <w:tab w:val="left" w:pos="1089"/>
          <w:tab w:val="left" w:pos="1700"/>
          <w:tab w:val="left" w:pos="2266"/>
          <w:tab w:val="left" w:pos="3140"/>
          <w:tab w:val="left" w:pos="3399"/>
          <w:tab w:val="left" w:pos="3966"/>
          <w:tab w:val="left" w:pos="4532"/>
          <w:tab w:val="left" w:pos="5098"/>
          <w:tab w:val="left" w:pos="5665"/>
          <w:tab w:val="left" w:pos="6231"/>
          <w:tab w:val="left" w:pos="6798"/>
          <w:tab w:val="left" w:pos="7364"/>
          <w:tab w:val="left" w:pos="7930"/>
          <w:tab w:val="left" w:pos="8497"/>
          <w:tab w:val="left" w:pos="9063"/>
        </w:tabs>
      </w:pPr>
    </w:p>
    <w:p w:rsidR="00F8672B" w:rsidRDefault="00F8672B">
      <w:pPr>
        <w:tabs>
          <w:tab w:val="center" w:pos="4677"/>
        </w:tabs>
      </w:pPr>
    </w:p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F8672B" w:rsidTr="00E60593">
        <w:tc>
          <w:tcPr>
            <w:tcW w:w="5811" w:type="dxa"/>
          </w:tcPr>
          <w:p w:rsidR="00F8672B" w:rsidRDefault="00F8672B" w:rsidP="00E60593">
            <w:pPr>
              <w:pStyle w:val="Lgendetitre"/>
              <w:rPr>
                <w:szCs w:val="24"/>
              </w:rPr>
            </w:pPr>
            <w:r>
              <w:t>Oznake postopkov</w:t>
            </w:r>
          </w:p>
        </w:tc>
      </w:tr>
      <w:tr w:rsidR="00F8672B" w:rsidRPr="007C0061" w:rsidTr="00E60593">
        <w:trPr>
          <w:cantSplit/>
          <w:trHeight w:val="1944"/>
        </w:trPr>
        <w:tc>
          <w:tcPr>
            <w:tcW w:w="5811" w:type="dxa"/>
            <w:tcBorders>
              <w:bottom w:val="single" w:sz="4" w:space="0" w:color="auto"/>
            </w:tcBorders>
          </w:tcPr>
          <w:p w:rsidR="00F8672B" w:rsidRPr="007C0061" w:rsidRDefault="00F8672B" w:rsidP="00E60593">
            <w:pPr>
              <w:pStyle w:val="Lgendesigne"/>
              <w:rPr>
                <w:szCs w:val="24"/>
              </w:rPr>
            </w:pPr>
            <w:r>
              <w:tab/>
              <w:t>*</w:t>
            </w:r>
            <w:r>
              <w:tab/>
              <w:t>Postopek posvetovanja</w:t>
            </w:r>
          </w:p>
          <w:p w:rsidR="00F8672B" w:rsidRPr="007C0061" w:rsidRDefault="00F8672B" w:rsidP="00E60593">
            <w:pPr>
              <w:pStyle w:val="Lgendesigne"/>
              <w:rPr>
                <w:szCs w:val="24"/>
              </w:rPr>
            </w:pPr>
            <w:r>
              <w:tab/>
              <w:t>***</w:t>
            </w:r>
            <w:r>
              <w:tab/>
              <w:t>Postopek odobritve</w:t>
            </w:r>
          </w:p>
          <w:p w:rsidR="00F8672B" w:rsidRPr="007C0061" w:rsidRDefault="00F8672B" w:rsidP="00E60593">
            <w:pPr>
              <w:pStyle w:val="Lgendesigne"/>
              <w:rPr>
                <w:szCs w:val="24"/>
              </w:rPr>
            </w:pPr>
            <w:r>
              <w:tab/>
              <w:t>***I</w:t>
            </w:r>
            <w:r>
              <w:tab/>
              <w:t>Redni zakonodajni postopek (prva obravnava)</w:t>
            </w:r>
          </w:p>
          <w:p w:rsidR="00F8672B" w:rsidRPr="007A1F81" w:rsidRDefault="00F8672B" w:rsidP="00E60593">
            <w:pPr>
              <w:pStyle w:val="Lgendesigne"/>
              <w:rPr>
                <w:szCs w:val="24"/>
              </w:rPr>
            </w:pPr>
            <w:r>
              <w:tab/>
              <w:t>***II</w:t>
            </w:r>
            <w:r>
              <w:tab/>
              <w:t>Redni zakonodajni postopek (druga obravnava)</w:t>
            </w:r>
          </w:p>
          <w:p w:rsidR="00F8672B" w:rsidRPr="007A1F81" w:rsidRDefault="00F8672B" w:rsidP="00E60593">
            <w:pPr>
              <w:pStyle w:val="Lgendesigne"/>
              <w:rPr>
                <w:szCs w:val="24"/>
              </w:rPr>
            </w:pPr>
            <w:r>
              <w:tab/>
              <w:t>***III</w:t>
            </w:r>
            <w:r>
              <w:tab/>
              <w:t>Redni zakonodajni postopek (tretja obravnava)</w:t>
            </w:r>
          </w:p>
          <w:p w:rsidR="00F8672B" w:rsidRPr="007A1F81" w:rsidRDefault="00F8672B" w:rsidP="00E60593">
            <w:pPr>
              <w:pStyle w:val="Lgendesigne"/>
              <w:ind w:left="0" w:firstLine="0"/>
              <w:rPr>
                <w:szCs w:val="24"/>
                <w:lang w:val="pl-PL"/>
              </w:rPr>
            </w:pPr>
          </w:p>
          <w:p w:rsidR="00F8672B" w:rsidRPr="007A1F81" w:rsidRDefault="00F8672B" w:rsidP="00E60593">
            <w:pPr>
              <w:pStyle w:val="Lgendesigne"/>
              <w:ind w:left="0" w:firstLine="0"/>
              <w:rPr>
                <w:szCs w:val="24"/>
              </w:rPr>
            </w:pPr>
            <w:r>
              <w:t>(Vrsta postopka je odvisna od pravne podlage, ki je predlagana v osnutku akta.)</w:t>
            </w:r>
          </w:p>
        </w:tc>
      </w:tr>
    </w:tbl>
    <w:p w:rsidR="00F8672B" w:rsidRPr="009E4B29" w:rsidRDefault="00F8672B">
      <w:pPr>
        <w:rPr>
          <w:lang w:val="pl-PL"/>
        </w:rPr>
      </w:pPr>
    </w:p>
    <w:p w:rsidR="00ED0821" w:rsidRPr="00F8672B" w:rsidRDefault="00ED0821" w:rsidP="00F06AD1">
      <w:pPr>
        <w:widowControl/>
        <w:tabs>
          <w:tab w:val="center" w:pos="4677"/>
        </w:tabs>
      </w:pPr>
    </w:p>
    <w:p w:rsidR="00ED0821" w:rsidRPr="00717A19" w:rsidRDefault="00ED0821">
      <w:pPr>
        <w:pStyle w:val="TOCHeading"/>
      </w:pPr>
      <w:r>
        <w:br w:type="page"/>
        <w:t>VSEBINA</w:t>
      </w:r>
    </w:p>
    <w:p w:rsidR="00ED0821" w:rsidRPr="00717A19" w:rsidRDefault="00717A19">
      <w:pPr>
        <w:pStyle w:val="TOCPage"/>
      </w:pPr>
      <w:r>
        <w:t>Stran</w:t>
      </w:r>
    </w:p>
    <w:p w:rsidR="00E35C42" w:rsidRDefault="00ED0821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717A19">
        <w:rPr>
          <w:b/>
        </w:rPr>
        <w:fldChar w:fldCharType="begin"/>
      </w:r>
      <w:r w:rsidRPr="00717A19">
        <w:rPr>
          <w:b/>
        </w:rPr>
        <w:instrText xml:space="preserve"> </w:instrText>
      </w:r>
      <w:r w:rsidR="00127894" w:rsidRPr="00717A19">
        <w:instrText xml:space="preserve"> TOC \o "1-3" \t "PageHeading;1;PageHeadingCaps;1"</w:instrText>
      </w:r>
      <w:r w:rsidRPr="00717A19">
        <w:rPr>
          <w:b/>
        </w:rPr>
        <w:instrText xml:space="preserve"> </w:instrText>
      </w:r>
      <w:r w:rsidRPr="00717A19">
        <w:rPr>
          <w:b/>
        </w:rPr>
        <w:fldChar w:fldCharType="separate"/>
      </w:r>
      <w:r w:rsidR="00E35C42">
        <w:rPr>
          <w:noProof/>
        </w:rPr>
        <w:t>OSNUTEK ZAKONODAJNE RESOLUCIJE EVROPSKEGA PARLAMENTA</w:t>
      </w:r>
      <w:r w:rsidR="00E35C42">
        <w:rPr>
          <w:noProof/>
        </w:rPr>
        <w:tab/>
      </w:r>
      <w:r w:rsidR="00E35C42">
        <w:rPr>
          <w:noProof/>
        </w:rPr>
        <w:fldChar w:fldCharType="begin"/>
      </w:r>
      <w:r w:rsidR="00E35C42">
        <w:rPr>
          <w:noProof/>
        </w:rPr>
        <w:instrText xml:space="preserve"> PAGEREF _Toc530129284 \h </w:instrText>
      </w:r>
      <w:r w:rsidR="00E35C42">
        <w:rPr>
          <w:noProof/>
        </w:rPr>
      </w:r>
      <w:r w:rsidR="00E35C42">
        <w:rPr>
          <w:noProof/>
        </w:rPr>
        <w:fldChar w:fldCharType="separate"/>
      </w:r>
      <w:r w:rsidR="00E35C42">
        <w:rPr>
          <w:noProof/>
        </w:rPr>
        <w:t>5</w:t>
      </w:r>
      <w:r w:rsidR="00E35C42">
        <w:rPr>
          <w:noProof/>
        </w:rPr>
        <w:fldChar w:fldCharType="end"/>
      </w:r>
    </w:p>
    <w:p w:rsidR="00E35C42" w:rsidRDefault="00E35C4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162685">
        <w:rPr>
          <w:caps/>
          <w:noProof/>
        </w:rPr>
        <w:t>PRILOGA: MNENJE POSVETOVALNE SKUPINE PRAVNIH SLUŽB EVROPSKEGA PARLAMENTA, SVETA IN KOMISIJE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_Toc530129285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0821" w:rsidRPr="00717A19" w:rsidRDefault="00ED0821">
      <w:pPr>
        <w:pStyle w:val="PageHeading"/>
      </w:pPr>
      <w:r w:rsidRPr="00717A19">
        <w:rPr>
          <w:rFonts w:ascii="Times New Roman" w:hAnsi="Times New Roman"/>
          <w:b w:val="0"/>
        </w:rPr>
        <w:fldChar w:fldCharType="end"/>
      </w:r>
    </w:p>
    <w:p w:rsidR="00ED0821" w:rsidRPr="00717A19" w:rsidRDefault="00ED0821">
      <w:pPr>
        <w:pStyle w:val="PageHeading"/>
      </w:pPr>
      <w:r>
        <w:br w:type="page"/>
      </w:r>
      <w:r>
        <w:br w:type="page"/>
      </w:r>
      <w:bookmarkStart w:id="1" w:name="_Toc530129284"/>
      <w:r>
        <w:t>OSNUTEK ZAKONODAJNE RESOLUCIJE EVROPSKEGA PARLAMENTA</w:t>
      </w:r>
      <w:bookmarkEnd w:id="1"/>
    </w:p>
    <w:p w:rsidR="00ED0821" w:rsidRPr="00717A19" w:rsidRDefault="00717A19">
      <w:pPr>
        <w:pStyle w:val="NormalBold"/>
      </w:pPr>
      <w:r>
        <w:t>o predlogu uredbe</w:t>
      </w:r>
      <w:r w:rsidR="00E35C42">
        <w:t xml:space="preserve"> Evropskega parlamenta in Sveta </w:t>
      </w:r>
      <w:r>
        <w:t>o trgovini z določenim blagom, ki bi se lahko uporabilo za izvršitev smrtne kazni, mučenje ali drugo okrutno, nečloveško ali poniževalno ravnanje ali kaznovanje</w:t>
      </w:r>
      <w:r w:rsidR="00E35C42">
        <w:t xml:space="preserve"> </w:t>
      </w:r>
      <w:r>
        <w:t>(kodificirano besedilo)</w:t>
      </w:r>
    </w:p>
    <w:p w:rsidR="00ED0821" w:rsidRPr="00717A19" w:rsidRDefault="00717A19">
      <w:pPr>
        <w:pStyle w:val="Normal12Bold"/>
      </w:pPr>
      <w:r>
        <w:t>(COM(2018)0316 – C8-0210/2018 – 2018/0160(COD))</w:t>
      </w:r>
    </w:p>
    <w:p w:rsidR="00ED0821" w:rsidRPr="00717A19" w:rsidRDefault="00717A19">
      <w:pPr>
        <w:pStyle w:val="Normal12Bold"/>
      </w:pPr>
      <w:r>
        <w:t>(Redni zakonodajni postopek – kodifikacija)</w:t>
      </w:r>
    </w:p>
    <w:p w:rsidR="00ED0821" w:rsidRPr="00717A19" w:rsidRDefault="00717A19">
      <w:pPr>
        <w:pStyle w:val="Normal12"/>
      </w:pPr>
      <w:r>
        <w:rPr>
          <w:i/>
        </w:rPr>
        <w:t>Evropski parlament</w:t>
      </w:r>
      <w:r>
        <w:t>,</w:t>
      </w:r>
    </w:p>
    <w:p w:rsidR="00ED0821" w:rsidRPr="00717A19" w:rsidRDefault="00ED0821">
      <w:pPr>
        <w:pStyle w:val="Normal12Hanging"/>
      </w:pPr>
      <w:r>
        <w:t>–</w:t>
      </w:r>
      <w:r>
        <w:tab/>
        <w:t>ob upoštevanju predloga Komisije Evropskemu parlamentu in Svetu (COM(2018)0316),</w:t>
      </w:r>
    </w:p>
    <w:p w:rsidR="00ED0821" w:rsidRPr="00717A19" w:rsidRDefault="00ED0821">
      <w:pPr>
        <w:pStyle w:val="Normal12Hanging"/>
      </w:pPr>
      <w:r>
        <w:t>–</w:t>
      </w:r>
      <w:r>
        <w:tab/>
        <w:t>ob upoštevanju člena 294(2) in člena 207(2) Pogodbe o delovanju Evropske unije, na podlagi katerih je Komisija podala predlog Parlamentu (C8-0210/2018),</w:t>
      </w:r>
    </w:p>
    <w:p w:rsidR="00EA7E4A" w:rsidRPr="00717A19" w:rsidRDefault="00EA7E4A" w:rsidP="00250743">
      <w:pPr>
        <w:pStyle w:val="Normal12Hanging"/>
      </w:pPr>
      <w:r>
        <w:t>–</w:t>
      </w:r>
      <w:r>
        <w:tab/>
        <w:t>ob upoštevanju člena 294(3) Pogodbe o delovanju Evropske unije,</w:t>
      </w:r>
    </w:p>
    <w:p w:rsidR="002A50C4" w:rsidRPr="00717A19" w:rsidRDefault="002A50C4" w:rsidP="002A50C4">
      <w:pPr>
        <w:pStyle w:val="Normal12Hanging"/>
      </w:pPr>
      <w:r>
        <w:t>–</w:t>
      </w:r>
      <w:r>
        <w:tab/>
        <w:t>ob upoštevanju Medinstitucionalnega sporazuma z dne 20. decembra 1994 o pospešenem načinu dela za uradno kodifikacijo zakonodajnih besedil</w:t>
      </w:r>
      <w:r w:rsidR="00F8672B">
        <w:rPr>
          <w:rStyle w:val="FootnoteReference"/>
        </w:rPr>
        <w:footnoteReference w:id="1"/>
      </w:r>
      <w:r>
        <w:t>,</w:t>
      </w:r>
    </w:p>
    <w:p w:rsidR="00ED0821" w:rsidRPr="00717A19" w:rsidRDefault="00ED0821">
      <w:pPr>
        <w:pStyle w:val="Normal12Hanging"/>
      </w:pPr>
      <w:r>
        <w:t>–</w:t>
      </w:r>
      <w:r>
        <w:tab/>
        <w:t>ob upoštevanju členov 103 in 59 Poslovnika,</w:t>
      </w:r>
    </w:p>
    <w:p w:rsidR="00ED0821" w:rsidRPr="00717A19" w:rsidRDefault="00ED0821">
      <w:pPr>
        <w:pStyle w:val="Normal12Hanging"/>
      </w:pPr>
      <w:r>
        <w:t>–</w:t>
      </w:r>
      <w:r>
        <w:tab/>
        <w:t>ob upoštevanju poročila Odbora za pravne zadeve (A8-0000/2018),</w:t>
      </w:r>
    </w:p>
    <w:p w:rsidR="0056430C" w:rsidRPr="00717A19" w:rsidRDefault="0056430C" w:rsidP="0056430C">
      <w:pPr>
        <w:pStyle w:val="Normal12Hanging"/>
      </w:pPr>
      <w:r>
        <w:t>A.</w:t>
      </w:r>
      <w:r>
        <w:tab/>
        <w:t>ker je po mnenju posvetovalne skupine pravnih služb Evropskega parlamenta, Sveta in Komisije zadevni predlog le kodifikacija obstoječih besedil brez vsebinskih sprememb;</w:t>
      </w:r>
    </w:p>
    <w:p w:rsidR="00ED0821" w:rsidRPr="00717A19" w:rsidRDefault="00ED0821">
      <w:pPr>
        <w:pStyle w:val="Normal12Hanging"/>
      </w:pPr>
      <w:r>
        <w:t>1.</w:t>
      </w:r>
      <w:r>
        <w:tab/>
        <w:t>kot svoje stališče v prvi obravnavi sprejme predlog Komisije, kakor je bil prilagojen v skladu s priporočili posvetovalne skupine pravnih služb Evropskega parlamenta, Sveta in Komisije;</w:t>
      </w:r>
    </w:p>
    <w:p w:rsidR="00ED0821" w:rsidRPr="00717A19" w:rsidRDefault="003B5DAA">
      <w:pPr>
        <w:pStyle w:val="Normal12Hanging"/>
      </w:pPr>
      <w:r>
        <w:t>2.</w:t>
      </w:r>
      <w:r>
        <w:tab/>
        <w:t>naroči svojemu predsedniku, naj stališče Parlamenta posreduje Svetu in Komisiji ter nacionalnim parlamentom.</w:t>
      </w:r>
    </w:p>
    <w:p w:rsidR="0056430C" w:rsidRPr="00717A19" w:rsidRDefault="0056430C" w:rsidP="0056430C">
      <w:pPr>
        <w:pStyle w:val="PageHeading"/>
        <w:spacing w:after="480"/>
      </w:pPr>
      <w:r>
        <w:br w:type="page"/>
      </w:r>
      <w:bookmarkStart w:id="2" w:name="_Toc530129285"/>
      <w:r>
        <w:rPr>
          <w:rStyle w:val="PageHeadingCapsChar"/>
        </w:rPr>
        <w:t>PRILOGA: MNENJE POSVETOVALNE SKUPINE PRAVNIH SLUŽB EVROPSKEGA PARLAMENTA, SVETA IN KOMISIJE</w:t>
      </w:r>
      <w:bookmarkEnd w:id="2"/>
    </w:p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B11BA2" w:rsidRPr="00717A19" w:rsidTr="00B11BA2">
        <w:tc>
          <w:tcPr>
            <w:tcW w:w="1814" w:type="dxa"/>
          </w:tcPr>
          <w:p w:rsidR="00B11BA2" w:rsidRPr="00717A19" w:rsidRDefault="00E35C42" w:rsidP="00F72CA0">
            <w:pPr>
              <w:spacing w:before="120" w:after="120"/>
            </w:pPr>
            <w:r>
              <w:pict>
                <v:shape id="_x0000_i1026" type="#_x0000_t75" style="width:79.5pt;height:53.25pt" fillcolor="window">
                  <v:imagedata r:id="rId8" o:title=""/>
                </v:shape>
              </w:pict>
            </w:r>
          </w:p>
        </w:tc>
        <w:tc>
          <w:tcPr>
            <w:tcW w:w="7655" w:type="dxa"/>
          </w:tcPr>
          <w:p w:rsidR="00B11BA2" w:rsidRPr="00717A19" w:rsidRDefault="00B11BA2" w:rsidP="00F72CA0">
            <w:pPr>
              <w:pStyle w:val="WorkingParty"/>
            </w:pPr>
          </w:p>
          <w:p w:rsidR="00B11BA2" w:rsidRPr="00717A19" w:rsidRDefault="00B11BA2" w:rsidP="00B11BA2">
            <w:pPr>
              <w:rPr>
                <w:sz w:val="20"/>
                <w:lang w:eastAsia="en-US"/>
              </w:rPr>
            </w:pPr>
          </w:p>
          <w:p w:rsidR="00F72CA0" w:rsidRPr="00717A19" w:rsidRDefault="00F72CA0" w:rsidP="00B11BA2">
            <w:pPr>
              <w:rPr>
                <w:sz w:val="20"/>
                <w:lang w:eastAsia="en-US"/>
              </w:rPr>
            </w:pPr>
          </w:p>
          <w:p w:rsidR="00B11BA2" w:rsidRPr="00717A19" w:rsidRDefault="00717A19" w:rsidP="00F72CA0">
            <w:pPr>
              <w:pStyle w:val="WorkingParty"/>
            </w:pPr>
            <w:r>
              <w:t>POSVETOVALNA SKUPINA</w:t>
            </w:r>
          </w:p>
          <w:p w:rsidR="00B11BA2" w:rsidRPr="00717A19" w:rsidRDefault="00717A19" w:rsidP="00F72CA0">
            <w:pPr>
              <w:pStyle w:val="WorkingParty"/>
            </w:pPr>
            <w:r>
              <w:t>PRAVNIH SLUŽB</w:t>
            </w:r>
          </w:p>
        </w:tc>
      </w:tr>
    </w:tbl>
    <w:p w:rsidR="0056430C" w:rsidRPr="00717A19" w:rsidRDefault="00717A19" w:rsidP="00F72CA0">
      <w:pPr>
        <w:pStyle w:val="AnnexDate"/>
      </w:pPr>
      <w:r>
        <w:t>V Bruslju, 12. julija 2018</w:t>
      </w:r>
    </w:p>
    <w:p w:rsidR="001132B1" w:rsidRPr="00717A19" w:rsidRDefault="00717A19" w:rsidP="00F72CA0">
      <w:pPr>
        <w:pStyle w:val="NormalCentreBold12a12b"/>
      </w:pPr>
      <w:r>
        <w:t>MNENJE</w:t>
      </w:r>
    </w:p>
    <w:p w:rsidR="001132B1" w:rsidRPr="00717A19" w:rsidRDefault="00C445D9" w:rsidP="00065B5C">
      <w:pPr>
        <w:pStyle w:val="NormalBoldTabs"/>
      </w:pPr>
      <w:r>
        <w:tab/>
        <w:t xml:space="preserve">ZA </w:t>
      </w:r>
      <w:r>
        <w:tab/>
        <w:t>EVROPSKI PARLAMENT</w:t>
      </w:r>
    </w:p>
    <w:p w:rsidR="00F72CA0" w:rsidRPr="00717A19" w:rsidRDefault="00F72CA0" w:rsidP="00065B5C">
      <w:pPr>
        <w:pStyle w:val="NormalBoldTabs"/>
      </w:pPr>
      <w:r>
        <w:tab/>
      </w:r>
      <w:r>
        <w:tab/>
        <w:t>SVET</w:t>
      </w:r>
    </w:p>
    <w:p w:rsidR="00F72CA0" w:rsidRPr="00717A19" w:rsidRDefault="00065B5C" w:rsidP="00065B5C">
      <w:pPr>
        <w:pStyle w:val="NormalBoldTabs"/>
      </w:pPr>
      <w:r>
        <w:tab/>
      </w:r>
      <w:r>
        <w:tab/>
        <w:t>KOMISIJO</w:t>
      </w:r>
    </w:p>
    <w:p w:rsidR="00065B5C" w:rsidRPr="00717A19" w:rsidRDefault="00717A19" w:rsidP="00605200">
      <w:pPr>
        <w:pStyle w:val="NormalBold24b"/>
      </w:pPr>
      <w:r>
        <w:t>Predlog uredbe</w:t>
      </w:r>
      <w:r w:rsidR="00E35C42">
        <w:t xml:space="preserve"> Evropskega parlamenta in Sveta </w:t>
      </w:r>
      <w:r>
        <w:t>o trgovini z določenim blagom, ki bi se lahko uporabilo za izvršitev smrtne kazni, mučenje ali drugo okrutno, nečloveško ali poni</w:t>
      </w:r>
      <w:r w:rsidR="00E35C42">
        <w:t xml:space="preserve">ževalno ravnanje ali kaznovanje </w:t>
      </w:r>
      <w:r>
        <w:t>(kodificirano besedilo)</w:t>
      </w:r>
    </w:p>
    <w:p w:rsidR="00605200" w:rsidRPr="00717A19" w:rsidRDefault="00717A19" w:rsidP="00605200">
      <w:pPr>
        <w:pStyle w:val="Normal12Bold"/>
      </w:pPr>
      <w:r>
        <w:t>COM(2018)0316 z dne 24. 5. 2018 – 2018/0160(COD)</w:t>
      </w:r>
    </w:p>
    <w:p w:rsidR="00F8672B" w:rsidRPr="006C7EB7" w:rsidRDefault="00F8672B" w:rsidP="00F8672B">
      <w:pPr>
        <w:jc w:val="both"/>
      </w:pPr>
      <w:r>
        <w:t>V skladu z Medinstitucionalnim sporazumom z dne 20. decembra 1994 o pospešenem načinu dela za uradno kodifikacijo zakonodajnih besedil, še zlasti z odstavkom 4, se je 13. junija 2018 sestala posvetovalna delovna skupina, ki jo sestavljajo pravne službe Evropskega parlamenta, Sveta in Komisije, da bi proučila omenjeni predlog Komisije.</w:t>
      </w:r>
    </w:p>
    <w:p w:rsidR="00F8672B" w:rsidRPr="006C7EB7" w:rsidRDefault="00F8672B" w:rsidP="00F8672B">
      <w:pPr>
        <w:jc w:val="both"/>
      </w:pPr>
    </w:p>
    <w:p w:rsidR="00F8672B" w:rsidRPr="006C7EB7" w:rsidRDefault="00F8672B" w:rsidP="00F8672B">
      <w:pPr>
        <w:jc w:val="both"/>
      </w:pPr>
      <w:r>
        <w:t>Na tem srečanju</w:t>
      </w:r>
      <w:r w:rsidRPr="006C7EB7">
        <w:rPr>
          <w:rStyle w:val="FootnoteReference"/>
        </w:rPr>
        <w:footnoteReference w:id="2"/>
      </w:r>
      <w:r>
        <w:t xml:space="preserve"> je posvetovalna delovna skupina preučila predlog uredbe Evropskega parlamenta in Sveta o spremembi Uredbe Sveta (ES) št. 1236/2005 o trgovini z določenim blagom, ki bi se lahko uporabilo za izvršitev smrtne kazni, mučenje ali drugo okrutno, nečloveško ali poniževalno ravnanje ali kaznovanje, in soglasno ugotovila naslednje:</w:t>
      </w:r>
    </w:p>
    <w:p w:rsidR="00F8672B" w:rsidRPr="006C7EB7" w:rsidRDefault="00F8672B" w:rsidP="00F8672B">
      <w:pPr>
        <w:jc w:val="both"/>
        <w:rPr>
          <w:szCs w:val="24"/>
        </w:rPr>
      </w:pPr>
    </w:p>
    <w:p w:rsidR="00F8672B" w:rsidRPr="006C7EB7" w:rsidRDefault="00F8672B" w:rsidP="00F8672B">
      <w:pPr>
        <w:jc w:val="both"/>
      </w:pPr>
      <w:r>
        <w:t xml:space="preserve">1. Prilagoditi bi bilo treba besedilo opombe št. 11 tako, da bi se glasilo: </w:t>
      </w:r>
      <w:r>
        <w:rPr>
          <w:i/>
        </w:rPr>
        <w:t>„Odobreno z Resolucijama 663 C (XXIV) z dne 31.7.1957 in 2076 (LXII) z dne 13.5.1977 Ekonomsko-socialnega sveta Organizacije združenih narodov.“</w:t>
      </w:r>
    </w:p>
    <w:p w:rsidR="00F8672B" w:rsidRPr="006C7EB7" w:rsidRDefault="00F8672B" w:rsidP="00F8672B">
      <w:pPr>
        <w:jc w:val="both"/>
      </w:pPr>
      <w:r>
        <w:t xml:space="preserve">2. V uvodni izjavi 45 bi bilo treba besedilo </w:t>
      </w:r>
      <w:r>
        <w:rPr>
          <w:i/>
        </w:rPr>
        <w:t>„v skladu z Direktivo 95/46/ES Evropskega parlamenta in Sveta“</w:t>
      </w:r>
      <w:r>
        <w:t xml:space="preserve"> prilagoditi tako, da bi se glasilo </w:t>
      </w:r>
      <w:r>
        <w:rPr>
          <w:i/>
        </w:rPr>
        <w:t xml:space="preserve">„v skladu z </w:t>
      </w:r>
      <w:r>
        <w:rPr>
          <w:rStyle w:val="Strong"/>
          <w:i/>
          <w:color w:val="444444"/>
        </w:rPr>
        <w:t>Uredbo (EU) 2016/679</w:t>
      </w:r>
      <w:r>
        <w:rPr>
          <w:i/>
        </w:rPr>
        <w:t xml:space="preserve"> Evropskega parlamenta in Sveta“</w:t>
      </w:r>
      <w:r>
        <w:t>.</w:t>
      </w:r>
    </w:p>
    <w:p w:rsidR="00F8672B" w:rsidRPr="006C7EB7" w:rsidRDefault="00F8672B" w:rsidP="00F8672B">
      <w:pPr>
        <w:jc w:val="both"/>
      </w:pPr>
      <w:r>
        <w:t xml:space="preserve">3. V referenčnem okvirčku pred uvodno izjavo 52 bi se navedba </w:t>
      </w:r>
      <w:r>
        <w:rPr>
          <w:i/>
        </w:rPr>
        <w:t>„2016/2134, uvodna izjava 24“</w:t>
      </w:r>
      <w:r>
        <w:t xml:space="preserve"> morala glasiti </w:t>
      </w:r>
      <w:r>
        <w:rPr>
          <w:i/>
        </w:rPr>
        <w:t>„1236/2005, uvodna izjava 24“</w:t>
      </w:r>
      <w:r>
        <w:t>.</w:t>
      </w:r>
    </w:p>
    <w:p w:rsidR="00F8672B" w:rsidRPr="006C7EB7" w:rsidRDefault="00F8672B" w:rsidP="00F8672B">
      <w:pPr>
        <w:jc w:val="both"/>
      </w:pPr>
      <w:r>
        <w:t xml:space="preserve">4. V členu 27 bi bilo treba besedilo </w:t>
      </w:r>
      <w:r>
        <w:rPr>
          <w:i/>
        </w:rPr>
        <w:t>„v skladu s pravili, določenimi v Direktivi 95/46/ES“</w:t>
      </w:r>
      <w:r>
        <w:t xml:space="preserve"> prilagoditi tako, da bi se glasilo </w:t>
      </w:r>
      <w:r>
        <w:rPr>
          <w:i/>
        </w:rPr>
        <w:t xml:space="preserve">„v skladu s pravili, določenimi v </w:t>
      </w:r>
      <w:r>
        <w:rPr>
          <w:rStyle w:val="Strong"/>
          <w:i/>
          <w:color w:val="444444"/>
        </w:rPr>
        <w:t>Uredbi (EU) 2016/679</w:t>
      </w:r>
      <w:r>
        <w:rPr>
          <w:i/>
        </w:rPr>
        <w:t>“.</w:t>
      </w:r>
    </w:p>
    <w:p w:rsidR="00F8672B" w:rsidRPr="006C7EB7" w:rsidRDefault="00F8672B" w:rsidP="00F8672B">
      <w:pPr>
        <w:jc w:val="both"/>
      </w:pPr>
      <w:r>
        <w:t>5. V Prilogi VII bi bilo treba spremeniti sedanji naslov obrazca (</w:t>
      </w:r>
      <w:r>
        <w:rPr>
          <w:i/>
        </w:rPr>
        <w:t>„dovoljenje za izvoz ali uvoz blaga, ki bi se lahko uporabilo za mučenje (Uredba (ES) št. 1236/2005“</w:t>
      </w:r>
      <w:r>
        <w:t xml:space="preserve">), tako, da bi se glasil </w:t>
      </w:r>
      <w:r>
        <w:rPr>
          <w:i/>
        </w:rPr>
        <w:t>„dovoljenje za izvoz ali uvoz blaga, ki bi se lahko uporabilo za mučenje (Uredba (EU) [... ]“</w:t>
      </w:r>
      <w:r>
        <w:t xml:space="preserve">). V točki 15 navedenega obrazca bi bilo treba besedilo „ v skladu s členom 9(1) Uredbe (ES ) št. 1236/2005“ spremeniti tako, da bi se glasilo „v skladu s členom 21(1) Uredbe (EU) [ ...]“. V pojasnjevalnih opombah k obrazcu bi bilo treba opombo, ki ustreza sklicu na Uredbo Komisije (EU) št. 1106/2012 v okvirčku 6, prilagoditi tako, da bi se glasila: </w:t>
      </w:r>
      <w:r>
        <w:rPr>
          <w:i/>
        </w:rPr>
        <w:t>„ Uredba Komisije (EU) št. 1106/2012 z dne 27. novembra 2012 o Izvedbeni uredbi (ES) št. 471/2009 Evropskega parlamenta in Sveta o statistiki Skupnosti o zunanji trgovini z državami nečlanicami v zvezi s posodabljanjem nomenklature držav in ozemelj (UL L 328, 28.11.2012, str.</w:t>
      </w:r>
      <w:r w:rsidR="00E35C42">
        <w:rPr>
          <w:i/>
        </w:rPr>
        <w:t xml:space="preserve"> </w:t>
      </w:r>
      <w:r>
        <w:rPr>
          <w:i/>
        </w:rPr>
        <w:t>7).“</w:t>
      </w:r>
    </w:p>
    <w:p w:rsidR="00F8672B" w:rsidRPr="006C7EB7" w:rsidRDefault="00F8672B" w:rsidP="00F8672B">
      <w:pPr>
        <w:jc w:val="both"/>
      </w:pPr>
      <w:r>
        <w:t>6. V Prilogi VII bi bilo treba sedanji naslov obrazca (</w:t>
      </w:r>
      <w:r>
        <w:rPr>
          <w:i/>
        </w:rPr>
        <w:t>„dovoljenje za opravljanje posredniških storitev v zvezi z blagom, ki bi se lahko uporabilo za mučenje ali izvrševanje smrtne kazni (Uredba (ES) št. 1236/2005“)</w:t>
      </w:r>
      <w:r>
        <w:t xml:space="preserve"> prilagoditi tako, da bi se glasil </w:t>
      </w:r>
      <w:r>
        <w:rPr>
          <w:i/>
        </w:rPr>
        <w:t>„dovoljenje za opravljanje posredniških storitev v zvezi z blagom, ki bi se lahko uporabilo za mučenje ali izvrševanje smrtne kazni (Uredba (EU) [... ]“</w:t>
      </w:r>
      <w:r>
        <w:t>). V točki 1 obrazca bi bilo treba besedilo „</w:t>
      </w:r>
      <w:r>
        <w:rPr>
          <w:i/>
        </w:rPr>
        <w:t>Dovoljenje za posredniške storitve (Uredba (ES) št. 1236/2005)</w:t>
      </w:r>
      <w:r>
        <w:t xml:space="preserve">“ prilagoditi tako, da bi se glasilo </w:t>
      </w:r>
      <w:r>
        <w:rPr>
          <w:i/>
        </w:rPr>
        <w:t>„Dovoljenje za posredniške storitve (Uredba (EU) [...])“</w:t>
      </w:r>
      <w:r>
        <w:t xml:space="preserve">. V točki 19 navedenega obrazca bi bilo treba besedilo </w:t>
      </w:r>
      <w:r>
        <w:rPr>
          <w:i/>
        </w:rPr>
        <w:t>„v skladu s členom 9(1) Uredbe (ES ) št. 1236/2005“</w:t>
      </w:r>
      <w:r>
        <w:t xml:space="preserve"> prilagoditi tako, da bi se glasilo v </w:t>
      </w:r>
      <w:r>
        <w:rPr>
          <w:i/>
        </w:rPr>
        <w:t>„v skladu s členom 21(1) Uredbe (EU) [ ...]“</w:t>
      </w:r>
      <w:r>
        <w:t>.</w:t>
      </w:r>
    </w:p>
    <w:p w:rsidR="00F8672B" w:rsidRPr="006C7EB7" w:rsidRDefault="00F8672B" w:rsidP="00F8672B">
      <w:pPr>
        <w:jc w:val="both"/>
      </w:pPr>
      <w:r>
        <w:t>7. V Prilogi IX bi bilo treba sedanji naslov obrazca (</w:t>
      </w:r>
      <w:r>
        <w:rPr>
          <w:i/>
        </w:rPr>
        <w:t>„dovoljenje za zagotavljanje tehnične pomoči v zvezi z blagom, ki bi se lahko uporabilo za mučenje ali izvrševanje smrtne kazni (Uredba (ES) št. 1236/2005“)</w:t>
      </w:r>
      <w:r>
        <w:t xml:space="preserve"> prilagoditi tako, da bi se glasil </w:t>
      </w:r>
      <w:r>
        <w:rPr>
          <w:i/>
        </w:rPr>
        <w:t>„dovoljenje za zagotavljanje tehnične pomoči v zvezi z blagom, ki bi se lahko uporabilo za mučenje ali izvrševanje smrtne kazni (Uredba (EU) [... ]“</w:t>
      </w:r>
      <w:r>
        <w:t>). V točki 1 obrazca bi bilo treba besedilo „</w:t>
      </w:r>
      <w:r>
        <w:rPr>
          <w:i/>
        </w:rPr>
        <w:t>Dovoljenje za tehnično pomoč (Uredba (ES) št. 1236/2005)</w:t>
      </w:r>
      <w:r>
        <w:t xml:space="preserve">“ prilagoditi tako, da bi se glasilo </w:t>
      </w:r>
      <w:r>
        <w:rPr>
          <w:i/>
        </w:rPr>
        <w:t>„Dovoljenje za tehnično pomoč (Uredba (EU) [...])“</w:t>
      </w:r>
      <w:r>
        <w:t xml:space="preserve">. V točki 3 bi bilo treba se navedbo </w:t>
      </w:r>
      <w:r>
        <w:rPr>
          <w:i/>
        </w:rPr>
        <w:t>„7a“</w:t>
      </w:r>
      <w:r>
        <w:t xml:space="preserve"> nadomestiti s </w:t>
      </w:r>
      <w:r>
        <w:rPr>
          <w:i/>
        </w:rPr>
        <w:t>„15“</w:t>
      </w:r>
      <w:r>
        <w:t xml:space="preserve">, navedbo </w:t>
      </w:r>
      <w:r>
        <w:rPr>
          <w:i/>
        </w:rPr>
        <w:t>„7e“</w:t>
      </w:r>
      <w:r>
        <w:t xml:space="preserve"> pa z </w:t>
      </w:r>
      <w:r>
        <w:rPr>
          <w:i/>
        </w:rPr>
        <w:t>„19“</w:t>
      </w:r>
      <w:r>
        <w:t xml:space="preserve">. V točki 15 navedenega obrazca bi bilo treba besedilo </w:t>
      </w:r>
      <w:r>
        <w:rPr>
          <w:i/>
        </w:rPr>
        <w:t>„v skladu s členom 9(1) Uredbe (ES ) št. 1236/2005“</w:t>
      </w:r>
      <w:r>
        <w:t xml:space="preserve"> prilagoditi tako, da bi se glasilo v </w:t>
      </w:r>
      <w:r>
        <w:rPr>
          <w:i/>
        </w:rPr>
        <w:t>„v skladu s členom 21(1) Uredbe (EU) [ ...]“</w:t>
      </w:r>
      <w:r>
        <w:t>.</w:t>
      </w:r>
    </w:p>
    <w:p w:rsidR="00F8672B" w:rsidRPr="006C7EB7" w:rsidRDefault="00F8672B" w:rsidP="00F8672B">
      <w:pPr>
        <w:jc w:val="both"/>
      </w:pPr>
    </w:p>
    <w:p w:rsidR="00F8672B" w:rsidRPr="006C7EB7" w:rsidRDefault="00F8672B" w:rsidP="00F8672B">
      <w:pPr>
        <w:jc w:val="both"/>
        <w:rPr>
          <w:szCs w:val="24"/>
        </w:rPr>
      </w:pPr>
      <w:r>
        <w:t>Posvetovalna skupina je po preučitvi predloga soglasno sklenila, da predlog vsebuje le kodifikacijo obstoječega besedila brez vsebinskih sprememb.</w:t>
      </w:r>
    </w:p>
    <w:p w:rsidR="00F8672B" w:rsidRPr="006C7EB7" w:rsidRDefault="00F8672B" w:rsidP="00F8672B">
      <w:pPr>
        <w:jc w:val="both"/>
        <w:rPr>
          <w:rFonts w:cs="EUAlbertina"/>
          <w:bCs/>
          <w:color w:val="000000"/>
        </w:rPr>
      </w:pPr>
    </w:p>
    <w:p w:rsidR="00F8672B" w:rsidRPr="006C7EB7" w:rsidRDefault="00F8672B" w:rsidP="00F8672B">
      <w:pPr>
        <w:jc w:val="both"/>
      </w:pPr>
    </w:p>
    <w:p w:rsidR="00F8672B" w:rsidRPr="006C7EB7" w:rsidRDefault="00F8672B" w:rsidP="00F8672B">
      <w:pPr>
        <w:jc w:val="both"/>
      </w:pPr>
    </w:p>
    <w:p w:rsidR="00F8672B" w:rsidRPr="006C7EB7" w:rsidRDefault="00F8672B" w:rsidP="00F8672B">
      <w:pPr>
        <w:jc w:val="both"/>
      </w:pPr>
    </w:p>
    <w:p w:rsidR="00F8672B" w:rsidRPr="006C7EB7" w:rsidRDefault="00F8672B" w:rsidP="00F8672B">
      <w:pPr>
        <w:jc w:val="both"/>
      </w:pPr>
    </w:p>
    <w:p w:rsidR="00F8672B" w:rsidRPr="006C7EB7" w:rsidRDefault="00F8672B" w:rsidP="00F8672B">
      <w:pPr>
        <w:ind w:left="1440" w:hanging="1440"/>
      </w:pPr>
      <w:r>
        <w:t>F. DREXLER</w:t>
      </w:r>
      <w:r>
        <w:tab/>
      </w:r>
      <w:r>
        <w:tab/>
      </w:r>
      <w:r>
        <w:tab/>
      </w:r>
      <w:r w:rsidR="00E35C42">
        <w:tab/>
      </w:r>
      <w:r>
        <w:t>H. LEGAL</w:t>
      </w:r>
      <w:r>
        <w:tab/>
      </w:r>
      <w:r>
        <w:tab/>
      </w:r>
      <w:r>
        <w:tab/>
        <w:t>L. ROMERO REQUENA</w:t>
      </w:r>
    </w:p>
    <w:p w:rsidR="00F8672B" w:rsidRPr="006C7EB7" w:rsidRDefault="00F8672B" w:rsidP="00F8672B">
      <w:r>
        <w:t>pravni svetovalec</w:t>
      </w:r>
      <w:r>
        <w:tab/>
      </w:r>
      <w:r>
        <w:tab/>
      </w:r>
      <w:r>
        <w:tab/>
        <w:t>pravni svetovalec</w:t>
      </w:r>
      <w:r>
        <w:tab/>
      </w:r>
      <w:r>
        <w:tab/>
        <w:t>generalni direktor</w:t>
      </w:r>
    </w:p>
    <w:p w:rsidR="00605200" w:rsidRPr="00717A19" w:rsidRDefault="00605200" w:rsidP="00605200">
      <w:pPr>
        <w:pStyle w:val="Normal12"/>
      </w:pPr>
    </w:p>
    <w:p w:rsidR="00F92393" w:rsidRPr="00717A19" w:rsidRDefault="00F92393" w:rsidP="00605200">
      <w:pPr>
        <w:pStyle w:val="Normal12"/>
      </w:pPr>
    </w:p>
    <w:sectPr w:rsidR="00F92393" w:rsidRPr="00717A19" w:rsidSect="00F06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19" w:rsidRPr="00717A19" w:rsidRDefault="00717A19">
      <w:r w:rsidRPr="00717A19">
        <w:separator/>
      </w:r>
    </w:p>
  </w:endnote>
  <w:endnote w:type="continuationSeparator" w:id="0">
    <w:p w:rsidR="00717A19" w:rsidRPr="00717A19" w:rsidRDefault="00717A19">
      <w:r w:rsidRPr="00717A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C1" w:rsidRPr="00717A19" w:rsidRDefault="009A2B35">
    <w:pPr>
      <w:pStyle w:val="Footer"/>
      <w:tabs>
        <w:tab w:val="right" w:pos="9356"/>
      </w:tabs>
    </w:pPr>
    <w:fldSimple w:instr=" REF OutsideFooter ">
      <w:r w:rsidR="00E35C42" w:rsidRPr="00717A19">
        <w:t>PE</w:t>
      </w:r>
      <w:r w:rsidR="00E35C42" w:rsidRPr="00717A19">
        <w:rPr>
          <w:rStyle w:val="HideTWBExt"/>
          <w:noProof w:val="0"/>
        </w:rPr>
        <w:t>&lt;NoPE&gt;</w:t>
      </w:r>
      <w:r w:rsidR="00E35C42">
        <w:t>627.604</w:t>
      </w:r>
      <w:r w:rsidR="00E35C42" w:rsidRPr="00717A19">
        <w:rPr>
          <w:rStyle w:val="HideTWBExt"/>
          <w:noProof w:val="0"/>
        </w:rPr>
        <w:t>&lt;/NoPE&gt;&lt;Version&gt;</w:t>
      </w:r>
      <w:r w:rsidR="00E35C42" w:rsidRPr="00717A19">
        <w:t>v</w:t>
      </w:r>
      <w:r w:rsidR="00E35C42">
        <w:t>01-00</w:t>
      </w:r>
      <w:r w:rsidR="00E35C42" w:rsidRPr="00717A19">
        <w:rPr>
          <w:rStyle w:val="HideTWBExt"/>
          <w:noProof w:val="0"/>
        </w:rPr>
        <w:t>&lt;/Version&gt;</w:t>
      </w:r>
    </w:fldSimple>
    <w:r w:rsidR="003A7BC1" w:rsidRPr="00717A19">
      <w:tab/>
    </w:r>
    <w:r w:rsidR="003A7BC1" w:rsidRPr="00717A19">
      <w:fldChar w:fldCharType="begin"/>
    </w:r>
    <w:r w:rsidR="003A7BC1" w:rsidRPr="00717A19">
      <w:instrText xml:space="preserve"> PAGE </w:instrText>
    </w:r>
    <w:r w:rsidR="003A7BC1" w:rsidRPr="00717A19">
      <w:fldChar w:fldCharType="separate"/>
    </w:r>
    <w:r w:rsidR="00E35C42">
      <w:rPr>
        <w:noProof/>
      </w:rPr>
      <w:t>7</w:t>
    </w:r>
    <w:r w:rsidR="003A7BC1" w:rsidRPr="00717A19">
      <w:fldChar w:fldCharType="end"/>
    </w:r>
    <w:r w:rsidR="003A7BC1" w:rsidRPr="00717A19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35C42">
      <w:rPr>
        <w:noProof/>
      </w:rPr>
      <w:t>7</w:t>
    </w:r>
    <w:r>
      <w:rPr>
        <w:noProof/>
      </w:rPr>
      <w:fldChar w:fldCharType="end"/>
    </w:r>
    <w:r w:rsidR="003A7BC1" w:rsidRPr="00717A19">
      <w:tab/>
    </w: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E35C42" w:rsidRPr="00717A19">
      <w:rPr>
        <w:rStyle w:val="HideTWBExt"/>
        <w:noProof w:val="0"/>
      </w:rPr>
      <w:t>&lt;PathFdR&gt;</w:t>
    </w:r>
    <w:r w:rsidR="00E35C42" w:rsidRPr="00F8672B">
      <w:t>PR\1162105SL.docx</w:t>
    </w:r>
    <w:r w:rsidR="00E35C42" w:rsidRPr="00717A19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</w:p>
  <w:p w:rsidR="003A7BC1" w:rsidRPr="00717A19" w:rsidRDefault="009A2B35">
    <w:pPr>
      <w:pStyle w:val="Footer2"/>
    </w:pPr>
    <w:fldSimple w:instr=" DOCPROPERTY &quot;&lt;Extension&gt;&quot; ">
      <w:r w:rsidR="00E35C42">
        <w:t>SL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C1" w:rsidRPr="00717A19" w:rsidRDefault="009A2B35">
    <w:pPr>
      <w:pStyle w:val="Footer"/>
      <w:tabs>
        <w:tab w:val="right" w:pos="9356"/>
      </w:tabs>
    </w:pPr>
    <w:r>
      <w:rPr>
        <w:rStyle w:val="HideTWBExt"/>
        <w:noProof w:val="0"/>
      </w:rPr>
      <w:fldChar w:fldCharType="begin"/>
    </w:r>
    <w:r>
      <w:rPr>
        <w:rStyle w:val="HideTWBExt"/>
        <w:noProof w:val="0"/>
      </w:rPr>
      <w:instrText xml:space="preserve"> REF InsideFooter </w:instrText>
    </w:r>
    <w:r>
      <w:rPr>
        <w:rStyle w:val="HideTWBExt"/>
        <w:noProof w:val="0"/>
      </w:rPr>
      <w:fldChar w:fldCharType="separate"/>
    </w:r>
    <w:r w:rsidR="00E35C42" w:rsidRPr="00717A19">
      <w:rPr>
        <w:rStyle w:val="HideTWBExt"/>
        <w:noProof w:val="0"/>
      </w:rPr>
      <w:t>&lt;PathFdR&gt;</w:t>
    </w:r>
    <w:r w:rsidR="00E35C42" w:rsidRPr="00F8672B">
      <w:t>PR\1162105SL.docx</w:t>
    </w:r>
    <w:r w:rsidR="00E35C42" w:rsidRPr="00717A19">
      <w:rPr>
        <w:rStyle w:val="HideTWBExt"/>
        <w:noProof w:val="0"/>
      </w:rPr>
      <w:t>&lt;/PathFdR&gt;</w:t>
    </w:r>
    <w:r>
      <w:rPr>
        <w:rStyle w:val="HideTWBExt"/>
        <w:noProof w:val="0"/>
      </w:rPr>
      <w:fldChar w:fldCharType="end"/>
    </w:r>
    <w:r w:rsidR="003A7BC1" w:rsidRPr="00717A19">
      <w:tab/>
    </w:r>
    <w:r w:rsidR="003A7BC1" w:rsidRPr="00717A19">
      <w:fldChar w:fldCharType="begin"/>
    </w:r>
    <w:r w:rsidR="003A7BC1" w:rsidRPr="00717A19">
      <w:instrText xml:space="preserve"> PAGE </w:instrText>
    </w:r>
    <w:r w:rsidR="003A7BC1" w:rsidRPr="00717A19">
      <w:fldChar w:fldCharType="separate"/>
    </w:r>
    <w:r w:rsidR="00E35C42">
      <w:rPr>
        <w:noProof/>
      </w:rPr>
      <w:t>7</w:t>
    </w:r>
    <w:r w:rsidR="003A7BC1" w:rsidRPr="00717A19">
      <w:fldChar w:fldCharType="end"/>
    </w:r>
    <w:r w:rsidR="003A7BC1" w:rsidRPr="00717A19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35C42">
      <w:rPr>
        <w:noProof/>
      </w:rPr>
      <w:t>7</w:t>
    </w:r>
    <w:r>
      <w:rPr>
        <w:noProof/>
      </w:rPr>
      <w:fldChar w:fldCharType="end"/>
    </w:r>
    <w:r w:rsidR="003A7BC1" w:rsidRPr="00717A19">
      <w:tab/>
    </w:r>
    <w:fldSimple w:instr=" REF OutsideFooter ">
      <w:r w:rsidR="00E35C42" w:rsidRPr="00717A19">
        <w:t>PE</w:t>
      </w:r>
      <w:r w:rsidR="00E35C42" w:rsidRPr="00717A19">
        <w:rPr>
          <w:rStyle w:val="HideTWBExt"/>
          <w:noProof w:val="0"/>
        </w:rPr>
        <w:t>&lt;NoPE&gt;</w:t>
      </w:r>
      <w:r w:rsidR="00E35C42">
        <w:t>627.604</w:t>
      </w:r>
      <w:r w:rsidR="00E35C42" w:rsidRPr="00717A19">
        <w:rPr>
          <w:rStyle w:val="HideTWBExt"/>
          <w:noProof w:val="0"/>
        </w:rPr>
        <w:t>&lt;/NoPE&gt;&lt;Version&gt;</w:t>
      </w:r>
      <w:r w:rsidR="00E35C42" w:rsidRPr="00717A19">
        <w:t>v</w:t>
      </w:r>
      <w:r w:rsidR="00E35C42">
        <w:t>01-00</w:t>
      </w:r>
      <w:r w:rsidR="00E35C42" w:rsidRPr="00717A19">
        <w:rPr>
          <w:rStyle w:val="HideTWBExt"/>
          <w:noProof w:val="0"/>
        </w:rPr>
        <w:t>&lt;/Version&gt;</w:t>
      </w:r>
    </w:fldSimple>
  </w:p>
  <w:p w:rsidR="003A7BC1" w:rsidRPr="00717A19" w:rsidRDefault="003A7BC1">
    <w:pPr>
      <w:pStyle w:val="Footer2"/>
    </w:pPr>
    <w:r w:rsidRPr="00717A19">
      <w:tab/>
    </w:r>
    <w:fldSimple w:instr=" DOCPROPERTY &quot;&lt;Extension&gt;&quot; ">
      <w:r w:rsidR="00E35C42">
        <w:t>SL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C1" w:rsidRPr="00717A19" w:rsidRDefault="003A7BC1">
    <w:pPr>
      <w:pStyle w:val="Footer"/>
    </w:pPr>
    <w:bookmarkStart w:id="3" w:name="InsideFooter"/>
    <w:r w:rsidRPr="00717A19">
      <w:rPr>
        <w:rStyle w:val="HideTWBExt"/>
        <w:noProof w:val="0"/>
      </w:rPr>
      <w:t>&lt;PathFdR&gt;</w:t>
    </w:r>
    <w:r w:rsidR="00F8672B" w:rsidRPr="00F8672B">
      <w:t>PR\1162105SL.docx</w:t>
    </w:r>
    <w:r w:rsidRPr="00717A19">
      <w:rPr>
        <w:rStyle w:val="HideTWBExt"/>
        <w:noProof w:val="0"/>
      </w:rPr>
      <w:t>&lt;/PathFdR&gt;</w:t>
    </w:r>
    <w:bookmarkEnd w:id="3"/>
    <w:r w:rsidRPr="00717A19">
      <w:tab/>
    </w:r>
    <w:r w:rsidRPr="00717A19">
      <w:tab/>
    </w:r>
    <w:bookmarkStart w:id="4" w:name="OutsideFooter"/>
    <w:r w:rsidRPr="00717A19">
      <w:t>PE</w:t>
    </w:r>
    <w:r w:rsidRPr="00717A19">
      <w:rPr>
        <w:rStyle w:val="HideTWBExt"/>
        <w:noProof w:val="0"/>
      </w:rPr>
      <w:t>&lt;NoPE&gt;</w:t>
    </w:r>
    <w:r w:rsidR="00F8672B">
      <w:t>627.604</w:t>
    </w:r>
    <w:r w:rsidRPr="00717A19">
      <w:rPr>
        <w:rStyle w:val="HideTWBExt"/>
        <w:noProof w:val="0"/>
      </w:rPr>
      <w:t>&lt;/NoPE&gt;&lt;Version&gt;</w:t>
    </w:r>
    <w:r w:rsidR="00717A19" w:rsidRPr="00717A19">
      <w:t>v</w:t>
    </w:r>
    <w:r w:rsidR="00F8672B">
      <w:t>01-00</w:t>
    </w:r>
    <w:r w:rsidRPr="00717A19">
      <w:rPr>
        <w:rStyle w:val="HideTWBExt"/>
        <w:noProof w:val="0"/>
      </w:rPr>
      <w:t>&lt;/Version&gt;</w:t>
    </w:r>
    <w:bookmarkEnd w:id="4"/>
  </w:p>
  <w:p w:rsidR="003A7BC1" w:rsidRPr="00717A19" w:rsidRDefault="009A2B35" w:rsidP="005116AA">
    <w:pPr>
      <w:pStyle w:val="Footer2"/>
      <w:tabs>
        <w:tab w:val="center" w:pos="4536"/>
      </w:tabs>
    </w:pPr>
    <w:fldSimple w:instr=" DOCPROPERTY &quot;&lt;Extension&gt;&quot; ">
      <w:r w:rsidR="00E35C42">
        <w:t>SL</w:t>
      </w:r>
    </w:fldSimple>
    <w:r w:rsidR="005116AA" w:rsidRPr="00717A19">
      <w:rPr>
        <w:color w:val="C0C0C0"/>
      </w:rPr>
      <w:tab/>
    </w:r>
    <w:r w:rsidR="00F8672B">
      <w:rPr>
        <w:b w:val="0"/>
        <w:i/>
        <w:color w:val="C0C0C0"/>
        <w:sz w:val="22"/>
        <w:szCs w:val="22"/>
      </w:rPr>
      <w:t>Združena v raznolikosti</w:t>
    </w:r>
    <w:r w:rsidR="005116AA" w:rsidRPr="00717A19">
      <w:rPr>
        <w:color w:val="C0C0C0"/>
      </w:rPr>
      <w:tab/>
    </w:r>
    <w:fldSimple w:instr=" DOCPROPERTY &quot;&lt;Extension&gt;&quot; ">
      <w:r w:rsidR="00E35C42">
        <w:t>SL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19" w:rsidRPr="00717A19" w:rsidRDefault="00717A19">
      <w:r w:rsidRPr="00717A19">
        <w:separator/>
      </w:r>
    </w:p>
  </w:footnote>
  <w:footnote w:type="continuationSeparator" w:id="0">
    <w:p w:rsidR="00717A19" w:rsidRPr="00717A19" w:rsidRDefault="00717A19">
      <w:r w:rsidRPr="00717A19">
        <w:continuationSeparator/>
      </w:r>
    </w:p>
  </w:footnote>
  <w:footnote w:id="1">
    <w:p w:rsidR="00F8672B" w:rsidRDefault="00F8672B">
      <w:pPr>
        <w:pStyle w:val="FootnoteText"/>
      </w:pPr>
      <w:r>
        <w:rPr>
          <w:rStyle w:val="FootnoteReference"/>
        </w:rPr>
        <w:footnoteRef/>
      </w:r>
      <w:r>
        <w:t xml:space="preserve"> UL C 102, 4.4.1996, str. 2.</w:t>
      </w:r>
    </w:p>
  </w:footnote>
  <w:footnote w:id="2">
    <w:p w:rsidR="00F8672B" w:rsidRDefault="00F8672B" w:rsidP="00F8672B">
      <w:pPr>
        <w:pStyle w:val="FootnoteText"/>
      </w:pPr>
      <w:r>
        <w:rPr>
          <w:rStyle w:val="FootnoteReference"/>
        </w:rPr>
        <w:footnoteRef/>
      </w:r>
      <w:r>
        <w:tab/>
        <w:t>Posvetovalna skupina je svoje delo opravila na podlagi angleške različice predloga, ki je izvirna različica obravnavanega besedila.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CE" w:rsidRDefault="008A1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CE" w:rsidRDefault="008A1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CE" w:rsidRDefault="008A1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2"/>
    <w:docVar w:name="DOCDT" w:val="06/11/2018"/>
    <w:docVar w:name="DOCMNU" w:val=" 1"/>
    <w:docVar w:name="INSTITUTIONSMNU" w:val=" 2"/>
    <w:docVar w:name="LastEditedSection" w:val=" 1"/>
    <w:docVar w:name="PARLIAMENTSMNU" w:val=" 2"/>
    <w:docVar w:name="POSITIONMNU" w:val=" 1"/>
    <w:docVar w:name="strDocTypeID" w:val="PR_COD_Codification"/>
    <w:docVar w:name="strSubDir" w:val="1162"/>
    <w:docVar w:name="TXTAUTHOR" w:val="Lidia Joanna Geringer de Oedenberg"/>
    <w:docVar w:name="TXTLANGUE" w:val="SL"/>
    <w:docVar w:name="TXTLANGUEMIN" w:val="sl"/>
    <w:docVar w:name="TXTNRC" w:val="0210/2018"/>
    <w:docVar w:name="TXTNRCOD" w:val="2018/0160"/>
    <w:docVar w:name="TXTNRCOM" w:val="(2018)0316"/>
    <w:docVar w:name="TXTNRPE" w:val="627.604"/>
    <w:docVar w:name="TXTPEorAP" w:val="PE"/>
    <w:docVar w:name="TXTROUTE" w:val="PR\1162105SL.docx"/>
    <w:docVar w:name="TXTTITLE" w:val="concerning trade in certain goods which could be used for capital punishment, torture or other cruel, inhuman or degrading treatment or punishment"/>
    <w:docVar w:name="TXTVERSION" w:val="01-00"/>
  </w:docVars>
  <w:rsids>
    <w:rsidRoot w:val="00717A19"/>
    <w:rsid w:val="00004A2B"/>
    <w:rsid w:val="0004393E"/>
    <w:rsid w:val="00052539"/>
    <w:rsid w:val="00065B5C"/>
    <w:rsid w:val="001132B1"/>
    <w:rsid w:val="00127894"/>
    <w:rsid w:val="00137F52"/>
    <w:rsid w:val="00172EB5"/>
    <w:rsid w:val="001C12EE"/>
    <w:rsid w:val="00216ACD"/>
    <w:rsid w:val="00250743"/>
    <w:rsid w:val="002A50C4"/>
    <w:rsid w:val="003A7BC1"/>
    <w:rsid w:val="003B2DF1"/>
    <w:rsid w:val="003B5DAA"/>
    <w:rsid w:val="00435F6D"/>
    <w:rsid w:val="005116AA"/>
    <w:rsid w:val="00526236"/>
    <w:rsid w:val="0052648B"/>
    <w:rsid w:val="00543B7B"/>
    <w:rsid w:val="0056430C"/>
    <w:rsid w:val="005A6AB5"/>
    <w:rsid w:val="00605200"/>
    <w:rsid w:val="006C1F71"/>
    <w:rsid w:val="006F5718"/>
    <w:rsid w:val="00717A19"/>
    <w:rsid w:val="00726C00"/>
    <w:rsid w:val="007D22F9"/>
    <w:rsid w:val="007D611D"/>
    <w:rsid w:val="00835318"/>
    <w:rsid w:val="00852087"/>
    <w:rsid w:val="008A15CE"/>
    <w:rsid w:val="008B6712"/>
    <w:rsid w:val="008C7296"/>
    <w:rsid w:val="00982093"/>
    <w:rsid w:val="00995582"/>
    <w:rsid w:val="009A2B35"/>
    <w:rsid w:val="009E777A"/>
    <w:rsid w:val="00A32A5D"/>
    <w:rsid w:val="00A51111"/>
    <w:rsid w:val="00A84D11"/>
    <w:rsid w:val="00B11BA2"/>
    <w:rsid w:val="00B2208C"/>
    <w:rsid w:val="00B42C2E"/>
    <w:rsid w:val="00B85E48"/>
    <w:rsid w:val="00BC2742"/>
    <w:rsid w:val="00BD28D4"/>
    <w:rsid w:val="00BD68B3"/>
    <w:rsid w:val="00C036B7"/>
    <w:rsid w:val="00C445D9"/>
    <w:rsid w:val="00C57C01"/>
    <w:rsid w:val="00C761A2"/>
    <w:rsid w:val="00C9348F"/>
    <w:rsid w:val="00D7331C"/>
    <w:rsid w:val="00DC3DED"/>
    <w:rsid w:val="00E142AF"/>
    <w:rsid w:val="00E35C42"/>
    <w:rsid w:val="00E3705D"/>
    <w:rsid w:val="00E769EF"/>
    <w:rsid w:val="00E93ED1"/>
    <w:rsid w:val="00E9638A"/>
    <w:rsid w:val="00EA7E4A"/>
    <w:rsid w:val="00ED0821"/>
    <w:rsid w:val="00EF15FD"/>
    <w:rsid w:val="00EF63A7"/>
    <w:rsid w:val="00F06AD1"/>
    <w:rsid w:val="00F455D8"/>
    <w:rsid w:val="00F57CA1"/>
    <w:rsid w:val="00F63F81"/>
    <w:rsid w:val="00F72CA0"/>
    <w:rsid w:val="00F84E6A"/>
    <w:rsid w:val="00F8672B"/>
    <w:rsid w:val="00F8780D"/>
    <w:rsid w:val="00F92393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F0DB28"/>
  <w15:chartTrackingRefBased/>
  <w15:docId w15:val="{818F1635-1C44-488B-A903-230CA697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link w:val="PageHeadingChar"/>
    <w:pPr>
      <w:keepNext/>
      <w:jc w:val="center"/>
    </w:pPr>
    <w:rPr>
      <w:rFonts w:ascii="Arial" w:hAnsi="Arial"/>
      <w:b/>
    </w:rPr>
  </w:style>
  <w:style w:type="character" w:customStyle="1" w:styleId="PageHeadingChar">
    <w:name w:val="PageHeading Char"/>
    <w:link w:val="PageHeading"/>
    <w:rsid w:val="0056430C"/>
    <w:rPr>
      <w:rFonts w:ascii="Arial" w:hAnsi="Arial"/>
      <w:b/>
      <w:sz w:val="24"/>
      <w:lang w:val="sl-SI" w:eastAsia="en-GB" w:bidi="ar-SA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F06AD1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F57CA1"/>
    <w:pPr>
      <w:tabs>
        <w:tab w:val="left" w:pos="567"/>
      </w:tabs>
    </w:pPr>
  </w:style>
  <w:style w:type="paragraph" w:customStyle="1" w:styleId="RefProc">
    <w:name w:val="RefProc"/>
    <w:basedOn w:val="Normal"/>
    <w:rsid w:val="00726C00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Cover48">
    <w:name w:val="Cover48"/>
    <w:basedOn w:val="CoverNormal"/>
    <w:rsid w:val="00852087"/>
    <w:pPr>
      <w:spacing w:after="960"/>
    </w:p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ageHeadingCaps">
    <w:name w:val="PageHeadingCaps"/>
    <w:basedOn w:val="PageHeading"/>
    <w:next w:val="Normal"/>
    <w:link w:val="PageHeadingCapsChar"/>
    <w:rsid w:val="0056430C"/>
    <w:rPr>
      <w:caps/>
      <w:szCs w:val="24"/>
    </w:rPr>
  </w:style>
  <w:style w:type="character" w:customStyle="1" w:styleId="PageHeadingCapsChar">
    <w:name w:val="PageHeadingCaps Char"/>
    <w:link w:val="PageHeadingCaps"/>
    <w:rsid w:val="0056430C"/>
    <w:rPr>
      <w:rFonts w:ascii="Arial" w:hAnsi="Arial"/>
      <w:b/>
      <w:caps/>
      <w:sz w:val="24"/>
      <w:szCs w:val="24"/>
      <w:lang w:val="sl-SI" w:eastAsia="en-GB" w:bidi="ar-SA"/>
    </w:rPr>
  </w:style>
  <w:style w:type="paragraph" w:customStyle="1" w:styleId="NormalBoldTabs">
    <w:name w:val="NormalBoldTabs"/>
    <w:basedOn w:val="Normal"/>
    <w:rsid w:val="00065B5C"/>
    <w:pPr>
      <w:tabs>
        <w:tab w:val="right" w:pos="3686"/>
        <w:tab w:val="left" w:pos="3827"/>
      </w:tabs>
    </w:pPr>
    <w:rPr>
      <w:b/>
    </w:rPr>
  </w:style>
  <w:style w:type="paragraph" w:customStyle="1" w:styleId="AnnexDate">
    <w:name w:val="AnnexDate"/>
    <w:basedOn w:val="Normal"/>
    <w:rsid w:val="006C1F71"/>
    <w:pPr>
      <w:spacing w:before="240" w:after="240"/>
      <w:jc w:val="right"/>
    </w:pPr>
  </w:style>
  <w:style w:type="paragraph" w:customStyle="1" w:styleId="WorkingParty">
    <w:name w:val="WorkingParty"/>
    <w:basedOn w:val="Normal"/>
    <w:rsid w:val="00F72CA0"/>
    <w:rPr>
      <w:smallCaps/>
      <w:sz w:val="20"/>
    </w:rPr>
  </w:style>
  <w:style w:type="paragraph" w:customStyle="1" w:styleId="NormalCentreBold12a12b">
    <w:name w:val="NormalCentreBold12a12b"/>
    <w:basedOn w:val="Normal"/>
    <w:rsid w:val="00F72CA0"/>
    <w:pPr>
      <w:spacing w:before="240" w:after="240"/>
      <w:jc w:val="center"/>
    </w:pPr>
    <w:rPr>
      <w:b/>
    </w:rPr>
  </w:style>
  <w:style w:type="paragraph" w:customStyle="1" w:styleId="NormalBold24b">
    <w:name w:val="NormalBold24b"/>
    <w:basedOn w:val="Normal"/>
    <w:rsid w:val="00605200"/>
    <w:pPr>
      <w:spacing w:before="480"/>
    </w:pPr>
    <w:rPr>
      <w:b/>
    </w:rPr>
  </w:style>
  <w:style w:type="table" w:styleId="TableGrid">
    <w:name w:val="Table Grid"/>
    <w:basedOn w:val="TableNormal"/>
    <w:rsid w:val="0051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5116AA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5116AA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116A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F06AD1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F06AD1"/>
    <w:pPr>
      <w:jc w:val="right"/>
    </w:pPr>
  </w:style>
  <w:style w:type="paragraph" w:customStyle="1" w:styleId="Lgendesigne">
    <w:name w:val="Légende signe"/>
    <w:basedOn w:val="Normal"/>
    <w:rsid w:val="00F8672B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rsid w:val="00F8672B"/>
    <w:pPr>
      <w:spacing w:before="240" w:after="240"/>
    </w:pPr>
    <w:rPr>
      <w:b/>
      <w:i/>
      <w:snapToGrid w:val="0"/>
      <w:lang w:eastAsia="en-US"/>
    </w:rPr>
  </w:style>
  <w:style w:type="paragraph" w:styleId="FootnoteText">
    <w:name w:val="footnote text"/>
    <w:basedOn w:val="Normal"/>
    <w:link w:val="FootnoteTextChar"/>
    <w:rsid w:val="00F867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8672B"/>
    <w:rPr>
      <w:lang w:eastAsia="en-GB"/>
    </w:rPr>
  </w:style>
  <w:style w:type="character" w:styleId="FootnoteReference">
    <w:name w:val="footnote reference"/>
    <w:basedOn w:val="DefaultParagraphFont"/>
    <w:rsid w:val="00F8672B"/>
    <w:rPr>
      <w:vertAlign w:val="superscript"/>
    </w:rPr>
  </w:style>
  <w:style w:type="character" w:styleId="Strong">
    <w:name w:val="Strong"/>
    <w:uiPriority w:val="22"/>
    <w:qFormat/>
    <w:rsid w:val="00F8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6437</Characters>
  <Application>Microsoft Office Word</Application>
  <DocSecurity>0</DocSecurity>
  <Lines>221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PR_COD_Codification</vt:lpstr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PR_COD_Codification</dc:title>
  <dc:subject/>
  <dc:creator>POTOCNIK Lea</dc:creator>
  <cp:keywords/>
  <dc:description/>
  <cp:lastModifiedBy>POTOCNIK Lea</cp:lastModifiedBy>
  <cp:revision>2</cp:revision>
  <cp:lastPrinted>2004-11-04T10:10:00Z</cp:lastPrinted>
  <dcterms:created xsi:type="dcterms:W3CDTF">2018-11-16T09:59:00Z</dcterms:created>
  <dcterms:modified xsi:type="dcterms:W3CDTF">2018-11-16T09:59:00Z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1162105</vt:lpwstr>
  </property>
  <property fmtid="{D5CDD505-2E9C-101B-9397-08002B2CF9AE}" pid="5" name="&lt;Type&gt;">
    <vt:lpwstr>PR</vt:lpwstr>
  </property>
  <property fmtid="{D5CDD505-2E9C-101B-9397-08002B2CF9AE}" pid="6" name="&lt;ModelCod&gt;">
    <vt:lpwstr>\\eiciLUXpr1\pdocep$\DocEP\DOCS\General\PR\PR_Leg\COD\PR_COD_Codification.dot(30/06/2017 06:37:08)</vt:lpwstr>
  </property>
  <property fmtid="{D5CDD505-2E9C-101B-9397-08002B2CF9AE}" pid="7" name="&lt;ModelTra&gt;">
    <vt:lpwstr>\\eiciLUXpr1\pdocep$\DocEP\TRANSFIL\SL\PR_COD_Codification.SL(25/09/2018 10:44:05)</vt:lpwstr>
  </property>
  <property fmtid="{D5CDD505-2E9C-101B-9397-08002B2CF9AE}" pid="8" name="&lt;Model&gt;">
    <vt:lpwstr>PR_COD_Codification</vt:lpwstr>
  </property>
  <property fmtid="{D5CDD505-2E9C-101B-9397-08002B2CF9AE}" pid="9" name="FooterPath">
    <vt:lpwstr>PR\1162105SL.docx</vt:lpwstr>
  </property>
  <property fmtid="{D5CDD505-2E9C-101B-9397-08002B2CF9AE}" pid="10" name="PE number">
    <vt:lpwstr>627.604</vt:lpwstr>
  </property>
  <property fmtid="{D5CDD505-2E9C-101B-9397-08002B2CF9AE}" pid="11" name="Bookout">
    <vt:lpwstr>OK - 2018/11/16 10:59</vt:lpwstr>
  </property>
  <property fmtid="{D5CDD505-2E9C-101B-9397-08002B2CF9AE}" pid="12" name="SDLStudio">
    <vt:lpwstr/>
  </property>
  <property fmtid="{D5CDD505-2E9C-101B-9397-08002B2CF9AE}" pid="13" name="&lt;Extension&gt;">
    <vt:lpwstr>SL</vt:lpwstr>
  </property>
  <property fmtid="{D5CDD505-2E9C-101B-9397-08002B2CF9AE}" pid="14" name="SubscribeElise">
    <vt:lpwstr/>
  </property>
</Properties>
</file>