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trHeight w:hRule="exact" w:val="1417"/>
          <w:jc w:val="center"/>
        </w:trPr>
        <w:tc>
          <w:tcPr>
            <w:vAlign w:val="center"/>
          </w:tcPr>
          <w:p w:rsidR="00A77B3E">
            <w:pPr>
              <w:pStyle w:val="EPName"/>
            </w:pPr>
            <w:r>
              <w:t>Parlamento Europeo</w:t>
            </w:r>
          </w:p>
          <w:p>
            <w:pPr>
              <w:pStyle w:val="EPTerm"/>
            </w:pPr>
            <w:r>
              <w:t>2014-2019</w:t>
            </w:r>
          </w:p>
        </w:tc>
        <w:tc>
          <w:tcPr/>
          <w:p>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1.02pt;width:91.56pt">
                  <v:imagedata r:id="rId4" o:title=""/>
                </v:shape>
              </w:pict>
            </w:r>
          </w:p>
        </w:tc>
      </w:tr>
    </w:tbl>
    <w:p w:rsidR="00A77B3E">
      <w:pPr>
        <w:pStyle w:val="LineTop"/>
      </w:pPr>
    </w:p>
    <w:p>
      <w:pPr>
        <w:pStyle w:val="ZCommittee"/>
      </w:pPr>
      <w:r>
        <w:rPr>
          <w:rStyle w:val="HideTWBExt"/>
        </w:rPr>
        <w:t>&lt;</w:t>
      </w:r>
      <w:r>
        <w:rPr>
          <w:rStyle w:val="HideTWBExt"/>
        </w:rPr>
        <w:t>Commission</w:t>
      </w:r>
      <w:r>
        <w:rPr>
          <w:rStyle w:val="HideTWBExt"/>
        </w:rPr>
        <w:t>&gt;</w:t>
      </w:r>
      <w:r>
        <w:rPr>
          <w:rStyle w:val="HideTWBInt"/>
        </w:rPr>
        <w:t>{TRAN}</w:t>
      </w:r>
      <w:r>
        <w:t>Comisión de Transportes y Turismo</w:t>
      </w:r>
      <w:r>
        <w:rPr>
          <w:rStyle w:val="HideTWBExt"/>
        </w:rPr>
        <w:t>&lt;/</w:t>
      </w:r>
      <w:r>
        <w:rPr>
          <w:rStyle w:val="HideTWBExt"/>
        </w:rPr>
        <w:t>Commission</w:t>
      </w:r>
      <w:r>
        <w:rPr>
          <w:rStyle w:val="HideTWBExt"/>
        </w:rPr>
        <w:t>&gt;</w:t>
      </w:r>
    </w:p>
    <w:p>
      <w:pPr>
        <w:pStyle w:val="LineBottom"/>
      </w:pPr>
    </w:p>
    <w:p>
      <w:pPr>
        <w:pStyle w:val="RefProc"/>
      </w:pPr>
      <w:r>
        <w:rPr>
          <w:rStyle w:val="HideTWBExt"/>
        </w:rPr>
        <w:t>&lt;</w:t>
      </w:r>
      <w:r>
        <w:rPr>
          <w:rStyle w:val="HideTWBExt"/>
        </w:rPr>
        <w:t>RefProc</w:t>
      </w:r>
      <w:r>
        <w:rPr>
          <w:rStyle w:val="HideTWBExt"/>
        </w:rPr>
        <w:t>&gt;</w:t>
      </w:r>
      <w:r>
        <w:t>2018/2217</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(DEC)</w:t>
      </w:r>
      <w:r>
        <w:rPr>
          <w:rStyle w:val="HideTWBExt"/>
        </w:rPr>
        <w:t>&lt;/</w:t>
      </w:r>
      <w:r>
        <w:rPr>
          <w:rStyle w:val="HideTWBExt"/>
        </w:rPr>
        <w:t>RefTypeProc</w:t>
      </w:r>
      <w:r>
        <w:rPr>
          <w:rStyle w:val="HideTWBExt"/>
        </w:rPr>
        <w:t>&gt;</w:t>
      </w:r>
    </w:p>
    <w:p>
      <w:pPr>
        <w:pStyle w:val="ZDate"/>
      </w:pPr>
      <w:r>
        <w:rPr>
          <w:rStyle w:val="HideTWBExt"/>
        </w:rPr>
        <w:t>&lt;</w:t>
      </w:r>
      <w:r>
        <w:rPr>
          <w:rStyle w:val="HideTWBExt"/>
        </w:rPr>
        <w:t>Date</w:t>
      </w:r>
      <w:r>
        <w:rPr>
          <w:rStyle w:val="HideTWBExt"/>
        </w:rPr>
        <w:t>&gt;</w:t>
      </w:r>
      <w:r>
        <w:rPr>
          <w:rStyle w:val="HideTWBInt"/>
        </w:rPr>
        <w:t>{</w:t>
      </w:r>
      <w:r>
        <w:rPr>
          <w:rStyle w:val="HideTWBInt"/>
        </w:rPr>
        <w:t>13/12/2018</w:t>
      </w:r>
      <w:r>
        <w:rPr>
          <w:rStyle w:val="HideTWBInt"/>
        </w:rPr>
        <w:t>}</w:t>
      </w:r>
      <w:r>
        <w:t>13.12.2018</w:t>
      </w:r>
      <w:r>
        <w:rPr>
          <w:rStyle w:val="HideTWBExt"/>
        </w:rPr>
        <w:t>&lt;/</w:t>
      </w:r>
      <w:r>
        <w:rPr>
          <w:rStyle w:val="HideTWBExt"/>
        </w:rPr>
        <w:t>Date</w:t>
      </w:r>
      <w:r>
        <w:rPr>
          <w:rStyle w:val="HideTWBExt"/>
        </w:rPr>
        <w:t>&gt;</w:t>
      </w:r>
    </w:p>
    <w:p>
      <w:pPr>
        <w:pStyle w:val="TypeDocAM"/>
      </w:pPr>
      <w:r>
        <w:rPr>
          <w:rStyle w:val="HideTWBExt"/>
        </w:rPr>
        <w:t>&lt;</w:t>
      </w:r>
      <w:r>
        <w:rPr>
          <w:rStyle w:val="HideTWBExt"/>
        </w:rPr>
        <w:t>TypeAM</w:t>
      </w:r>
      <w:r>
        <w:rPr>
          <w:rStyle w:val="HideTWBExt"/>
        </w:rPr>
        <w:t>&gt;</w:t>
      </w:r>
      <w:r>
        <w:t>ENMIENDAS</w:t>
      </w:r>
      <w:r>
        <w:rPr>
          <w:rStyle w:val="HideTWBExt"/>
        </w:rPr>
        <w:t>&lt;/</w:t>
      </w:r>
      <w:r>
        <w:rPr>
          <w:rStyle w:val="HideTWBExt"/>
        </w:rPr>
        <w:t>TypeAM</w:t>
      </w:r>
      <w:r>
        <w:rPr>
          <w:rStyle w:val="HideTWBExt"/>
        </w:rPr>
        <w:t>&gt;</w:t>
      </w:r>
    </w:p>
    <w:p>
      <w:pPr>
        <w:pStyle w:val="NRAMS"/>
      </w:pPr>
      <w:r>
        <w:rPr>
          <w:rStyle w:val="HideTWBExt"/>
        </w:rPr>
        <w:t>&lt;</w:t>
      </w:r>
      <w:r>
        <w:rPr>
          <w:rStyle w:val="HideTWBExt"/>
        </w:rPr>
        <w:t>RangeAM</w:t>
      </w:r>
      <w:r>
        <w:rPr>
          <w:rStyle w:val="HideTWBExt"/>
        </w:rPr>
        <w:t>&gt;</w:t>
      </w:r>
      <w:r>
        <w:t>1 - 5</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Proyecto de opinión</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Innocenzo Leontini</w:t>
      </w:r>
      <w:r>
        <w:rPr>
          <w:rStyle w:val="HideTWBExt"/>
        </w:rPr>
        <w:t>&lt;/</w:t>
      </w:r>
      <w:r>
        <w:rPr>
          <w:rStyle w:val="HideTWBExt"/>
        </w:rPr>
        <w:t>Rapporteur</w:t>
      </w:r>
      <w:r>
        <w:rPr>
          <w:rStyle w:val="HideTWBExt"/>
        </w:rPr>
        <w:t>&gt;</w:t>
      </w:r>
    </w:p>
    <w:p>
      <w:pPr>
        <w:pStyle w:val="Cover24"/>
      </w:pPr>
      <w:r>
        <w:rPr>
          <w:rStyle w:val="HideTWBExt"/>
        </w:rPr>
        <w:t>&lt;</w:t>
      </w:r>
      <w:r>
        <w:rPr>
          <w:rStyle w:val="HideTWBExt"/>
        </w:rPr>
        <w:t>DocRefPE</w:t>
      </w:r>
      <w:r>
        <w:rPr>
          <w:rStyle w:val="HideTWBExt"/>
        </w:rPr>
        <w:t>&gt;</w:t>
      </w:r>
      <w:r>
        <w:t>(</w:t>
      </w:r>
      <w:r>
        <w:t>PE630.377v01-00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Aprobación de la gestión 2017: Empresa Común Shift2Rail (SHIFT2RAIL)</w:t>
      </w:r>
      <w:r>
        <w:rPr>
          <w:rStyle w:val="HideTWBExt"/>
        </w:rPr>
        <w:t>&lt;/</w:t>
      </w:r>
      <w:r>
        <w:rPr>
          <w:rStyle w:val="HideTWBExt"/>
        </w:rPr>
        <w:t>Titre</w:t>
      </w:r>
      <w:r>
        <w:rPr>
          <w:rStyle w:val="HideTWBExt"/>
        </w:rPr>
        <w:t>&gt;</w:t>
      </w:r>
    </w:p>
    <w:p>
      <w:pPr>
        <w:pStyle w:val="Cover24"/>
      </w:pPr>
      <w:r>
        <w:rPr>
          <w:rStyle w:val="HideTWBExt"/>
        </w:rPr>
        <w:t>&lt;</w:t>
      </w:r>
      <w:r>
        <w:rPr>
          <w:rStyle w:val="HideTWBExt"/>
        </w:rPr>
        <w:t>DocRef</w:t>
      </w:r>
      <w:r>
        <w:rPr>
          <w:rStyle w:val="HideTWBExt"/>
        </w:rPr>
        <w:t>&gt;</w:t>
      </w:r>
      <w:r>
        <w:t>(</w:t>
      </w:r>
      <w:r>
        <w:t>COM(2018)0521</w:t>
      </w:r>
      <w:r>
        <w:t xml:space="preserve"> – </w:t>
      </w:r>
      <w:r>
        <w:t>C8-0368/2018</w:t>
      </w:r>
      <w:r>
        <w:t xml:space="preserve"> – </w:t>
      </w:r>
      <w:r>
        <w:t>2018/2217(DEC)</w:t>
      </w:r>
      <w:r>
        <w:t>)</w:t>
      </w:r>
      <w:r>
        <w:rPr>
          <w:rStyle w:val="HideTWBExt"/>
        </w:rPr>
        <w:t>&lt;/</w:t>
      </w:r>
      <w:r>
        <w:rPr>
          <w:rStyle w:val="HideTWBExt"/>
        </w:rPr>
        <w:t>DocRef</w:t>
      </w:r>
      <w:r>
        <w:rPr>
          <w:rStyle w:val="HideTWBExt"/>
        </w:rPr>
        <w:t>&gt;</w:t>
      </w:r>
    </w:p>
    <w:p>
      <w:r>
        <w:br w:type="page"/>
      </w:r>
      <w:r>
        <w:t>AM_Com_NonLegOpinion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Enmienda</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Nicola Caputo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Proyecto de opinión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Apartado 1 bis (nuevo)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Proyecto de opinión</w:t>
            </w:r>
          </w:p>
        </w:tc>
        <w:tc>
          <w:tcPr/>
          <w:p>
            <w:pPr>
              <w:pStyle w:val="ColumnHeading"/>
            </w:pPr>
            <w:r>
              <w:t>Enmienda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bis.</w:t>
            </w:r>
            <w:r>
              <w:tab/>
            </w:r>
            <w:r>
              <w:rPr>
                <w:rFonts w:ascii="Times New Roman" w:eastAsia="Times New Roman" w:hAnsi="Times New Roman" w:cs="Times New Roman"/>
                <w:b/>
                <w:i/>
                <w:strike w:val="0"/>
                <w:color w:val="000000"/>
                <w:sz w:val="24"/>
                <w:highlight w:val="none"/>
                <w:u w:val="none" w:color="auto"/>
              </w:rPr>
              <w:t>Subraya que la investigación y la innovación en el sector ferroviario son decisivas para el desarrollo de un sector ferroviario seguro y competitivo a nivel mundial y desempeñan un papel importante para lograr una reducción significativa del coste del ciclo de vida del sistema de transporte ferroviario y para conseguir un aumento significativo de la capacidad del sistema de transporte ferroviario en cuanto a fiabilidad y puntualidad, así como para eliminar los obstáculos técnicos persistentes en materia de interoperabilidad y reducir las externalidades negativas vinculadas al transporte;</w:t>
            </w:r>
            <w:r>
              <w:t xml:space="preserve"> </w:t>
            </w:r>
            <w:r>
              <w:rPr>
                <w:rFonts w:ascii="Times New Roman" w:eastAsia="Times New Roman" w:hAnsi="Times New Roman" w:cs="Times New Roman"/>
                <w:b/>
                <w:i/>
                <w:strike w:val="0"/>
                <w:color w:val="000000"/>
                <w:sz w:val="24"/>
                <w:highlight w:val="none"/>
                <w:u w:val="none" w:color="auto"/>
              </w:rPr>
              <w:t>destaca asimismo que los objetivos de la Empresa Común S2R son lograr un espacio ferroviario europeo único y aumentar el atractivo y la competitividad del sistema ferroviario europeo;</w:t>
            </w:r>
            <w:r>
              <w:t xml:space="preserve"> </w:t>
            </w:r>
            <w:r>
              <w:rPr>
                <w:rFonts w:ascii="Times New Roman" w:eastAsia="Times New Roman" w:hAnsi="Times New Roman" w:cs="Times New Roman"/>
                <w:b/>
                <w:i/>
                <w:strike w:val="0"/>
                <w:color w:val="000000"/>
                <w:sz w:val="24"/>
                <w:highlight w:val="none"/>
                <w:u w:val="none" w:color="auto"/>
              </w:rPr>
              <w:t>subraya que es necesario dotar a la Empresa Común S2R de los recursos financieros, materiales y humanos necesarios para lograr estos objetivos clave de forma eficaz y eficiente;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Enmienda</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Nicola Caputo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Proyecto de opinión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Apartado 1 ter (nuevo)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Proyecto de opinión</w:t>
            </w:r>
          </w:p>
        </w:tc>
        <w:tc>
          <w:tcPr/>
          <w:p>
            <w:pPr>
              <w:pStyle w:val="ColumnHeading"/>
            </w:pPr>
            <w:r>
              <w:t>Enmienda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ter.</w:t>
            </w:r>
            <w:r>
              <w:tab/>
            </w:r>
            <w:r>
              <w:rPr>
                <w:rFonts w:ascii="Times New Roman" w:eastAsia="Times New Roman" w:hAnsi="Times New Roman" w:cs="Times New Roman"/>
                <w:b/>
                <w:i/>
                <w:strike w:val="0"/>
                <w:color w:val="000000"/>
                <w:sz w:val="24"/>
                <w:highlight w:val="none"/>
                <w:u w:val="none" w:color="auto"/>
              </w:rPr>
              <w:t>Recuerda que la investigación y la innovación no son un proceso aislado que utilice una simple regla de gestión de procesos;</w:t>
            </w:r>
            <w:r>
              <w:t xml:space="preserve"> </w:t>
            </w:r>
            <w:r>
              <w:rPr>
                <w:rFonts w:ascii="Times New Roman" w:eastAsia="Times New Roman" w:hAnsi="Times New Roman" w:cs="Times New Roman"/>
                <w:b/>
                <w:i/>
                <w:strike w:val="0"/>
                <w:color w:val="000000"/>
                <w:sz w:val="24"/>
                <w:highlight w:val="none"/>
                <w:u w:val="none" w:color="auto"/>
              </w:rPr>
              <w:t>subraya, por ello, que es muy importante determinar entre los proyectos de investigación e innovación cuáles pueden aportar soluciones innovadoras al mercado;</w:t>
            </w:r>
            <w:r>
              <w:t xml:space="preserve"> </w:t>
            </w:r>
            <w:r>
              <w:rPr>
                <w:rFonts w:ascii="Times New Roman" w:eastAsia="Times New Roman" w:hAnsi="Times New Roman" w:cs="Times New Roman"/>
                <w:b/>
                <w:i/>
                <w:strike w:val="0"/>
                <w:color w:val="000000"/>
                <w:sz w:val="24"/>
                <w:highlight w:val="none"/>
                <w:u w:val="none" w:color="auto"/>
              </w:rPr>
              <w:t>destaca que los cambios en el Reglamento por el que se establece la Empresa Común S2R y en sus Estatutos serán muy importantes para la evolución futura de la Empresa Común S2R con el fin de mejorar su eficacia;</w:t>
            </w:r>
            <w:r>
              <w:t xml:space="preserve"> </w:t>
            </w:r>
            <w:r>
              <w:rPr>
                <w:rFonts w:ascii="Times New Roman" w:eastAsia="Times New Roman" w:hAnsi="Times New Roman" w:cs="Times New Roman"/>
                <w:b/>
                <w:i/>
                <w:strike w:val="0"/>
                <w:color w:val="000000"/>
                <w:sz w:val="24"/>
                <w:highlight w:val="none"/>
                <w:u w:val="none" w:color="auto"/>
              </w:rPr>
              <w:t>destaca, en particular, que es necesario prever la utilización del principio de financiación plurianual y adoptar calendarios flexibles para la publicación de las propuestas de proyectos;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Enmienda</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Nicola Caputo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Proyecto de opinión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Apartado 1 quater (nuevo)</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Proyecto de opinión</w:t>
            </w:r>
          </w:p>
        </w:tc>
        <w:tc>
          <w:tcPr/>
          <w:p>
            <w:pPr>
              <w:pStyle w:val="ColumnHeading"/>
            </w:pPr>
            <w:r>
              <w:t>Enmienda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 quater.</w:t>
            </w:r>
            <w:r>
              <w:tab/>
            </w:r>
            <w:r>
              <w:rPr>
                <w:rFonts w:ascii="Times New Roman" w:eastAsia="Times New Roman" w:hAnsi="Times New Roman" w:cs="Times New Roman"/>
                <w:b/>
                <w:i/>
                <w:strike w:val="0"/>
                <w:color w:val="000000"/>
                <w:sz w:val="24"/>
                <w:highlight w:val="none"/>
                <w:u w:val="none" w:color="auto"/>
              </w:rPr>
              <w:t>Hace hincapié en la importancia de la cooperación entre la Empresa Común S2R y la Agencia Ferroviaria Europea (AFE);</w:t>
            </w:r>
            <w:r>
              <w:t xml:space="preserve"> </w:t>
            </w:r>
            <w:r>
              <w:rPr>
                <w:rFonts w:ascii="Times New Roman" w:eastAsia="Times New Roman" w:hAnsi="Times New Roman" w:cs="Times New Roman"/>
                <w:b/>
                <w:i/>
                <w:strike w:val="0"/>
                <w:color w:val="000000"/>
                <w:sz w:val="24"/>
                <w:highlight w:val="none"/>
                <w:u w:val="none" w:color="auto"/>
              </w:rPr>
              <w:t>acoge con satisfacción la participación de dicha Agencia en las reuniones del consejo de administración de la Empresa Común;</w:t>
            </w:r>
            <w:r>
              <w:t xml:space="preserve"> </w:t>
            </w:r>
            <w:r>
              <w:rPr>
                <w:rFonts w:ascii="Times New Roman" w:eastAsia="Times New Roman" w:hAnsi="Times New Roman" w:cs="Times New Roman"/>
                <w:b/>
                <w:i/>
                <w:strike w:val="0"/>
                <w:color w:val="000000"/>
                <w:sz w:val="24"/>
                <w:highlight w:val="none"/>
                <w:u w:val="none" w:color="auto"/>
              </w:rPr>
              <w:t>pide a la Empresa Común S2R que proporcione información más concreta sobre los logros más destacados de esta cooperación en su informe anual de actividades;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Enmienda</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Pavel Telička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Proyecto de opinión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Apartado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Proyecto de opinión</w:t>
            </w:r>
          </w:p>
        </w:tc>
        <w:tc>
          <w:tcPr/>
          <w:p>
            <w:pPr>
              <w:pStyle w:val="ColumnHeading"/>
            </w:pPr>
            <w:r>
              <w:t>Enmienda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Toma nota de que, en lo que respecta al presupuesto operativo, la Empresa Común S2R alcanzó un porcentaje de ejecución de los créditos de compromiso del 94 % y un porcentaje de ejecución de los créditos de pago del 79 %; observa la escasa ejecución (55,2 %) de los créditos de pago en el Título 2 (gastos administrativos) debido a la utilización de contratos marco plurianuales; lamenta que hubiera deficiencias en el proceso de planificación presupuestaria y que la Empresa Común S2R tuviera alrededor de 7,6 millones EUR sin utilizar del ejercicio anterior;</w:t>
            </w:r>
          </w:p>
        </w:tc>
        <w:tc>
          <w:tcPr/>
          <w:p>
            <w:pPr>
              <w:pStyle w:val="Normal6"/>
            </w:pPr>
            <w:r>
              <w:t>3.</w:t>
            </w:r>
            <w:r>
              <w:tab/>
            </w:r>
            <w:r>
              <w:t xml:space="preserve">Toma nota de que, en lo que respecta al presupuesto operativo, la Empresa Común S2R alcanzó un porcentaje de ejecución de los créditos de compromiso del 94 % y un porcentaje de ejecución de los créditos de pago del 79 %; </w:t>
            </w:r>
            <w:r>
              <w:rPr>
                <w:rFonts w:ascii="Times New Roman" w:eastAsia="Times New Roman" w:hAnsi="Times New Roman" w:cs="Times New Roman"/>
                <w:b/>
                <w:i/>
                <w:strike w:val="0"/>
                <w:color w:val="000000"/>
                <w:sz w:val="24"/>
                <w:highlight w:val="none"/>
                <w:u w:val="none" w:color="auto"/>
              </w:rPr>
              <w:t>toma nota de que la mayoría de los pagos efectuados por la Empresa Común en 2017 consistieron en prefinanciaciones de proyectos de Horizonte 2020 seleccionados en las convocatorias de propuestas de 2017;</w:t>
            </w:r>
            <w:r>
              <w:t xml:space="preserve"> observa la escasa ejecución (55,2 %) de los créditos de pago en el Título 2 (gastos administrativos) debido a la utilización de contratos marco plurianuales; lamenta que hubiera deficiencias en el proceso de planificación presupuestaria y que la Empresa Común S2R tuviera alrededor de 7,6 millones EUR sin utilizar del ejercicio anterior;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Enmienda</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Marie-Christine Arnautu</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Proyecto de opinión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Apartado 7</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Proyecto de opinión</w:t>
            </w:r>
          </w:p>
        </w:tc>
        <w:tc>
          <w:tcPr/>
          <w:p>
            <w:pPr>
              <w:pStyle w:val="ColumnHeading"/>
            </w:pPr>
            <w:r>
              <w:t>Enmienda</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t>Observa que, para los controles ex post de 2017, la muestra representativa de la Empresa Común S2R estaba compuesta por quince participaciones que representaban 1,3 millones EUR en términos de cofinanciación validada de la Empresa Común S2R; lamenta que no se indique ningún porcentaje de error específico en relación con las auditorías realizadas para la muestra representativa de la Empresa Común S2R;</w:t>
            </w:r>
          </w:p>
        </w:tc>
        <w:tc>
          <w:tcPr/>
          <w:p>
            <w:pPr>
              <w:pStyle w:val="Normal6"/>
            </w:pPr>
            <w:r>
              <w:t>7.</w:t>
            </w:r>
            <w:r>
              <w:tab/>
            </w:r>
            <w:r>
              <w:t xml:space="preserve">Observa que, para los controles ex post de 2017, la muestra representativa de la Empresa Común S2R estaba compuesta por quince participaciones que representaban 1,3 millones EUR en términos de cofinanciación validada de la Empresa Común S2R; lamenta </w:t>
            </w:r>
            <w:r>
              <w:rPr>
                <w:rFonts w:ascii="Times New Roman" w:eastAsia="Times New Roman" w:hAnsi="Times New Roman" w:cs="Times New Roman"/>
                <w:b/>
                <w:i/>
                <w:strike w:val="0"/>
                <w:color w:val="000000"/>
                <w:sz w:val="24"/>
                <w:highlight w:val="none"/>
                <w:u w:val="none" w:color="auto"/>
              </w:rPr>
              <w:t>la falta de transparencia que ocasiona el hecho de</w:t>
            </w:r>
            <w:r>
              <w:t xml:space="preserve"> que no se indique ningún porcentaje de error específico en relación con las auditorías realizadas para la muestra representativa de la Empresa Común S2R;</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PE</w:t>
    </w:r>
    <w:r>
      <w:rPr>
        <w:rStyle w:val="HideTWBExt"/>
      </w:rPr>
      <w:t>&lt;</w:t>
    </w:r>
    <w:r>
      <w:rPr>
        <w:rStyle w:val="HideTWBExt"/>
      </w:rPr>
      <w:t>NoPE</w:t>
    </w:r>
    <w:r>
      <w:rPr>
        <w:rStyle w:val="HideTWBExt"/>
      </w:rPr>
      <w:t>&gt;</w:t>
    </w:r>
    <w:r>
      <w:t>632.103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rPr>
        <w:rStyle w:val="HideTWBExt"/>
      </w:rPr>
      <w:t>&lt;</w:t>
    </w:r>
    <w:r>
      <w:rPr>
        <w:rStyle w:val="HideTWBExt"/>
      </w:rPr>
      <w:t>PathFdR</w:t>
    </w:r>
    <w:r>
      <w:rPr>
        <w:rStyle w:val="HideTWBExt"/>
      </w:rPr>
      <w:t>&gt;</w:t>
    </w:r>
    <w:r>
      <w:t>AM\1172246ES.docx</w:t>
    </w:r>
    <w:r>
      <w:rPr>
        <w:rStyle w:val="HideTWBExt"/>
      </w:rPr>
      <w:t>&lt;/</w:t>
    </w:r>
    <w:r>
      <w:rPr>
        <w:rStyle w:val="HideTWBExt"/>
      </w:rPr>
      <w:t>PathFdR</w:t>
    </w:r>
    <w:r>
      <w:rPr>
        <w:rStyle w:val="HideTWBExt"/>
      </w:rPr>
      <w:t>&gt;</w:t>
    </w:r>
  </w:p>
  <w:p>
    <w:pPr>
      <w:pStyle w:val="Footer2"/>
    </w:pPr>
    <w:r>
      <w: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AM\1172246ES.docx</w:t>
    </w:r>
    <w:r>
      <w:rPr>
        <w:rStyle w:val="HideTWBExt"/>
      </w:rPr>
      <w:t>&lt;/</w:t>
    </w:r>
    <w:r>
      <w:rPr>
        <w:rStyle w:val="HideTWBExt"/>
      </w:rPr>
      <w:t>PathFdR</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t>PE</w:t>
    </w:r>
    <w:r>
      <w:rPr>
        <w:rStyle w:val="HideTWBExt"/>
      </w:rPr>
      <w:t>&lt;</w:t>
    </w:r>
    <w:r>
      <w:rPr>
        <w:rStyle w:val="HideTWBExt"/>
      </w:rPr>
      <w:t>NoPE</w:t>
    </w:r>
    <w:r>
      <w:rPr>
        <w:rStyle w:val="HideTWBExt"/>
      </w:rPr>
      <w:t>&gt;</w:t>
    </w:r>
    <w:r>
      <w:t>632.103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ab/>
    </w:r>
    <w:r>
      <w:tab/>
    </w:r>
    <w:r>
      <w: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AM\1172246ES.docx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632.103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ES</w:t>
    </w:r>
    <w:r>
      <w:tab/>
    </w:r>
    <w:r>
      <w:rPr>
        <w:rStyle w:val="Footer2Middle"/>
      </w:rPr>
      <w:t>Unida en la diversidad</w:t>
    </w:r>
    <w:r>
      <w:tab/>
    </w:r>
    <w:r>
      <w:t>ES</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gruik" w:val="value of gruik"/>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248\fbidi \froman\fcharset238\fprq2 Times New Roman CE;}{\f249\fbidi \froman\fcharset204\fprq2 Times New Roman Cyr;}&#13;&#10;{\f251\fbidi \froman\fcharset161\fprq2 Times New Roman Greek;}{\f252\fbidi \froman\fcharset162\fprq2 Times New Roman Tur;}{\f253\fbidi \froman\fcharset177\fprq2 Times New Roman (Hebrew);}{\f254\fbidi \froman\fcharset178\fprq2 Times New Roman (Arabic);}&#13;&#10;{\f255\fbidi \froman\fcharset186\fprq2 Times New Roman Baltic;}{\f256\fbidi \froman\fcharset163\fprq2 Times New Roman (Vietnamese);}{\f258\fbidi \fswiss\fcharset238\fprq2 Arial CE;}{\f259\fbidi \fswiss\fcharset204\fprq2 Arial Cyr;}&#13;&#10;{\f261\fbidi \fswiss\fcharset161\fprq2 Arial Greek;}{\f262\fbidi \fswiss\fcharset162\fprq2 Arial Tur;}{\f263\fbidi \fswiss\fcharset177\fprq2 Arial (Hebrew);}{\f264\fbidi \fswiss\fcharset178\fprq2 Arial (Arabic);}&#13;&#10;{\f265\fbidi \fswiss\fcharset186\fprq2 Arial Baltic;}{\f266\fbidi \fswiss\fcharset163\fprq2 Arial (Vietnamese);}{\f588\fbidi \froman\fcharset238\fprq2 Cambria Math CE;}{\f589\fbidi \froman\fcharset204\fprq2 Cambria Math Cyr;}&#13;&#10;{\f591\fbidi \froman\fcharset161\fprq2 Cambria Math Greek;}{\f592\fbidi \froman\fcharset162\fprq2 Cambria Math Tur;}{\f595\fbidi \froman\fcharset186\fprq2 Cambria Math Baltic;}{\f596\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3105041 HideTWBExt;}{\s16\qr \li0\ri0\sb240\sa240\nowidctlpar\wrapdefault\aspalpha\aspnum\faauto\adjustright\rin0\lin0\itap0 \rtlch\fcs1 \af0\afs20\alang1025 \ltrch\fcs0 &#13;&#10;\fs24\lang1024\langfe1024\cgrid\noproof\langnp2057\langfenp2057 \sbasedon0 \snext16 \spriority0 \styrsid3105041 Olang;}{\s17\ql \li0\ri0\sa120\nowidctlpar\wrapdefault\aspalpha\aspnum\faauto\adjustright\rin0\lin0\itap0 \rtlch\fcs1 \af0\afs20\alang1025 &#13;&#10;\ltrch\fcs0 \fs24\lang1024\langfe1024\cgrid\noproof\langnp2057\langfenp2057 \sbasedon0 \snext17 \slink18 \spriority0 \styrsid3105041 Normal6;}{\*\cs18 \additive \fs24\lang1024\langfe1024\noproof\langnp2057\langfenp2057 &#13;&#10;\slink17 \slocked \spriority0 \styrsid3105041 Normal6 Char;}{\s19\ql \li0\ri0\nowidctlpar\wrapdefault\aspalpha\aspnum\faauto\adjustright\rin0\lin0\itap0 \rtlch\fcs1 \af0\afs20\alang1025 \ltrch\fcs0 &#13;&#10;\b\fs24\lang2057\langfe2057\cgrid\langnp2057\langfenp2057 \sbasedon0 \snext19 \slink20 \spriority0 \styrsid3105041 NormalBold;}{\*\cs20 \additive \b\fs24\lang2057\langfe2057\langnp2057\langfenp2057 \slink19 \slocked \spriority0 \styrsid3105041 &#13;&#10;NormalBold Char;}{\s21\qc \li0\ri0\sa240\nowidctlpar\wrapdefault\aspalpha\aspnum\faauto\adjustright\rin0\lin0\itap0 \rtlch\fcs1 \af0\afs20\alang1025 \ltrch\fcs0 \i\fs24\lang2057\langfe2057\cgrid\langnp2057\langfenp2057 &#13;&#10;\sbasedon0 \snext21 \spriority0 \styrsid3105041 ColumnHeading;}{\s22\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2 \spriority0 \styrsid3105041 AMNumberTabs;}}{\*\rsidtbl \rsid24658\rsid735077\rsid2892074\rsid3105041\rsid4666813\rsid6641733\rsid9636012\rsid11215221\rsid12154954&#13;&#10;\rsid14424199\rsid15204470\rsid15285974\rsid15950462\rsid15992473\rsid16324206\rsid16662270}{\mmathPr\mmathFont34\mbrkBin0\mbrkBinSub0\msmallFrac0\mdispDef1\mlMargin0\mrMargin0\mdefJc1\mwrapIndent1440\mintLim0\mnaryLim1}{\info{\author FELIX Karina}&#13;&#10;{\operator FELIX Karina}{\creatim\yr2015\mo5\dy8\hr15\min29}{\revtim\yr2015\mo5\dy8\hr15\min29}{\version1}{\edmins0}{\nofpages1}{\nofwords48}{\nofchars268}{\*\company European Parliament}{\nofcharsws315}{\vern49165}}{\*\xmlnstbl {\xmlns1 http://schemas.mi&#13;&#10;crosoft.com/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3105041\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5992473 \chftnsep &#13;&#10;\par }}{\*\ftnsepc \ltrpar \pard\plain \ltrpar\ql \li0\ri0\widctlpar\wrapdefault\aspalpha\aspnum\faauto\adjustright\rin0\lin0\itap0 \rtlch\fcs1 \af0\afs20\alang1025 \ltrch\fcs0 \fs24\lang2057\langfe2057\cgrid\langnp2057\langfenp2057 {\rtlch\fcs1 \af0 &#13;&#10;\ltrch\fcs0 \insrsid15992473 \chftnsepc &#13;&#10;\par }}{\*\aftnsep \ltrpar \pard\plain \ltrpar\ql \li0\ri0\widctlpar\wrapdefault\aspalpha\aspnum\faauto\adjustright\rin0\lin0\itap0 \rtlch\fcs1 \af0\afs20\alang1025 \ltrch\fcs0 \fs24\lang2057\langfe2057\cgrid\langnp2057\langfenp2057 {\rtlch\fcs1 \af0 &#13;&#10;\ltrch\fcs0 \insrsid15992473 \chftnsep &#13;&#10;\par }}{\*\aftnsepc \ltrpar \pard\plain \ltrpar\ql \li0\ri0\widctlpar\wrapdefault\aspalpha\aspnum\faauto\adjustright\rin0\lin0\itap0 \rtlch\fcs1 \af0\afs20\alang1025 \ltrch\fcs0 \fs24\lang2057\langfe2057\cgrid\langnp2057\langfenp2057 {\rtlch\fcs1 \af0 &#13;&#10;\ltrch\fcs0 \insrsid15992473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2\ql \li0\ri0\sb240\keepn\nowidctlpar\tx879\tx936\tx1021\tx1077\tx1134\tx1191\tx1247\tx1304\tx1361\tx1418\tx1474\tx1531\tx1588\tx1644\tx1701\tx1758\tx1814\tx1871\tx2070\tx2126\tx3374\tx3430\wrapdefault\aspalpha\aspnum\faauto\adjustright\rin0&#13;&#10;\lin0\itap0\pararsid13646180 \rtlch\fcs1 \af0\afs20\alang1025 \ltrch\fcs0 \b\fs24\lang2057\langfe2057\cgrid\langnp2057\langfenp2057 {\rtlch\fcs1 \af0 \ltrch\fcs0 \cs15\b0\v\f1\fs20\cf9\lang1024\langfe1024\noproof\insrsid3105041\charrsid4417459 &#13;&#10;{\*\bkmkstart restart}&lt;Amend&gt;}{\rtlch\fcs1 \af0 \ltrch\fcs0 \insrsid3105041\charrsid1799708 [ZAMENDMENT]}{\rtlch\fcs1 \af0 \ltrch\fcs0 \insrsid3105041 \tab \tab }{\rtlch\fcs1 \af0 \ltrch\fcs0 &#13;&#10;\cs15\b0\v\f1\fs20\cf9\lang1024\langfe1024\noproof\insrsid3105041\charrsid4417459 &lt;NumAm&gt;}{\rtlch\fcs1 \af0 \ltrch\fcs0 \insrsid3105041\charrsid1799708 [ZNRAM]}{\rtlch\fcs1 \af0 \ltrch\fcs0 &#13;&#10;\cs15\b0\v\f1\fs20\cf9\lang1024\langfe1024\noproof\insrsid3105041\charrsid4417459 &lt;/NumAm&gt;}{\rtlch\fcs1 \af0 \ltrch\fcs0 \insrsid3105041\charrsid4080556 &#13;&#10;\par }\pard\plain \ltrpar\s19\ql \li0\ri0\nowidctlpar\wrapdefault\aspalpha\aspnum\faauto\adjustright\rin0\lin0\itap0\pararsid3025377 \rtlch\fcs1 \af0\afs20\alang1025 \ltrch\fcs0 \b\fs24\lang2057\langfe2057\cgrid\langnp2057\langfenp2057 {\rtlch\fcs1 \af0 &#13;&#10;\ltrch\fcs0 \cs15\b0\v\f1\fs20\cf9\lang1024\langfe1024\noproof\insrsid3105041\charrsid14699840 &lt;RepeatBlock-By&gt;}{\rtlch\fcs1 \af0 \ltrch\fcs0 \lang1024\langfe1024\noproof\insrsid3105041\charrsid14699840 [RepeatMembers]}{\rtlch\fcs1 \af0 \ltrch\fcs0 &#13;&#10;\cs15\b0\v\f1\fs20\cf9\lang1024\langfe1024\noproof\insrsid3105041\charrsid14699840 &lt;Members&gt;}{\rtlch\fcs1 \af0 \ltrch\fcs0 \insrsid3105041\charrsid14699840 [ZMEMBERS]}{\rtlch\fcs1 \af0 \ltrch\fcs0 &#13;&#10;\cs15\b0\v\f1\fs20\cf9\lang1024\langfe1024\noproof\insrsid3105041\charrsid14699840 &lt;/Members&gt;}{\rtlch\fcs1 \af0 \ltrch\fcs0 \insrsid3105041\charrsid14699840 &#13;&#10;\par }\pard\plain \ltrpar\ql \li0\ri0\widctlpar\wrapdefault\aspalpha\aspnum\faauto\adjustright\rin0\lin0\itap0\pararsid3025377 \rtlch\fcs1 \af0\afs20\alang1025 \ltrch\fcs0 \fs24\lang2057\langfe2057\cgrid\langnp2057\langfenp2057 {\rtlch\fcs1 \af0 \ltrch\fcs0 &#13;&#10;\cs15\v\f1\fs20\cf9\lang1024\langfe1024\noproof\insrsid3105041\charrsid14699840 &lt;AuNomDe&gt;&lt;OptDel&gt;}{\rtlch\fcs1 \af0 \ltrch\fcs0 \insrsid3105041\charrsid14699840 [ZONBEHALF]}{\rtlch\fcs1 \af0 \ltrch\fcs0 &#13;&#10;\cs15\v\f1\fs20\cf9\lang1024\langfe1024\noproof\insrsid3105041\charrsid14699840 &lt;/OptDel&gt;&lt;/AuNomDe&gt;}{\rtlch\fcs1 \af0 \ltrch\fcs0 \insrsid3105041\charrsid14699840 &#13;&#10;\par &lt;&lt;&lt;}{\rtlch\fcs1 \af0 \ltrch\fcs0 \cs15\v\f1\fs20\cf9\lang1024\langfe1024\noproof\insrsid3105041\charrsid14699840 &lt;/RepeatBlock-By&gt;}{\rtlch\fcs1 \af0 \ltrch\fcs0 \insrsid3105041\charrsid14699840 &#13;&#10;\par }\pard\plain \ltrpar\s19\ql \li0\ri0\nowidctlpar\wrapdefault\aspalpha\aspnum\faauto\adjustright\rin0\lin0\itap0\pararsid3025377 \rtlch\fcs1 \af0\afs20\alang1025 \ltrch\fcs0 \b\fs24\lang2057\langfe2057\cgrid\langnp2057\langfenp2057 {\rtlch\fcs1 \af0 &#13;&#10;\ltrch\fcs0 \cs15\b0\v\f1\fs20\cf9\lang1024\langfe1024\noproof\insrsid3105041\charrsid4737239 &lt;DocAmend&gt;}{\rtlch\fcs1 \af0 \ltrch\fcs0 \insrsid3105041\charrsid1799708 [Z}{\rtlch\fcs1 \af0 \ltrch\fcs0 \insrsid3105041 AMDOC}{\rtlch\fcs1 \af0 \ltrch\fcs0 &#13;&#10;\insrsid3105041\charrsid1799708 ]}{\rtlch\fcs1 \af0 \ltrch\fcs0 \cs15\b0\v\f1\fs20\cf9\lang1024\langfe1024\noproof\insrsid3105041\charrsid4737239 &lt;/DocAmend&gt;}{\rtlch\fcs1 \af0 \ltrch\fcs0 \insrsid3105041\charrsid1799708 &#13;&#10;\par }\pard \ltrpar\s19\ql \li0\ri0\nowidctlpar\wrapdefault\aspalpha\aspnum\faauto\adjustright\rin0\lin0\itap0\pararsid14055546 {\rtlch\fcs1 \af0 \ltrch\fcs0 \cs15\b0\v\f1\fs20\cf9\lang1024\langfe1024\noproof\insrsid3105041\charrsid1799708 &lt;Article&gt;}{&#13;&#10;\rtlch\fcs1 \af0 \ltrch\fcs0 \insrsid3105041\charrsid1799708 [ZAMPART]}{\rtlch\fcs1 \af0 \ltrch\fcs0 \cs15\b0\v\f1\fs20\cf9\lang1024\langfe1024\noproof\insrsid3105041\charrsid1799708 &lt;/Article&gt;}{\rtlch\fcs1 \af0 \ltrch\fcs0 &#13;&#10;\insrsid3105041\charrsid1799708 &#13;&#10;\par \ltrrow}\trowd \ltrrow\ts11\trqc\trgaph340\trleft-340\trftsWidth3\trwWidth9752\trftsWidthB3\trftsWidthA3\trpaddl340\trpaddr340\trpaddfl3\trpaddfr3\tblrsid14055546\tblind0\tblindtype3 \clvertalt\clbrdrt\brdrtbl \clbrdrl\brdrtbl \clbrdrb\brdrtbl \clbrdrr&#13;&#10;\brdrtbl \cltxlrtb\clftsWidth3\clwWidth9752\clshdrawnil \cellx9412\pard\plain \ltrpar\ql \li0\ri0\keepn\widctlpar\intbl\wrapdefault\aspalpha\aspnum\faauto\adjustright\rin0\lin0\pararsid10708565 \rtlch\fcs1 \af0\afs20\alang1025 \ltrch\fcs0 &#13;&#10;\fs24\lang2057\langfe2057\cgrid\langnp2057\langfenp2057 {\rtlch\fcs1 \af0 \ltrch\fcs0 \insrsid3105041\charrsid1799708 \cell }\pard \ltrpar\ql \li0\ri0\widctlpar\intbl\wrapdefault\aspalpha\aspnum\faauto\adjustright\rin0\lin0 {\rtlch\fcs1 \af0 \ltrch\fcs0 &#13;&#10;\insrsid3105041\charrsid1799708 \trowd \ltrrow\ts11\trqc\trgaph340\trleft-340\trftsWidth3\trwWidth9752\trftsWidthB3\trftsWidthA3\trpaddl340\trpaddr340\trpaddfl3\trpaddfr3\tblrsid14055546\tblind0\tblindtype3 \clvertalt\clbrdrt\brdrtbl \clbrdrl\brdrtbl &#13;&#10;\clbrdrb\brdrtbl \clbrdrr\brdrtbl \cltxlrtb\clftsWidth3\clwWidth9752\clshdrawnil \cellx9412\row \ltrrow}\trowd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pard\plain \ltrpar&#13;&#10;\s21\qc \li0\ri0\sa240\keepn\nowidctlpar\intbl\wrapdefault\aspalpha\aspnum\faauto\adjustright\rin0\lin0\pararsid10708565 \rtlch\fcs1 \af0\afs20\alang1025 \ltrch\fcs0 \i\fs24\lang2057\langfe2057\cgrid\langnp2057\langfenp2057 {\rtlch\fcs1 \af0 \ltrch\fcs0 &#13;&#10;\insrsid3105041\charrsid1799708 [ZLEFT]\cell [ZRIGHT]\cell }\pard\plain \ltrpar\ql \li0\ri0\widctlpar\intbl\wrapdefault\aspalpha\aspnum\faauto\adjustright\rin0\lin0 \rtlch\fcs1 \af0\afs20\alang1025 \ltrch\fcs0 &#13;&#10;\fs24\lang2057\langfe2057\cgrid\langnp2057\langfenp2057 {\rtlch\fcs1 \af0 \ltrch\fcs0 \insrsid3105041\charrsid1799708 \trowd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7\ql \li0\ri0\sa120\nowidctlpar\intbl\wrapdefault\aspalpha\aspnum\faauto\adjustright\rin0\lin0\pararsid14055546 \rtlch\fcs1 \af0\afs20\alang1025 \ltrch\fcs0 \fs24\lang1024\langfe1024\cgrid\noproof\langnp2057\langfenp2057 {\rtlch\fcs1 \af0 \ltrch\fcs0 &#13;&#10;\insrsid3105041\charrsid1799708 [ZTEXTL]\cell [ZTEXTR]}{\rtlch\fcs1 \af0\afs24 \ltrch\fcs0 \insrsid3105041\charrsid1799708 \cell }\pard\plain \ltrpar\ql \li0\ri0\widctlpar\intbl\wrapdefault\aspalpha\aspnum\faauto\adjustright\rin0\lin0 \rtlch\fcs1 &#13;&#10;\af0\afs20\alang1025 \ltrch\fcs0 \fs24\lang2057\langfe2057\cgrid\langnp2057\langfenp2057 {\rtlch\fcs1 \af0 \ltrch\fcs0 \insrsid3105041\charrsid1799708 \trowd \lastrow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16\qr \li0\ri0\sb240\sa240\nowidctlpar\wrapdefault\aspalpha\aspnum\faauto\adjustright\rin0\lin0\itap0\pararsid14055546 \rtlch\fcs1 \af0\afs20\alang1025 \ltrch\fcs0 \fs24\lang1024\langfe1024\cgrid\noproof\langnp2057\langfenp2057 {\rtlch\fcs1 \af0 &#13;&#10;\ltrch\fcs0 \noproof0\insrsid3105041\charrsid1799708 Or. }{\rtlch\fcs1 \af0 \ltrch\fcs0 \cs15\v\f1\fs20\cf9\noproof0\insrsid3105041\charrsid1799708 &lt;Original&gt;}{\rtlch\fcs1 \af0 \ltrch\fcs0 \noproof0\insrsid3105041\charrsid1799708 [ZORLANG]}{\rtlch\fcs1 &#13;&#10;\af0 \ltrch\fcs0 \cs15\v\f1\fs20\cf9\noproof0\insrsid3105041\charrsid1799708 &lt;/Original&gt;}{\rtlch\fcs1 \af0 \ltrch\fcs0 \noproof0\insrsid3105041\charrsid1799708 &#13;&#10;\par }\pard\plain \ltrpar\ql \li0\ri0\widctlpar\wrapdefault\aspalpha\aspnum\faauto\adjustright\rin0\lin0\itap0\pararsid16324206 \rtlch\fcs1 \af0\afs20\alang1025 \ltrch\fcs0 \fs24\lang2057\langfe2057\cgrid\langnp2057\langfenp2057 {\rtlch\fcs1 \af0 \ltrch\fcs0 &#13;&#10;\cs15\v\f1\fs20\cf9\lang1024\langfe1024\noproof\insrsid3105041\charrsid1799708 &lt;/Amend&gt;}{\rtlch\fcs1 \af0 \ltrch\fcs0 \insrsid24658\charrsid16324206 {\*\bkmkend restart}&#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40b8&#13;&#10;880893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paragraph" w:customStyle="1" w:styleId="EPLogo">
    <w:name w:val="EPLogo"/>
    <w:basedOn w:val="Normal"/>
    <w:qFormat/>
    <w:rsid w:val="00D7732B"/>
    <w:pPr>
      <w:widowControl w:val="0"/>
      <w:jc w:val="right"/>
    </w:pPr>
    <w:rPr>
      <w:sz w:val="24"/>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6"/>
        <w:tab w:val="right" w:pos="9072"/>
      </w:tabs>
      <w:spacing w:before="0" w:after="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rsid w:val="00A801F5"/>
    <w:pPr>
      <w:tabs>
        <w:tab w:val="center" w:pos="4535"/>
        <w:tab w:val="right" w:pos="9923"/>
      </w:tabs>
      <w:spacing w:after="240"/>
      <w:ind w:left="-851"/>
    </w:pPr>
    <w:rPr>
      <w:rFonts w:ascii="Arial" w:eastAsia="Arial" w:hAnsi="Arial" w:cs="Arial"/>
      <w:b/>
      <w:color w:val="000000"/>
      <w:sz w:val="48"/>
      <w:szCs w:val="24"/>
    </w:rPr>
  </w:style>
  <w:style w:type="paragraph" w:customStyle="1" w:styleId="Footer2Landscape">
    <w:name w:val="Footer2Landscape"/>
    <w:qFormat/>
    <w:rsid w:val="00126EF9"/>
    <w:pPr>
      <w:tabs>
        <w:tab w:val="center" w:pos="4535"/>
        <w:tab w:val="center" w:pos="6804"/>
        <w:tab w:val="clear" w:pos="9923"/>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lear" w:pos="4536"/>
        <w:tab w:val="center" w:pos="6804"/>
        <w:tab w:val="clear" w:pos="9072"/>
        <w:tab w:val="center" w:pos="13608"/>
      </w:tabs>
      <w:spacing w:before="0" w:after="0"/>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sz w:val="24"/>
      <w:szCs w:val="24"/>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rsid w:val="00905F0C"/>
    <w:pPr>
      <w:spacing w:after="240"/>
      <w:jc w:val="right"/>
    </w:pPr>
    <w:rPr>
      <w:rFonts w:ascii="Arial Bold" w:eastAsia="Arial" w:hAnsi="Arial Bold" w:cs="Arial"/>
      <w:b/>
      <w:color w:val="000000"/>
      <w:sz w:val="22"/>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lt;FdR&gt;">
    <vt:lpwstr>1172246</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20190116-144008-231135-054130</vt:lpwstr>
  </property>
  <property fmtid="{D5CDD505-2E9C-101B-9397-08002B2CF9AE}" pid="7" name="FooterPath">
    <vt:lpwstr>AM\1172246ES.docx</vt:lpwstr>
  </property>
  <property fmtid="{D5CDD505-2E9C-101B-9397-08002B2CF9AE}" pid="8" name="PE Number">
    <vt:lpwstr>632.103</vt:lpwstr>
  </property>
  <property fmtid="{D5CDD505-2E9C-101B-9397-08002B2CF9AE}" pid="9" name="UID">
    <vt:lpwstr>eu.europa.europarl-DIN1-2018-0000157547_01.01-es-01.00_text-xml</vt:lpwstr>
  </property>
</Properties>
</file>