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133B5D" w14:paraId="65900AF6" w14:textId="77777777" w:rsidTr="00F26DE8">
        <w:trPr>
          <w:trHeight w:hRule="exact" w:val="1418"/>
        </w:trPr>
        <w:tc>
          <w:tcPr>
            <w:tcW w:w="6804" w:type="dxa"/>
            <w:shd w:val="clear" w:color="auto" w:fill="auto"/>
            <w:vAlign w:val="center"/>
          </w:tcPr>
          <w:p w14:paraId="43C0B6CC" w14:textId="77777777" w:rsidR="00706BC0" w:rsidRPr="00133B5D" w:rsidRDefault="00133B5D" w:rsidP="00F26DE8">
            <w:pPr>
              <w:pStyle w:val="EPName"/>
              <w:rPr>
                <w:lang w:val="en-GB"/>
              </w:rPr>
            </w:pPr>
            <w:r w:rsidRPr="00133B5D">
              <w:rPr>
                <w:lang w:val="en-GB"/>
              </w:rPr>
              <w:t>European Parliament</w:t>
            </w:r>
          </w:p>
          <w:p w14:paraId="53319620" w14:textId="77777777" w:rsidR="00706BC0" w:rsidRPr="00DC3828" w:rsidRDefault="00DC3828" w:rsidP="00DC3828">
            <w:pPr>
              <w:pStyle w:val="EPTerm"/>
              <w:rPr>
                <w:rStyle w:val="HideTWBExt"/>
                <w:noProof w:val="0"/>
                <w:vanish w:val="0"/>
                <w:color w:val="auto"/>
                <w:lang w:val="en-GB"/>
              </w:rPr>
            </w:pPr>
            <w:r>
              <w:t>2014-2019</w:t>
            </w:r>
          </w:p>
        </w:tc>
        <w:tc>
          <w:tcPr>
            <w:tcW w:w="2268" w:type="dxa"/>
            <w:shd w:val="clear" w:color="auto" w:fill="auto"/>
          </w:tcPr>
          <w:p w14:paraId="30591BE6" w14:textId="77777777" w:rsidR="00706BC0" w:rsidRPr="00133B5D" w:rsidRDefault="003423FB" w:rsidP="00F26DE8">
            <w:pPr>
              <w:pStyle w:val="EPLogo"/>
            </w:pPr>
            <w:r>
              <w:pict w14:anchorId="02D1D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62017959" w14:textId="77777777" w:rsidR="00E53167" w:rsidRPr="00133B5D" w:rsidRDefault="00E53167" w:rsidP="00E53167">
      <w:pPr>
        <w:pStyle w:val="LineTop"/>
        <w:rPr>
          <w:lang w:val="en-GB"/>
        </w:rPr>
      </w:pPr>
    </w:p>
    <w:p w14:paraId="6D994071" w14:textId="77777777" w:rsidR="00E53167" w:rsidRPr="00133B5D" w:rsidRDefault="00DC3828" w:rsidP="00E53167">
      <w:pPr>
        <w:pStyle w:val="ZSessionDoc"/>
      </w:pPr>
      <w:r>
        <w:t>Plenary sitting</w:t>
      </w:r>
    </w:p>
    <w:p w14:paraId="2B4A2B95" w14:textId="77777777" w:rsidR="00094DDA" w:rsidRPr="00133B5D" w:rsidRDefault="00094DDA" w:rsidP="00094DDA">
      <w:pPr>
        <w:pStyle w:val="LineBottom"/>
      </w:pPr>
    </w:p>
    <w:p w14:paraId="5776C8C5" w14:textId="77777777" w:rsidR="00094DDA" w:rsidRPr="00133B5D" w:rsidRDefault="00094DDA" w:rsidP="00094DDA">
      <w:pPr>
        <w:pStyle w:val="RefProc"/>
      </w:pPr>
      <w:r w:rsidRPr="00133B5D">
        <w:rPr>
          <w:rStyle w:val="HideTWBExt"/>
          <w:b w:val="0"/>
          <w:noProof w:val="0"/>
        </w:rPr>
        <w:t>&lt;NoDocSe&gt;</w:t>
      </w:r>
      <w:r w:rsidR="00DC3828">
        <w:t>B8</w:t>
      </w:r>
      <w:r w:rsidR="00DC3828">
        <w:noBreakHyphen/>
        <w:t>0093/2018</w:t>
      </w:r>
      <w:r w:rsidRPr="00133B5D">
        <w:rPr>
          <w:rStyle w:val="HideTWBExt"/>
          <w:b w:val="0"/>
          <w:noProof w:val="0"/>
        </w:rPr>
        <w:t>&lt;/NoDocSe&gt;</w:t>
      </w:r>
    </w:p>
    <w:p w14:paraId="03011F03" w14:textId="77777777" w:rsidR="00094DDA" w:rsidRPr="00133B5D" w:rsidRDefault="00094DDA" w:rsidP="00094DDA">
      <w:pPr>
        <w:pStyle w:val="ZDate"/>
      </w:pPr>
      <w:r w:rsidRPr="00133B5D">
        <w:rPr>
          <w:rStyle w:val="HideTWBExt"/>
          <w:noProof w:val="0"/>
        </w:rPr>
        <w:t>&lt;Date&gt;</w:t>
      </w:r>
      <w:r w:rsidR="00DC3828" w:rsidRPr="00DC3828">
        <w:rPr>
          <w:rStyle w:val="HideTWBInt"/>
        </w:rPr>
        <w:t>{05/02/2018}</w:t>
      </w:r>
      <w:r w:rsidR="00DC3828">
        <w:t>5.2.2018</w:t>
      </w:r>
      <w:r w:rsidRPr="00133B5D">
        <w:rPr>
          <w:rStyle w:val="HideTWBExt"/>
          <w:noProof w:val="0"/>
        </w:rPr>
        <w:t>&lt;/Date&gt;</w:t>
      </w:r>
    </w:p>
    <w:p w14:paraId="5D0F69B7" w14:textId="77777777" w:rsidR="00814BC6" w:rsidRPr="00133B5D" w:rsidRDefault="00814BC6">
      <w:pPr>
        <w:pStyle w:val="TypeDoc"/>
      </w:pPr>
      <w:r w:rsidRPr="00133B5D">
        <w:rPr>
          <w:rStyle w:val="HideTWBExt"/>
          <w:b w:val="0"/>
          <w:noProof w:val="0"/>
        </w:rPr>
        <w:t>&lt;TitreType&gt;</w:t>
      </w:r>
      <w:r w:rsidR="00DC3828">
        <w:t>MOTION FOR A RESOLUTION</w:t>
      </w:r>
      <w:r w:rsidRPr="00133B5D">
        <w:rPr>
          <w:rStyle w:val="HideTWBExt"/>
          <w:b w:val="0"/>
          <w:noProof w:val="0"/>
        </w:rPr>
        <w:t>&lt;/TitreType&gt;</w:t>
      </w:r>
    </w:p>
    <w:p w14:paraId="33577118" w14:textId="15242B3A" w:rsidR="00814BC6" w:rsidRPr="00133B5D" w:rsidRDefault="00814BC6">
      <w:pPr>
        <w:pStyle w:val="Cover12"/>
      </w:pPr>
      <w:r w:rsidRPr="00133B5D">
        <w:rPr>
          <w:rStyle w:val="HideTWBExt"/>
          <w:noProof w:val="0"/>
        </w:rPr>
        <w:t>&lt;TitreSuite&gt;</w:t>
      </w:r>
      <w:r w:rsidR="00133B5D" w:rsidRPr="00133B5D">
        <w:t xml:space="preserve">to wind up the debate on </w:t>
      </w:r>
      <w:r w:rsidR="00DC3828">
        <w:t>the statement by the Vice-President of the Commission</w:t>
      </w:r>
      <w:r w:rsidR="00B550D6">
        <w:t> </w:t>
      </w:r>
      <w:r w:rsidR="00DC3828">
        <w:t>/</w:t>
      </w:r>
      <w:r w:rsidR="00B550D6">
        <w:t> </w:t>
      </w:r>
      <w:r w:rsidR="00DC3828">
        <w:t>High Representative of the Union for Foreign Affairs and Security Policy</w:t>
      </w:r>
      <w:r w:rsidRPr="00133B5D">
        <w:rPr>
          <w:rStyle w:val="HideTWBExt"/>
          <w:noProof w:val="0"/>
        </w:rPr>
        <w:t>&lt;/TitreSuite&gt;</w:t>
      </w:r>
    </w:p>
    <w:p w14:paraId="3C9A6782" w14:textId="77777777" w:rsidR="00814BC6" w:rsidRPr="00133B5D" w:rsidRDefault="00814BC6">
      <w:pPr>
        <w:pStyle w:val="Cover12"/>
      </w:pPr>
      <w:r w:rsidRPr="00133B5D">
        <w:rPr>
          <w:rStyle w:val="HideTWBExt"/>
          <w:noProof w:val="0"/>
        </w:rPr>
        <w:t>&lt;TitreRecueil&gt;</w:t>
      </w:r>
      <w:r w:rsidR="00133B5D" w:rsidRPr="00133B5D">
        <w:t>pursuant to Rule 123(2) of the Rules of Procedure</w:t>
      </w:r>
      <w:r w:rsidRPr="00133B5D">
        <w:rPr>
          <w:rStyle w:val="HideTWBExt"/>
          <w:noProof w:val="0"/>
        </w:rPr>
        <w:t>&lt;/TitreRecueil&gt;</w:t>
      </w:r>
    </w:p>
    <w:p w14:paraId="0A81AC23" w14:textId="43A2D827" w:rsidR="00C23264" w:rsidRPr="00133B5D" w:rsidRDefault="00C23264" w:rsidP="00C23264">
      <w:pPr>
        <w:pStyle w:val="CoverNormal"/>
      </w:pPr>
      <w:r w:rsidRPr="00133B5D">
        <w:rPr>
          <w:rStyle w:val="HideTWBExt"/>
          <w:noProof w:val="0"/>
        </w:rPr>
        <w:t>&lt;Titre&gt;</w:t>
      </w:r>
      <w:r w:rsidR="00133B5D" w:rsidRPr="00133B5D">
        <w:t xml:space="preserve">on </w:t>
      </w:r>
      <w:r w:rsidR="00B550D6">
        <w:t>the s</w:t>
      </w:r>
      <w:r w:rsidR="00DC3828">
        <w:t>ituation of UNRWA</w:t>
      </w:r>
      <w:r w:rsidRPr="00133B5D">
        <w:rPr>
          <w:rStyle w:val="HideTWBExt"/>
          <w:noProof w:val="0"/>
        </w:rPr>
        <w:t>&lt;/Titre&gt;</w:t>
      </w:r>
    </w:p>
    <w:p w14:paraId="2BB58040" w14:textId="77777777" w:rsidR="00C23264" w:rsidRPr="00DC3828" w:rsidRDefault="00C23264" w:rsidP="00C23264">
      <w:pPr>
        <w:pStyle w:val="Cover24"/>
        <w:rPr>
          <w:lang w:val="es-ES"/>
        </w:rPr>
      </w:pPr>
      <w:r w:rsidRPr="00DC3828">
        <w:rPr>
          <w:rStyle w:val="HideTWBExt"/>
          <w:noProof w:val="0"/>
          <w:lang w:val="es-ES"/>
        </w:rPr>
        <w:t>&lt;DocRef&gt;</w:t>
      </w:r>
      <w:r w:rsidR="00133B5D" w:rsidRPr="00DC3828">
        <w:rPr>
          <w:lang w:val="es-ES"/>
        </w:rPr>
        <w:t>(</w:t>
      </w:r>
      <w:r w:rsidR="00DC3828" w:rsidRPr="00DC3828">
        <w:rPr>
          <w:lang w:val="es-ES"/>
        </w:rPr>
        <w:t>2018/2553</w:t>
      </w:r>
      <w:r w:rsidR="00133B5D" w:rsidRPr="00DC3828">
        <w:rPr>
          <w:lang w:val="es-ES"/>
        </w:rPr>
        <w:t>(RSP))</w:t>
      </w:r>
      <w:r w:rsidRPr="00DC3828">
        <w:rPr>
          <w:rStyle w:val="HideTWBExt"/>
          <w:noProof w:val="0"/>
          <w:lang w:val="es-ES"/>
        </w:rPr>
        <w:t>&lt;/DocRef&gt;</w:t>
      </w:r>
    </w:p>
    <w:p w14:paraId="6D05E04D" w14:textId="77777777" w:rsidR="002574AA" w:rsidRPr="00DC3828" w:rsidRDefault="002574AA" w:rsidP="002574AA">
      <w:pPr>
        <w:pStyle w:val="CoverBold"/>
        <w:rPr>
          <w:lang w:val="es-ES"/>
        </w:rPr>
      </w:pPr>
      <w:r w:rsidRPr="00DC3828">
        <w:rPr>
          <w:rStyle w:val="HideTWBExt"/>
          <w:b w:val="0"/>
          <w:noProof w:val="0"/>
          <w:lang w:val="es-ES"/>
        </w:rPr>
        <w:t>&lt;RepeatBlock-By&gt;&lt;Depute&gt;</w:t>
      </w:r>
      <w:r w:rsidR="00DC3828" w:rsidRPr="00DC3828">
        <w:rPr>
          <w:lang w:val="es-ES"/>
        </w:rPr>
        <w:t>Cristian Dan Preda, Tomáš Zdechovský, Lorenzo Cesa</w:t>
      </w:r>
      <w:r w:rsidRPr="00DC3828">
        <w:rPr>
          <w:rStyle w:val="HideTWBExt"/>
          <w:b w:val="0"/>
          <w:noProof w:val="0"/>
          <w:lang w:val="es-ES"/>
        </w:rPr>
        <w:t>&lt;/Depute&gt;</w:t>
      </w:r>
    </w:p>
    <w:p w14:paraId="157AEE00" w14:textId="77777777" w:rsidR="002574AA" w:rsidRPr="00133B5D" w:rsidRDefault="002574AA" w:rsidP="002574AA">
      <w:pPr>
        <w:pStyle w:val="CoverNormal"/>
      </w:pPr>
      <w:r w:rsidRPr="00133B5D">
        <w:rPr>
          <w:rStyle w:val="HideTWBExt"/>
          <w:noProof w:val="0"/>
        </w:rPr>
        <w:t>&lt;Commission&gt;</w:t>
      </w:r>
      <w:r w:rsidR="00DC3828" w:rsidRPr="00DC3828">
        <w:rPr>
          <w:rStyle w:val="HideTWBInt"/>
        </w:rPr>
        <w:t>{PPE}</w:t>
      </w:r>
      <w:r w:rsidR="00DC3828">
        <w:t>on behalf of the PPE Group</w:t>
      </w:r>
      <w:r w:rsidRPr="00133B5D">
        <w:rPr>
          <w:rStyle w:val="HideTWBExt"/>
          <w:noProof w:val="0"/>
        </w:rPr>
        <w:t>&lt;/Commission&gt;</w:t>
      </w:r>
    </w:p>
    <w:p w14:paraId="28092B93" w14:textId="77777777" w:rsidR="002574AA" w:rsidRPr="00133B5D" w:rsidRDefault="002574AA" w:rsidP="002574AA">
      <w:pPr>
        <w:pStyle w:val="CoverNormal"/>
      </w:pPr>
      <w:r w:rsidRPr="00133B5D">
        <w:rPr>
          <w:rStyle w:val="HideTWBExt"/>
          <w:noProof w:val="0"/>
        </w:rPr>
        <w:t>&lt;/RepeatBlock-By&gt;</w:t>
      </w:r>
    </w:p>
    <w:p w14:paraId="02D97B60" w14:textId="77777777" w:rsidR="00814BC6" w:rsidRPr="00133B5D" w:rsidRDefault="00814BC6">
      <w:pPr>
        <w:pStyle w:val="Normal12Bold"/>
      </w:pPr>
      <w:r w:rsidRPr="00133B5D">
        <w:br w:type="page"/>
      </w:r>
      <w:r w:rsidR="00DC3828">
        <w:lastRenderedPageBreak/>
        <w:t>B8</w:t>
      </w:r>
      <w:r w:rsidR="00DC3828">
        <w:noBreakHyphen/>
      </w:r>
      <w:r w:rsidR="00DC3828" w:rsidRPr="00DC3828">
        <w:t>0093/2018</w:t>
      </w:r>
    </w:p>
    <w:p w14:paraId="6C5EC499" w14:textId="594B27E8" w:rsidR="00C23264" w:rsidRPr="00133B5D" w:rsidRDefault="00133B5D" w:rsidP="00C23264">
      <w:pPr>
        <w:pStyle w:val="NormalBold"/>
      </w:pPr>
      <w:r w:rsidRPr="00133B5D">
        <w:t xml:space="preserve">European Parliament resolution on </w:t>
      </w:r>
      <w:r w:rsidR="00B550D6">
        <w:t>the s</w:t>
      </w:r>
      <w:r w:rsidR="00DC3828" w:rsidRPr="00DC3828">
        <w:t>ituation of UNRWA</w:t>
      </w:r>
    </w:p>
    <w:p w14:paraId="0AA920AB" w14:textId="77777777" w:rsidR="00C23264" w:rsidRPr="00133B5D" w:rsidRDefault="00133B5D" w:rsidP="00C23264">
      <w:pPr>
        <w:pStyle w:val="Normal24Bold"/>
      </w:pPr>
      <w:r w:rsidRPr="00133B5D">
        <w:t>(</w:t>
      </w:r>
      <w:r w:rsidR="00DC3828" w:rsidRPr="00DC3828">
        <w:t>2018/2553</w:t>
      </w:r>
      <w:r w:rsidRPr="00133B5D">
        <w:t>(RSP))</w:t>
      </w:r>
    </w:p>
    <w:p w14:paraId="1556E6B6" w14:textId="77777777" w:rsidR="00814BC6" w:rsidRPr="00133B5D" w:rsidRDefault="00133B5D">
      <w:pPr>
        <w:pStyle w:val="Normal12"/>
      </w:pPr>
      <w:r w:rsidRPr="00133B5D">
        <w:rPr>
          <w:i/>
        </w:rPr>
        <w:t>The European Parliament</w:t>
      </w:r>
      <w:r w:rsidRPr="00133B5D">
        <w:t>,</w:t>
      </w:r>
    </w:p>
    <w:p w14:paraId="7B242D89" w14:textId="77777777" w:rsidR="00B550D6" w:rsidRDefault="00B550D6" w:rsidP="00B550D6">
      <w:pPr>
        <w:pStyle w:val="Normal12Hanging"/>
      </w:pPr>
      <w:r w:rsidRPr="00133B5D">
        <w:t>–</w:t>
      </w:r>
      <w:r w:rsidRPr="00133B5D">
        <w:tab/>
      </w:r>
      <w:r>
        <w:t>having regard to its previous resolutions on the United Nations Relief and Works Agency for Palestine Refugees in the Near East (UNRWA),</w:t>
      </w:r>
    </w:p>
    <w:p w14:paraId="35F3E22C" w14:textId="41A66D81" w:rsidR="00B550D6" w:rsidRDefault="00B550D6" w:rsidP="00B550D6">
      <w:pPr>
        <w:pStyle w:val="Normal12Hanging"/>
      </w:pPr>
      <w:r>
        <w:t>–</w:t>
      </w:r>
      <w:r>
        <w:tab/>
        <w:t>having regard to UN General Assembly Resolution 302 (IV) of 8 December 1949 on assistance to Palestine refugees,</w:t>
      </w:r>
    </w:p>
    <w:p w14:paraId="68388022" w14:textId="28C3D7F7" w:rsidR="00B550D6" w:rsidRPr="00133B5D" w:rsidRDefault="00B550D6" w:rsidP="00B550D6">
      <w:pPr>
        <w:pStyle w:val="Normal12Hanging"/>
      </w:pPr>
      <w:r>
        <w:t>–</w:t>
      </w:r>
      <w:r>
        <w:tab/>
        <w:t>having regard to the Joint Declaration of the EU and UNRWA of 7 June 2017 on European Union support to UNRWA (2017-2020),</w:t>
      </w:r>
    </w:p>
    <w:p w14:paraId="5A98837F" w14:textId="77777777" w:rsidR="00B550D6" w:rsidRPr="00133B5D" w:rsidRDefault="00B550D6" w:rsidP="00B550D6">
      <w:pPr>
        <w:pStyle w:val="Normal12Hanging"/>
      </w:pPr>
      <w:r w:rsidRPr="00133B5D">
        <w:t>–</w:t>
      </w:r>
      <w:r w:rsidRPr="00133B5D">
        <w:tab/>
        <w:t>having regard to Rule 123(2) of its Rules of Procedure,</w:t>
      </w:r>
    </w:p>
    <w:p w14:paraId="4008E1D1" w14:textId="66DB3FED" w:rsidR="00DC3828" w:rsidRDefault="00814BC6" w:rsidP="00DC3828">
      <w:pPr>
        <w:pStyle w:val="Normal12Hanging"/>
      </w:pPr>
      <w:r w:rsidRPr="00133B5D">
        <w:t>A.</w:t>
      </w:r>
      <w:r w:rsidRPr="00133B5D">
        <w:tab/>
      </w:r>
      <w:r w:rsidR="00133B5D" w:rsidRPr="00133B5D">
        <w:t xml:space="preserve">whereas </w:t>
      </w:r>
      <w:r w:rsidR="00DC3828">
        <w:t>UNRWA is a United Nations agency established by the General Assembly in 1949 and mandated to provide assistance and protection to some 5 million registered Palestine refugees; whereas UNRWA</w:t>
      </w:r>
      <w:r w:rsidR="003423FB">
        <w:t>’</w:t>
      </w:r>
      <w:r w:rsidR="00FA2F58">
        <w:t>s</w:t>
      </w:r>
      <w:r w:rsidR="00DC3828">
        <w:t xml:space="preserve"> services encompass education, health care, relief and social services, camp infrastructure and improvement, protection and microfinance;</w:t>
      </w:r>
    </w:p>
    <w:p w14:paraId="2FCBE77E" w14:textId="54BB11E0" w:rsidR="00DC3828" w:rsidRDefault="00DC3828" w:rsidP="00DC3828">
      <w:pPr>
        <w:pStyle w:val="Normal12Hanging"/>
      </w:pPr>
      <w:r>
        <w:t>B.</w:t>
      </w:r>
      <w:r>
        <w:tab/>
      </w:r>
      <w:bookmarkStart w:id="0" w:name="_GoBack"/>
      <w:r>
        <w:t xml:space="preserve">whereas the </w:t>
      </w:r>
      <w:r w:rsidR="00FA2F58">
        <w:t>s</w:t>
      </w:r>
      <w:r>
        <w:t xml:space="preserve">pokesperson of the </w:t>
      </w:r>
      <w:r w:rsidR="00FA2F58">
        <w:t xml:space="preserve">US </w:t>
      </w:r>
      <w:r>
        <w:t xml:space="preserve">State Department stated on 16 January 2018 that the United States </w:t>
      </w:r>
      <w:r w:rsidR="00FA2F58">
        <w:t xml:space="preserve">had </w:t>
      </w:r>
      <w:r>
        <w:t xml:space="preserve">committed a voluntary contribution of </w:t>
      </w:r>
      <w:r w:rsidR="00FA2F58">
        <w:t>USD </w:t>
      </w:r>
      <w:r>
        <w:t xml:space="preserve">60 million to UNRWA for 2018; whereas the remaining </w:t>
      </w:r>
      <w:r w:rsidR="00FA2F58">
        <w:t>USD </w:t>
      </w:r>
      <w:r>
        <w:t>65 million is suspended; whereas</w:t>
      </w:r>
      <w:r w:rsidR="00FA2F58">
        <w:t>,</w:t>
      </w:r>
      <w:r>
        <w:t xml:space="preserve"> according to the </w:t>
      </w:r>
      <w:r w:rsidR="00FA2F58">
        <w:t>s</w:t>
      </w:r>
      <w:r>
        <w:t>pokesperson</w:t>
      </w:r>
      <w:r w:rsidR="00FA2F58">
        <w:t>,</w:t>
      </w:r>
      <w:r>
        <w:t xml:space="preserve"> the United States would like to see some revisions made </w:t>
      </w:r>
      <w:r w:rsidR="00FA2F58">
        <w:t xml:space="preserve">to </w:t>
      </w:r>
      <w:r>
        <w:t xml:space="preserve">how UNRWA operates; whereas the Unites States has voiced the need for UNRWA to seek out new voluntary funding streams and </w:t>
      </w:r>
      <w:r w:rsidR="00FA2F58">
        <w:t xml:space="preserve">to </w:t>
      </w:r>
      <w:r>
        <w:t>increase burden-sharing among its donors; whereas the United States is the largest single-country donor to UNRWA;</w:t>
      </w:r>
      <w:bookmarkEnd w:id="0"/>
    </w:p>
    <w:p w14:paraId="3C7C9B13" w14:textId="53646080" w:rsidR="00DC3828" w:rsidRDefault="00DC3828" w:rsidP="00DC3828">
      <w:pPr>
        <w:pStyle w:val="Normal12Hanging"/>
      </w:pPr>
      <w:r>
        <w:t>C.</w:t>
      </w:r>
      <w:r>
        <w:tab/>
        <w:t xml:space="preserve">whereas the </w:t>
      </w:r>
      <w:r w:rsidR="00FA2F58">
        <w:t>USD </w:t>
      </w:r>
      <w:r>
        <w:t xml:space="preserve">60 million provided to the </w:t>
      </w:r>
      <w:r w:rsidR="00FA2F58" w:rsidRPr="00FA2F58">
        <w:t xml:space="preserve">UNRWA Programme Budget </w:t>
      </w:r>
      <w:r>
        <w:t>went to help</w:t>
      </w:r>
      <w:r w:rsidR="00FA2F58">
        <w:t>ing</w:t>
      </w:r>
      <w:r>
        <w:t xml:space="preserve"> </w:t>
      </w:r>
      <w:r w:rsidR="00FA2F58">
        <w:t xml:space="preserve">to </w:t>
      </w:r>
      <w:r>
        <w:t xml:space="preserve">sustain schools and health services by ensuring </w:t>
      </w:r>
      <w:r w:rsidR="00FA2F58">
        <w:t xml:space="preserve">that </w:t>
      </w:r>
      <w:r>
        <w:t>teachers</w:t>
      </w:r>
      <w:r w:rsidR="003423FB">
        <w:t>’</w:t>
      </w:r>
      <w:r>
        <w:t xml:space="preserve"> and healthcare providers</w:t>
      </w:r>
      <w:r w:rsidR="003423FB">
        <w:t>’</w:t>
      </w:r>
      <w:r>
        <w:t xml:space="preserve"> salaries continue through UNRWA</w:t>
      </w:r>
      <w:r w:rsidR="003423FB">
        <w:t>’</w:t>
      </w:r>
      <w:r>
        <w:t>s operations in Jordan</w:t>
      </w:r>
      <w:r w:rsidR="00FA2F58">
        <w:t>,</w:t>
      </w:r>
      <w:r>
        <w:t xml:space="preserve"> the West Bank and Gaza;</w:t>
      </w:r>
    </w:p>
    <w:p w14:paraId="1355FAA0" w14:textId="182D12D7" w:rsidR="00DC3828" w:rsidRDefault="00DC3828" w:rsidP="00DC3828">
      <w:pPr>
        <w:pStyle w:val="Normal12Hanging"/>
      </w:pPr>
      <w:r>
        <w:t>D.</w:t>
      </w:r>
      <w:r>
        <w:tab/>
        <w:t xml:space="preserve">whereas the UNRWA Commissioner-General stated on 17 January 2018 that UNRWA faces a formidable challenge in upholding its mandate and preserving key services </w:t>
      </w:r>
      <w:r w:rsidR="00FA2F58">
        <w:t xml:space="preserve">such as </w:t>
      </w:r>
      <w:r>
        <w:t xml:space="preserve">education and health care for Palestine </w:t>
      </w:r>
      <w:r w:rsidR="00FA2F58">
        <w:t>r</w:t>
      </w:r>
      <w:r>
        <w:t>efugees;</w:t>
      </w:r>
    </w:p>
    <w:p w14:paraId="647C93FB" w14:textId="139820D3" w:rsidR="00DC3828" w:rsidRDefault="00DC3828" w:rsidP="00DC3828">
      <w:pPr>
        <w:pStyle w:val="Normal12Hanging"/>
      </w:pPr>
      <w:r>
        <w:t>E.</w:t>
      </w:r>
      <w:r>
        <w:tab/>
        <w:t xml:space="preserve">whereas the </w:t>
      </w:r>
      <w:r w:rsidR="00FA2F58">
        <w:t>Vice-President of the Commission / </w:t>
      </w:r>
      <w:r>
        <w:t xml:space="preserve">High Representative of the Union for Foreign Affairs </w:t>
      </w:r>
      <w:r w:rsidR="00FA2F58">
        <w:t>and</w:t>
      </w:r>
      <w:r>
        <w:t xml:space="preserve"> Security Policy recognised </w:t>
      </w:r>
      <w:r w:rsidR="00FA2F58">
        <w:t xml:space="preserve">on 7 June 2017 </w:t>
      </w:r>
      <w:r>
        <w:t xml:space="preserve">the essential role of the </w:t>
      </w:r>
      <w:r w:rsidR="00FA2F58">
        <w:t>a</w:t>
      </w:r>
      <w:r>
        <w:t>gency in the Middle East</w:t>
      </w:r>
      <w:r w:rsidR="00FA2F58">
        <w:t>:</w:t>
      </w:r>
      <w:r>
        <w:t xml:space="preserve"> </w:t>
      </w:r>
      <w:r w:rsidR="003423FB">
        <w:t>‘</w:t>
      </w:r>
      <w:r>
        <w:t>With its tireless work, UNRWA keeps supporting Palestine refugees, providing education, promoting socio-economic development and stability in the Middle East,</w:t>
      </w:r>
      <w:r w:rsidR="003423FB">
        <w:t>’</w:t>
      </w:r>
      <w:r>
        <w:t xml:space="preserve"> she said. </w:t>
      </w:r>
      <w:r w:rsidR="003423FB">
        <w:t>‘</w:t>
      </w:r>
      <w:r>
        <w:t>The international support is key to UNRWA: the European Union will keep investing in one of the pillars of its Middle East peace policy.</w:t>
      </w:r>
      <w:r w:rsidR="003423FB">
        <w:t>’</w:t>
      </w:r>
      <w:r>
        <w:t>;</w:t>
      </w:r>
    </w:p>
    <w:p w14:paraId="1A45E571" w14:textId="7CCF6B13" w:rsidR="00814BC6" w:rsidRPr="00133B5D" w:rsidRDefault="00DC3828" w:rsidP="00DC3828">
      <w:pPr>
        <w:pStyle w:val="Normal12Hanging"/>
      </w:pPr>
      <w:r>
        <w:t>F.</w:t>
      </w:r>
      <w:r>
        <w:tab/>
        <w:t xml:space="preserve">whereas on 31 January 2018 the Commission adopted a new </w:t>
      </w:r>
      <w:r w:rsidR="00FA2F58">
        <w:t>EUR </w:t>
      </w:r>
      <w:r>
        <w:t xml:space="preserve">42.5 million assistance package benefiting Palestinians, including substantial support in East </w:t>
      </w:r>
      <w:r>
        <w:lastRenderedPageBreak/>
        <w:t xml:space="preserve">Jerusalem; whereas </w:t>
      </w:r>
      <w:r w:rsidR="00FA2F58">
        <w:t>EUR </w:t>
      </w:r>
      <w:r>
        <w:t>107 million was also provided to UNRWA; whereas the European Union is the second largest donor to UNRWA;</w:t>
      </w:r>
    </w:p>
    <w:p w14:paraId="067FF10D" w14:textId="229C1450" w:rsidR="00DC3828" w:rsidRDefault="00814BC6" w:rsidP="00DC3828">
      <w:pPr>
        <w:pStyle w:val="Normal12Hanging"/>
      </w:pPr>
      <w:r w:rsidRPr="00133B5D">
        <w:t>1.</w:t>
      </w:r>
      <w:r w:rsidRPr="00133B5D">
        <w:tab/>
      </w:r>
      <w:r w:rsidR="00DC3828">
        <w:t>Stresses that UNRWA</w:t>
      </w:r>
      <w:r w:rsidR="003423FB">
        <w:t>’</w:t>
      </w:r>
      <w:r w:rsidR="00DC3828">
        <w:t>s work helps ensure that the essential needs for the well-being, protection and human development of Palestine refugees are met within its five fields of operation;</w:t>
      </w:r>
    </w:p>
    <w:p w14:paraId="754F40C2" w14:textId="75E725FC" w:rsidR="00DC3828" w:rsidRDefault="00DC3828" w:rsidP="00DC3828">
      <w:pPr>
        <w:pStyle w:val="Normal12Hanging"/>
      </w:pPr>
      <w:r>
        <w:t>2.</w:t>
      </w:r>
      <w:r>
        <w:tab/>
        <w:t>Expresses its concern at UNWRA</w:t>
      </w:r>
      <w:r w:rsidR="003423FB">
        <w:t>’</w:t>
      </w:r>
      <w:r>
        <w:t xml:space="preserve">s funding crisis; urges all donors to </w:t>
      </w:r>
      <w:r w:rsidR="00FA2F58">
        <w:t>honour</w:t>
      </w:r>
      <w:r>
        <w:t xml:space="preserve"> their promises to the </w:t>
      </w:r>
      <w:r w:rsidR="00FA2F58">
        <w:t>a</w:t>
      </w:r>
      <w:r>
        <w:t>gency;</w:t>
      </w:r>
    </w:p>
    <w:p w14:paraId="7C7445CA" w14:textId="7F2D81B2" w:rsidR="00DC3828" w:rsidRDefault="00DC3828" w:rsidP="00DC3828">
      <w:pPr>
        <w:pStyle w:val="Normal12Hanging"/>
      </w:pPr>
      <w:r>
        <w:t>3</w:t>
      </w:r>
      <w:r>
        <w:tab/>
        <w:t xml:space="preserve">Notes that the </w:t>
      </w:r>
      <w:r w:rsidR="00FA2F58">
        <w:t>EU</w:t>
      </w:r>
      <w:r>
        <w:t xml:space="preserve"> is committed to continu</w:t>
      </w:r>
      <w:r w:rsidR="00FA2F58">
        <w:t>ing to</w:t>
      </w:r>
      <w:r>
        <w:t xml:space="preserve"> assist UNRWA in securing financial resources to enable the </w:t>
      </w:r>
      <w:r w:rsidR="00FA2F58">
        <w:t>a</w:t>
      </w:r>
      <w:r>
        <w:t>gency to support Palestine refugees; underlines that the EU will essentially contribute to the funding of quality education for 500</w:t>
      </w:r>
      <w:r w:rsidR="00FA2F58">
        <w:t> </w:t>
      </w:r>
      <w:r>
        <w:t>000 children, primary health care for more than 3.5 million patients and assistance to over 250</w:t>
      </w:r>
      <w:r w:rsidR="00FA2F58">
        <w:t> </w:t>
      </w:r>
      <w:r>
        <w:t>000 acutely vulnerable Palestine refugees;</w:t>
      </w:r>
    </w:p>
    <w:p w14:paraId="13A64534" w14:textId="0FD597BB" w:rsidR="00DC3828" w:rsidRDefault="00DC3828" w:rsidP="00DC3828">
      <w:pPr>
        <w:pStyle w:val="Normal12Hanging"/>
      </w:pPr>
      <w:r>
        <w:t>4.</w:t>
      </w:r>
      <w:r>
        <w:tab/>
        <w:t xml:space="preserve">Welcomes the fact that UNRWA </w:t>
      </w:r>
      <w:r w:rsidR="00FA2F58">
        <w:t xml:space="preserve">intends </w:t>
      </w:r>
      <w:r>
        <w:t>to sustain internal measures aimed at containing costs and achieving further efficiency gains while pursuing other areas where efficiencies may be possible;</w:t>
      </w:r>
    </w:p>
    <w:p w14:paraId="6CB9A83D" w14:textId="4F5E07EE" w:rsidR="00DC3828" w:rsidRDefault="00DC3828" w:rsidP="00DC3828">
      <w:pPr>
        <w:pStyle w:val="Normal12Hanging"/>
      </w:pPr>
      <w:r>
        <w:t>5.</w:t>
      </w:r>
      <w:r>
        <w:tab/>
        <w:t xml:space="preserve">Welcomes the </w:t>
      </w:r>
      <w:r w:rsidR="00FA2F58">
        <w:t>agency</w:t>
      </w:r>
      <w:r w:rsidR="003423FB">
        <w:t>’</w:t>
      </w:r>
      <w:r w:rsidR="00FA2F58">
        <w:t xml:space="preserve">s </w:t>
      </w:r>
      <w:r>
        <w:t>commitment to continu</w:t>
      </w:r>
      <w:r w:rsidR="00FA2F58">
        <w:t>ing</w:t>
      </w:r>
      <w:r>
        <w:t xml:space="preserve"> reform efforts aimed at improving its management structures and towards enhanced transparency, accountability and internal oversight; stresses that these efforts are of paramount importance in order to ensure that EU funds are used for their intended purposes and for advancing the objectives of peace in the Middle East; points out the need for enhanced controls that would prevent the misuse of UNWRA</w:t>
      </w:r>
      <w:r w:rsidR="003423FB">
        <w:t>’</w:t>
      </w:r>
      <w:r>
        <w:t xml:space="preserve">s EU-funded facilities by Hamas; </w:t>
      </w:r>
    </w:p>
    <w:p w14:paraId="29782FE3" w14:textId="49AF168C" w:rsidR="00814BC6" w:rsidRPr="00133B5D" w:rsidRDefault="00DC3828" w:rsidP="00DC3828">
      <w:pPr>
        <w:pStyle w:val="Normal12Hanging"/>
      </w:pPr>
      <w:r>
        <w:t>6.</w:t>
      </w:r>
      <w:r>
        <w:tab/>
        <w:t>Instructs its President to forward this resolution to the Council, the Commission, the Vice‑President of the Commission</w:t>
      </w:r>
      <w:r w:rsidR="00FA2F58">
        <w:t> </w:t>
      </w:r>
      <w:r>
        <w:t>/</w:t>
      </w:r>
      <w:r w:rsidR="00FA2F58">
        <w:t> </w:t>
      </w:r>
      <w:r>
        <w:t xml:space="preserve">High Representative </w:t>
      </w:r>
      <w:r w:rsidR="00FA2F58">
        <w:t xml:space="preserve">of the Union </w:t>
      </w:r>
      <w:r>
        <w:t>for Foreign Affairs and Security Policy, the US Administration and Congress and the Commissioner-General of the UN Relief and Works Agency</w:t>
      </w:r>
      <w:r w:rsidR="00FA2F58">
        <w:t xml:space="preserve"> </w:t>
      </w:r>
      <w:r w:rsidR="00FA2F58" w:rsidRPr="00FA2F58">
        <w:t>for Palestine Refugees in the Near East</w:t>
      </w:r>
      <w:r>
        <w:t>.</w:t>
      </w:r>
    </w:p>
    <w:sectPr w:rsidR="00814BC6" w:rsidRPr="00133B5D"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26FB" w14:textId="77777777" w:rsidR="00133B5D" w:rsidRPr="00133B5D" w:rsidRDefault="00133B5D">
      <w:r w:rsidRPr="00133B5D">
        <w:separator/>
      </w:r>
    </w:p>
  </w:endnote>
  <w:endnote w:type="continuationSeparator" w:id="0">
    <w:p w14:paraId="2C09E1A1" w14:textId="77777777" w:rsidR="00133B5D" w:rsidRPr="00133B5D" w:rsidRDefault="00133B5D">
      <w:r w:rsidRPr="00133B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6AA4" w14:textId="04043A8C" w:rsidR="00A90219" w:rsidRPr="000954D4" w:rsidRDefault="000954D4">
    <w:pPr>
      <w:pStyle w:val="Footer"/>
      <w:tabs>
        <w:tab w:val="right" w:pos="9356"/>
      </w:tabs>
      <w:rPr>
        <w:lang w:val="fr-FR"/>
      </w:rPr>
    </w:pPr>
    <w:r>
      <w:fldChar w:fldCharType="begin"/>
    </w:r>
    <w:r w:rsidRPr="000954D4">
      <w:rPr>
        <w:lang w:val="fr-FR"/>
      </w:rPr>
      <w:instrText xml:space="preserve"> REF OutsideFooter </w:instrText>
    </w:r>
    <w:r>
      <w:fldChar w:fldCharType="separate"/>
    </w:r>
    <w:r w:rsidR="003423FB" w:rsidRPr="000954D4">
      <w:rPr>
        <w:lang w:val="fr-FR"/>
      </w:rPr>
      <w:t>PE</w:t>
    </w:r>
    <w:r w:rsidR="003423FB" w:rsidRPr="000954D4">
      <w:rPr>
        <w:rStyle w:val="HideTWBExt"/>
        <w:noProof w:val="0"/>
        <w:lang w:val="fr-FR"/>
      </w:rPr>
      <w:t>&lt;NoPE&gt;</w:t>
    </w:r>
    <w:r w:rsidR="003423FB" w:rsidRPr="000954D4">
      <w:rPr>
        <w:lang w:val="fr-FR"/>
      </w:rPr>
      <w:t>614.402</w:t>
    </w:r>
    <w:r w:rsidR="003423FB" w:rsidRPr="000954D4">
      <w:rPr>
        <w:rStyle w:val="HideTWBExt"/>
        <w:noProof w:val="0"/>
        <w:lang w:val="fr-FR"/>
      </w:rPr>
      <w:t>&lt;/NoPE&gt;&lt;Version&gt;</w:t>
    </w:r>
    <w:r w:rsidR="003423FB" w:rsidRPr="000954D4">
      <w:rPr>
        <w:lang w:val="fr-FR"/>
      </w:rPr>
      <w:t>v01-00</w:t>
    </w:r>
    <w:r w:rsidR="003423FB" w:rsidRPr="000954D4">
      <w:rPr>
        <w:rStyle w:val="HideTWBExt"/>
        <w:noProof w:val="0"/>
        <w:lang w:val="fr-FR"/>
      </w:rPr>
      <w:t>&lt;/Version&gt;</w:t>
    </w:r>
    <w:r>
      <w:rPr>
        <w:rStyle w:val="HideTWBExt"/>
        <w:noProof w:val="0"/>
      </w:rPr>
      <w:fldChar w:fldCharType="end"/>
    </w:r>
    <w:r w:rsidR="00A90219" w:rsidRPr="000954D4">
      <w:rPr>
        <w:lang w:val="fr-FR"/>
      </w:rPr>
      <w:tab/>
    </w:r>
    <w:r w:rsidR="00A90219" w:rsidRPr="00133B5D">
      <w:fldChar w:fldCharType="begin"/>
    </w:r>
    <w:r w:rsidR="00A90219" w:rsidRPr="000954D4">
      <w:rPr>
        <w:lang w:val="fr-FR"/>
      </w:rPr>
      <w:instrText xml:space="preserve"> PAGE </w:instrText>
    </w:r>
    <w:r w:rsidR="00A90219" w:rsidRPr="00133B5D">
      <w:fldChar w:fldCharType="separate"/>
    </w:r>
    <w:r w:rsidR="003423FB">
      <w:rPr>
        <w:noProof/>
        <w:lang w:val="fr-FR"/>
      </w:rPr>
      <w:t>2</w:t>
    </w:r>
    <w:r w:rsidR="00A90219" w:rsidRPr="00133B5D">
      <w:fldChar w:fldCharType="end"/>
    </w:r>
    <w:r w:rsidR="00A90219" w:rsidRPr="000954D4">
      <w:rPr>
        <w:lang w:val="fr-FR"/>
      </w:rPr>
      <w:t>/</w:t>
    </w:r>
    <w:r>
      <w:fldChar w:fldCharType="begin"/>
    </w:r>
    <w:r w:rsidRPr="000954D4">
      <w:rPr>
        <w:lang w:val="fr-FR"/>
      </w:rPr>
      <w:instrText xml:space="preserve"> NUMPAGES </w:instrText>
    </w:r>
    <w:r>
      <w:fldChar w:fldCharType="separate"/>
    </w:r>
    <w:r w:rsidR="003423FB">
      <w:rPr>
        <w:noProof/>
        <w:lang w:val="fr-FR"/>
      </w:rPr>
      <w:t>3</w:t>
    </w:r>
    <w:r>
      <w:rPr>
        <w:noProof/>
      </w:rPr>
      <w:fldChar w:fldCharType="end"/>
    </w:r>
    <w:r w:rsidR="00A90219" w:rsidRPr="000954D4">
      <w:rPr>
        <w:lang w:val="fr-FR"/>
      </w:rPr>
      <w:tab/>
    </w:r>
    <w:r>
      <w:fldChar w:fldCharType="begin"/>
    </w:r>
    <w:r w:rsidRPr="000954D4">
      <w:rPr>
        <w:lang w:val="fr-FR"/>
      </w:rPr>
      <w:instrText xml:space="preserve"> REF InsideFooter </w:instrText>
    </w:r>
    <w:r>
      <w:fldChar w:fldCharType="separate"/>
    </w:r>
    <w:r w:rsidR="003423FB" w:rsidRPr="000954D4">
      <w:rPr>
        <w:rStyle w:val="HideTWBExt"/>
        <w:noProof w:val="0"/>
        <w:lang w:val="fr-FR"/>
      </w:rPr>
      <w:t>&lt;PathFdR&gt;</w:t>
    </w:r>
    <w:r w:rsidR="003423FB" w:rsidRPr="000954D4">
      <w:rPr>
        <w:lang w:val="fr-FR"/>
      </w:rPr>
      <w:t>RE\1145279EN.docx</w:t>
    </w:r>
    <w:r w:rsidR="003423FB" w:rsidRPr="000954D4">
      <w:rPr>
        <w:rStyle w:val="HideTWBExt"/>
        <w:noProof w:val="0"/>
        <w:lang w:val="fr-FR"/>
      </w:rPr>
      <w:t>&lt;/PathFdR&gt;</w:t>
    </w:r>
    <w:r>
      <w:rPr>
        <w:rStyle w:val="HideTWBExt"/>
        <w:noProof w:val="0"/>
      </w:rPr>
      <w:fldChar w:fldCharType="end"/>
    </w:r>
  </w:p>
  <w:p w14:paraId="6561CBF9" w14:textId="72B10F5A" w:rsidR="00A90219" w:rsidRPr="000954D4" w:rsidRDefault="000954D4">
    <w:pPr>
      <w:pStyle w:val="Footer2"/>
      <w:rPr>
        <w:lang w:val="fr-FR"/>
      </w:rPr>
    </w:pPr>
    <w:r>
      <w:fldChar w:fldCharType="begin"/>
    </w:r>
    <w:r w:rsidRPr="000954D4">
      <w:rPr>
        <w:lang w:val="fr-FR"/>
      </w:rPr>
      <w:instrText xml:space="preserve"> DOCPROPERTY "&lt;Extension&gt;" </w:instrText>
    </w:r>
    <w:r>
      <w:fldChar w:fldCharType="separate"/>
    </w:r>
    <w:r w:rsidR="003423FB">
      <w:rPr>
        <w:lang w:val="fr-FR"/>
      </w:rP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E09A" w14:textId="1E03FEE2" w:rsidR="00A90219" w:rsidRPr="000954D4" w:rsidRDefault="000954D4">
    <w:pPr>
      <w:pStyle w:val="Footer"/>
      <w:tabs>
        <w:tab w:val="right" w:pos="9356"/>
      </w:tabs>
      <w:rPr>
        <w:lang w:val="fr-FR"/>
      </w:rPr>
    </w:pPr>
    <w:r>
      <w:fldChar w:fldCharType="begin"/>
    </w:r>
    <w:r w:rsidRPr="000954D4">
      <w:rPr>
        <w:lang w:val="fr-FR"/>
      </w:rPr>
      <w:instrText xml:space="preserve"> REF InsideFooter </w:instrText>
    </w:r>
    <w:r>
      <w:fldChar w:fldCharType="separate"/>
    </w:r>
    <w:r w:rsidR="003423FB" w:rsidRPr="000954D4">
      <w:rPr>
        <w:rStyle w:val="HideTWBExt"/>
        <w:noProof w:val="0"/>
        <w:lang w:val="fr-FR"/>
      </w:rPr>
      <w:t>&lt;PathFdR&gt;</w:t>
    </w:r>
    <w:r w:rsidR="003423FB" w:rsidRPr="000954D4">
      <w:rPr>
        <w:lang w:val="fr-FR"/>
      </w:rPr>
      <w:t>RE\1145279EN.docx</w:t>
    </w:r>
    <w:r w:rsidR="003423FB" w:rsidRPr="000954D4">
      <w:rPr>
        <w:rStyle w:val="HideTWBExt"/>
        <w:noProof w:val="0"/>
        <w:lang w:val="fr-FR"/>
      </w:rPr>
      <w:t>&lt;/PathFdR&gt;</w:t>
    </w:r>
    <w:r>
      <w:rPr>
        <w:rStyle w:val="HideTWBExt"/>
        <w:noProof w:val="0"/>
      </w:rPr>
      <w:fldChar w:fldCharType="end"/>
    </w:r>
    <w:r w:rsidR="00A90219" w:rsidRPr="000954D4">
      <w:rPr>
        <w:lang w:val="fr-FR"/>
      </w:rPr>
      <w:tab/>
    </w:r>
    <w:r w:rsidR="00A90219" w:rsidRPr="00133B5D">
      <w:fldChar w:fldCharType="begin"/>
    </w:r>
    <w:r w:rsidR="00A90219" w:rsidRPr="000954D4">
      <w:rPr>
        <w:lang w:val="fr-FR"/>
      </w:rPr>
      <w:instrText xml:space="preserve"> PAGE </w:instrText>
    </w:r>
    <w:r w:rsidR="00A90219" w:rsidRPr="00133B5D">
      <w:fldChar w:fldCharType="separate"/>
    </w:r>
    <w:r w:rsidR="003423FB">
      <w:rPr>
        <w:noProof/>
        <w:lang w:val="fr-FR"/>
      </w:rPr>
      <w:t>3</w:t>
    </w:r>
    <w:r w:rsidR="00A90219" w:rsidRPr="00133B5D">
      <w:fldChar w:fldCharType="end"/>
    </w:r>
    <w:r w:rsidR="00A90219" w:rsidRPr="000954D4">
      <w:rPr>
        <w:lang w:val="fr-FR"/>
      </w:rPr>
      <w:t>/</w:t>
    </w:r>
    <w:r>
      <w:fldChar w:fldCharType="begin"/>
    </w:r>
    <w:r w:rsidRPr="000954D4">
      <w:rPr>
        <w:lang w:val="fr-FR"/>
      </w:rPr>
      <w:instrText xml:space="preserve"> NUMPAGES </w:instrText>
    </w:r>
    <w:r>
      <w:fldChar w:fldCharType="separate"/>
    </w:r>
    <w:r w:rsidR="003423FB">
      <w:rPr>
        <w:noProof/>
        <w:lang w:val="fr-FR"/>
      </w:rPr>
      <w:t>3</w:t>
    </w:r>
    <w:r>
      <w:rPr>
        <w:noProof/>
      </w:rPr>
      <w:fldChar w:fldCharType="end"/>
    </w:r>
    <w:r w:rsidR="00A90219" w:rsidRPr="000954D4">
      <w:rPr>
        <w:lang w:val="fr-FR"/>
      </w:rPr>
      <w:tab/>
    </w:r>
    <w:r>
      <w:fldChar w:fldCharType="begin"/>
    </w:r>
    <w:r w:rsidRPr="000954D4">
      <w:rPr>
        <w:lang w:val="fr-FR"/>
      </w:rPr>
      <w:instrText xml:space="preserve"> REF OutsideFooter </w:instrText>
    </w:r>
    <w:r>
      <w:fldChar w:fldCharType="separate"/>
    </w:r>
    <w:r w:rsidR="003423FB" w:rsidRPr="000954D4">
      <w:rPr>
        <w:lang w:val="fr-FR"/>
      </w:rPr>
      <w:t>PE</w:t>
    </w:r>
    <w:r w:rsidR="003423FB" w:rsidRPr="000954D4">
      <w:rPr>
        <w:rStyle w:val="HideTWBExt"/>
        <w:noProof w:val="0"/>
        <w:lang w:val="fr-FR"/>
      </w:rPr>
      <w:t>&lt;NoPE&gt;</w:t>
    </w:r>
    <w:r w:rsidR="003423FB" w:rsidRPr="000954D4">
      <w:rPr>
        <w:lang w:val="fr-FR"/>
      </w:rPr>
      <w:t>614.402</w:t>
    </w:r>
    <w:r w:rsidR="003423FB" w:rsidRPr="000954D4">
      <w:rPr>
        <w:rStyle w:val="HideTWBExt"/>
        <w:noProof w:val="0"/>
        <w:lang w:val="fr-FR"/>
      </w:rPr>
      <w:t>&lt;/NoPE&gt;&lt;Version&gt;</w:t>
    </w:r>
    <w:r w:rsidR="003423FB" w:rsidRPr="000954D4">
      <w:rPr>
        <w:lang w:val="fr-FR"/>
      </w:rPr>
      <w:t>v01-00</w:t>
    </w:r>
    <w:r w:rsidR="003423FB" w:rsidRPr="000954D4">
      <w:rPr>
        <w:rStyle w:val="HideTWBExt"/>
        <w:noProof w:val="0"/>
        <w:lang w:val="fr-FR"/>
      </w:rPr>
      <w:t>&lt;/Version&gt;</w:t>
    </w:r>
    <w:r>
      <w:rPr>
        <w:rStyle w:val="HideTWBExt"/>
        <w:noProof w:val="0"/>
      </w:rPr>
      <w:fldChar w:fldCharType="end"/>
    </w:r>
  </w:p>
  <w:p w14:paraId="155350C9" w14:textId="63258DC5" w:rsidR="00A90219" w:rsidRPr="00133B5D" w:rsidRDefault="00A90219">
    <w:pPr>
      <w:pStyle w:val="Footer2"/>
    </w:pPr>
    <w:r w:rsidRPr="000954D4">
      <w:rPr>
        <w:lang w:val="fr-FR"/>
      </w:rPr>
      <w:tab/>
    </w:r>
    <w:fldSimple w:instr=" DOCPROPERTY &quot;&lt;Extension&gt;&quot; ">
      <w:r w:rsidR="003423FB">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558F" w14:textId="77777777" w:rsidR="00A90219" w:rsidRPr="000954D4" w:rsidRDefault="00A90219">
    <w:pPr>
      <w:pStyle w:val="Footer"/>
      <w:rPr>
        <w:lang w:val="fr-FR"/>
      </w:rPr>
    </w:pPr>
    <w:bookmarkStart w:id="1" w:name="InsideFooter"/>
    <w:r w:rsidRPr="000954D4">
      <w:rPr>
        <w:rStyle w:val="HideTWBExt"/>
        <w:noProof w:val="0"/>
        <w:lang w:val="fr-FR"/>
      </w:rPr>
      <w:t>&lt;PathFdR&gt;</w:t>
    </w:r>
    <w:r w:rsidR="00DC3828" w:rsidRPr="000954D4">
      <w:rPr>
        <w:lang w:val="fr-FR"/>
      </w:rPr>
      <w:t>RE\1145279EN.docx</w:t>
    </w:r>
    <w:r w:rsidRPr="000954D4">
      <w:rPr>
        <w:rStyle w:val="HideTWBExt"/>
        <w:noProof w:val="0"/>
        <w:lang w:val="fr-FR"/>
      </w:rPr>
      <w:t>&lt;/PathFdR&gt;</w:t>
    </w:r>
    <w:bookmarkEnd w:id="1"/>
    <w:r w:rsidRPr="000954D4">
      <w:rPr>
        <w:lang w:val="fr-FR"/>
      </w:rPr>
      <w:tab/>
    </w:r>
    <w:r w:rsidRPr="000954D4">
      <w:rPr>
        <w:lang w:val="fr-FR"/>
      </w:rPr>
      <w:tab/>
    </w:r>
    <w:bookmarkStart w:id="2" w:name="OutsideFooter"/>
    <w:r w:rsidRPr="000954D4">
      <w:rPr>
        <w:lang w:val="fr-FR"/>
      </w:rPr>
      <w:t>PE</w:t>
    </w:r>
    <w:r w:rsidRPr="000954D4">
      <w:rPr>
        <w:rStyle w:val="HideTWBExt"/>
        <w:noProof w:val="0"/>
        <w:lang w:val="fr-FR"/>
      </w:rPr>
      <w:t>&lt;NoPE&gt;</w:t>
    </w:r>
    <w:r w:rsidR="00DC3828" w:rsidRPr="000954D4">
      <w:rPr>
        <w:lang w:val="fr-FR"/>
      </w:rPr>
      <w:t>614.402</w:t>
    </w:r>
    <w:r w:rsidRPr="000954D4">
      <w:rPr>
        <w:rStyle w:val="HideTWBExt"/>
        <w:noProof w:val="0"/>
        <w:lang w:val="fr-FR"/>
      </w:rPr>
      <w:t>&lt;/NoPE&gt;&lt;Version&gt;</w:t>
    </w:r>
    <w:r w:rsidR="00133B5D" w:rsidRPr="000954D4">
      <w:rPr>
        <w:lang w:val="fr-FR"/>
      </w:rPr>
      <w:t>v</w:t>
    </w:r>
    <w:r w:rsidR="00DC3828" w:rsidRPr="000954D4">
      <w:rPr>
        <w:lang w:val="fr-FR"/>
      </w:rPr>
      <w:t>01-00</w:t>
    </w:r>
    <w:r w:rsidRPr="000954D4">
      <w:rPr>
        <w:rStyle w:val="HideTWBExt"/>
        <w:noProof w:val="0"/>
        <w:lang w:val="fr-FR"/>
      </w:rPr>
      <w:t>&lt;/Version&gt;</w:t>
    </w:r>
    <w:bookmarkEnd w:id="2"/>
  </w:p>
  <w:p w14:paraId="00330859" w14:textId="56C09776" w:rsidR="00A90219" w:rsidRPr="00133B5D" w:rsidRDefault="000954D4" w:rsidP="00907285">
    <w:pPr>
      <w:pStyle w:val="Footer2"/>
      <w:tabs>
        <w:tab w:val="center" w:pos="4536"/>
      </w:tabs>
    </w:pPr>
    <w:fldSimple w:instr=" DOCPROPERTY &quot;&lt;Extension&gt;&quot; ">
      <w:r w:rsidR="003423FB">
        <w:t>EN</w:t>
      </w:r>
    </w:fldSimple>
    <w:r w:rsidR="00A90219" w:rsidRPr="00133B5D">
      <w:rPr>
        <w:color w:val="C0C0C0"/>
      </w:rPr>
      <w:tab/>
    </w:r>
    <w:r w:rsidR="00DC3828">
      <w:rPr>
        <w:b w:val="0"/>
        <w:i/>
        <w:color w:val="C0C0C0"/>
        <w:sz w:val="22"/>
        <w:szCs w:val="22"/>
      </w:rPr>
      <w:t>United in diversity</w:t>
    </w:r>
    <w:r w:rsidR="00A90219" w:rsidRPr="00133B5D">
      <w:rPr>
        <w:color w:val="C0C0C0"/>
      </w:rPr>
      <w:tab/>
    </w:r>
    <w:fldSimple w:instr=" DOCPROPERTY &quot;&lt;Extension&gt;&quot; ">
      <w:r w:rsidR="003423FB">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8881" w14:textId="77777777" w:rsidR="00133B5D" w:rsidRPr="00133B5D" w:rsidRDefault="00133B5D">
      <w:r w:rsidRPr="00133B5D">
        <w:separator/>
      </w:r>
    </w:p>
  </w:footnote>
  <w:footnote w:type="continuationSeparator" w:id="0">
    <w:p w14:paraId="0988CB99" w14:textId="77777777" w:rsidR="00133B5D" w:rsidRPr="00133B5D" w:rsidRDefault="00133B5D">
      <w:r w:rsidRPr="00133B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C68B" w14:textId="77777777" w:rsidR="003423FB" w:rsidRDefault="00342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09B9" w14:textId="77777777" w:rsidR="003423FB" w:rsidRDefault="00342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1746" w14:textId="77777777" w:rsidR="003423FB" w:rsidRDefault="0034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45"/>
    <w:docVar w:name="TXTLANGUE" w:val="EN"/>
    <w:docVar w:name="TXTLANGUEMIN" w:val="en"/>
    <w:docVar w:name="TXTNRB" w:val="0093/2018"/>
    <w:docVar w:name="TXTNRPE" w:val="614.402"/>
    <w:docVar w:name="TXTNRRSP" w:val="2018/2553"/>
    <w:docVar w:name="TXTPEorAP" w:val="PE"/>
    <w:docVar w:name="TXTROUTE" w:val="RE\1145279EN.docx"/>
    <w:docVar w:name="TXTTITLE" w:val="on Situation of UNRWA"/>
    <w:docVar w:name="TXTVERSION" w:val="01-00"/>
  </w:docVars>
  <w:rsids>
    <w:rsidRoot w:val="00133B5D"/>
    <w:rsid w:val="00037F46"/>
    <w:rsid w:val="00094DDA"/>
    <w:rsid w:val="000954D4"/>
    <w:rsid w:val="00133B5D"/>
    <w:rsid w:val="00150C6C"/>
    <w:rsid w:val="001B49A3"/>
    <w:rsid w:val="001C62C5"/>
    <w:rsid w:val="002574AA"/>
    <w:rsid w:val="002C7767"/>
    <w:rsid w:val="00303413"/>
    <w:rsid w:val="003423FB"/>
    <w:rsid w:val="003772FA"/>
    <w:rsid w:val="0058312A"/>
    <w:rsid w:val="00706BC0"/>
    <w:rsid w:val="00723A0B"/>
    <w:rsid w:val="00780A7D"/>
    <w:rsid w:val="00814BC6"/>
    <w:rsid w:val="008A4052"/>
    <w:rsid w:val="00907285"/>
    <w:rsid w:val="00A90219"/>
    <w:rsid w:val="00B34A46"/>
    <w:rsid w:val="00B550D6"/>
    <w:rsid w:val="00C23264"/>
    <w:rsid w:val="00CC09D8"/>
    <w:rsid w:val="00D12F64"/>
    <w:rsid w:val="00D90D37"/>
    <w:rsid w:val="00DC3828"/>
    <w:rsid w:val="00E45159"/>
    <w:rsid w:val="00E53167"/>
    <w:rsid w:val="00E75231"/>
    <w:rsid w:val="00F26DE8"/>
    <w:rsid w:val="00F4455A"/>
    <w:rsid w:val="00F959BA"/>
    <w:rsid w:val="00FA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D8202"/>
  <w15:chartTrackingRefBased/>
  <w15:docId w15:val="{97A2B51E-1F9F-44FD-98B7-69C816B5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DC3828"/>
    <w:rPr>
      <w:sz w:val="16"/>
      <w:szCs w:val="16"/>
    </w:rPr>
  </w:style>
  <w:style w:type="paragraph" w:styleId="CommentText">
    <w:name w:val="annotation text"/>
    <w:basedOn w:val="Normal"/>
    <w:link w:val="CommentTextChar"/>
    <w:rsid w:val="00DC3828"/>
    <w:rPr>
      <w:sz w:val="20"/>
    </w:rPr>
  </w:style>
  <w:style w:type="character" w:customStyle="1" w:styleId="CommentTextChar">
    <w:name w:val="Comment Text Char"/>
    <w:basedOn w:val="DefaultParagraphFont"/>
    <w:link w:val="CommentText"/>
    <w:rsid w:val="00DC3828"/>
  </w:style>
  <w:style w:type="paragraph" w:styleId="CommentSubject">
    <w:name w:val="annotation subject"/>
    <w:basedOn w:val="CommentText"/>
    <w:next w:val="CommentText"/>
    <w:link w:val="CommentSubjectChar"/>
    <w:rsid w:val="00DC3828"/>
    <w:rPr>
      <w:b/>
      <w:bCs/>
    </w:rPr>
  </w:style>
  <w:style w:type="character" w:customStyle="1" w:styleId="CommentSubjectChar">
    <w:name w:val="Comment Subject Char"/>
    <w:basedOn w:val="CommentTextChar"/>
    <w:link w:val="CommentSubject"/>
    <w:rsid w:val="00DC3828"/>
    <w:rPr>
      <w:b/>
      <w:bCs/>
    </w:rPr>
  </w:style>
  <w:style w:type="paragraph" w:styleId="BalloonText">
    <w:name w:val="Balloon Text"/>
    <w:basedOn w:val="Normal"/>
    <w:link w:val="BalloonTextChar"/>
    <w:rsid w:val="00DC3828"/>
    <w:rPr>
      <w:rFonts w:ascii="Segoe UI" w:hAnsi="Segoe UI" w:cs="Segoe UI"/>
      <w:sz w:val="18"/>
      <w:szCs w:val="18"/>
    </w:rPr>
  </w:style>
  <w:style w:type="character" w:customStyle="1" w:styleId="BalloonTextChar">
    <w:name w:val="Balloon Text Char"/>
    <w:basedOn w:val="DefaultParagraphFont"/>
    <w:link w:val="BalloonText"/>
    <w:rsid w:val="00DC3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4324</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DREGGS Steve</cp:lastModifiedBy>
  <cp:revision>2</cp:revision>
  <cp:lastPrinted>2004-11-19T15:55:00Z</cp:lastPrinted>
  <dcterms:created xsi:type="dcterms:W3CDTF">2018-02-06T14:12:00Z</dcterms:created>
  <dcterms:modified xsi:type="dcterms:W3CDTF">2018-02-06T14:12:00Z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1145279</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RE\1145279EN.docx</vt:lpwstr>
  </property>
  <property fmtid="{D5CDD505-2E9C-101B-9397-08002B2CF9AE}" pid="11" name="PE number">
    <vt:lpwstr>614.402</vt:lpwstr>
  </property>
  <property fmtid="{D5CDD505-2E9C-101B-9397-08002B2CF9AE}" pid="12" name="Bookout">
    <vt:lpwstr>OK - 2018/02/06 15:12</vt:lpwstr>
  </property>
  <property fmtid="{D5CDD505-2E9C-101B-9397-08002B2CF9AE}" pid="13" name="SubscribeElise">
    <vt:lpwstr/>
  </property>
</Properties>
</file>