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 Id="rId4" Type="http://purl.oclc.org/ooxml/officeDocument/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p>
      <w:pPr>
        <w:pStyle w:val="Nomdelinstitution"/>
      </w:pPr>
      <w:r>
        <w:rPr>
          <w:rStyle w:val="HideTWBExt"/>
          <w:lang w:val="sv-SE"/>
        </w:rPr>
        <w:t>&lt;EntPE&gt;</w:t>
      </w:r>
      <w:r>
        <w:t>EUROPAPARLAMENTET</w:t>
      </w:r>
      <w:r>
        <w:rPr>
          <w:rStyle w:val="HideTWBExt"/>
          <w:lang w:val="sv-SE"/>
        </w:rPr>
        <w:t>&lt;/EntPE&gt;</w:t>
      </w:r>
    </w:p>
    <w:tbl>
      <w:tblP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
      <w:tblGrid>
        <w:gridCol w:w="2356"/>
        <w:gridCol w:w="1612"/>
        <w:gridCol w:w="2373"/>
      </w:tblGrid>
      <w:tr>
        <w:tblPrEx>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Ex>
        <w:trPr>
          <w:cantSplit/>
        </w:trPr>
        <w:tc>
          <w:tcPr>
            <w:tcW w:w="117.8pt" w:type="dxa"/>
            <w:vAlign w:val="center"/>
          </w:tcPr>
          <w:p>
            <w:pPr>
              <w:pStyle w:val="Priodelgislative"/>
            </w:pPr>
            <w:r>
              <w:t>1999</w:t>
            </w:r>
          </w:p>
        </w:tc>
        <w:tc>
          <w:tcPr>
            <w:tcW w:w="80.6pt" w:type="dxa"/>
            <w:vAlign w:val="center"/>
          </w:tcPr>
          <w:p>
            <w:pPr>
              <w:pStyle w:val="Priodelgislative"/>
            </w:pPr>
            <w:r>
              <w:drawing>
                <wp:inline distT="0" distB="0" distL="0" distR="0">
                  <wp:extent cx="860301" cy="573697"/>
                  <wp:effectExtent l="0" t="0" r="0" b="0"/>
                  <wp:docPr id="1025" name="Image 1025" descr="C:\DATA\MAIL\Stars.wm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293215476" name="Image 1025" descr="C:\DATA\MAIL\Stars.wmf"/>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860301" cy="573697"/>
                          </a:xfrm>
                          <a:prstGeom prst="rect">
                            <a:avLst/>
                          </a:prstGeom>
                          <a:noFill/>
                          <a:ln>
                            <a:noFill/>
                          </a:ln>
                        </pic:spPr>
                      </pic:pic>
                    </a:graphicData>
                  </a:graphic>
                </wp:inline>
              </w:drawing>
            </w:r>
          </w:p>
        </w:tc>
        <w:tc>
          <w:tcPr>
            <w:tcW w:w="118.65pt" w:type="dxa"/>
            <w:vAlign w:val="center"/>
          </w:tcPr>
          <w:p>
            <w:pPr>
              <w:pStyle w:val="Priodelgislative"/>
            </w:pPr>
            <w:r>
              <w:t>2004</w:t>
            </w:r>
          </w:p>
        </w:tc>
      </w:tr>
    </w:tbl>
    <w:p>
      <w:pPr>
        <w:pStyle w:val="Familledocument"/>
      </w:pPr>
      <w:r>
        <w:t>Plenarhandling</w:t>
      </w:r>
    </w:p>
    <w:p>
      <w:pPr>
        <w:pStyle w:val="Rfrencestatut"/>
      </w:pPr>
      <w:r>
        <w:rPr>
          <w:rStyle w:val="HideTWBExt"/>
          <w:lang w:val="sv-SE"/>
        </w:rPr>
        <w:t>&lt;</w:t>
      </w:r>
      <w:r>
        <w:rPr>
          <w:rStyle w:val="HideTWBExt"/>
          <w:caps/>
          <w:lang w:val="sv-SE"/>
        </w:rPr>
        <w:t>RefStatus</w:t>
      </w:r>
      <w:r>
        <w:rPr>
          <w:rStyle w:val="HideTWBExt"/>
          <w:lang w:val="sv-SE"/>
        </w:rPr>
        <w:t>&gt;</w:t>
      </w:r>
      <w:r>
        <w:t>SLUTLIG VERSION</w:t>
      </w:r>
      <w:r>
        <w:rPr>
          <w:rStyle w:val="HideTWBExt"/>
          <w:lang w:val="sv-SE"/>
        </w:rPr>
        <w:t>&lt;/</w:t>
      </w:r>
      <w:r>
        <w:rPr>
          <w:rStyle w:val="HideTWBExt"/>
          <w:caps/>
          <w:lang w:val="sv-SE"/>
        </w:rPr>
        <w:t>RefStatus</w:t>
      </w:r>
      <w:r>
        <w:rPr>
          <w:rStyle w:val="HideTWBExt"/>
          <w:lang w:val="sv-SE"/>
        </w:rPr>
        <w:t>&gt;</w:t>
      </w:r>
    </w:p>
    <w:p>
      <w:pPr>
        <w:pStyle w:val="Rfrencelgislativeunique"/>
      </w:pPr>
      <w:r>
        <w:rPr>
          <w:rStyle w:val="HideTWBInt"/>
        </w:rPr>
        <w:t>&lt;NoDocSe&gt;</w:t>
      </w:r>
      <w:r>
        <w:t>A5-0016/2003</w:t>
      </w:r>
      <w:r>
        <w:rPr>
          <w:rStyle w:val="HideTWBInt"/>
        </w:rPr>
        <w:t>&lt;/NoDocSe&gt;</w:t>
      </w:r>
    </w:p>
    <w:p>
      <w:pPr>
        <w:pStyle w:val="Rfrencelgislativeunique"/>
      </w:pPr>
      <w:r>
        <w:rPr>
          <w:rStyle w:val="HideTWBExt"/>
          <w:lang w:val="sv-SE"/>
        </w:rPr>
        <w:t>&lt;</w:t>
      </w:r>
      <w:r>
        <w:rPr>
          <w:rStyle w:val="HideTWBExt"/>
          <w:caps w:val="0"/>
          <w:lang w:val="sv-SE"/>
        </w:rPr>
        <w:t>RefVer</w:t>
      </w:r>
      <w:r>
        <w:rPr>
          <w:rStyle w:val="HideTWBExt"/>
          <w:lang w:val="sv-SE"/>
        </w:rPr>
        <w:t>&gt;&lt;/</w:t>
      </w:r>
      <w:r>
        <w:rPr>
          <w:rStyle w:val="HideTWBExt"/>
          <w:caps w:val="0"/>
          <w:lang w:val="sv-SE"/>
        </w:rPr>
        <w:t>RefVer</w:t>
      </w:r>
      <w:r>
        <w:rPr>
          <w:rStyle w:val="HideTWBExt"/>
          <w:lang w:val="sv-SE"/>
        </w:rPr>
        <w:t>&gt;</w:t>
      </w:r>
    </w:p>
    <w:p>
      <w:pPr>
        <w:pStyle w:val="Emission"/>
      </w:pPr>
      <w:r>
        <w:rPr>
          <w:rStyle w:val="HideTWBExt"/>
          <w:lang w:val="sv-SE"/>
        </w:rPr>
        <w:t>&lt;Date&gt;</w:t>
      </w:r>
      <w:r>
        <w:rPr>
          <w:rStyle w:val="HideTWBInt"/>
        </w:rPr>
        <w:t>{27/01/2003}</w:t>
      </w:r>
      <w:r>
        <w:t>27 januari 2003</w:t>
      </w:r>
      <w:r>
        <w:rPr>
          <w:rStyle w:val="HideTWBExt"/>
          <w:lang w:val="sv-SE"/>
        </w:rPr>
        <w:t>&lt;/Date&gt;</w:t>
      </w:r>
    </w:p>
    <w:p>
      <w:pPr>
        <w:pStyle w:val="Typedudocument"/>
      </w:pPr>
      <w:r>
        <w:rPr>
          <w:rStyle w:val="HideTWBExt"/>
          <w:lang w:val="sv-SE"/>
        </w:rPr>
        <w:t>&lt;TitreType&gt;</w:t>
      </w:r>
      <w:r>
        <w:t>BETÄNKANDE</w:t>
      </w:r>
      <w:r>
        <w:rPr>
          <w:rStyle w:val="HideTWBExt"/>
          <w:lang w:val="sv-SE"/>
        </w:rPr>
        <w:t>&lt;/TitreType&gt;</w:t>
      </w:r>
    </w:p>
    <w:p>
      <w:pPr>
        <w:ind w:start="1418"/>
      </w:pPr>
      <w:r>
        <w:rPr>
          <w:rStyle w:val="HideTWBExt"/>
          <w:lang w:val="sv-SE"/>
        </w:rPr>
        <w:t>&lt;Titre&gt;</w:t>
      </w:r>
      <w:r>
        <w:t>om kommissionens meddelande ”På väg mot en fullständig utbyggnad av tredje generationens system för mobil kommunikation”</w:t>
      </w:r>
      <w:r>
        <w:rPr>
          <w:rStyle w:val="HideTWBExt"/>
          <w:lang w:val="sv-SE"/>
        </w:rPr>
        <w:t>&lt;/Titre&gt;</w:t>
      </w:r>
    </w:p>
    <w:p>
      <w:pPr>
        <w:pStyle w:val="Rfrencesproposition"/>
      </w:pPr>
      <w:r>
        <w:rPr>
          <w:rStyle w:val="HideTWBExt"/>
          <w:lang w:val="sv-SE"/>
        </w:rPr>
        <w:t>&lt;DocRef&gt;</w:t>
      </w:r>
      <w:r>
        <w:t>(2002/2240(INI))</w:t>
      </w:r>
      <w:r>
        <w:rPr>
          <w:rStyle w:val="HideTWBExt"/>
          <w:lang w:val="sv-SE"/>
        </w:rPr>
        <w:t>&lt;/DocRef&gt;</w:t>
      </w:r>
    </w:p>
    <w:p>
      <w:pPr>
        <w:pStyle w:val="Commissionparlementaire"/>
      </w:pPr>
      <w:r>
        <w:rPr>
          <w:rStyle w:val="HideTWBExt"/>
          <w:lang w:val="sv-SE"/>
        </w:rPr>
        <w:t>&lt;Commission&gt;</w:t>
      </w:r>
      <w:r>
        <w:rPr>
          <w:rStyle w:val="HideTWBInt"/>
        </w:rPr>
        <w:t>{ITRE}</w:t>
      </w:r>
      <w:r>
        <w:t>Utskottet för industrifrågor, utrikeshandel, forskning och energi</w:t>
      </w:r>
      <w:r>
        <w:rPr>
          <w:rStyle w:val="HideTWBExt"/>
          <w:lang w:val="sv-SE"/>
        </w:rPr>
        <w:t>&lt;/Commission&gt;</w:t>
      </w:r>
    </w:p>
    <w:p>
      <w:pPr>
        <w:pStyle w:val="Dput"/>
      </w:pPr>
      <w:r>
        <w:t xml:space="preserve">Föredragande: </w:t>
      </w:r>
      <w:r>
        <w:rPr>
          <w:rStyle w:val="HideTWBExt"/>
          <w:lang w:val="sv-SE"/>
        </w:rPr>
        <w:t>&lt;Depute&gt;</w:t>
      </w:r>
      <w:r>
        <w:t>Danielle Auroi</w:t>
      </w:r>
      <w:r>
        <w:rPr>
          <w:rStyle w:val="HideTWBExt"/>
          <w:lang w:val="sv-SE"/>
        </w:rPr>
        <w:t>&lt;/Depute&gt;</w:t>
      </w:r>
    </w:p>
    <w:p>
      <w:pPr>
        <w:widowControl/>
        <w:tabs>
          <w:tab w:val="center" w:pos="4677"/>
        </w:tabs>
        <w:jc w:val="both"/>
      </w:pPr>
      <w:r>
        <w:br w:type="page"/>
      </w:r>
    </w:p>
    <w:p>
      <w:pPr>
        <w:pStyle w:val="TOCHeading"/>
      </w:pPr>
      <w:r>
        <w:br w:type="page"/>
      </w:r>
      <w:r>
        <w:rPr>
          <w:rStyle w:val="HideTWBExt"/>
          <w:lang w:val="sv-SE"/>
        </w:rPr>
        <w:t>&lt;PgIndex&gt;</w:t>
      </w:r>
      <w:r>
        <w:t>INNEHÅLL</w:t>
      </w:r>
    </w:p>
    <w:p>
      <w:pPr>
        <w:pStyle w:val="TOCPage"/>
      </w:pPr>
      <w:r>
        <w:t>Sida</w:t>
      </w:r>
    </w:p>
    <w:p>
      <w:pPr>
        <w:pStyle w:val="TOC1"/>
        <w:tabs>
          <w:tab w:val="end" w:leader="dot" w:pos="9062"/>
        </w:tabs>
      </w:pPr>
      <w:r>
        <w:fldChar w:fldCharType="begin"/>
      </w:r>
      <w:r>
        <w:instrText xml:space="preserve"> TOC \o "1-3" \t "Résolution législative titre;1;Avis titre;1;PageHeading;1" </w:instrText>
      </w:r>
      <w:r>
        <w:fldChar w:fldCharType="separate"/>
      </w:r>
      <w:r>
        <w:t>PROTOKOLLSIDA</w:t>
        <w:tab/>
      </w:r>
      <w:r>
        <w:fldChar w:fldCharType="begin"/>
      </w:r>
      <w:r>
        <w:instrText xml:space="preserve"> PAGEREF _Toc31513881 \h </w:instrText>
      </w:r>
      <w:r>
        <w:fldChar w:fldCharType="separate"/>
      </w:r>
      <w:r>
        <w:t>4</w:t>
      </w:r>
      <w:r>
        <w:fldChar w:fldCharType="end"/>
      </w:r>
    </w:p>
    <w:p>
      <w:pPr>
        <w:pStyle w:val="TOC1"/>
        <w:tabs>
          <w:tab w:val="end" w:leader="dot" w:pos="9062"/>
        </w:tabs>
      </w:pPr>
      <w:r>
        <w:t>FÖRSLAG TILL RESOLUTION</w:t>
        <w:tab/>
      </w:r>
      <w:r>
        <w:fldChar w:fldCharType="begin"/>
      </w:r>
      <w:r>
        <w:instrText xml:space="preserve"> PAGEREF _Toc31513882 \h </w:instrText>
      </w:r>
      <w:r>
        <w:fldChar w:fldCharType="separate"/>
      </w:r>
      <w:r>
        <w:t>5</w:t>
      </w:r>
      <w:r>
        <w:fldChar w:fldCharType="end"/>
      </w:r>
    </w:p>
    <w:p>
      <w:pPr>
        <w:pStyle w:val="TableofEntries"/>
      </w:pPr>
      <w:r>
        <w:fldChar w:fldCharType="end"/>
      </w:r>
      <w:r>
        <w:t>MOTIVERING</w:t>
        <w:tab/>
        <w:t>12</w:t>
      </w:r>
    </w:p>
    <w:p>
      <w:pPr>
        <w:pStyle w:val="TableofEntries"/>
      </w:pPr>
    </w:p>
    <w:p>
      <w:pPr>
        <w:pStyle w:val="PageHeading"/>
      </w:pPr>
      <w:r>
        <w:rPr>
          <w:rStyle w:val="HideTWBExt"/>
          <w:lang w:val="sv-SE"/>
        </w:rPr>
        <w:t>&lt;/PgIndex&gt;</w:t>
      </w:r>
      <w:r>
        <w:br w:type="page"/>
      </w:r>
      <w:r>
        <w:rPr>
          <w:rStyle w:val="HideTWBExt"/>
          <w:lang w:val="sv-SE"/>
        </w:rPr>
        <w:t>&lt;PgReglementaire&gt;</w:t>
      </w:r>
      <w:bookmarkStart w:id="0" w:name="_Toc31513881"/>
      <w:r>
        <w:t>PROTOKOLLSIDA</w:t>
      </w:r>
      <w:bookmarkEnd w:id="0"/>
    </w:p>
    <w:p>
      <w:pPr>
        <w:pStyle w:val="PageHeading"/>
        <w:jc w:val="start"/>
        <w:rPr>
          <w:rFonts w:ascii="Times New Roman" w:hAnsi="Times New Roman"/>
          <w:b w:val="0"/>
        </w:rPr>
      </w:pPr>
      <w:r>
        <w:rPr>
          <w:rFonts w:ascii="Times New Roman" w:hAnsi="Times New Roman"/>
          <w:b w:val="0"/>
        </w:rPr>
        <w:t>Genom en skrivelse av den 12 juni 2002 överlämnade kommissionen till parlamentet ett meddelande med titeln "På väg mot en fullständig utbyggnad av tredje generationens system för mobil kommunikation" (KOM(2002) 301- C5-0525/2002) som vidarebefordrades för kännedom till utskottet för industrifrågor, utrikeshandel, forskning och energi.</w:t>
      </w:r>
    </w:p>
    <w:p>
      <w:pPr>
        <w:pStyle w:val="PagereglementairetextePR"/>
      </w:pPr>
      <w:r>
        <w:t>Vid plenarsammanträdet den 21 november 2002</w:t>
      </w:r>
      <w:r>
        <w:rPr>
          <w:rStyle w:val="HideTWBInt"/>
        </w:rPr>
        <w:t>{18/11/2002}</w:t>
      </w:r>
      <w:r>
        <w:t xml:space="preserve"> tillkännagav talmannen att </w:t>
      </w:r>
      <w:r>
        <w:rPr>
          <w:rStyle w:val="HideTWBInt"/>
        </w:rPr>
        <w:t>{ITRE}</w:t>
      </w:r>
      <w:r>
        <w:t>utskottet för industrifrågor, utrikeshandel, forskning och energi i enlighet med artikel 47.2 och 163 i arbetsordningen hade beviljats tillstånd att utarbeta ett initiativbetänkande om detta ämne.</w:t>
      </w:r>
    </w:p>
    <w:p>
      <w:pPr>
        <w:pStyle w:val="PagereglementairetextePR"/>
      </w:pPr>
      <w:r>
        <w:t xml:space="preserve">Vid utskottssammanträdet den </w:t>
      </w:r>
      <w:r>
        <w:rPr>
          <w:rStyle w:val="HideTWBInt"/>
        </w:rPr>
        <w:t>{09/07/2002}</w:t>
      </w:r>
      <w:r>
        <w:t xml:space="preserve">9 juli 2002 hade </w:t>
      </w:r>
      <w:r>
        <w:rPr>
          <w:rStyle w:val="HideTWBInt"/>
        </w:rPr>
        <w:t>{ITRE}</w:t>
      </w:r>
      <w:r>
        <w:t>utskottet för industrifrågor, utrikeshandel, forskning och energi utsett Danielle Auroi till föredragande.</w:t>
      </w:r>
    </w:p>
    <w:p>
      <w:pPr>
        <w:pStyle w:val="PagereglementairetextePR"/>
      </w:pPr>
      <w:r>
        <w:t xml:space="preserve">Vid utskottssammanträdena den </w:t>
      </w:r>
      <w:r>
        <w:rPr>
          <w:rStyle w:val="HideTWBInt"/>
        </w:rPr>
        <w:t>{12/11/2002}</w:t>
      </w:r>
      <w:r>
        <w:t>12 och 25 november, 2 december 2002 och 23 januari 2003</w:t>
      </w:r>
      <w:r>
        <w:rPr>
          <w:rStyle w:val="HideTWBInt"/>
        </w:rPr>
        <w:t>{18/11/2002}</w:t>
      </w:r>
      <w:r>
        <w:rPr>
          <w:rStyle w:val="HideTWBInt"/>
          <w:vanish w:val="0"/>
        </w:rPr>
        <w:t xml:space="preserve"> </w:t>
      </w:r>
      <w:r>
        <w:t>behandlade utskottet förslaget till betänkande.</w:t>
      </w:r>
    </w:p>
    <w:p>
      <w:pPr>
        <w:pStyle w:val="PagereglementairetextePR"/>
      </w:pPr>
      <w:r>
        <w:t>Vid det sistnämnda sammanträdet godkände utskottet förslaget till resolution med 33 röster för, 6 röster emot och 1 nedlagd röst.</w:t>
      </w:r>
    </w:p>
    <w:p>
      <w:pPr>
        <w:pStyle w:val="PagereglementairetextePR"/>
      </w:pPr>
      <w:r>
        <w:t>Följande var närvarande vid omröstningen: Carlos Westendorp y Cabeza (ordförande), Yves Piétrasanta (vice ordförande), Claude Turmes (suppleant för föredraganden), Sir Robert Atkins, Luis Berenguer Fuster, Mogens N.J. Camre (suppleant för Seán Ó Neachtain i enlighet med artikel 153.2 i arbetsordningen), Gérard Caudron, Giles Bryan Chichester, Nicholas Clegg, Willy C.E.H. De Clercq, Concepció Ferrer, Francesco Fiori (suppleant för Guido Bodrato), Norbert Glante, Cristina Gutiérrez Cortines, Michel Hansenne, Hans Karlsson, Bashir Khanbhai, Werner Langen, Caroline Lucas, Erika Mann, Hans-Peter Martin (suppleant för Massimo Carraro), Marjo Matikainen-Kallström, Eryl Margaret McNally, Angelika Niebler, Reino Paasilinna, Paolo Pastorelli, Elly Plooij-van Gorsel, Samuli Pohjamo (suppleant för Colette Flesch), John Purvis, Godelieve Quisthoudt-Rowohl, Bernhard Rapkay (suppleant för Harlem Désir), Imelda Mary Read, Mechtild Rothe, Christian Foldberg Rovsing, Paul Rübig, Konrad K. Schwaiger, Esko Olavi Seppänen, W.G. van Velzen, Alejo Vidal-Quadras Roca och Dominique Vlasto.</w:t>
      </w:r>
    </w:p>
    <w:p>
      <w:pPr>
        <w:pStyle w:val="PagereglementairetextePR"/>
      </w:pPr>
      <w:r>
        <w:t>Betänkandet ingavs den 27 januari 2003.</w:t>
      </w:r>
    </w:p>
    <w:p>
      <w:pPr>
        <w:pStyle w:val="PageHeading"/>
      </w:pPr>
      <w:r>
        <w:rPr>
          <w:rStyle w:val="HideTWBExt"/>
          <w:lang w:val="sv-SE"/>
        </w:rPr>
        <w:t>&lt;/PgReglementaire&gt;</w:t>
      </w:r>
      <w:r>
        <w:br w:type="page"/>
      </w:r>
      <w:r>
        <w:rPr>
          <w:rStyle w:val="HideTWBExt"/>
          <w:lang w:val="sv-SE"/>
        </w:rPr>
        <w:t>&lt;PgPartieA&gt;&lt;SubPage&gt;</w:t>
      </w:r>
      <w:bookmarkStart w:id="1" w:name="_Toc31513882"/>
      <w:r>
        <w:t>FÖRSLAG TILL RESOLUTION</w:t>
      </w:r>
      <w:bookmarkEnd w:id="1"/>
    </w:p>
    <w:p>
      <w:pPr>
        <w:pStyle w:val="Titreobjetrsolution"/>
      </w:pPr>
      <w:r>
        <w:t>Europaparlamentets resolution om en fullständig utbyggnad av tredje generationens system för mobil kommunikation (</w:t>
      </w:r>
      <w:bookmarkStart w:id="2" w:name="DocEPLastVariable"/>
      <w:r>
        <w:t>2002/2240</w:t>
      </w:r>
      <w:bookmarkEnd w:id="2"/>
      <w:r>
        <w:t>(INI))</w:t>
      </w:r>
    </w:p>
    <w:p>
      <w:pPr>
        <w:pStyle w:val="Institutionquiagit"/>
      </w:pPr>
      <w:r>
        <w:t>Europaparlamentet utfärdar denna resolution</w:t>
      </w:r>
    </w:p>
    <w:p>
      <w:pPr>
        <w:pStyle w:val="Visa"/>
        <w:numPr>
          <w:ilvl w:val="0"/>
          <w:numId w:val="62"/>
        </w:numPr>
        <w:tabs>
          <w:tab w:val="clear" w:pos="360"/>
          <w:tab w:val="num" w:pos="709"/>
        </w:tabs>
        <w:ind w:start="709" w:hanging="709"/>
      </w:pPr>
      <w:r>
        <w:rPr>
          <w:rStyle w:val="HideTWBExt"/>
          <w:lang w:val="sv-SE"/>
        </w:rPr>
        <w:t>&lt;Visa&gt;</w:t>
      </w:r>
      <w:r>
        <w:t>med beaktande av meddelandet från kommissionen till rådet, Europaparlamentet, Ekonomiska och sociala kommittén och Regionkommittén ”På väg mot en fullständig utbyggnad av tredje generationens system för mobil kommunikation” (KOM(2002) 301</w:t>
      </w:r>
      <w:r>
        <w:rPr>
          <w:rStyle w:val="FootnoteReference"/>
        </w:rPr>
        <w:footnoteReference w:id="1"/>
      </w:r>
      <w:r>
        <w:t xml:space="preserve"> - C5-0525/2002),</w:t>
      </w:r>
    </w:p>
    <w:p>
      <w:pPr>
        <w:numPr>
          <w:ilvl w:val="0"/>
          <w:numId w:val="62"/>
        </w:numPr>
        <w:tabs>
          <w:tab w:val="clear" w:pos="360"/>
          <w:tab w:val="num" w:pos="709"/>
        </w:tabs>
        <w:ind w:start="709" w:hanging="709"/>
      </w:pPr>
      <w:r>
        <w:t>med beaktande av Europaparlamentets och rådets direktiv 2002/58/EG av den 12 juli 2002 om behandling av personuppgifter och integritetsskydd inom sektorn för elektronisk kommunikation (direktiv om integritet och elektronisk kommunikation)</w:t>
      </w:r>
      <w:r>
        <w:rPr>
          <w:rStyle w:val="FootnoteReference"/>
        </w:rPr>
        <w:footnoteReference w:id="2"/>
      </w:r>
      <w:r>
        <w:t>,</w:t>
      </w:r>
    </w:p>
    <w:p>
      <w:pPr>
        <w:tabs>
          <w:tab w:val="num" w:pos="709"/>
        </w:tabs>
        <w:ind w:start="709" w:hanging="709"/>
      </w:pPr>
    </w:p>
    <w:p>
      <w:pPr>
        <w:numPr>
          <w:ilvl w:val="0"/>
          <w:numId w:val="62"/>
        </w:numPr>
        <w:tabs>
          <w:tab w:val="clear" w:pos="360"/>
          <w:tab w:val="num" w:pos="709"/>
        </w:tabs>
        <w:spacing w:after="240"/>
        <w:ind w:start="709" w:hanging="709"/>
        <w:rPr>
          <w:rFonts w:ascii="Times-Roman" w:hAnsi="Times-Roman"/>
        </w:rPr>
      </w:pPr>
      <w:r>
        <w:t>med beaktande av slutsatserna från Europeiska rådet i Sevilla den 21</w:t>
      </w:r>
      <w:r>
        <w:noBreakHyphen/>
        <w:t xml:space="preserve">22 juni 2002 </w:t>
      </w:r>
      <w:r>
        <w:rPr>
          <w:rFonts w:ascii="Times-Roman" w:hAnsi="Times-Roman"/>
        </w:rPr>
        <w:t>(SN 200/1/02),</w:t>
      </w:r>
    </w:p>
    <w:p>
      <w:pPr>
        <w:numPr>
          <w:ilvl w:val="0"/>
          <w:numId w:val="62"/>
        </w:numPr>
        <w:tabs>
          <w:tab w:val="clear" w:pos="360"/>
          <w:tab w:val="num" w:pos="709"/>
        </w:tabs>
        <w:spacing w:after="240"/>
        <w:ind w:start="709" w:hanging="709"/>
      </w:pPr>
      <w:r>
        <w:t>med beaktande av slutsatserna från Europeiska rådet i Barcelona den 15</w:t>
      </w:r>
      <w:r>
        <w:noBreakHyphen/>
        <w:t>16 mars 2002</w:t>
      </w:r>
      <w:r>
        <w:rPr>
          <w:rFonts w:ascii="Times-Roman" w:hAnsi="Times-Roman"/>
        </w:rPr>
        <w:t xml:space="preserve"> (SN 100/1/02),</w:t>
      </w:r>
    </w:p>
    <w:p>
      <w:pPr>
        <w:numPr>
          <w:ilvl w:val="0"/>
          <w:numId w:val="62"/>
        </w:numPr>
        <w:tabs>
          <w:tab w:val="clear" w:pos="360"/>
          <w:tab w:val="num" w:pos="709"/>
        </w:tabs>
        <w:ind w:start="709" w:hanging="709"/>
      </w:pPr>
      <w:r>
        <w:t>med beaktande av Europaparlamentets och rådets direktiv 2002/19/EG av den 7 mars 2002 om tillträde till och samtrafik mellan elektroniska kommunikationsnät och tillhörande faciliteter (tillträdesdirektiv)</w:t>
      </w:r>
      <w:r>
        <w:rPr>
          <w:rStyle w:val="FootnoteReference"/>
        </w:rPr>
        <w:footnoteReference w:id="3"/>
      </w:r>
      <w:r>
        <w:t>,</w:t>
      </w:r>
    </w:p>
    <w:p>
      <w:pPr>
        <w:tabs>
          <w:tab w:val="num" w:pos="709"/>
        </w:tabs>
        <w:ind w:start="709" w:hanging="709"/>
      </w:pPr>
    </w:p>
    <w:p>
      <w:pPr>
        <w:numPr>
          <w:ilvl w:val="0"/>
          <w:numId w:val="62"/>
        </w:numPr>
        <w:tabs>
          <w:tab w:val="clear" w:pos="360"/>
          <w:tab w:val="num" w:pos="709"/>
        </w:tabs>
        <w:ind w:start="709" w:hanging="709"/>
      </w:pPr>
      <w:r>
        <w:t>med beaktande av Europaparlamentets och rådets direktiv 2002/20/EG av den 7 mars 2002 om auktorisation för elektroniska kommunikationsnät och kommunikationstjänster (auktorisationsdirektiv)</w:t>
      </w:r>
      <w:r>
        <w:rPr>
          <w:rStyle w:val="FootnoteReference"/>
        </w:rPr>
        <w:footnoteReference w:id="4"/>
      </w:r>
      <w:r>
        <w:t>,</w:t>
      </w:r>
    </w:p>
    <w:p>
      <w:pPr>
        <w:tabs>
          <w:tab w:val="num" w:pos="709"/>
        </w:tabs>
        <w:ind w:start="709" w:hanging="709"/>
      </w:pPr>
    </w:p>
    <w:p>
      <w:pPr>
        <w:numPr>
          <w:ilvl w:val="0"/>
          <w:numId w:val="62"/>
        </w:numPr>
        <w:tabs>
          <w:tab w:val="clear" w:pos="360"/>
          <w:tab w:val="num" w:pos="709"/>
        </w:tabs>
        <w:ind w:start="709" w:hanging="709"/>
      </w:pPr>
      <w:r>
        <w:t>med beaktande av Europaparlamentets och rådets direktiv 2002/21/EG av den 7 mars 2002 om ett gemensamt regelverk för elektroniska kommunikationsnät och kommunikationstjänster (ramdirektiv)</w:t>
      </w:r>
      <w:r>
        <w:rPr>
          <w:rStyle w:val="FootnoteReference"/>
        </w:rPr>
        <w:footnoteReference w:id="5"/>
      </w:r>
      <w:r>
        <w:t>,</w:t>
      </w:r>
    </w:p>
    <w:p>
      <w:pPr>
        <w:tabs>
          <w:tab w:val="num" w:pos="709"/>
        </w:tabs>
        <w:ind w:start="709" w:hanging="709"/>
      </w:pPr>
    </w:p>
    <w:p>
      <w:pPr>
        <w:numPr>
          <w:ilvl w:val="0"/>
          <w:numId w:val="62"/>
        </w:numPr>
        <w:tabs>
          <w:tab w:val="clear" w:pos="360"/>
          <w:tab w:val="num" w:pos="709"/>
        </w:tabs>
        <w:ind w:start="709" w:hanging="709"/>
      </w:pPr>
      <w:r>
        <w:t>med beaktande av Europaparlamentets och rådets direktiv 2002/22/EG av den 7 mars 2002 om samhällsomfattande tjänster och användares rättigheter avseende elektroniska kommunikationsnät och kommunikationstjänster (direktiv om samhällsomfattande tjänster)</w:t>
      </w:r>
      <w:r>
        <w:rPr>
          <w:rStyle w:val="FootnoteReference"/>
        </w:rPr>
        <w:footnoteReference w:id="6"/>
      </w:r>
      <w:r>
        <w:t>,</w:t>
      </w:r>
    </w:p>
    <w:p>
      <w:pPr>
        <w:tabs>
          <w:tab w:val="num" w:pos="709"/>
        </w:tabs>
        <w:ind w:start="709" w:hanging="709"/>
      </w:pPr>
    </w:p>
    <w:p>
      <w:pPr>
        <w:numPr>
          <w:ilvl w:val="0"/>
          <w:numId w:val="62"/>
        </w:numPr>
        <w:tabs>
          <w:tab w:val="clear" w:pos="360"/>
          <w:tab w:val="num" w:pos="709"/>
        </w:tabs>
        <w:ind w:start="709" w:hanging="709"/>
      </w:pPr>
      <w:r>
        <w:t>med beaktande av Europaparlamentets och rådets beslut nr 676/2002/EG av den 7 mars 2002 om ett regelverk för radiospektrumpolitiken i Europeiska gemenskapen (radiospektrumbeslut)</w:t>
      </w:r>
      <w:r>
        <w:rPr>
          <w:rStyle w:val="FootnoteReference"/>
        </w:rPr>
        <w:footnoteReference w:id="7"/>
      </w:r>
      <w:r>
        <w:t>,</w:t>
      </w:r>
    </w:p>
    <w:p>
      <w:pPr>
        <w:numPr>
          <w:ilvl w:val="0"/>
          <w:numId w:val="62"/>
        </w:numPr>
        <w:tabs>
          <w:tab w:val="clear" w:pos="360"/>
          <w:tab w:val="num" w:pos="709"/>
        </w:tabs>
        <w:spacing w:before="240" w:after="240"/>
        <w:ind w:start="709" w:hanging="709"/>
      </w:pPr>
      <w:r>
        <w:t>med beaktande av slutsatserna från toppmötet i Göteborg den 15</w:t>
      </w:r>
      <w:r>
        <w:noBreakHyphen/>
        <w:t>16 juni 2001 (SN 200/01),</w:t>
      </w:r>
    </w:p>
    <w:p>
      <w:pPr>
        <w:numPr>
          <w:ilvl w:val="0"/>
          <w:numId w:val="62"/>
        </w:numPr>
        <w:tabs>
          <w:tab w:val="clear" w:pos="360"/>
          <w:tab w:val="num" w:pos="709"/>
        </w:tabs>
        <w:ind w:start="709" w:hanging="709"/>
      </w:pPr>
      <w:r>
        <w:t>med beaktande av rådets rekommendation 1999/519/EG av den 12 juli 1999 om begränsning av allmänhetens exponering för elektromagnetiska fält (0 Hz-300 GHz)</w:t>
      </w:r>
      <w:r>
        <w:rPr>
          <w:rStyle w:val="FootnoteReference"/>
        </w:rPr>
        <w:footnoteReference w:id="8"/>
      </w:r>
      <w:r>
        <w:t>,</w:t>
      </w:r>
    </w:p>
    <w:p>
      <w:pPr>
        <w:tabs>
          <w:tab w:val="num" w:pos="709"/>
        </w:tabs>
        <w:ind w:start="709" w:hanging="709"/>
      </w:pPr>
    </w:p>
    <w:p>
      <w:pPr>
        <w:pStyle w:val="Visa"/>
        <w:numPr>
          <w:ilvl w:val="0"/>
          <w:numId w:val="62"/>
        </w:numPr>
        <w:tabs>
          <w:tab w:val="clear" w:pos="360"/>
          <w:tab w:val="num" w:pos="709"/>
        </w:tabs>
        <w:ind w:start="709" w:hanging="709"/>
      </w:pPr>
      <w:r>
        <w:t xml:space="preserve">med beaktande av parlamentets resolution av den 5 maj 1994 </w:t>
      </w:r>
      <w:r>
        <w:rPr>
          <w:rStyle w:val="HideTWBInt"/>
        </w:rPr>
        <w:t>{18/11/2002}</w:t>
      </w:r>
      <w:r>
        <w:t>om bekämpningen av de skadliga effekterna av icke-joniserande strålning</w:t>
      </w:r>
      <w:r>
        <w:rPr>
          <w:rStyle w:val="FootnoteReference"/>
        </w:rPr>
        <w:footnoteReference w:id="9"/>
      </w:r>
      <w:r>
        <w:t>,</w:t>
      </w:r>
    </w:p>
    <w:p>
      <w:pPr>
        <w:pStyle w:val="Visa"/>
        <w:numPr>
          <w:ilvl w:val="0"/>
          <w:numId w:val="62"/>
        </w:numPr>
        <w:tabs>
          <w:tab w:val="clear" w:pos="360"/>
          <w:tab w:val="num" w:pos="709"/>
        </w:tabs>
        <w:ind w:start="709" w:hanging="709"/>
      </w:pPr>
      <w:r>
        <w:t>med beaktande av yttrandet av den 30 oktober 2001 från kommissionens vetenskapliga kommitté för toxicitet, ekotoxicitet och miljö om eventuella effekter av elektromagnetiska fält, radiofrekvenser och mikrovågsstrålning på människors hälsa,</w:t>
      </w:r>
    </w:p>
    <w:p>
      <w:pPr>
        <w:pStyle w:val="Visa"/>
        <w:numPr>
          <w:ilvl w:val="0"/>
          <w:numId w:val="62"/>
        </w:numPr>
        <w:tabs>
          <w:tab w:val="clear" w:pos="360"/>
          <w:tab w:val="num" w:pos="709"/>
        </w:tabs>
        <w:ind w:start="709" w:hanging="709"/>
      </w:pPr>
      <w:r>
        <w:t>med beaktande av kommissionens rapport från april 2002</w:t>
      </w:r>
      <w:r>
        <w:rPr>
          <w:rStyle w:val="FootnoteReference"/>
        </w:rPr>
        <w:footnoteReference w:id="10"/>
      </w:r>
      <w:r>
        <w:t xml:space="preserve"> om genomförandet av rådets</w:t>
      </w:r>
      <w:r>
        <w:rPr>
          <w:rFonts w:ascii="Verdana" w:hAnsi="Verdana"/>
        </w:rPr>
        <w:t xml:space="preserve"> </w:t>
      </w:r>
      <w:r>
        <w:t>rekommendation om begränsning av allmänhetens exponering för elektromagnetiska fält (0 Hz-300 GHz),</w:t>
      </w:r>
    </w:p>
    <w:p>
      <w:pPr>
        <w:pStyle w:val="Visa"/>
        <w:numPr>
          <w:ilvl w:val="0"/>
          <w:numId w:val="62"/>
        </w:numPr>
        <w:tabs>
          <w:tab w:val="clear" w:pos="360"/>
          <w:tab w:val="num" w:pos="709"/>
        </w:tabs>
        <w:ind w:start="709" w:hanging="709"/>
      </w:pPr>
      <w:r>
        <w:t>med beaktande av Europaparlamentets och rådets beslut nr</w:t>
      </w:r>
      <w:r>
        <w:rPr>
          <w:rFonts w:ascii="Verdana" w:hAnsi="Verdana"/>
          <w:sz w:val="20"/>
        </w:rPr>
        <w:t xml:space="preserve"> </w:t>
      </w:r>
      <w:r>
        <w:t>128/1999/EG</w:t>
      </w:r>
      <w:r>
        <w:rPr>
          <w:rStyle w:val="FootnoteReference"/>
        </w:rPr>
        <w:footnoteReference w:id="11"/>
      </w:r>
      <w:r>
        <w:t xml:space="preserve"> av den 14 december 1998 om samordnat införande av ett system för mobil och trådlös telekommunikation (UMTS) av tredje generationen inom gemenskapen,</w:t>
      </w:r>
    </w:p>
    <w:p>
      <w:pPr>
        <w:pStyle w:val="Visa"/>
        <w:numPr>
          <w:ilvl w:val="0"/>
          <w:numId w:val="62"/>
        </w:numPr>
        <w:tabs>
          <w:tab w:val="clear" w:pos="360"/>
          <w:tab w:val="num" w:pos="709"/>
        </w:tabs>
        <w:ind w:start="709" w:hanging="709"/>
      </w:pPr>
      <w:r>
        <w:t>med beaktande av artikel 47.2 och 163 i arbetsordningen,</w:t>
      </w:r>
    </w:p>
    <w:p>
      <w:pPr>
        <w:pStyle w:val="Visa"/>
        <w:numPr>
          <w:ilvl w:val="0"/>
          <w:numId w:val="62"/>
        </w:numPr>
        <w:tabs>
          <w:tab w:val="clear" w:pos="360"/>
          <w:tab w:val="num" w:pos="709"/>
        </w:tabs>
        <w:ind w:start="709" w:hanging="709"/>
      </w:pPr>
      <w:r>
        <w:t xml:space="preserve">med beaktande av betänkandet från </w:t>
      </w:r>
      <w:r>
        <w:rPr>
          <w:rStyle w:val="HideTWBInt"/>
        </w:rPr>
        <w:t>{ITRE}</w:t>
      </w:r>
      <w:r>
        <w:t>utskottet för industrifrågor, utrikeshandel, forskning och energi (A5</w:t>
      </w:r>
      <w:r>
        <w:noBreakHyphen/>
        <w:t>0016/2003), och av följande skäl:</w:t>
      </w:r>
      <w:r>
        <w:rPr>
          <w:rStyle w:val="HideTWBExt"/>
          <w:lang w:val="sv-SE"/>
        </w:rPr>
        <w:t>&lt;/Visa&gt;</w:t>
      </w:r>
    </w:p>
    <w:p>
      <w:pPr>
        <w:pStyle w:val="Visa"/>
        <w:numPr>
          <w:ilvl w:val="0"/>
          <w:numId w:val="63"/>
        </w:numPr>
        <w:tabs>
          <w:tab w:val="clear" w:pos="357"/>
        </w:tabs>
      </w:pPr>
      <w:r>
        <w:rPr>
          <w:rStyle w:val="HideTWBExt"/>
          <w:lang w:val="sv-SE"/>
        </w:rPr>
        <w:t>&lt;Considerant&gt;</w:t>
      </w:r>
      <w:r>
        <w:t>Auktionerna av UMTS-licenser har i somliga medlemsstater lett till att sektorn periodvis har drabbats av akuta ekonomiska problem vilket medfört att utbyggnaden av 3G-nät och 3G-tjänster därför hotas av avsevärda förseningar. Vissa medlemsstater vill nu tillgripa ensidiga stödåtgärder som riskerar att hindra en harmonisk utveckling av den inre marknaden för telekommunikationer. Kommissionen bör därför använda Europeiska rådets vårmöte 2003 till att lägga fram en åtgärdsplan inriktad på att skapa likvärdiga förutsättningar över hela verksamhetsfältet för 3G- infrastruktur, 3G</w:t>
      </w:r>
      <w:r>
        <w:noBreakHyphen/>
        <w:t>tillämpningar och 3G-tjänster inom EU. Utfärdandet av licenser för 3G i Europa har lett till snedvridningar av konkurrensen och en fragmentering av den europeiska marknaden för mobiltelefoner.</w:t>
      </w:r>
    </w:p>
    <w:p>
      <w:pPr>
        <w:pStyle w:val="Visa"/>
        <w:numPr>
          <w:ilvl w:val="0"/>
          <w:numId w:val="63"/>
        </w:numPr>
        <w:tabs>
          <w:tab w:val="clear" w:pos="357"/>
        </w:tabs>
      </w:pPr>
      <w:r>
        <w:t>För en framgångsrik utbyggnad av 3G krävs det inte bara nät utan också kvalitativt högtstående innehållstjänster. Information från den offentliga sektorn kan erbjuda ett viktigt råmaterial för utvecklingen av sådana kvalitativt högtstående innehållstjänster.</w:t>
      </w:r>
    </w:p>
    <w:p>
      <w:pPr>
        <w:pStyle w:val="Visa"/>
        <w:numPr>
          <w:ilvl w:val="0"/>
          <w:numId w:val="63"/>
        </w:numPr>
        <w:tabs>
          <w:tab w:val="clear" w:pos="357"/>
        </w:tabs>
      </w:pPr>
      <w:r>
        <w:t>Tekniken på telekommunikationsområdet utvecklas mycket snabbt. Under de kommande åren förväntas användningen av multimediatillämpningar att öka och därför behövs de högre överföringskapaciteter och bearbetningshastigheter som 3G har att erbjuda.</w:t>
      </w:r>
    </w:p>
    <w:p>
      <w:pPr>
        <w:pStyle w:val="Visa"/>
        <w:numPr>
          <w:ilvl w:val="0"/>
          <w:numId w:val="63"/>
        </w:numPr>
        <w:tabs>
          <w:tab w:val="clear" w:pos="357"/>
        </w:tabs>
      </w:pPr>
      <w:r>
        <w:t>De stora inneboende möjligheterna till ökad tillväxt och en framgångsrik utbyggnad av 3G-nät och 3G-tjänster är utslagsgivande för att eEuropa skall kunna bli verklighet. Denna utbyggnad är därför till nytta för alla medborgare.</w:t>
      </w:r>
    </w:p>
    <w:p>
      <w:pPr>
        <w:pStyle w:val="Visa"/>
        <w:numPr>
          <w:ilvl w:val="0"/>
          <w:numId w:val="63"/>
        </w:numPr>
        <w:tabs>
          <w:tab w:val="clear" w:pos="357"/>
        </w:tabs>
      </w:pPr>
      <w:r>
        <w:t>Man bör ta hänsyn till Världshälsoorganisationens (WHO) rekommendationer som utfärdats på grundval av aktuella vetenskapliga rön.</w:t>
      </w:r>
    </w:p>
    <w:p>
      <w:pPr>
        <w:pStyle w:val="Visa"/>
        <w:numPr>
          <w:ilvl w:val="0"/>
          <w:numId w:val="63"/>
        </w:numPr>
        <w:tabs>
          <w:tab w:val="clear" w:pos="357"/>
        </w:tabs>
      </w:pPr>
      <w:r>
        <w:t>Ett gemensamt utnyttjande av nätinfrastrukturen främjar utbyggnaden av 3G-näten och innebär att diskussionen om elektromagnetiska fält kommer att beaktas.</w:t>
      </w:r>
    </w:p>
    <w:p>
      <w:pPr>
        <w:pStyle w:val="Visa"/>
        <w:numPr>
          <w:ilvl w:val="0"/>
          <w:numId w:val="63"/>
        </w:numPr>
        <w:tabs>
          <w:tab w:val="clear" w:pos="357"/>
        </w:tabs>
      </w:pPr>
      <w:r>
        <w:t>Incitament till investeringar i ny teknik skapas framför allt genom trygga och investeringsfrämjande ramvillkor.</w:t>
      </w:r>
    </w:p>
    <w:p>
      <w:pPr>
        <w:pStyle w:val="Visa"/>
        <w:numPr>
          <w:ilvl w:val="0"/>
          <w:numId w:val="63"/>
        </w:numPr>
        <w:tabs>
          <w:tab w:val="clear" w:pos="357"/>
        </w:tabs>
      </w:pPr>
      <w:r>
        <w:t>Företagen inom telekombranschen måste göra stora ansträngningar på innovations- och investeringsområdet för att med framgång införa tredje generationens mobilkommunikationer, snabbt bygga ut den infrastruktur som behövs för ändamålet och utveckla motsvarande Internettillämpningar.</w:t>
      </w:r>
    </w:p>
    <w:p>
      <w:pPr>
        <w:pStyle w:val="Visa"/>
        <w:numPr>
          <w:ilvl w:val="0"/>
          <w:numId w:val="63"/>
        </w:numPr>
        <w:tabs>
          <w:tab w:val="clear" w:pos="357"/>
        </w:tabs>
      </w:pPr>
      <w:r>
        <w:t>Den europeiska telekomindustrin befinner sig i en svår situation och de flesta företag inom telekombranschen i Europa dras med oerhörda skulder, som i vissa medlemsstater är en konsekvens av de höga licenskostnaderna för UMTS.</w:t>
      </w:r>
    </w:p>
    <w:p>
      <w:pPr>
        <w:pStyle w:val="Visa"/>
        <w:numPr>
          <w:ilvl w:val="0"/>
          <w:numId w:val="63"/>
        </w:numPr>
        <w:tabs>
          <w:tab w:val="clear" w:pos="357"/>
        </w:tabs>
      </w:pPr>
      <w:r>
        <w:t>Gränsvärdena för exponering för elektromagnetisk strålning från anläggningar för mobiltelefoni grundas i medlemsstaterna på en rekommendation från WHO. Det är uppenbart att dessa värden underskrids i Europeiska unionen.</w:t>
      </w:r>
    </w:p>
    <w:p>
      <w:pPr>
        <w:pStyle w:val="Visa"/>
        <w:numPr>
          <w:ilvl w:val="0"/>
          <w:numId w:val="63"/>
        </w:numPr>
        <w:tabs>
          <w:tab w:val="clear" w:pos="357"/>
        </w:tabs>
      </w:pPr>
      <w:r>
        <w:t>Utbyggnaden av mobiltelefonnäten i medlemsstaterna bör ske framför allt med hänsyn till ekonomiska, hälsorelaterade och estetiska aspekter för att uppnå den fullständiga täckning som är nödvändig både i städerna och på landsbygden.</w:t>
      </w:r>
    </w:p>
    <w:p>
      <w:pPr>
        <w:pStyle w:val="Visa"/>
        <w:numPr>
          <w:ilvl w:val="0"/>
          <w:numId w:val="63"/>
        </w:numPr>
        <w:tabs>
          <w:tab w:val="clear" w:pos="357"/>
        </w:tabs>
      </w:pPr>
      <w:r>
        <w:t>Informationssamhället måste utvecklas med respekt för rätten till integritetsskydd och skyddet för personuppgifter.</w:t>
      </w:r>
    </w:p>
    <w:p>
      <w:pPr>
        <w:pStyle w:val="Visa"/>
        <w:numPr>
          <w:ilvl w:val="0"/>
          <w:numId w:val="63"/>
        </w:numPr>
        <w:tabs>
          <w:tab w:val="clear" w:pos="357"/>
        </w:tabs>
      </w:pPr>
      <w:r>
        <w:t>Trots ansträngningarna att göra den nya tekniken tillgänglig för alla medborgare finns det på grund av ekonomiska och sociala faktorer fortfarande stora skillnader både på europeisk och global nivå när det gäller tillgången till och möjligheten att använda denna teknik.</w:t>
      </w:r>
    </w:p>
    <w:p>
      <w:pPr>
        <w:pStyle w:val="Visa"/>
        <w:numPr>
          <w:ilvl w:val="0"/>
          <w:numId w:val="63"/>
        </w:numPr>
        <w:tabs>
          <w:tab w:val="clear" w:pos="357"/>
        </w:tabs>
      </w:pPr>
      <w:r>
        <w:t>Europaparlamentet har flera gånger begärt att man skall vidta åtgärder på europeisk och nationell nivå för att undvika den ”digitala klyftan” och för att bygga upp ett informationssamhälle för alla, också för personer med funktionshinder och för låginkomsttagare, så att alla skall kunna garanteras tillgång på lika villkor och till överkomliga priser.</w:t>
      </w:r>
    </w:p>
    <w:p>
      <w:pPr>
        <w:pStyle w:val="Visa"/>
        <w:numPr>
          <w:ilvl w:val="0"/>
          <w:numId w:val="63"/>
        </w:numPr>
        <w:tabs>
          <w:tab w:val="clear" w:pos="357"/>
        </w:tabs>
      </w:pPr>
      <w:r>
        <w:t>Tredje generationens mobilsystem har genom utveckling av attraktiva tillämpningar möjlighet att knyta an till den framgång som andra generationens tjänster haft i Europa. För närvarande fördröjs utbyggnaden av 3G, och konsumenterna är med nuvarande utbud av tjänster ännu inte övertygade om möjligheterna med 3G.</w:t>
      </w:r>
    </w:p>
    <w:p>
      <w:pPr>
        <w:pStyle w:val="Visa"/>
        <w:numPr>
          <w:ilvl w:val="0"/>
          <w:numId w:val="63"/>
        </w:numPr>
        <w:tabs>
          <w:tab w:val="clear" w:pos="357"/>
        </w:tabs>
      </w:pPr>
      <w:r>
        <w:t>Det krävs rättvisa konkurrensvillkor samt en stabil och förutsägbar ramlagstiftning som gynnar investeringar och belönar risktagande och nytänkande för att göra det mer attraktivt för privata aktörer att investera i den omfattande utveckling av infrastruktur som krävs om konsumenterna över hela EU skall kunna erbjudas 3G-tjänster.</w:t>
      </w:r>
    </w:p>
    <w:p>
      <w:pPr>
        <w:pStyle w:val="Visa"/>
        <w:numPr>
          <w:ilvl w:val="0"/>
          <w:numId w:val="63"/>
        </w:numPr>
        <w:tabs>
          <w:tab w:val="clear" w:pos="357"/>
        </w:tabs>
      </w:pPr>
      <w:r>
        <w:t xml:space="preserve">Medborgarna kräver maximal insyn när det gäller de erbjudna tjänsternas kvalitet och pris. Säkerhet och en rättslig förutsägbarhet är avgörande faktorer för att öka konsumenternas förtroende för elektroniska transaktioner och för att stimulera efterfrågan. </w:t>
      </w:r>
    </w:p>
    <w:p>
      <w:pPr>
        <w:pStyle w:val="Visa"/>
        <w:numPr>
          <w:ilvl w:val="0"/>
          <w:numId w:val="63"/>
        </w:numPr>
        <w:tabs>
          <w:tab w:val="clear" w:pos="357"/>
        </w:tabs>
      </w:pPr>
      <w:r>
        <w:t>För utvecklingen av tredje generationens mobilkommunikation är det viktigt att noga granska alla förslag till regleringar och att genomföra eventuella regleringsåtgärder med största återhållsamhet.</w:t>
      </w:r>
    </w:p>
    <w:p>
      <w:pPr>
        <w:pStyle w:val="Visa"/>
        <w:numPr>
          <w:ilvl w:val="0"/>
          <w:numId w:val="63"/>
        </w:numPr>
        <w:tabs>
          <w:tab w:val="clear" w:pos="357"/>
        </w:tabs>
      </w:pPr>
      <w:r>
        <w:t>Opartisk och oberoende forskning spelar en avgörande roll som grundlag för all lagstiftning.</w:t>
      </w:r>
      <w:r>
        <w:rPr>
          <w:rStyle w:val="HideTWBExt"/>
          <w:lang w:val="sv-SE"/>
        </w:rPr>
        <w:t>&lt;/Considerant&gt;</w:t>
      </w:r>
    </w:p>
    <w:p>
      <w:pPr>
        <w:pStyle w:val="Visa"/>
        <w:numPr>
          <w:ilvl w:val="0"/>
          <w:numId w:val="64"/>
        </w:numPr>
        <w:tabs>
          <w:tab w:val="clear" w:pos="357"/>
        </w:tabs>
      </w:pPr>
      <w:r>
        <w:rPr>
          <w:rStyle w:val="HideTWBExt"/>
          <w:lang w:val="sv-SE"/>
        </w:rPr>
        <w:t>&lt;Action&gt;</w:t>
      </w:r>
      <w:r>
        <w:t>Europaparlamentet kräver att man redan nu sänder en tydlig signal om att tredje generationens mobilkommunikation skall införas i Europa.</w:t>
      </w:r>
    </w:p>
    <w:p>
      <w:pPr>
        <w:pStyle w:val="Visa"/>
        <w:numPr>
          <w:ilvl w:val="0"/>
          <w:numId w:val="64"/>
        </w:numPr>
        <w:tabs>
          <w:tab w:val="clear" w:pos="357"/>
        </w:tabs>
      </w:pPr>
      <w:r>
        <w:t>Europaparlamentet begär att medlemsstaterna snarast skall genomföra de nya direktiven om elektronisk kommunikation och att den nya nationella lagstiftningen på detta område i så hög grad som möjligt harmoniseras.</w:t>
      </w:r>
    </w:p>
    <w:p>
      <w:pPr>
        <w:pStyle w:val="Visa"/>
        <w:numPr>
          <w:ilvl w:val="0"/>
          <w:numId w:val="64"/>
        </w:numPr>
        <w:tabs>
          <w:tab w:val="clear" w:pos="357"/>
        </w:tabs>
      </w:pPr>
      <w:r>
        <w:t>Europaparlamentet begär en fortlöpande uppföljning av utvecklingen inom telekomsektorn som utan någon form av särskiljande behandling tar hänsyn till innovationer.</w:t>
      </w:r>
    </w:p>
    <w:p>
      <w:pPr>
        <w:pStyle w:val="Visa"/>
        <w:numPr>
          <w:ilvl w:val="0"/>
          <w:numId w:val="64"/>
        </w:numPr>
        <w:tabs>
          <w:tab w:val="clear" w:pos="357"/>
        </w:tabs>
      </w:pPr>
      <w:r>
        <w:t>Europaparlamentet välkomnar kommissionens initiativ på området öppna plattformar för digital-TV och 3G.</w:t>
      </w:r>
    </w:p>
    <w:p>
      <w:pPr>
        <w:pStyle w:val="Visa"/>
        <w:numPr>
          <w:ilvl w:val="0"/>
          <w:numId w:val="64"/>
        </w:numPr>
        <w:tabs>
          <w:tab w:val="clear" w:pos="357"/>
        </w:tabs>
      </w:pPr>
      <w:r>
        <w:t>Europaparlamentet uppmanar kommissionen att snabbt följa upp initiativet med öppna plattformar och lägga fram förslag till konkreta åtgärder som stimulerar användningen av öppna plattformar för att undvika att konsumenterna blir hänvisade till en enda operatörs utbud och för att säkerställa deras fria val i fråga om 3G-tjänster och 3G</w:t>
      </w:r>
      <w:r>
        <w:noBreakHyphen/>
        <w:t>tillämpningar, vilket är nödvändigt med tanke på en fullständig utveckling av 3G.</w:t>
      </w:r>
    </w:p>
    <w:p>
      <w:pPr>
        <w:pStyle w:val="Visa"/>
        <w:numPr>
          <w:ilvl w:val="0"/>
          <w:numId w:val="64"/>
        </w:numPr>
        <w:tabs>
          <w:tab w:val="clear" w:pos="357"/>
        </w:tabs>
      </w:pPr>
      <w:r>
        <w:t>Europaparlamentet uppmanar kommissionen och de nationella tillsynsmyndigheterna inom Europeiska gruppen av regleringsmyndigheter att lösa ”gamla” problem och därefter ta itu med nya frågor som gemensam dominans och behovet av samarbete för att utveckla 3G-tillämpningar och 3G-tjänster med hänsyn till vikten av att upprätthålla kompetensen på detta område.</w:t>
      </w:r>
    </w:p>
    <w:p>
      <w:pPr>
        <w:pStyle w:val="Visa"/>
        <w:widowControl/>
        <w:numPr>
          <w:ilvl w:val="0"/>
          <w:numId w:val="64"/>
        </w:numPr>
        <w:tabs>
          <w:tab w:val="clear" w:pos="357"/>
        </w:tabs>
        <w:ind w:start="703" w:hanging="703"/>
      </w:pPr>
      <w:r>
        <w:t>Europaparlamentet uppmanar medlemsstaterna att bidra till utvecklingen av 3G genom att stimulera vidareutnyttjande av information från den offentliga sektorn på så gynnsamma villkor som möjligt, eftersom denna sektor utgör en av grundpelarna när det gäller högkvalitativa innehållstjänster.</w:t>
      </w:r>
    </w:p>
    <w:p>
      <w:pPr>
        <w:pStyle w:val="Visa"/>
        <w:numPr>
          <w:ilvl w:val="0"/>
          <w:numId w:val="64"/>
        </w:numPr>
        <w:tabs>
          <w:tab w:val="clear" w:pos="357"/>
        </w:tabs>
      </w:pPr>
      <w:r>
        <w:t>Europaparlamentet uppmanar den privata sektorn på 3G-området att ta sitt ansvar och lägga fram tillförlitliga exempel på affärsverksamhet som kan inge förtroende hos både investerarna och den stora allmänheten.</w:t>
      </w:r>
    </w:p>
    <w:p>
      <w:pPr>
        <w:pStyle w:val="Visa"/>
        <w:numPr>
          <w:ilvl w:val="0"/>
          <w:numId w:val="64"/>
        </w:numPr>
        <w:tabs>
          <w:tab w:val="clear" w:pos="357"/>
        </w:tabs>
      </w:pPr>
      <w:r>
        <w:t xml:space="preserve">Europaparlamentet ser fram emot en 3G-utbyggnad i rätt tid, eftersom telekommunikationer i allmänhet och den mobila sektorn i synnerhet är viktiga för EU:s ekonomiska och industriella konkurrenskraft och för utvecklingen av informationssamhället. </w:t>
      </w:r>
    </w:p>
    <w:p>
      <w:pPr>
        <w:pStyle w:val="Visa"/>
        <w:numPr>
          <w:ilvl w:val="0"/>
          <w:numId w:val="64"/>
        </w:numPr>
        <w:tabs>
          <w:tab w:val="clear" w:pos="357"/>
        </w:tabs>
      </w:pPr>
      <w:r>
        <w:t>Europaparlamentet uppmanar kommissionen att så snabbt som möjligt ta fram riktlinjer för gemensam användning av ("delad") nätinfrastruktur inom hela Europeiska unionen, vilket kommer att underlätta en snabbare och mera harmoniserad utbyggnad av 3G-nät och 3G-tjänster.</w:t>
      </w:r>
    </w:p>
    <w:p>
      <w:pPr>
        <w:pStyle w:val="Visa"/>
        <w:numPr>
          <w:ilvl w:val="0"/>
          <w:numId w:val="64"/>
        </w:numPr>
        <w:tabs>
          <w:tab w:val="clear" w:pos="357"/>
        </w:tabs>
      </w:pPr>
      <w:r>
        <w:t>Europaparlamentet uppmanar medlemsstaterna och de privata operatörerna att avskaffa de hinder som står i vägen för en utbyggnad av 3G-näten så att medlemsstaterna kan fullgöra sina skyldigheter när det gäller täckning av det nationella området.</w:t>
      </w:r>
    </w:p>
    <w:p>
      <w:pPr>
        <w:pStyle w:val="Visa"/>
        <w:numPr>
          <w:ilvl w:val="0"/>
          <w:numId w:val="64"/>
        </w:numPr>
        <w:tabs>
          <w:tab w:val="clear" w:pos="357"/>
        </w:tabs>
      </w:pPr>
      <w:r>
        <w:t>Europaparlamentet erinrar om att de gränsvärden som WHO rekommenderat för exponering för elektromagnetiska fält tydligt underskrids i EU:s medlemsstater.</w:t>
      </w:r>
    </w:p>
    <w:p>
      <w:pPr>
        <w:pStyle w:val="Visa"/>
        <w:numPr>
          <w:ilvl w:val="0"/>
          <w:numId w:val="64"/>
        </w:numPr>
        <w:tabs>
          <w:tab w:val="clear" w:pos="357"/>
        </w:tabs>
      </w:pPr>
      <w:r>
        <w:t>Europaparlamentet stöder de oberoende vetenskapliga studier som WHO beställt för  en undersökning av de eventuella effekterna av elektromagnetiska fält.</w:t>
      </w:r>
    </w:p>
    <w:p>
      <w:pPr>
        <w:pStyle w:val="Visa"/>
        <w:numPr>
          <w:ilvl w:val="0"/>
          <w:numId w:val="64"/>
        </w:numPr>
        <w:tabs>
          <w:tab w:val="clear" w:pos="357"/>
        </w:tabs>
      </w:pPr>
      <w:r>
        <w:t>Europaparlamentet uppmanar kommissionen, medlemsstaterna, operatörerna och de nationella myndigheter som deltar i förvaltningen av telekominfrastrukturen att aktivt delta i den offentliga diskussionen om elektromagnetiska fält och mobil kommunikation genom att bland annat ge tillförlitlig information om aktuella vetenskapliga rön och om tekniken. Europaparlamentet välkomnar i detta sammanhang kommissionens initiativ att inrätta ett europeiskt informationssystem om elektromagnetiska fält där alla intressenter skall få medverka.</w:t>
      </w:r>
    </w:p>
    <w:p>
      <w:pPr>
        <w:pStyle w:val="Visa"/>
        <w:numPr>
          <w:ilvl w:val="0"/>
          <w:numId w:val="64"/>
        </w:numPr>
        <w:tabs>
          <w:tab w:val="clear" w:pos="357"/>
        </w:tabs>
      </w:pPr>
      <w:r>
        <w:t>Europaparlamentet uppmanar medlemsstaterna att se till att besluten om utplacering av basstationer för mobiltelefoni sker med största möjliga hänsyn till hälso- och miljöaspekter samt att dessa beslut fattas genom öppna stadsplaneringsförfaranden.</w:t>
      </w:r>
    </w:p>
    <w:p>
      <w:pPr>
        <w:pStyle w:val="Visa"/>
        <w:numPr>
          <w:ilvl w:val="0"/>
          <w:numId w:val="64"/>
        </w:numPr>
        <w:tabs>
          <w:tab w:val="clear" w:pos="357"/>
        </w:tabs>
      </w:pPr>
      <w:r>
        <w:t>Europaparlamentet uppmanar medlemsstaterna att i villkoren för utbyggnaden av 3G</w:t>
      </w:r>
      <w:r>
        <w:noBreakHyphen/>
        <w:t>nätens infrastruktur både ta hänsyn till hälso- och miljöskyddet och behovet av en snabb och friktionsfri utbyggnad. Europaparlamentet välkomnar i detta sammanhang mobilnätsoperatörernas positiva ansträngningar för att skapa ökad insyn och söka en dialog med de lokala myndigheterna och med allmänheten. Dessutom bör sådant samarbete mellan operatörerna som gynnar utbyggnaden av nätet (gemensam användning av nätinfrastruktur) ges kraftigt stöd.</w:t>
      </w:r>
    </w:p>
    <w:p>
      <w:pPr>
        <w:pStyle w:val="Visa"/>
        <w:numPr>
          <w:ilvl w:val="0"/>
          <w:numId w:val="64"/>
        </w:numPr>
        <w:tabs>
          <w:tab w:val="clear" w:pos="357"/>
        </w:tabs>
      </w:pPr>
      <w:r>
        <w:t>Europaparlamentet uppmanar kommissionen att hjälpa medlemsstaterna att främja och samordna utbytet av bästa möjliga praxis när det gäller stadsplanering i syfte att få till stånd en harmonisering inom EU.</w:t>
      </w:r>
    </w:p>
    <w:p>
      <w:pPr>
        <w:pStyle w:val="Visa"/>
        <w:numPr>
          <w:ilvl w:val="0"/>
          <w:numId w:val="64"/>
        </w:numPr>
        <w:tabs>
          <w:tab w:val="clear" w:pos="357"/>
        </w:tabs>
      </w:pPr>
      <w:r>
        <w:t xml:space="preserve">Europaparlamentet uppmanar kommissionen och medlemsstaterna att utarbeta en handlingsplan för att främja standardiserad utformning inom 3G-sektorn så att de tekniska specifikationer som löser frågan om funktionshindrade personers tillgång beaktas i samband med produkternas utformning. </w:t>
      </w:r>
    </w:p>
    <w:p>
      <w:pPr>
        <w:pStyle w:val="Visa"/>
        <w:numPr>
          <w:ilvl w:val="0"/>
          <w:numId w:val="64"/>
        </w:numPr>
        <w:tabs>
          <w:tab w:val="clear" w:pos="357"/>
        </w:tabs>
      </w:pPr>
      <w:r>
        <w:t>Europaparlamentet begär att alla direktiv inom den nya lagstiftningsramen för elektroniska kommunikationer skall införlivas med nationell lagstiftning och träda i kraft snarast möjligt.</w:t>
      </w:r>
    </w:p>
    <w:p>
      <w:pPr>
        <w:pStyle w:val="Visa"/>
        <w:numPr>
          <w:ilvl w:val="0"/>
          <w:numId w:val="64"/>
        </w:numPr>
        <w:tabs>
          <w:tab w:val="clear" w:pos="357"/>
        </w:tabs>
      </w:pPr>
      <w:r>
        <w:t>Europaparlamentet understryker vikten av att skydda barn i samband med Internetanvändning och uppmanar kommissionen samt tjänste- och innehållsleverantörerna att undersöka hur barn kan skyddas.</w:t>
      </w:r>
    </w:p>
    <w:p>
      <w:pPr>
        <w:pStyle w:val="Visa"/>
        <w:numPr>
          <w:ilvl w:val="0"/>
          <w:numId w:val="64"/>
        </w:numPr>
        <w:tabs>
          <w:tab w:val="clear" w:pos="357"/>
        </w:tabs>
      </w:pPr>
      <w:r>
        <w:t>Europaparlamentet uppmanar kommissionen och medlemsstaterna att vidta samordnade åtgärder för att garantera att så många som möjligt kan ta del av fördelarna med 3G-näten, till exempel genom att erbjuda bättre villkor för nätutbyggnaden.</w:t>
      </w:r>
    </w:p>
    <w:p>
      <w:pPr>
        <w:pStyle w:val="Visa"/>
        <w:numPr>
          <w:ilvl w:val="0"/>
          <w:numId w:val="64"/>
        </w:numPr>
        <w:tabs>
          <w:tab w:val="clear" w:pos="357"/>
        </w:tabs>
      </w:pPr>
      <w:r>
        <w:t>Europaparlamentet kräver att 3G-utbyggnaden skall ske på ett rättvist och icke-diskriminerande sätt och betonar att det är viktigt att konkurrensbestämmelserna respekteras så att de berörda företagen kan agera på marknaden på jämlika villkor oavsett deras storlek.</w:t>
      </w:r>
    </w:p>
    <w:p>
      <w:pPr>
        <w:pStyle w:val="Visa"/>
        <w:numPr>
          <w:ilvl w:val="0"/>
          <w:numId w:val="64"/>
        </w:numPr>
        <w:tabs>
          <w:tab w:val="clear" w:pos="357"/>
        </w:tabs>
      </w:pPr>
      <w:r>
        <w:t>Europaparlamentet understryker att det i princip endast är fri konkurrens som kan garantera konsumenterna överkomliga priser.</w:t>
      </w:r>
    </w:p>
    <w:p>
      <w:pPr>
        <w:pStyle w:val="Visa"/>
        <w:numPr>
          <w:ilvl w:val="0"/>
          <w:numId w:val="64"/>
        </w:numPr>
        <w:tabs>
          <w:tab w:val="clear" w:pos="357"/>
        </w:tabs>
      </w:pPr>
      <w:r>
        <w:t>Europaparlamentet välkomnar kommissionens riktlinjer om gemensam användning av infrastrukturer och uppmanar kommissionen att se till att detta samutnyttjande sker på villkor som parterna frivilligt kommit överens om och som inte snedvrider en sund konkurrens.</w:t>
      </w:r>
    </w:p>
    <w:p>
      <w:pPr>
        <w:pStyle w:val="Visa"/>
        <w:numPr>
          <w:ilvl w:val="0"/>
          <w:numId w:val="64"/>
        </w:numPr>
        <w:tabs>
          <w:tab w:val="clear" w:pos="357"/>
        </w:tabs>
      </w:pPr>
      <w:r>
        <w:t>Europaparlamentet uppmanar de operatörer som deltar i 3G-utbyggnaden att föra en öppen policy när det gäller de tjänster som erbjuds för att garantera konsumenterna mesta möjliga information och på så sätt skapa ett förtroendefullt klimat, något som bara kan verka stimulerande för efterfrågan.</w:t>
      </w:r>
    </w:p>
    <w:p>
      <w:pPr>
        <w:pStyle w:val="Visa"/>
        <w:numPr>
          <w:ilvl w:val="0"/>
          <w:numId w:val="64"/>
        </w:numPr>
        <w:tabs>
          <w:tab w:val="clear" w:pos="357"/>
        </w:tabs>
      </w:pPr>
      <w:r>
        <w:t>Europaparlamentet erinrar om att särskild uppmärksamhet bör ägnas säkerheten vid betalning via mobiltelefon och kräver att denna fråga utreds ingående så att man kan finna tillfredsställande politiska och tekniska lösningar, t.ex. Mobile Payments Initiative system. Risken för bedrägerier kommer i annat fall att avskräcka från elektroniska betalningar via 3G och därmed försvaga marknaden.</w:t>
      </w:r>
    </w:p>
    <w:p>
      <w:pPr>
        <w:pStyle w:val="Visa"/>
        <w:numPr>
          <w:ilvl w:val="0"/>
          <w:numId w:val="64"/>
        </w:numPr>
        <w:tabs>
          <w:tab w:val="clear" w:pos="357"/>
        </w:tabs>
      </w:pPr>
      <w:r>
        <w:t>Europaparlamentet understryker att handeln med frekvenser framför allt inte får leda till snedvridningar av konkurrensen på den europeiska telekommunikationsmarknaden.</w:t>
      </w:r>
    </w:p>
    <w:p>
      <w:pPr>
        <w:pStyle w:val="Visa"/>
        <w:widowControl/>
        <w:numPr>
          <w:ilvl w:val="0"/>
          <w:numId w:val="64"/>
        </w:numPr>
        <w:tabs>
          <w:tab w:val="clear" w:pos="357"/>
        </w:tabs>
        <w:ind w:start="703" w:hanging="703"/>
      </w:pPr>
      <w:r>
        <w:t>Europaparlamentet uppmanar medlemsstaterna att ge ökat stöd till bredbandsinitiativ genom skattelättnader och åtgärder som stimulerar efterfrågan på bredbandstillämpningar, såsom hälsovård på nätet.</w:t>
      </w:r>
    </w:p>
    <w:p>
      <w:pPr>
        <w:pStyle w:val="Visa"/>
        <w:numPr>
          <w:ilvl w:val="0"/>
          <w:numId w:val="64"/>
        </w:numPr>
        <w:tabs>
          <w:tab w:val="clear" w:pos="357"/>
        </w:tabs>
      </w:pPr>
      <w:r>
        <w:t>Europaparlamentet uppmuntrar kommissionen och medlemsstaterna att mycket noggrant pröva varje reglerande ingrepp i mobiltelefonin, framför allt 3G</w:t>
      </w:r>
      <w:r>
        <w:noBreakHyphen/>
        <w:t>mobiltelefonin, för att undvika att investeringshinder uppstår.</w:t>
      </w:r>
    </w:p>
    <w:p>
      <w:pPr>
        <w:pStyle w:val="Visa"/>
        <w:numPr>
          <w:ilvl w:val="0"/>
          <w:numId w:val="64"/>
        </w:numPr>
        <w:tabs>
          <w:tab w:val="clear" w:pos="357"/>
        </w:tabs>
      </w:pPr>
      <w:r>
        <w:t>Europaparlamentet uppdrar åt talmannen att översända denna resolution till rådet och kommissionen.</w:t>
      </w:r>
    </w:p>
    <w:p>
      <w:pPr>
        <w:pStyle w:val="Action"/>
      </w:pPr>
      <w:r>
        <w:rPr>
          <w:rStyle w:val="HideTWBExt"/>
          <w:lang w:val="sv-SE"/>
        </w:rPr>
        <w:t>&lt;/Considerant&lt;/Action&gt;&lt;/SubPage&gt;&lt;/PgPartieA&gt;</w:t>
      </w:r>
    </w:p>
    <w:p>
      <w:pPr>
        <w:pStyle w:val="Exposdesmotifs"/>
      </w:pPr>
      <w:r>
        <w:br w:type="page"/>
        <w:t>MOTIVERING</w:t>
      </w:r>
    </w:p>
    <w:p>
      <w:pPr>
        <w:rPr>
          <w:b/>
        </w:rPr>
      </w:pPr>
      <w:r>
        <w:rPr>
          <w:b/>
        </w:rPr>
        <w:t>Bakgrund</w:t>
      </w:r>
    </w:p>
    <w:p>
      <w:pPr>
        <w:rPr>
          <w:sz w:val="22"/>
        </w:rPr>
      </w:pPr>
    </w:p>
    <w:p>
      <w:r>
        <w:t>I mars 2001 lade kommissionen fram ett meddelande om införande av tredje generationens system för mobil kommunikation i Europeiska unionen. I meddelandet föreslogs insatser för att underlätta övergången från 2G till 3G på bland annat följande områden: förbättringar av regelverket, åtgärder för att ta itu med olösta tekniska frågor, stöd till utvecklingen av innovativa trådlösa tillämpningar och innehållsutbud samt fortsatta FoTU-insatser inom denna sektor på gemenskapsnivå.</w:t>
      </w:r>
    </w:p>
    <w:p>
      <w:pPr>
        <w:rPr>
          <w:sz w:val="22"/>
        </w:rPr>
      </w:pPr>
    </w:p>
    <w:p>
      <w:r>
        <w:t xml:space="preserve">I mars 2002 gjorde Europeiska rådet i Barcelona i sina slutsatser följande uttalande: </w:t>
      </w:r>
      <w:r>
        <w:rPr>
          <w:i/>
        </w:rPr>
        <w:t xml:space="preserve">”Den tekniska konvergensen erbjuder alla företag och medborgare </w:t>
      </w:r>
      <w:r>
        <w:rPr>
          <w:rFonts w:ascii="Times-Roman" w:hAnsi="Times-Roman"/>
          <w:i/>
        </w:rPr>
        <w:t>nya möjligheter att få tillträde till informationssamhället. Digital television och tredje generationens mobilkommunikation kommer att spela en avgörande roll när det gäller att ge omfattande tillträde till interaktiva tjänster.”</w:t>
      </w:r>
    </w:p>
    <w:p>
      <w:pPr>
        <w:rPr>
          <w:sz w:val="22"/>
        </w:rPr>
      </w:pPr>
    </w:p>
    <w:p>
      <w:pPr>
        <w:rPr>
          <w:rFonts w:ascii="Times-Roman" w:hAnsi="Times-Roman"/>
        </w:rPr>
      </w:pPr>
      <w:r>
        <w:rPr>
          <w:rFonts w:ascii="Times-Roman" w:hAnsi="Times-Roman"/>
        </w:rPr>
        <w:t>I juni 2002 lade kommissionen fram sitt meddelande vid Europeiska rådets möte i Sevilla. Rådet noterade vilka hinder som fortfarande står i vägen för utbyggnaden av nät och mobila 3G-tjänster.</w:t>
      </w:r>
    </w:p>
    <w:p>
      <w:pPr>
        <w:rPr>
          <w:sz w:val="22"/>
        </w:rPr>
      </w:pPr>
    </w:p>
    <w:p>
      <w:pPr>
        <w:rPr>
          <w:b/>
        </w:rPr>
      </w:pPr>
      <w:r>
        <w:rPr>
          <w:b/>
        </w:rPr>
        <w:t>Meddelandets innehåll</w:t>
      </w:r>
    </w:p>
    <w:p>
      <w:pPr>
        <w:rPr>
          <w:sz w:val="22"/>
        </w:rPr>
      </w:pPr>
    </w:p>
    <w:p>
      <w:r>
        <w:t>I meddelandet redogör kommissionen för problemen och frågeställningarna kring utbyggnaden av 3G.</w:t>
      </w:r>
    </w:p>
    <w:p>
      <w:pPr>
        <w:rPr>
          <w:sz w:val="22"/>
        </w:rPr>
      </w:pPr>
    </w:p>
    <w:p>
      <w:r>
        <w:t xml:space="preserve">Kommissionen understryker att telekomsektorn drabbats av den allmänna nedgången i världsekonomin och att den pressats hårt av finansmarknaderna i vilka den gjort stora investeringar, men menar ändå att 3G-tekniken verkar stabil. </w:t>
      </w:r>
    </w:p>
    <w:p>
      <w:pPr>
        <w:rPr>
          <w:sz w:val="22"/>
        </w:rPr>
      </w:pPr>
    </w:p>
    <w:p>
      <w:pPr>
        <w:ind w:end="-142"/>
      </w:pPr>
      <w:r>
        <w:t xml:space="preserve">En av de viktigaste frågorna när det gäller utvecklingen av mobiltelefonin är terminalernas kompatibilitet. Här erinrar kommissionen om att man under 2002 gjorde framsteg i utvecklingen av 3G-terminaler - de första modellerna är nu färdiga att släppas ut på marknaderna i Europa. Dessutom har de befintliga 2G-näten uppgraderats till GPRS och på så sätt banat väg för 2,5G. Kommissionen konstaterar emellertid att vissa tekniska problem kvarstår, som t.ex. avbrutna samtal, problem med programvaran för terminaler och otillräcklig batterikapacitet. </w:t>
      </w:r>
    </w:p>
    <w:p>
      <w:pPr>
        <w:rPr>
          <w:sz w:val="22"/>
        </w:rPr>
      </w:pPr>
    </w:p>
    <w:p>
      <w:r>
        <w:t>När det gäller marknaden för 3G-tjänster finns det för närvarande inga sådana tjänster tillgängliga i Europa. Det är bara Japan som lanserat 3G-tjänster på global nivå. Kommissionen menar att utsikterna för en efterfrågan av sådana tjänster är goda och detta av två skäl. Dels ökar SMS-trafiken påfallande och därmed utsikterna för en efterfrågan på förfinade tjänster som kan tillgodoses genom 3G, dels fanns det i januari 2002 över 50 GSM</w:t>
      </w:r>
      <w:r>
        <w:noBreakHyphen/>
        <w:t xml:space="preserve">operatörer i Europa som kunde erbjuda GPRS-tjänster. </w:t>
      </w:r>
    </w:p>
    <w:p>
      <w:pPr>
        <w:rPr>
          <w:sz w:val="22"/>
        </w:rPr>
      </w:pPr>
    </w:p>
    <w:p>
      <w:pPr>
        <w:widowControl/>
      </w:pPr>
      <w:r>
        <w:t>I frågor som rör regelverket pekar kommissionen på att ett förfarande för att utfärda 3G</w:t>
      </w:r>
      <w:r>
        <w:noBreakHyphen/>
        <w:t>licenser inletts i alla EU-länder och att licenser utfärdats i alla länder utom i Frankrike och Irland (totalt 61 licenser i september 2002). Ett så stort antal licenser är tillräckligt för att utveckla en konkurrenskraftig marknad.</w:t>
      </w:r>
    </w:p>
    <w:p>
      <w:pPr>
        <w:spacing w:before="240"/>
      </w:pPr>
      <w:r>
        <w:t>I meddelandet redogörs för de viktigaste frågorna och svaren i samband med en fullständig utbyggnad av tredje generationens mobila kommunikationssystem. Efter samråd med alla parter som berörs av denna utbyggnad har kommissionen funnit att det råder enighet kring följande punkter:</w:t>
      </w:r>
    </w:p>
    <w:p>
      <w:pPr>
        <w:rPr>
          <w:sz w:val="22"/>
        </w:rPr>
      </w:pPr>
    </w:p>
    <w:p>
      <w:pPr>
        <w:numPr>
          <w:ilvl w:val="0"/>
          <w:numId w:val="60"/>
        </w:numPr>
      </w:pPr>
      <w:r>
        <w:t>För att bygga ut 3G-tjänsterna behövs ingen ny lagstiftning; det viktiga är att marknadskrafterna får råda.</w:t>
      </w:r>
    </w:p>
    <w:p>
      <w:pPr>
        <w:rPr>
          <w:sz w:val="22"/>
        </w:rPr>
      </w:pPr>
    </w:p>
    <w:p>
      <w:pPr>
        <w:numPr>
          <w:ilvl w:val="0"/>
          <w:numId w:val="60"/>
        </w:numPr>
      </w:pPr>
      <w:r>
        <w:t xml:space="preserve">3G-kommunikation måste på lång sikt bli en av tjänsteplattformarna i det allmänna informationssamhället. </w:t>
      </w:r>
    </w:p>
    <w:p>
      <w:pPr>
        <w:rPr>
          <w:sz w:val="22"/>
        </w:rPr>
      </w:pPr>
    </w:p>
    <w:p>
      <w:pPr>
        <w:numPr>
          <w:ilvl w:val="0"/>
          <w:numId w:val="60"/>
        </w:numPr>
      </w:pPr>
      <w:r>
        <w:t xml:space="preserve">De offentliga myndigheterna måste engagera sig i utbyggnadsprocessen genom att ge kontinuerligt stöd. </w:t>
      </w:r>
    </w:p>
    <w:p>
      <w:pPr>
        <w:rPr>
          <w:sz w:val="22"/>
        </w:rPr>
      </w:pPr>
    </w:p>
    <w:p>
      <w:r>
        <w:t>Tre faktorer framhålls som viktiga för att bistå sektorn. Först och främst ett stabilt, harmoniserat och öppet regelverk som tar hänsyn till konsumenternas intressen. Därefter den aktivt stödjande och stimulerande roll som EU förväntas spela. Slutligen krävs långsiktiga initiativ som tar hänsyn till tidigare erfarenheter inom 3G-sektorn och till utvidgningen.</w:t>
      </w:r>
    </w:p>
    <w:p>
      <w:pPr>
        <w:rPr>
          <w:sz w:val="22"/>
        </w:rPr>
      </w:pPr>
    </w:p>
    <w:p>
      <w:r>
        <w:t xml:space="preserve">Kommissionen understryker behovet av bättre samordning av de politiska initiativen i hela EU. Detta är en förutsättning om man skall kunna säkerställa förvaltningen av framtida tjänster och tekniker som bygger på radiospektrumanvändning. För närvarande finns det 15 olika system i EU för tilldelning av frekvenser till operatörerna. </w:t>
      </w:r>
    </w:p>
    <w:p>
      <w:pPr>
        <w:rPr>
          <w:sz w:val="22"/>
        </w:rPr>
      </w:pPr>
    </w:p>
    <w:p>
      <w:r>
        <w:t>När det gäller regelverket anser kommissionen att det inte behövs någon ändring i fråga om licenstilldelning. Varje ändring av utbyggnadskraven måste genomföras under öppna och objektiva former efter offentligt samråd och i samarbete med nationella förvaltningar. Giltighetstiden för licenser kommer inte att justeras inom den närmaste tiden. När det gäller licensavgifter och andra dithörande betalningar anser kommissionen att eventuella ändringar skulle motverka sitt eget syfte. Ett förtydligande av reglerna anses nödvändigt, särskilt när det gäller gemensam användning av nätinfrastruktur (som inte föreskrivs i ursprungslicensen) och miljöskydd.</w:t>
      </w:r>
    </w:p>
    <w:p>
      <w:pPr>
        <w:rPr>
          <w:sz w:val="22"/>
        </w:rPr>
      </w:pPr>
    </w:p>
    <w:p>
      <w:r>
        <w:t xml:space="preserve">Kommissionen framhåller de särskilda åtgärder som krävs för att stödja 3G-utbyggnaden. Det finns för närvarande ett stort hinder: de varierande villkoren för beviljande av tillstånd (olika bestämmelser på nationell och lokal nivå i fråga om maximigränser för strålning och när det gäller miljöhänsyn). För att underlätta utbyggnaden uppmuntrar kommissionen tills vidare samlokalisering, gemensamt utnyttjande av master och utbyte av praxis för att tillgodose kraven på hälso- och miljöskydd och samtidigt främja utvecklingen av informationssamhället. </w:t>
      </w:r>
    </w:p>
    <w:p>
      <w:pPr>
        <w:rPr>
          <w:sz w:val="22"/>
        </w:rPr>
      </w:pPr>
    </w:p>
    <w:p>
      <w:pPr>
        <w:rPr>
          <w:b/>
        </w:rPr>
      </w:pPr>
      <w:r>
        <w:rPr>
          <w:b/>
        </w:rPr>
        <w:t>Föredragandens ståndpunkt</w:t>
      </w:r>
    </w:p>
    <w:p>
      <w:pPr>
        <w:rPr>
          <w:sz w:val="22"/>
        </w:rPr>
      </w:pPr>
    </w:p>
    <w:p>
      <w:r>
        <w:t>Kommissionen har utarbetat detta dokument i syfte att kartlägga hindren för 3G-utbyggnaden. Faktum är att det har varit tystare kring 3G sedan auktionsförsäljningen eller ”Beauty Contests” hamnade på första sidan i den ekonomiska pressen. Föredraganden instämmer i kommissionens kartläggning av de hinder som bromsar eller t.o.m. hindrar utbyggnaden av tredje generationens mobiltelefoni. Föredraganden menar att man bör ta hänsyn till alla framtida innovationer på detta område.</w:t>
      </w:r>
    </w:p>
    <w:p>
      <w:pPr>
        <w:spacing w:before="240"/>
      </w:pPr>
      <w:r>
        <w:t>Den centrala frågan gäller 3G-marknaden: Finns den verkligen? Vilken är den europeiska konsumentens efterfrågan på tjänster via denna teknik? Kommissionen bör undersöka de ekonomiska förutsättningarna närmare.</w:t>
      </w:r>
    </w:p>
    <w:p>
      <w:pPr>
        <w:rPr>
          <w:sz w:val="22"/>
        </w:rPr>
      </w:pPr>
    </w:p>
    <w:p>
      <w:r>
        <w:t xml:space="preserve">Det förefaller som om vissa regeringar vill se statliga stöd för att hjälpa operatörerna att ta sig förbi de svårforcerade ekonomiska hindren. Föredraganden motsätter sig inte detta under förutsättning att skyldigheterna i fråga om samhällsomfattande tjänster fullgörs. Det skulle röra sig om statligt stöd till en privat sektor. </w:t>
      </w:r>
    </w:p>
    <w:p>
      <w:pPr>
        <w:rPr>
          <w:sz w:val="22"/>
        </w:rPr>
      </w:pPr>
    </w:p>
    <w:p>
      <w:r>
        <w:t>Tekniken är kostsam och dessvärre är hela sektorn inom den nya ekonomin krasslig. Blir inte 3G-tekniken snabbt omodern? Andra tekniker, som t.ex. WiFi, Bluetooth och UWB Ultra Wide Band håller för närvarande på att utvecklas, och dessa måste ha samma möjligheter att ta sig in på marknaden.</w:t>
      </w:r>
    </w:p>
    <w:p>
      <w:pPr>
        <w:rPr>
          <w:sz w:val="22"/>
        </w:rPr>
      </w:pPr>
    </w:p>
    <w:p>
      <w:r>
        <w:t xml:space="preserve">Efterfrågan på 3G-tjänster kommer till stor del att styras av det pris som operatörerna kan erbjuda konsumenterna. För att kunna garantera ett överkomligt pris måste man motarbeta sektorns naturliga benägenhet för kartellbildning. Dessutom måste man kunna garantera verklig konkurrens och öppen prissättning. Frågan är hur man skall kunna jämföra priserna. Genom att jämföra innehållet? Kilobytes? Uppkopplingslängden? Paketets innehåll måste vara så specificerat som möjligt. </w:t>
      </w:r>
    </w:p>
    <w:p>
      <w:pPr>
        <w:rPr>
          <w:sz w:val="22"/>
        </w:rPr>
      </w:pPr>
    </w:p>
    <w:p>
      <w:r>
        <w:t>En viktig fråga är hur sårbara användare, t.ex. barn, skall kunna skyddas antingen genom spärrsystem att användas av föräldrar eller genom särskilda paketerbjudanden.</w:t>
      </w:r>
    </w:p>
    <w:p>
      <w:pPr>
        <w:rPr>
          <w:sz w:val="22"/>
        </w:rPr>
      </w:pPr>
    </w:p>
    <w:p>
      <w:r>
        <w:t>Till sist är frågan om dataskydd, i synnerhet när det gäller lokalisering, särskilt viktig inom 3G. Hur skall man kunna garantera ett sådant skydd i länder som saknar dataskyddsbestämmelser (roaming för GSM fungerar i 127 länder, varav vissa är dåliga på att respektera de grundläggande friheterna)?</w:t>
      </w:r>
    </w:p>
    <w:p>
      <w:pPr>
        <w:rPr>
          <w:sz w:val="22"/>
        </w:rPr>
      </w:pPr>
    </w:p>
    <w:p>
      <w:r>
        <w:t xml:space="preserve">Säkerheten vid betalningar är viktig och föredraganden gläder sig åt att kommissionen har tagit upp detta i meddelandet. På samma sätt som för Internet kommer konsumenterna inte att använda sina mobiltelefoner för betalningar förrän de känner sig trygga. </w:t>
      </w:r>
    </w:p>
    <w:p>
      <w:pPr>
        <w:rPr>
          <w:sz w:val="22"/>
        </w:rPr>
      </w:pPr>
    </w:p>
    <w:p>
      <w:r>
        <w:t>Man får inte glömma betydelsen av försiktighetsprincipen med tanke på eventuella hälsorisker: Vilka konsekvenser får de elektromagnetiska fälten för människokroppen? Den vetenskapliga forskningen i denna fråga pågår. I vissa av unionens länder, exempelvis Frankrike och Spanien, rasar debatten. För att bara nämna ett exempel avled en liten fransk flicka på knappt sex år i samhället Saint-Cyr-l'Ecole i juli i år på grund av cancer i hjärnstammen. Två andra barn avled av samma mycket ovanliga cancerform 1996 och1998. Specialisterna ställer sig frågande. Samråd med hälsoorgan och medborgarorganisationer som t.ex. Priartem i Frankrike (sammanslutning av lokala föreningar mot uppförandet av master) och Teslabel i Belgien är ett oavvisligt krav.</w:t>
      </w:r>
    </w:p>
    <w:p>
      <w:pPr>
        <w:rPr>
          <w:sz w:val="22"/>
        </w:rPr>
      </w:pPr>
    </w:p>
    <w:p>
      <w:r>
        <w:t>Uppförandet av 3G-master bör slutligen ske med hänsyn till miljön och stadsplaneringen. Medlemsstaterna skall se till att tillståndsgivningen i städerna föregås av ett öppet förfarande med offentlig utfrågning. Faktum är att det behövs fyra till sexton gånger fler master för 3G än för 2G.</w:t>
      </w:r>
    </w:p>
    <w:p>
      <w:pPr>
        <w:rPr>
          <w:sz w:val="22"/>
        </w:rPr>
      </w:pPr>
    </w:p>
    <w:p>
      <w:pPr>
        <w:widowControl/>
      </w:pPr>
      <w:r>
        <w:t>Av ekonomiska, miljömässiga och hälsomässiga skäl stöder föredraganden därför tanken på ett gemensamt utnyttjande av master och samlokalisering, något som också rekommenderas av kommissionen.</w:t>
      </w:r>
    </w:p>
    <w:p/>
    <w:sectPr>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code="9"/>
      <w:pgMar w:top="1134" w:right="1417" w:bottom="1417" w:left="1417" w:header="1134" w:footer="567" w:gutter="0"/>
      <w:cols w:space="708"/>
      <w:noEndnote/>
      <w:titlePg/>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00000287" w:usb1="00000000" w:usb2="00000000" w:usb3="00000000" w:csb0="0000009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00000287" w:usb1="00000000" w:usb2="00000000" w:usb3="00000000" w:csb0="0000009F" w:csb1="00000000"/>
  </w:font>
  <w:font w:name="Times-Roman">
    <w:panose1 w:val="00000000000000000000"/>
    <w:charset w:characterSet="iso-8859-1"/>
    <w:family w:val="roman"/>
    <w:notTrueType/>
    <w:pitch w:val="default"/>
    <w:sig w:usb0="00000003" w:usb1="00000000" w:usb2="00000000" w:usb3="00000000" w:csb0="00000001" w:csb1="00000000"/>
  </w:font>
  <w:font w:name="Verdana">
    <w:panose1 w:val="020B0604030504040204"/>
    <w:charset w:characterSet="iso-8859-1"/>
    <w:family w:val="swiss"/>
    <w:pitch w:val="variable"/>
    <w:sig w:usb0="00000287" w:usb1="00000000" w:usb2="00000000" w:usb3="00000000" w:csb0="0000009F" w:csb1="00000000"/>
  </w:font>
  <w:font w:name="Tahoma">
    <w:panose1 w:val="020B0604030504040204"/>
    <w:charset w:characterSet="iso-8859-1"/>
    <w:family w:val="swiss"/>
    <w:pitch w:val="variable"/>
    <w:sig w:usb0="01007A87" w:usb1="80000000" w:usb2="00000008" w:usb3="00000000" w:csb0="000100FF" w:csb1="00000000"/>
  </w:font>
  <w:font w:name="Courier New">
    <w:panose1 w:val="02070309020205020404"/>
    <w:charset w:characterSet="iso-8859-1"/>
    <w:family w:val="modern"/>
    <w:pitch w:val="fixed"/>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 xml:space="preserve">PE </w:t>
    </w:r>
    <w:r>
      <w:rPr>
        <w:rStyle w:val="HideTWBExt"/>
      </w:rPr>
      <w:t>&lt;NoPE&gt;</w:t>
    </w:r>
    <w:r>
      <w:t>321.983</w:t>
    </w:r>
    <w:r>
      <w:rPr>
        <w:rStyle w:val="HideTWBExt"/>
      </w:rPr>
      <w:t>&lt;/NoPE&gt;</w:t>
    </w:r>
    <w:r>
      <w:tab/>
    </w:r>
    <w:r>
      <w:fldChar w:fldCharType="begin"/>
    </w:r>
    <w:r>
      <w:instrText xml:space="preserve"> PAGE  \* MERGEFORMAT </w:instrText>
    </w:r>
    <w:r>
      <w:fldChar w:fldCharType="separate"/>
    </w:r>
    <w:r>
      <w:t>8</w:t>
    </w:r>
    <w:r>
      <w:fldChar w:fldCharType="end"/>
    </w:r>
    <w:r>
      <w:t>/</w:t>
    </w:r>
    <w:r>
      <w:fldChar w:fldCharType="begin"/>
    </w:r>
    <w:r>
      <w:instrText xml:space="preserve"> NUMPAGES  \* MERGEFORMAT </w:instrText>
    </w:r>
    <w:r>
      <w:fldChar w:fldCharType="separate"/>
    </w:r>
    <w:r>
      <w:t>15</w:t>
    </w:r>
    <w:r>
      <w:fldChar w:fldCharType="end"/>
    </w:r>
    <w:r>
      <w:tab/>
    </w:r>
    <w:r>
      <w:rPr>
        <w:rStyle w:val="HideTWBExt"/>
      </w:rPr>
      <w:t>&lt;PathFdR&gt;</w:t>
    </w:r>
    <w:r>
      <w:t>RR\487556SV.doc</w:t>
    </w:r>
    <w:r>
      <w:rPr>
        <w:rStyle w:val="HideTWBExt"/>
      </w:rPr>
      <w:t>&lt;/PathFdR&gt;</w:t>
    </w:r>
  </w:p>
  <w:p>
    <w:pPr>
      <w:pStyle w:val="Footer2"/>
    </w:pPr>
    <w:r>
      <w:t>SV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HideTWBExt"/>
      </w:rPr>
      <w:t>&lt;PathFdR&gt;</w:t>
    </w:r>
    <w:r>
      <w:t>RR\487556SV.doc</w:t>
    </w:r>
    <w:r>
      <w:rPr>
        <w:rStyle w:val="HideTWBExt"/>
      </w:rPr>
      <w:t>&lt;/PathFdR&gt;</w:t>
    </w:r>
    <w:r>
      <w:tab/>
    </w:r>
    <w:r>
      <w:fldChar w:fldCharType="begin"/>
    </w:r>
    <w:r>
      <w:instrText xml:space="preserve"> PAGE  \* MERGEFORMAT </w:instrText>
    </w:r>
    <w:r>
      <w:fldChar w:fldCharType="separate"/>
    </w:r>
    <w:r>
      <w:t>9</w:t>
    </w:r>
    <w:r>
      <w:fldChar w:fldCharType="end"/>
    </w:r>
    <w:r>
      <w:t>/</w:t>
    </w:r>
    <w:r>
      <w:fldChar w:fldCharType="begin"/>
    </w:r>
    <w:r>
      <w:instrText xml:space="preserve"> NUMPAGES  \* MERGEFORMAT </w:instrText>
    </w:r>
    <w:r>
      <w:fldChar w:fldCharType="separate"/>
    </w:r>
    <w:r>
      <w:t>15</w:t>
    </w:r>
    <w:r>
      <w:fldChar w:fldCharType="end"/>
    </w:r>
    <w:r>
      <w:tab/>
      <w:t xml:space="preserve">PE </w:t>
    </w:r>
    <w:r>
      <w:rPr>
        <w:rStyle w:val="HideTWBExt"/>
      </w:rPr>
      <w:t>&lt;NoPE&gt;</w:t>
    </w:r>
    <w:r>
      <w:t>321.983</w:t>
    </w:r>
    <w:r>
      <w:rPr>
        <w:rStyle w:val="HideTWBExt"/>
      </w:rPr>
      <w:t>&lt;/NoPE&gt;</w:t>
    </w:r>
  </w:p>
  <w:p>
    <w:pPr>
      <w:pStyle w:val="Footer2"/>
    </w:pPr>
    <w:r>
      <w:tab/>
      <w:t>SV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HideTWBExt"/>
      </w:rPr>
      <w:t>&lt;PathFdR&gt;</w:t>
    </w:r>
    <w:r>
      <w:t>RR\487556SV.doc</w:t>
    </w:r>
    <w:r>
      <w:rPr>
        <w:rStyle w:val="HideTWBExt"/>
      </w:rPr>
      <w:t>&lt;/PathFdR&gt;</w:t>
    </w:r>
    <w:r>
      <w:tab/>
      <w:tab/>
      <w:t xml:space="preserve">PE </w:t>
    </w:r>
    <w:r>
      <w:rPr>
        <w:rStyle w:val="HideTWBExt"/>
      </w:rPr>
      <w:t>&lt;NoPE&gt;</w:t>
    </w:r>
    <w:r>
      <w:t>321.983</w:t>
    </w:r>
    <w:r>
      <w:rPr>
        <w:rStyle w:val="HideTWBExt"/>
      </w:rPr>
      <w:t>&lt;/NoPE&gt;</w:t>
    </w:r>
  </w:p>
  <w:p>
    <w:pPr>
      <w:pStyle w:val="Footer2"/>
    </w:pPr>
    <w:r>
      <w:t>SV</w:t>
      <w:tab/>
      <w:t>SV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pStyle w:val="FootnoteText"/>
      </w:pPr>
      <w:r>
        <w:separator/>
      </w:r>
    </w:p>
  </w:footnote>
  <w:footnote w:id="1">
    <w:p>
      <w:pPr>
        <w:pStyle w:val="FootnoteText"/>
      </w:pPr>
      <w:r>
        <w:rPr>
          <w:rStyle w:val="FootnoteReference"/>
        </w:rPr>
        <w:footnoteRef/>
      </w:r>
      <w:r>
        <w:t xml:space="preserve"> Ännu ej offentliggjord i EGT.</w:t>
      </w:r>
    </w:p>
  </w:footnote>
  <w:footnote w:id="2">
    <w:p>
      <w:pPr>
        <w:pStyle w:val="FootnoteText"/>
      </w:pPr>
      <w:r>
        <w:rPr>
          <w:rStyle w:val="FootnoteReference"/>
        </w:rPr>
        <w:footnoteRef/>
      </w:r>
      <w:r>
        <w:t xml:space="preserve"> EGT L 201, 31.7.2002, s.37.</w:t>
      </w:r>
    </w:p>
  </w:footnote>
  <w:footnote w:id="3">
    <w:p>
      <w:pPr>
        <w:pStyle w:val="FootnoteText"/>
      </w:pPr>
      <w:r>
        <w:rPr>
          <w:rStyle w:val="FootnoteReference"/>
        </w:rPr>
        <w:footnoteRef/>
      </w:r>
      <w:r>
        <w:t xml:space="preserve"> EGT L 108, 24.4.2002, s. 7.</w:t>
      </w:r>
    </w:p>
  </w:footnote>
  <w:footnote w:id="4">
    <w:p>
      <w:pPr>
        <w:pStyle w:val="FootnoteText"/>
      </w:pPr>
      <w:r>
        <w:rPr>
          <w:rStyle w:val="FootnoteReference"/>
        </w:rPr>
        <w:footnoteRef/>
      </w:r>
      <w:r>
        <w:t xml:space="preserve"> EGT L 108, 24.4.2002, s. 21.</w:t>
      </w:r>
    </w:p>
  </w:footnote>
  <w:footnote w:id="5">
    <w:p>
      <w:pPr>
        <w:pStyle w:val="FootnoteText"/>
      </w:pPr>
      <w:r>
        <w:rPr>
          <w:rStyle w:val="FootnoteReference"/>
        </w:rPr>
        <w:footnoteRef/>
      </w:r>
      <w:r>
        <w:t xml:space="preserve"> EGT L 108, 24.4.2002, s. 33.</w:t>
      </w:r>
    </w:p>
  </w:footnote>
  <w:footnote w:id="6">
    <w:p>
      <w:pPr>
        <w:pStyle w:val="FootnoteText"/>
      </w:pPr>
      <w:r>
        <w:rPr>
          <w:rStyle w:val="FootnoteReference"/>
        </w:rPr>
        <w:footnoteRef/>
      </w:r>
      <w:r>
        <w:t xml:space="preserve"> EGT L 108, 24.4.2002, s. 51.</w:t>
      </w:r>
    </w:p>
  </w:footnote>
  <w:footnote w:id="7">
    <w:p>
      <w:pPr>
        <w:pStyle w:val="FootnoteText"/>
      </w:pPr>
      <w:r>
        <w:rPr>
          <w:rStyle w:val="FootnoteReference"/>
        </w:rPr>
        <w:footnoteRef/>
      </w:r>
      <w:r>
        <w:t xml:space="preserve"> EGT L 108, 24.4.2002, s. 1.</w:t>
      </w:r>
    </w:p>
  </w:footnote>
  <w:footnote w:id="8">
    <w:p>
      <w:pPr>
        <w:pStyle w:val="FootnoteText"/>
      </w:pPr>
      <w:r>
        <w:rPr>
          <w:rStyle w:val="FootnoteReference"/>
        </w:rPr>
        <w:footnoteRef/>
      </w:r>
      <w:r>
        <w:t xml:space="preserve"> EGT L 199, 30.7.1999, s. 59.</w:t>
      </w:r>
    </w:p>
  </w:footnote>
  <w:footnote w:id="9">
    <w:p>
      <w:pPr>
        <w:pStyle w:val="FootnoteText"/>
      </w:pPr>
      <w:r>
        <w:rPr>
          <w:rStyle w:val="FootnoteReference"/>
        </w:rPr>
        <w:footnoteRef/>
      </w:r>
      <w:r>
        <w:t xml:space="preserve"> EGT C 205, 25.7.1994, s. 439.</w:t>
      </w:r>
    </w:p>
  </w:footnote>
  <w:footnote w:id="10">
    <w:p>
      <w:pPr>
        <w:pStyle w:val="FootnoteText"/>
      </w:pPr>
      <w:r>
        <w:rPr>
          <w:rStyle w:val="FootnoteReference"/>
        </w:rPr>
        <w:footnoteRef/>
      </w:r>
      <w:r>
        <w:t xml:space="preserve"> </w:t>
      </w:r>
      <w:r>
        <w:rPr>
          <w:u w:val="single"/>
        </w:rPr>
        <w:t>http://europa.eu.int/comm/health/ph/programmes/pollution/implement_rep_en.pdf.</w:t>
      </w:r>
    </w:p>
  </w:footnote>
  <w:footnote w:id="11">
    <w:p>
      <w:pPr>
        <w:pStyle w:val="FootnoteText"/>
      </w:pPr>
      <w:r>
        <w:rPr>
          <w:rStyle w:val="FootnoteReference"/>
        </w:rPr>
        <w:footnoteRef/>
      </w:r>
      <w:r>
        <w:t xml:space="preserve"> EGT L 17, 22.1.1999, s.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C88349E"/>
    <w:lvl w:ilvl="0">
      <w:start w:val="1"/>
      <w:numFmt w:val="decimal"/>
      <w:pStyle w:val="ListNumber5"/>
      <w:lvlText w:val="%1."/>
      <w:lvlJc w:val="start"/>
      <w:pPr>
        <w:tabs>
          <w:tab w:val="num" w:pos="1492"/>
        </w:tabs>
        <w:ind w:start="1492" w:hanging="360"/>
      </w:pPr>
    </w:lvl>
  </w:abstractNum>
  <w:abstractNum w:abstractNumId="1">
    <w:nsid w:val="FFFFFF7D"/>
    <w:multiLevelType w:val="singleLevel"/>
    <w:tmpl w:val="3318824A"/>
    <w:lvl w:ilvl="0">
      <w:start w:val="1"/>
      <w:numFmt w:val="decimal"/>
      <w:pStyle w:val="ListNumber4"/>
      <w:lvlText w:val="%1."/>
      <w:lvlJc w:val="start"/>
      <w:pPr>
        <w:tabs>
          <w:tab w:val="num" w:pos="1209"/>
        </w:tabs>
        <w:ind w:start="1209" w:hanging="360"/>
      </w:pPr>
    </w:lvl>
  </w:abstractNum>
  <w:abstractNum w:abstractNumId="2">
    <w:nsid w:val="FFFFFF7E"/>
    <w:multiLevelType w:val="singleLevel"/>
    <w:tmpl w:val="C20AA8E6"/>
    <w:lvl w:ilvl="0">
      <w:start w:val="1"/>
      <w:numFmt w:val="decimal"/>
      <w:pStyle w:val="ListNumber3"/>
      <w:lvlText w:val="%1."/>
      <w:lvlJc w:val="start"/>
      <w:pPr>
        <w:tabs>
          <w:tab w:val="num" w:pos="926"/>
        </w:tabs>
        <w:ind w:start="926" w:hanging="360"/>
      </w:pPr>
    </w:lvl>
  </w:abstractNum>
  <w:abstractNum w:abstractNumId="3">
    <w:nsid w:val="FFFFFF7F"/>
    <w:multiLevelType w:val="singleLevel"/>
    <w:tmpl w:val="6DA251C8"/>
    <w:lvl w:ilvl="0">
      <w:start w:val="1"/>
      <w:numFmt w:val="decimal"/>
      <w:pStyle w:val="ListNumber2"/>
      <w:lvlText w:val="%1."/>
      <w:lvlJc w:val="start"/>
      <w:pPr>
        <w:tabs>
          <w:tab w:val="num" w:pos="643"/>
        </w:tabs>
        <w:ind w:start="643" w:hanging="360"/>
      </w:pPr>
    </w:lvl>
  </w:abstractNum>
  <w:abstractNum w:abstractNumId="4">
    <w:nsid w:val="FFFFFF80"/>
    <w:multiLevelType w:val="singleLevel"/>
    <w:tmpl w:val="B4F23A58"/>
    <w:lvl w:ilvl="0">
      <w:start w:val="1"/>
      <w:numFmt w:val="bullet"/>
      <w:pStyle w:val="ListBullet5"/>
      <w:lvlText w:val=""/>
      <w:lvlJc w:val="start"/>
      <w:pPr>
        <w:tabs>
          <w:tab w:val="num" w:pos="1492"/>
        </w:tabs>
        <w:ind w:start="1492" w:hanging="360"/>
      </w:pPr>
      <w:rPr>
        <w:rFonts w:ascii="Symbol" w:hAnsi="Symbol" w:hint="default"/>
      </w:rPr>
    </w:lvl>
  </w:abstractNum>
  <w:abstractNum w:abstractNumId="5">
    <w:nsid w:val="FFFFFF81"/>
    <w:multiLevelType w:val="singleLevel"/>
    <w:tmpl w:val="A7166F84"/>
    <w:lvl w:ilvl="0">
      <w:start w:val="1"/>
      <w:numFmt w:val="bullet"/>
      <w:pStyle w:val="ListBullet4"/>
      <w:lvlText w:val=""/>
      <w:lvlJc w:val="start"/>
      <w:pPr>
        <w:tabs>
          <w:tab w:val="num" w:pos="1209"/>
        </w:tabs>
        <w:ind w:start="1209" w:hanging="360"/>
      </w:pPr>
      <w:rPr>
        <w:rFonts w:ascii="Symbol" w:hAnsi="Symbol" w:hint="default"/>
      </w:rPr>
    </w:lvl>
  </w:abstractNum>
  <w:abstractNum w:abstractNumId="6">
    <w:nsid w:val="FFFFFF82"/>
    <w:multiLevelType w:val="singleLevel"/>
    <w:tmpl w:val="0A2EFF52"/>
    <w:lvl w:ilvl="0">
      <w:start w:val="1"/>
      <w:numFmt w:val="bullet"/>
      <w:pStyle w:val="ListBullet3"/>
      <w:lvlText w:val=""/>
      <w:lvlJc w:val="start"/>
      <w:pPr>
        <w:tabs>
          <w:tab w:val="num" w:pos="926"/>
        </w:tabs>
        <w:ind w:start="926" w:hanging="360"/>
      </w:pPr>
      <w:rPr>
        <w:rFonts w:ascii="Symbol" w:hAnsi="Symbol" w:hint="default"/>
      </w:rPr>
    </w:lvl>
  </w:abstractNum>
  <w:abstractNum w:abstractNumId="7">
    <w:nsid w:val="FFFFFF83"/>
    <w:multiLevelType w:val="singleLevel"/>
    <w:tmpl w:val="2E109372"/>
    <w:lvl w:ilvl="0">
      <w:start w:val="1"/>
      <w:numFmt w:val="bullet"/>
      <w:pStyle w:val="ListBullet2"/>
      <w:lvlText w:val=""/>
      <w:lvlJc w:val="start"/>
      <w:pPr>
        <w:tabs>
          <w:tab w:val="num" w:pos="643"/>
        </w:tabs>
        <w:ind w:start="643" w:hanging="360"/>
      </w:pPr>
      <w:rPr>
        <w:rFonts w:ascii="Symbol" w:hAnsi="Symbol" w:hint="default"/>
      </w:rPr>
    </w:lvl>
  </w:abstractNum>
  <w:abstractNum w:abstractNumId="8">
    <w:nsid w:val="FFFFFF88"/>
    <w:multiLevelType w:val="singleLevel"/>
    <w:tmpl w:val="B81A5BDC"/>
    <w:lvl w:ilvl="0">
      <w:start w:val="1"/>
      <w:numFmt w:val="decimal"/>
      <w:pStyle w:val="ListNumber"/>
      <w:lvlText w:val="%1."/>
      <w:lvlJc w:val="start"/>
      <w:pPr>
        <w:tabs>
          <w:tab w:val="num" w:pos="360"/>
        </w:tabs>
        <w:ind w:start="360" w:hanging="360"/>
      </w:pPr>
    </w:lvl>
  </w:abstractNum>
  <w:abstractNum w:abstractNumId="9">
    <w:nsid w:val="FFFFFF89"/>
    <w:multiLevelType w:val="singleLevel"/>
    <w:tmpl w:val="00BC8E72"/>
    <w:lvl w:ilvl="0">
      <w:start w:val="1"/>
      <w:numFmt w:val="bullet"/>
      <w:pStyle w:val="ListBullet"/>
      <w:lvlText w:val=""/>
      <w:lvlJc w:val="start"/>
      <w:pPr>
        <w:tabs>
          <w:tab w:val="num" w:pos="360"/>
        </w:tabs>
        <w:ind w:start="360" w:hanging="360"/>
      </w:pPr>
      <w:rPr>
        <w:rFonts w:ascii="Symbol" w:hAnsi="Symbol" w:hint="default"/>
      </w:rPr>
    </w:lvl>
  </w:abstractNum>
  <w:abstractNum w:abstractNumId="10">
    <w:nsid w:val="01640A28"/>
    <w:multiLevelType w:val="singleLevel"/>
    <w:tmpl w:val="A01CE988"/>
    <w:lvl w:ilvl="0">
      <w:start w:val="352"/>
      <w:numFmt w:val="bullet"/>
      <w:lvlText w:val="–"/>
      <w:lvlJc w:val="start"/>
      <w:pPr>
        <w:tabs>
          <w:tab w:val="num" w:pos="360"/>
        </w:tabs>
        <w:ind w:start="360" w:hanging="360"/>
      </w:pPr>
      <w:rPr>
        <w:rFonts w:hint="default"/>
      </w:rPr>
    </w:lvl>
  </w:abstractNum>
  <w:abstractNum w:abstractNumId="11">
    <w:nsid w:val="073073F8"/>
    <w:multiLevelType w:val="singleLevel"/>
    <w:tmpl w:val="AE7AFCFC"/>
    <w:lvl w:ilvl="0">
      <w:start w:val="5"/>
      <w:numFmt w:val="decimal"/>
      <w:lvlText w:val="%1."/>
      <w:lvlJc w:val="start"/>
      <w:pPr>
        <w:tabs>
          <w:tab w:val="num" w:pos="360"/>
        </w:tabs>
        <w:ind w:start="360" w:hanging="360"/>
      </w:pPr>
    </w:lvl>
  </w:abstractNum>
  <w:abstractNum w:abstractNumId="12">
    <w:nsid w:val="0BA162F9"/>
    <w:multiLevelType w:val="singleLevel"/>
    <w:tmpl w:val="44D06B40"/>
    <w:lvl w:ilvl="0">
      <w:start w:val="15"/>
      <w:numFmt w:val="decimal"/>
      <w:lvlText w:val="%1."/>
      <w:lvlJc w:val="start"/>
      <w:pPr>
        <w:tabs>
          <w:tab w:val="num" w:pos="360"/>
        </w:tabs>
        <w:ind w:start="360" w:hanging="360"/>
      </w:pPr>
    </w:lvl>
  </w:abstractNum>
  <w:abstractNum w:abstractNumId="13">
    <w:nsid w:val="11161B03"/>
    <w:multiLevelType w:val="singleLevel"/>
    <w:tmpl w:val="F7C01AEC"/>
    <w:lvl w:ilvl="0">
      <w:start w:val="1"/>
      <w:numFmt w:val="decimal"/>
      <w:lvlText w:val="%1."/>
      <w:lvlJc w:val="start"/>
      <w:pPr>
        <w:tabs>
          <w:tab w:val="num" w:pos="705"/>
        </w:tabs>
        <w:ind w:start="705" w:hanging="705"/>
      </w:pPr>
      <w:rPr>
        <w:rFonts w:hint="default"/>
      </w:rPr>
    </w:lvl>
  </w:abstractNum>
  <w:abstractNum w:abstractNumId="14">
    <w:nsid w:val="134F688D"/>
    <w:multiLevelType w:val="singleLevel"/>
    <w:tmpl w:val="08090001"/>
    <w:lvl w:ilvl="0">
      <w:start w:val="1"/>
      <w:numFmt w:val="bullet"/>
      <w:lvlText w:val=""/>
      <w:lvlJc w:val="start"/>
      <w:pPr>
        <w:tabs>
          <w:tab w:val="num" w:pos="360"/>
        </w:tabs>
        <w:ind w:start="360" w:hanging="360"/>
      </w:pPr>
      <w:rPr>
        <w:rFonts w:ascii="Symbol" w:hAnsi="Symbol" w:hint="default"/>
      </w:rPr>
    </w:lvl>
  </w:abstractNum>
  <w:abstractNum w:abstractNumId="15">
    <w:nsid w:val="13D61F8E"/>
    <w:multiLevelType w:val="singleLevel"/>
    <w:tmpl w:val="30884628"/>
    <w:lvl w:ilvl="0">
      <w:start w:val="0"/>
      <w:numFmt w:val="bullet"/>
      <w:lvlText w:val="–"/>
      <w:lvlJc w:val="start"/>
      <w:pPr>
        <w:tabs>
          <w:tab w:val="num" w:pos="360"/>
        </w:tabs>
        <w:ind w:start="360" w:hanging="360"/>
      </w:pPr>
      <w:rPr>
        <w:rFonts w:hint="default"/>
      </w:rPr>
    </w:lvl>
  </w:abstractNum>
  <w:abstractNum w:abstractNumId="16">
    <w:nsid w:val="172E03E8"/>
    <w:multiLevelType w:val="singleLevel"/>
    <w:tmpl w:val="F182AF1C"/>
    <w:lvl w:ilvl="0">
      <w:start w:val="10"/>
      <w:numFmt w:val="decimal"/>
      <w:lvlText w:val="%1."/>
      <w:lvlJc w:val="start"/>
      <w:pPr>
        <w:tabs>
          <w:tab w:val="num" w:pos="360"/>
        </w:tabs>
        <w:ind w:start="360" w:hanging="360"/>
      </w:pPr>
    </w:lvl>
  </w:abstractNum>
  <w:abstractNum w:abstractNumId="17">
    <w:nsid w:val="1A2D754C"/>
    <w:multiLevelType w:val="singleLevel"/>
    <w:tmpl w:val="30884628"/>
    <w:lvl w:ilvl="0">
      <w:start w:val="0"/>
      <w:numFmt w:val="bullet"/>
      <w:lvlText w:val="–"/>
      <w:lvlJc w:val="start"/>
      <w:pPr>
        <w:tabs>
          <w:tab w:val="num" w:pos="360"/>
        </w:tabs>
        <w:ind w:start="360" w:hanging="360"/>
      </w:pPr>
      <w:rPr>
        <w:rFonts w:hint="default"/>
      </w:rPr>
    </w:lvl>
  </w:abstractNum>
  <w:abstractNum w:abstractNumId="18">
    <w:nsid w:val="1A7B0BAA"/>
    <w:multiLevelType w:val="singleLevel"/>
    <w:tmpl w:val="30884628"/>
    <w:lvl w:ilvl="0">
      <w:start w:val="0"/>
      <w:numFmt w:val="bullet"/>
      <w:lvlText w:val="–"/>
      <w:lvlJc w:val="start"/>
      <w:pPr>
        <w:tabs>
          <w:tab w:val="num" w:pos="360"/>
        </w:tabs>
        <w:ind w:start="360" w:hanging="360"/>
      </w:pPr>
      <w:rPr>
        <w:rFonts w:hint="default"/>
      </w:rPr>
    </w:lvl>
  </w:abstractNum>
  <w:abstractNum w:abstractNumId="19">
    <w:nsid w:val="1E711BFE"/>
    <w:multiLevelType w:val="singleLevel"/>
    <w:tmpl w:val="8D4C03E4"/>
    <w:lvl w:ilvl="0">
      <w:start w:val="2"/>
      <w:numFmt w:val="bullet"/>
      <w:lvlText w:val="-"/>
      <w:lvlJc w:val="start"/>
      <w:pPr>
        <w:tabs>
          <w:tab w:val="num" w:pos="360"/>
        </w:tabs>
        <w:ind w:start="360" w:hanging="360"/>
      </w:pPr>
      <w:rPr>
        <w:rFonts w:hint="default"/>
      </w:rPr>
    </w:lvl>
  </w:abstractNum>
  <w:abstractNum w:abstractNumId="20">
    <w:nsid w:val="1FF10F53"/>
    <w:multiLevelType w:val="singleLevel"/>
    <w:tmpl w:val="30884628"/>
    <w:lvl w:ilvl="0">
      <w:start w:val="0"/>
      <w:numFmt w:val="bullet"/>
      <w:lvlText w:val="–"/>
      <w:lvlJc w:val="start"/>
      <w:pPr>
        <w:tabs>
          <w:tab w:val="num" w:pos="360"/>
        </w:tabs>
        <w:ind w:start="360" w:hanging="360"/>
      </w:pPr>
      <w:rPr>
        <w:rFonts w:hint="default"/>
      </w:rPr>
    </w:lvl>
  </w:abstractNum>
  <w:abstractNum w:abstractNumId="21">
    <w:nsid w:val="206A4D58"/>
    <w:multiLevelType w:val="singleLevel"/>
    <w:tmpl w:val="F9F8279A"/>
    <w:lvl w:ilvl="0">
      <w:start w:val="1"/>
      <w:numFmt w:val="lowerLetter"/>
      <w:lvlText w:val="%1)"/>
      <w:lvlJc w:val="start"/>
      <w:pPr>
        <w:tabs>
          <w:tab w:val="num" w:pos="720"/>
        </w:tabs>
        <w:ind w:start="720" w:hanging="360"/>
      </w:pPr>
      <w:rPr>
        <w:rFonts w:hint="default"/>
      </w:rPr>
    </w:lvl>
  </w:abstractNum>
  <w:abstractNum w:abstractNumId="22">
    <w:nsid w:val="28FC0407"/>
    <w:multiLevelType w:val="singleLevel"/>
    <w:tmpl w:val="549E8842"/>
    <w:lvl w:ilvl="0">
      <w:start w:val="1"/>
      <w:numFmt w:val="bullet"/>
      <w:lvlText w:val="-"/>
      <w:lvlJc w:val="start"/>
      <w:pPr>
        <w:tabs>
          <w:tab w:val="num" w:pos="360"/>
        </w:tabs>
        <w:ind w:start="360" w:hanging="360"/>
      </w:pPr>
      <w:rPr>
        <w:rFonts w:hint="default"/>
      </w:rPr>
    </w:lvl>
  </w:abstractNum>
  <w:abstractNum w:abstractNumId="23">
    <w:nsid w:val="346B1CFE"/>
    <w:multiLevelType w:val="singleLevel"/>
    <w:tmpl w:val="7FE8704A"/>
    <w:lvl w:ilvl="0">
      <w:start w:val="19"/>
      <w:numFmt w:val="decimal"/>
      <w:lvlText w:val="%1."/>
      <w:lvlJc w:val="start"/>
      <w:pPr>
        <w:tabs>
          <w:tab w:val="num" w:pos="360"/>
        </w:tabs>
        <w:ind w:start="360" w:hanging="360"/>
      </w:pPr>
    </w:lvl>
  </w:abstractNum>
  <w:abstractNum w:abstractNumId="24">
    <w:nsid w:val="3CE7214D"/>
    <w:multiLevelType w:val="singleLevel"/>
    <w:tmpl w:val="F7C01AEC"/>
    <w:lvl w:ilvl="0">
      <w:start w:val="1"/>
      <w:numFmt w:val="decimal"/>
      <w:lvlText w:val="%1."/>
      <w:lvlJc w:val="start"/>
      <w:pPr>
        <w:tabs>
          <w:tab w:val="num" w:pos="705"/>
        </w:tabs>
        <w:ind w:start="705" w:hanging="705"/>
      </w:pPr>
      <w:rPr>
        <w:rFonts w:hint="default"/>
      </w:rPr>
    </w:lvl>
  </w:abstractNum>
  <w:abstractNum w:abstractNumId="25">
    <w:nsid w:val="41ED70DF"/>
    <w:multiLevelType w:val="singleLevel"/>
    <w:tmpl w:val="30884628"/>
    <w:lvl w:ilvl="0">
      <w:start w:val="0"/>
      <w:numFmt w:val="bullet"/>
      <w:lvlText w:val="–"/>
      <w:lvlJc w:val="start"/>
      <w:pPr>
        <w:tabs>
          <w:tab w:val="num" w:pos="360"/>
        </w:tabs>
        <w:ind w:start="360" w:hanging="360"/>
      </w:pPr>
      <w:rPr>
        <w:rFonts w:hint="default"/>
      </w:rPr>
    </w:lvl>
  </w:abstractNum>
  <w:abstractNum w:abstractNumId="26">
    <w:nsid w:val="468E7854"/>
    <w:multiLevelType w:val="singleLevel"/>
    <w:tmpl w:val="96F25296"/>
    <w:lvl w:ilvl="0">
      <w:start w:val="1"/>
      <w:numFmt w:val="upperLetter"/>
      <w:lvlText w:val="%1."/>
      <w:lvlJc w:val="start"/>
      <w:pPr>
        <w:tabs>
          <w:tab w:val="num" w:pos="720"/>
        </w:tabs>
        <w:ind w:start="720" w:hanging="720"/>
      </w:pPr>
      <w:rPr>
        <w:rFonts w:hint="default"/>
      </w:rPr>
    </w:lvl>
  </w:abstractNum>
  <w:abstractNum w:abstractNumId="27">
    <w:nsid w:val="48133637"/>
    <w:multiLevelType w:val="singleLevel"/>
    <w:tmpl w:val="AE7AFCFC"/>
    <w:lvl w:ilvl="0">
      <w:start w:val="8"/>
      <w:numFmt w:val="decimal"/>
      <w:lvlText w:val="%1."/>
      <w:lvlJc w:val="start"/>
      <w:pPr>
        <w:tabs>
          <w:tab w:val="num" w:pos="360"/>
        </w:tabs>
        <w:ind w:start="360" w:hanging="360"/>
      </w:pPr>
      <w:rPr>
        <w:rFonts w:hint="default"/>
      </w:rPr>
    </w:lvl>
  </w:abstractNum>
  <w:abstractNum w:abstractNumId="28">
    <w:nsid w:val="481A4ECD"/>
    <w:multiLevelType w:val="singleLevel"/>
    <w:tmpl w:val="8DA6C344"/>
    <w:lvl w:ilvl="0">
      <w:start w:val="12"/>
      <w:numFmt w:val="upperLetter"/>
      <w:lvlText w:val="%1"/>
      <w:lvlJc w:val="start"/>
      <w:pPr>
        <w:tabs>
          <w:tab w:val="num" w:pos="360"/>
        </w:tabs>
        <w:ind w:start="360" w:hanging="360"/>
      </w:pPr>
    </w:lvl>
  </w:abstractNum>
  <w:abstractNum w:abstractNumId="29">
    <w:nsid w:val="4C092F15"/>
    <w:multiLevelType w:val="singleLevel"/>
    <w:tmpl w:val="08090015"/>
    <w:lvl w:ilvl="0">
      <w:start w:val="1"/>
      <w:numFmt w:val="upperLetter"/>
      <w:lvlText w:val="%1."/>
      <w:lvlJc w:val="start"/>
      <w:pPr>
        <w:tabs>
          <w:tab w:val="num" w:pos="360"/>
        </w:tabs>
        <w:ind w:start="360" w:hanging="360"/>
      </w:pPr>
    </w:lvl>
  </w:abstractNum>
  <w:abstractNum w:abstractNumId="30">
    <w:nsid w:val="63864972"/>
    <w:multiLevelType w:val="singleLevel"/>
    <w:tmpl w:val="08090015"/>
    <w:lvl w:ilvl="0">
      <w:start w:val="1"/>
      <w:numFmt w:val="upperLetter"/>
      <w:lvlText w:val="%1."/>
      <w:lvlJc w:val="start"/>
      <w:pPr>
        <w:tabs>
          <w:tab w:val="num" w:pos="360"/>
        </w:tabs>
        <w:ind w:start="360" w:hanging="360"/>
      </w:pPr>
    </w:lvl>
  </w:abstractNum>
  <w:abstractNum w:abstractNumId="31">
    <w:nsid w:val="6CF36EA3"/>
    <w:multiLevelType w:val="singleLevel"/>
    <w:tmpl w:val="30884628"/>
    <w:lvl w:ilvl="0">
      <w:start w:val="0"/>
      <w:numFmt w:val="bullet"/>
      <w:lvlText w:val="–"/>
      <w:lvlJc w:val="start"/>
      <w:pPr>
        <w:tabs>
          <w:tab w:val="num" w:pos="360"/>
        </w:tabs>
        <w:ind w:start="360" w:hanging="360"/>
      </w:pPr>
      <w:rPr>
        <w:rFonts w:hint="default"/>
      </w:rPr>
    </w:lvl>
  </w:abstractNum>
  <w:abstractNum w:abstractNumId="32">
    <w:nsid w:val="734455FA"/>
    <w:multiLevelType w:val="singleLevel"/>
    <w:tmpl w:val="2E40C0E6"/>
    <w:lvl w:ilvl="0">
      <w:start w:val="9"/>
      <w:numFmt w:val="decimal"/>
      <w:lvlText w:val="%1."/>
      <w:lvlJc w:val="start"/>
      <w:pPr>
        <w:tabs>
          <w:tab w:val="num" w:pos="420"/>
        </w:tabs>
        <w:ind w:start="420" w:hanging="420"/>
      </w:pPr>
      <w:rPr>
        <w:rFonts w:hint="default"/>
      </w:rPr>
    </w:lvl>
  </w:abstractNum>
  <w:abstractNum w:abstractNumId="33">
    <w:nsid w:val="74720898"/>
    <w:multiLevelType w:val="singleLevel"/>
    <w:tmpl w:val="0809000F"/>
    <w:lvl w:ilvl="0">
      <w:start w:val="1"/>
      <w:numFmt w:val="decimal"/>
      <w:lvlText w:val="%1."/>
      <w:lvlJc w:val="start"/>
      <w:pPr>
        <w:tabs>
          <w:tab w:val="num" w:pos="360"/>
        </w:tabs>
        <w:ind w:start="360" w:hanging="360"/>
      </w:pPr>
    </w:lvl>
  </w:abstractNum>
  <w:abstractNum w:abstractNumId="34">
    <w:nsid w:val="7F94183C"/>
    <w:multiLevelType w:val="singleLevel"/>
    <w:tmpl w:val="30884628"/>
    <w:lvl w:ilvl="0">
      <w:start w:val="0"/>
      <w:numFmt w:val="bullet"/>
      <w:lvlText w:val="–"/>
      <w:lvlJc w:val="start"/>
      <w:pPr>
        <w:tabs>
          <w:tab w:val="num" w:pos="360"/>
        </w:tabs>
        <w:ind w:start="360" w:hanging="360"/>
      </w:pPr>
      <w:rPr>
        <w:rFont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2"/>
  </w:num>
  <w:num w:numId="42">
    <w:abstractNumId w:val="10"/>
  </w:num>
  <w:num w:numId="43">
    <w:abstractNumId w:val="21"/>
  </w:num>
  <w:num w:numId="44">
    <w:abstractNumId w:val="30"/>
  </w:num>
  <w:num w:numId="45">
    <w:abstractNumId w:val="29"/>
  </w:num>
  <w:num w:numId="46">
    <w:abstractNumId w:val="33"/>
  </w:num>
  <w:num w:numId="47">
    <w:abstractNumId w:val="20"/>
  </w:num>
  <w:num w:numId="48">
    <w:abstractNumId w:val="18"/>
  </w:num>
  <w:num w:numId="49">
    <w:abstractNumId w:val="17"/>
  </w:num>
  <w:num w:numId="50">
    <w:abstractNumId w:val="28"/>
  </w:num>
  <w:num w:numId="51">
    <w:abstractNumId w:val="11"/>
  </w:num>
  <w:num w:numId="52">
    <w:abstractNumId w:val="27"/>
  </w:num>
  <w:num w:numId="53">
    <w:abstractNumId w:val="32"/>
  </w:num>
  <w:num w:numId="54">
    <w:abstractNumId w:val="16"/>
  </w:num>
  <w:num w:numId="55">
    <w:abstractNumId w:val="12"/>
  </w:num>
  <w:num w:numId="56">
    <w:abstractNumId w:val="23"/>
  </w:num>
  <w:num w:numId="57">
    <w:abstractNumId w:val="34"/>
  </w:num>
  <w:num w:numId="58">
    <w:abstractNumId w:val="31"/>
  </w:num>
  <w:num w:numId="59">
    <w:abstractNumId w:val="25"/>
  </w:num>
  <w:num w:numId="60">
    <w:abstractNumId w:val="14"/>
  </w:num>
  <w:num w:numId="61">
    <w:abstractNumId w:val="19"/>
  </w:num>
  <w:num w:numId="62">
    <w:abstractNumId w:val="15"/>
  </w:num>
  <w:num w:numId="63">
    <w:abstractNumId w:val="26"/>
  </w:num>
  <w:num w:numId="64">
    <w:abstractNumId w:val="13"/>
  </w:num>
  <w:num w:numId="65">
    <w:abstractNumId w:val="2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0"/>
  </w:footnotePr>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docVars>
    <w:docVar w:name="ATTACHMNU" w:val=" 1"/>
    <w:docVar w:name="AVIS1MNU" w:val=" 2"/>
    <w:docVar w:name="AVISMNU" w:val=" 2"/>
    <w:docVar w:name="COMKEY" w:val="ITRE"/>
    <w:docVar w:name="CopyToNetwork" w:val="-1"/>
    <w:docVar w:name="LastEditedSection" w:val=" 1"/>
    <w:docVar w:name="MEETMNU" w:val=" 2"/>
    <w:docVar w:name="REGARDMNU" w:val=" 1"/>
    <w:docVar w:name="RES1MNU" w:val=" 2"/>
    <w:docVar w:name="RES2MNU" w:val=" 2"/>
    <w:docVar w:name="RetrieveDoc" w:val="Retrieve"/>
    <w:docVar w:name="strDocTypeID" w:val="ART163"/>
    <w:docVar w:name="strSubDir" w:val="487"/>
    <w:docVar w:name="TXTLANGUE" w:val="SV"/>
    <w:docVar w:name="TXTLANGUEMIN" w:val="sv"/>
    <w:docVar w:name="TXTNRINI" w:val="2002/2240"/>
    <w:docVar w:name="TXTPE" w:val="321.983"/>
    <w:docVar w:name="TXTRAP" w:val="Danielle Auroi"/>
    <w:docVar w:name="TXTROUTE" w:val="RR\487556SV.doc"/>
    <w:docVar w:name="TXTTIT" w:val="…"/>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sv-SE" w:eastAsia="en-US"/>
    </w:rPr>
  </w:style>
  <w:style w:type="paragraph" w:styleId="Heading1">
    <w:name w:val="heading 1"/>
    <w:basedOn w:val="Normal0"/>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spacing w:before="240" w:after="60"/>
      <w:outlineLvl w:val="1"/>
    </w:pPr>
    <w:rPr>
      <w:rFonts w:ascii="Arial" w:hAnsi="Arial"/>
      <w:b/>
      <w:i/>
    </w:rPr>
  </w:style>
  <w:style w:type="paragraph" w:styleId="Heading3">
    <w:name w:val="heading 3"/>
    <w:basedOn w:val="Normal"/>
    <w:next w:val="Normal"/>
    <w:uiPriority w:val="9"/>
    <w:qFormat/>
    <w:pPr>
      <w:keepNext/>
      <w:spacing w:before="240" w:after="60"/>
      <w:outlineLvl w:val="2"/>
    </w:pPr>
    <w:rPr>
      <w:rFonts w:ascii="Arial" w:hAnsi="Arial"/>
    </w:rPr>
  </w:style>
  <w:style w:type="paragraph" w:styleId="Heading4">
    <w:name w:val="heading 4"/>
    <w:basedOn w:val="Normal"/>
    <w:next w:val="Normal"/>
    <w:uiPriority w:val="9"/>
    <w:qFormat/>
    <w:pPr>
      <w:keepNext/>
      <w:spacing w:before="240" w:after="60"/>
      <w:outlineLvl w:val="3"/>
    </w:pPr>
    <w:rPr>
      <w:rFonts w:ascii="Arial" w:hAnsi="Arial"/>
      <w:b/>
    </w:rPr>
  </w:style>
  <w:style w:type="paragraph" w:styleId="Heading5">
    <w:name w:val="heading 5"/>
    <w:basedOn w:val="Normal"/>
    <w:next w:val="Normal"/>
    <w:uiPriority w:val="9"/>
    <w:qFormat/>
    <w:pPr>
      <w:spacing w:before="240" w:after="60"/>
      <w:outlineLvl w:val="4"/>
    </w:pPr>
    <w:rPr>
      <w:sz w:val="22"/>
    </w:rPr>
  </w:style>
  <w:style w:type="paragraph" w:styleId="Heading6">
    <w:name w:val="heading 6"/>
    <w:basedOn w:val="Normal"/>
    <w:next w:val="Normal"/>
    <w:uiPriority w:val="9"/>
    <w:qFormat/>
    <w:pPr>
      <w:spacing w:before="240" w:after="60"/>
      <w:outlineLvl w:val="5"/>
    </w:pPr>
    <w:rPr>
      <w:i/>
      <w:sz w:val="22"/>
    </w:rPr>
  </w:style>
  <w:style w:type="paragraph" w:styleId="Heading7">
    <w:name w:val="heading 7"/>
    <w:basedOn w:val="Normal"/>
    <w:next w:val="Normal"/>
    <w:uiPriority w:val="9"/>
    <w:qFormat/>
    <w:pPr>
      <w:spacing w:before="240" w:after="60"/>
      <w:outlineLvl w:val="6"/>
    </w:pPr>
    <w:rPr>
      <w:rFonts w:ascii="Arial" w:hAnsi="Arial"/>
    </w:rPr>
  </w:style>
  <w:style w:type="paragraph" w:styleId="Heading8">
    <w:name w:val="heading 8"/>
    <w:basedOn w:val="Normal"/>
    <w:next w:val="Normal"/>
    <w:uiPriority w:val="9"/>
    <w:qFormat/>
    <w:pPr>
      <w:spacing w:before="240" w:after="60"/>
      <w:outlineLvl w:val="7"/>
    </w:pPr>
    <w:rPr>
      <w:rFonts w:ascii="Arial" w:hAnsi="Arial"/>
      <w:i/>
    </w:rPr>
  </w:style>
  <w:style w:type="paragraph" w:styleId="Heading9">
    <w:name w:val="heading 9"/>
    <w:basedOn w:val="Normal"/>
    <w:next w:val="Normal"/>
    <w:uiPriority w:val="9"/>
    <w:qFormat/>
    <w:pPr>
      <w:spacing w:before="240" w:after="60"/>
      <w:outlineLvl w:val="8"/>
    </w:pPr>
    <w:rPr>
      <w:rFonts w:ascii="Arial" w:hAnsi="Arial"/>
      <w:b/>
      <w:i/>
      <w:sz w:val="18"/>
    </w:rPr>
  </w:style>
  <w:style w:type="character" w:default="1" w:styleId="DefaultParagraphFont">
    <w:name w:val="Default Paragraph Font"/>
  </w:style>
  <w:style w:type="table" w:default="1" w:styleId="TableNormal">
    <w:name w:val="Normal Table"/>
    <w:uiPriority w:val="99"/>
    <w:semiHidden/>
    <w:unhideWhenUsed/>
    <w:qFormat/>
    <w:tblPr>
      <w:tblInd w:w="0pt" w:type="dxa"/>
      <w:tblCellMar>
        <w:top w:w="0pt" w:type="dxa"/>
        <w:start w:w="5.4pt" w:type="dxa"/>
        <w:bottom w:w="0pt" w:type="dxa"/>
        <w:end w:w="5.4pt" w:type="dxa"/>
      </w:tblCellMar>
    </w:tblPr>
  </w:style>
  <w:style w:type="paragraph" w:styleId="Header">
    <w:name w:val="header"/>
    <w:basedOn w:val="Normal"/>
    <w:pPr>
      <w:tabs>
        <w:tab w:val="center" w:pos="4153"/>
        <w:tab w:val="end" w:pos="8306"/>
      </w:tabs>
      <w:spacing w:after="0"/>
    </w:pPr>
  </w:style>
  <w:style w:type="character" w:customStyle="1" w:styleId="HideTWBExt">
    <w:name w:val="HideTWBExt"/>
    <w:basedOn w:val="DefaultParagraphFont"/>
    <w:rPr>
      <w:rFonts w:ascii="Arial" w:hAnsi="Arial"/>
      <w:vanish/>
      <w:color w:val="000080"/>
      <w:sz w:val="20"/>
    </w:rPr>
  </w:style>
  <w:style w:type="paragraph" w:styleId="Footer">
    <w:name w:val="footer"/>
    <w:basedOn w:val="Normal12"/>
    <w:next w:val="Normal"/>
    <w:pPr>
      <w:tabs>
        <w:tab w:val="center" w:pos="4536"/>
        <w:tab w:val="end" w:pos="9072"/>
      </w:tabs>
      <w:spacing w:before="240"/>
    </w:pPr>
    <w:rPr>
      <w:sz w:val="22"/>
    </w:rPr>
  </w:style>
  <w:style w:type="character" w:styleId="PageNumber">
    <w:name w:val="page number"/>
    <w:basedOn w:val="DefaultParagraphFont"/>
  </w:style>
  <w:style w:type="paragraph" w:customStyle="1" w:styleId="Action">
    <w:name w:val="Action"/>
    <w:basedOn w:val="Visa"/>
    <w:pPr>
      <w:widowControl w:val="0"/>
    </w:pPr>
    <w:rPr>
      <w:snapToGrid/>
    </w:rPr>
  </w:style>
  <w:style w:type="paragraph" w:customStyle="1" w:styleId="Actionamendement">
    <w:name w:val="Action amendement"/>
    <w:basedOn w:val="Normal12"/>
    <w:next w:val="Normal12"/>
    <w:pPr>
      <w:jc w:val="center"/>
    </w:pPr>
  </w:style>
  <w:style w:type="character" w:customStyle="1" w:styleId="Added">
    <w:name w:val="Added"/>
    <w:basedOn w:val="DefaultParagraphFont"/>
    <w:rPr>
      <w:b/>
    </w:rPr>
  </w:style>
  <w:style w:type="paragraph" w:customStyle="1" w:styleId="Aviscommissionparlementaire">
    <w:name w:val="Avis commission parlementaire"/>
    <w:basedOn w:val="PageprocedurePA"/>
    <w:next w:val="Normal"/>
  </w:style>
  <w:style w:type="paragraph" w:styleId="BlockText">
    <w:name w:val="Block Text"/>
    <w:basedOn w:val="Normal"/>
    <w:pPr>
      <w:spacing w:after="120"/>
      <w:ind w:start="1440" w:end="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star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start="283"/>
    </w:pPr>
  </w:style>
  <w:style w:type="paragraph" w:styleId="BodyTextIndent3">
    <w:name w:val="Body Text Indent 3"/>
    <w:basedOn w:val="Normal"/>
    <w:pPr>
      <w:spacing w:after="120"/>
      <w:ind w:start="283"/>
    </w:pPr>
    <w:rPr>
      <w:sz w:val="16"/>
    </w:rPr>
  </w:style>
  <w:style w:type="paragraph" w:styleId="Caption">
    <w:name w:val="caption"/>
    <w:basedOn w:val="Normal"/>
    <w:next w:val="Normal"/>
    <w:uiPriority w:val="35"/>
    <w:qFormat/>
    <w:pPr>
      <w:spacing w:before="120" w:after="120"/>
    </w:pPr>
    <w:rPr>
      <w:b/>
    </w:rPr>
  </w:style>
  <w:style w:type="paragraph" w:styleId="Closing">
    <w:name w:val="Closing"/>
    <w:basedOn w:val="Normal"/>
    <w:pPr>
      <w:spacing w:after="0"/>
      <w:ind w:start="4252"/>
    </w:pPr>
  </w:style>
  <w:style w:type="character" w:styleId="CommentReference">
    <w:name w:val="annotation reference"/>
    <w:basedOn w:val="DefaultParagraphFont"/>
    <w:rPr>
      <w:sz w:val="16"/>
    </w:rPr>
  </w:style>
  <w:style w:type="paragraph" w:styleId="CommentText">
    <w:name w:val="annotation text"/>
    <w:basedOn w:val="Normal"/>
    <w:pPr>
      <w:spacing w:after="0"/>
    </w:pPr>
    <w:rPr>
      <w:sz w:val="20"/>
    </w:rPr>
  </w:style>
  <w:style w:type="paragraph" w:customStyle="1" w:styleId="Commissionparlementaire">
    <w:name w:val="Commission parlementaire"/>
    <w:basedOn w:val="Titreobjet"/>
    <w:next w:val="Normal"/>
    <w:pPr>
      <w:spacing w:after="480"/>
    </w:pPr>
  </w:style>
  <w:style w:type="paragraph" w:styleId="Date">
    <w:name w:val="Date"/>
    <w:basedOn w:val="Normal"/>
    <w:next w:val="Normal"/>
    <w:pPr>
      <w:spacing w:after="0"/>
    </w:pPr>
  </w:style>
  <w:style w:type="paragraph" w:customStyle="1" w:styleId="Dbutamendement">
    <w:name w:val="Début amendement"/>
    <w:basedOn w:val="Normal12"/>
    <w:pPr>
      <w:jc w:val="center"/>
    </w:pPr>
    <w:rPr>
      <w:sz w:val="22"/>
    </w:rPr>
  </w:style>
  <w:style w:type="paragraph" w:customStyle="1" w:styleId="Dcisionsurproposition">
    <w:name w:val="Décision sur proposition"/>
    <w:basedOn w:val="Normal12"/>
    <w:next w:val="Normal"/>
    <w:pPr>
      <w:spacing w:after="480"/>
    </w:pPr>
  </w:style>
  <w:style w:type="character" w:customStyle="1" w:styleId="Deleted">
    <w:name w:val="Deleted"/>
    <w:basedOn w:val="DefaultParagraphFont"/>
    <w:rPr>
      <w:i/>
    </w:rPr>
  </w:style>
  <w:style w:type="paragraph" w:customStyle="1" w:styleId="Dput">
    <w:name w:val="Député"/>
    <w:basedOn w:val="Titreobjet"/>
    <w:pPr>
      <w:spacing w:after="240"/>
    </w:pPr>
  </w:style>
  <w:style w:type="paragraph" w:styleId="DocumentMap">
    <w:name w:val="Document Map"/>
    <w:basedOn w:val="Normal"/>
    <w:pPr>
      <w:shd w:val="clear" w:color="auto" w:fill="000080"/>
      <w:spacing w:after="0"/>
    </w:pPr>
    <w:rPr>
      <w:rFonts w:ascii="Tahoma" w:hAnsi="Tahoma"/>
    </w:rPr>
  </w:style>
  <w:style w:type="paragraph" w:customStyle="1" w:styleId="Emission">
    <w:name w:val="Emission"/>
    <w:basedOn w:val="Normal12"/>
    <w:next w:val="Normal"/>
    <w:pPr>
      <w:spacing w:after="1200"/>
    </w:pPr>
  </w:style>
  <w:style w:type="character" w:styleId="Emphasis">
    <w:name w:val="Emphasis"/>
    <w:basedOn w:val="DefaultParagraphFont"/>
    <w:uiPriority w:val="20"/>
    <w:qFormat/>
    <w:rPr>
      <w:i/>
    </w:rPr>
  </w:style>
  <w:style w:type="character" w:styleId="EndnoteReference">
    <w:name w:val="endnote reference"/>
    <w:basedOn w:val="DefaultParagraphFont"/>
    <w:rPr>
      <w:vertAlign w:val="superscript"/>
    </w:rPr>
  </w:style>
  <w:style w:type="paragraph" w:styleId="EndnoteText">
    <w:name w:val="endnote text"/>
    <w:basedOn w:val="Normal"/>
    <w:pPr>
      <w:spacing w:after="0"/>
    </w:pPr>
    <w:rPr>
      <w:sz w:val="20"/>
    </w:rPr>
  </w:style>
  <w:style w:type="paragraph" w:styleId="EnvelopeAddress">
    <w:name w:val="envelope address"/>
    <w:basedOn w:val="Normal"/>
    <w:pPr>
      <w:framePr w:w="7920" w:h="1980" w:hRule="exact" w:hSpace="180" w:vAnchor="margin" w:hAnchor="page" w:xAlign="center" w:yAlign="bottom"/>
      <w:spacing w:after="0"/>
      <w:ind w:start="2880"/>
    </w:pPr>
    <w:rPr>
      <w:rFonts w:ascii="Arial" w:hAnsi="Arial"/>
    </w:rPr>
  </w:style>
  <w:style w:type="paragraph" w:styleId="EnvelopeReturn">
    <w:name w:val="envelope return"/>
    <w:basedOn w:val="Normal"/>
    <w:pPr>
      <w:spacing w:after="0"/>
    </w:pPr>
    <w:rPr>
      <w:rFonts w:ascii="Arial" w:hAnsi="Arial"/>
      <w:sz w:val="20"/>
    </w:rPr>
  </w:style>
  <w:style w:type="paragraph" w:customStyle="1" w:styleId="Exposdesmotifs">
    <w:name w:val="Exposé des motifs"/>
    <w:basedOn w:val="PageprocedurePA"/>
    <w:next w:val="Normal"/>
  </w:style>
  <w:style w:type="paragraph" w:customStyle="1" w:styleId="Familledocument">
    <w:name w:val="Famille document"/>
    <w:basedOn w:val="Normal12"/>
    <w:next w:val="Normal"/>
    <w:pPr>
      <w:spacing w:before="240" w:after="1200"/>
      <w:jc w:val="center"/>
    </w:pPr>
    <w:rPr>
      <w:i/>
    </w:rPr>
  </w:style>
  <w:style w:type="character" w:styleId="FollowedHyperlink">
    <w:name w:val="FollowedHyperlink"/>
    <w:basedOn w:val="DefaultParagraphFont"/>
    <w:rPr>
      <w:color w:val="800080"/>
      <w:u w:val="single"/>
    </w:rPr>
  </w:style>
  <w:style w:type="paragraph" w:customStyle="1" w:styleId="Footer2">
    <w:name w:val="Footer2"/>
    <w:basedOn w:val="Footer"/>
    <w:next w:val="Normal"/>
    <w:pPr>
      <w:tabs>
        <w:tab w:val="clear" w:pos="4536"/>
        <w:tab w:val="clear" w:pos="9072"/>
        <w:tab w:val="end" w:pos="9923"/>
      </w:tabs>
      <w:ind w:start="-851"/>
    </w:pPr>
    <w:rPr>
      <w:rFonts w:ascii="Arial" w:hAnsi="Arial"/>
      <w:b/>
      <w:sz w:val="48"/>
    </w:rPr>
  </w:style>
  <w:style w:type="character" w:styleId="FootnoteReference">
    <w:name w:val="footnote reference"/>
    <w:basedOn w:val="DefaultParagraphFont"/>
    <w:rPr>
      <w:vertAlign w:val="superscript"/>
    </w:rPr>
  </w:style>
  <w:style w:type="paragraph" w:styleId="FootnoteText">
    <w:name w:val="footnote text"/>
    <w:basedOn w:val="Normal0"/>
    <w:rPr>
      <w:sz w:val="20"/>
    </w:rPr>
  </w:style>
  <w:style w:type="character" w:styleId="Hyperlink">
    <w:name w:val="Hyperlink"/>
    <w:basedOn w:val="DefaultParagraphFont"/>
    <w:rPr>
      <w:color w:val="0000FF"/>
      <w:u w:val="single"/>
    </w:rPr>
  </w:style>
  <w:style w:type="paragraph" w:styleId="Index1">
    <w:name w:val="index 1"/>
    <w:basedOn w:val="Normal"/>
    <w:next w:val="Normal"/>
    <w:autoRedefine/>
    <w:pPr>
      <w:spacing w:after="0"/>
      <w:ind w:start="240" w:hanging="240"/>
    </w:pPr>
  </w:style>
  <w:style w:type="paragraph" w:styleId="Index2">
    <w:name w:val="index 2"/>
    <w:basedOn w:val="Normal"/>
    <w:next w:val="Normal"/>
    <w:autoRedefine/>
    <w:pPr>
      <w:spacing w:after="0"/>
      <w:ind w:start="480" w:hanging="240"/>
    </w:pPr>
  </w:style>
  <w:style w:type="paragraph" w:styleId="Index3">
    <w:name w:val="index 3"/>
    <w:basedOn w:val="Normal"/>
    <w:next w:val="Normal"/>
    <w:autoRedefine/>
    <w:pPr>
      <w:spacing w:after="0"/>
      <w:ind w:start="720" w:hanging="240"/>
    </w:pPr>
  </w:style>
  <w:style w:type="paragraph" w:styleId="Index4">
    <w:name w:val="index 4"/>
    <w:basedOn w:val="Normal"/>
    <w:next w:val="Normal"/>
    <w:autoRedefine/>
    <w:pPr>
      <w:spacing w:after="0"/>
      <w:ind w:start="960" w:hanging="240"/>
    </w:pPr>
  </w:style>
  <w:style w:type="paragraph" w:styleId="Index5">
    <w:name w:val="index 5"/>
    <w:basedOn w:val="Normal"/>
    <w:next w:val="Normal"/>
    <w:autoRedefine/>
    <w:pPr>
      <w:spacing w:after="0"/>
      <w:ind w:start="1200" w:hanging="240"/>
    </w:pPr>
  </w:style>
  <w:style w:type="paragraph" w:styleId="Index6">
    <w:name w:val="index 6"/>
    <w:basedOn w:val="Normal"/>
    <w:next w:val="Normal"/>
    <w:autoRedefine/>
    <w:pPr>
      <w:spacing w:after="0"/>
      <w:ind w:start="1440" w:hanging="240"/>
    </w:pPr>
  </w:style>
  <w:style w:type="paragraph" w:styleId="Index7">
    <w:name w:val="index 7"/>
    <w:basedOn w:val="Normal"/>
    <w:next w:val="Normal"/>
    <w:autoRedefine/>
    <w:pPr>
      <w:spacing w:after="0"/>
      <w:ind w:start="1680" w:hanging="240"/>
    </w:pPr>
  </w:style>
  <w:style w:type="paragraph" w:styleId="Index8">
    <w:name w:val="index 8"/>
    <w:basedOn w:val="Normal"/>
    <w:next w:val="Normal"/>
    <w:autoRedefine/>
    <w:pPr>
      <w:spacing w:after="0"/>
      <w:ind w:start="1920" w:hanging="240"/>
    </w:pPr>
  </w:style>
  <w:style w:type="paragraph" w:styleId="Index9">
    <w:name w:val="index 9"/>
    <w:basedOn w:val="Normal"/>
    <w:next w:val="Normal"/>
    <w:autoRedefine/>
    <w:pPr>
      <w:spacing w:after="0"/>
      <w:ind w:start="2160" w:hanging="240"/>
    </w:pPr>
  </w:style>
  <w:style w:type="paragraph" w:styleId="IndexHeading">
    <w:name w:val="index heading"/>
    <w:basedOn w:val="Normal"/>
    <w:next w:val="Index1"/>
    <w:pPr>
      <w:spacing w:after="0"/>
    </w:pPr>
    <w:rPr>
      <w:rFonts w:ascii="Arial" w:hAnsi="Arial"/>
      <w:b/>
    </w:rPr>
  </w:style>
  <w:style w:type="paragraph" w:customStyle="1" w:styleId="Institutionquiagit">
    <w:name w:val="Institution qui agit"/>
    <w:basedOn w:val="Normal12"/>
    <w:next w:val="Visa"/>
    <w:pPr>
      <w:keepNext/>
    </w:pPr>
    <w:rPr>
      <w:i/>
    </w:rPr>
  </w:style>
  <w:style w:type="paragraph" w:customStyle="1" w:styleId="Justification">
    <w:name w:val="Justification"/>
    <w:basedOn w:val="Normal12"/>
    <w:rPr>
      <w:i/>
    </w:rPr>
  </w:style>
  <w:style w:type="paragraph" w:customStyle="1" w:styleId="Justificationtitre">
    <w:name w:val="Justification titre"/>
    <w:basedOn w:val="Normal"/>
    <w:next w:val="Normal"/>
    <w:pPr>
      <w:keepNext/>
      <w:spacing w:before="240" w:after="240"/>
      <w:jc w:val="center"/>
    </w:pPr>
    <w:rPr>
      <w:i/>
      <w:lang w:val="fr-FR"/>
    </w:rPr>
  </w:style>
  <w:style w:type="paragraph" w:customStyle="1" w:styleId="Lgendeabrviation">
    <w:name w:val="Légende abréviation"/>
    <w:basedOn w:val="Normal0"/>
    <w:pPr>
      <w:tabs>
        <w:tab w:val="end" w:pos="397"/>
        <w:tab w:val="end" w:pos="1077"/>
        <w:tab w:val="start" w:pos="1247"/>
      </w:tabs>
      <w:ind w:start="1247" w:hanging="1247"/>
    </w:pPr>
    <w:rPr>
      <w:sz w:val="18"/>
    </w:rPr>
  </w:style>
  <w:style w:type="paragraph" w:customStyle="1" w:styleId="Lgendesigne">
    <w:name w:val="Légende signe"/>
    <w:basedOn w:val="Normal0"/>
    <w:pPr>
      <w:tabs>
        <w:tab w:val="end" w:pos="454"/>
        <w:tab w:val="start" w:pos="737"/>
      </w:tabs>
      <w:ind w:start="737" w:hanging="737"/>
    </w:pPr>
    <w:rPr>
      <w:sz w:val="18"/>
    </w:rPr>
  </w:style>
  <w:style w:type="paragraph" w:customStyle="1" w:styleId="Lgendestandard">
    <w:name w:val="Légende standard"/>
    <w:basedOn w:val="Lgendesigne"/>
    <w:pPr>
      <w:ind w:start="0" w:firstLine="0"/>
    </w:pPr>
  </w:style>
  <w:style w:type="paragraph" w:customStyle="1" w:styleId="Lgendetitre">
    <w:name w:val="Légende titre"/>
    <w:basedOn w:val="Normal12"/>
    <w:pPr>
      <w:spacing w:before="240"/>
    </w:pPr>
    <w:rPr>
      <w:b/>
      <w:i/>
    </w:rPr>
  </w:style>
  <w:style w:type="character" w:styleId="LineNumber">
    <w:name w:val="line number"/>
    <w:basedOn w:val="DefaultParagraphFont"/>
  </w:style>
  <w:style w:type="paragraph" w:styleId="List">
    <w:name w:val="List"/>
    <w:basedOn w:val="Normal"/>
    <w:pPr>
      <w:spacing w:after="0"/>
      <w:ind w:start="283" w:hanging="283"/>
    </w:pPr>
  </w:style>
  <w:style w:type="paragraph" w:styleId="List2">
    <w:name w:val="List 2"/>
    <w:basedOn w:val="Normal"/>
    <w:pPr>
      <w:spacing w:after="0"/>
      <w:ind w:start="566" w:hanging="283"/>
    </w:pPr>
  </w:style>
  <w:style w:type="paragraph" w:styleId="List3">
    <w:name w:val="List 3"/>
    <w:basedOn w:val="Normal"/>
    <w:pPr>
      <w:spacing w:after="0"/>
      <w:ind w:start="849" w:hanging="283"/>
    </w:pPr>
  </w:style>
  <w:style w:type="paragraph" w:styleId="List4">
    <w:name w:val="List 4"/>
    <w:basedOn w:val="Normal"/>
    <w:pPr>
      <w:spacing w:after="0"/>
      <w:ind w:start="1132" w:hanging="283"/>
    </w:pPr>
  </w:style>
  <w:style w:type="paragraph" w:styleId="List5">
    <w:name w:val="List 5"/>
    <w:basedOn w:val="Normal"/>
    <w:pPr>
      <w:spacing w:after="0"/>
      <w:ind w:start="1415" w:hanging="283"/>
    </w:pPr>
  </w:style>
  <w:style w:type="paragraph" w:styleId="ListBullet">
    <w:name w:val="List Bullet"/>
    <w:basedOn w:val="Normal"/>
    <w:autoRedefine/>
    <w:pPr>
      <w:numPr>
        <w:ilvl w:val="0"/>
        <w:numId w:val="31"/>
      </w:numPr>
      <w:spacing w:after="0"/>
    </w:pPr>
  </w:style>
  <w:style w:type="paragraph" w:styleId="ListBullet2">
    <w:name w:val="List Bullet 2"/>
    <w:basedOn w:val="Normal"/>
    <w:autoRedefine/>
    <w:pPr>
      <w:numPr>
        <w:ilvl w:val="0"/>
        <w:numId w:val="32"/>
      </w:numPr>
      <w:spacing w:after="0"/>
    </w:pPr>
  </w:style>
  <w:style w:type="paragraph" w:styleId="ListBullet3">
    <w:name w:val="List Bullet 3"/>
    <w:basedOn w:val="Normal"/>
    <w:autoRedefine/>
    <w:pPr>
      <w:numPr>
        <w:ilvl w:val="0"/>
        <w:numId w:val="33"/>
      </w:numPr>
      <w:spacing w:after="0"/>
    </w:pPr>
  </w:style>
  <w:style w:type="paragraph" w:styleId="ListBullet4">
    <w:name w:val="List Bullet 4"/>
    <w:basedOn w:val="Normal"/>
    <w:autoRedefine/>
    <w:pPr>
      <w:numPr>
        <w:ilvl w:val="0"/>
        <w:numId w:val="34"/>
      </w:numPr>
      <w:spacing w:after="0"/>
    </w:pPr>
  </w:style>
  <w:style w:type="paragraph" w:styleId="ListBullet5">
    <w:name w:val="List Bullet 5"/>
    <w:basedOn w:val="Normal"/>
    <w:autoRedefine/>
    <w:pPr>
      <w:numPr>
        <w:ilvl w:val="0"/>
        <w:numId w:val="35"/>
      </w:numPr>
      <w:spacing w:after="0"/>
    </w:pPr>
  </w:style>
  <w:style w:type="paragraph" w:styleId="ListContinue">
    <w:name w:val="List Continue"/>
    <w:basedOn w:val="Normal"/>
    <w:pPr>
      <w:spacing w:after="120"/>
      <w:ind w:start="283"/>
    </w:pPr>
  </w:style>
  <w:style w:type="paragraph" w:styleId="ListContinue2">
    <w:name w:val="List Continue 2"/>
    <w:basedOn w:val="Normal"/>
    <w:pPr>
      <w:spacing w:after="120"/>
      <w:ind w:start="566"/>
    </w:pPr>
  </w:style>
  <w:style w:type="paragraph" w:styleId="ListContinue3">
    <w:name w:val="List Continue 3"/>
    <w:basedOn w:val="Normal"/>
    <w:pPr>
      <w:spacing w:after="120"/>
      <w:ind w:start="849"/>
    </w:pPr>
  </w:style>
  <w:style w:type="paragraph" w:styleId="ListContinue4">
    <w:name w:val="List Continue 4"/>
    <w:basedOn w:val="Normal"/>
    <w:pPr>
      <w:spacing w:after="120"/>
      <w:ind w:start="1132"/>
    </w:pPr>
  </w:style>
  <w:style w:type="paragraph" w:styleId="ListContinue5">
    <w:name w:val="List Continue 5"/>
    <w:basedOn w:val="Normal"/>
    <w:pPr>
      <w:spacing w:after="120"/>
      <w:ind w:start="1415"/>
    </w:pPr>
  </w:style>
  <w:style w:type="paragraph" w:styleId="ListNumber">
    <w:name w:val="List Number"/>
    <w:basedOn w:val="Normal"/>
    <w:pPr>
      <w:numPr>
        <w:ilvl w:val="0"/>
        <w:numId w:val="36"/>
      </w:numPr>
      <w:spacing w:after="0"/>
    </w:pPr>
  </w:style>
  <w:style w:type="paragraph" w:styleId="ListNumber2">
    <w:name w:val="List Number 2"/>
    <w:basedOn w:val="Normal"/>
    <w:pPr>
      <w:numPr>
        <w:ilvl w:val="0"/>
        <w:numId w:val="37"/>
      </w:numPr>
      <w:spacing w:after="0"/>
    </w:pPr>
  </w:style>
  <w:style w:type="paragraph" w:styleId="ListNumber3">
    <w:name w:val="List Number 3"/>
    <w:basedOn w:val="Normal"/>
    <w:pPr>
      <w:numPr>
        <w:ilvl w:val="0"/>
        <w:numId w:val="38"/>
      </w:numPr>
      <w:spacing w:after="0"/>
    </w:pPr>
  </w:style>
  <w:style w:type="paragraph" w:styleId="ListNumber4">
    <w:name w:val="List Number 4"/>
    <w:basedOn w:val="Normal"/>
    <w:pPr>
      <w:numPr>
        <w:ilvl w:val="0"/>
        <w:numId w:val="39"/>
      </w:numPr>
      <w:spacing w:after="0"/>
    </w:pPr>
  </w:style>
  <w:style w:type="paragraph" w:styleId="ListNumber5">
    <w:name w:val="List Number 5"/>
    <w:basedOn w:val="Normal"/>
    <w:pPr>
      <w:numPr>
        <w:ilvl w:val="0"/>
        <w:numId w:val="40"/>
      </w:numPr>
      <w:spacing w:after="0"/>
    </w:pPr>
  </w:style>
  <w:style w:type="paragraph" w:styleId="Macro">
    <w:name w:val="macro"/>
    <w:pPr>
      <w:widowControl w:val="0"/>
      <w:tabs>
        <w:tab w:val="start" w:pos="480"/>
        <w:tab w:val="start" w:pos="960"/>
        <w:tab w:val="start" w:pos="1440"/>
        <w:tab w:val="start" w:pos="1920"/>
        <w:tab w:val="start" w:pos="2400"/>
        <w:tab w:val="start" w:pos="2880"/>
        <w:tab w:val="start" w:pos="3360"/>
        <w:tab w:val="start" w:pos="3840"/>
        <w:tab w:val="start" w:pos="4320"/>
      </w:tabs>
      <w:spacing w:after="240"/>
    </w:pPr>
    <w:rPr>
      <w:rFonts w:ascii="Courier New" w:hAnsi="Courier New"/>
      <w:snapToGrid w:val="0"/>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spacing w:after="0"/>
      <w:ind w:start="1134" w:hanging="1134"/>
    </w:pPr>
    <w:rPr>
      <w:rFonts w:ascii="Arial" w:hAnsi="Arial"/>
    </w:rPr>
  </w:style>
  <w:style w:type="paragraph" w:customStyle="1" w:styleId="Nomdelinstitution">
    <w:name w:val="Nom de l'institution"/>
    <w:basedOn w:val="Normal12"/>
    <w:next w:val="Normal12"/>
    <w:pPr>
      <w:jc w:val="center"/>
    </w:pPr>
    <w:rPr>
      <w:sz w:val="56"/>
    </w:rPr>
  </w:style>
  <w:style w:type="paragraph" w:styleId="NormalIndent">
    <w:name w:val="Normal Indent"/>
    <w:basedOn w:val="Normal0"/>
    <w:pPr>
      <w:ind w:start="720"/>
    </w:pPr>
  </w:style>
  <w:style w:type="paragraph" w:styleId="NoteHeading">
    <w:name w:val="Note Heading"/>
    <w:basedOn w:val="Normal"/>
    <w:next w:val="Normal"/>
  </w:style>
  <w:style w:type="paragraph" w:customStyle="1" w:styleId="Numroamendement">
    <w:name w:val="Numéro amendement"/>
    <w:basedOn w:val="Normal12"/>
    <w:next w:val="Actionamendement"/>
    <w:pPr>
      <w:spacing w:before="480" w:after="0"/>
      <w:jc w:val="center"/>
    </w:pPr>
  </w:style>
  <w:style w:type="paragraph" w:customStyle="1" w:styleId="Opinionminoritaire">
    <w:name w:val="Opinion minoritaire"/>
    <w:basedOn w:val="PageprocedurePA"/>
    <w:next w:val="Normal"/>
  </w:style>
  <w:style w:type="paragraph" w:customStyle="1" w:styleId="Pagerglementairetitre">
    <w:name w:val="Page réglementaire titre"/>
    <w:basedOn w:val="Normal12"/>
    <w:next w:val="Normal"/>
    <w:pPr>
      <w:keepNext/>
      <w:spacing w:before="240"/>
      <w:jc w:val="center"/>
    </w:pPr>
    <w:rPr>
      <w:rFonts w:ascii="Arial" w:hAnsi="Arial"/>
      <w:b/>
    </w:rPr>
  </w:style>
  <w:style w:type="paragraph" w:customStyle="1" w:styleId="Priodelgislative">
    <w:name w:val="Période législative"/>
    <w:basedOn w:val="Normal12"/>
    <w:next w:val="Familledocument"/>
    <w:pPr>
      <w:spacing w:after="0"/>
      <w:jc w:val="center"/>
    </w:pPr>
    <w:rPr>
      <w:i/>
      <w:sz w:val="28"/>
    </w:rPr>
  </w:style>
  <w:style w:type="paragraph" w:styleId="PlainText">
    <w:name w:val="Plain Text"/>
    <w:basedOn w:val="Normal"/>
    <w:rPr>
      <w:rFonts w:ascii="Courier New" w:hAnsi="Courier New"/>
      <w:sz w:val="20"/>
    </w:rPr>
  </w:style>
  <w:style w:type="paragraph" w:customStyle="1" w:styleId="PositiondelaCommission">
    <w:name w:val="Position de la Commission"/>
    <w:basedOn w:val="PageprocedurePA"/>
    <w:next w:val="Normal"/>
  </w:style>
  <w:style w:type="paragraph" w:customStyle="1" w:styleId="Procdurelecture">
    <w:name w:val="Procédure lecture"/>
    <w:basedOn w:val="Titreobjetrsolution"/>
    <w:next w:val="Institutionquiagit"/>
    <w:pPr>
      <w:spacing w:after="240"/>
    </w:pPr>
    <w:rPr>
      <w:snapToGrid/>
    </w:rPr>
  </w:style>
  <w:style w:type="paragraph" w:customStyle="1" w:styleId="Propositionlgislativetitre">
    <w:name w:val="Proposition législative titre"/>
    <w:basedOn w:val="Normal12"/>
    <w:next w:val="Titreobjetproposition"/>
    <w:pPr>
      <w:keepNext/>
      <w:spacing w:before="240"/>
      <w:jc w:val="center"/>
    </w:pPr>
    <w:rPr>
      <w:rFonts w:ascii="Arial" w:hAnsi="Arial"/>
      <w:b/>
    </w:rPr>
  </w:style>
  <w:style w:type="paragraph" w:customStyle="1" w:styleId="Rfrencelgislativeunique">
    <w:name w:val="Référence législative unique"/>
    <w:basedOn w:val="Normal12"/>
    <w:next w:val="Normal"/>
    <w:pPr>
      <w:spacing w:after="0"/>
      <w:jc w:val="end"/>
    </w:pPr>
    <w:rPr>
      <w:rFonts w:ascii="Arial" w:hAnsi="Arial"/>
      <w:b/>
      <w:caps/>
    </w:rPr>
  </w:style>
  <w:style w:type="paragraph" w:customStyle="1" w:styleId="Rfrenceprocdurelecture">
    <w:name w:val="Référence procédure lecture"/>
    <w:basedOn w:val="Normal12"/>
    <w:next w:val="Normal12"/>
    <w:pPr>
      <w:spacing w:after="0"/>
      <w:ind w:start="1418"/>
    </w:pPr>
    <w:rPr>
      <w:rFonts w:ascii="Arial" w:hAnsi="Arial"/>
      <w:b/>
      <w:sz w:val="48"/>
    </w:rPr>
  </w:style>
  <w:style w:type="paragraph" w:customStyle="1" w:styleId="Rfrencestatut">
    <w:name w:val="Référence statut"/>
    <w:basedOn w:val="Normal12"/>
    <w:next w:val="Normal12"/>
    <w:pPr>
      <w:spacing w:after="0"/>
      <w:jc w:val="end"/>
    </w:pPr>
    <w:rPr>
      <w:rFonts w:ascii="Arial" w:hAnsi="Arial"/>
    </w:rPr>
  </w:style>
  <w:style w:type="paragraph" w:customStyle="1" w:styleId="Rfrencesproposition">
    <w:name w:val="Références proposition"/>
    <w:basedOn w:val="Titreobjet"/>
    <w:next w:val="CommissionparlementaireintentionPA"/>
    <w:pPr>
      <w:spacing w:after="480"/>
    </w:pPr>
  </w:style>
  <w:style w:type="paragraph" w:customStyle="1" w:styleId="Rsolutionlgislativetitre">
    <w:name w:val="Résolution législative titre"/>
    <w:basedOn w:val="Normal12"/>
    <w:next w:val="Titreobjetrsolution"/>
    <w:pPr>
      <w:spacing w:before="240"/>
      <w:jc w:val="center"/>
    </w:pPr>
    <w:rPr>
      <w:rFonts w:ascii="Arial" w:hAnsi="Arial"/>
      <w:b/>
    </w:rPr>
  </w:style>
  <w:style w:type="paragraph" w:styleId="Salutation">
    <w:name w:val="Salutation"/>
    <w:basedOn w:val="Normal"/>
    <w:next w:val="Normal"/>
  </w:style>
  <w:style w:type="paragraph" w:styleId="Signature">
    <w:name w:val="Signature"/>
    <w:basedOn w:val="Normal"/>
    <w:pPr>
      <w:ind w:start="4252"/>
    </w:pPr>
  </w:style>
  <w:style w:type="character" w:styleId="Strong">
    <w:name w:val="Strong"/>
    <w:basedOn w:val="DefaultParagraphFont"/>
    <w:uiPriority w:val="22"/>
    <w:qFormat/>
    <w:rPr>
      <w:b/>
    </w:rPr>
  </w:style>
  <w:style w:type="paragraph" w:styleId="Subtitle">
    <w:name w:val="Subtitle"/>
    <w:basedOn w:val="Normal"/>
    <w:uiPriority w:val="11"/>
    <w:qFormat/>
    <w:pPr>
      <w:spacing w:after="60"/>
      <w:jc w:val="center"/>
      <w:outlineLvl w:val="1"/>
    </w:pPr>
    <w:rPr>
      <w:rFonts w:ascii="Arial" w:hAnsi="Arial"/>
    </w:rPr>
  </w:style>
  <w:style w:type="paragraph" w:styleId="TableofAuthorities">
    <w:name w:val="table of authorities"/>
    <w:basedOn w:val="Normal"/>
    <w:next w:val="Normal"/>
    <w:pPr>
      <w:ind w:start="240" w:hanging="240"/>
    </w:pPr>
  </w:style>
  <w:style w:type="paragraph" w:styleId="TableofFigures">
    <w:name w:val="table of figures"/>
    <w:basedOn w:val="Normal"/>
    <w:next w:val="Normal"/>
    <w:pPr>
      <w:ind w:start="480" w:hanging="480"/>
    </w:pPr>
  </w:style>
  <w:style w:type="paragraph" w:styleId="Title">
    <w:name w:val="Title"/>
    <w:basedOn w:val="Normal"/>
    <w:uiPriority w:val="10"/>
    <w:qFormat/>
    <w:pPr>
      <w:spacing w:before="240" w:after="60"/>
      <w:jc w:val="center"/>
      <w:outlineLvl w:val="0"/>
    </w:pPr>
    <w:rPr>
      <w:rFonts w:ascii="Arial" w:hAnsi="Arial"/>
      <w:b/>
      <w:kern w:val="28"/>
      <w:sz w:val="32"/>
    </w:rPr>
  </w:style>
  <w:style w:type="paragraph" w:customStyle="1" w:styleId="Titreobjet">
    <w:name w:val="Titre objet"/>
    <w:basedOn w:val="Normal"/>
    <w:next w:val="Normal12"/>
    <w:pPr>
      <w:ind w:start="1418"/>
    </w:pPr>
  </w:style>
  <w:style w:type="paragraph" w:customStyle="1" w:styleId="Titreobjetproposition">
    <w:name w:val="Titre objet (proposition)"/>
    <w:basedOn w:val="Normal12"/>
    <w:next w:val="Dcisionsurproposition"/>
    <w:rPr>
      <w:b/>
    </w:rPr>
  </w:style>
  <w:style w:type="paragraph" w:customStyle="1" w:styleId="Titreobjetrsolution">
    <w:name w:val="Titre objet (résolution)"/>
    <w:basedOn w:val="Titreobjetproposition"/>
    <w:next w:val="Normal"/>
  </w:style>
  <w:style w:type="paragraph" w:styleId="TOAHeading">
    <w:name w:val="toa heading"/>
    <w:basedOn w:val="Normal"/>
    <w:next w:val="Normal"/>
    <w:pPr>
      <w:spacing w:before="120"/>
    </w:pPr>
    <w:rPr>
      <w:rFonts w:ascii="Arial" w:hAnsi="Arial"/>
      <w:b/>
    </w:rPr>
  </w:style>
  <w:style w:type="paragraph" w:styleId="TOC1">
    <w:name w:val="toc 1"/>
    <w:basedOn w:val="Normal12"/>
    <w:next w:val="Normal12"/>
    <w:autoRedefine/>
    <w:uiPriority w:val="39"/>
  </w:style>
  <w:style w:type="paragraph" w:styleId="TOC2">
    <w:name w:val="toc 2"/>
    <w:basedOn w:val="Normal"/>
    <w:next w:val="Normal"/>
    <w:autoRedefine/>
    <w:uiPriority w:val="39"/>
    <w:pPr>
      <w:ind w:start="240"/>
    </w:pPr>
  </w:style>
  <w:style w:type="paragraph" w:styleId="TOC3">
    <w:name w:val="toc 3"/>
    <w:basedOn w:val="Normal"/>
    <w:next w:val="Normal"/>
    <w:autoRedefine/>
    <w:uiPriority w:val="39"/>
    <w:pPr>
      <w:ind w:start="480"/>
    </w:pPr>
  </w:style>
  <w:style w:type="paragraph" w:styleId="TOC4">
    <w:name w:val="toc 4"/>
    <w:basedOn w:val="Normal"/>
    <w:next w:val="Normal"/>
    <w:autoRedefine/>
    <w:uiPriority w:val="39"/>
    <w:pPr>
      <w:ind w:start="720"/>
    </w:pPr>
  </w:style>
  <w:style w:type="paragraph" w:styleId="TOC5">
    <w:name w:val="toc 5"/>
    <w:basedOn w:val="Normal"/>
    <w:next w:val="Normal"/>
    <w:autoRedefine/>
    <w:uiPriority w:val="39"/>
    <w:pPr>
      <w:ind w:start="960"/>
    </w:pPr>
  </w:style>
  <w:style w:type="paragraph" w:styleId="TOC6">
    <w:name w:val="toc 6"/>
    <w:basedOn w:val="Normal"/>
    <w:next w:val="Normal"/>
    <w:autoRedefine/>
    <w:uiPriority w:val="39"/>
    <w:pPr>
      <w:ind w:start="1200"/>
    </w:pPr>
  </w:style>
  <w:style w:type="paragraph" w:styleId="TOC7">
    <w:name w:val="toc 7"/>
    <w:basedOn w:val="Normal"/>
    <w:next w:val="Normal"/>
    <w:autoRedefine/>
    <w:uiPriority w:val="39"/>
    <w:pPr>
      <w:ind w:start="1440"/>
    </w:pPr>
  </w:style>
  <w:style w:type="paragraph" w:styleId="TOC8">
    <w:name w:val="toc 8"/>
    <w:basedOn w:val="Normal"/>
    <w:next w:val="Normal"/>
    <w:autoRedefine/>
    <w:uiPriority w:val="39"/>
    <w:pPr>
      <w:ind w:start="1680"/>
    </w:pPr>
  </w:style>
  <w:style w:type="paragraph" w:styleId="TOC9">
    <w:name w:val="toc 9"/>
    <w:basedOn w:val="Normal"/>
    <w:next w:val="Normal"/>
    <w:autoRedefine/>
    <w:uiPriority w:val="39"/>
    <w:pPr>
      <w:ind w:start="1920"/>
    </w:pPr>
  </w:style>
  <w:style w:type="paragraph" w:customStyle="1" w:styleId="TOCHeading">
    <w:name w:val="TOC Heading"/>
    <w:basedOn w:val="Normal12"/>
    <w:next w:val="Normal12"/>
    <w:pPr>
      <w:keepNext/>
      <w:spacing w:before="240"/>
      <w:jc w:val="center"/>
    </w:pPr>
    <w:rPr>
      <w:rFonts w:ascii="Arial" w:hAnsi="Arial"/>
      <w:b/>
    </w:rPr>
  </w:style>
  <w:style w:type="paragraph" w:customStyle="1" w:styleId="TOCPage">
    <w:name w:val="TOC Page"/>
    <w:basedOn w:val="Normal12"/>
    <w:next w:val="TOC1"/>
    <w:pPr>
      <w:keepNext/>
      <w:jc w:val="end"/>
    </w:pPr>
    <w:rPr>
      <w:rFonts w:ascii="Arial" w:hAnsi="Arial"/>
      <w:b/>
    </w:rPr>
  </w:style>
  <w:style w:type="paragraph" w:customStyle="1" w:styleId="Typedudocument">
    <w:name w:val="Type du document"/>
    <w:basedOn w:val="Rfrenceprocdurelecture"/>
    <w:next w:val="Titreobjet"/>
    <w:pPr>
      <w:spacing w:after="480"/>
    </w:pPr>
  </w:style>
  <w:style w:type="paragraph" w:customStyle="1" w:styleId="Versioninterne">
    <w:name w:val="Version interne"/>
    <w:basedOn w:val="Rfrencestatut"/>
    <w:next w:val="Emission"/>
  </w:style>
  <w:style w:type="paragraph" w:customStyle="1" w:styleId="Visa">
    <w:name w:val="Visa"/>
    <w:basedOn w:val="Normal12"/>
    <w:pPr>
      <w:tabs>
        <w:tab w:val="start" w:pos="357"/>
      </w:tabs>
      <w:ind w:start="357" w:hanging="357"/>
    </w:pPr>
  </w:style>
  <w:style w:type="paragraph" w:customStyle="1" w:styleId="Avistitre">
    <w:name w:val="Avis titre"/>
    <w:basedOn w:val="Normal12"/>
    <w:pPr>
      <w:keepNext/>
      <w:jc w:val="center"/>
    </w:pPr>
    <w:rPr>
      <w:rFonts w:ascii="Arial" w:hAnsi="Arial"/>
      <w:b/>
    </w:rPr>
  </w:style>
  <w:style w:type="paragraph" w:customStyle="1" w:styleId="Normal12">
    <w:name w:val="Normal12"/>
    <w:basedOn w:val="Normal0"/>
    <w:next w:val="Normal"/>
    <w:pPr>
      <w:spacing w:after="240"/>
    </w:pPr>
  </w:style>
  <w:style w:type="paragraph" w:customStyle="1" w:styleId="PageprocedurePA">
    <w:name w:val="Page procedure PA"/>
    <w:basedOn w:val="Normal12"/>
    <w:next w:val="Normal12"/>
    <w:pPr>
      <w:spacing w:before="240"/>
      <w:jc w:val="center"/>
    </w:pPr>
    <w:rPr>
      <w:rFonts w:ascii="Arial" w:hAnsi="Arial"/>
      <w:b/>
    </w:rPr>
  </w:style>
  <w:style w:type="paragraph" w:customStyle="1" w:styleId="CommissionparlementaireintentionPA">
    <w:name w:val="Commission parlementaire intention PA"/>
    <w:basedOn w:val="Titreobjet"/>
    <w:pPr>
      <w:spacing w:after="480"/>
    </w:pPr>
  </w:style>
  <w:style w:type="paragraph" w:customStyle="1" w:styleId="CommissionparlementaireresponsablePA">
    <w:name w:val="Commission parlementaire responsable PA"/>
    <w:basedOn w:val="Titreobjet"/>
    <w:pPr>
      <w:spacing w:after="240"/>
      <w:ind w:start="1411"/>
    </w:pPr>
  </w:style>
  <w:style w:type="paragraph" w:customStyle="1" w:styleId="Normal0">
    <w:name w:val="Normal0"/>
    <w:basedOn w:val="Normal"/>
  </w:style>
  <w:style w:type="character" w:customStyle="1" w:styleId="HideTWBInt">
    <w:name w:val="HideTWBInt"/>
    <w:basedOn w:val="DefaultParagraphFont"/>
    <w:rPr>
      <w:vanish/>
      <w:color w:val="808080"/>
    </w:rPr>
  </w:style>
  <w:style w:type="paragraph" w:customStyle="1" w:styleId="PageamendementstitrePA">
    <w:name w:val="Page amendements titre PA"/>
    <w:basedOn w:val="Normal12"/>
    <w:next w:val="Normal12"/>
    <w:pPr>
      <w:tabs>
        <w:tab w:val="start" w:pos="-720"/>
      </w:tabs>
      <w:jc w:val="center"/>
    </w:pPr>
    <w:rPr>
      <w:rFonts w:ascii="Arial" w:hAnsi="Arial"/>
      <w:b/>
      <w:caps/>
    </w:rPr>
  </w:style>
  <w:style w:type="paragraph" w:customStyle="1" w:styleId="PhrasesProcdure">
    <w:name w:val="Phrases Procédure"/>
    <w:basedOn w:val="Visa"/>
    <w:pPr>
      <w:widowControl w:val="0"/>
      <w:spacing w:after="240"/>
      <w:ind w:start="0" w:firstLine="0"/>
    </w:pPr>
    <w:rPr>
      <w:snapToGrid/>
    </w:rPr>
  </w:style>
  <w:style w:type="paragraph" w:customStyle="1" w:styleId="PageconclusionsphrasesPA">
    <w:name w:val="Page conclusions phrases PA"/>
    <w:basedOn w:val="PhrasesProcdure"/>
  </w:style>
  <w:style w:type="paragraph" w:customStyle="1" w:styleId="PageconclusionstitrePA">
    <w:name w:val="Page conclusions titre PA"/>
    <w:basedOn w:val="Normal12"/>
    <w:next w:val="Normal12"/>
    <w:pPr>
      <w:tabs>
        <w:tab w:val="start" w:pos="-720"/>
      </w:tabs>
      <w:jc w:val="center"/>
    </w:pPr>
    <w:rPr>
      <w:rFonts w:ascii="Arial" w:hAnsi="Arial"/>
      <w:b/>
      <w:caps/>
    </w:rPr>
  </w:style>
  <w:style w:type="paragraph" w:customStyle="1" w:styleId="PagereglementairetextePR">
    <w:name w:val="Page reglementaire texte PR"/>
    <w:basedOn w:val="Normal0"/>
    <w:pPr>
      <w:spacing w:after="240"/>
    </w:pPr>
  </w:style>
  <w:style w:type="paragraph" w:customStyle="1" w:styleId="TableofEntries">
    <w:name w:val="Table of Entries"/>
    <w:basedOn w:val="Normal12"/>
    <w:pPr>
      <w:widowControl/>
      <w:tabs>
        <w:tab w:val="end" w:leader="dot" w:pos="9072"/>
      </w:tabs>
      <w:jc w:val="both"/>
    </w:pPr>
  </w:style>
  <w:style w:type="paragraph" w:customStyle="1" w:styleId="PagereglementairetextePRindent">
    <w:name w:val="Page reglementaire texte PR indent"/>
    <w:basedOn w:val="PagereglementairetextePR"/>
    <w:pPr>
      <w:ind w:start="720" w:hanging="720"/>
    </w:pPr>
  </w:style>
  <w:style w:type="paragraph" w:customStyle="1" w:styleId="PageHeading">
    <w:name w:val="PageHeading"/>
    <w:basedOn w:val="Normal"/>
    <w:pPr>
      <w:keepNext/>
      <w:spacing w:before="240" w:after="240"/>
      <w:jc w:val="center"/>
    </w:pPr>
    <w:rPr>
      <w:rFonts w:ascii="Arial" w:hAnsi="Arial"/>
      <w:b/>
    </w:rPr>
  </w:style>
  <w:style w:type="paragraph" w:customStyle="1" w:styleId="Normal120">
    <w:name w:val="Normal 12"/>
    <w:basedOn w:val="Normal"/>
    <w:pPr>
      <w:widowControl/>
      <w:tabs>
        <w:tab w:val="start" w:pos="-720"/>
      </w:tabs>
    </w:pPr>
    <w:rPr>
      <w:snapToGrid/>
      <w:lang w:val="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header" Target="header3.xml" /><Relationship Id="rId11" Type="http://purl.oclc.org/ooxml/officeDocument/relationships/footer" Target="footer3.xml" /><Relationship Id="rId12" Type="http://purl.oclc.org/ooxml/officeDocument/relationships/numbering" Target="numbering.xml" /><Relationship Id="rId13"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wmf" /><Relationship Id="rId6" Type="http://purl.oclc.org/ooxml/officeDocument/relationships/header" Target="header1.xml" /><Relationship Id="rId7" Type="http://purl.oclc.org/ooxml/officeDocument/relationships/header" Target="header2.xml" /><Relationship Id="rId8" Type="http://purl.oclc.org/ooxml/officeDocument/relationships/footer" Target="footer1.xml" /><Relationship Id="rId9" Type="http://purl.oclc.org/ooxml/officeDocument/relationships/footer" Target="footer2.xml" /></Relationships>
</file>

<file path=word/_rels/settings.xml.rels>&#65279;<?xml version="1.0" encoding="utf-8" standalone="yes"?><Relationships xmlns="http://schemas.openxmlformats.org/package/2006/relationships"><Relationship Id="rId1" Type="http://purl.oclc.org/ooxml/officeDocument/relationships/attachedTemplate" Target="file:///C:\Program%20Files\DocEP\DOCS\PR\noleg\TOUS\ART163.dot" TargetMode="External" /></Relationships>
</file>

<file path=docProps/app.xml><?xml version="1.0" encoding="utf-8"?>
<Properties xmlns="http://purl.oclc.org/ooxml/officeDocument/extendedProperties" xmlns:vt="http://purl.oclc.org/ooxml/officeDocument/docPropsVTypes">
  <Template>ART163.dot</Template>
  <TotalTime>0</TotalTime>
  <Pages>15</Pages>
  <Words>4011</Words>
  <Characters>22867</Characters>
  <Application>Microsoft Office Word</Application>
  <DocSecurity>0</DocSecurity>
  <Lines>190</Lines>
  <Paragraphs>45</Paragraphs>
  <ScaleCrop>false</ScaleCrop>
  <HeadingPairs>
    <vt:vector size="2" baseType="variant">
      <vt:variant>
        <vt:lpstr>Title</vt:lpstr>
      </vt:variant>
      <vt:variant>
        <vt:i4>1</vt:i4>
      </vt:variant>
    </vt:vector>
  </HeadingPairs>
  <TitlesOfParts>
    <vt:vector size="1" baseType="lpstr">
      <vt:lpstr>ART163</vt:lpstr>
    </vt:vector>
  </TitlesOfParts>
  <Company/>
  <LinksUpToDate>false</LinksUpToDate>
  <CharactersWithSpaces>28082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ART163</dc:title>
  <dc:creator>Lind</dc:creator>
  <cp:lastModifiedBy>MAndersson</cp:lastModifiedBy>
  <cp:revision>2</cp:revision>
  <cp:lastPrinted>2003-01-30T07:19:00Z</cp:lastPrinted>
  <dcterms:created xsi:type="dcterms:W3CDTF">2003-01-30T16:03:00Z</dcterms:created>
  <dcterms:modified xsi:type="dcterms:W3CDTF">2003-01-30T16:03:00Z</dcterms:modified>
</cp:coreProperties>
</file>

<file path=docProps/custom.xml><?xml version="1.0" encoding="utf-8"?>
<Properties xmlns="http://purl.oclc.org/ooxml/officeDocument/customProperties" xmlns:vt="http://purl.oclc.org/ooxml/officeDocument/docPropsVTypes">
  <property fmtid="{D5CDD505-2E9C-101B-9397-08002B2CF9AE}" pid="2" name="&lt;Extension&gt;">
    <vt:lpwstr>SV</vt:lpwstr>
  </property>
  <property fmtid="{D5CDD505-2E9C-101B-9397-08002B2CF9AE}" pid="3" name="&lt;FdR&gt;">
    <vt:lpwstr>487556</vt:lpwstr>
  </property>
  <property fmtid="{D5CDD505-2E9C-101B-9397-08002B2CF9AE}" pid="4" name="&lt;Model&gt;">
    <vt:lpwstr>ART163</vt:lpwstr>
  </property>
  <property fmtid="{D5CDD505-2E9C-101B-9397-08002B2CF9AE}" pid="5" name="&lt;ModelCod&gt;">
    <vt:lpwstr>C:\Program Files\DocEP\DOCS\PR\noleg\TOUS\ART163.dot(25/10/2002 9:06:38)</vt:lpwstr>
  </property>
  <property fmtid="{D5CDD505-2E9C-101B-9397-08002B2CF9AE}" pid="6" name="&lt;ModelTra&gt;">
    <vt:lpwstr>C:\Program Files\DocEP\TRANSFIL\SV\ART163.SV(01/08/2002 10:37:18)</vt:lpwstr>
  </property>
  <property fmtid="{D5CDD505-2E9C-101B-9397-08002B2CF9AE}" pid="7" name="&lt;ModelVie&gt;">
    <vt:lpwstr>C:\Program Files\DocEP\Help\VIEWER\SV\ART163.htm</vt:lpwstr>
  </property>
  <property fmtid="{D5CDD505-2E9C-101B-9397-08002B2CF9AE}" pid="8" name="&lt;Type&gt;">
    <vt:lpwstr>RR</vt:lpwstr>
  </property>
  <property fmtid="{D5CDD505-2E9C-101B-9397-08002B2CF9AE}" pid="9" name="CloseDOCEP">
    <vt:lpwstr>True</vt:lpwstr>
  </property>
  <property fmtid="{D5CDD505-2E9C-101B-9397-08002B2CF9AE}" pid="10" name="Created with">
    <vt:lpwstr>4.12 Build [20000401]</vt:lpwstr>
  </property>
  <property fmtid="{D5CDD505-2E9C-101B-9397-08002B2CF9AE}" pid="11" name="FooterPath">
    <vt:lpwstr>RR\487556SV.doc</vt:lpwstr>
  </property>
  <property fmtid="{D5CDD505-2E9C-101B-9397-08002B2CF9AE}" pid="12" name="FromRER">
    <vt:lpwstr>CANCEL</vt:lpwstr>
  </property>
  <property fmtid="{D5CDD505-2E9C-101B-9397-08002B2CF9AE}" pid="13" name="LastEdited with">
    <vt:lpwstr>4.12 Build [20000401]</vt:lpwstr>
  </property>
  <property fmtid="{D5CDD505-2E9C-101B-9397-08002B2CF9AE}" pid="14" name="PE Number">
    <vt:lpwstr>321.983</vt:lpwstr>
  </property>
  <property fmtid="{D5CDD505-2E9C-101B-9397-08002B2CF9AE}" pid="15" name="propEpadesTrad">
    <vt:lpwstr>\\epades\trad\DG2\ITRE\PR\482\482385SV.doc</vt:lpwstr>
  </property>
  <property fmtid="{D5CDD505-2E9C-101B-9397-08002B2CF9AE}" pid="16" name="propSERVICE">
    <vt:lpwstr>ITRE</vt:lpwstr>
  </property>
  <property fmtid="{D5CDD505-2E9C-101B-9397-08002B2CF9AE}" pid="17" name="propTYPEDOC">
    <vt:lpwstr>ITREPR</vt:lpwstr>
  </property>
</Properties>
</file>