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 Id="rId4" Type="http://purl.oclc.org/ooxml/officeDocument/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p>
      <w:pPr>
        <w:pStyle w:val="EntPE"/>
      </w:pPr>
      <w:r>
        <w:rPr>
          <w:rStyle w:val="HideTWBExt"/>
          <w:lang w:val="en-GB"/>
        </w:rPr>
        <w:t>&lt;EntPE&gt;</w:t>
      </w:r>
      <w:r>
        <w:t>EUROPEAN PARLIAMENT</w:t>
      </w:r>
      <w:r>
        <w:rPr>
          <w:rStyle w:val="HideTWBExt"/>
          <w:lang w:val="en-GB"/>
        </w:rPr>
        <w:t>&lt;/EntPE&gt;</w:t>
      </w:r>
    </w:p>
    <w:tbl>
      <w:tblP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
      <w:tblGrid>
        <w:gridCol w:w="2356"/>
        <w:gridCol w:w="1612"/>
        <w:gridCol w:w="2373"/>
      </w:tblGrid>
      <w:tr>
        <w:tblPrEx>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Ex>
        <w:trPr>
          <w:cantSplit/>
        </w:trPr>
        <w:tc>
          <w:tcPr>
            <w:tcW w:w="117.8pt" w:type="dxa"/>
            <w:vAlign w:val="center"/>
          </w:tcPr>
          <w:p>
            <w:pPr>
              <w:pStyle w:val="Term"/>
            </w:pPr>
            <w:r>
              <w:t>1999</w:t>
            </w:r>
          </w:p>
        </w:tc>
        <w:tc>
          <w:tcPr>
            <w:tcW w:w="80.6pt" w:type="dxa"/>
            <w:vAlign w:val="center"/>
          </w:tcPr>
          <w:p>
            <w:pPr>
              <w:pStyle w:val="Term"/>
            </w:pPr>
            <w:r>
              <w:drawing>
                <wp:inline distT="0" distB="0" distL="0" distR="0">
                  <wp:extent cx="860301" cy="573697"/>
                  <wp:effectExtent l="0" t="0" r="0" b="0"/>
                  <wp:docPr id="1025" name="Image 1025" descr="C:\DATA\MAIL\Stars.wm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695116331" name="Image 1025" descr="C:\DATA\MAIL\Stars.wmf"/>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860301" cy="573697"/>
                          </a:xfrm>
                          <a:prstGeom prst="rect">
                            <a:avLst/>
                          </a:prstGeom>
                          <a:noFill/>
                          <a:ln>
                            <a:noFill/>
                          </a:ln>
                        </pic:spPr>
                      </pic:pic>
                    </a:graphicData>
                  </a:graphic>
                </wp:inline>
              </w:drawing>
            </w:r>
          </w:p>
        </w:tc>
        <w:tc>
          <w:tcPr>
            <w:tcW w:w="118.65pt" w:type="dxa"/>
            <w:vAlign w:val="center"/>
          </w:tcPr>
          <w:p>
            <w:pPr>
              <w:pStyle w:val="Term"/>
            </w:pPr>
            <w:r>
              <w:t>2004</w:t>
            </w:r>
          </w:p>
        </w:tc>
      </w:tr>
    </w:tbl>
    <w:p>
      <w:pPr>
        <w:pStyle w:val="Committee"/>
      </w:pPr>
      <w:r>
        <w:t>Session document</w:t>
      </w:r>
    </w:p>
    <w:p>
      <w:pPr>
        <w:pStyle w:val="RefStatus"/>
      </w:pPr>
      <w:r>
        <w:rPr>
          <w:rStyle w:val="HideTWBExt"/>
          <w:lang w:val="en-GB"/>
        </w:rPr>
        <w:t>&lt;RefStatus&gt;</w:t>
      </w:r>
      <w:r>
        <w:t>FINAL</w:t>
      </w:r>
      <w:r>
        <w:rPr>
          <w:rStyle w:val="HideTWBExt"/>
          <w:lang w:val="en-GB"/>
        </w:rPr>
        <w:t>&lt;/RefStatus&gt;</w:t>
      </w:r>
    </w:p>
    <w:p>
      <w:pPr>
        <w:pStyle w:val="RefProc"/>
      </w:pPr>
      <w:r>
        <w:rPr>
          <w:rStyle w:val="HideTWBInt"/>
        </w:rPr>
        <w:t>&lt;NoDocSe&gt;</w:t>
      </w:r>
      <w:r>
        <w:t>A5-0371/2003</w:t>
      </w:r>
      <w:r>
        <w:rPr>
          <w:rStyle w:val="HideTWBInt"/>
        </w:rPr>
        <w:t>&lt;/NoDocSe&gt;</w:t>
      </w:r>
    </w:p>
    <w:p>
      <w:pPr>
        <w:pStyle w:val="ZDate"/>
      </w:pPr>
      <w:r>
        <w:t>5 November 2003</w:t>
      </w:r>
      <w:r>
        <w:rPr>
          <w:rStyle w:val="HideTWBExt"/>
          <w:lang w:val="en-GB"/>
        </w:rPr>
        <w:t>&lt;/Date&gt;</w:t>
      </w:r>
    </w:p>
    <w:p>
      <w:pPr>
        <w:pStyle w:val="StarsAndIs"/>
      </w:pPr>
      <w:r>
        <w:rPr>
          <w:rStyle w:val="HideTWBExt"/>
          <w:lang w:val="en-GB"/>
        </w:rPr>
        <w:t>&lt;RefProcLect&gt;</w:t>
      </w:r>
      <w:r>
        <w:t>*</w:t>
      </w:r>
      <w:r>
        <w:rPr>
          <w:rStyle w:val="HideTWBExt"/>
          <w:lang w:val="en-GB"/>
        </w:rPr>
        <w:t>&lt;/RefProcLect&gt;</w:t>
      </w:r>
    </w:p>
    <w:p>
      <w:pPr>
        <w:pStyle w:val="TypeDoc"/>
      </w:pPr>
      <w:r>
        <w:rPr>
          <w:rStyle w:val="HideTWBExt"/>
          <w:lang w:val="en-GB"/>
        </w:rPr>
        <w:t>&lt;</w:t>
      </w:r>
      <w:r>
        <w:rPr>
          <w:rStyle w:val="HideTWBExt"/>
          <w:b w:val="0"/>
          <w:lang w:val="en-GB"/>
        </w:rPr>
        <w:t>TitreType</w:t>
      </w:r>
      <w:r>
        <w:rPr>
          <w:rStyle w:val="HideTWBExt"/>
          <w:lang w:val="en-GB"/>
        </w:rPr>
        <w:t>&gt;</w:t>
      </w:r>
      <w:r>
        <w:t>REPORT</w:t>
      </w:r>
      <w:r>
        <w:rPr>
          <w:rStyle w:val="HideTWBExt"/>
          <w:lang w:val="en-GB"/>
        </w:rPr>
        <w:t>&lt;/</w:t>
      </w:r>
      <w:r>
        <w:rPr>
          <w:rStyle w:val="HideTWBExt"/>
          <w:b w:val="0"/>
          <w:lang w:val="en-GB"/>
        </w:rPr>
        <w:t>TitreType</w:t>
      </w:r>
      <w:r>
        <w:rPr>
          <w:rStyle w:val="HideTWBExt"/>
          <w:lang w:val="en-GB"/>
        </w:rPr>
        <w:t>&gt;</w:t>
      </w:r>
    </w:p>
    <w:p>
      <w:pPr>
        <w:pStyle w:val="CoverNormal"/>
      </w:pPr>
      <w:r>
        <w:rPr>
          <w:rStyle w:val="HideTWBExt"/>
          <w:lang w:val="en-GB"/>
        </w:rPr>
        <w:t>&lt;Titre&gt;</w:t>
      </w:r>
      <w:r>
        <w:t>on the proposal for a Council decision concerning the conclusion, on behalf of the European Community, of the Stockholm Convention on Persistent Organic Pollutants</w:t>
      </w:r>
      <w:r>
        <w:rPr>
          <w:rStyle w:val="HideTWBExt"/>
          <w:lang w:val="en-GB"/>
        </w:rPr>
        <w:t>&lt;/Titre&gt;</w:t>
      </w:r>
    </w:p>
    <w:p>
      <w:pPr>
        <w:pStyle w:val="Cover24"/>
      </w:pPr>
      <w:r>
        <w:rPr>
          <w:rStyle w:val="HideTWBExt"/>
          <w:lang w:val="en-GB"/>
        </w:rPr>
        <w:t>&lt;DocRef&gt;</w:t>
      </w:r>
      <w:r>
        <w:t>(COM(2003) 331 – C5-0315/2003  – 2003/0118(CNS))</w:t>
      </w:r>
      <w:r>
        <w:rPr>
          <w:rStyle w:val="HideTWBExt"/>
          <w:lang w:val="en-GB"/>
        </w:rPr>
        <w:t>&lt;/DocRef&gt;</w:t>
      </w:r>
    </w:p>
    <w:p>
      <w:pPr>
        <w:pStyle w:val="Cover24"/>
      </w:pPr>
      <w:r>
        <w:rPr>
          <w:rStyle w:val="HideTWBExt"/>
          <w:lang w:val="en-GB"/>
        </w:rPr>
        <w:t>&lt;Commission&gt;</w:t>
      </w:r>
      <w:r>
        <w:rPr>
          <w:rStyle w:val="HideTWBInt"/>
        </w:rPr>
        <w:t>{ENVI}</w:t>
      </w:r>
      <w:r>
        <w:t>Committee on the Environment, Public Health and Consumer Policy</w:t>
      </w:r>
      <w:r>
        <w:rPr>
          <w:rStyle w:val="HideTWBExt"/>
          <w:lang w:val="en-GB"/>
        </w:rPr>
        <w:t>&lt;/Commission&gt;</w:t>
      </w:r>
    </w:p>
    <w:p>
      <w:pPr>
        <w:pStyle w:val="Cover12"/>
      </w:pPr>
      <w:r>
        <w:t xml:space="preserve">Rapporteur: </w:t>
      </w:r>
      <w:r>
        <w:rPr>
          <w:rStyle w:val="HideTWBExt"/>
          <w:lang w:val="en-GB"/>
        </w:rPr>
        <w:t>&lt;Depute&gt;</w:t>
      </w:r>
      <w:r>
        <w:t>Pernille Frahm</w:t>
      </w:r>
    </w:p>
    <w:p>
      <w:pPr>
        <w:pStyle w:val="Cover12"/>
        <w:rPr>
          <w:rStyle w:val="HideTWBExt"/>
          <w:lang w:val="en-GB"/>
        </w:rPr>
      </w:pPr>
      <w:r>
        <w:rPr>
          <w:rStyle w:val="HideTWBExt"/>
          <w:lang w:val="en-GB"/>
        </w:rPr>
        <w:t>&lt;/Depute&gt;</w:t>
      </w:r>
    </w:p>
    <w:p>
      <w:pPr>
        <w:pStyle w:val="Cover12"/>
      </w:pPr>
    </w:p>
    <w:p>
      <w:pPr>
        <w:widowControl/>
        <w:tabs>
          <w:tab w:val="center" w:pos="4677"/>
        </w:tabs>
        <w:jc w:val="both"/>
      </w:pPr>
      <w:r>
        <w:br w:type="page"/>
      </w:r>
    </w:p>
    <w:p/>
    <w:p/>
    <w:p/>
    <w:tbl>
      <w:tblPr>
        <w:tblInd w:w="83.35pt" w:type="dxa"/>
        <w:tblBorders>
          <w:top w:val="single" w:sz="4" w:space="0" w:color="auto"/>
          <w:start w:val="single" w:sz="4" w:space="0" w:color="auto"/>
          <w:bottom w:val="single" w:sz="4" w:space="0" w:color="auto"/>
          <w:end w:val="single" w:sz="4" w:space="0" w:color="auto"/>
          <w:insideH w:val="none" w:sz="0" w:space="0" w:color="auto"/>
          <w:insideV w:val="single" w:sz="4" w:space="0" w:color="auto"/>
        </w:tblBorders>
        <w:tblLayout w:type="fixed"/>
        <w:tblCellMar>
          <w:start w:w="5.35pt" w:type="dxa"/>
          <w:end w:w="5.35pt" w:type="dxa"/>
        </w:tblCellMar>
        <w:tblLook/>
      </w:tblPr>
      <w:tblGrid>
        <w:gridCol w:w="5811"/>
      </w:tblGrid>
      <w:tr>
        <w:tblPrEx>
          <w:tblInd w:w="83.35pt" w:type="dxa"/>
          <w:tblBorders>
            <w:top w:val="single" w:sz="4" w:space="0" w:color="auto"/>
            <w:start w:val="single" w:sz="4" w:space="0" w:color="auto"/>
            <w:bottom w:val="single" w:sz="4" w:space="0" w:color="auto"/>
            <w:end w:val="single" w:sz="4" w:space="0" w:color="auto"/>
            <w:insideH w:val="none" w:sz="0" w:space="0" w:color="auto"/>
            <w:insideV w:val="single" w:sz="4" w:space="0" w:color="auto"/>
          </w:tblBorders>
          <w:tblLayout w:type="fixed"/>
          <w:tblCellMar>
            <w:start w:w="5.35pt" w:type="dxa"/>
            <w:end w:w="5.35pt" w:type="dxa"/>
          </w:tblCellMar>
          <w:tblLook/>
        </w:tblPrEx>
        <w:tc>
          <w:tcPr>
            <w:tcW w:w="290.55pt" w:type="dxa"/>
          </w:tcPr>
          <w:p>
            <w:pPr>
              <w:pStyle w:val="Lgendetitre"/>
              <w:rPr>
                <w:lang w:val="en-GB"/>
              </w:rPr>
            </w:pPr>
            <w:r>
              <w:rPr>
                <w:lang w:val="en-GB"/>
              </w:rPr>
              <w:t>Symbols for procedures</w:t>
            </w:r>
          </w:p>
        </w:tc>
      </w:tr>
      <w:tr>
        <w:tblPrEx>
          <w:tblInd w:w="83.35pt" w:type="dxa"/>
          <w:tblLayout w:type="fixed"/>
          <w:tblCellMar>
            <w:start w:w="5.35pt" w:type="dxa"/>
            <w:end w:w="5.35pt" w:type="dxa"/>
          </w:tblCellMar>
          <w:tblLook/>
        </w:tblPrEx>
        <w:trPr>
          <w:cantSplit/>
          <w:trHeight w:val="6075"/>
        </w:trPr>
        <w:tc>
          <w:tcPr>
            <w:tcW w:w="290.55pt" w:type="dxa"/>
            <w:tcBorders>
              <w:bottom w:val="single" w:sz="4" w:space="0" w:color="auto"/>
            </w:tcBorders>
          </w:tcPr>
          <w:p>
            <w:pPr>
              <w:pStyle w:val="Lgendesigne"/>
              <w:rPr>
                <w:i/>
                <w:lang w:val="en-GB"/>
              </w:rPr>
            </w:pPr>
            <w:r>
              <w:rPr>
                <w:lang w:val="en-GB"/>
              </w:rPr>
              <w:tab/>
              <w:t>*</w:t>
              <w:tab/>
              <w:t>Consultation procedure</w:t>
              <w:br/>
            </w:r>
            <w:r>
              <w:rPr>
                <w:i/>
                <w:lang w:val="en-GB"/>
              </w:rPr>
              <w:t>majority of the votes cast</w:t>
            </w:r>
          </w:p>
          <w:p>
            <w:pPr>
              <w:pStyle w:val="Lgendesigne"/>
              <w:rPr>
                <w:i/>
                <w:lang w:val="en-GB"/>
              </w:rPr>
            </w:pPr>
            <w:r>
              <w:rPr>
                <w:lang w:val="en-GB"/>
              </w:rPr>
              <w:tab/>
              <w:t>**I</w:t>
              <w:tab/>
              <w:t>Cooperation procedure (first reading)</w:t>
              <w:br/>
            </w:r>
            <w:r>
              <w:rPr>
                <w:i/>
                <w:lang w:val="en-GB"/>
              </w:rPr>
              <w:t>majority of the votes cast</w:t>
            </w:r>
          </w:p>
          <w:p>
            <w:pPr>
              <w:pStyle w:val="Lgendesigne"/>
              <w:rPr>
                <w:i/>
                <w:lang w:val="en-GB"/>
              </w:rPr>
            </w:pPr>
            <w:r>
              <w:rPr>
                <w:lang w:val="en-GB"/>
              </w:rPr>
              <w:tab/>
              <w:t>**II</w:t>
              <w:tab/>
              <w:t>Cooperation procedure (second reading)</w:t>
              <w:br/>
            </w:r>
            <w:r>
              <w:rPr>
                <w:i/>
                <w:lang w:val="en-GB"/>
              </w:rPr>
              <w:t>majority of the votes cast, to approve the common  position</w:t>
              <w:br/>
              <w:t>majority of Parliament’s component Members, to reject or amend the common position</w:t>
            </w:r>
          </w:p>
          <w:p>
            <w:pPr>
              <w:pStyle w:val="Lgendesigne"/>
              <w:rPr>
                <w:i/>
                <w:lang w:val="en-GB"/>
              </w:rPr>
            </w:pPr>
            <w:r>
              <w:rPr>
                <w:lang w:val="en-GB"/>
              </w:rPr>
              <w:tab/>
              <w:t>***</w:t>
              <w:tab/>
              <w:t>Assent procedure</w:t>
              <w:br/>
            </w:r>
            <w:r>
              <w:rPr>
                <w:i/>
                <w:lang w:val="en-GB"/>
              </w:rPr>
              <w:t>majority of Parliament’s component Members except  in cases covered by Articles 105, 107, 161 and 300 of the EC Treaty and Article 7 of the EU Treaty</w:t>
            </w:r>
          </w:p>
          <w:p>
            <w:pPr>
              <w:pStyle w:val="Lgendesigne"/>
              <w:rPr>
                <w:i/>
                <w:lang w:val="en-GB"/>
              </w:rPr>
            </w:pPr>
            <w:r>
              <w:rPr>
                <w:lang w:val="en-GB"/>
              </w:rPr>
              <w:tab/>
              <w:t>***I</w:t>
              <w:tab/>
              <w:t>Codecision procedure (first reading)</w:t>
              <w:br/>
            </w:r>
            <w:r>
              <w:rPr>
                <w:i/>
                <w:lang w:val="en-GB"/>
              </w:rPr>
              <w:t>majority of the votes cast</w:t>
            </w:r>
          </w:p>
          <w:p>
            <w:pPr>
              <w:pStyle w:val="Lgendesigne"/>
              <w:rPr>
                <w:i/>
                <w:lang w:val="en-GB"/>
              </w:rPr>
            </w:pPr>
            <w:r>
              <w:rPr>
                <w:lang w:val="en-GB"/>
              </w:rPr>
              <w:tab/>
              <w:t>***II</w:t>
              <w:tab/>
              <w:t>Codecision procedure (second reading)</w:t>
              <w:br/>
            </w:r>
            <w:r>
              <w:rPr>
                <w:i/>
                <w:lang w:val="en-GB"/>
              </w:rPr>
              <w:t>majority of the votes cast, to approve the common position</w:t>
              <w:br/>
              <w:t>majority of Parliament’s component Members, to reject or amend the common position</w:t>
            </w:r>
          </w:p>
          <w:p>
            <w:pPr>
              <w:pStyle w:val="Lgendesigne"/>
              <w:rPr>
                <w:i/>
                <w:lang w:val="en-GB"/>
              </w:rPr>
            </w:pPr>
            <w:r>
              <w:rPr>
                <w:lang w:val="en-GB"/>
              </w:rPr>
              <w:tab/>
              <w:t>***III</w:t>
              <w:tab/>
              <w:t>Codecision procedure (third reading)</w:t>
              <w:br/>
            </w:r>
            <w:r>
              <w:rPr>
                <w:i/>
                <w:lang w:val="en-GB"/>
              </w:rPr>
              <w:t>majority of the votes cast, to approve the joint text</w:t>
            </w:r>
          </w:p>
          <w:p>
            <w:pPr>
              <w:pStyle w:val="Lgendesigne"/>
              <w:ind w:start="0" w:firstLine="0"/>
              <w:rPr>
                <w:lang w:val="en-GB"/>
              </w:rPr>
            </w:pPr>
          </w:p>
          <w:p>
            <w:pPr>
              <w:pStyle w:val="Lgendestandard"/>
              <w:rPr>
                <w:lang w:val="en-GB"/>
              </w:rPr>
            </w:pPr>
            <w:r>
              <w:rPr>
                <w:lang w:val="en-GB"/>
              </w:rPr>
              <w:t>(The type of procedure depends on the legal basis proposed by the Commission)</w:t>
            </w:r>
          </w:p>
          <w:p>
            <w:pPr>
              <w:pStyle w:val="Lgendesigne"/>
              <w:ind w:start="0" w:firstLine="0"/>
              <w:rPr>
                <w:lang w:val="en-GB"/>
              </w:rPr>
            </w:pPr>
          </w:p>
        </w:tc>
      </w:tr>
    </w:tbl>
    <w:p/>
    <w:p/>
    <w:p/>
    <w:p/>
    <w:tbl>
      <w:tblPr>
        <w:tblInd w:w="83.4pt" w:type="dxa"/>
        <w:tblBorders>
          <w:top w:val="single" w:sz="4" w:space="0" w:color="auto"/>
          <w:start w:val="single" w:sz="4" w:space="0" w:color="auto"/>
          <w:bottom w:val="single" w:sz="4" w:space="0" w:color="auto"/>
          <w:end w:val="single" w:sz="4" w:space="0" w:color="auto"/>
          <w:insideH w:val="none" w:sz="0" w:space="0" w:color="auto"/>
          <w:insideV w:val="single" w:sz="6" w:space="0" w:color="auto"/>
        </w:tblBorders>
        <w:tblLayout w:type="fixed"/>
        <w:tblCellMar>
          <w:start w:w="5.4pt" w:type="dxa"/>
          <w:end w:w="5.4pt" w:type="dxa"/>
        </w:tblCellMar>
        <w:tblLook/>
      </w:tblPr>
      <w:tblGrid>
        <w:gridCol w:w="5811"/>
      </w:tblGrid>
      <w:tr>
        <w:tblPrEx>
          <w:tblInd w:w="83.4pt" w:type="dxa"/>
          <w:tblBorders>
            <w:top w:val="single" w:sz="4" w:space="0" w:color="auto"/>
            <w:start w:val="single" w:sz="4" w:space="0" w:color="auto"/>
            <w:bottom w:val="single" w:sz="4" w:space="0" w:color="auto"/>
            <w:end w:val="single" w:sz="4" w:space="0" w:color="auto"/>
            <w:insideH w:val="none" w:sz="0" w:space="0" w:color="auto"/>
            <w:insideV w:val="single" w:sz="6" w:space="0" w:color="auto"/>
          </w:tblBorders>
          <w:tblLayout w:type="fixed"/>
          <w:tblCellMar>
            <w:start w:w="5.4pt" w:type="dxa"/>
            <w:end w:w="5.4pt" w:type="dxa"/>
          </w:tblCellMar>
          <w:tblLook/>
        </w:tblPrEx>
        <w:tc>
          <w:tcPr>
            <w:tcW w:w="290.55pt" w:type="dxa"/>
          </w:tcPr>
          <w:p>
            <w:pPr>
              <w:pStyle w:val="Lgendetitre"/>
              <w:rPr>
                <w:lang w:val="en-GB"/>
              </w:rPr>
            </w:pPr>
            <w:r>
              <w:rPr>
                <w:lang w:val="en-GB"/>
              </w:rPr>
              <w:t>Amendments to a legislative text</w:t>
            </w:r>
          </w:p>
        </w:tc>
      </w:tr>
      <w:tr>
        <w:tblPrEx>
          <w:tblInd w:w="83.4pt" w:type="dxa"/>
          <w:tblLayout w:type="fixed"/>
          <w:tblCellMar>
            <w:start w:w="5.4pt" w:type="dxa"/>
            <w:end w:w="5.4pt" w:type="dxa"/>
          </w:tblCellMar>
          <w:tblLook/>
        </w:tblPrEx>
        <w:tc>
          <w:tcPr>
            <w:tcW w:w="290.55pt" w:type="dxa"/>
          </w:tcPr>
          <w:p>
            <w:pPr>
              <w:pStyle w:val="Lgendestandard"/>
              <w:rPr>
                <w:lang w:val="en-GB"/>
              </w:rPr>
            </w:pPr>
            <w:r>
              <w:rPr>
                <w:lang w:val="en-GB"/>
              </w:rPr>
              <w:t xml:space="preserve">In amendments by Parliament, amended text is highlighted in </w:t>
            </w:r>
            <w:r>
              <w:rPr>
                <w:b/>
                <w:i/>
                <w:lang w:val="en-GB"/>
              </w:rPr>
              <w:t>bold italics</w:t>
            </w:r>
            <w:r>
              <w:rPr>
                <w:lang w:val="en-GB"/>
              </w:rPr>
              <w:t xml:space="preserve">. Highlighting in </w:t>
            </w:r>
            <w:r>
              <w:rPr>
                <w:i/>
                <w:lang w:val="en-GB"/>
              </w:rPr>
              <w:t>normal italics</w:t>
            </w:r>
            <w:r>
              <w:rPr>
                <w:lang w:val="en-GB"/>
              </w:rPr>
              <w:t xml:space="preserve"> is an indication for the relevant departments showing parts of the legislative text for which a correction is proposed, to assist preparation of the final text (for instance, obvious errors or omissions in a given language version). These suggested corrections are subject to the agreement of the departments concerned.</w:t>
            </w:r>
          </w:p>
          <w:p>
            <w:pPr>
              <w:pStyle w:val="Lgendestandard"/>
              <w:rPr>
                <w:lang w:val="en-GB"/>
              </w:rPr>
            </w:pPr>
          </w:p>
        </w:tc>
      </w:tr>
    </w:tbl>
    <w:p/>
    <w:p>
      <w:pPr>
        <w:widowControl/>
        <w:tabs>
          <w:tab w:val="center" w:pos="4677"/>
        </w:tabs>
        <w:jc w:val="both"/>
      </w:pPr>
    </w:p>
    <w:p>
      <w:pPr>
        <w:pStyle w:val="TOCHeading"/>
      </w:pPr>
      <w:r>
        <w:br w:type="page"/>
        <w:t>CONTENTS</w:t>
      </w:r>
    </w:p>
    <w:p>
      <w:pPr>
        <w:pStyle w:val="TOCPage"/>
      </w:pPr>
      <w:r>
        <w:t>Page</w:t>
      </w:r>
    </w:p>
    <w:p>
      <w:pPr>
        <w:pStyle w:val="TableofEntries"/>
        <w:ind w:end="1134"/>
        <w:jc w:val="start"/>
      </w:pPr>
      <w:r>
        <w:fldChar w:fldCharType="begin"/>
      </w:r>
      <w:r>
        <w:instrText xml:space="preserve"> TOC \o "3-3" \t "Heading 1;1;Heading 2;2;PageHeading;1" </w:instrText>
      </w:r>
      <w:r>
        <w:fldChar w:fldCharType="separate"/>
      </w:r>
      <w:r>
        <w:rPr>
          <w:b/>
        </w:rPr>
        <w:t>Error! No table of contents entries found.</w:t>
      </w:r>
      <w:r>
        <w:fldChar w:fldCharType="end"/>
      </w:r>
    </w:p>
    <w:p>
      <w:pPr>
        <w:pStyle w:val="PageHeading"/>
      </w:pPr>
      <w:r>
        <w:br w:type="page"/>
        <w:t>PROCEDURAL PAGE</w:t>
      </w:r>
    </w:p>
    <w:p>
      <w:pPr>
        <w:pStyle w:val="Normal12"/>
      </w:pPr>
      <w:r>
        <w:t xml:space="preserve">By letter of </w:t>
      </w:r>
      <w:r>
        <w:rPr>
          <w:rStyle w:val="HideTWBInt"/>
        </w:rPr>
        <w:t>{10/07/2003}</w:t>
      </w:r>
      <w:r>
        <w:t>10 July 2003 the Council consulted Parliament, pursuant to Article 300(3), first subparagraph of the EC Treaty, on the proposal for a Council decision concerning the conclusion, on behalf of the European Community, of the Stockholm Convention on Persistent Organic Pollutants (COM(2003) 331 – C5-0315/2003 - 2003/0118(CNS)).</w:t>
      </w:r>
    </w:p>
    <w:p>
      <w:pPr>
        <w:pStyle w:val="Normal12"/>
      </w:pPr>
      <w:r>
        <w:t xml:space="preserve">At the sitting of </w:t>
      </w:r>
      <w:r>
        <w:rPr>
          <w:rStyle w:val="HideTWBInt"/>
        </w:rPr>
        <w:t>{01/09/2003}</w:t>
      </w:r>
      <w:r>
        <w:t xml:space="preserve">1 September 2003 the President of Parliament announced that he had referred the proposal to the </w:t>
      </w:r>
      <w:r>
        <w:rPr>
          <w:rStyle w:val="HideTWBInt"/>
        </w:rPr>
        <w:t>{ENVI}</w:t>
      </w:r>
      <w:r>
        <w:t xml:space="preserve">Committee on the Environment, Public Health and Consumer Policy as the committee responsible and the </w:t>
      </w:r>
      <w:r>
        <w:rPr>
          <w:rStyle w:val="HideTWBInt"/>
        </w:rPr>
        <w:t>{ITRE}</w:t>
      </w:r>
      <w:r>
        <w:t>Committee on Industry, External Trade, Research and Energy for its opinion (C5-0315/2003).</w:t>
      </w:r>
    </w:p>
    <w:p>
      <w:pPr>
        <w:pStyle w:val="Normal12"/>
      </w:pPr>
      <w:r>
        <w:t xml:space="preserve">The </w:t>
      </w:r>
      <w:r>
        <w:rPr>
          <w:rStyle w:val="HideTWBInt"/>
        </w:rPr>
        <w:t>{ENVI}</w:t>
      </w:r>
      <w:r>
        <w:t xml:space="preserve">Committee on the Environment, Public Health and Consumer Policy appointed Pernille Frahm rapporteur at its meeting of </w:t>
      </w:r>
      <w:r>
        <w:rPr>
          <w:rStyle w:val="HideTWBInt"/>
        </w:rPr>
        <w:t>{09/09/2003}</w:t>
      </w:r>
      <w:r>
        <w:t>9 September 2003.</w:t>
      </w:r>
    </w:p>
    <w:p>
      <w:pPr>
        <w:pStyle w:val="Normal12"/>
      </w:pPr>
      <w:r>
        <w:t>At its meeting of 7 October 2003 the Committee decided to request the opinion of the Committee on Legal Affairs and the Internal Market on the proposal's legal basis pursuant to Rule 63(2).</w:t>
      </w:r>
    </w:p>
    <w:p>
      <w:pPr>
        <w:pStyle w:val="Normal12"/>
      </w:pPr>
      <w:r>
        <w:t>The Committee considered the proposal for a Council decision and draft report at its meeting of 4 November 2003.</w:t>
      </w:r>
    </w:p>
    <w:p>
      <w:pPr>
        <w:pStyle w:val="Normal12"/>
      </w:pPr>
      <w:r>
        <w:t>At the latter meeting it adopted the draft legislative resolution unanimously.</w:t>
      </w:r>
    </w:p>
    <w:p>
      <w:pPr>
        <w:pStyle w:val="Normal12"/>
      </w:pPr>
      <w:r>
        <w:t xml:space="preserve">The following were present for the vote: Mauro Nobilia, acting chairman; Alexander de Roo; vice-chairman, Pernille Frahm (rapporteur), María del Pilar Ayuso González, Hans Blokland, John Bowis, Dorette Corbey, Chris Davies, Avril Doyle, Jillian Evans (for Hiltrud Breyer), Anne Ferreira, Marialiese Flemming, Karl-Heinz Florenz, Cristina García-Orcoyen Tormo, Robert Goodwill, Françoise Grossetête, Marie Anne Isler Béguin, Giorgio Lisi (for Martin Callanan), Torben Lund, Minerva Melpomeni Malliori, Rosemarie Müller, Riitta Myller, Ria G.H.C. Oomen-Ruijten, Marit Paulsen, Yvonne Sandberg-Fries, Karin Scheele, Inger Schörling, Renate Sommer (for Raffaele Costa), María Sornosa Martínez, Elena Valenciano and Martínez-Orozco. </w:t>
      </w:r>
    </w:p>
    <w:p>
      <w:pPr>
        <w:pStyle w:val="Normal12"/>
      </w:pPr>
      <w:r>
        <w:t xml:space="preserve">The opinion of the Committee on Legal Affairs and the Internal Market on the legal basis is attached. </w:t>
      </w:r>
      <w:r>
        <w:rPr>
          <w:rStyle w:val="HideTWBExt"/>
          <w:lang w:val="en-GB"/>
        </w:rPr>
        <w:t>&lt;OptDel&gt;</w:t>
      </w:r>
      <w:r>
        <w:t xml:space="preserve">The </w:t>
      </w:r>
      <w:r>
        <w:rPr>
          <w:rStyle w:val="HideTWBInt"/>
        </w:rPr>
        <w:t>{ITRE}</w:t>
      </w:r>
      <w:r>
        <w:t>Committee on Industry, External Trade, Research and Energy decided on 2 October 2003 not to deliver an opinion.</w:t>
      </w:r>
      <w:r>
        <w:rPr>
          <w:rStyle w:val="HideTWBExt"/>
          <w:lang w:val="en-GB"/>
        </w:rPr>
        <w:t>&lt;/OptDel&gt;</w:t>
      </w:r>
    </w:p>
    <w:p>
      <w:pPr>
        <w:pStyle w:val="Normal12"/>
      </w:pPr>
      <w:r>
        <w:t>The report was tabled on 5 November 2003.</w:t>
      </w:r>
    </w:p>
    <w:p>
      <w:pPr>
        <w:pStyle w:val="PageHeading"/>
      </w:pPr>
      <w:r>
        <w:br w:type="page"/>
        <w:t>DRAFT EUROPEAN PARLIAMENT LEGISLATIVE RESOLUTION</w:t>
      </w:r>
    </w:p>
    <w:p>
      <w:pPr>
        <w:pStyle w:val="NormalBold"/>
      </w:pPr>
      <w:r>
        <w:t>on the proposal for a Council decision concerning the conclusion, on behalf of the European Community, of the Stockholm Convention on Persistent Organic Pollutants</w:t>
      </w:r>
    </w:p>
    <w:p>
      <w:pPr>
        <w:pStyle w:val="Normal12Bold"/>
      </w:pPr>
      <w:r>
        <w:t>(COM(2003) 331 – C5-0315/2003 – 2003/0118(CNS))</w:t>
      </w:r>
    </w:p>
    <w:p>
      <w:pPr>
        <w:pStyle w:val="Normal12Bold"/>
      </w:pPr>
      <w:r>
        <w:t>(Consultation procedure)</w:t>
      </w:r>
    </w:p>
    <w:p>
      <w:pPr>
        <w:pStyle w:val="Normal12"/>
      </w:pPr>
      <w:r>
        <w:rPr>
          <w:i/>
        </w:rPr>
        <w:t>The European Parliament</w:t>
      </w:r>
      <w:r>
        <w:t>,</w:t>
      </w:r>
    </w:p>
    <w:p>
      <w:pPr>
        <w:pStyle w:val="Normal12Hanging"/>
      </w:pPr>
      <w:r>
        <w:t>–</w:t>
        <w:tab/>
        <w:t>having regard to the proposal for a Council decision (COM(2003) 331)</w:t>
      </w:r>
      <w:r>
        <w:rPr>
          <w:rStyle w:val="FootnoteReference"/>
        </w:rPr>
        <w:footnoteReference w:id="1"/>
      </w:r>
      <w:r>
        <w:t>,</w:t>
      </w:r>
    </w:p>
    <w:p>
      <w:pPr>
        <w:pStyle w:val="Normal12Hanging"/>
      </w:pPr>
      <w:r>
        <w:t>–</w:t>
        <w:tab/>
        <w:t>having regard to the conclusion, on behalf of the European Community, of the Stockholm Convention on Persistent Organic Pollutants,</w:t>
      </w:r>
    </w:p>
    <w:p>
      <w:pPr>
        <w:pStyle w:val="Normal12Hanging"/>
      </w:pPr>
      <w:r>
        <w:t>–</w:t>
        <w:tab/>
        <w:t>having regard to Articles 95(1), 175(1) and 300(2), first subparagraph of the EC Treaty,</w:t>
      </w:r>
    </w:p>
    <w:p>
      <w:pPr>
        <w:pStyle w:val="Normal12Hanging"/>
      </w:pPr>
      <w:r>
        <w:t>–</w:t>
        <w:tab/>
        <w:t>having regard to Article 300(3), first subparagraph, of the EC Treaty, pursuant to which the Council consulted Parliament (C5-0315/2003),</w:t>
      </w:r>
    </w:p>
    <w:p>
      <w:pPr>
        <w:pStyle w:val="Normal12Hanging"/>
      </w:pPr>
      <w:r>
        <w:t xml:space="preserve">– </w:t>
        <w:tab/>
      </w:r>
      <w:r>
        <w:rPr>
          <w:color w:val="000000"/>
        </w:rPr>
        <w:t>having regard to the opinion of the Committee on Legal Affairs and the Internal Market on the proposed legal basis,</w:t>
      </w:r>
    </w:p>
    <w:p>
      <w:pPr>
        <w:pStyle w:val="Normal12Hanging"/>
      </w:pPr>
      <w:r>
        <w:t>–</w:t>
        <w:tab/>
        <w:t>having regard to Rules 63, 67 and 97(7) of its Rules of Procedure,</w:t>
      </w:r>
    </w:p>
    <w:p>
      <w:pPr>
        <w:pStyle w:val="Normal12Hanging"/>
      </w:pPr>
      <w:r>
        <w:t>–</w:t>
        <w:tab/>
        <w:t xml:space="preserve">having regard to the report of the </w:t>
      </w:r>
      <w:r>
        <w:rPr>
          <w:rStyle w:val="HideTWBInt"/>
        </w:rPr>
        <w:t>{ENVI}</w:t>
      </w:r>
      <w:r>
        <w:t>Committee on the Environment, Public Health and Consumer Policy (A5-0371/2003),</w:t>
      </w:r>
    </w:p>
    <w:p>
      <w:pPr>
        <w:pStyle w:val="Normal12Hanging"/>
      </w:pPr>
      <w:r>
        <w:t>1.</w:t>
        <w:tab/>
        <w:t>Approves the proposal for a Council decision as amended and approves conclusion of the Convention;</w:t>
      </w:r>
    </w:p>
    <w:p>
      <w:pPr>
        <w:pStyle w:val="Normal12Hanging"/>
      </w:pPr>
      <w:r>
        <w:t>2.</w:t>
        <w:tab/>
        <w:t>Instructs its President to forward its position to the Council and Commission, the governments and parliaments of the Member States and the Secretary General of the United Nations.</w:t>
      </w:r>
    </w:p>
    <w:tbl>
      <w:tblPr>
        <w:jc w:val="center"/>
        <w:tblLayout w:type="fixed"/>
        <w:tblCellMar>
          <w:start w:w="0pt" w:type="dxa"/>
          <w:end w:w="0pt" w:type="dxa"/>
        </w:tblCellMar>
        <w:tblLook/>
      </w:tblPr>
      <w:tblGrid>
        <w:gridCol w:w="4196"/>
        <w:gridCol w:w="680"/>
        <w:gridCol w:w="4196"/>
      </w:tblGrid>
      <w:tr>
        <w:tblPrEx>
          <w:jc w:val="center"/>
          <w:tblLayout w:type="fixed"/>
          <w:tblCellMar>
            <w:start w:w="0pt" w:type="dxa"/>
            <w:end w:w="0pt" w:type="dxa"/>
          </w:tblCellMar>
          <w:tblLook/>
        </w:tblPrEx>
        <w:trPr>
          <w:jc w:val="center"/>
        </w:trPr>
        <w:tc>
          <w:tcPr>
            <w:tcW w:w="209.8pt" w:type="dxa"/>
            <w:tcBorders>
              <w:top w:val="single" w:sz="6" w:space="0" w:color="FFFFFF"/>
              <w:start w:val="single" w:sz="6" w:space="0" w:color="FFFFFF"/>
              <w:bottom w:val="single" w:sz="7" w:space="0" w:color="000000"/>
              <w:end w:val="single" w:sz="6" w:space="0" w:color="FFFFFF"/>
            </w:tcBorders>
          </w:tcPr>
          <w:p>
            <w:pPr>
              <w:pStyle w:val="ColHeading"/>
            </w:pPr>
            <w:r>
              <w:t>Text proposed by the Commission</w:t>
            </w:r>
          </w:p>
        </w:tc>
        <w:tc>
          <w:tcPr>
            <w:tcW w:w="34pt" w:type="dxa"/>
            <w:tcBorders>
              <w:top w:val="single" w:sz="6" w:space="0" w:color="FFFFFF"/>
              <w:start w:val="single" w:sz="6" w:space="0" w:color="FFFFFF"/>
              <w:bottom w:val="single" w:sz="6" w:space="0" w:color="FFFFFF"/>
              <w:end w:val="single" w:sz="6" w:space="0" w:color="FFFFFF"/>
            </w:tcBorders>
          </w:tcPr>
          <w:p/>
        </w:tc>
        <w:tc>
          <w:tcPr>
            <w:tcW w:w="209.8pt" w:type="dxa"/>
            <w:tcBorders>
              <w:top w:val="single" w:sz="6" w:space="0" w:color="FFFFFF"/>
              <w:start w:val="single" w:sz="6" w:space="0" w:color="FFFFFF"/>
              <w:bottom w:val="single" w:sz="7" w:space="0" w:color="000000"/>
              <w:end w:val="single" w:sz="6" w:space="0" w:color="FFFFFF"/>
            </w:tcBorders>
          </w:tcPr>
          <w:p>
            <w:pPr>
              <w:pStyle w:val="ColHeading"/>
            </w:pPr>
            <w:r>
              <w:t>Amendments by Parliament</w:t>
            </w:r>
          </w:p>
        </w:tc>
      </w:tr>
    </w:tbl>
    <w:p>
      <w:pPr>
        <w:pStyle w:val="AMNumber"/>
      </w:pPr>
      <w:bookmarkStart w:id="0" w:name="restart"/>
      <w:r>
        <w:rPr>
          <w:rStyle w:val="HideTWBExt"/>
          <w:lang w:val="en-GB"/>
        </w:rPr>
        <w:t>&lt;Amend&gt;</w:t>
      </w:r>
      <w:r>
        <w:t xml:space="preserve">Amendment </w:t>
      </w:r>
      <w:r>
        <w:rPr>
          <w:rStyle w:val="HideTWBExt"/>
          <w:lang w:val="en-GB"/>
        </w:rPr>
        <w:t>&lt;NumAm&gt;</w:t>
      </w:r>
      <w:r>
        <w:t>1</w:t>
      </w:r>
      <w:r>
        <w:rPr>
          <w:rStyle w:val="HideTWBExt"/>
          <w:lang w:val="en-GB"/>
        </w:rPr>
        <w:t>&lt;/NumAm&gt;</w:t>
      </w:r>
    </w:p>
    <w:p>
      <w:pPr>
        <w:pStyle w:val="Normal12Centre"/>
      </w:pPr>
      <w:r>
        <w:t>Citation 1, introduction</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xml:space="preserve">Having regard to the Treaty establishing the European Community, and in particular </w:t>
            </w:r>
            <w:r>
              <w:rPr>
                <w:b/>
                <w:i/>
              </w:rPr>
              <w:t xml:space="preserve">Article 95(1) and </w:t>
            </w:r>
            <w:r>
              <w:t>Article 175(1), in conjunction with Article 300(2), first sentence of the first subparagraph and Article 300(3), first subparagraph thereof,</w:t>
            </w:r>
          </w:p>
        </w:tc>
        <w:tc>
          <w:tcPr>
            <w:tcW w:w="243.8pt" w:type="dxa"/>
            <w:tcBorders>
              <w:start w:val="single" w:sz="6" w:space="0" w:color="FFFFFF"/>
            </w:tcBorders>
          </w:tcPr>
          <w:p>
            <w:pPr>
              <w:pStyle w:val="Normal6"/>
            </w:pPr>
            <w:r>
              <w:t>Having regard to the Treaty establishing the European Community, and in particular Article 175(1), in conjunction with Article 300(2), first sentence of the first subparagraph and Article 300(3), first subparagraph thereof,</w:t>
            </w:r>
          </w:p>
        </w:tc>
      </w:tr>
    </w:tbl>
    <w:p>
      <w:pPr>
        <w:pStyle w:val="JustificationTitle"/>
      </w:pPr>
      <w:r>
        <w:t>Justification</w:t>
      </w:r>
    </w:p>
    <w:p>
      <w:pPr>
        <w:pStyle w:val="Normal12Italic"/>
        <w:rPr>
          <w:rStyle w:val="HideTWBExt"/>
          <w:rFonts w:ascii="Times New Roman" w:hAnsi="Times New Roman"/>
          <w:vanish w:val="0"/>
          <w:color w:val="auto"/>
          <w:sz w:val="24"/>
          <w:lang w:val="en-GB"/>
        </w:rPr>
      </w:pPr>
      <w:r>
        <w:rPr>
          <w:snapToGrid w:val="0"/>
          <w:lang w:eastAsia="en-US"/>
        </w:rPr>
        <w:t>The Commission proposal concerning the conclusion, on behalf of the EC, of the Stockholm Convention on Persistent Organic Pollutants, is based on a double legal basis, Articles 175(1) and 95(1) TEC. When a Community measure pursues a twofold purpose and if one is identifiable as the main or predominant purpose whereas the other is merely incidental, the measure must be founded on a single legal basis, merely that required by the main or preponderant purpose. As to the Stockholm Convention's content, there is a clear reflection of its environmental aim stated in Article 1: “Mindful of the precautionary approach as set forth in Principal 15 of the Rio Declaration on Environment and Development, the objective of this Convention is to protect human health and the environment from persistent organic pollutants”. Consequently, Article 175(1) TEC is the appropriate legal basis for conclusion of the Convention on behalf of the EC</w:t>
      </w:r>
      <w:r>
        <w:t>.</w:t>
      </w:r>
      <w:r>
        <w:rPr>
          <w:rStyle w:val="HideTWBExt"/>
          <w:lang w:val="en-GB"/>
        </w:rPr>
        <w:t>&lt;/Amend&gt;</w:t>
      </w:r>
    </w:p>
    <w:p>
      <w:pPr>
        <w:widowControl/>
        <w:tabs>
          <w:tab w:val="start" w:pos="-720"/>
        </w:tabs>
      </w:pPr>
    </w:p>
    <w:p>
      <w:pPr>
        <w:widowControl/>
        <w:tabs>
          <w:tab w:val="start" w:pos="-720"/>
        </w:tabs>
        <w:rPr>
          <w:rStyle w:val="HideTWBExt"/>
          <w:rFonts w:ascii="Times New Roman" w:hAnsi="Times New Roman"/>
          <w:vanish w:val="0"/>
          <w:color w:val="auto"/>
          <w:sz w:val="24"/>
          <w:lang w:val="en-GB"/>
        </w:rPr>
      </w:pPr>
      <w:bookmarkEnd w:id="0"/>
    </w:p>
    <w:p>
      <w:pPr>
        <w:pStyle w:val="AMNumber"/>
      </w:pPr>
      <w:r>
        <w:rPr>
          <w:rStyle w:val="HideTWBExt"/>
          <w:lang w:val="en-GB"/>
        </w:rPr>
        <w:t>&lt;Amend&gt;</w:t>
      </w:r>
      <w:r>
        <w:t xml:space="preserve">Amendment </w:t>
      </w:r>
      <w:r>
        <w:rPr>
          <w:rStyle w:val="HideTWBExt"/>
          <w:lang w:val="en-GB"/>
        </w:rPr>
        <w:t>&lt;NumAm&gt;</w:t>
      </w:r>
      <w:r>
        <w:t>2</w:t>
      </w:r>
      <w:r>
        <w:rPr>
          <w:rStyle w:val="HideTWBExt"/>
          <w:lang w:val="en-GB"/>
        </w:rPr>
        <w:t>&lt;/NumAm&gt;</w:t>
      </w:r>
    </w:p>
    <w:p>
      <w:pPr>
        <w:pStyle w:val="Normal12Centre"/>
      </w:pPr>
      <w:r>
        <w:t>Recital 8</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xml:space="preserve">(8) </w:t>
            </w:r>
            <w:r>
              <w:rPr>
                <w:b/>
                <w:i/>
              </w:rPr>
              <w:t>While</w:t>
            </w:r>
            <w:r>
              <w:t xml:space="preserve"> the provisions of the Convention concern environmental protection, </w:t>
            </w:r>
            <w:r>
              <w:rPr>
                <w:b/>
                <w:i/>
              </w:rPr>
              <w:t>certain provisions on the control of intentional production and use of chemicals, are also relevant to the functioning of the internal market.</w:t>
            </w:r>
            <w:r>
              <w:t xml:space="preserve"> </w:t>
            </w:r>
            <w:r>
              <w:rPr>
                <w:b/>
                <w:i/>
              </w:rPr>
              <w:t xml:space="preserve">Consequently, </w:t>
            </w:r>
            <w:r>
              <w:t xml:space="preserve">it is appropriate to choose </w:t>
            </w:r>
            <w:r>
              <w:rPr>
                <w:b/>
                <w:i/>
              </w:rPr>
              <w:t xml:space="preserve">Articles </w:t>
            </w:r>
            <w:r>
              <w:t xml:space="preserve">175(1) </w:t>
            </w:r>
            <w:r>
              <w:rPr>
                <w:b/>
                <w:i/>
              </w:rPr>
              <w:t>and 95(1)</w:t>
            </w:r>
            <w:r>
              <w:t xml:space="preserve"> as the legal basis, in conjunction with Article 300.</w:t>
            </w:r>
          </w:p>
        </w:tc>
        <w:tc>
          <w:tcPr>
            <w:tcW w:w="243.8pt" w:type="dxa"/>
            <w:tcBorders>
              <w:start w:val="single" w:sz="6" w:space="0" w:color="FFFFFF"/>
            </w:tcBorders>
          </w:tcPr>
          <w:p>
            <w:pPr>
              <w:pStyle w:val="Normal6"/>
            </w:pPr>
            <w:r>
              <w:t xml:space="preserve">(8) </w:t>
            </w:r>
            <w:r>
              <w:rPr>
                <w:b/>
                <w:i/>
              </w:rPr>
              <w:t>As</w:t>
            </w:r>
            <w:r>
              <w:t xml:space="preserve"> </w:t>
            </w:r>
            <w:r>
              <w:rPr>
                <w:b/>
                <w:i/>
              </w:rPr>
              <w:t xml:space="preserve">most of </w:t>
            </w:r>
            <w:r>
              <w:t xml:space="preserve">the provisions of the Convention concern environmental protection </w:t>
            </w:r>
            <w:r>
              <w:rPr>
                <w:b/>
                <w:i/>
              </w:rPr>
              <w:t>and the protection of human health,</w:t>
            </w:r>
            <w:r>
              <w:t xml:space="preserve"> it is appropriate to choose </w:t>
            </w:r>
            <w:r>
              <w:rPr>
                <w:b/>
                <w:i/>
              </w:rPr>
              <w:t>Article</w:t>
            </w:r>
            <w:r>
              <w:t xml:space="preserve"> 175(1) as the legal basis, in conjunction with Article 300.</w:t>
            </w:r>
          </w:p>
        </w:tc>
      </w:tr>
    </w:tbl>
    <w:p>
      <w:pPr>
        <w:pStyle w:val="CrossRef"/>
      </w:pPr>
      <w:r>
        <w:rPr>
          <w:rStyle w:val="HideTWBExt"/>
          <w:i w:val="0"/>
          <w:lang w:val="en-GB"/>
        </w:rPr>
        <w:t>&lt;OptDel</w:t>
      </w:r>
      <w:r>
        <w:rPr>
          <w:rStyle w:val="HideTWBExt"/>
          <w:lang w:val="en-GB"/>
        </w:rPr>
        <w:t>&gt;</w:t>
      </w:r>
      <w:r>
        <w:rPr>
          <w:rStyle w:val="HideTWBExt"/>
          <w:i w:val="0"/>
          <w:lang w:val="en-GB"/>
        </w:rPr>
        <w:t>&lt;/OptDel&gt;</w:t>
      </w:r>
    </w:p>
    <w:p>
      <w:pPr>
        <w:pStyle w:val="JustificationTitle"/>
      </w:pPr>
      <w:r>
        <w:t>Justification</w:t>
      </w:r>
    </w:p>
    <w:p>
      <w:pPr>
        <w:pStyle w:val="Normal12Italic"/>
        <w:rPr>
          <w:rStyle w:val="HideTWBExt"/>
          <w:rFonts w:ascii="Times New Roman" w:hAnsi="Times New Roman"/>
          <w:vanish w:val="0"/>
          <w:color w:val="auto"/>
          <w:sz w:val="24"/>
          <w:lang w:val="en-GB"/>
        </w:rPr>
      </w:pPr>
      <w:r>
        <w:rPr>
          <w:snapToGrid w:val="0"/>
          <w:lang w:eastAsia="en-US"/>
        </w:rPr>
        <w:t>The Commission proposal concerning the conclusion, on behalf of the EC, of the Stockholm Convention on Persistent Organic Pollutants, is based on a double legal basis, Articles 175(1) and 95(1) TEC. When a Community measure pursues a twofold purpose and if one is identifiable as the main or predominant purpose whereas the other is merely incidental, the measure must be founded on a single legal basis, merely that required by the main or preponderant purpose. As to the Stockholm Convention's content, there is a clear reflection of its environmental aim stated in Article 1: “Mindful of the precautionary approach as set forth in Principal 15 of the Rio Declaration on Environment and Development, the objective of this Convention is to protect human health and the environment from persistent organic pollutants”. Consequently, Article 175(1) TEC is the appropriate legal basis for conclusion of the Convention on behalf of the EC</w:t>
      </w:r>
    </w:p>
    <w:p>
      <w:pPr>
        <w:widowControl/>
        <w:tabs>
          <w:tab w:val="start" w:pos="-720"/>
        </w:tabs>
      </w:pPr>
    </w:p>
    <w:p>
      <w:pPr>
        <w:widowControl/>
        <w:tabs>
          <w:tab w:val="start" w:pos="-720"/>
        </w:tabs>
      </w:pPr>
    </w:p>
    <w:p>
      <w:r>
        <w:rPr>
          <w:rStyle w:val="HideTWBExt"/>
          <w:i/>
          <w:lang w:val="en-GB"/>
        </w:rPr>
        <w:t>&lt;/Amend&gt;</w:t>
      </w:r>
    </w:p>
    <w:p>
      <w:pPr>
        <w:pStyle w:val="AMNumber"/>
      </w:pPr>
      <w:r>
        <w:rPr>
          <w:rStyle w:val="HideTWBExt"/>
          <w:lang w:val="en-GB"/>
        </w:rPr>
        <w:t>&lt;Amend&gt;</w:t>
      </w:r>
      <w:r>
        <w:t xml:space="preserve">Amendment </w:t>
      </w:r>
      <w:r>
        <w:rPr>
          <w:rStyle w:val="HideTWBExt"/>
          <w:lang w:val="en-GB"/>
        </w:rPr>
        <w:t>&lt;NumAm&gt;</w:t>
      </w:r>
      <w:r>
        <w:t>3</w:t>
      </w:r>
      <w:r>
        <w:rPr>
          <w:rStyle w:val="HideTWBExt"/>
          <w:lang w:val="en-GB"/>
        </w:rPr>
        <w:t>&lt;/NumAm&gt;</w:t>
      </w:r>
    </w:p>
    <w:p>
      <w:pPr>
        <w:pStyle w:val="Normal12Centre"/>
      </w:pPr>
      <w:r>
        <w:t>Recital 10</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b/>
                <w:i/>
              </w:rPr>
            </w:pPr>
            <w:r>
              <w:rPr>
                <w:b/>
                <w:i/>
              </w:rPr>
              <w:t xml:space="preserve">(10) The Convention foresees that Parties submit proposals to the Secretariat of the Convention for listing additional substances in Annexes A, B or C. As these proposals may affect relevant Community legislation and as it is necessary to ensure that proposals are justified and have sufficient support in the Community, only joint proposals by the Community and the Member States should be submitted to the Secretariat. When </w:t>
            </w:r>
            <w:r>
              <w:rPr>
                <w:b/>
                <w:i/>
                <w:snapToGrid w:val="0"/>
                <w:lang w:eastAsia="en-US"/>
              </w:rPr>
              <w:t>preparing draft proposals, due account of Annex D to the Stockholm Convention should be taken.</w:t>
            </w:r>
          </w:p>
        </w:tc>
        <w:tc>
          <w:tcPr>
            <w:tcW w:w="243.8pt" w:type="dxa"/>
            <w:tcBorders>
              <w:start w:val="single" w:sz="6" w:space="0" w:color="FFFFFF"/>
            </w:tcBorders>
          </w:tcPr>
          <w:p>
            <w:pPr>
              <w:pStyle w:val="Normal6"/>
              <w:rPr>
                <w:b/>
                <w:i/>
              </w:rPr>
            </w:pPr>
            <w:r>
              <w:rPr>
                <w:b/>
                <w:i/>
              </w:rPr>
              <w:t>Deletion</w:t>
            </w:r>
          </w:p>
        </w:tc>
      </w:tr>
    </w:tbl>
    <w:p>
      <w:pPr>
        <w:pStyle w:val="CrossRef"/>
      </w:pPr>
      <w:r>
        <w:rPr>
          <w:rStyle w:val="HideTWBExt"/>
          <w:rFonts w:ascii="Times New Roman" w:hAnsi="Times New Roman"/>
          <w:i w:val="0"/>
          <w:lang w:val="en-GB"/>
        </w:rPr>
        <w:t>&lt;OptDel</w:t>
      </w:r>
      <w:r>
        <w:rPr>
          <w:rStyle w:val="HideTWBExt"/>
          <w:rFonts w:ascii="Times New Roman" w:hAnsi="Times New Roman"/>
          <w:lang w:val="en-GB"/>
        </w:rPr>
        <w:t>&gt;</w:t>
      </w:r>
      <w:r>
        <w:rPr>
          <w:rStyle w:val="HideTWBExt"/>
          <w:rFonts w:ascii="Times New Roman" w:hAnsi="Times New Roman"/>
          <w:i w:val="0"/>
          <w:lang w:val="en-GB"/>
        </w:rPr>
        <w:t>&lt;/OptDel&gt;</w:t>
      </w:r>
    </w:p>
    <w:p>
      <w:pPr>
        <w:pStyle w:val="JustificationTitle"/>
      </w:pPr>
      <w:r>
        <w:t>Justification</w:t>
      </w:r>
    </w:p>
    <w:p>
      <w:pPr>
        <w:pStyle w:val="Normal12Italic"/>
      </w:pPr>
      <w:r>
        <w:rPr>
          <w:color w:val="000000"/>
        </w:rPr>
        <w:t>The Commission suggests a centralised procedure for how proposals to amend the international agreements on POPs should be agreed. However, this is not necessary because a procedure is already provided for in the agreements themselves. Furthermore, the spheres of competence of the Community and the Member States are defined in Article 174(4) of the Treaty, which guarantees individual Member States the right to negotiate in international bodies and conclude international agreements.</w:t>
      </w:r>
    </w:p>
    <w:p>
      <w:r>
        <w:rPr>
          <w:rStyle w:val="HideTWBExt"/>
          <w:i/>
          <w:lang w:val="en-GB"/>
        </w:rPr>
        <w:t>&lt;/Amend&gt;</w:t>
      </w:r>
    </w:p>
    <w:p>
      <w:pPr>
        <w:pStyle w:val="AMNumber"/>
      </w:pPr>
      <w:r>
        <w:rPr>
          <w:rStyle w:val="HideTWBExt"/>
          <w:lang w:val="en-GB"/>
        </w:rPr>
        <w:t>&lt;Amend&gt;</w:t>
      </w:r>
      <w:r>
        <w:t>Amendment 4</w:t>
      </w:r>
      <w:r>
        <w:rPr>
          <w:rStyle w:val="HideTWBExt"/>
          <w:lang w:val="en-GB"/>
        </w:rPr>
        <w:t>&lt;NumAm&gt;&lt;/NumAm&gt;</w:t>
      </w:r>
    </w:p>
    <w:p>
      <w:pPr>
        <w:pStyle w:val="Normal12Centre"/>
      </w:pPr>
      <w:r>
        <w:t>Article 2</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rPr>
                <w:b/>
                <w:i/>
              </w:rPr>
            </w:pPr>
            <w:r>
              <w:rPr>
                <w:b/>
                <w:i/>
                <w:color w:val="000000"/>
              </w:rPr>
              <w:t>Proposals to amend Annexes A, B and C to the Convention shall only be made, on behalf of the Community and the Member States, by the Commission following a Council Decision to be adopted by qualified majority on a proposal from the Commission</w:t>
            </w:r>
            <w:r>
              <w:rPr>
                <w:b/>
                <w:i/>
                <w:snapToGrid w:val="0"/>
                <w:lang w:eastAsia="en-US"/>
              </w:rPr>
              <w:t>.</w:t>
            </w:r>
          </w:p>
        </w:tc>
        <w:tc>
          <w:tcPr>
            <w:tcW w:w="243.8pt" w:type="dxa"/>
            <w:tcBorders>
              <w:start w:val="single" w:sz="6" w:space="0" w:color="FFFFFF"/>
            </w:tcBorders>
          </w:tcPr>
          <w:p>
            <w:pPr>
              <w:pStyle w:val="Normal6"/>
              <w:rPr>
                <w:b/>
                <w:i/>
              </w:rPr>
            </w:pPr>
            <w:r>
              <w:rPr>
                <w:b/>
                <w:i/>
              </w:rPr>
              <w:t>Deletion</w:t>
            </w:r>
          </w:p>
        </w:tc>
      </w:tr>
    </w:tbl>
    <w:p>
      <w:pPr>
        <w:pStyle w:val="JustificationTitle"/>
        <w:rPr>
          <w:rStyle w:val="HideTWBExt"/>
          <w:rFonts w:ascii="Times New Roman" w:hAnsi="Times New Roman"/>
          <w:lang w:val="en-GB"/>
        </w:rPr>
      </w:pPr>
      <w:r>
        <w:rPr>
          <w:rStyle w:val="HideTWBExt"/>
          <w:rFonts w:ascii="Times New Roman" w:hAnsi="Times New Roman"/>
          <w:lang w:val="en-GB"/>
        </w:rPr>
        <w:t>&lt;OptDelPrev&gt;&lt;/OptDelPrev&gt;</w:t>
      </w:r>
    </w:p>
    <w:p>
      <w:pPr>
        <w:pStyle w:val="JustificationTitle"/>
      </w:pPr>
      <w:r>
        <w:t>Justification</w:t>
      </w:r>
    </w:p>
    <w:p>
      <w:pPr>
        <w:pStyle w:val="Normal12"/>
      </w:pPr>
    </w:p>
    <w:p>
      <w:r>
        <w:rPr>
          <w:i/>
          <w:color w:val="000000"/>
        </w:rPr>
        <w:t>The Commission suggests a centralised procedure for how proposals to amend the international agreements on POPs should be agreed. However, this is not necessary because a procedure is already provided for in the agreements themselves. Furthermore, the spheres of competence of the Community and the Member States are defined in Article 174(4) of the Treaty, which guarantees individual Member States the right to negotiate in international bodies and conclude international agreements.</w:t>
      </w:r>
      <w:r>
        <w:rPr>
          <w:vanish/>
          <w:color w:val="000080"/>
          <w:sz w:val="20"/>
        </w:rPr>
        <w:t>&lt;/OptDelPrev&gt;</w:t>
      </w:r>
      <w:r>
        <w:rPr>
          <w:rStyle w:val="HideTWBExt"/>
          <w:i/>
          <w:lang w:val="en-GB"/>
        </w:rPr>
        <w:t>&lt;/Amend&gt;</w:t>
      </w:r>
    </w:p>
    <w:p>
      <w:pPr>
        <w:pStyle w:val="EntPE"/>
      </w:pPr>
      <w:r>
        <w:br w:type="page"/>
      </w:r>
      <w:r>
        <w:rPr>
          <w:rStyle w:val="HideTWBExt"/>
          <w:lang w:val="en-GB"/>
        </w:rPr>
        <w:t>&lt;EntPE&gt;</w:t>
      </w:r>
      <w:r>
        <w:t>EUROPEAN PARLIAMENT</w:t>
      </w:r>
      <w:r>
        <w:rPr>
          <w:rStyle w:val="HideTWBExt"/>
          <w:lang w:val="en-GB"/>
        </w:rPr>
        <w:t>&lt;/EntPE&gt;</w:t>
      </w:r>
    </w:p>
    <w:tbl>
      <w:tblPr>
        <w:jc w:val="cente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
      <w:tblGrid>
        <w:gridCol w:w="2356"/>
        <w:gridCol w:w="1612"/>
        <w:gridCol w:w="2373"/>
      </w:tblGrid>
      <w:tr>
        <w:tblPrEx>
          <w:jc w:val="cente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Ex>
        <w:trPr>
          <w:cantSplit/>
          <w:jc w:val="center"/>
        </w:trPr>
        <w:tc>
          <w:tcPr>
            <w:tcW w:w="117.8pt" w:type="dxa"/>
            <w:vAlign w:val="center"/>
          </w:tcPr>
          <w:p>
            <w:pPr>
              <w:pStyle w:val="Term"/>
            </w:pPr>
            <w:r>
              <w:t>1999</w:t>
            </w:r>
          </w:p>
        </w:tc>
        <w:tc>
          <w:tcPr>
            <w:tcW w:w="80.6pt" w:type="dxa"/>
            <w:vAlign w:val="center"/>
          </w:tcPr>
          <w:p>
            <w:pPr>
              <w:pStyle w:val="Term"/>
            </w:pPr>
            <w:r>
              <w:drawing>
                <wp:inline distT="0" distB="0" distL="0" distR="0">
                  <wp:extent cx="860301" cy="573697"/>
                  <wp:effectExtent l="0" t="0" r="0" b="0"/>
                  <wp:docPr id="1026" name="Image 1026" descr="C:\DATA\MAIL\Stars.wm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561842231" name="Image 1026" descr="C:\DATA\MAIL\Stars.wmf"/>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860301" cy="573697"/>
                          </a:xfrm>
                          <a:prstGeom prst="rect">
                            <a:avLst/>
                          </a:prstGeom>
                          <a:noFill/>
                          <a:ln>
                            <a:noFill/>
                          </a:ln>
                        </pic:spPr>
                      </pic:pic>
                    </a:graphicData>
                  </a:graphic>
                </wp:inline>
              </w:drawing>
            </w:r>
          </w:p>
        </w:tc>
        <w:tc>
          <w:tcPr>
            <w:tcW w:w="118.65pt" w:type="dxa"/>
            <w:vAlign w:val="center"/>
          </w:tcPr>
          <w:p>
            <w:pPr>
              <w:pStyle w:val="Term"/>
            </w:pPr>
            <w:r>
              <w:t>2004</w:t>
            </w:r>
          </w:p>
        </w:tc>
      </w:tr>
    </w:tbl>
    <w:p>
      <w:pPr>
        <w:pStyle w:val="CommitteePAJURI"/>
      </w:pPr>
      <w:r>
        <w:rPr>
          <w:rStyle w:val="HideTWBExt"/>
          <w:lang w:val="en-GB"/>
        </w:rPr>
        <w:t>&lt;Commission&gt;</w:t>
      </w:r>
      <w:r>
        <w:rPr>
          <w:rStyle w:val="HideTWBInt"/>
        </w:rPr>
        <w:t>{JURI}</w:t>
      </w:r>
      <w:r>
        <w:t>Committee on Legal Affairs and the Internal Market</w:t>
      </w:r>
      <w:r>
        <w:rPr>
          <w:rStyle w:val="HideTWBExt"/>
          <w:lang w:val="en-GB"/>
        </w:rPr>
        <w:t>&lt;/Commission&gt;</w:t>
      </w:r>
    </w:p>
    <w:p>
      <w:pPr>
        <w:pStyle w:val="Chairman"/>
      </w:pPr>
      <w:r>
        <w:t>The Chairman</w:t>
      </w:r>
    </w:p>
    <w:p>
      <w:r>
        <w:t>To:</w:t>
        <w:tab/>
        <w:t>Mrs Caroline F. Jackson</w:t>
      </w:r>
    </w:p>
    <w:p>
      <w:pPr>
        <w:ind w:firstLine="720"/>
      </w:pPr>
      <w:r>
        <w:t>Chairman of the Committee on the Environment, Public Health and Consumer Policy</w:t>
      </w:r>
      <w:r>
        <w:rPr>
          <w:rStyle w:val="HideTWBInt"/>
        </w:rPr>
        <w:t>{ENVI}</w:t>
      </w:r>
    </w:p>
    <w:p>
      <w:pPr>
        <w:ind w:firstLine="720"/>
      </w:pPr>
      <w:r>
        <w:t>Brussels</w:t>
      </w:r>
    </w:p>
    <w:p/>
    <w:p/>
    <w:p/>
    <w:p/>
    <w:p>
      <w:pPr>
        <w:pStyle w:val="CoverNormal"/>
        <w:ind w:start="1440" w:hanging="1440"/>
      </w:pPr>
      <w:r>
        <w:t>Subject:</w:t>
        <w:tab/>
        <w:t xml:space="preserve">Legal basis of the proposal for a Council decision concerning the conclusion, on behalf of the European Community, of the Stockholm Convention on Persistent Organic Pollutants </w:t>
      </w:r>
      <w:r>
        <w:rPr>
          <w:rStyle w:val="HideTWBExt"/>
          <w:lang w:val="en-GB"/>
        </w:rPr>
        <w:t>&lt;/Titre&gt;&lt;DocRef&gt;</w:t>
      </w:r>
      <w:r>
        <w:t>(COM(2003) 331 – C5-0315/2003  – 2003/0118(CNS))</w:t>
      </w:r>
    </w:p>
    <w:p>
      <w:pPr>
        <w:pStyle w:val="CoverNormal"/>
        <w:ind w:start="1440" w:hanging="1440"/>
      </w:pPr>
    </w:p>
    <w:p>
      <w:pPr>
        <w:pStyle w:val="CoverNormal"/>
        <w:ind w:start="1440" w:hanging="1440"/>
      </w:pPr>
    </w:p>
    <w:p>
      <w:pPr>
        <w:pStyle w:val="Normal12"/>
      </w:pPr>
      <w:r>
        <w:t>Dear Mrs Jackson,</w:t>
      </w:r>
    </w:p>
    <w:p>
      <w:pPr>
        <w:spacing w:after="240"/>
      </w:pPr>
      <w:r>
        <w:t xml:space="preserve">By letter of 13 October 2003, the Committee on the Environment, Public Health and Consumer Policy requested that the legal basis of the above-mentioned proposal be verified. </w:t>
      </w:r>
    </w:p>
    <w:p>
      <w:pPr>
        <w:tabs>
          <w:tab w:val="start" w:pos="-720"/>
        </w:tabs>
        <w:spacing w:after="240"/>
      </w:pPr>
      <w:r>
        <w:t>The proposal for a decision COM(2003) 331 is based on Article 95(1) and Article 175(1) in conjunction with the first sentence of the first subparagraph of Article 300(2) and the first subparagraph of Article 300(3) of the EC Treaty.</w:t>
      </w:r>
    </w:p>
    <w:p>
      <w:pPr>
        <w:tabs>
          <w:tab w:val="start" w:pos="-720"/>
        </w:tabs>
        <w:spacing w:after="240"/>
      </w:pPr>
      <w:r>
        <w:t>The Commission states that 'while the provisions of the [Stockholm] Convention [and the 1998 protocol] concern environmental protection, certain provisions on the control of intentional production and use of chemicals are also relevant to the functioning of the internal market. Consequently, it is appropriate to choose Articles 175(1) and 95(1) as the legal basis, in conjunction with Article 300.' (eighth recital to Proposal for a decision COM(2003) 331).</w:t>
      </w:r>
    </w:p>
    <w:p>
      <w:pPr>
        <w:tabs>
          <w:tab w:val="start" w:pos="-720"/>
        </w:tabs>
        <w:spacing w:after="240"/>
      </w:pPr>
      <w:r>
        <w:t>The Proposal for a decision concerns the conclusion, on behalf of the Community, of the Stockholm Convention. Article 1 of the Convention states that its 'objective (...) is to protect human health and the environment from persistent organic pollutants'.</w:t>
      </w:r>
    </w:p>
    <w:p>
      <w:pPr>
        <w:tabs>
          <w:tab w:val="start" w:pos="-720"/>
        </w:tabs>
        <w:spacing w:after="240"/>
      </w:pPr>
      <w:r>
        <w:t>The parties to the Convention are required to adopt measures to reduce or eliminate releases arising from intentional production and use, and in particular to prohibit or eliminate the production, use, import and export of persistent organic pollutants, subject to certain derogations (Article 3 and Annexes A and B).</w:t>
      </w:r>
    </w:p>
    <w:p>
      <w:pPr>
        <w:tabs>
          <w:tab w:val="start" w:pos="-720"/>
        </w:tabs>
        <w:spacing w:after="240"/>
      </w:pPr>
      <w:r>
        <w:t>Measures to reduce releases arising from unintentional production are laid down in Article 5, while measures to reduce or eliminate releases from stockpiles and waste are listed in Article 6.</w:t>
      </w:r>
    </w:p>
    <w:p>
      <w:pPr>
        <w:spacing w:after="240"/>
      </w:pPr>
      <w:r>
        <w:t>The Committee on Legal Affairs and the Internal Market was requested to verify the choice of legal basis adopted for the proposal.</w:t>
      </w:r>
    </w:p>
    <w:p>
      <w:pPr>
        <w:tabs>
          <w:tab w:val="start" w:pos="-720"/>
        </w:tabs>
        <w:spacing w:after="240"/>
      </w:pPr>
      <w:r>
        <w:t>By way of derogation from Article 94 of the EC Treaty, Article 95(1) of that Treaty provides for the codecision procedure as regards measures for the approximation of Member State provisions which have as their object the establishment and functioning of the internal market. Article 95(3) of the EC Treaty stipulates that 'the Commission, in its proposals envisaged in paragraph 1 concerning health, safety, environmental protection and consumer protection, will take as a base a high level of protection, taking account in particular of any new development based on scientific facts. Within their respective powers, the European Parliament and the Council will also seek to achieve this objective'.</w:t>
      </w:r>
    </w:p>
    <w:p>
      <w:pPr>
        <w:tabs>
          <w:tab w:val="start" w:pos="-720"/>
        </w:tabs>
        <w:spacing w:after="240"/>
      </w:pPr>
      <w:r>
        <w:t>Article 174 of the EC Treaty sets out the objectives to be pursued in the field of environmental policy, while Article 175 of the EC Treaty constitutes the legal basis on which the actions to be taken by the Community are adopted. It is true that Article 174(4) of the EC Treaty specifies that 'the arrangements for Community cooperation may be the subject of agreement between the Community and the third parties concerned, which shall be negotiated and concluded in accordance with Article 300'. However, in the case in point, the Convention does not simply establish arrangements for cooperation concerning environmental protection, but sets out, in particular, precise rules concerning the procedures governing transboundary movements of persistent organic pollutants.</w:t>
      </w:r>
    </w:p>
    <w:p>
      <w:pPr>
        <w:tabs>
          <w:tab w:val="start" w:pos="-720"/>
        </w:tabs>
        <w:spacing w:after="240"/>
      </w:pPr>
      <w:r>
        <w:t>Article 300 of the EC Treaty lays down the procedure the Community must follow where the Treaty provides for the conclusion of agreements between the Community and one or more states or international organisations. This provision does not in itself confer any power on the Community to act at international level, but applies each time the Community wishes to conclude an agreement by virtue of powers conferred explicitly or implicitly in the Treaty.</w:t>
      </w:r>
    </w:p>
    <w:p>
      <w:pPr>
        <w:tabs>
          <w:tab w:val="start" w:pos="-720"/>
        </w:tabs>
        <w:spacing w:after="240"/>
        <w:jc w:val="both"/>
      </w:pPr>
      <w:r>
        <w:t xml:space="preserve">It is settled case-law that the choice of the legal basis for a measure, including one adopted to conclude an international agreement, does not stem from its author's conviction alone, but must be based on objective factors. Those factors include in particular the aim and the content of the measure. </w:t>
      </w:r>
    </w:p>
    <w:p>
      <w:pPr>
        <w:spacing w:after="240"/>
      </w:pPr>
      <w:r>
        <w:t>If examination of a Community measure reveals that it pursues a twofold purpose or that it has a twofold component and if one is identifiable as the main or predominant purpose or component, whereas the other is merely incidental, the measure must be founded on a single legal basis, namely that required by the main or predominant purpose or component (see Case C-155/91 Commission v Council [1993] ECR I-939, paragraphs 19 and 21 (waste directive judgement), Case C-42/97 Parliament v Council [1999] ECR I-869, paragraphs 39 and 40, and Case C-36/98 Spain v Council [2001] ECR I-779, paragraph 59). By way of exception, if it is established that the measure simultaneously pursues several objectives which are inseparably linked without one being secondary and indirect in relation to the other, the measure may be founded on the corresponding legal bases (see, to that effect, Case C-300/89 Commission v Council [1991] ECR I-2867, paragraphs 13 and 17 (titanium dioxide judgement), and Case C-42/97 Parliament v Council, paragraph 38).</w:t>
      </w:r>
    </w:p>
    <w:p>
      <w:pPr>
        <w:tabs>
          <w:tab w:val="start" w:pos="-720"/>
        </w:tabs>
        <w:spacing w:after="240"/>
      </w:pPr>
      <w:r>
        <w:t>In the case in point, application of those criteria amounts to asking whether the proposal, in the light of its context, its aim and its content, principally concerns environmental protection which is liable to have incidental effects on the internal market, whether, conversely, it is principally a proposal concerning the internal market which incidentally takes account of certain environmental requirements, or whether it is inextricably concerned both with environmental protection and with the internal market.</w:t>
      </w:r>
    </w:p>
    <w:p>
      <w:pPr>
        <w:pStyle w:val="Normal12"/>
      </w:pPr>
      <w:r>
        <w:t>At its meeting of 4 November 2003</w:t>
      </w:r>
      <w:r>
        <w:rPr>
          <w:rStyle w:val="FootnoteReference"/>
        </w:rPr>
        <w:footnoteReference w:id="2"/>
      </w:r>
      <w:r>
        <w:t>, the Committee on Legal Affairs and the Internal Market decided unanimously, in the light of the considerations set out above, that the appropriate legal basis for the proposal in question is Article 175(1) in conjunction with the first sentence of the first subparagraph of Article 300(2) and the first subparagraph of Article 300(3) of the EC Treaty.</w:t>
      </w:r>
    </w:p>
    <w:p>
      <w:pPr>
        <w:pStyle w:val="Formule2"/>
        <w:rPr>
          <w:lang w:val="en-GB"/>
        </w:rPr>
      </w:pPr>
      <w:bookmarkStart w:id="1" w:name="DocEPLastPosition"/>
      <w:bookmarkEnd w:id="1"/>
      <w:r>
        <w:rPr>
          <w:lang w:val="en-GB"/>
        </w:rPr>
        <w:t>Yours sincerely,</w:t>
      </w:r>
    </w:p>
    <w:p>
      <w:pPr>
        <w:pStyle w:val="Signature2"/>
        <w:rPr>
          <w:lang w:val="en-GB"/>
        </w:rPr>
      </w:pPr>
      <w:r>
        <w:rPr>
          <w:lang w:val="en-GB"/>
        </w:rPr>
        <w:t>(s) Giuseppe Gargani</w:t>
      </w:r>
    </w:p>
    <w:p>
      <w:pPr>
        <w:pStyle w:val="Normal12Italic"/>
        <w:rPr>
          <w:i w:val="0"/>
        </w:rPr>
      </w:pPr>
    </w:p>
    <w:sectPr>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134" w:right="1417" w:bottom="1417" w:left="1417" w:header="1134" w:footer="567" w:gutter="0"/>
      <w:cols w:space="708"/>
      <w:noEndnote/>
      <w:titlePg/>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00007A87" w:usb1="80000000" w:usb2="00000008" w:usb3="00000000" w:csb0="000000F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00007A87" w:usb1="80000000" w:usb2="00000008"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 xml:space="preserve">PE </w:t>
    </w:r>
    <w:r>
      <w:rPr>
        <w:rStyle w:val="HideTWBExt"/>
        <w:lang w:val="en-GB"/>
      </w:rPr>
      <w:t>&lt;NoPE&gt;</w:t>
    </w:r>
    <w:r>
      <w:t>337.039</w:t>
    </w:r>
    <w:r>
      <w:rPr>
        <w:rStyle w:val="HideTWBExt"/>
        <w:lang w:val="en-GB"/>
      </w:rPr>
      <w:t>&lt;/NoPE&gt;</w:t>
    </w:r>
    <w:r>
      <w:tab/>
    </w:r>
    <w:r>
      <w:fldChar w:fldCharType="begin"/>
    </w:r>
    <w:r>
      <w:instrText xml:space="preserve"> PAGE  \* MERGEFORMAT </w:instrText>
    </w:r>
    <w:r>
      <w:fldChar w:fldCharType="separate"/>
    </w:r>
    <w:r>
      <w:t>8</w:t>
    </w:r>
    <w:r>
      <w:fldChar w:fldCharType="end"/>
    </w:r>
    <w:r>
      <w:t>/</w:t>
    </w:r>
    <w:r>
      <w:fldChar w:fldCharType="begin"/>
    </w:r>
    <w:r>
      <w:instrText xml:space="preserve"> NUMPAGES  \* MERGEFORMAT </w:instrText>
    </w:r>
    <w:r>
      <w:fldChar w:fldCharType="separate"/>
    </w:r>
    <w:r>
      <w:t>11</w:t>
    </w:r>
    <w:r>
      <w:fldChar w:fldCharType="end"/>
    </w:r>
    <w:r>
      <w:tab/>
    </w:r>
    <w:r>
      <w:rPr>
        <w:rStyle w:val="HideTWBExt"/>
        <w:lang w:val="en-GB"/>
      </w:rPr>
      <w:t>&lt;PathFdR&gt;</w:t>
    </w:r>
    <w:r>
      <w:t>RR\512196EN.doc</w:t>
    </w:r>
    <w:r>
      <w:rPr>
        <w:rStyle w:val="HideTWBExt"/>
        <w:lang w:val="en-GB"/>
      </w:rPr>
      <w:t>&lt;/PathFdR&gt;</w:t>
    </w:r>
  </w:p>
  <w:p>
    <w:pPr>
      <w:pStyle w:val="Footer2"/>
    </w:pPr>
    <w:r>
      <w: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HideTWBExt"/>
        <w:lang w:val="en-GB"/>
      </w:rPr>
      <w:t>&lt;PathFdR&gt;</w:t>
    </w:r>
    <w:r>
      <w:t>RR\512196EN.doc</w:t>
    </w:r>
    <w:r>
      <w:rPr>
        <w:rStyle w:val="HideTWBExt"/>
        <w:lang w:val="en-GB"/>
      </w:rPr>
      <w:t>&lt;/PathFdR&gt;</w:t>
    </w:r>
    <w:r>
      <w:tab/>
    </w:r>
    <w:r>
      <w:fldChar w:fldCharType="begin"/>
    </w:r>
    <w:r>
      <w:instrText xml:space="preserve"> PAGE  \* MERGEFORMAT </w:instrText>
    </w:r>
    <w:r>
      <w:fldChar w:fldCharType="separate"/>
    </w:r>
    <w:r>
      <w:t>9</w:t>
    </w:r>
    <w:r>
      <w:fldChar w:fldCharType="end"/>
    </w:r>
    <w:r>
      <w:t>/</w:t>
    </w:r>
    <w:r>
      <w:fldChar w:fldCharType="begin"/>
    </w:r>
    <w:r>
      <w:instrText xml:space="preserve"> NUMPAGES  \* MERGEFORMAT </w:instrText>
    </w:r>
    <w:r>
      <w:fldChar w:fldCharType="separate"/>
    </w:r>
    <w:r>
      <w:t>11</w:t>
    </w:r>
    <w:r>
      <w:fldChar w:fldCharType="end"/>
    </w:r>
    <w:r>
      <w:tab/>
      <w:t xml:space="preserve">PE </w:t>
    </w:r>
    <w:r>
      <w:rPr>
        <w:rStyle w:val="HideTWBExt"/>
        <w:lang w:val="en-GB"/>
      </w:rPr>
      <w:t>&lt;NoPE&gt;</w:t>
    </w:r>
    <w:r>
      <w:t>337.039</w:t>
    </w:r>
    <w:r>
      <w:rPr>
        <w:rStyle w:val="HideTWBExt"/>
        <w:lang w:val="en-GB"/>
      </w:rPr>
      <w:t>&lt;/NoPE&gt;</w:t>
    </w:r>
  </w:p>
  <w:p>
    <w:pPr>
      <w:pStyle w:val="Footer2"/>
    </w:pPr>
    <w:r>
      <w:tab/>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HideTWBExt"/>
        <w:lang w:val="en-GB"/>
      </w:rPr>
      <w:t>&lt;PathFdR&gt;</w:t>
    </w:r>
    <w:r>
      <w:t>RR\512196EN.doc</w:t>
    </w:r>
    <w:r>
      <w:rPr>
        <w:rStyle w:val="HideTWBExt"/>
        <w:lang w:val="en-GB"/>
      </w:rPr>
      <w:t>&lt;/PathFdR&gt;</w:t>
    </w:r>
    <w:r>
      <w:tab/>
      <w:tab/>
      <w:t xml:space="preserve">PE </w:t>
    </w:r>
    <w:r>
      <w:rPr>
        <w:rStyle w:val="HideTWBExt"/>
        <w:lang w:val="en-GB"/>
      </w:rPr>
      <w:t>&lt;NoPE&gt;</w:t>
    </w:r>
    <w:r>
      <w:t>337.039</w:t>
    </w:r>
    <w:r>
      <w:rPr>
        <w:rStyle w:val="HideTWBExt"/>
        <w:lang w:val="en-GB"/>
      </w:rPr>
      <w:t>&lt;/NoPE&gt;</w:t>
    </w:r>
  </w:p>
  <w:p>
    <w:pPr>
      <w:pStyle w:val="Footer2"/>
    </w:pPr>
    <w:r>
      <w:t>EN</w:t>
      <w:tab/>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
        <w:separator/>
      </w:r>
    </w:p>
  </w:footnote>
  <w:footnote w:id="1">
    <w:p>
      <w:pPr>
        <w:pStyle w:val="FootnoteText"/>
      </w:pPr>
      <w:r>
        <w:rPr>
          <w:rStyle w:val="FootnoteReference"/>
        </w:rPr>
        <w:footnoteRef/>
      </w:r>
      <w:r>
        <w:t xml:space="preserve"> Not yet published in OJ.</w:t>
      </w:r>
    </w:p>
  </w:footnote>
  <w:footnote w:id="2">
    <w:p>
      <w:pPr>
        <w:pStyle w:val="FootnoteText"/>
      </w:pPr>
      <w:r>
        <w:rPr>
          <w:rStyle w:val="FootnoteReference"/>
        </w:rPr>
        <w:footnoteRef/>
      </w:r>
      <w:r>
        <w:t xml:space="preserve"> The following were present for the vote: Giuseppe Gargani (chairman), Ioannis Koukiadis, (vice-chairman), François Zimeray (rapporteur), Bert Doorn, Janelly Fourtou, Marie-Françoise Garaud, Malcolm Harbour, Hans Karlsson, Kurt Lechner, Sir Neil MacCormick, Manuel Medina Ortega, Marcelino Oreja Arburúa, Barbara O'Toole, Fernando Pérez Royo, Imelda Mary Read and Diana Wallis.</w:t>
      </w:r>
    </w:p>
    <w:p>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B22A8A2"/>
    <w:lvl w:ilvl="0">
      <w:start w:val="1"/>
      <w:numFmt w:val="decimal"/>
      <w:lvlText w:val="%1."/>
      <w:lvlJc w:val="start"/>
      <w:pPr>
        <w:tabs>
          <w:tab w:val="num" w:pos="1492"/>
        </w:tabs>
        <w:ind w:start="1492" w:hanging="360"/>
      </w:pPr>
    </w:lvl>
  </w:abstractNum>
  <w:abstractNum w:abstractNumId="1">
    <w:nsid w:val="FFFFFF7D"/>
    <w:multiLevelType w:val="singleLevel"/>
    <w:tmpl w:val="D0C0EE6C"/>
    <w:lvl w:ilvl="0">
      <w:start w:val="1"/>
      <w:numFmt w:val="decimal"/>
      <w:lvlText w:val="%1."/>
      <w:lvlJc w:val="start"/>
      <w:pPr>
        <w:tabs>
          <w:tab w:val="num" w:pos="1209"/>
        </w:tabs>
        <w:ind w:start="1209" w:hanging="360"/>
      </w:pPr>
    </w:lvl>
  </w:abstractNum>
  <w:abstractNum w:abstractNumId="2">
    <w:nsid w:val="FFFFFF7E"/>
    <w:multiLevelType w:val="singleLevel"/>
    <w:tmpl w:val="BFB40F5E"/>
    <w:lvl w:ilvl="0">
      <w:start w:val="1"/>
      <w:numFmt w:val="decimal"/>
      <w:lvlText w:val="%1."/>
      <w:lvlJc w:val="start"/>
      <w:pPr>
        <w:tabs>
          <w:tab w:val="num" w:pos="926"/>
        </w:tabs>
        <w:ind w:start="926" w:hanging="360"/>
      </w:pPr>
    </w:lvl>
  </w:abstractNum>
  <w:abstractNum w:abstractNumId="3">
    <w:nsid w:val="FFFFFF7F"/>
    <w:multiLevelType w:val="singleLevel"/>
    <w:tmpl w:val="BF525DAA"/>
    <w:lvl w:ilvl="0">
      <w:start w:val="1"/>
      <w:numFmt w:val="decimal"/>
      <w:lvlText w:val="%1."/>
      <w:lvlJc w:val="start"/>
      <w:pPr>
        <w:tabs>
          <w:tab w:val="num" w:pos="643"/>
        </w:tabs>
        <w:ind w:start="643" w:hanging="360"/>
      </w:pPr>
    </w:lvl>
  </w:abstractNum>
  <w:abstractNum w:abstractNumId="4">
    <w:nsid w:val="FFFFFF80"/>
    <w:multiLevelType w:val="singleLevel"/>
    <w:tmpl w:val="97309190"/>
    <w:lvl w:ilvl="0">
      <w:start w:val="1"/>
      <w:numFmt w:val="bullet"/>
      <w:lvlText w:val=""/>
      <w:lvlJc w:val="start"/>
      <w:pPr>
        <w:tabs>
          <w:tab w:val="num" w:pos="1492"/>
        </w:tabs>
        <w:ind w:start="1492" w:hanging="360"/>
      </w:pPr>
      <w:rPr>
        <w:rFonts w:ascii="Symbol" w:hAnsi="Symbol" w:hint="default"/>
      </w:rPr>
    </w:lvl>
  </w:abstractNum>
  <w:abstractNum w:abstractNumId="5">
    <w:nsid w:val="FFFFFF81"/>
    <w:multiLevelType w:val="singleLevel"/>
    <w:tmpl w:val="8026A280"/>
    <w:lvl w:ilvl="0">
      <w:start w:val="1"/>
      <w:numFmt w:val="bullet"/>
      <w:lvlText w:val=""/>
      <w:lvlJc w:val="start"/>
      <w:pPr>
        <w:tabs>
          <w:tab w:val="num" w:pos="1209"/>
        </w:tabs>
        <w:ind w:start="1209" w:hanging="360"/>
      </w:pPr>
      <w:rPr>
        <w:rFonts w:ascii="Symbol" w:hAnsi="Symbol" w:hint="default"/>
      </w:rPr>
    </w:lvl>
  </w:abstractNum>
  <w:abstractNum w:abstractNumId="6">
    <w:nsid w:val="FFFFFF82"/>
    <w:multiLevelType w:val="singleLevel"/>
    <w:tmpl w:val="1CDC9AF0"/>
    <w:lvl w:ilvl="0">
      <w:start w:val="1"/>
      <w:numFmt w:val="bullet"/>
      <w:lvlText w:val=""/>
      <w:lvlJc w:val="start"/>
      <w:pPr>
        <w:tabs>
          <w:tab w:val="num" w:pos="926"/>
        </w:tabs>
        <w:ind w:start="926" w:hanging="360"/>
      </w:pPr>
      <w:rPr>
        <w:rFonts w:ascii="Symbol" w:hAnsi="Symbol" w:hint="default"/>
      </w:rPr>
    </w:lvl>
  </w:abstractNum>
  <w:abstractNum w:abstractNumId="7">
    <w:nsid w:val="FFFFFF83"/>
    <w:multiLevelType w:val="singleLevel"/>
    <w:tmpl w:val="1E120C2A"/>
    <w:lvl w:ilvl="0">
      <w:start w:val="1"/>
      <w:numFmt w:val="bullet"/>
      <w:lvlText w:val=""/>
      <w:lvlJc w:val="start"/>
      <w:pPr>
        <w:tabs>
          <w:tab w:val="num" w:pos="643"/>
        </w:tabs>
        <w:ind w:start="643" w:hanging="360"/>
      </w:pPr>
      <w:rPr>
        <w:rFonts w:ascii="Symbol" w:hAnsi="Symbol" w:hint="default"/>
      </w:rPr>
    </w:lvl>
  </w:abstractNum>
  <w:abstractNum w:abstractNumId="8">
    <w:nsid w:val="FFFFFF88"/>
    <w:multiLevelType w:val="singleLevel"/>
    <w:tmpl w:val="D92AAA74"/>
    <w:lvl w:ilvl="0">
      <w:start w:val="1"/>
      <w:numFmt w:val="decimal"/>
      <w:lvlText w:val="%1."/>
      <w:lvlJc w:val="start"/>
      <w:pPr>
        <w:tabs>
          <w:tab w:val="num" w:pos="360"/>
        </w:tabs>
        <w:ind w:start="360" w:hanging="360"/>
      </w:pPr>
    </w:lvl>
  </w:abstractNum>
  <w:abstractNum w:abstractNumId="9">
    <w:nsid w:val="FFFFFF89"/>
    <w:multiLevelType w:val="singleLevel"/>
    <w:tmpl w:val="AB4278A6"/>
    <w:lvl w:ilvl="0">
      <w:start w:val="1"/>
      <w:numFmt w:val="bullet"/>
      <w:lvlText w:val=""/>
      <w:lvlJc w:val="start"/>
      <w:pPr>
        <w:tabs>
          <w:tab w:val="num" w:pos="360"/>
        </w:tabs>
        <w:ind w:start="360" w:hanging="360"/>
      </w:pPr>
      <w:rPr>
        <w:rFonts w:ascii="Symbol" w:hAnsi="Symbol" w:hint="default"/>
      </w:rPr>
    </w:lvl>
  </w:abstractNum>
  <w:abstractNum w:abstractNumId="10">
    <w:nsid w:val="4321140B"/>
    <w:multiLevelType w:val="singleLevel"/>
    <w:tmpl w:val="F6746E72"/>
    <w:lvl w:ilvl="0">
      <w:start w:val="1"/>
      <w:numFmt w:val="decimal"/>
      <w:pStyle w:val="Considrant"/>
      <w:lvlText w:val="(%1)"/>
      <w:lvlJc w:val="start"/>
      <w:pPr>
        <w:tabs>
          <w:tab w:val="num" w:pos="709"/>
        </w:tabs>
        <w:ind w:start="709" w:hanging="709"/>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0"/>
  </w:footnotePr>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docVars>
    <w:docVar w:name="COMKEY" w:val="ENVI"/>
    <w:docVar w:name="CopyToNetwork" w:val="-1"/>
    <w:docVar w:name="DOCMNU" w:val=" 1"/>
    <w:docVar w:name="FILLINMNU" w:val=" 2"/>
    <w:docVar w:name="FOROPINMNU" w:val=" 1"/>
    <w:docVar w:name="iNoAmend" w:val="4"/>
    <w:docVar w:name="LastEditedSection" w:val=" 1"/>
    <w:docVar w:name="MEETMNU" w:val=" 1"/>
    <w:docVar w:name="OPIN1KEY" w:val="ITRE"/>
    <w:docVar w:name="OPINMNU" w:val=" 1"/>
    <w:docVar w:name="REFCOMMNU" w:val=" 1"/>
    <w:docVar w:name="REFCOUNCMNU" w:val=" 1"/>
    <w:docVar w:name="REFERRAL2MNU" w:val=" 2"/>
    <w:docVar w:name="REFERRALMNU" w:val=" 1"/>
    <w:docVar w:name="RepeatBlock-Amend" w:val="{\rtf1\ansi\ansicpg1252\uc1 \deff0\deflang1033\deflangfe1033{\fonttbl{\f0\froman\fcharset0\fprq2{\*\panose 02020603050405020304}Times New Roman;}{\f1\fswiss\fcharset0\fprq2{\*\panose 020b0604020202020204}Arial;}&#13;&#10;{\f36\froman\fcharset238\fprq2 Times New Roman CE;}{\f37\froman\fcharset204\fprq2 Times New Roman Cyr;}{\f39\froman\fcharset161\fprq2 Times New Roman Greek;}{\f40\froman\fcharset162\fprq2 Times New Roman Tur;}&#13;&#10;{\f41\froman\fcharset186\fprq2 Times New Roman Baltic;}{\f42\fswiss\fcharset238\fprq2 Arial CE;}{\f43\fswiss\fcharset204\fprq2 Arial Cyr;}{\f45\fswiss\fcharset161\fprq2 Arial Greek;}{\f46\fswiss\fcharset162\fprq2 Arial Tur;}&#13;&#10;{\f47\fswiss\fcharset186\fprq2 Arial Baltic;}}{\colortbl;\red0\green0\blue0;\red0\green0\blue255;\red0\green255\blue255;\red0\green255\blue0;\red255\green0\blue255;\red255\green0\blue0;\red255\green255\blue0;\red255\green255\blue255;\red0\green0\blue128;&#13;&#10;\red0\green128\blue128;\red0\green128\blue0;\red128\green0\blue128;\red128\green0\blue0;\red128\green128\blue0;\red128\green128\blue128;\red192\green192\blue192;}{\stylesheet{\qj\widctlpar&#13;&#10;\tx1021\tx1418\tx1786\tx2381\tx2948\tx3572\tx4139\tx4763\tx5387\tx5954\tx6577\tx7144\adjustright \lang2057\cgrid \snext0 Normal;}{\s1\qj\fi-360\li360\sb240\sa60\keepn\widctlpar&#13;&#10;\jclisttab\tx360\tx1021\tx1418\tx1786\tx2381\tx2948\tx3572\tx4139\tx4763\tx5387\tx5954\tx6577\tx7144\ls4\adjustright \lang2057\kerning28\cgrid \sbasedon0 \snext0 heading 1;}{\s2\qj\fi-792\li792\sb240\sa60\keepn\widctlpar&#13;&#10;\jclisttab\tx792\tx1021\tx1418\tx1786\tx2381\tx2948\tx3572\tx4139\tx4763\tx5387\tx5954\tx6577\tx7144\ls4\ilvl1\adjustright \lang2057\cgrid \sbasedon0 \snext0 heading 2;}{\s3\qj\fi-1224\li1224\sb240\sa60\keepn\widctlpar&#13;&#10;\tx1021\jclisttab\tx1224\tx1418\tx1786\tx2381\tx2948\tx3572\tx4139\tx4763\tx5387\tx5954\tx6577\tx7144\ls4\ilvl2\adjustright \f1\lang2057\cgrid \sbasedon0 \snext0 heading 3;}{\s4\qj\fi-1728\li1728\sb240\sa60\keepn\widctlpar&#13;&#10;\tx1021\tx1418\jclisttab\tx1728\tx1786\tx2381\tx2948\tx3572\tx4139\tx4763\tx5387\tx5954\tx6577\tx7144\ls4\ilvl3\adjustright \cgrid \sbasedon0 \snext0 heading 4;}{\s5\qj\fi-2232\li2232\sb240\sa60\widctlpar&#13;&#10;\tx1021\tx1418\tx1786\jclisttab\tx2232\tx2381\tx2948\tx3572\tx4139\tx4763\tx5387\tx5954\tx6577\tx7144\ls7\ilvl4\adjustright \cgrid \sbasedon0 \snext0 heading 5;}{\*\cs10 \additive Default Paragraph Font;}{\s15\qj\widctlpar&#13;&#10;\tx1021\tx1418\tx1786\tx2381\tx2948\tx3572\tx4139\tqc\tx4536\tx4763\tx5387\tx5954\tx6577\tx7144\tqr\tx9072\adjustright \lang2057\cgrid \sbasedon0 \snext15 footer;}{\*\cs16 \additive \sbasedon10 page number;}{\s17\qj\widctlpar&#13;&#10;\tx1021\tx1418\tx1786\tx2381\tx2948\tx3572\tx4139\tqc\tx4536\tx4763\tx5387\tx5954\tx6577\tx7144\tqr\tx9072\adjustright \lang2057\cgrid \sbasedon0 \snext17 header;}{\s18\qj\fi-240\li240\widctlpar\adjustright \b\cgrid \sbasedon0 \snext0 \sautoupd index 1;}{&#13;&#10;\s19\qj\fi-240\li480\widctlpar\adjustright \lang2057\cgrid \sbasedon0 \snext0 \sautoupd index 2;}{\s20\qj\fi-240\li720\widctlpar\adjustright \lang2057\cgrid \sbasedon0 \snext0 \sautoupd index 3;}{\s21\qj\fi-240\li960\widctlpar\adjustright \lang2057\cgrid &#13;&#10;\sbasedon0 \snext0 \sautoupd index 4;}{\s22\qj\fi-240\li1200\widctlpar\adjustright \lang2057\cgrid \sbasedon0 \snext0 \sautoupd index 5;}{\s23\qj\fi-240\li1440\widctlpar\adjustright \lang2057\cgrid \sbasedon0 \snext0 \sautoupd index 6;}{&#13;&#10;\s24\qj\fi-240\li1680\widctlpar\adjustright \lang2057\cgrid \sbasedon0 \snext0 \sautoupd index 7;}{\s25\qj\fi-240\li1920\widctlpar\adjustright \lang2057\cgrid \sbasedon0 \snext0 \sautoupd index 8;}{\s26\qj\fi-240\li2160\widctlpar\adjustright &#13;&#10;\lang2057\cgrid \sbasedon0 \snext0 \sautoupd index 9;}{\s27\qj\widctlpar\tx1021\tx1418\tx1786\tx2381\tx2948\tx3572\tx4139\tx4763\tx5387\tx5954\tx6577\tx7144\adjustright \lang2057\cgrid \sbasedon0 \snext18 index heading;}{\s28\qj\widctlpar&#13;&#10;\tx1021\tx1418\tx1786\tx2381\tx2948\tx3572\tx4139\tx4763\tx5387\tx5954\tx6577\tx7144\adjustright \fs20\lang2057\cgrid \sbasedon0 \snext28 endnote text;}{\s29\qj\fi-480\li480\widctlpar\adjustright \lang2057\cgrid \sbasedon0 \snext0 table of figures;}{\*&#13;&#10;\cs30 \additive \super \sbasedon10 endnote reference;}{\s31\qj\li2880\widctlpar\tx1021\tx1418\tx1786\tx2381\tx2948\tx3572\tx4139\tx4763\tx5387\tx5954\tx6577\tx7144\phpg\posxc\posyb\absh-1980\absw7920\dxfrtext180\dfrmtxtx180\dfrmtxty0\adjustright &#13;&#10;\lang2057\cgrid \sbasedon0 \snext31 envelope address;}{\s32\qj\widctlpar\tx1021\tx1418\tx1786\tx2381\tx2948\tx3572\tx4139\tx4763\tx5387\tx5954\tx6577\tx7144\adjustright \fs20\lang2057\cgrid \sbasedon0 \snext32 envelope return;}{\s33\qj\widctlpar&#13;&#10;\tx1021\tx1418\tx1786\tx2381\tx2948\tx3572\tx4139\tx4763\tx5387\tx5954\tx6577\tx7144\adjustright \fs20\lang2057\cgrid \sbasedon0 \snext33 footnote text;}{\*\cs34 \additive \super \sbasedon10 footnote reference;}{\*\cs35 \additive \v\f1\fs20\cf9\lang1024 &#13;&#10;\sbasedon10 HideTWBExt;}{\*\cs36 \additive \v\cf15 \sbasedon10 HideTWBInt;}{\s37\sa120\nowidctlpar\adjustright \lang2057\cgrid \sbasedon0 \snext37 Normal6;}{\s38\sb240\nowidctlpar\adjustright \i\lang2057\cgrid \sbasedon0 \snext38 Normal12Italic;}{&#13;&#10;\s39\qc\sb360\nowidctlpar\adjustright \lang2057\cgrid \sbasedon0 \snext39 AMNumber;}{\s40\qc\sb240\keepn\nowidctlpar\adjustright \i\lang2057\cgrid \sbasedon0 \snext40 CrossRef;}{\s41\qc\sb240\keepn\nowidctlpar\adjustright \i\lang2057\cgrid &#13;&#10;\sbasedon0 \snext0 JustificationTitle;}{\s42\qc\sa240\nowidctlpar\adjustright \lang2057\cgrid \sbasedon0 \snext42 Normal12Centre;}}{\*\listtable{\list\listtemplateid-1134238410{\listlevel\levelnfc0\leveljc0\levelfollow0\levelstartat1\levelspace0&#13;&#10;\levelindent0{\leveltext\'02\'00.;}{\levelnumbers\'01;}\s1\fi-360\li360\jclisttab\tx360 }{\listlevel\levelnfc0\leveljc0\levelfollow0\levelstartat1\levelspace0\levelindent0{\leveltext\'04\'00.\'01.;}{\levelnumbers\'01\'03;}\s2\fi-792\li792\jclisttab\tx792 &#13;&#10;}{\listlevel\levelnfc0\leveljc0\levelfollow0\levelstartat1\levelspace0\levelindent0{\leveltext\'06\'00.\'01.\'02.;}{\levelnumbers\'01\'03\'05;}\s3\fi-1224\li1224\jclisttab\tx1224 }{\listlevel\levelnfc0\leveljc0\levelfollow0\levelstartat1\levelspace0&#13;&#10;\levelindent0{\leveltext\'08\'00.\'01.\'02.\'03.;}{\levelnumbers\'01\'03\'05\'07;}\s4\fi-1728\li1728\jclisttab\tx1728 }{\listlevel\levelnfc0\leveljc0\levelfollow0\levelstartat1\levelspace0\levelindent0{\leveltext&#13;&#10;\'0a\'00.\'01.\'02.\'03.\'04.;}{\levelnumbers\'01\'03\'05\'07\'09;}\fi-2232\li2232\jclisttab\tx2232 }{\listlevel\levelnfc0\leveljc0\levelfollow0\levelstartat1\levelspace0\levelindent0{\leveltext\'0c\'00.\'01.\'02.\'03.\'04.\'05.;}{\levelnumbers&#13;&#10;\'01\'03\'05\'07\'09\'0b;}\fi-2736\li2736\jclisttab\tx2736 }{\listlevel\levelnfc0\leveljc0\levelfollow0\levelstartat1\levelspace0\levelindent0{\leveltext\'0e\'00.\'01.\'02.\'03.\'04.\'05.\'06.;}{\levelnumbers\'01\'03\'05\'07\'09\'0b\'0d;}\fi-3240\li3240&#13;&#10;\jclisttab\tx3240 }{\listlevel\levelnfc0\leveljc0\levelfollow0\levelstartat1\levelspace0\levelindent0{\leveltext\'10\'00.\'01.\'02.\'03.\'04.\'05.\'06.\'07.;}{\levelnumbers\'01\'03\'05\'07\'09\'0b\'0d\'0f;}\fi-3744\li3744\jclisttab\tx3744 }{\listlevel&#13;&#10;\levelnfc0\leveljc0\levelfollow0\levelstartat1\levelspace0\levelindent0{\leveltext\'12\'00.\'01.\'02.\'03.\'04.\'05.\'06.\'07.\'08.;}{\levelnumbers\'01\'03\'05\'07\'09\'0b\'0d\'0f\'11;}\fi-4320\li4320\jclisttab\tx4320 }{\listname ;}\listid154955360}&#13;&#10;{\list\listtemplateid-1688185174{\listlevel\levelnfc0\leveljc0\levelfollow0\levelstartat1\levelspace0\levelindent0{\leveltext\'02\'00.;}{\levelnumbers\'01;}\fi-360\li360\jclisttab\tx360 }{\listlevel\levelnfc0\leveljc0\levelfollow0\levelstartat1&#13;&#10;\levelspace0\levelindent0{\leveltext\'04\'00.\'01.;}{\levelnumbers\'01\'03;}\fi-792\li792\jclisttab\tx792 }{\listlevel\levelnfc0\leveljc0\levelfollow0\levelstartat1\levelspace0\levelindent0{\leveltext\'06\'00.\'01.\'02.;}{\levelnumbers\'01\'03\'05;}&#13;&#10;\fi-1224\li1224\jclisttab\tx1224 }{\listlevel\levelnfc0\leveljc0\levelfollow0\levelstartat1\levelspace0\levelindent0{\leveltext\'08\'00.\'01.\'02.\'03.;}{\levelnumbers\'01\'03\'05\'07;}\fi-1728\li1728\jclisttab\tx1728 }{\listlevel\levelnfc0\leveljc0&#13;&#10;\levelfollow0\levelstartat1\levelspace0\levelindent0{\leveltext\'0a\'00.\'01.\'02.\'03.\'04.;}{\levelnumbers\'01\'03\'05\'07\'09;}\fi-2232\li2232\jclisttab\tx2232 }{\listlevel\levelnfc0\leveljc0\levelfollow0\levelstartat1\levelspace0\levelindent0&#13;&#10;{\leveltext\'0c\'00.\'01.\'02.\'03.\'04.\'05.;}{\levelnumbers\'01\'03\'05\'07\'09\'0b;}\fi-2736\li2736\jclisttab\tx2736 }{\listlevel\levelnfc0\leveljc0\levelfollow0\levelstartat1\levelspace0\levelindent0{\leveltext&#13;&#10;\'0e\'00.\'01.\'02.\'03.\'04.\'05.\'06.;}{\levelnumbers\'01\'03\'05\'07\'09\'0b\'0d;}\fi-3240\li3240\jclisttab\tx3240 }{\listlevel\levelnfc0\leveljc0\levelfollow0\levelstartat1\levelspace0\levelindent0{\leveltext&#13;&#10;\'10\'00.\'01.\'02.\'03.\'04.\'05.\'06.\'07.;}{\levelnumbers\'01\'03\'05\'07\'09\'0b\'0d\'0f;}\fi-3744\li3744\jclisttab\tx3744 }{\listlevel\levelnfc0\leveljc0\levelfollow0\levelstartat1\levelspace0\levelindent0{\leveltext&#13;&#10;\'12\'00.\'01.\'02.\'03.\'04.\'05.\'06.\'07.\'08.;}{\levelnumbers\'01\'03\'05\'07\'09\'0b\'0d\'0f\'11;}\fi-4320\li4320\jclisttab\tx4320 }{\listname ;}\listid191578419}{\list\listtemplateid325584214{\listlevel\levelnfc0\leveljc0\levelfollow0\levelstartat1&#13;&#10;\levelspace0\levelindent0{\leveltext\'02\'00.;}{\levelnumbers\'01;}\fi-360\li360\jclisttab\tx360 }{\listlevel\levelnfc0\leveljc0\levelfollow0\levelstartat1\levelspace0\levelindent0{\leveltext\'04\'00.\'01.;}{\levelnumbers\'01\'03;}\fi-792\li792&#13;&#10;\jclisttab\tx792 }{\listlevel\levelnfc0\leveljc0\levelfollow0\levelstartat1\levelspace0\levelindent0{\leveltext\'06\'00.\'01.\'02.;}{\levelnumbers\'01\'03\'05;}\fi-1224\li1224\jclisttab\tx1224 }{\listlevel\levelnfc0\leveljc0\levelfollow0\levelstartat1&#13;&#10;\levelspace0\levelindent0{\leveltext\'08\'00.\'01.\'02.\'03.;}{\levelnumbers\'01\'03\'05\'07;}\fi-1728\li1728\jclisttab\tx1728 }{\listlevel\levelnfc0\leveljc0\levelfollow0\levelstartat1\levelspace0\levelindent0{\leveltext&#13;&#10;\'0a\'00.\'01.\'02.\'03.\'04.;}{\levelnumbers\'01\'03\'05\'07\'09;}\fi-2232\li2232\jclisttab\tx2232 }{\listlevel\levelnfc0\leveljc0\levelfollow0\levelstartat1\levelspace0\levelindent0{\leveltext\'0c\'00.\'01.\'02.\'03.\'04.\'05.;}{\levelnumbers&#13;&#10;\'01\'03\'05\'07\'09\'0b;}\fi-2736\li2736\jclisttab\tx2736 }{\listlevel\levelnfc0\leveljc0\levelfollow0\levelstartat1\levelspace0\levelindent0{\leveltext\'0e\'00.\'01.\'02.\'03.\'04.\'05.\'06.;}{\levelnumbers\'01\'03\'05\'07\'09\'0b\'0d;}\fi-3240\li3240&#13;&#10;\jclisttab\tx3240 }{\listlevel\levelnfc0\leveljc0\levelfollow0\levelstartat1\levelspace0\levelindent0{\leveltext\'10\'00.\'01.\'02.\'03.\'04.\'05.\'06.\'07.;}{\levelnumbers\'01\'03\'05\'07\'09\'0b\'0d\'0f;}\fi-3744\li3744\jclisttab\tx3744 }{\listlevel&#13;&#10;\levelnfc0\leveljc0\levelfollow0\levelstartat1\levelspace0\levelindent0{\leveltext\'12\'00.\'01.\'02.\'03.\'04.\'05.\'06.\'07.\'08.;}{\levelnumbers\'01\'03\'05\'07\'09\'0b\'0d\'0f\'11;}\fi-4320\li4320\jclisttab\tx4320 }{\listname ;}\listid438376642}&#13;&#10;{\list\listtemplateid67895327{\listlevel\levelnfc0\leveljc0\levelfollow0\levelstartat1\levelspace0\levelindent0{\leveltext\'02\'00.;}{\levelnumbers\'01;}\fi-360\li360\jclisttab\tx360 }{\listlevel\levelnfc0\leveljc0\levelfollow0\levelstartat1\levelspace0&#13;&#10;\levelindent0{\leveltext\'04\'00.\'01.;}{\levelnumbers\'01\'03;}\fi-432\li792\jclisttab\tx792 }{\listlevel\levelnfc0\leveljc0\levelfollow0\levelstartat1\levelspace0\levelindent0{\leveltext\'06\'00.\'01.\'02.;}{\levelnumbers\'01\'03\'05;}\fi-504\li1224&#13;&#10;\jclisttab\tx1440 }{\listlevel\levelnfc0\leveljc0\levelfollow0\levelstartat1\levelspace0\levelindent0{\leveltext\'08\'00.\'01.\'02.\'03.;}{\levelnumbers\'01\'03\'05\'07;}\fi-648\li1728\jclisttab\tx1800 }{\listlevel\levelnfc0\leveljc0\levelfollow0&#13;&#10;\levelstartat1\levelspace0\levelindent0{\leveltext\'0a\'00.\'01.\'02.\'03.\'04.;}{\levelnumbers\'01\'03\'05\'07\'09;}\fi-792\li2232\jclisttab\tx2520 }{\listlevel\levelnfc0\leveljc0\levelfollow0\levelstartat1\levelspace0\levelindent0{\leveltext&#13;&#10;\'0c\'00.\'01.\'02.\'03.\'04.\'05.;}{\levelnumbers\'01\'03\'05\'07\'09\'0b;}\fi-936\li2736\jclisttab\tx2880 }{\listlevel\levelnfc0\leveljc0\levelfollow0\levelstartat1\levelspace0\levelindent0{\leveltext&#13;&#10;\'0e\'00.\'01.\'02.\'03.\'04.\'05.\'06.;}{\levelnumbers\'01\'03\'05\'07\'09\'0b\'0d;}\fi-1080\li3240\jclisttab\tx3600 }{\listlevel\levelnfc0\leveljc0\levelfollow0\levelstartat1\levelspace0\levelindent0{\leveltext&#13;&#10;\'10\'00.\'01.\'02.\'03.\'04.\'05.\'06.\'07.;}{\levelnumbers\'01\'03\'05\'07\'09\'0b\'0d\'0f;}\fi-1224\li3744\jclisttab\tx3960 }{\listlevel\levelnfc0\leveljc0\levelfollow0\levelstartat1\levelspace0\levelindent0{\leveltext&#13;&#10;\'12\'00.\'01.\'02.\'03.\'04.\'05.\'06.\'07.\'08.;}{\levelnumbers\'01\'03\'05\'07\'09\'0b\'0d\'0f\'11;}\fi-1440\li4320\jclisttab\tx4680 }{\listname ;}\listid649216157}{\list\listtemplateid-1755406156{\listlevel\levelnfc0\leveljc0\levelfollow0&#13;&#10;\levelstartat1\levelspace0\levelindent0{\leveltext\'02\'00.;}{\levelnumbers\'01;}\fi-360\li360\jclisttab\tx360 }{\listlevel\levelnfc0\leveljc0\levelfollow0\levelstartat1\levelspace0\levelindent0{\leveltext\'04\'00.\'01.;}{\levelnumbers\'01\'03;}&#13;&#10;\fi-792\li792\jclisttab\tx792 }{\listlevel\levelnfc0\leveljc0\levelfollow0\levelstartat1\levelspace0\levelindent0{\leveltext\'06\'00.\'01.\'02.;}{\levelnumbers\'01\'03\'05;}\fi-1224\li1224\jclisttab\tx1224 }{\listlevel\levelnfc0\leveljc0\levelfollow0&#13;&#10;\levelstartat1\levelspace0\levelindent0{\leveltext\'08\'00.\'01.\'02.\'03.;}{\levelnumbers\'01\'03\'05\'07;}\fi-1728\li1728\jclisttab\tx1728 }{\listlevel\levelnfc0\leveljc0\levelfollow0\levelstartat1\levelspace0\levelindent0{\leveltext&#13;&#10;\'0a\'00.\'01.\'02.\'03.\'04.;}{\levelnumbers\'01\'03\'05\'07\'09;}\s5\fi-2232\li2232\jclisttab\tx2232 }{\listlevel\levelnfc0\leveljc0\levelfollow0\levelstartat1\levelspace0\levelindent0{\leveltext\'0c\'00.\'01.\'02.\'03.\'04.\'05.;}{\levelnumbers&#13;&#10;\'01\'03\'05\'07\'09\'0b;}\fi-2736\li2736\jclisttab\tx2736 }{\listlevel\levelnfc0\leveljc0\levelfollow0\levelstartat1\levelspace0\levelindent0{\leveltext\'0e\'00.\'01.\'02.\'03.\'04.\'05.\'06.;}{\levelnumbers\'01\'03\'05\'07\'09\'0b\'0d;}\fi-3240\li3240&#13;&#10;\jclisttab\tx3240 }{\listlevel\levelnfc0\leveljc0\levelfollow0\levelstartat1\levelspace0\levelindent0{\leveltext\'10\'00.\'01.\'02.\'03.\'04.\'05.\'06.\'07.;}{\levelnumbers\'01\'03\'05\'07\'09\'0b\'0d\'0f;}\fi-3744\li3744\jclisttab\tx3744 }{\listlevel&#13;&#10;\levelnfc0\leveljc0\levelfollow0\levelstartat1\levelspace0\levelindent0{\leveltext\'12\'00.\'01.\'02.\'03.\'04.\'05.\'06.\'07.\'08.;}{\levelnumbers\'01\'03\'05\'07\'09\'0b\'0d\'0f\'11;}\fi-4320\li4320\jclisttab\tx4320 }{\listname ;}\listid963193570}&#13;&#10;{\list\listtemplateid-1688185174{\listlevel\levelnfc0\leveljc0\levelfollow0\levelstartat1\levelspace0\levelindent0{\leveltext\'02\'00.;}{\levelnumbers\'01;}\fi-360\li360\jclisttab\tx360 }{\listlevel\levelnfc0\leveljc0\levelfollow0\levelstartat1&#13;&#10;\levelspace0\levelindent0{\leveltext\'04\'00.\'01.;}{\levelnumbers\'01\'03;}\fi-792\li792\jclisttab\tx792 }{\listlevel\levelnfc0\leveljc0\levelfollow0\levelstartat1\levelspace0\levelindent0{\leveltext\'06\'00.\'01.\'02.;}{\levelnumbers\'01\'03\'05;}&#13;&#10;\fi-1224\li1224\jclisttab\tx1224 }{\listlevel\levelnfc0\leveljc0\levelfollow0\levelstartat1\levelspace0\levelindent0{\leveltext\'08\'00.\'01.\'02.\'03.;}{\levelnumbers\'01\'03\'05\'07;}\fi-1728\li1728\jclisttab\tx1728 }{\listlevel\levelnfc0\leveljc0&#13;&#10;\levelfollow0\levelstartat1\levelspace0\levelindent0{\leveltext\'0a\'00.\'01.\'02.\'03.\'04.;}{\levelnumbers\'01\'03\'05\'07\'09;}\fi-2232\li2232\jclisttab\tx2232 }{\listlevel\levelnfc0\leveljc0\levelfollow0\levelstartat1\levelspace0\levelindent0&#13;&#10;{\leveltext\'0c\'00.\'01.\'02.\'03.\'04.\'05.;}{\levelnumbers\'01\'03\'05\'07\'09\'0b;}\fi-2736\li2736\jclisttab\tx2736 }{\listlevel\levelnfc0\leveljc0\levelfollow0\levelstartat1\levelspace0\levelindent0{\leveltext&#13;&#10;\'0e\'00.\'01.\'02.\'03.\'04.\'05.\'06.;}{\levelnumbers\'01\'03\'05\'07\'09\'0b\'0d;}\fi-3240\li3240\jclisttab\tx3240 }{\listlevel\levelnfc0\leveljc0\levelfollow0\levelstartat1\levelspace0\levelindent0{\leveltext&#13;&#10;\'10\'00.\'01.\'02.\'03.\'04.\'05.\'06.\'07.;}{\levelnumbers\'01\'03\'05\'07\'09\'0b\'0d\'0f;}\fi-3744\li3744\jclisttab\tx3744 }{\listlevel\levelnfc0\leveljc0\levelfollow0\levelstartat1\levelspace0\levelindent0{\leveltext&#13;&#10;\'12\'00.\'01.\'02.\'03.\'04.\'05.\'06.\'07.\'08.;}{\levelnumbers\'01\'03\'05\'07\'09\'0b\'0d\'0f\'11;}\fi-4320\li4320\jclisttab\tx4320 }{\listname ;}\listid1280406163}{\list\listtemplateid-1688185174{\listlevel\levelnfc0\leveljc0\levelfollow0&#13;&#10;\levelstartat1\levelspace0\levelindent0{\leveltext\'02\'00.;}{\levelnumbers\'01;}\fi-360\li360\jclisttab\tx360 }{\listlevel\levelnfc0\leveljc0\levelfollow0\levelstartat1\levelspace0\levelindent0{\leveltext\'04\'00.\'01.;}{\levelnumbers\'01\'03;}&#13;&#10;\fi-792\li792\jclisttab\tx792 }{\listlevel\levelnfc0\leveljc0\levelfollow0\levelstartat1\levelspace0\levelindent0{\leveltext\'06\'00.\'01.\'02.;}{\levelnumbers\'01\'03\'05;}\fi-1224\li1224\jclisttab\tx1224 }{\listlevel\levelnfc0\leveljc0\levelfollow0&#13;&#10;\levelstartat1\levelspace0\levelindent0{\leveltext\'08\'00.\'01.\'02.\'03.;}{\levelnumbers\'01\'03\'05\'07;}\fi-1728\li1728\jclisttab\tx1728 }{\listlevel\levelnfc0\leveljc0\levelfollow0\levelstartat1\levelspace0\levelindent0{\leveltext&#13;&#10;\'0a\'00.\'01.\'02.\'03.\'04.;}{\levelnumbers\'01\'03\'05\'07\'09;}\fi-2232\li2232\jclisttab\tx2232 }{\listlevel\levelnfc0\leveljc0\levelfollow0\levelstartat1\levelspace0\levelindent0{\leveltext\'0c\'00.\'01.\'02.\'03.\'04.\'05.;}{\levelnumbers&#13;&#10;\'01\'03\'05\'07\'09\'0b;}\fi-2736\li2736\jclisttab\tx2736 }{\listlevel\levelnfc0\leveljc0\levelfollow0\levelstartat1\levelspace0\levelindent0{\leveltext\'0e\'00.\'01.\'02.\'03.\'04.\'05.\'06.;}{\levelnumbers\'01\'03\'05\'07\'09\'0b\'0d;}\fi-3240\li3240&#13;&#10;\jclisttab\tx3240 }{\listlevel\levelnfc0\leveljc0\levelfollow0\levelstartat1\levelspace0\levelindent0{\leveltext\'10\'00.\'01.\'02.\'03.\'04.\'05.\'06.\'07.;}{\levelnumbers\'01\'03\'05\'07\'09\'0b\'0d\'0f;}\fi-3744\li3744\jclisttab\tx3744 }{\listlevel&#13;&#10;\levelnfc0\leveljc0\levelfollow0\levelstartat1\levelspace0\levelindent0{\leveltext\'12\'00.\'01.\'02.\'03.\'04.\'05.\'06.\'07.\'08.;}{\levelnumbers\'01\'03\'05\'07\'09\'0b\'0d\'0f\'11;}\fi-4320\li4320\jclisttab\tx4320 }{\listname ;}\listid1912540295}}&#13;&#10;{\*\listoverridetable{\listoverride\listid649216157\listoverridecount0\ls1}{\listoverride\listid438376642\listoverridecount0\ls2}{\listoverride\listid191578419\listoverridecount0\ls3}{\listoverride\listid154955360\listoverridecount0\ls4}&#13;&#10;{\listoverride\listid1912540295\listoverridecount0\ls5}{\listoverride\listid1280406163\listoverridecount0\ls6}{\listoverride\listid963193570\listoverridecount0\ls7}}{\info{\title Amendment ##}{\author dschmidt}{\operator dschmidt}&#13;&#10;{\creatim\yr2003\mo10\dy9\hr16\min11}{\revtim\yr2003\mo10\dy9\hr16\min11}{\printim\yr1999\mo2\dy24\hr9\min24}{\version1}{\edmins0}{\nofpages1}{\nofwords0}{\nofchars0}{\*\company European Parliament}{\nofcharsws0}{\vern23}}&#13;&#10;\paperw11905\paperh16837\margl1418\margr1191\margt1418\margb1418 \widowctrl\ftnbj\aenddoc\ftnrstpg\aftnnar\formshade\viewkind1\viewscale120\pgbrdrhead\pgbrdrfoot \fet0\sectd \psz9\linex0\headery1134\footery1134\colsx709\sectdefaultcl {\*\pnseclvl1&#13;&#10;\pnucrm\pnstart1\pnindent720\pnhang{\pntxta .}}{\*\pnseclvl2\pnucltr\pnstart1\pnindent720\pnhang{\pntxta .}}{\*\pnseclvl3\pndec\pnstart1\pnindent720\pnhang{\pntxta .}}{\*\pnseclvl4\pnlcltr\pnstart1\pnindent720\pnhang{\pntxta )}}{\*\pnseclvl5&#13;&#10;\pndec\pnstart1\pnindent720\pnhang{\pntxtb (}{\pntxta )}}{\*\pnseclvl6\pnlcltr\pnstart1\pnindent720\pnhang{\pntxtb (}{\pntxta )}}{\*\pnseclvl7\pnlcrm\pnstart1\pnindent720\pnhang{\pntxtb (}{\pntxta )}}{\*\pnseclvl8\pnlcltr\pnstart1\pnindent720\pnhang&#13;&#10;{\pntxtb (}{\pntxta )}}{\*\pnseclvl9\pnlcrm\pnstart1\pnindent720\pnhang{\pntxtb (}{\pntxta )}}\pard\plain \s39\qc\sb360\nowidctlpar\adjustright \lang2057\cgrid {\cs35\v\f1\fs20\cf9\lang1024 {\*\bkmkstart restart}&lt;Amend&gt;}{Amendment }{&#13;&#10;\cs35\v\f1\fs20\cf9\lang1024 &lt;NumAm&gt;}{#}{\cs36\v\cf15 ENMIENDA@NRAM@}{#}{\cs35\v\f1\fs20\cf9\lang1024 &lt;/NumAm&gt;}{&#13;&#10;\par }\pard\plain \s42\qc\sa240\nowidctlpar\adjustright \lang2057\cgrid {\cf10 \u9668\'3f}{#}{\cs36\v\cf15 TVTPART@PART@}{#}{\cf10 \u9658\'3f}{&#13;&#10;\par }\trowd \trqc\trgaph340\trleft-340 \clvertalt\clbrdrr\brdrs\brdrw15\brdrcf8 \cltxlrtb \cellx4536\clvertalt\clbrdrl\brdrs\brdrw15\brdrcf8 \cltxlrtb \cellx9412\pard\plain \s37\sa120\nowidctlpar\intbl\adjustright \lang2057\cgrid {##\cell ##\cell &#13;&#10;}\pard\plain \widctlpar\intbl\adjustright \lang2057\cgrid {\row }\pard\plain \s40\qc\sb240\keepn\nowidctlpar\adjustright \i\lang2057\cgrid {\cs35\i0\v\f1\fs20\cf9\lang1024 &lt;OptDel}{\cs35\v\f1\fs20\cf9\lang1024 &gt;}{#}{\cs36\v\cf15 &#13;&#10;MNU[CROSSREFNO][CROSSREFYES]@CHOICE@}{#}{\cs35\i0\v\f1\fs20\cf9\lang1024 &lt;/OptDel&gt;}{&#13;&#10;\par }\pard\plain \s41\qc\sb240\keepn\nowidctlpar\adjustright \i\lang2057\cgrid {Justification&#13;&#10;\par }\pard\plain \s38\sb240\nowidctlpar\adjustright \i\lang2057\cgrid {\cs35\i0\v\f1\fs20\cf9\lang1024 &lt;OptDelPrev}{\cs35\v\f1\fs20\cf9\lang1024 &gt;}{#}{\cs36\v\cf15 MNU[TEXTJUSTYES][TEXTJUSTNO]@CHOICE@}{#}{\cs35\i0\v\f1\fs20\cf9\lang1024 &lt;/OptDelPrev}{&#13;&#10;\cs35\v\f1\fs20\cf9\lang1024 &gt;}{&#13;&#10;\par }\pard\plain \qj\widctlpar\tx1021\tx1418\tx1786\tx2381\tx2948\tx3572\tx4139\tx4763\tx5387\tx5954\tx6577\tx7144\adjustright \lang2057\cgrid {\cs35\v\f1\fs20\cf9\lang1024 &lt;/Amend&gt;}{{\*\bkmkend restart}&#13;&#10;\par }}"/>
    <w:docVar w:name="strSubDir" w:val="512"/>
    <w:docVar w:name="TVTPART" w:val="Article 2"/>
    <w:docVar w:name="TXTAUTHOR" w:val="Pernille Frahm"/>
    <w:docVar w:name="TXTLANGUE" w:val="FR"/>
    <w:docVar w:name="TXTLANGUEMIN" w:val="fr"/>
    <w:docVar w:name="TXTNRC" w:val="xx"/>
    <w:docVar w:name="TXTNRCNS" w:val="2003/0118(CNS)"/>
    <w:docVar w:name="TXTNRCOM" w:val="(03) 331"/>
    <w:docVar w:name="TXTNRCOUNC" w:val="C5-0315/2003"/>
    <w:docVar w:name="TXTNRPE" w:val="337.039"/>
    <w:docVar w:name="TXTROUTE" w:val="RR\512196EN.doc"/>
    <w:docVar w:name="TXTTITLE" w:val="concerning the conclusion, on behalf of the European Community, of the Stockholm Convention on Persistent Organic Pollutants"/>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lang w:val="en-GB"/>
    </w:rPr>
  </w:style>
  <w:style w:type="paragraph" w:styleId="Heading1">
    <w:name w:val="heading 1"/>
    <w:basedOn w:val="Normal"/>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spacing w:before="240" w:after="60"/>
      <w:outlineLvl w:val="1"/>
    </w:pPr>
    <w:rPr>
      <w:rFonts w:ascii="Arial" w:hAnsi="Arial"/>
      <w:b/>
      <w:i/>
    </w:rPr>
  </w:style>
  <w:style w:type="paragraph" w:styleId="Heading3">
    <w:name w:val="heading 3"/>
    <w:basedOn w:val="Normal"/>
    <w:next w:val="Normal"/>
    <w:uiPriority w:val="9"/>
    <w:qFormat/>
    <w:pPr>
      <w:keepNext/>
      <w:spacing w:before="240" w:after="60"/>
      <w:outlineLvl w:val="2"/>
    </w:pPr>
    <w:rPr>
      <w:rFonts w:ascii="Arial" w:hAnsi="Arial"/>
    </w:rPr>
  </w:style>
  <w:style w:type="paragraph" w:styleId="Heading4">
    <w:name w:val="heading 4"/>
    <w:basedOn w:val="Normal"/>
    <w:next w:val="Normal"/>
    <w:uiPriority w:val="9"/>
    <w:qFormat/>
    <w:pPr>
      <w:keepNext/>
      <w:spacing w:before="240" w:after="60"/>
      <w:outlineLvl w:val="3"/>
    </w:pPr>
    <w:rPr>
      <w:rFonts w:ascii="Arial" w:hAnsi="Arial"/>
      <w:b/>
    </w:rPr>
  </w:style>
  <w:style w:type="paragraph" w:styleId="Heading5">
    <w:name w:val="heading 5"/>
    <w:basedOn w:val="Normal"/>
    <w:next w:val="Normal"/>
    <w:uiPriority w:val="9"/>
    <w:qFormat/>
    <w:pPr>
      <w:spacing w:before="240" w:after="60"/>
      <w:outlineLvl w:val="4"/>
    </w:pPr>
    <w:rPr>
      <w:sz w:val="22"/>
    </w:rPr>
  </w:style>
  <w:style w:type="paragraph" w:styleId="Heading6">
    <w:name w:val="heading 6"/>
    <w:basedOn w:val="Normal"/>
    <w:next w:val="Normal"/>
    <w:uiPriority w:val="9"/>
    <w:qFormat/>
    <w:pPr>
      <w:spacing w:before="240" w:after="60"/>
      <w:outlineLvl w:val="5"/>
    </w:pPr>
    <w:rPr>
      <w:i/>
      <w:sz w:val="22"/>
    </w:rPr>
  </w:style>
  <w:style w:type="paragraph" w:styleId="Heading7">
    <w:name w:val="heading 7"/>
    <w:basedOn w:val="Normal"/>
    <w:next w:val="Normal"/>
    <w:uiPriority w:val="9"/>
    <w:qFormat/>
    <w:pPr>
      <w:spacing w:before="240" w:after="60"/>
      <w:outlineLvl w:val="6"/>
    </w:pPr>
    <w:rPr>
      <w:rFonts w:ascii="Arial" w:hAnsi="Arial"/>
    </w:rPr>
  </w:style>
  <w:style w:type="paragraph" w:styleId="Heading8">
    <w:name w:val="heading 8"/>
    <w:basedOn w:val="Normal"/>
    <w:next w:val="Normal"/>
    <w:uiPriority w:val="9"/>
    <w:qFormat/>
    <w:pPr>
      <w:spacing w:before="240" w:after="60"/>
      <w:outlineLvl w:val="7"/>
    </w:pPr>
    <w:rPr>
      <w:rFonts w:ascii="Arial" w:hAnsi="Arial"/>
      <w:i/>
    </w:rPr>
  </w:style>
  <w:style w:type="paragraph" w:styleId="Heading9">
    <w:name w:val="heading 9"/>
    <w:basedOn w:val="Normal"/>
    <w:next w:val="Normal"/>
    <w:uiPriority w:val="9"/>
    <w:qFormat/>
    <w:pPr>
      <w:spacing w:before="240" w:after="60"/>
      <w:outlineLvl w:val="8"/>
    </w:pPr>
    <w:rPr>
      <w:rFonts w:ascii="Arial" w:hAnsi="Arial"/>
      <w:b/>
      <w:i/>
      <w:sz w:val="18"/>
    </w:rPr>
  </w:style>
  <w:style w:type="character" w:default="1" w:styleId="DefaultParagraphFont">
    <w:name w:val="Default Paragraph Font"/>
  </w:style>
  <w:style w:type="table" w:default="1" w:styleId="TableNormal">
    <w:name w:val="Normal Table"/>
    <w:uiPriority w:val="99"/>
    <w:semiHidden/>
    <w:unhideWhenUsed/>
    <w:qFormat/>
    <w:tblPr>
      <w:tblInd w:w="0pt" w:type="dxa"/>
      <w:tblCellMar>
        <w:top w:w="0pt" w:type="dxa"/>
        <w:start w:w="5.4pt" w:type="dxa"/>
        <w:bottom w:w="0pt" w:type="dxa"/>
        <w:end w:w="5.4pt" w:type="dxa"/>
      </w:tblCellMar>
    </w:tblPr>
  </w:style>
  <w:style w:type="character" w:customStyle="1" w:styleId="HideTWBExt">
    <w:name w:val="HideTWBExt"/>
    <w:basedOn w:val="DefaultParagraphFont"/>
    <w:rPr>
      <w:rFonts w:ascii="Arial" w:hAnsi="Arial"/>
      <w:vanish/>
      <w:color w:val="000080"/>
      <w:sz w:val="20"/>
    </w:rPr>
  </w:style>
  <w:style w:type="paragraph" w:styleId="Footer">
    <w:name w:val="footer"/>
    <w:basedOn w:val="Normal12a12b"/>
    <w:pPr>
      <w:tabs>
        <w:tab w:val="center" w:pos="4536"/>
        <w:tab w:val="end" w:pos="9072"/>
      </w:tabs>
    </w:pPr>
    <w:rPr>
      <w:sz w:val="22"/>
    </w:rPr>
  </w:style>
  <w:style w:type="paragraph" w:customStyle="1" w:styleId="Normal12a12b">
    <w:name w:val="Normal12a12b"/>
    <w:basedOn w:val="Normal"/>
    <w:pPr>
      <w:spacing w:before="240" w:after="240"/>
    </w:pPr>
  </w:style>
  <w:style w:type="character" w:customStyle="1" w:styleId="Added">
    <w:name w:val="Added"/>
    <w:basedOn w:val="DefaultParagraphFont"/>
    <w:rPr>
      <w:b/>
      <w:i/>
    </w:rPr>
  </w:style>
  <w:style w:type="character" w:customStyle="1" w:styleId="Deleted">
    <w:name w:val="Deleted"/>
    <w:basedOn w:val="DefaultParagraphFont"/>
    <w:rPr>
      <w:b/>
      <w:i/>
    </w:rPr>
  </w:style>
  <w:style w:type="paragraph" w:customStyle="1" w:styleId="Footer2">
    <w:name w:val="Footer2"/>
    <w:basedOn w:val="Normal12"/>
    <w:pPr>
      <w:tabs>
        <w:tab w:val="end" w:pos="9923"/>
      </w:tabs>
      <w:ind w:start="-851"/>
    </w:pPr>
    <w:rPr>
      <w:rFonts w:ascii="Arial" w:hAnsi="Arial"/>
      <w:b/>
      <w:sz w:val="48"/>
    </w:rPr>
  </w:style>
  <w:style w:type="paragraph" w:customStyle="1" w:styleId="Normal12">
    <w:name w:val="Normal12"/>
    <w:basedOn w:val="Normal"/>
    <w:pPr>
      <w:spacing w:after="240"/>
    </w:pPr>
  </w:style>
  <w:style w:type="paragraph" w:customStyle="1" w:styleId="Justification">
    <w:name w:val="Justification"/>
    <w:basedOn w:val="Normal12"/>
    <w:rPr>
      <w:i/>
    </w:rPr>
  </w:style>
  <w:style w:type="paragraph" w:styleId="TOC1">
    <w:name w:val="toc 1"/>
    <w:basedOn w:val="Normal12"/>
    <w:next w:val="Normal12"/>
    <w:autoRedefine/>
    <w:uiPriority w:val="39"/>
  </w:style>
  <w:style w:type="paragraph" w:customStyle="1" w:styleId="TOCHeading">
    <w:name w:val="TOC Heading"/>
    <w:basedOn w:val="Normal12"/>
    <w:next w:val="Normal12"/>
    <w:pPr>
      <w:keepNext/>
      <w:spacing w:before="240"/>
      <w:jc w:val="center"/>
    </w:pPr>
    <w:rPr>
      <w:rFonts w:ascii="Arial" w:hAnsi="Arial"/>
      <w:b/>
    </w:rPr>
  </w:style>
  <w:style w:type="paragraph" w:customStyle="1" w:styleId="TOCPage">
    <w:name w:val="TOC Page"/>
    <w:basedOn w:val="Normal12"/>
    <w:next w:val="TOC1"/>
    <w:pPr>
      <w:keepNext/>
      <w:jc w:val="end"/>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end"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start="357" w:hanging="357"/>
    </w:pPr>
  </w:style>
  <w:style w:type="paragraph" w:customStyle="1" w:styleId="AMNumber">
    <w:name w:val="AMNumber"/>
    <w:basedOn w:val="Normal"/>
    <w:pPr>
      <w:spacing w:before="360"/>
      <w:jc w:val="center"/>
    </w:pPr>
  </w:style>
  <w:style w:type="paragraph" w:customStyle="1" w:styleId="ColHeading">
    <w:name w:val="ColHeading"/>
    <w:basedOn w:val="Normal"/>
    <w:pPr>
      <w:spacing w:before="240" w:after="120"/>
      <w:jc w:val="center"/>
    </w:pPr>
  </w:style>
  <w:style w:type="paragraph" w:customStyle="1" w:styleId="Committee">
    <w:name w:val="Committee"/>
    <w:basedOn w:val="Normal"/>
    <w:pPr>
      <w:spacing w:before="240" w:after="1200"/>
      <w:jc w:val="center"/>
    </w:pPr>
    <w:rPr>
      <w:i/>
    </w:rPr>
  </w:style>
  <w:style w:type="paragraph" w:customStyle="1" w:styleId="Normal24">
    <w:name w:val="Normal24"/>
    <w:basedOn w:val="Normal"/>
    <w:pPr>
      <w:spacing w:after="480"/>
    </w:pPr>
  </w:style>
  <w:style w:type="paragraph" w:customStyle="1" w:styleId="Cover12">
    <w:name w:val="Cover12"/>
    <w:basedOn w:val="Normal12"/>
    <w:pPr>
      <w:ind w:start="1418"/>
    </w:pPr>
  </w:style>
  <w:style w:type="paragraph" w:customStyle="1" w:styleId="Cover24">
    <w:name w:val="Cover24"/>
    <w:basedOn w:val="Normal24"/>
    <w:pPr>
      <w:ind w:start="1418"/>
    </w:pPr>
  </w:style>
  <w:style w:type="paragraph" w:customStyle="1" w:styleId="CoverNormal">
    <w:name w:val="CoverNormal"/>
    <w:basedOn w:val="Normal"/>
    <w:pPr>
      <w:ind w:start="1418"/>
    </w:pPr>
  </w:style>
  <w:style w:type="paragraph" w:customStyle="1" w:styleId="CrossRef">
    <w:name w:val="CrossRef"/>
    <w:basedOn w:val="Normal"/>
    <w:pPr>
      <w:keepNext/>
      <w:spacing w:before="240"/>
      <w:jc w:val="center"/>
    </w:pPr>
    <w:rPr>
      <w:i/>
    </w:rPr>
  </w:style>
  <w:style w:type="paragraph" w:customStyle="1" w:styleId="DocRef">
    <w:name w:val="DocRef"/>
    <w:basedOn w:val="Normal"/>
    <w:pPr>
      <w:spacing w:after="960"/>
      <w:jc w:val="center"/>
    </w:pPr>
    <w:rPr>
      <w:rFonts w:ascii="Arial" w:hAnsi="Arial"/>
      <w:b/>
    </w:rPr>
  </w:style>
  <w:style w:type="paragraph" w:customStyle="1" w:styleId="DocType">
    <w:name w:val="DocType"/>
    <w:basedOn w:val="Normal12"/>
    <w:pPr>
      <w:jc w:val="center"/>
    </w:pPr>
    <w:rPr>
      <w:rFonts w:ascii="Arial" w:hAnsi="Arial"/>
      <w:b/>
      <w:sz w:val="28"/>
    </w:rPr>
  </w:style>
  <w:style w:type="paragraph" w:customStyle="1" w:styleId="EntPE">
    <w:name w:val="EntPE"/>
    <w:basedOn w:val="Normal12"/>
    <w:pPr>
      <w:jc w:val="center"/>
    </w:pPr>
    <w:rPr>
      <w:sz w:val="56"/>
    </w:rPr>
  </w:style>
  <w:style w:type="paragraph" w:customStyle="1" w:styleId="Hanging12">
    <w:name w:val="Hanging12"/>
    <w:basedOn w:val="Normal12"/>
    <w:pPr>
      <w:tabs>
        <w:tab w:val="start" w:pos="357"/>
      </w:tabs>
      <w:ind w:start="357" w:hanging="357"/>
    </w:p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pPr>
      <w:tabs>
        <w:tab w:val="start" w:pos="35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RefProc">
    <w:name w:val="RefProc"/>
    <w:basedOn w:val="Normal"/>
    <w:pPr>
      <w:jc w:val="end"/>
    </w:pPr>
    <w:rPr>
      <w:rFonts w:ascii="Arial" w:hAnsi="Arial"/>
      <w:b/>
      <w:caps/>
    </w:rPr>
  </w:style>
  <w:style w:type="paragraph" w:customStyle="1" w:styleId="RefStatus">
    <w:name w:val="RefStatus"/>
    <w:basedOn w:val="Normal"/>
    <w:pPr>
      <w:jc w:val="end"/>
    </w:pPr>
    <w:rPr>
      <w:rFonts w:ascii="Arial" w:hAnsi="Arial"/>
      <w:caps/>
    </w:rPr>
  </w:style>
  <w:style w:type="paragraph" w:customStyle="1" w:styleId="RefVer">
    <w:name w:val="RefVer"/>
    <w:basedOn w:val="Normal12"/>
    <w:pPr>
      <w:jc w:val="end"/>
    </w:pPr>
    <w:rPr>
      <w:rFonts w:ascii="Arial" w:hAnsi="Arial"/>
    </w:rPr>
  </w:style>
  <w:style w:type="paragraph" w:customStyle="1" w:styleId="StarsAndIs">
    <w:name w:val="StarsAndIs"/>
    <w:basedOn w:val="Normal"/>
    <w:pPr>
      <w:ind w:start="1418"/>
    </w:pPr>
    <w:rPr>
      <w:rFonts w:ascii="Arial" w:hAnsi="Arial"/>
      <w:b/>
      <w:sz w:val="48"/>
    </w:rPr>
  </w:style>
  <w:style w:type="paragraph" w:customStyle="1" w:styleId="Term">
    <w:name w:val="Term"/>
    <w:basedOn w:val="Normal"/>
    <w:pPr>
      <w:jc w:val="center"/>
    </w:pPr>
    <w:rPr>
      <w:i/>
      <w:sz w:val="28"/>
    </w:rPr>
  </w:style>
  <w:style w:type="paragraph" w:customStyle="1" w:styleId="TypeDoc">
    <w:name w:val="TypeDoc"/>
    <w:basedOn w:val="Normal24"/>
    <w:pPr>
      <w:ind w:start="1418"/>
    </w:pPr>
    <w:rPr>
      <w:rFonts w:ascii="Arial" w:hAnsi="Arial"/>
      <w:b/>
      <w:sz w:val="48"/>
    </w:rPr>
  </w:style>
  <w:style w:type="paragraph" w:customStyle="1" w:styleId="ZDate">
    <w:name w:val="ZDate"/>
    <w:basedOn w:val="Normal"/>
    <w:pPr>
      <w:spacing w:after="1200"/>
    </w:pPr>
  </w:style>
  <w:style w:type="paragraph" w:customStyle="1" w:styleId="Lgendesigne">
    <w:name w:val="Légende signe"/>
    <w:basedOn w:val="Normal"/>
    <w:pPr>
      <w:tabs>
        <w:tab w:val="end" w:pos="454"/>
        <w:tab w:val="start" w:pos="737"/>
      </w:tabs>
      <w:ind w:start="737" w:hanging="737"/>
    </w:pPr>
    <w:rPr>
      <w:snapToGrid w:val="0"/>
      <w:sz w:val="18"/>
      <w:lang w:val="en-US" w:eastAsia="en-US"/>
    </w:rPr>
  </w:style>
  <w:style w:type="paragraph" w:customStyle="1" w:styleId="Lgendetitre">
    <w:name w:val="Légende titre"/>
    <w:basedOn w:val="Normal"/>
    <w:pPr>
      <w:spacing w:before="240" w:after="240"/>
    </w:pPr>
    <w:rPr>
      <w:b/>
      <w:i/>
      <w:snapToGrid w:val="0"/>
      <w:lang w:val="en-US" w:eastAsia="en-US"/>
    </w:rPr>
  </w:style>
  <w:style w:type="paragraph" w:customStyle="1" w:styleId="Lgendestandard">
    <w:name w:val="Légende standard"/>
    <w:basedOn w:val="Lgendesigne"/>
    <w:pPr>
      <w:ind w:start="0" w:firstLine="0"/>
    </w:pPr>
  </w:style>
  <w:style w:type="paragraph" w:styleId="FootnoteText">
    <w:name w:val="footnote text"/>
    <w:basedOn w:val="Normal"/>
    <w:rPr>
      <w:sz w:val="20"/>
    </w:rPr>
  </w:style>
  <w:style w:type="character" w:styleId="FootnoteReference">
    <w:name w:val="footnote reference"/>
    <w:basedOn w:val="DefaultParagraphFont"/>
    <w:rPr>
      <w:vertAlign w:val="superscript"/>
    </w:rPr>
  </w:style>
  <w:style w:type="paragraph" w:customStyle="1" w:styleId="Titreobjet">
    <w:name w:val="Titre objet"/>
    <w:basedOn w:val="Normal"/>
    <w:next w:val="Normal"/>
    <w:pPr>
      <w:widowControl/>
      <w:spacing w:before="360" w:after="360"/>
      <w:jc w:val="center"/>
    </w:pPr>
    <w:rPr>
      <w:b/>
      <w:lang w:eastAsia="en-US"/>
    </w:rPr>
  </w:style>
  <w:style w:type="paragraph" w:styleId="Header">
    <w:name w:val="header"/>
    <w:basedOn w:val="Normal"/>
    <w:pPr>
      <w:tabs>
        <w:tab w:val="center" w:pos="4320"/>
        <w:tab w:val="end" w:pos="8640"/>
      </w:tabs>
    </w:pPr>
  </w:style>
  <w:style w:type="paragraph" w:customStyle="1" w:styleId="Considrant">
    <w:name w:val="Considérant"/>
    <w:basedOn w:val="Normal"/>
    <w:pPr>
      <w:widowControl/>
      <w:numPr>
        <w:ilvl w:val="0"/>
        <w:numId w:val="41"/>
      </w:numPr>
      <w:spacing w:before="120" w:after="120"/>
      <w:jc w:val="both"/>
    </w:pPr>
  </w:style>
  <w:style w:type="paragraph" w:customStyle="1" w:styleId="CommitteePAJURI">
    <w:name w:val="CommitteePAJURI"/>
    <w:basedOn w:val="Normal"/>
    <w:pPr>
      <w:spacing w:before="240"/>
      <w:jc w:val="center"/>
    </w:pPr>
    <w:rPr>
      <w:i/>
    </w:rPr>
  </w:style>
  <w:style w:type="paragraph" w:customStyle="1" w:styleId="Chairman">
    <w:name w:val="Chairman"/>
    <w:basedOn w:val="Normal"/>
    <w:pPr>
      <w:spacing w:after="960"/>
      <w:jc w:val="center"/>
    </w:pPr>
    <w:rPr>
      <w:i/>
    </w:rPr>
  </w:style>
  <w:style w:type="paragraph" w:customStyle="1" w:styleId="Formule2">
    <w:name w:val="Formule2"/>
    <w:basedOn w:val="Normal"/>
    <w:pPr>
      <w:keepNext/>
      <w:tabs>
        <w:tab w:val="start" w:pos="5670"/>
      </w:tabs>
      <w:spacing w:after="1440"/>
    </w:pPr>
    <w:rPr>
      <w:lang w:val="fr-FR"/>
    </w:rPr>
  </w:style>
  <w:style w:type="paragraph" w:customStyle="1" w:styleId="SubjectPajuri">
    <w:name w:val="SubjectPajuri"/>
    <w:basedOn w:val="Normal24"/>
    <w:pPr>
      <w:tabs>
        <w:tab w:val="start" w:pos="1418"/>
      </w:tabs>
      <w:spacing w:before="960"/>
      <w:ind w:start="1418" w:hanging="1418"/>
    </w:pPr>
    <w:rPr>
      <w:lang w:val="fr-FR"/>
    </w:rPr>
  </w:style>
  <w:style w:type="paragraph" w:customStyle="1" w:styleId="Signature2">
    <w:name w:val="Signature2"/>
    <w:basedOn w:val="Normal24"/>
    <w:pPr>
      <w:tabs>
        <w:tab w:val="start" w:pos="5670"/>
      </w:tabs>
    </w:pPr>
    <w:rPr>
      <w:lang w:val="fr-FR"/>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header" Target="header3.xml" /><Relationship Id="rId11" Type="http://purl.oclc.org/ooxml/officeDocument/relationships/footer" Target="footer3.xml" /><Relationship Id="rId12" Type="http://purl.oclc.org/ooxml/officeDocument/relationships/numbering" Target="numbering.xml" /><Relationship Id="rId13"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wmf" /><Relationship Id="rId6" Type="http://purl.oclc.org/ooxml/officeDocument/relationships/header" Target="header1.xml" /><Relationship Id="rId7" Type="http://purl.oclc.org/ooxml/officeDocument/relationships/header" Target="header2.xml" /><Relationship Id="rId8" Type="http://purl.oclc.org/ooxml/officeDocument/relationships/footer" Target="footer1.xml" /><Relationship Id="rId9" Type="http://purl.oclc.org/ooxml/officeDocument/relationships/footer" Target="footer2.xml" /></Relationships>
</file>

<file path=word/_rels/settings.xml.rels>&#65279;<?xml version="1.0" encoding="utf-8" standalone="yes"?><Relationships xmlns="http://schemas.openxmlformats.org/package/2006/relationships"><Relationship Id="rId1" Type="http://purl.oclc.org/ooxml/officeDocument/relationships/attachedTemplate" Target="file:///C:\Program%20Files\DocEP\DOCS\PR\Pr_Leg\CNS\art97\PR_CNS_art97am.dot" TargetMode="External" /></Relationships>
</file>

<file path=docProps/app.xml><?xml version="1.0" encoding="utf-8"?>
<Properties xmlns="http://purl.oclc.org/ooxml/officeDocument/extendedProperties" xmlns:vt="http://purl.oclc.org/ooxml/officeDocument/docPropsVTypes">
  <Template>PR_CNS_art97am.dot</Template>
  <TotalTime>0</TotalTime>
  <Pages>11</Pages>
  <Words>2641</Words>
  <Characters>15056</Characters>
  <Application>Microsoft Office Word</Application>
  <DocSecurity>0</DocSecurity>
  <Lines>836</Lines>
  <Paragraphs>485</Paragraphs>
  <ScaleCrop>false</ScaleCrop>
  <HeadingPairs>
    <vt:vector size="2" baseType="variant">
      <vt:variant>
        <vt:lpstr>Title</vt:lpstr>
      </vt:variant>
      <vt:variant>
        <vt:i4>1</vt:i4>
      </vt:variant>
    </vt:vector>
  </HeadingPairs>
  <TitlesOfParts>
    <vt:vector size="1" baseType="lpstr">
      <vt:lpstr>PR_CNS_art97am</vt:lpstr>
    </vt:vector>
  </TitlesOfParts>
  <Company/>
  <LinksUpToDate>false</LinksUpToDate>
  <CharactersWithSpaces>18489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PR_CNS_art97am</dc:title>
  <dc:creator>dschmidt</dc:creator>
  <cp:lastModifiedBy>WStock</cp:lastModifiedBy>
  <cp:revision>2</cp:revision>
  <cp:lastPrinted>2003-11-06T14:28:00Z</cp:lastPrinted>
  <dcterms:created xsi:type="dcterms:W3CDTF">2003-11-06T14:35:00Z</dcterms:created>
  <dcterms:modified xsi:type="dcterms:W3CDTF">2003-11-06T14:35:00Z</dcterms:modified>
</cp:coreProperties>
</file>

<file path=docProps/custom.xml><?xml version="1.0" encoding="utf-8"?>
<Properties xmlns="http://purl.oclc.org/ooxml/officeDocument/customProperties" xmlns:vt="http://purl.oclc.org/ooxml/officeDocument/docPropsVTypes">
  <property fmtid="{D5CDD505-2E9C-101B-9397-08002B2CF9AE}" pid="2" name="&lt;Extension&gt;">
    <vt:lpwstr>EN</vt:lpwstr>
  </property>
  <property fmtid="{D5CDD505-2E9C-101B-9397-08002B2CF9AE}" pid="3" name="&lt;FdR&gt;">
    <vt:lpwstr>512196</vt:lpwstr>
  </property>
  <property fmtid="{D5CDD505-2E9C-101B-9397-08002B2CF9AE}" pid="4" name="&lt;Model&gt;">
    <vt:lpwstr>PR_CNS_art97am</vt:lpwstr>
  </property>
  <property fmtid="{D5CDD505-2E9C-101B-9397-08002B2CF9AE}" pid="5" name="&lt;ModelCod&gt;">
    <vt:lpwstr>C:\Program Files\DocEP\DOCS\PR\Pr_Leg\CNS\art97\PR_CNS_art97am.dot(24/03/2003 17:07:40)</vt:lpwstr>
  </property>
  <property fmtid="{D5CDD505-2E9C-101B-9397-08002B2CF9AE}" pid="6" name="&lt;ModelTra&gt;">
    <vt:lpwstr>C:\Program Files\DocEP\TRANSFIL\EN\PR_CNS_art97am.EN(30/09/2003 14:34:46)</vt:lpwstr>
  </property>
  <property fmtid="{D5CDD505-2E9C-101B-9397-08002B2CF9AE}" pid="7" name="&lt;ModelVie&gt;">
    <vt:lpwstr>C:\Program Files\DocEP\Help\VIEWER\EN\PR_CNS_art97am.htm</vt:lpwstr>
  </property>
  <property fmtid="{D5CDD505-2E9C-101B-9397-08002B2CF9AE}" pid="8" name="&lt;Type&gt;">
    <vt:lpwstr>RR</vt:lpwstr>
  </property>
  <property fmtid="{D5CDD505-2E9C-101B-9397-08002B2CF9AE}" pid="9" name="Created with">
    <vt:lpwstr>4.12 Build [20000401]</vt:lpwstr>
  </property>
  <property fmtid="{D5CDD505-2E9C-101B-9397-08002B2CF9AE}" pid="10" name="FooterPath">
    <vt:lpwstr>RR\512196EN.doc</vt:lpwstr>
  </property>
  <property fmtid="{D5CDD505-2E9C-101B-9397-08002B2CF9AE}" pid="11" name="LastEdited with">
    <vt:lpwstr>6.0.2 Build [20030704]</vt:lpwstr>
  </property>
  <property fmtid="{D5CDD505-2E9C-101B-9397-08002B2CF9AE}" pid="12" name="PE Number">
    <vt:lpwstr>337.039</vt:lpwstr>
  </property>
</Properties>
</file>