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15179775"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ttee"/>
      </w:pPr>
      <w:r>
        <w:t>Session document</w:t>
      </w:r>
    </w:p>
    <w:p>
      <w:pPr>
        <w:pStyle w:val="RefStatus"/>
      </w:pPr>
      <w:r>
        <w:rPr>
          <w:rStyle w:val="HideTWBExt"/>
          <w:lang w:val="en-GB"/>
        </w:rPr>
        <w:t>&lt;RefStatus&gt;</w:t>
      </w:r>
      <w:r>
        <w:t>FINAL</w:t>
      </w:r>
      <w:r>
        <w:rPr>
          <w:rStyle w:val="HideTWBExt"/>
          <w:lang w:val="en-GB"/>
        </w:rPr>
        <w:t>&lt;/RefStatus&gt;</w:t>
      </w:r>
    </w:p>
    <w:p>
      <w:pPr>
        <w:pStyle w:val="RefProc"/>
      </w:pPr>
      <w:r>
        <w:rPr>
          <w:rStyle w:val="HideTWBInt"/>
        </w:rPr>
        <w:t>&lt;NoDocSe&gt;</w:t>
      </w:r>
      <w:r>
        <w:t>A5-0375/2003</w:t>
      </w:r>
      <w:r>
        <w:rPr>
          <w:rStyle w:val="HideTWBInt"/>
        </w:rPr>
        <w:t>&lt;/NoDocSe&gt;</w:t>
      </w:r>
    </w:p>
    <w:p>
      <w:pPr>
        <w:pStyle w:val="RefVer"/>
      </w:pPr>
      <w:r>
        <w:rPr>
          <w:rStyle w:val="HideTWBExt"/>
          <w:lang w:val="en-GB"/>
        </w:rPr>
        <w:t>&lt;RefVer&gt;&lt;/RefVer&gt;</w:t>
      </w:r>
    </w:p>
    <w:p>
      <w:pPr>
        <w:pStyle w:val="ZDate"/>
      </w:pPr>
      <w:r>
        <w:rPr>
          <w:rStyle w:val="HideTWBExt"/>
          <w:lang w:val="en-GB"/>
        </w:rPr>
        <w:t>&lt;Date&gt;</w:t>
      </w:r>
      <w:r>
        <w:rPr>
          <w:rStyle w:val="HideTWBInt"/>
        </w:rPr>
        <w:t>{23/10/2003}</w:t>
      </w:r>
      <w:r>
        <w:t>4 November 2003</w:t>
      </w:r>
      <w:r>
        <w:rPr>
          <w:rStyle w:val="HideTWBExt"/>
          <w:lang w:val="en-GB"/>
        </w:rPr>
        <w:t>&lt;/Date&gt;</w:t>
      </w:r>
    </w:p>
    <w:p>
      <w:pPr>
        <w:pStyle w:val="StarsAndIs"/>
      </w:pPr>
      <w:r>
        <w:rPr>
          <w:rStyle w:val="HideTWBExt"/>
          <w:lang w:val="en-GB"/>
        </w:rPr>
        <w:t>&lt;</w:t>
      </w:r>
      <w:r>
        <w:rPr>
          <w:rStyle w:val="HideTWBExt"/>
          <w:b w:val="0"/>
          <w:lang w:val="en-GB"/>
        </w:rPr>
        <w:t>RefProcLect</w:t>
      </w:r>
      <w:r>
        <w:rPr>
          <w:rStyle w:val="HideTWBExt"/>
          <w:lang w:val="en-GB"/>
        </w:rPr>
        <w:t>&gt;</w:t>
      </w:r>
      <w:r>
        <w:t>***I</w:t>
      </w:r>
      <w:r>
        <w:rPr>
          <w:rStyle w:val="HideTWBExt"/>
          <w:lang w:val="en-GB"/>
        </w:rPr>
        <w:t>&lt;/</w:t>
      </w:r>
      <w:r>
        <w:rPr>
          <w:rStyle w:val="HideTWBExt"/>
          <w:b w:val="0"/>
          <w:lang w:val="en-GB"/>
        </w:rPr>
        <w:t>RefProcLect</w:t>
      </w:r>
      <w:r>
        <w:rPr>
          <w:rStyle w:val="HideTWBExt"/>
          <w:lang w:val="en-GB"/>
        </w:rPr>
        <w:t>&gt;</w:t>
      </w:r>
    </w:p>
    <w:p>
      <w:pPr>
        <w:pStyle w:val="TypeDoc"/>
      </w:pPr>
      <w:r>
        <w:rPr>
          <w:rStyle w:val="HideTWBExt"/>
          <w:lang w:val="en-GB"/>
        </w:rPr>
        <w:t>&lt;</w:t>
      </w:r>
      <w:r>
        <w:rPr>
          <w:rStyle w:val="HideTWBExt"/>
          <w:b w:val="0"/>
          <w:lang w:val="en-GB"/>
        </w:rPr>
        <w:t>TitreType</w:t>
      </w:r>
      <w:r>
        <w:rPr>
          <w:rStyle w:val="HideTWBExt"/>
          <w:lang w:val="en-GB"/>
        </w:rPr>
        <w:t>&gt;</w:t>
      </w:r>
      <w:r>
        <w:t>REPORT</w:t>
      </w:r>
      <w:r>
        <w:rPr>
          <w:rStyle w:val="HideTWBExt"/>
          <w:lang w:val="en-GB"/>
        </w:rPr>
        <w:t>&lt;/</w:t>
      </w:r>
      <w:r>
        <w:rPr>
          <w:rStyle w:val="HideTWBExt"/>
          <w:b w:val="0"/>
          <w:lang w:val="en-GB"/>
        </w:rPr>
        <w:t>TitreType</w:t>
      </w:r>
      <w:r>
        <w:rPr>
          <w:rStyle w:val="HideTWBExt"/>
          <w:lang w:val="en-GB"/>
        </w:rPr>
        <w:t>&gt;</w:t>
      </w:r>
    </w:p>
    <w:p>
      <w:pPr>
        <w:pStyle w:val="CoverNormal"/>
      </w:pPr>
      <w:r>
        <w:rPr>
          <w:rStyle w:val="HideTWBExt"/>
          <w:lang w:val="en-GB"/>
        </w:rPr>
        <w:t>&lt;Titre&gt;</w:t>
      </w:r>
      <w:r>
        <w:t>on the proposal for a European Parliament and Council decision on Interoperable Delivery of pan-European eGovernment Services to Public Administrations, Businesses and Citizens (IDABC)</w:t>
      </w:r>
      <w:r>
        <w:rPr>
          <w:rStyle w:val="HideTWBExt"/>
          <w:lang w:val="en-GB"/>
        </w:rPr>
        <w:t>&lt;/Titre&gt;</w:t>
      </w:r>
    </w:p>
    <w:p>
      <w:pPr>
        <w:pStyle w:val="Cover24"/>
      </w:pPr>
      <w:r>
        <w:rPr>
          <w:rStyle w:val="HideTWBExt"/>
          <w:lang w:val="en-GB"/>
        </w:rPr>
        <w:t>&lt;DocRef&gt;</w:t>
      </w:r>
      <w:r>
        <w:t>(COM(2003) 406 – C5</w:t>
      </w:r>
      <w:r>
        <w:noBreakHyphen/>
        <w:t>0310/2003 – 2003/0147(COD))</w:t>
      </w:r>
      <w:r>
        <w:rPr>
          <w:rStyle w:val="HideTWBExt"/>
          <w:lang w:val="en-GB"/>
        </w:rPr>
        <w:t>&lt;/DocRef&gt;</w:t>
      </w:r>
    </w:p>
    <w:p>
      <w:pPr>
        <w:pStyle w:val="Cover24"/>
      </w:pPr>
      <w:r>
        <w:rPr>
          <w:rStyle w:val="HideTWBExt"/>
          <w:lang w:val="en-GB"/>
        </w:rPr>
        <w:t>&lt;Commission&gt;</w:t>
      </w:r>
      <w:r>
        <w:rPr>
          <w:rStyle w:val="HideTWBInt"/>
        </w:rPr>
        <w:t>{ITRE}</w:t>
      </w:r>
      <w:r>
        <w:t>Committee on Industry, External Trade, Research and Energy</w:t>
      </w:r>
      <w:r>
        <w:rPr>
          <w:rStyle w:val="HideTWBExt"/>
          <w:lang w:val="en-GB"/>
        </w:rPr>
        <w:t>&lt;/Commission&gt;</w:t>
      </w:r>
    </w:p>
    <w:p>
      <w:pPr>
        <w:pStyle w:val="Cover12"/>
      </w:pPr>
      <w:r>
        <w:t xml:space="preserve">Rapporteur: </w:t>
      </w:r>
      <w:r>
        <w:rPr>
          <w:rStyle w:val="HideTWBExt"/>
          <w:lang w:val="en-GB"/>
        </w:rPr>
        <w:t>&lt;Depute&gt;</w:t>
      </w:r>
      <w:r>
        <w:t>Imelda Mary Read</w:t>
      </w:r>
      <w:r>
        <w:rPr>
          <w:rStyle w:val="HideTWBExt"/>
          <w:lang w:val="en-GB"/>
        </w:rPr>
        <w:t>&lt;/Depute&gt;</w:t>
      </w:r>
    </w:p>
    <w:p>
      <w:pPr>
        <w:widowControl/>
        <w:tabs>
          <w:tab w:val="center" w:pos="4677"/>
        </w:tabs>
        <w:jc w:val="both"/>
      </w:pPr>
      <w:r>
        <w:br w:type="page"/>
      </w:r>
    </w:p>
    <w:p>
      <w:r>
        <w:fldChar w:fldCharType="begin"/>
      </w:r>
      <w:r>
        <w:instrText xml:space="preserve"> TITLE  \* MERGEFORMAT </w:instrText>
      </w:r>
      <w:r>
        <w:fldChar w:fldCharType="separate"/>
      </w:r>
      <w:r>
        <w:t>PR_COD_1am</w:t>
      </w:r>
      <w:r>
        <w:fldChar w:fldCharType="end"/>
      </w:r>
    </w:p>
    <w:p/>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en-GB"/>
              </w:rPr>
            </w:pPr>
            <w:r>
              <w:rPr>
                <w:lang w:val="en-GB"/>
              </w:rP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lang w:val="en-GB"/>
              </w:rPr>
            </w:pPr>
            <w:r>
              <w:rPr>
                <w:lang w:val="en-GB"/>
              </w:rPr>
              <w:tab/>
              <w:t>*</w:t>
              <w:tab/>
              <w:t>Consultation procedure</w:t>
              <w:br/>
            </w:r>
            <w:r>
              <w:rPr>
                <w:i/>
                <w:lang w:val="en-GB"/>
              </w:rPr>
              <w:t>majority of the votes cast</w:t>
            </w:r>
          </w:p>
          <w:p>
            <w:pPr>
              <w:pStyle w:val="Lgendesigne"/>
              <w:rPr>
                <w:i/>
                <w:lang w:val="en-GB"/>
              </w:rPr>
            </w:pPr>
            <w:r>
              <w:rPr>
                <w:lang w:val="en-GB"/>
              </w:rPr>
              <w:tab/>
              <w:t>**I</w:t>
              <w:tab/>
              <w:t>Cooperation procedure (first reading)</w:t>
              <w:br/>
            </w:r>
            <w:r>
              <w:rPr>
                <w:i/>
                <w:lang w:val="en-GB"/>
              </w:rPr>
              <w:t>majority of the votes cast</w:t>
            </w:r>
          </w:p>
          <w:p>
            <w:pPr>
              <w:pStyle w:val="Lgendesigne"/>
              <w:rPr>
                <w:i/>
                <w:lang w:val="en-GB"/>
              </w:rPr>
            </w:pPr>
            <w:r>
              <w:rPr>
                <w:lang w:val="en-GB"/>
              </w:rPr>
              <w:tab/>
              <w:t>**II</w:t>
              <w:tab/>
              <w:t>Cooperation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w:t>
              <w:tab/>
              <w:t>Assent procedure</w:t>
              <w:br/>
            </w:r>
            <w:r>
              <w:rPr>
                <w:i/>
                <w:lang w:val="en-GB"/>
              </w:rPr>
              <w:t>majority of Parliament’s component Members except  in cases covered by Articles 105, 107, 161 and 300 of the EC Treaty and Article 7 of the EU Treaty</w:t>
            </w:r>
          </w:p>
          <w:p>
            <w:pPr>
              <w:pStyle w:val="Lgendesigne"/>
              <w:rPr>
                <w:i/>
                <w:lang w:val="en-GB"/>
              </w:rPr>
            </w:pPr>
            <w:r>
              <w:rPr>
                <w:lang w:val="en-GB"/>
              </w:rPr>
              <w:tab/>
              <w:t>***I</w:t>
              <w:tab/>
              <w:t>Codecision procedure (first reading)</w:t>
              <w:br/>
            </w:r>
            <w:r>
              <w:rPr>
                <w:i/>
                <w:lang w:val="en-GB"/>
              </w:rPr>
              <w:t>majority of the votes cast</w:t>
            </w:r>
          </w:p>
          <w:p>
            <w:pPr>
              <w:pStyle w:val="Lgendesigne"/>
              <w:rPr>
                <w:i/>
                <w:lang w:val="en-GB"/>
              </w:rPr>
            </w:pPr>
            <w:r>
              <w:rPr>
                <w:lang w:val="en-GB"/>
              </w:rPr>
              <w:tab/>
              <w:t>***II</w:t>
              <w:tab/>
              <w:t>Codecision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***III</w:t>
              <w:tab/>
              <w:t>Codecision procedure (third reading)</w:t>
              <w:br/>
            </w:r>
            <w:r>
              <w:rPr>
                <w:i/>
                <w:lang w:val="en-GB"/>
              </w:rPr>
              <w:t>majority of the votes cast, to approve the joint text</w:t>
            </w:r>
          </w:p>
          <w:p>
            <w:pPr>
              <w:pStyle w:val="Lgendesigne"/>
              <w:ind w:start="0" w:firstLine="0"/>
              <w:rPr>
                <w:lang w:val="en-GB"/>
              </w:rPr>
            </w:pPr>
          </w:p>
          <w:p>
            <w:pPr>
              <w:pStyle w:val="Lgendestandard"/>
              <w:rPr>
                <w:lang w:val="en-GB"/>
              </w:rPr>
            </w:pPr>
            <w:r>
              <w:rPr>
                <w:lang w:val="en-GB"/>
              </w:rPr>
              <w:t>(The type of procedure depends on the legal basis proposed by the Commission)</w:t>
            </w:r>
          </w:p>
          <w:p>
            <w:pPr>
              <w:pStyle w:val="Lgendesigne"/>
              <w:ind w:start="0" w:firstLine="0"/>
              <w:rPr>
                <w:lang w:val="en-GB"/>
              </w:rPr>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en-GB"/>
              </w:rPr>
            </w:pPr>
            <w:r>
              <w:rPr>
                <w:lang w:val="en-GB"/>
              </w:rPr>
              <w:t>Amendments to a legislative text</w:t>
            </w:r>
          </w:p>
        </w:tc>
      </w:tr>
      <w:tr>
        <w:tblPrEx>
          <w:tblInd w:w="83.4pt" w:type="dxa"/>
          <w:tblLayout w:type="fixed"/>
          <w:tblCellMar>
            <w:start w:w="5.4pt" w:type="dxa"/>
            <w:end w:w="5.4pt" w:type="dxa"/>
          </w:tblCellMar>
          <w:tblLook/>
        </w:tblPrEx>
        <w:tc>
          <w:tcPr>
            <w:tcW w:w="290.55pt" w:type="dxa"/>
          </w:tcPr>
          <w:p>
            <w:pPr>
              <w:pStyle w:val="Lgendestandard"/>
              <w:rPr>
                <w:lang w:val="en-GB"/>
              </w:rPr>
            </w:pPr>
            <w:r>
              <w:rPr>
                <w:lang w:val="en-GB"/>
              </w:rPr>
              <w:t xml:space="preserve">In amendments by Parliament, amended text is highlighted in </w:t>
            </w:r>
            <w:r>
              <w:rPr>
                <w:b/>
                <w:i/>
                <w:lang w:val="en-GB"/>
              </w:rPr>
              <w:t>bold italics</w:t>
            </w:r>
            <w:r>
              <w:rPr>
                <w:lang w:val="en-GB"/>
              </w:rPr>
              <w:t xml:space="preserve">. Highlighting in </w:t>
            </w:r>
            <w:r>
              <w:rPr>
                <w:i/>
                <w:lang w:val="en-GB"/>
              </w:rPr>
              <w:t>normal italics</w:t>
            </w:r>
            <w:r>
              <w:rPr>
                <w:lang w:val="en-GB"/>
              </w:rP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rPr>
                <w:lang w:val="en-GB"/>
              </w:rPr>
            </w:pPr>
          </w:p>
        </w:tc>
      </w:tr>
    </w:tbl>
    <w:p/>
    <w:p>
      <w:pPr>
        <w:widowControl/>
        <w:tabs>
          <w:tab w:val="center" w:pos="4677"/>
        </w:tabs>
        <w:jc w:val="both"/>
      </w:pPr>
    </w:p>
    <w:p>
      <w:pPr>
        <w:pStyle w:val="TOCHeading"/>
      </w:pPr>
      <w:r>
        <w:br w:type="page"/>
        <w:t>CONTENTS</w:t>
      </w:r>
    </w:p>
    <w:p>
      <w:pPr>
        <w:pStyle w:val="TOCPage"/>
      </w:pPr>
      <w:r>
        <w:t>Page</w:t>
      </w:r>
    </w:p>
    <w:p>
      <w:pPr>
        <w:pStyle w:val="TOC1"/>
        <w:tabs>
          <w:tab w:val="end" w:leader="dot" w:pos="9062"/>
        </w:tabs>
      </w:pPr>
      <w:r>
        <w:fldChar w:fldCharType="begin"/>
      </w:r>
      <w:r>
        <w:instrText xml:space="preserve"> TOC \o "3-3" \t "Heading 1;1;Heading 2;2;PageHeading;1;PageHeading;1" </w:instrText>
      </w:r>
      <w:r>
        <w:fldChar w:fldCharType="separate"/>
      </w:r>
      <w:r>
        <w:t>PROCEDURAL PAGE</w:t>
        <w:tab/>
      </w:r>
      <w:r>
        <w:fldChar w:fldCharType="begin"/>
      </w:r>
      <w:r>
        <w:instrText xml:space="preserve"> PAGEREF _Toc54689457 \h </w:instrText>
      </w:r>
      <w:r>
        <w:fldChar w:fldCharType="separate"/>
      </w:r>
      <w:r>
        <w:t>4</w:t>
      </w:r>
      <w:r>
        <w:fldChar w:fldCharType="end"/>
      </w:r>
    </w:p>
    <w:p>
      <w:pPr>
        <w:pStyle w:val="TOC1"/>
        <w:tabs>
          <w:tab w:val="end" w:leader="dot" w:pos="9062"/>
        </w:tabs>
      </w:pPr>
      <w:r>
        <w:t>DRAFT EUROPEAN PARLIAMENT LEGISLATIVE RESOLUTION</w:t>
        <w:tab/>
      </w:r>
      <w:r>
        <w:fldChar w:fldCharType="begin"/>
      </w:r>
      <w:r>
        <w:instrText xml:space="preserve"> PAGEREF _Toc54689458 \h </w:instrText>
      </w:r>
      <w:r>
        <w:fldChar w:fldCharType="separate"/>
      </w:r>
      <w:r>
        <w:t>5</w:t>
      </w:r>
      <w:r>
        <w:fldChar w:fldCharType="end"/>
      </w:r>
    </w:p>
    <w:p>
      <w:pPr>
        <w:pStyle w:val="TOC1"/>
        <w:tabs>
          <w:tab w:val="end" w:leader="dot" w:pos="9062"/>
        </w:tabs>
      </w:pPr>
      <w:r>
        <w:t>EXPLANATORY STATEMENT</w:t>
        <w:tab/>
      </w:r>
      <w:r>
        <w:fldChar w:fldCharType="begin"/>
      </w:r>
      <w:r>
        <w:instrText xml:space="preserve"> PAGEREF _Toc54689459 \h </w:instrText>
      </w:r>
      <w:r>
        <w:fldChar w:fldCharType="separate"/>
      </w:r>
      <w:r>
        <w:t>9</w:t>
      </w:r>
      <w:r>
        <w:fldChar w:fldCharType="end"/>
      </w:r>
    </w:p>
    <w:p>
      <w:pPr>
        <w:pStyle w:val="TOC1"/>
        <w:tabs>
          <w:tab w:val="end" w:leader="dot" w:pos="9062"/>
        </w:tabs>
      </w:pPr>
      <w:r>
        <w:t xml:space="preserve">OPINION </w:t>
      </w:r>
      <w:r>
        <w:rPr>
          <w:caps/>
        </w:rPr>
        <w:t>of the Committee on Budgets</w:t>
      </w:r>
      <w:r>
        <w:tab/>
      </w:r>
      <w:r>
        <w:fldChar w:fldCharType="begin"/>
      </w:r>
      <w:r>
        <w:instrText xml:space="preserve"> PAGEREF _Toc54689460 \h </w:instrText>
      </w:r>
      <w:r>
        <w:fldChar w:fldCharType="separate"/>
      </w:r>
      <w:r>
        <w:t>12</w:t>
      </w:r>
      <w:r>
        <w:fldChar w:fldCharType="end"/>
      </w:r>
    </w:p>
    <w:p>
      <w:pPr>
        <w:pStyle w:val="PageHeading"/>
      </w:pPr>
      <w:r>
        <w:fldChar w:fldCharType="end"/>
      </w:r>
      <w:r>
        <w:br w:type="page"/>
      </w:r>
      <w:bookmarkStart w:id="0" w:name="_Toc54689457"/>
      <w:r>
        <w:t>PROCEDURAL PAGE</w:t>
      </w:r>
      <w:bookmarkEnd w:id="0"/>
    </w:p>
    <w:p>
      <w:pPr>
        <w:pStyle w:val="Normal12"/>
      </w:pPr>
      <w:r>
        <w:t xml:space="preserve">By letter of </w:t>
      </w:r>
      <w:r>
        <w:rPr>
          <w:rStyle w:val="HideTWBInt"/>
        </w:rPr>
        <w:t>{08/07/2003}</w:t>
      </w:r>
      <w:r>
        <w:t>8 July 2003 the Commission submitted to Parliament, pursuant to Articles 251(2) and Article 156(1) of the EC Treaty, the proposal for a European Parliament and Council decision on Interoperable Delivery of pan-European eGovernment Services to Public Administrations, Businesses and Citizens (IDABC) (COM(2003) 406 – 2003/0147(COD)).</w:t>
      </w:r>
    </w:p>
    <w:p>
      <w:pPr>
        <w:pStyle w:val="Normal12"/>
      </w:pPr>
      <w:r>
        <w:t xml:space="preserve">At the sitting of </w:t>
      </w:r>
      <w:r>
        <w:rPr>
          <w:rStyle w:val="HideTWBInt"/>
        </w:rPr>
        <w:t>{10/07/2003}</w:t>
      </w:r>
      <w:r>
        <w:t xml:space="preserve">1 September 2003 the President of Parliament announced that he had referred the proposal to the </w:t>
      </w:r>
      <w:r>
        <w:rPr>
          <w:rStyle w:val="HideTWBInt"/>
        </w:rPr>
        <w:t>{ITRE}</w:t>
      </w:r>
      <w:r>
        <w:t xml:space="preserve">Committee on Industry, External Trade, Research and Energy as the committee responsible and the </w:t>
      </w:r>
      <w:r>
        <w:rPr>
          <w:rStyle w:val="HideTWBInt"/>
        </w:rPr>
        <w:t>{BUDG}</w:t>
      </w:r>
      <w:r>
        <w:t xml:space="preserve">Committee on Budgets and to the </w:t>
      </w:r>
      <w:r>
        <w:rPr>
          <w:rStyle w:val="HideTWBInt"/>
        </w:rPr>
        <w:t>{LIBE}</w:t>
      </w:r>
      <w:r>
        <w:t>Committee on Citizens' Freedoms and Rights, Justice and Home Affairs for their opinions (C5</w:t>
      </w:r>
      <w:r>
        <w:noBreakHyphen/>
        <w:t>0310/2003).</w:t>
      </w:r>
    </w:p>
    <w:p>
      <w:pPr>
        <w:pStyle w:val="Normal12"/>
      </w:pPr>
      <w:r>
        <w:t xml:space="preserve">The </w:t>
      </w:r>
      <w:r>
        <w:rPr>
          <w:rStyle w:val="HideTWBInt"/>
        </w:rPr>
        <w:t>{ITRE}</w:t>
      </w:r>
      <w:r>
        <w:t xml:space="preserve">Committee on Industry, External Trade, Research and Energy appointed Imelda Mary Read rapporteur at its meeting of </w:t>
      </w:r>
      <w:r>
        <w:rPr>
          <w:rStyle w:val="HideTWBInt"/>
        </w:rPr>
        <w:t>{10/07/2003}</w:t>
      </w:r>
      <w:r>
        <w:t>10 July 2003.</w:t>
      </w:r>
    </w:p>
    <w:p>
      <w:pPr>
        <w:pStyle w:val="Normal12"/>
      </w:pPr>
      <w:r>
        <w:t>The committee considered the Commission proposal and draft report at its meetings of 1 October and 4 November 2003.</w:t>
      </w:r>
    </w:p>
    <w:p>
      <w:pPr>
        <w:pStyle w:val="Normal12"/>
      </w:pPr>
      <w:r>
        <w:t>At the last meeting it adopted the draft legislative resolution by 43 votes to 0, with 1 abstention.</w:t>
      </w:r>
    </w:p>
    <w:p>
      <w:pPr>
        <w:pStyle w:val="Normal12"/>
      </w:pPr>
      <w:r>
        <w:t>The following were present for the vote Luis Berenguer Fuster (chairman, Peter Michael Mombaur (vice-chairman), Jaime Valdivielso de Cué (vice-chairman), Yves Piétrasanta (vice-chairman), Imelda Mary Read (rapporteur), Gordon J. Adam (for Massimo Carraro), Nuala Ahern, Konstantinos Alyssandrakis, Per-Arne Arvidsson (for Guido Bodrato), Sir Robert Atkins, Ward Beysen (for Daniela Raschhofer), Gérard Caudron, Giles Bryan Chichester, Nicholas Clegg, Willy C.E.H. De Clercq, Concepció Ferrer, Francesco Fiori (for Umberto Scapagnini), Neena Gill (for Harlem Désir), Norbert Glante, Michel Hansenne, Malcolm Harbour (for W.G. van Velzen), Hans Karlsson, Bashir Khanbhai, Rolf Linkohr, Erika Mann, Marjo Matikainen-Kallström, Eryl Margaret McNally, Ana Clara Maria Miranda de Lage, Elizabeth Montfort, Angelika Niebler, Giuseppe Nisticò (for Dominique Vlasto), Seán Ó Neachtain, Reino Paasilinna, Paolo Pastorelli, John Purvis, Godelieve Quisthoudt-Rowohl, Mechtild Rothe, Christian Foldberg Rovsing, Paul Rübig, Konrad K. Schwaiger, Esko Olavi Seppänen, Claude Turmes, Alejo Vidal-Quadras Roca and Olga Zrihen Zaari.</w:t>
      </w:r>
    </w:p>
    <w:p>
      <w:pPr>
        <w:pStyle w:val="Normal12"/>
      </w:pPr>
      <w:r>
        <w:t>The opinion of the Committee on Budgets is attached. The Committee on Citizens' Freedoms and Rights, Justice and Home Affairs decided on 30 September 2003 not to deliver an opinion.</w:t>
      </w:r>
    </w:p>
    <w:p>
      <w:pPr>
        <w:pStyle w:val="Normal12"/>
      </w:pPr>
      <w:r>
        <w:t>The report was tabled on 4 November 2003.</w:t>
      </w:r>
    </w:p>
    <w:p>
      <w:pPr>
        <w:pStyle w:val="PageHeading"/>
      </w:pPr>
      <w:r>
        <w:br w:type="page"/>
      </w:r>
      <w:bookmarkStart w:id="1" w:name="_Toc54689458"/>
      <w:r>
        <w:t>DRAFT EUROPEAN PARLIAMENT LEGISLATIVE RESOLUTION</w:t>
      </w:r>
      <w:bookmarkEnd w:id="1"/>
    </w:p>
    <w:p>
      <w:pPr>
        <w:pStyle w:val="NormalBold"/>
      </w:pPr>
      <w:r>
        <w:t>on the proposal for a European Parliament and Council decision on Interoperable Delivery of pan-European eGovernment Services to Public Administrations, Businesses and Citizens (IDABC)</w:t>
      </w:r>
    </w:p>
    <w:p>
      <w:pPr>
        <w:pStyle w:val="Normal12Bold"/>
      </w:pPr>
      <w:r>
        <w:t>(COM(2003) 406 – C5</w:t>
      </w:r>
      <w:r>
        <w:noBreakHyphen/>
        <w:t>0310/2003 – 2003/0147(COD))</w:t>
      </w:r>
    </w:p>
    <w:p>
      <w:pPr>
        <w:pStyle w:val="Normal12Bold"/>
      </w:pPr>
      <w:r>
        <w:t>(Codecision procedure: first reading)</w:t>
      </w:r>
    </w:p>
    <w:p>
      <w:pPr>
        <w:pStyle w:val="Normal12"/>
      </w:pPr>
      <w:r>
        <w:rPr>
          <w:i/>
        </w:rPr>
        <w:t>The European Parliament</w:t>
      </w:r>
      <w:r>
        <w:t>,</w:t>
      </w:r>
    </w:p>
    <w:p>
      <w:pPr>
        <w:pStyle w:val="Normal12Hanging"/>
      </w:pPr>
      <w:r>
        <w:t>–</w:t>
        <w:tab/>
        <w:t>having regard to the Commission proposal to the European Parliament and the Council (COM(2003) 406)</w:t>
      </w:r>
      <w:r>
        <w:rPr>
          <w:rStyle w:val="FootnoteReference"/>
        </w:rPr>
        <w:footnoteReference w:id="1"/>
      </w:r>
      <w:r>
        <w:t>,</w:t>
      </w:r>
    </w:p>
    <w:p>
      <w:pPr>
        <w:pStyle w:val="Normal12Hanging"/>
      </w:pPr>
      <w:r>
        <w:t>–</w:t>
        <w:tab/>
        <w:t>having regard to Articles 251(2) and Article 156(1) of the EC Treaty, pursuant to which the Commission submitted the proposal to Parliament (C5</w:t>
      </w:r>
      <w:r>
        <w:noBreakHyphen/>
        <w:t>0310/2003),</w:t>
      </w:r>
    </w:p>
    <w:p>
      <w:pPr>
        <w:pStyle w:val="Normal12Hanging"/>
      </w:pPr>
      <w:r>
        <w:t>–</w:t>
        <w:tab/>
        <w:t>having regard to Rule 67 of its Rules of Procedure,</w:t>
      </w:r>
    </w:p>
    <w:p>
      <w:pPr>
        <w:pStyle w:val="Normal12Hanging"/>
      </w:pPr>
      <w:r>
        <w:t>–</w:t>
        <w:tab/>
        <w:t xml:space="preserve">having regard to the report of the </w:t>
      </w:r>
      <w:r>
        <w:rPr>
          <w:rStyle w:val="HideTWBInt"/>
        </w:rPr>
        <w:t>{ITRE}</w:t>
      </w:r>
      <w:r>
        <w:t xml:space="preserve">Committee on Industry, External Trade, Research and Energy and the opinion of the </w:t>
      </w:r>
      <w:r>
        <w:rPr>
          <w:rStyle w:val="HideTWBInt"/>
        </w:rPr>
        <w:t>{BUDG}</w:t>
      </w:r>
      <w:r>
        <w:t>Committee on Budgets (A5</w:t>
      </w:r>
      <w:r>
        <w:noBreakHyphen/>
        <w:t>0375/2003),</w:t>
      </w:r>
    </w:p>
    <w:p>
      <w:pPr>
        <w:pStyle w:val="Normal12Hanging"/>
      </w:pPr>
      <w:r>
        <w:t>1.</w:t>
        <w:tab/>
        <w:t>Approves the Commission proposal as amended;</w:t>
      </w:r>
    </w:p>
    <w:p>
      <w:pPr>
        <w:pStyle w:val="Normal12Hanging"/>
      </w:pPr>
      <w:r>
        <w:t>2.</w:t>
        <w:tab/>
        <w:t>Calls on the Commission to refer the matter to Parliament again if it intends to amend the proposal substantially or replace it with another text;</w:t>
      </w:r>
    </w:p>
    <w:p>
      <w:pPr>
        <w:ind w:start="426" w:hanging="426"/>
        <w:rPr>
          <w:b/>
          <w:i/>
        </w:rPr>
      </w:pPr>
      <w:r>
        <w:rPr>
          <w:b/>
          <w:i/>
        </w:rPr>
        <w:t>3.</w:t>
        <w:tab/>
        <w:t>Considers that the financial statement of the Commission proposal is compatible with the ceiling of heading 3 of the Financial Perspective without restricting other policies;</w:t>
      </w:r>
    </w:p>
    <w:p>
      <w:pPr>
        <w:jc w:val="center"/>
        <w:rPr>
          <w:i/>
        </w:rPr>
      </w:pPr>
    </w:p>
    <w:p>
      <w:pPr>
        <w:jc w:val="center"/>
        <w:rPr>
          <w:i/>
        </w:rPr>
      </w:pPr>
      <w:r>
        <w:rPr>
          <w:i/>
        </w:rPr>
        <w:t>Justification</w:t>
      </w:r>
    </w:p>
    <w:p>
      <w:pPr>
        <w:pStyle w:val="Normal12Hanging"/>
        <w:ind w:start="0" w:firstLine="0"/>
      </w:pPr>
      <w:r>
        <w:rPr>
          <w:i/>
        </w:rPr>
        <w:t>The amount proposed for the specific programme shall be compatible with the expenditure ceilings under the financial perspective. If, in the course of the adoption of the decision, other amounts were to be proposed by the legislative authority, the budgetary authority would need to be consulted again. In this case, the Committee on Budgets would re-examine the impact on the ceiling under the current financial perspective, according to the declaration of 20 July 2000.</w:t>
      </w:r>
    </w:p>
    <w:p>
      <w:pPr>
        <w:pStyle w:val="Normal12Hanging"/>
      </w:pPr>
      <w:r>
        <w:t>4.</w:t>
        <w:tab/>
        <w:t>Instructs its President to forward its position to the Council and Commission.</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Text proposed by the Commission</w:t>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Amendments by Parliament</w:t>
            </w:r>
          </w:p>
        </w:tc>
      </w:tr>
    </w:tbl>
    <w:p>
      <w:pPr>
        <w:pStyle w:val="AMNumber"/>
      </w:pPr>
      <w:bookmarkStart w:id="2" w:name="restart"/>
      <w:r>
        <w:rPr>
          <w:rStyle w:val="HideTWBExt"/>
          <w:lang w:val="en-GB"/>
        </w:rPr>
        <w:t>&lt;Amend&gt;</w:t>
      </w:r>
      <w:r>
        <w:t xml:space="preserve">Amendment </w:t>
      </w:r>
      <w:r>
        <w:rPr>
          <w:rStyle w:val="HideTWBExt"/>
          <w:lang w:val="en-GB"/>
        </w:rPr>
        <w:t>&lt;NumAm&gt;</w:t>
      </w:r>
      <w:r>
        <w:t>1</w:t>
      </w:r>
      <w:r>
        <w:rPr>
          <w:rStyle w:val="HideTWBExt"/>
          <w:lang w:val="en-GB"/>
        </w:rPr>
        <w:t>&lt;/NumAm&gt;</w:t>
      </w:r>
    </w:p>
    <w:p>
      <w:pPr>
        <w:pStyle w:val="Normal12Centre"/>
      </w:pPr>
      <w:r>
        <w:t>Recital 4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 </w:t>
            </w:r>
          </w:p>
        </w:tc>
        <w:tc>
          <w:tcPr>
            <w:tcW w:w="243.8pt" w:type="dxa"/>
            <w:tcBorders>
              <w:start w:val="single" w:sz="6" w:space="0" w:color="FFFFFF"/>
            </w:tcBorders>
          </w:tcPr>
          <w:p>
            <w:pPr>
              <w:pStyle w:val="Normal6"/>
            </w:pPr>
            <w:r>
              <w:rPr>
                <w:b/>
                <w:i/>
              </w:rPr>
              <w:t>(4a) The follow up to the IDA programme will build on the successes of the preceding programmes, which have improved the effectiveness of cross-border cooperation between public administrations.</w:t>
            </w:r>
          </w:p>
        </w:tc>
      </w:tr>
    </w:tbl>
    <w:p>
      <w:pPr>
        <w:pStyle w:val="JustificationTitle"/>
      </w:pPr>
      <w:r>
        <w:t>Justification</w:t>
      </w:r>
    </w:p>
    <w:p>
      <w:pPr>
        <w:pStyle w:val="Normal12Italic"/>
      </w:pPr>
      <w:r>
        <w:t>This programme should not be seen in isolation, but should be viewed in conjunction with its predecessors, which have had considerable success in establishing new methods of cross-border cooperation, as well as defining technical standards which will form the basis for future work.</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t>2</w:t>
      </w:r>
      <w:r>
        <w:rPr>
          <w:rStyle w:val="HideTWBExt"/>
          <w:lang w:val="en-GB"/>
        </w:rPr>
        <w:t>&lt;/NumAm&gt;</w:t>
      </w:r>
    </w:p>
    <w:p>
      <w:pPr>
        <w:pStyle w:val="Normal12Centre"/>
      </w:pPr>
      <w:r>
        <w:t>Recital 5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 </w:t>
            </w:r>
          </w:p>
        </w:tc>
        <w:tc>
          <w:tcPr>
            <w:tcW w:w="243.8pt" w:type="dxa"/>
            <w:tcBorders>
              <w:start w:val="single" w:sz="6" w:space="0" w:color="FFFFFF"/>
            </w:tcBorders>
          </w:tcPr>
          <w:p>
            <w:pPr>
              <w:pStyle w:val="Normal6"/>
            </w:pPr>
            <w:r>
              <w:rPr>
                <w:b/>
                <w:i/>
              </w:rPr>
              <w:t>(5a) Work completed under the IDABC programme is likely to form the basis for further work after the programme’s expiry. This, combined with the fast pace of technological change, will mean that the programme will need to be adaptable to future developments.</w:t>
            </w:r>
          </w:p>
        </w:tc>
      </w:tr>
    </w:tbl>
    <w:p>
      <w:pPr>
        <w:pStyle w:val="JustificationTitle"/>
      </w:pPr>
      <w:r>
        <w:t>Justification</w:t>
      </w:r>
    </w:p>
    <w:p>
      <w:pPr>
        <w:pStyle w:val="Normal12Italic"/>
      </w:pPr>
      <w:r>
        <w:t>Just as this initiative will build on preceding IDA programmes, so it is likely that future proposals (based around the IDA methodology or otherwise) will develop the work implemented through IDABC.  The programme will need to be able to adapt as priorities change and technology moves on.</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t>3</w:t>
      </w:r>
      <w:r>
        <w:rPr>
          <w:rStyle w:val="HideTWBExt"/>
          <w:lang w:val="en-GB"/>
        </w:rPr>
        <w:t>&lt;/NumAm&gt;</w:t>
      </w:r>
    </w:p>
    <w:p>
      <w:pPr>
        <w:pStyle w:val="Normal12Centre"/>
      </w:pPr>
      <w:r>
        <w:t>Recital 24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 </w:t>
            </w:r>
          </w:p>
        </w:tc>
        <w:tc>
          <w:tcPr>
            <w:tcW w:w="243.8pt" w:type="dxa"/>
            <w:tcBorders>
              <w:start w:val="single" w:sz="6" w:space="0" w:color="FFFFFF"/>
            </w:tcBorders>
          </w:tcPr>
          <w:p>
            <w:pPr>
              <w:pStyle w:val="Normal6"/>
              <w:rPr>
                <w:b/>
                <w:i/>
              </w:rPr>
            </w:pPr>
            <w:r>
              <w:rPr>
                <w:b/>
                <w:i/>
              </w:rPr>
              <w:t>(24a) A financial reference amount, within the meaning of point 33 of the Interinstitutional Agreement of 6 May 1999 between the European Parliament, the Council and the Commission on budgetary discipline and improvement of the budgetary procedure is included in this Decision for the entire duration of the programme, without prejudice to the powers of the budgetary authority as defined by the Treaty.</w:t>
            </w:r>
          </w:p>
        </w:tc>
      </w:tr>
    </w:tbl>
    <w:p>
      <w:pPr>
        <w:pStyle w:val="JustificationTitle"/>
      </w:pPr>
      <w:r>
        <w:t>Justification</w:t>
      </w:r>
    </w:p>
    <w:p>
      <w:pPr>
        <w:pStyle w:val="Normal12"/>
      </w:pPr>
    </w:p>
    <w:p>
      <w:pPr>
        <w:widowControl/>
        <w:rPr>
          <w:i/>
        </w:rPr>
      </w:pPr>
      <w:r>
        <w:rPr>
          <w:i/>
        </w:rPr>
        <w:t>Procedural amendment.</w:t>
      </w:r>
    </w:p>
    <w:p>
      <w:pPr>
        <w:widowControl/>
        <w:rPr>
          <w:rStyle w:val="HideTWBExt"/>
          <w:rFonts w:ascii="Times New Roman" w:hAnsi="Times New Roman"/>
          <w:vanish w:val="0"/>
          <w:color w:val="auto"/>
          <w:sz w:val="24"/>
          <w:lang w:val="en-GB"/>
        </w:rPr>
      </w:pPr>
      <w:r>
        <w:rPr>
          <w:rStyle w:val="HideTWBExt"/>
          <w:lang w:val="en-GB"/>
        </w:rPr>
        <w:t>&lt;/Amend&gt;</w:t>
      </w:r>
      <w:bookmarkEnd w:id="2"/>
    </w:p>
    <w:p>
      <w:pPr>
        <w:pStyle w:val="AMNumber"/>
      </w:pPr>
      <w:r>
        <w:rPr>
          <w:rStyle w:val="HideTWBExt"/>
          <w:lang w:val="en-GB"/>
        </w:rPr>
        <w:t>&lt;Amend&gt;</w:t>
      </w:r>
      <w:r>
        <w:t xml:space="preserve">Amendment </w:t>
      </w:r>
      <w:r>
        <w:rPr>
          <w:rStyle w:val="HideTWBExt"/>
          <w:lang w:val="en-GB"/>
        </w:rPr>
        <w:t>&lt;NumAm&gt;</w:t>
      </w:r>
      <w:r>
        <w:t>4</w:t>
      </w:r>
      <w:r>
        <w:rPr>
          <w:rStyle w:val="HideTWBExt"/>
          <w:lang w:val="en-GB"/>
        </w:rPr>
        <w:t>&lt;/NumAm&gt;</w:t>
      </w:r>
    </w:p>
    <w:p>
      <w:pPr>
        <w:pStyle w:val="Normal12Centre"/>
      </w:pPr>
      <w:r>
        <w:t>Article 12, Paragraph 3</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The Commission shall forward </w:t>
            </w:r>
            <w:r>
              <w:rPr>
                <w:b/>
                <w:i/>
              </w:rPr>
              <w:t xml:space="preserve">its evaluations to the European Parliament and the Council </w:t>
            </w:r>
            <w:r>
              <w:t>together with any appropriate  proposal for the amendment of this Decision. The evaluations shall be forwarded no later than the draft budget for the years 2008 and 2010 respectively.</w:t>
            </w:r>
          </w:p>
        </w:tc>
        <w:tc>
          <w:tcPr>
            <w:tcW w:w="243.8pt" w:type="dxa"/>
            <w:tcBorders>
              <w:start w:val="single" w:sz="6" w:space="0" w:color="FFFFFF"/>
            </w:tcBorders>
          </w:tcPr>
          <w:p>
            <w:pPr>
              <w:pStyle w:val="Normal6"/>
            </w:pPr>
            <w:r>
              <w:t xml:space="preserve">The Commission shall forward </w:t>
            </w:r>
            <w:r>
              <w:rPr>
                <w:b/>
                <w:i/>
              </w:rPr>
              <w:t xml:space="preserve">the results of its quantitative and qualitative evaluation to the European Parliament and the Council </w:t>
            </w:r>
            <w:r>
              <w:t>together with any appropriate proposal for the amendment of this Decision. The evaluations shall be forwarded no later than the draft budget for the years 2008 and 2010 respectively.</w:t>
            </w:r>
          </w:p>
        </w:tc>
      </w:tr>
    </w:tbl>
    <w:p>
      <w:pPr>
        <w:pStyle w:val="JustificationTitle"/>
      </w:pPr>
      <w:r>
        <w:t>Justification</w:t>
      </w:r>
    </w:p>
    <w:p>
      <w:pPr>
        <w:rPr>
          <w:i/>
        </w:rPr>
      </w:pPr>
      <w:r>
        <w:rPr>
          <w:i/>
        </w:rPr>
        <w:t>The Commission shall forward its mid-term and final evaluations to the budgetary authority. These evaluations will prove useful to Parliament for justifying its demands when negotiating the coming financial perspectives.</w:t>
      </w:r>
    </w:p>
    <w:p>
      <w:pPr>
        <w:pStyle w:val="AMNumber"/>
      </w:pPr>
      <w:r>
        <w:rPr>
          <w:rStyle w:val="HideTWBExt"/>
          <w:lang w:val="en-GB"/>
        </w:rPr>
        <w:t>&lt;/Amend&gt;&lt;Amend&gt;</w:t>
      </w:r>
      <w:r>
        <w:t xml:space="preserve">Amendment </w:t>
      </w:r>
      <w:r>
        <w:rPr>
          <w:rStyle w:val="HideTWBExt"/>
          <w:lang w:val="en-GB"/>
        </w:rPr>
        <w:t>&lt;NumAm&gt;</w:t>
      </w:r>
      <w:r>
        <w:t>5</w:t>
      </w:r>
      <w:r>
        <w:rPr>
          <w:rStyle w:val="HideTWBExt"/>
          <w:lang w:val="en-GB"/>
        </w:rPr>
        <w:t>&lt;/NumAm&gt;</w:t>
      </w:r>
    </w:p>
    <w:p>
      <w:pPr>
        <w:pStyle w:val="Normal12Centre"/>
      </w:pPr>
      <w:r>
        <w:t>Article 15</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 The financial reference amount for the implementation of the Community action under this Decision for the period from 1 January 2005 to 31 December 2006 shall be 59.1 million euro</w:t>
            </w:r>
            <w:r>
              <w:rPr>
                <w:b/>
                <w:i/>
              </w:rPr>
              <w:t>, out of which:</w:t>
            </w:r>
          </w:p>
        </w:tc>
        <w:tc>
          <w:tcPr>
            <w:tcW w:w="243.8pt" w:type="dxa"/>
            <w:tcBorders>
              <w:start w:val="single" w:sz="6" w:space="0" w:color="FFFFFF"/>
            </w:tcBorders>
          </w:tcPr>
          <w:p>
            <w:pPr>
              <w:pStyle w:val="Normal6"/>
            </w:pPr>
            <w:r>
              <w:t>1. The financial reference amount for the implementation of the Community action under this Decision for the period from 1 January 2005 to 31 December 2006 shall be 59.1 million euro</w:t>
            </w:r>
            <w:r>
              <w:rPr>
                <w:b/>
                <w:i/>
              </w:rPr>
              <w: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rPr>
                <w:b/>
                <w:i/>
              </w:rPr>
              <w:t xml:space="preserve">i) 30.5 million euro for projects of common interest </w:t>
            </w:r>
          </w:p>
        </w:tc>
        <w:tc>
          <w:tcPr>
            <w:tcW w:w="243.8pt" w:type="dxa"/>
            <w:tcBorders>
              <w:start w:val="single" w:sz="6" w:space="0" w:color="FFFFFF"/>
            </w:tcBorders>
          </w:tcPr>
          <w:p>
            <w:pPr>
              <w:pStyle w:val="Normal6"/>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rPr>
                <w:b/>
                <w:i/>
              </w:rPr>
              <w:t>ii) 28.6 million euro for horizontal measures.</w:t>
            </w:r>
          </w:p>
        </w:tc>
        <w:tc>
          <w:tcPr>
            <w:tcW w:w="243.8pt" w:type="dxa"/>
            <w:tcBorders>
              <w:start w:val="single" w:sz="6" w:space="0" w:color="FFFFFF"/>
            </w:tcBorders>
          </w:tcPr>
          <w:p>
            <w:pPr>
              <w:pStyle w:val="Normal6"/>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t>2. Subject to compatibility with the future financial perspectives, the financial reference amount for the implementation of the Community action under this Decision for the period from 1 January 2007 to 31 December 2009 shall be 89.6 million euro</w:t>
            </w:r>
            <w:r>
              <w:rPr>
                <w:b/>
                <w:i/>
              </w:rPr>
              <w:t>, out of which:</w:t>
            </w:r>
          </w:p>
        </w:tc>
        <w:tc>
          <w:tcPr>
            <w:tcW w:w="243.8pt" w:type="dxa"/>
            <w:tcBorders>
              <w:start w:val="single" w:sz="6" w:space="0" w:color="FFFFFF"/>
            </w:tcBorders>
          </w:tcPr>
          <w:p>
            <w:pPr>
              <w:pStyle w:val="Normal6"/>
            </w:pPr>
            <w:r>
              <w:t>2. Subject to compatibility with the future financial perspectives, the financial reference amount for the implementation of the Community action under this Decision for the period from 1 January 2007 to 31 December 2009 shall be 89.6 million euro</w:t>
            </w:r>
            <w:r>
              <w:rPr>
                <w:b/>
                <w:i/>
              </w:rPr>
              <w: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rPr>
                <w:b/>
                <w:i/>
              </w:rPr>
              <w:t>i) 44.2 million euro for projects of common interest;</w:t>
            </w:r>
          </w:p>
        </w:tc>
        <w:tc>
          <w:tcPr>
            <w:tcW w:w="243.8pt" w:type="dxa"/>
            <w:tcBorders>
              <w:start w:val="single" w:sz="6" w:space="0" w:color="FFFFFF"/>
            </w:tcBorders>
          </w:tcPr>
          <w:p>
            <w:pPr>
              <w:pStyle w:val="Normal6"/>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rPr>
                <w:b/>
                <w:i/>
              </w:rPr>
              <w:t xml:space="preserve">ii) 45.4 million euro for horizontal measures </w:t>
            </w:r>
          </w:p>
        </w:tc>
        <w:tc>
          <w:tcPr>
            <w:tcW w:w="243.8pt" w:type="dxa"/>
            <w:tcBorders>
              <w:start w:val="single" w:sz="6" w:space="0" w:color="FFFFFF"/>
            </w:tcBorders>
          </w:tcPr>
          <w:p>
            <w:pPr>
              <w:pStyle w:val="Normal6"/>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t>3. The annual appropriations for the period from 2007 to 2009 shall be authorised by the budgetary authority within the limit of the financial perspectives.</w:t>
            </w:r>
          </w:p>
        </w:tc>
        <w:tc>
          <w:tcPr>
            <w:tcW w:w="243.8pt" w:type="dxa"/>
            <w:tcBorders>
              <w:start w:val="single" w:sz="6" w:space="0" w:color="FFFFFF"/>
            </w:tcBorders>
          </w:tcPr>
          <w:p>
            <w:pPr>
              <w:pStyle w:val="Normal6"/>
            </w:pPr>
            <w:r>
              <w:t>3. The annual appropriations for the period from 2007 to 2009 shall be authorised by the budgetary authority within the limit of the financial perspectives.</w:t>
            </w:r>
          </w:p>
        </w:tc>
      </w:tr>
    </w:tbl>
    <w:p>
      <w:pPr>
        <w:pStyle w:val="JustificationTitle"/>
      </w:pPr>
      <w:r>
        <w:t>Justification</w:t>
      </w:r>
    </w:p>
    <w:p>
      <w:pPr>
        <w:pStyle w:val="Normal12Italic"/>
      </w:pPr>
      <w:r>
        <w:t>This amendment aims to make the implementation of the programme more flexible. On the basis of concrete experience a better financial management of the programme will be possible in the future.</w:t>
      </w:r>
    </w:p>
    <w:p>
      <w:r>
        <w:rPr>
          <w:rStyle w:val="HideTWBExt"/>
          <w:lang w:val="en-GB"/>
        </w:rPr>
        <w:t>&lt;/Amend&gt;</w:t>
      </w:r>
    </w:p>
    <w:p/>
    <w:p>
      <w:pPr>
        <w:pStyle w:val="PageHeading"/>
      </w:pPr>
      <w:r>
        <w:br w:type="page"/>
      </w:r>
      <w:bookmarkStart w:id="3" w:name="_Toc54689459"/>
      <w:r>
        <w:t>EXPLANATORY STATEMENT</w:t>
      </w:r>
      <w:bookmarkEnd w:id="3"/>
    </w:p>
    <w:p/>
    <w:p>
      <w:r>
        <w:t>The IDA II Programme has an established record in cross-border cooperation and communication between public administrations.  This Commission proposal looks to establish a follow-up programme, which will build on existing work as well as extending this cooperation to citizens and businesses.</w:t>
      </w:r>
    </w:p>
    <w:p/>
    <w:p>
      <w:r>
        <w:t>The Commission has rightly publicised the many successful IDA projects and fostered the sharing of knowledge and methodology.  Existing projects have enabled national authorities and Community institutions to exchange information and expertise across national borders, using electronic means.  Many have covered specific sectors, such as chemicals and medicines, whilst others have been more general in nature, establishing generic services and tools that can be put to different uses according to the requirements of users.</w:t>
      </w:r>
    </w:p>
    <w:p/>
    <w:p>
      <w:r>
        <w:t>This new proposal builds on the successes of past IDA programmes, updating elements where necessary to take account of recent developments and incorporating changes following the mid-term evaluation of IDA II.  In terms of emphasis, there is a greater focus on eGovernment services than has previously been the case and more explicit references to businesses and citizens.  However, the main changes relate to procedure, which has been streamlined and simplified in relation to the previous Decisions.  The new proposal also opens the possibility for infrastructure services to be used in policy areas outside of Community competence, specifically the framework for common foreign and security policy and judicial cooperation in criminal matters.</w:t>
      </w:r>
    </w:p>
    <w:p/>
    <w:p>
      <w:r>
        <w:t>Existing projects and proposals are useful indicators of the potential uses to which IDABC can be put.  For example, the SOLVIT network, which provides a mechanism for people who have come up against barriers to the Internal Market to raise the issue with the Member State concerned.  EUPHIN enables authorities to exchange data on public health issues (including communicable diseases) in a fast a secure way.  PLOTEUS is a portal that supplies information on learning opportunities around Europe.</w:t>
      </w:r>
    </w:p>
    <w:p/>
    <w:p>
      <w:r>
        <w:t>IDA has not just been about successful projects but also about creating models which can be adopted or adapted in other fields.  Interoperability is a key element of the “IDA way”, facilitating the integration of cross-border services into public administrations.  The IDA programmes are examples of how Europe is leading the way in developing methods of fast and efficient cooperation.  The involvement of countries in the European Economic Area, candidate countries and beyond is already actively encouraged.</w:t>
      </w:r>
    </w:p>
    <w:p/>
    <w:p>
      <w:r>
        <w:t>This Commission proposal will help bring tangible benefits to European citizens and businesses by increasing both the efficiency and the amount of cooperation between Member States.  It will also further facilitate the free movement of people, goods and services by making eGovernment applications more accessible across national boundaries.  The rapporteur recommends that the Parliament supports the Commission’s proposal.</w:t>
      </w:r>
    </w:p>
    <w:p/>
    <w:p>
      <w:r>
        <w:br w:type="page"/>
      </w:r>
    </w:p>
    <w:p>
      <w:r>
        <w:rPr>
          <w:b/>
          <w:u w:val="single"/>
        </w:rPr>
        <w:t>Rapporteur's position on Budget Line</w:t>
      </w:r>
    </w:p>
    <w:p/>
    <w:p>
      <w:r>
        <w:t>The rapporteur agrees with the Commission position.</w:t>
      </w:r>
    </w:p>
    <w:p/>
    <w:p>
      <w:pPr>
        <w:pStyle w:val="ManualHeading1"/>
        <w:numPr>
          <w:ilvl w:val="0"/>
          <w:numId w:val="0"/>
        </w:numPr>
        <w:ind w:start="851" w:hanging="851"/>
      </w:pPr>
      <w:r>
        <w:t>1.</w:t>
        <w:tab/>
        <w:t>BUDGET LINE(S) + HEADING(S)</w:t>
      </w:r>
    </w:p>
    <w:p>
      <w:pPr>
        <w:pStyle w:val="Text1"/>
      </w:pPr>
      <w:r>
        <w:t>Chapter B5-72, Article B5-721, Item B5-7210 (Budget lines 02 02 04 and 02 01 04 05)</w:t>
      </w:r>
    </w:p>
    <w:p>
      <w:pPr>
        <w:pStyle w:val="ManualHeading1"/>
        <w:numPr>
          <w:ilvl w:val="0"/>
          <w:numId w:val="0"/>
        </w:numPr>
        <w:ind w:start="851" w:hanging="851"/>
      </w:pPr>
      <w:r>
        <w:t>2.</w:t>
        <w:tab/>
        <w:t xml:space="preserve">OVERALL FIGURES </w:t>
      </w:r>
    </w:p>
    <w:p>
      <w:pPr>
        <w:pStyle w:val="ManualHeading2"/>
        <w:numPr>
          <w:ilvl w:val="0"/>
          <w:numId w:val="0"/>
        </w:numPr>
        <w:ind w:start="851" w:hanging="851"/>
      </w:pPr>
      <w:r>
        <w:t>2.1.</w:t>
        <w:tab/>
        <w:t>Total allocation for action (Part B): 148.7 M€ million for commitment</w:t>
      </w:r>
    </w:p>
    <w:p>
      <w:pPr>
        <w:pStyle w:val="ManualHeading2"/>
        <w:numPr>
          <w:ilvl w:val="0"/>
          <w:numId w:val="0"/>
        </w:numPr>
        <w:ind w:start="851" w:hanging="851"/>
      </w:pPr>
      <w:r>
        <w:t>2.2.</w:t>
        <w:tab/>
        <w:t>Period of application:</w:t>
      </w:r>
    </w:p>
    <w:p>
      <w:pPr>
        <w:pStyle w:val="Text1"/>
      </w:pPr>
      <w:r>
        <w:t>2005-2009 (the current IDA II Programme ending on 31</w:t>
      </w:r>
      <w:r>
        <w:rPr>
          <w:vertAlign w:val="superscript"/>
        </w:rPr>
        <w:t>st</w:t>
      </w:r>
      <w:r>
        <w:t xml:space="preserve"> December 2004)</w:t>
      </w:r>
    </w:p>
    <w:p>
      <w:pPr>
        <w:pStyle w:val="ManualHeading2"/>
        <w:numPr>
          <w:ilvl w:val="0"/>
          <w:numId w:val="0"/>
        </w:numPr>
        <w:ind w:start="851" w:hanging="851"/>
      </w:pPr>
      <w:r>
        <w:t>2.3.</w:t>
        <w:tab/>
        <w:t>Overall multiannual estimate of expenditure:</w:t>
      </w:r>
    </w:p>
    <w:p>
      <w:pPr>
        <w:pStyle w:val="Point0"/>
        <w:rPr>
          <w:i/>
        </w:rPr>
      </w:pPr>
      <w:r>
        <w:t>(a)</w:t>
        <w:tab/>
        <w:t>Schedule of commitment approp</w:t>
      </w:r>
      <w:r>
        <w:t xml:space="preserve">riations/payment appropriations (financial intervention) </w:t>
      </w:r>
      <w:r>
        <w:rPr>
          <w:i/>
        </w:rPr>
        <w:t>(see point 6.1.1)</w:t>
      </w:r>
    </w:p>
    <w:p>
      <w:pPr>
        <w:pStyle w:val="NormalRight"/>
        <w:tabs>
          <w:tab w:val="end" w:pos="8364"/>
        </w:tabs>
        <w:spacing w:before="0" w:after="0"/>
        <w:jc w:val="start"/>
        <w:rPr>
          <w:i/>
        </w:rPr>
      </w:pPr>
      <w:r>
        <w:tab/>
        <w:t>€ million (</w:t>
      </w:r>
      <w:r>
        <w:rPr>
          <w:i/>
        </w:rPr>
        <w:t>to three decimal places)</w:t>
      </w:r>
    </w:p>
    <w:tbl>
      <w:tblPr>
        <w:tblInd w:w="15.6pt" w:type="dxa"/>
        <w:tblLayout w:type="fixed"/>
        <w:tblCellMar>
          <w:start w:w="5.4pt" w:type="dxa"/>
          <w:end w:w="5.4pt" w:type="dxa"/>
        </w:tblCellMar>
        <w:tblLook/>
      </w:tblPr>
      <w:tblGrid>
        <w:gridCol w:w="2064"/>
        <w:gridCol w:w="1076"/>
        <w:gridCol w:w="989"/>
        <w:gridCol w:w="922"/>
        <w:gridCol w:w="922"/>
        <w:gridCol w:w="922"/>
        <w:gridCol w:w="1005"/>
        <w:gridCol w:w="1075"/>
      </w:tblGrid>
      <w:tr>
        <w:tblPrEx>
          <w:tblInd w:w="15.6pt" w:type="dxa"/>
          <w:tblLayout w:type="fixed"/>
          <w:tblCellMar>
            <w:start w:w="5.4pt" w:type="dxa"/>
            <w:end w:w="5.4pt" w:type="dxa"/>
          </w:tblCellMar>
          <w:tblLook/>
        </w:tblPrEx>
        <w:trPr>
          <w:cantSplit/>
        </w:trPr>
        <w:tc>
          <w:tcPr>
            <w:tcW w:w="103.2pt" w:type="dxa"/>
            <w:tcBorders>
              <w:top w:val="single" w:sz="8" w:space="0" w:color="auto"/>
              <w:start w:val="single" w:sz="8" w:space="0" w:color="auto"/>
              <w:end w:val="single" w:sz="6" w:space="0" w:color="auto"/>
            </w:tcBorders>
          </w:tcPr>
          <w:p/>
          <w:p/>
        </w:tc>
        <w:tc>
          <w:tcPr>
            <w:tcW w:w="53.8pt" w:type="dxa"/>
            <w:tcBorders>
              <w:top w:val="single" w:sz="8" w:space="0" w:color="auto"/>
              <w:start w:val="single" w:sz="6" w:space="0" w:color="auto"/>
              <w:end w:val="single" w:sz="6" w:space="0" w:color="auto"/>
            </w:tcBorders>
          </w:tcPr>
          <w:p>
            <w:pPr>
              <w:jc w:val="center"/>
            </w:pPr>
          </w:p>
          <w:p>
            <w:pPr>
              <w:jc w:val="center"/>
            </w:pPr>
            <w:r>
              <w:t>Year [n]</w:t>
            </w:r>
          </w:p>
        </w:tc>
        <w:tc>
          <w:tcPr>
            <w:tcW w:w="49.45pt" w:type="dxa"/>
            <w:tcBorders>
              <w:top w:val="single" w:sz="8" w:space="0" w:color="auto"/>
              <w:start w:val="single" w:sz="6" w:space="0" w:color="auto"/>
              <w:end w:val="single" w:sz="6" w:space="0" w:color="auto"/>
            </w:tcBorders>
          </w:tcPr>
          <w:p>
            <w:pPr>
              <w:jc w:val="center"/>
            </w:pPr>
          </w:p>
          <w:p>
            <w:pPr>
              <w:jc w:val="center"/>
            </w:pPr>
            <w:r>
              <w:t>[n+1]</w:t>
            </w:r>
          </w:p>
        </w:tc>
        <w:tc>
          <w:tcPr>
            <w:tcW w:w="46.1pt" w:type="dxa"/>
            <w:tcBorders>
              <w:top w:val="single" w:sz="8" w:space="0" w:color="auto"/>
              <w:start w:val="single" w:sz="6" w:space="0" w:color="auto"/>
              <w:end w:val="single" w:sz="6" w:space="0" w:color="auto"/>
            </w:tcBorders>
          </w:tcPr>
          <w:p>
            <w:pPr>
              <w:jc w:val="center"/>
            </w:pPr>
          </w:p>
          <w:p>
            <w:pPr>
              <w:jc w:val="center"/>
            </w:pPr>
            <w:r>
              <w:t>[n+2]</w:t>
            </w:r>
          </w:p>
        </w:tc>
        <w:tc>
          <w:tcPr>
            <w:tcW w:w="46.1pt" w:type="dxa"/>
            <w:tcBorders>
              <w:top w:val="single" w:sz="8" w:space="0" w:color="auto"/>
              <w:start w:val="single" w:sz="6" w:space="0" w:color="auto"/>
              <w:end w:val="single" w:sz="6" w:space="0" w:color="auto"/>
            </w:tcBorders>
          </w:tcPr>
          <w:p>
            <w:pPr>
              <w:jc w:val="center"/>
            </w:pPr>
          </w:p>
          <w:p>
            <w:pPr>
              <w:jc w:val="center"/>
            </w:pPr>
            <w:r>
              <w:t>[n+3]</w:t>
            </w:r>
          </w:p>
        </w:tc>
        <w:tc>
          <w:tcPr>
            <w:tcW w:w="46.1pt" w:type="dxa"/>
            <w:tcBorders>
              <w:top w:val="single" w:sz="8" w:space="0" w:color="auto"/>
              <w:start w:val="single" w:sz="6" w:space="0" w:color="auto"/>
              <w:end w:val="single" w:sz="6" w:space="0" w:color="auto"/>
            </w:tcBorders>
          </w:tcPr>
          <w:p>
            <w:pPr>
              <w:jc w:val="center"/>
            </w:pPr>
          </w:p>
          <w:p>
            <w:pPr>
              <w:jc w:val="center"/>
            </w:pPr>
            <w:r>
              <w:t>[n+4]</w:t>
            </w:r>
          </w:p>
        </w:tc>
        <w:tc>
          <w:tcPr>
            <w:tcW w:w="50.25pt" w:type="dxa"/>
            <w:tcBorders>
              <w:top w:val="single" w:sz="8" w:space="0" w:color="auto"/>
              <w:start w:val="single" w:sz="6" w:space="0" w:color="auto"/>
              <w:end w:val="single" w:sz="8" w:space="0" w:color="auto"/>
            </w:tcBorders>
          </w:tcPr>
          <w:p>
            <w:pPr>
              <w:jc w:val="center"/>
            </w:pPr>
            <w:r>
              <w:t>[n+5 and</w:t>
              <w:br/>
              <w:t>subs. Years]</w:t>
            </w:r>
          </w:p>
        </w:tc>
        <w:tc>
          <w:tcPr>
            <w:tcW w:w="53.75pt" w:type="dxa"/>
            <w:tcBorders>
              <w:top w:val="single" w:sz="8" w:space="0" w:color="auto"/>
              <w:end w:val="single" w:sz="8" w:space="0" w:color="auto"/>
            </w:tcBorders>
          </w:tcPr>
          <w:p>
            <w:pPr>
              <w:jc w:val="center"/>
            </w:pPr>
          </w:p>
          <w:p>
            <w:pPr>
              <w:jc w:val="center"/>
            </w:pPr>
            <w:r>
              <w:t>Total</w:t>
            </w:r>
          </w:p>
        </w:tc>
      </w:tr>
      <w:tr>
        <w:tblPrEx>
          <w:tblInd w:w="15.6pt" w:type="dxa"/>
          <w:tblLayout w:type="fixed"/>
          <w:tblCellMar>
            <w:start w:w="5.4pt" w:type="dxa"/>
            <w:end w:w="5.4pt" w:type="dxa"/>
          </w:tblCellMar>
          <w:tblLook/>
        </w:tblPrEx>
        <w:trPr>
          <w:cantSplit/>
        </w:trPr>
        <w:tc>
          <w:tcPr>
            <w:tcW w:w="103.2pt" w:type="dxa"/>
            <w:tcBorders>
              <w:top w:val="single" w:sz="6" w:space="0" w:color="auto"/>
              <w:start w:val="single" w:sz="8" w:space="0" w:color="auto"/>
              <w:bottom w:val="single" w:sz="8" w:space="0" w:color="auto"/>
              <w:end w:val="single" w:sz="6" w:space="0" w:color="auto"/>
            </w:tcBorders>
          </w:tcPr>
          <w:p>
            <w:pPr>
              <w:spacing w:before="60" w:after="60"/>
              <w:jc w:val="center"/>
            </w:pPr>
            <w:r>
              <w:t>Commitments</w:t>
            </w:r>
          </w:p>
        </w:tc>
        <w:tc>
          <w:tcPr>
            <w:tcW w:w="53.8pt" w:type="dxa"/>
            <w:tcBorders>
              <w:top w:val="single" w:sz="6" w:space="0" w:color="auto"/>
              <w:start w:val="single" w:sz="6" w:space="0" w:color="auto"/>
              <w:bottom w:val="single" w:sz="8" w:space="0" w:color="auto"/>
              <w:end w:val="single" w:sz="6" w:space="0" w:color="auto"/>
            </w:tcBorders>
          </w:tcPr>
          <w:p>
            <w:pPr>
              <w:spacing w:before="60" w:after="60"/>
              <w:rPr>
                <w:sz w:val="22"/>
              </w:rPr>
            </w:pPr>
            <w:r>
              <w:rPr>
                <w:sz w:val="22"/>
              </w:rPr>
              <w:t xml:space="preserve">28.550 </w:t>
            </w:r>
          </w:p>
        </w:tc>
        <w:tc>
          <w:tcPr>
            <w:tcW w:w="49.45pt" w:type="dxa"/>
            <w:tcBorders>
              <w:top w:val="single" w:sz="6" w:space="0" w:color="auto"/>
              <w:start w:val="single" w:sz="6" w:space="0" w:color="auto"/>
              <w:bottom w:val="single" w:sz="8" w:space="0" w:color="auto"/>
              <w:end w:val="single" w:sz="6" w:space="0" w:color="auto"/>
            </w:tcBorders>
          </w:tcPr>
          <w:p>
            <w:pPr>
              <w:spacing w:before="60" w:after="60"/>
              <w:rPr>
                <w:sz w:val="22"/>
              </w:rPr>
            </w:pPr>
            <w:r>
              <w:rPr>
                <w:sz w:val="22"/>
              </w:rPr>
              <w:t xml:space="preserve">29.050 </w:t>
            </w:r>
          </w:p>
        </w:tc>
        <w:tc>
          <w:tcPr>
            <w:tcW w:w="46.1pt" w:type="dxa"/>
            <w:tcBorders>
              <w:top w:val="single" w:sz="6" w:space="0" w:color="auto"/>
              <w:start w:val="single" w:sz="6" w:space="0" w:color="auto"/>
              <w:bottom w:val="single" w:sz="8" w:space="0" w:color="auto"/>
              <w:end w:val="single" w:sz="6" w:space="0" w:color="auto"/>
            </w:tcBorders>
          </w:tcPr>
          <w:p>
            <w:pPr>
              <w:spacing w:before="60" w:after="60"/>
              <w:rPr>
                <w:sz w:val="22"/>
              </w:rPr>
            </w:pPr>
            <w:r>
              <w:rPr>
                <w:sz w:val="22"/>
              </w:rPr>
              <w:t xml:space="preserve">29.250 </w:t>
            </w:r>
          </w:p>
        </w:tc>
        <w:tc>
          <w:tcPr>
            <w:tcW w:w="46.1pt" w:type="dxa"/>
            <w:tcBorders>
              <w:top w:val="single" w:sz="6" w:space="0" w:color="auto"/>
              <w:start w:val="single" w:sz="6" w:space="0" w:color="auto"/>
              <w:bottom w:val="single" w:sz="8" w:space="0" w:color="auto"/>
              <w:end w:val="single" w:sz="6" w:space="0" w:color="auto"/>
            </w:tcBorders>
          </w:tcPr>
          <w:p>
            <w:pPr>
              <w:spacing w:before="60" w:after="60"/>
              <w:rPr>
                <w:sz w:val="22"/>
              </w:rPr>
            </w:pPr>
            <w:r>
              <w:rPr>
                <w:sz w:val="22"/>
              </w:rPr>
              <w:t xml:space="preserve">29.000 </w:t>
            </w:r>
          </w:p>
        </w:tc>
        <w:tc>
          <w:tcPr>
            <w:tcW w:w="46.1pt" w:type="dxa"/>
            <w:tcBorders>
              <w:top w:val="single" w:sz="6" w:space="0" w:color="auto"/>
              <w:start w:val="single" w:sz="6" w:space="0" w:color="auto"/>
              <w:bottom w:val="single" w:sz="8" w:space="0" w:color="auto"/>
              <w:end w:val="single" w:sz="6" w:space="0" w:color="auto"/>
            </w:tcBorders>
          </w:tcPr>
          <w:p>
            <w:pPr>
              <w:spacing w:before="60" w:after="60"/>
              <w:rPr>
                <w:sz w:val="22"/>
              </w:rPr>
            </w:pPr>
            <w:r>
              <w:rPr>
                <w:sz w:val="22"/>
              </w:rPr>
              <w:t xml:space="preserve">29.000 </w:t>
            </w:r>
          </w:p>
        </w:tc>
        <w:tc>
          <w:tcPr>
            <w:tcW w:w="50.25pt" w:type="dxa"/>
            <w:tcBorders>
              <w:top w:val="single" w:sz="6" w:space="0" w:color="auto"/>
              <w:start w:val="single" w:sz="6" w:space="0" w:color="auto"/>
              <w:bottom w:val="single" w:sz="8" w:space="0" w:color="auto"/>
              <w:end w:val="single" w:sz="8" w:space="0" w:color="auto"/>
            </w:tcBorders>
          </w:tcPr>
          <w:p>
            <w:pPr>
              <w:spacing w:before="60" w:after="60"/>
              <w:rPr>
                <w:sz w:val="22"/>
              </w:rPr>
            </w:pPr>
          </w:p>
        </w:tc>
        <w:tc>
          <w:tcPr>
            <w:tcW w:w="53.75pt" w:type="dxa"/>
            <w:tcBorders>
              <w:top w:val="single" w:sz="6" w:space="0" w:color="auto"/>
              <w:bottom w:val="single" w:sz="8" w:space="0" w:color="auto"/>
              <w:end w:val="single" w:sz="8" w:space="0" w:color="auto"/>
            </w:tcBorders>
          </w:tcPr>
          <w:p>
            <w:pPr>
              <w:spacing w:before="60" w:after="60"/>
              <w:rPr>
                <w:sz w:val="22"/>
              </w:rPr>
            </w:pPr>
            <w:r>
              <w:rPr>
                <w:sz w:val="22"/>
              </w:rPr>
              <w:t xml:space="preserve">144.850 </w:t>
            </w:r>
          </w:p>
        </w:tc>
      </w:tr>
      <w:tr>
        <w:tblPrEx>
          <w:tblInd w:w="15.6pt" w:type="dxa"/>
          <w:tblLayout w:type="fixed"/>
          <w:tblCellMar>
            <w:start w:w="5.4pt" w:type="dxa"/>
            <w:end w:w="5.4pt" w:type="dxa"/>
          </w:tblCellMar>
          <w:tblLook/>
        </w:tblPrEx>
        <w:trPr>
          <w:cantSplit/>
        </w:trPr>
        <w:tc>
          <w:tcPr>
            <w:tcW w:w="103.2pt" w:type="dxa"/>
            <w:tcBorders>
              <w:start w:val="single" w:sz="8" w:space="0" w:color="auto"/>
              <w:bottom w:val="single" w:sz="8" w:space="0" w:color="auto"/>
              <w:end w:val="single" w:sz="2" w:space="0" w:color="auto"/>
            </w:tcBorders>
          </w:tcPr>
          <w:p>
            <w:pPr>
              <w:spacing w:before="60" w:after="60"/>
              <w:jc w:val="center"/>
            </w:pPr>
            <w:r>
              <w:t>Payments</w:t>
            </w:r>
          </w:p>
        </w:tc>
        <w:tc>
          <w:tcPr>
            <w:tcW w:w="53.8pt" w:type="dxa"/>
            <w:tcBorders>
              <w:bottom w:val="single" w:sz="8" w:space="0" w:color="auto"/>
              <w:end w:val="single" w:sz="2" w:space="0" w:color="auto"/>
            </w:tcBorders>
          </w:tcPr>
          <w:p>
            <w:pPr>
              <w:spacing w:before="60" w:after="60"/>
              <w:rPr>
                <w:sz w:val="22"/>
              </w:rPr>
            </w:pPr>
            <w:r>
              <w:rPr>
                <w:sz w:val="22"/>
              </w:rPr>
              <w:t>10</w:t>
            </w:r>
            <w:r>
              <w:rPr>
                <w:sz w:val="22"/>
              </w:rPr>
              <w:t>.000</w:t>
            </w:r>
          </w:p>
        </w:tc>
        <w:tc>
          <w:tcPr>
            <w:tcW w:w="49.45pt" w:type="dxa"/>
            <w:tcBorders>
              <w:bottom w:val="single" w:sz="8" w:space="0" w:color="auto"/>
              <w:end w:val="single" w:sz="2" w:space="0" w:color="auto"/>
            </w:tcBorders>
          </w:tcPr>
          <w:p>
            <w:pPr>
              <w:spacing w:before="60" w:after="60"/>
              <w:rPr>
                <w:sz w:val="22"/>
              </w:rPr>
            </w:pPr>
            <w:r>
              <w:rPr>
                <w:sz w:val="22"/>
              </w:rPr>
              <w:t xml:space="preserve">22.850 </w:t>
            </w:r>
          </w:p>
        </w:tc>
        <w:tc>
          <w:tcPr>
            <w:tcW w:w="46.1pt" w:type="dxa"/>
            <w:tcBorders>
              <w:bottom w:val="single" w:sz="8" w:space="0" w:color="auto"/>
              <w:end w:val="single" w:sz="2" w:space="0" w:color="auto"/>
            </w:tcBorders>
          </w:tcPr>
          <w:p>
            <w:pPr>
              <w:spacing w:before="60" w:after="60"/>
              <w:rPr>
                <w:sz w:val="22"/>
              </w:rPr>
            </w:pPr>
            <w:r>
              <w:rPr>
                <w:sz w:val="22"/>
              </w:rPr>
              <w:t xml:space="preserve">29.850 </w:t>
            </w:r>
          </w:p>
        </w:tc>
        <w:tc>
          <w:tcPr>
            <w:tcW w:w="46.1pt" w:type="dxa"/>
            <w:tcBorders>
              <w:bottom w:val="single" w:sz="8" w:space="0" w:color="auto"/>
              <w:end w:val="single" w:sz="2" w:space="0" w:color="auto"/>
            </w:tcBorders>
          </w:tcPr>
          <w:p>
            <w:pPr>
              <w:spacing w:before="60" w:after="60"/>
              <w:rPr>
                <w:sz w:val="22"/>
              </w:rPr>
            </w:pPr>
            <w:r>
              <w:rPr>
                <w:sz w:val="22"/>
              </w:rPr>
              <w:t xml:space="preserve">29.800 </w:t>
            </w:r>
          </w:p>
        </w:tc>
        <w:tc>
          <w:tcPr>
            <w:tcW w:w="46.1pt" w:type="dxa"/>
            <w:tcBorders>
              <w:bottom w:val="single" w:sz="8" w:space="0" w:color="auto"/>
              <w:end w:val="single" w:sz="2" w:space="0" w:color="auto"/>
            </w:tcBorders>
          </w:tcPr>
          <w:p>
            <w:pPr>
              <w:spacing w:before="60" w:after="60"/>
              <w:rPr>
                <w:sz w:val="22"/>
              </w:rPr>
            </w:pPr>
            <w:r>
              <w:rPr>
                <w:sz w:val="22"/>
              </w:rPr>
              <w:t xml:space="preserve">29.800 </w:t>
            </w:r>
          </w:p>
        </w:tc>
        <w:tc>
          <w:tcPr>
            <w:tcW w:w="50.25pt" w:type="dxa"/>
            <w:tcBorders>
              <w:bottom w:val="single" w:sz="8" w:space="0" w:color="auto"/>
              <w:end w:val="single" w:sz="8" w:space="0" w:color="auto"/>
            </w:tcBorders>
          </w:tcPr>
          <w:p>
            <w:pPr>
              <w:spacing w:before="60" w:after="60"/>
              <w:rPr>
                <w:sz w:val="22"/>
              </w:rPr>
            </w:pPr>
            <w:r>
              <w:rPr>
                <w:sz w:val="22"/>
              </w:rPr>
              <w:t xml:space="preserve">22.550 </w:t>
            </w:r>
          </w:p>
        </w:tc>
        <w:tc>
          <w:tcPr>
            <w:tcW w:w="53.75pt" w:type="dxa"/>
            <w:tcBorders>
              <w:bottom w:val="single" w:sz="8" w:space="0" w:color="auto"/>
              <w:end w:val="single" w:sz="8" w:space="0" w:color="auto"/>
            </w:tcBorders>
          </w:tcPr>
          <w:p>
            <w:pPr>
              <w:spacing w:before="60" w:after="60"/>
              <w:rPr>
                <w:sz w:val="22"/>
              </w:rPr>
            </w:pPr>
            <w:r>
              <w:rPr>
                <w:sz w:val="22"/>
              </w:rPr>
              <w:t xml:space="preserve">144.850 </w:t>
            </w:r>
          </w:p>
        </w:tc>
      </w:tr>
    </w:tbl>
    <w:p>
      <w:pPr>
        <w:pStyle w:val="Point0"/>
      </w:pPr>
      <w:r>
        <w:t>(b)</w:t>
        <w:tab/>
        <w:t>Technical and administrative assistance and support expenditure</w:t>
      </w:r>
      <w:r>
        <w:rPr>
          <w:i/>
        </w:rPr>
        <w:t>(see point 6.1.2)</w:t>
      </w:r>
    </w:p>
    <w:tbl>
      <w:tblPr>
        <w:tblInd w:w="15.6pt" w:type="dxa"/>
        <w:tblLayout w:type="fixed"/>
        <w:tblCellMar>
          <w:start w:w="5.4pt" w:type="dxa"/>
          <w:end w:w="5.4pt" w:type="dxa"/>
        </w:tblCellMar>
        <w:tblLook/>
      </w:tblPr>
      <w:tblGrid>
        <w:gridCol w:w="2064"/>
        <w:gridCol w:w="1055"/>
        <w:gridCol w:w="851"/>
        <w:gridCol w:w="851"/>
        <w:gridCol w:w="851"/>
        <w:gridCol w:w="851"/>
        <w:gridCol w:w="928"/>
        <w:gridCol w:w="992"/>
      </w:tblGrid>
      <w:tr>
        <w:tblPrEx>
          <w:tblInd w:w="15.6pt" w:type="dxa"/>
          <w:tblLayout w:type="fixed"/>
          <w:tblCellMar>
            <w:start w:w="5.4pt" w:type="dxa"/>
            <w:end w:w="5.4pt" w:type="dxa"/>
          </w:tblCellMar>
          <w:tblLook/>
        </w:tblPrEx>
        <w:trPr>
          <w:cantSplit/>
        </w:trPr>
        <w:tc>
          <w:tcPr>
            <w:tcW w:w="103.2pt" w:type="dxa"/>
            <w:tcBorders>
              <w:top w:val="single" w:sz="8" w:space="0" w:color="auto"/>
              <w:start w:val="single" w:sz="8" w:space="0" w:color="auto"/>
              <w:bottom w:val="single" w:sz="8" w:space="0" w:color="auto"/>
              <w:end w:val="single" w:sz="2" w:space="0" w:color="auto"/>
            </w:tcBorders>
          </w:tcPr>
          <w:p>
            <w:pPr>
              <w:jc w:val="center"/>
            </w:pPr>
            <w:r>
              <w:t>Commitments</w:t>
            </w:r>
          </w:p>
        </w:tc>
        <w:tc>
          <w:tcPr>
            <w:tcW w:w="52.75pt" w:type="dxa"/>
            <w:tcBorders>
              <w:top w:val="single" w:sz="8" w:space="0" w:color="auto"/>
              <w:bottom w:val="single" w:sz="8" w:space="0" w:color="auto"/>
              <w:end w:val="single" w:sz="2" w:space="0" w:color="auto"/>
            </w:tcBorders>
          </w:tcPr>
          <w:p>
            <w:pPr>
              <w:rPr>
                <w:sz w:val="22"/>
              </w:rPr>
            </w:pPr>
            <w:r>
              <w:rPr>
                <w:sz w:val="22"/>
              </w:rPr>
              <w:t>0.750</w:t>
            </w:r>
          </w:p>
        </w:tc>
        <w:tc>
          <w:tcPr>
            <w:tcW w:w="42.55pt" w:type="dxa"/>
            <w:tcBorders>
              <w:top w:val="single" w:sz="8" w:space="0" w:color="auto"/>
              <w:bottom w:val="single" w:sz="8" w:space="0" w:color="auto"/>
              <w:end w:val="single" w:sz="2" w:space="0" w:color="auto"/>
            </w:tcBorders>
          </w:tcPr>
          <w:p>
            <w:pPr>
              <w:rPr>
                <w:sz w:val="22"/>
              </w:rPr>
            </w:pPr>
            <w:r>
              <w:rPr>
                <w:sz w:val="22"/>
              </w:rPr>
              <w:t xml:space="preserve">0.750 </w:t>
            </w:r>
          </w:p>
        </w:tc>
        <w:tc>
          <w:tcPr>
            <w:tcW w:w="42.55pt" w:type="dxa"/>
            <w:tcBorders>
              <w:top w:val="single" w:sz="8" w:space="0" w:color="auto"/>
              <w:bottom w:val="single" w:sz="8" w:space="0" w:color="auto"/>
              <w:end w:val="single" w:sz="2" w:space="0" w:color="auto"/>
            </w:tcBorders>
          </w:tcPr>
          <w:p>
            <w:pPr>
              <w:rPr>
                <w:sz w:val="22"/>
              </w:rPr>
            </w:pPr>
            <w:r>
              <w:rPr>
                <w:sz w:val="22"/>
              </w:rPr>
              <w:t xml:space="preserve">0.750 </w:t>
            </w:r>
          </w:p>
        </w:tc>
        <w:tc>
          <w:tcPr>
            <w:tcW w:w="42.55pt" w:type="dxa"/>
            <w:tcBorders>
              <w:top w:val="single" w:sz="8" w:space="0" w:color="auto"/>
              <w:bottom w:val="single" w:sz="8" w:space="0" w:color="auto"/>
              <w:end w:val="single" w:sz="2" w:space="0" w:color="auto"/>
            </w:tcBorders>
          </w:tcPr>
          <w:p>
            <w:pPr>
              <w:rPr>
                <w:sz w:val="22"/>
              </w:rPr>
            </w:pPr>
            <w:r>
              <w:rPr>
                <w:sz w:val="22"/>
              </w:rPr>
              <w:t xml:space="preserve">0.800 </w:t>
            </w:r>
          </w:p>
        </w:tc>
        <w:tc>
          <w:tcPr>
            <w:tcW w:w="42.55pt" w:type="dxa"/>
            <w:tcBorders>
              <w:top w:val="single" w:sz="8" w:space="0" w:color="auto"/>
              <w:bottom w:val="single" w:sz="8" w:space="0" w:color="auto"/>
              <w:end w:val="single" w:sz="2" w:space="0" w:color="auto"/>
            </w:tcBorders>
          </w:tcPr>
          <w:p>
            <w:pPr>
              <w:rPr>
                <w:sz w:val="22"/>
              </w:rPr>
            </w:pPr>
            <w:r>
              <w:rPr>
                <w:sz w:val="22"/>
              </w:rPr>
              <w:t>0.800</w:t>
            </w:r>
          </w:p>
        </w:tc>
        <w:tc>
          <w:tcPr>
            <w:tcW w:w="46.4pt" w:type="dxa"/>
            <w:tcBorders>
              <w:top w:val="single" w:sz="8" w:space="0" w:color="auto"/>
              <w:bottom w:val="single" w:sz="8" w:space="0" w:color="auto"/>
              <w:end w:val="single" w:sz="8" w:space="0" w:color="auto"/>
            </w:tcBorders>
          </w:tcPr>
          <w:p>
            <w:pPr>
              <w:rPr>
                <w:sz w:val="22"/>
              </w:rPr>
            </w:pPr>
          </w:p>
        </w:tc>
        <w:tc>
          <w:tcPr>
            <w:tcW w:w="49.6pt" w:type="dxa"/>
            <w:tcBorders>
              <w:top w:val="single" w:sz="8" w:space="0" w:color="auto"/>
              <w:start w:val="single" w:sz="8" w:space="0" w:color="auto"/>
              <w:bottom w:val="single" w:sz="8" w:space="0" w:color="auto"/>
              <w:end w:val="single" w:sz="8" w:space="0" w:color="auto"/>
            </w:tcBorders>
          </w:tcPr>
          <w:p>
            <w:pPr>
              <w:rPr>
                <w:sz w:val="22"/>
              </w:rPr>
            </w:pPr>
            <w:r>
              <w:rPr>
                <w:sz w:val="22"/>
              </w:rPr>
              <w:t xml:space="preserve">3.850 </w:t>
            </w:r>
          </w:p>
        </w:tc>
      </w:tr>
      <w:tr>
        <w:tblPrEx>
          <w:tblInd w:w="15.6pt" w:type="dxa"/>
          <w:tblLayout w:type="fixed"/>
          <w:tblCellMar>
            <w:start w:w="5.4pt" w:type="dxa"/>
            <w:end w:w="5.4pt" w:type="dxa"/>
          </w:tblCellMar>
          <w:tblLook/>
        </w:tblPrEx>
        <w:trPr>
          <w:cantSplit/>
        </w:trPr>
        <w:tc>
          <w:tcPr>
            <w:tcW w:w="103.2pt" w:type="dxa"/>
            <w:tcBorders>
              <w:top w:val="single" w:sz="8" w:space="0" w:color="auto"/>
              <w:start w:val="single" w:sz="8" w:space="0" w:color="auto"/>
              <w:bottom w:val="single" w:sz="8" w:space="0" w:color="auto"/>
              <w:end w:val="single" w:sz="2" w:space="0" w:color="auto"/>
            </w:tcBorders>
          </w:tcPr>
          <w:p>
            <w:pPr>
              <w:jc w:val="center"/>
            </w:pPr>
            <w:r>
              <w:t>Payments</w:t>
            </w:r>
          </w:p>
        </w:tc>
        <w:tc>
          <w:tcPr>
            <w:tcW w:w="52.75pt" w:type="dxa"/>
            <w:tcBorders>
              <w:top w:val="single" w:sz="8" w:space="0" w:color="auto"/>
              <w:bottom w:val="single" w:sz="8" w:space="0" w:color="auto"/>
              <w:end w:val="single" w:sz="2" w:space="0" w:color="auto"/>
            </w:tcBorders>
          </w:tcPr>
          <w:p>
            <w:pPr>
              <w:rPr>
                <w:sz w:val="22"/>
              </w:rPr>
            </w:pPr>
            <w:r>
              <w:rPr>
                <w:sz w:val="22"/>
              </w:rPr>
              <w:t>0.750</w:t>
            </w:r>
          </w:p>
        </w:tc>
        <w:tc>
          <w:tcPr>
            <w:tcW w:w="42.55pt" w:type="dxa"/>
            <w:tcBorders>
              <w:top w:val="single" w:sz="8" w:space="0" w:color="auto"/>
              <w:bottom w:val="single" w:sz="8" w:space="0" w:color="auto"/>
              <w:end w:val="single" w:sz="2" w:space="0" w:color="auto"/>
            </w:tcBorders>
          </w:tcPr>
          <w:p>
            <w:pPr>
              <w:rPr>
                <w:sz w:val="22"/>
              </w:rPr>
            </w:pPr>
            <w:r>
              <w:rPr>
                <w:sz w:val="22"/>
              </w:rPr>
              <w:t xml:space="preserve">0.750 </w:t>
            </w:r>
          </w:p>
        </w:tc>
        <w:tc>
          <w:tcPr>
            <w:tcW w:w="42.55pt" w:type="dxa"/>
            <w:tcBorders>
              <w:top w:val="single" w:sz="8" w:space="0" w:color="auto"/>
              <w:bottom w:val="single" w:sz="8" w:space="0" w:color="auto"/>
              <w:end w:val="single" w:sz="2" w:space="0" w:color="auto"/>
            </w:tcBorders>
          </w:tcPr>
          <w:p>
            <w:pPr>
              <w:rPr>
                <w:sz w:val="22"/>
              </w:rPr>
            </w:pPr>
            <w:r>
              <w:rPr>
                <w:sz w:val="22"/>
              </w:rPr>
              <w:t xml:space="preserve">0.750 </w:t>
            </w:r>
          </w:p>
        </w:tc>
        <w:tc>
          <w:tcPr>
            <w:tcW w:w="42.55pt" w:type="dxa"/>
            <w:tcBorders>
              <w:top w:val="single" w:sz="8" w:space="0" w:color="auto"/>
              <w:bottom w:val="single" w:sz="8" w:space="0" w:color="auto"/>
              <w:end w:val="single" w:sz="2" w:space="0" w:color="auto"/>
            </w:tcBorders>
          </w:tcPr>
          <w:p>
            <w:pPr>
              <w:rPr>
                <w:sz w:val="22"/>
              </w:rPr>
            </w:pPr>
            <w:r>
              <w:rPr>
                <w:sz w:val="22"/>
              </w:rPr>
              <w:t>0.800</w:t>
            </w:r>
          </w:p>
        </w:tc>
        <w:tc>
          <w:tcPr>
            <w:tcW w:w="42.55pt" w:type="dxa"/>
            <w:tcBorders>
              <w:top w:val="single" w:sz="8" w:space="0" w:color="auto"/>
              <w:bottom w:val="single" w:sz="8" w:space="0" w:color="auto"/>
              <w:end w:val="single" w:sz="2" w:space="0" w:color="auto"/>
            </w:tcBorders>
          </w:tcPr>
          <w:p>
            <w:pPr>
              <w:rPr>
                <w:sz w:val="22"/>
              </w:rPr>
            </w:pPr>
            <w:r>
              <w:rPr>
                <w:sz w:val="22"/>
              </w:rPr>
              <w:t>0.800</w:t>
            </w:r>
          </w:p>
        </w:tc>
        <w:tc>
          <w:tcPr>
            <w:tcW w:w="46.4pt" w:type="dxa"/>
            <w:tcBorders>
              <w:top w:val="single" w:sz="8" w:space="0" w:color="auto"/>
              <w:bottom w:val="single" w:sz="8" w:space="0" w:color="auto"/>
              <w:end w:val="single" w:sz="8" w:space="0" w:color="auto"/>
            </w:tcBorders>
          </w:tcPr>
          <w:p>
            <w:pPr>
              <w:rPr>
                <w:sz w:val="22"/>
              </w:rPr>
            </w:pPr>
          </w:p>
        </w:tc>
        <w:tc>
          <w:tcPr>
            <w:tcW w:w="49.6pt" w:type="dxa"/>
            <w:tcBorders>
              <w:top w:val="single" w:sz="8" w:space="0" w:color="auto"/>
              <w:start w:val="single" w:sz="8" w:space="0" w:color="auto"/>
              <w:bottom w:val="single" w:sz="8" w:space="0" w:color="auto"/>
              <w:end w:val="single" w:sz="8" w:space="0" w:color="auto"/>
            </w:tcBorders>
          </w:tcPr>
          <w:p>
            <w:pPr>
              <w:rPr>
                <w:sz w:val="22"/>
              </w:rPr>
            </w:pPr>
            <w:r>
              <w:rPr>
                <w:sz w:val="22"/>
              </w:rPr>
              <w:t>3.850</w:t>
            </w:r>
          </w:p>
        </w:tc>
      </w:tr>
    </w:tbl>
    <w:p>
      <w:pPr>
        <w:rPr>
          <w:b/>
        </w:rPr>
      </w:pPr>
    </w:p>
    <w:tbl>
      <w:tblPr>
        <w:tblInd w:w="15.6pt" w:type="dxa"/>
        <w:tblLayout w:type="fixed"/>
        <w:tblCellMar>
          <w:start w:w="5.4pt" w:type="dxa"/>
          <w:end w:w="5.4pt" w:type="dxa"/>
        </w:tblCellMar>
        <w:tblLook/>
      </w:tblPr>
      <w:tblGrid>
        <w:gridCol w:w="2064"/>
        <w:gridCol w:w="1055"/>
        <w:gridCol w:w="851"/>
        <w:gridCol w:w="851"/>
        <w:gridCol w:w="851"/>
        <w:gridCol w:w="851"/>
        <w:gridCol w:w="928"/>
        <w:gridCol w:w="992"/>
      </w:tblGrid>
      <w:tr>
        <w:tblPrEx>
          <w:tblInd w:w="15.6pt" w:type="dxa"/>
          <w:tblLayout w:type="fixed"/>
          <w:tblCellMar>
            <w:start w:w="5.4pt" w:type="dxa"/>
            <w:end w:w="5.4pt" w:type="dxa"/>
          </w:tblCellMar>
          <w:tblLook/>
        </w:tblPrEx>
        <w:trPr>
          <w:cantSplit/>
        </w:trPr>
        <w:tc>
          <w:tcPr>
            <w:tcW w:w="103.2pt" w:type="dxa"/>
            <w:tcBorders>
              <w:top w:val="single" w:sz="8" w:space="0" w:color="auto"/>
              <w:start w:val="single" w:sz="8" w:space="0" w:color="auto"/>
              <w:bottom w:val="single" w:sz="8" w:space="0" w:color="auto"/>
              <w:end w:val="single" w:sz="8" w:space="0" w:color="auto"/>
            </w:tcBorders>
          </w:tcPr>
          <w:p>
            <w:pPr>
              <w:spacing w:before="60" w:after="60"/>
              <w:jc w:val="center"/>
            </w:pPr>
            <w:r>
              <w:t>Subtotal a+b</w:t>
            </w:r>
          </w:p>
        </w:tc>
        <w:tc>
          <w:tcPr>
            <w:tcW w:w="52.75pt" w:type="dxa"/>
            <w:tcBorders>
              <w:start w:val="single" w:sz="8" w:space="0" w:color="auto"/>
              <w:bottom w:val="single" w:sz="8" w:space="0" w:color="auto"/>
            </w:tcBorders>
          </w:tcPr>
          <w:p>
            <w:pPr>
              <w:spacing w:before="60" w:after="60"/>
            </w:pPr>
          </w:p>
        </w:tc>
        <w:tc>
          <w:tcPr>
            <w:tcW w:w="42.55pt" w:type="dxa"/>
          </w:tcPr>
          <w:p>
            <w:pPr>
              <w:spacing w:before="60" w:after="60"/>
            </w:pPr>
          </w:p>
        </w:tc>
        <w:tc>
          <w:tcPr>
            <w:tcW w:w="42.55pt" w:type="dxa"/>
          </w:tcPr>
          <w:p>
            <w:pPr>
              <w:spacing w:before="60" w:after="60"/>
            </w:pPr>
          </w:p>
        </w:tc>
        <w:tc>
          <w:tcPr>
            <w:tcW w:w="42.55pt" w:type="dxa"/>
          </w:tcPr>
          <w:p>
            <w:pPr>
              <w:spacing w:before="60" w:after="60"/>
            </w:pPr>
          </w:p>
        </w:tc>
        <w:tc>
          <w:tcPr>
            <w:tcW w:w="42.55pt" w:type="dxa"/>
          </w:tcPr>
          <w:p>
            <w:pPr>
              <w:spacing w:before="60" w:after="60"/>
            </w:pPr>
          </w:p>
        </w:tc>
        <w:tc>
          <w:tcPr>
            <w:tcW w:w="46.4pt" w:type="dxa"/>
          </w:tcPr>
          <w:p>
            <w:pPr>
              <w:spacing w:before="60" w:after="60"/>
            </w:pPr>
          </w:p>
        </w:tc>
        <w:tc>
          <w:tcPr>
            <w:tcW w:w="49.6pt" w:type="dxa"/>
            <w:tcBorders>
              <w:end w:val="single" w:sz="8" w:space="0" w:color="auto"/>
            </w:tcBorders>
          </w:tcPr>
          <w:p>
            <w:pPr>
              <w:spacing w:before="60" w:after="60"/>
            </w:pPr>
          </w:p>
        </w:tc>
      </w:tr>
      <w:tr>
        <w:tblPrEx>
          <w:tblInd w:w="15.6pt" w:type="dxa"/>
          <w:tblLayout w:type="fixed"/>
          <w:tblCellMar>
            <w:start w:w="5.4pt" w:type="dxa"/>
            <w:end w:w="5.4pt" w:type="dxa"/>
          </w:tblCellMar>
          <w:tblLook/>
        </w:tblPrEx>
        <w:trPr>
          <w:cantSplit/>
        </w:trPr>
        <w:tc>
          <w:tcPr>
            <w:tcW w:w="103.2pt" w:type="dxa"/>
            <w:tcBorders>
              <w:start w:val="single" w:sz="8" w:space="0" w:color="auto"/>
              <w:bottom w:val="single" w:sz="8" w:space="0" w:color="auto"/>
              <w:end w:val="single" w:sz="2" w:space="0" w:color="auto"/>
            </w:tcBorders>
          </w:tcPr>
          <w:p>
            <w:pPr>
              <w:spacing w:before="60" w:after="60"/>
            </w:pPr>
            <w:r>
              <w:t>Commitments</w:t>
            </w:r>
          </w:p>
        </w:tc>
        <w:tc>
          <w:tcPr>
            <w:tcW w:w="52.75pt" w:type="dxa"/>
            <w:tcBorders>
              <w:bottom w:val="single" w:sz="8" w:space="0" w:color="auto"/>
              <w:end w:val="single" w:sz="2" w:space="0" w:color="auto"/>
            </w:tcBorders>
          </w:tcPr>
          <w:p>
            <w:pPr>
              <w:spacing w:before="60" w:after="60"/>
              <w:rPr>
                <w:sz w:val="22"/>
              </w:rPr>
            </w:pPr>
            <w:r>
              <w:rPr>
                <w:sz w:val="22"/>
              </w:rPr>
              <w:t>29.300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29.800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30.000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29.800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29.800</w:t>
            </w:r>
          </w:p>
        </w:tc>
        <w:tc>
          <w:tcPr>
            <w:tcW w:w="46.4pt" w:type="dxa"/>
            <w:tcBorders>
              <w:top w:val="single" w:sz="8" w:space="0" w:color="auto"/>
              <w:bottom w:val="single" w:sz="8" w:space="0" w:color="auto"/>
              <w:end w:val="single" w:sz="8" w:space="0" w:color="auto"/>
            </w:tcBorders>
          </w:tcPr>
          <w:p>
            <w:pPr>
              <w:spacing w:before="60" w:after="60"/>
              <w:rPr>
                <w:sz w:val="22"/>
              </w:rPr>
            </w:pPr>
          </w:p>
        </w:tc>
        <w:tc>
          <w:tcPr>
            <w:tcW w:w="49.6pt" w:type="dxa"/>
            <w:tcBorders>
              <w:top w:val="single" w:sz="8" w:space="0" w:color="auto"/>
              <w:start w:val="single" w:sz="8" w:space="0" w:color="auto"/>
              <w:bottom w:val="single" w:sz="8" w:space="0" w:color="auto"/>
              <w:end w:val="single" w:sz="8" w:space="0" w:color="auto"/>
            </w:tcBorders>
          </w:tcPr>
          <w:p>
            <w:pPr>
              <w:spacing w:before="60" w:after="60"/>
              <w:rPr>
                <w:sz w:val="22"/>
              </w:rPr>
            </w:pPr>
            <w:r>
              <w:rPr>
                <w:sz w:val="22"/>
              </w:rPr>
              <w:t>148.700</w:t>
            </w:r>
          </w:p>
        </w:tc>
      </w:tr>
      <w:tr>
        <w:tblPrEx>
          <w:tblInd w:w="15.6pt" w:type="dxa"/>
          <w:tblLayout w:type="fixed"/>
          <w:tblCellMar>
            <w:start w:w="5.4pt" w:type="dxa"/>
            <w:end w:w="5.4pt" w:type="dxa"/>
          </w:tblCellMar>
          <w:tblLook/>
        </w:tblPrEx>
        <w:trPr>
          <w:cantSplit/>
        </w:trPr>
        <w:tc>
          <w:tcPr>
            <w:tcW w:w="103.2pt" w:type="dxa"/>
            <w:tcBorders>
              <w:top w:val="single" w:sz="8" w:space="0" w:color="auto"/>
              <w:start w:val="single" w:sz="8" w:space="0" w:color="auto"/>
              <w:bottom w:val="single" w:sz="8" w:space="0" w:color="auto"/>
              <w:end w:val="single" w:sz="2" w:space="0" w:color="auto"/>
            </w:tcBorders>
          </w:tcPr>
          <w:p>
            <w:pPr>
              <w:spacing w:before="60" w:after="60"/>
            </w:pPr>
            <w:r>
              <w:t>Payments</w:t>
            </w:r>
          </w:p>
        </w:tc>
        <w:tc>
          <w:tcPr>
            <w:tcW w:w="52.75pt" w:type="dxa"/>
            <w:tcBorders>
              <w:bottom w:val="single" w:sz="8" w:space="0" w:color="auto"/>
              <w:end w:val="single" w:sz="2" w:space="0" w:color="auto"/>
            </w:tcBorders>
          </w:tcPr>
          <w:p>
            <w:pPr>
              <w:spacing w:before="60" w:after="60"/>
              <w:rPr>
                <w:sz w:val="22"/>
              </w:rPr>
            </w:pPr>
            <w:r>
              <w:rPr>
                <w:sz w:val="22"/>
              </w:rPr>
              <w:t>10.750</w:t>
            </w:r>
          </w:p>
        </w:tc>
        <w:tc>
          <w:tcPr>
            <w:tcW w:w="42.55pt" w:type="dxa"/>
            <w:tcBorders>
              <w:bottom w:val="single" w:sz="8" w:space="0" w:color="auto"/>
              <w:end w:val="single" w:sz="2" w:space="0" w:color="auto"/>
            </w:tcBorders>
          </w:tcPr>
          <w:p>
            <w:pPr>
              <w:spacing w:before="60" w:after="60"/>
              <w:rPr>
                <w:sz w:val="22"/>
              </w:rPr>
            </w:pPr>
            <w:r>
              <w:rPr>
                <w:sz w:val="22"/>
              </w:rPr>
              <w:t>23.600</w:t>
            </w:r>
          </w:p>
        </w:tc>
        <w:tc>
          <w:tcPr>
            <w:tcW w:w="42.55pt" w:type="dxa"/>
            <w:tcBorders>
              <w:bottom w:val="single" w:sz="8" w:space="0" w:color="auto"/>
              <w:end w:val="single" w:sz="2" w:space="0" w:color="auto"/>
            </w:tcBorders>
          </w:tcPr>
          <w:p>
            <w:pPr>
              <w:spacing w:before="60" w:after="60"/>
              <w:rPr>
                <w:sz w:val="22"/>
              </w:rPr>
            </w:pPr>
            <w:r>
              <w:rPr>
                <w:sz w:val="22"/>
              </w:rPr>
              <w:t>30.600</w:t>
            </w:r>
          </w:p>
        </w:tc>
        <w:tc>
          <w:tcPr>
            <w:tcW w:w="42.55pt" w:type="dxa"/>
            <w:tcBorders>
              <w:bottom w:val="single" w:sz="8" w:space="0" w:color="auto"/>
              <w:end w:val="single" w:sz="2" w:space="0" w:color="auto"/>
            </w:tcBorders>
          </w:tcPr>
          <w:p>
            <w:pPr>
              <w:spacing w:before="60" w:after="60"/>
              <w:rPr>
                <w:sz w:val="22"/>
              </w:rPr>
            </w:pPr>
            <w:r>
              <w:rPr>
                <w:sz w:val="22"/>
              </w:rPr>
              <w:t>30.600</w:t>
            </w:r>
          </w:p>
        </w:tc>
        <w:tc>
          <w:tcPr>
            <w:tcW w:w="42.55pt" w:type="dxa"/>
            <w:tcBorders>
              <w:bottom w:val="single" w:sz="8" w:space="0" w:color="auto"/>
              <w:end w:val="single" w:sz="2" w:space="0" w:color="auto"/>
            </w:tcBorders>
          </w:tcPr>
          <w:p>
            <w:pPr>
              <w:spacing w:before="60" w:after="60"/>
              <w:rPr>
                <w:sz w:val="22"/>
              </w:rPr>
            </w:pPr>
            <w:r>
              <w:rPr>
                <w:sz w:val="22"/>
              </w:rPr>
              <w:t>30.600</w:t>
            </w:r>
          </w:p>
        </w:tc>
        <w:tc>
          <w:tcPr>
            <w:tcW w:w="46.4pt" w:type="dxa"/>
            <w:tcBorders>
              <w:top w:val="single" w:sz="8" w:space="0" w:color="auto"/>
              <w:bottom w:val="single" w:sz="8" w:space="0" w:color="auto"/>
              <w:end w:val="single" w:sz="8" w:space="0" w:color="auto"/>
            </w:tcBorders>
          </w:tcPr>
          <w:p>
            <w:pPr>
              <w:spacing w:before="60" w:after="60"/>
              <w:rPr>
                <w:sz w:val="22"/>
              </w:rPr>
            </w:pPr>
            <w:r>
              <w:rPr>
                <w:sz w:val="22"/>
              </w:rPr>
              <w:t>22.550</w:t>
            </w:r>
          </w:p>
        </w:tc>
        <w:tc>
          <w:tcPr>
            <w:tcW w:w="49.6pt" w:type="dxa"/>
            <w:tcBorders>
              <w:top w:val="single" w:sz="8" w:space="0" w:color="auto"/>
              <w:start w:val="single" w:sz="8" w:space="0" w:color="auto"/>
              <w:bottom w:val="single" w:sz="8" w:space="0" w:color="auto"/>
              <w:end w:val="single" w:sz="8" w:space="0" w:color="auto"/>
            </w:tcBorders>
          </w:tcPr>
          <w:p>
            <w:pPr>
              <w:spacing w:before="60" w:after="60"/>
              <w:rPr>
                <w:sz w:val="22"/>
              </w:rPr>
            </w:pPr>
            <w:r>
              <w:rPr>
                <w:sz w:val="22"/>
              </w:rPr>
              <w:t>148.700</w:t>
            </w:r>
          </w:p>
        </w:tc>
      </w:tr>
    </w:tbl>
    <w:p>
      <w:pPr>
        <w:pStyle w:val="Point0"/>
        <w:rPr>
          <w:i/>
        </w:rPr>
      </w:pPr>
      <w:r>
        <w:t>(c)</w:t>
        <w:tab/>
        <w:t>Overall financial impact of human resources and other administrative expenditure</w:t>
        <w:br/>
      </w:r>
      <w:r>
        <w:rPr>
          <w:i/>
        </w:rPr>
        <w:t>(see points 7.2 and 7.3)</w:t>
      </w:r>
      <w:r>
        <w:t xml:space="preserve"> in Euro </w:t>
      </w:r>
    </w:p>
    <w:tbl>
      <w:tblPr>
        <w:tblInd w:w="15.6pt" w:type="dxa"/>
        <w:tblLayout w:type="fixed"/>
        <w:tblCellMar>
          <w:start w:w="5.4pt" w:type="dxa"/>
          <w:end w:w="5.4pt" w:type="dxa"/>
        </w:tblCellMar>
        <w:tblLook/>
      </w:tblPr>
      <w:tblGrid>
        <w:gridCol w:w="1639"/>
        <w:gridCol w:w="1134"/>
        <w:gridCol w:w="1134"/>
        <w:gridCol w:w="1134"/>
        <w:gridCol w:w="1134"/>
        <w:gridCol w:w="1134"/>
        <w:gridCol w:w="567"/>
        <w:gridCol w:w="1134"/>
      </w:tblGrid>
      <w:tr>
        <w:tblPrEx>
          <w:tblInd w:w="15.6pt" w:type="dxa"/>
          <w:tblLayout w:type="fixed"/>
          <w:tblCellMar>
            <w:start w:w="5.4pt" w:type="dxa"/>
            <w:end w:w="5.4pt" w:type="dxa"/>
          </w:tblCellMar>
          <w:tblLook/>
        </w:tblPrEx>
        <w:trPr>
          <w:cantSplit/>
        </w:trPr>
        <w:tc>
          <w:tcPr>
            <w:tcW w:w="81.95pt" w:type="dxa"/>
            <w:tcBorders>
              <w:top w:val="single" w:sz="4" w:space="0" w:color="auto"/>
              <w:start w:val="single" w:sz="4" w:space="0" w:color="auto"/>
              <w:bottom w:val="single" w:sz="4" w:space="0" w:color="auto"/>
            </w:tcBorders>
          </w:tcPr>
          <w:p>
            <w:pPr>
              <w:spacing w:before="60" w:after="60"/>
              <w:jc w:val="center"/>
              <w:rPr>
                <w:sz w:val="20"/>
              </w:rPr>
            </w:pPr>
            <w:r>
              <w:rPr>
                <w:sz w:val="20"/>
              </w:rPr>
              <w:t>Commitments/ payments</w:t>
            </w:r>
          </w:p>
        </w:tc>
        <w:tc>
          <w:tcPr>
            <w:tcW w:w="56.7pt" w:type="dxa"/>
            <w:tcBorders>
              <w:top w:val="single" w:sz="4" w:space="0" w:color="auto"/>
              <w:start w:val="single" w:sz="4" w:space="0" w:color="auto"/>
              <w:bottom w:val="single" w:sz="4" w:space="0" w:color="auto"/>
              <w:end w:val="single" w:sz="4" w:space="0" w:color="auto"/>
            </w:tcBorders>
          </w:tcPr>
          <w:p>
            <w:pPr>
              <w:spacing w:before="60" w:after="60"/>
              <w:rPr>
                <w:sz w:val="20"/>
              </w:rPr>
            </w:pPr>
            <w:r>
              <w:rPr>
                <w:sz w:val="20"/>
              </w:rPr>
              <w:t>2,358,500/</w:t>
              <w:br/>
              <w:t>2,358,500</w:t>
            </w:r>
          </w:p>
        </w:tc>
        <w:tc>
          <w:tcPr>
            <w:tcW w:w="56.7pt" w:type="dxa"/>
            <w:tcBorders>
              <w:top w:val="single" w:sz="4" w:space="0" w:color="auto"/>
              <w:start w:val="single" w:sz="4" w:space="0" w:color="auto"/>
              <w:bottom w:val="single" w:sz="4" w:space="0" w:color="auto"/>
              <w:end w:val="single" w:sz="4" w:space="0" w:color="auto"/>
            </w:tcBorders>
          </w:tcPr>
          <w:p>
            <w:pPr>
              <w:spacing w:before="60" w:after="60"/>
              <w:rPr>
                <w:sz w:val="20"/>
              </w:rPr>
            </w:pPr>
            <w:r>
              <w:rPr>
                <w:sz w:val="20"/>
              </w:rPr>
              <w:t>2,358,500/</w:t>
              <w:br/>
              <w:t>2,358,500</w:t>
            </w:r>
          </w:p>
        </w:tc>
        <w:tc>
          <w:tcPr>
            <w:tcW w:w="56.7pt" w:type="dxa"/>
            <w:tcBorders>
              <w:top w:val="single" w:sz="4" w:space="0" w:color="auto"/>
              <w:start w:val="single" w:sz="4" w:space="0" w:color="auto"/>
              <w:bottom w:val="single" w:sz="4" w:space="0" w:color="auto"/>
              <w:end w:val="single" w:sz="4" w:space="0" w:color="auto"/>
            </w:tcBorders>
          </w:tcPr>
          <w:p>
            <w:pPr>
              <w:spacing w:before="60" w:after="60"/>
              <w:rPr>
                <w:sz w:val="20"/>
              </w:rPr>
            </w:pPr>
            <w:r>
              <w:rPr>
                <w:sz w:val="20"/>
              </w:rPr>
              <w:t>2,358,500/2,358,500</w:t>
            </w:r>
          </w:p>
        </w:tc>
        <w:tc>
          <w:tcPr>
            <w:tcW w:w="56.7pt" w:type="dxa"/>
            <w:tcBorders>
              <w:top w:val="single" w:sz="4" w:space="0" w:color="auto"/>
              <w:start w:val="single" w:sz="4" w:space="0" w:color="auto"/>
              <w:bottom w:val="single" w:sz="4" w:space="0" w:color="auto"/>
              <w:end w:val="single" w:sz="4" w:space="0" w:color="auto"/>
            </w:tcBorders>
          </w:tcPr>
          <w:p>
            <w:pPr>
              <w:spacing w:before="60" w:after="60"/>
              <w:rPr>
                <w:sz w:val="20"/>
              </w:rPr>
            </w:pPr>
            <w:r>
              <w:rPr>
                <w:sz w:val="20"/>
              </w:rPr>
              <w:t>2,358,500/2,358,500</w:t>
            </w:r>
          </w:p>
        </w:tc>
        <w:tc>
          <w:tcPr>
            <w:tcW w:w="56.7pt" w:type="dxa"/>
            <w:tcBorders>
              <w:top w:val="single" w:sz="4" w:space="0" w:color="auto"/>
              <w:start w:val="single" w:sz="4" w:space="0" w:color="auto"/>
              <w:bottom w:val="single" w:sz="4" w:space="0" w:color="auto"/>
              <w:end w:val="single" w:sz="4" w:space="0" w:color="auto"/>
            </w:tcBorders>
          </w:tcPr>
          <w:p>
            <w:pPr>
              <w:spacing w:before="60" w:after="60"/>
              <w:rPr>
                <w:sz w:val="20"/>
              </w:rPr>
            </w:pPr>
            <w:r>
              <w:rPr>
                <w:sz w:val="20"/>
              </w:rPr>
              <w:t>2,358,500/2,358,500</w:t>
            </w:r>
          </w:p>
        </w:tc>
        <w:tc>
          <w:tcPr>
            <w:tcW w:w="28.35pt" w:type="dxa"/>
            <w:tcBorders>
              <w:top w:val="single" w:sz="4" w:space="0" w:color="auto"/>
              <w:start w:val="single" w:sz="4" w:space="0" w:color="auto"/>
              <w:bottom w:val="single" w:sz="4" w:space="0" w:color="auto"/>
              <w:end w:val="single" w:sz="4" w:space="0" w:color="auto"/>
            </w:tcBorders>
          </w:tcPr>
          <w:p>
            <w:pPr>
              <w:spacing w:before="60" w:after="60"/>
              <w:rPr>
                <w:sz w:val="20"/>
              </w:rPr>
            </w:pPr>
            <w:r>
              <w:rPr>
                <w:sz w:val="20"/>
              </w:rPr>
              <w:t>0</w:t>
            </w:r>
          </w:p>
        </w:tc>
        <w:tc>
          <w:tcPr>
            <w:tcW w:w="56.7pt" w:type="dxa"/>
            <w:tcBorders>
              <w:top w:val="single" w:sz="4" w:space="0" w:color="auto"/>
              <w:start w:val="single" w:sz="4" w:space="0" w:color="auto"/>
              <w:bottom w:val="single" w:sz="4" w:space="0" w:color="auto"/>
              <w:end w:val="single" w:sz="4" w:space="0" w:color="auto"/>
            </w:tcBorders>
          </w:tcPr>
          <w:p>
            <w:pPr>
              <w:spacing w:before="60" w:after="60"/>
              <w:rPr>
                <w:sz w:val="20"/>
              </w:rPr>
            </w:pPr>
            <w:r>
              <w:rPr>
                <w:sz w:val="20"/>
              </w:rPr>
              <w:t>11,792,500</w:t>
            </w:r>
          </w:p>
          <w:p>
            <w:pPr>
              <w:spacing w:before="60" w:after="60"/>
              <w:rPr>
                <w:sz w:val="20"/>
              </w:rPr>
            </w:pPr>
          </w:p>
        </w:tc>
      </w:tr>
    </w:tbl>
    <w:p>
      <w:pPr>
        <w:tabs>
          <w:tab w:val="end" w:pos="7655"/>
        </w:tabs>
      </w:pPr>
    </w:p>
    <w:tbl>
      <w:tblPr>
        <w:tblInd w:w="15.6pt" w:type="dxa"/>
        <w:tblLayout w:type="fixed"/>
        <w:tblCellMar>
          <w:start w:w="5.4pt" w:type="dxa"/>
          <w:end w:w="5.4pt" w:type="dxa"/>
        </w:tblCellMar>
        <w:tblLook/>
      </w:tblPr>
      <w:tblGrid>
        <w:gridCol w:w="1497"/>
        <w:gridCol w:w="1134"/>
        <w:gridCol w:w="1134"/>
        <w:gridCol w:w="1134"/>
        <w:gridCol w:w="1134"/>
        <w:gridCol w:w="1134"/>
        <w:gridCol w:w="1134"/>
        <w:gridCol w:w="1276"/>
      </w:tblGrid>
      <w:tr>
        <w:tblPrEx>
          <w:tblInd w:w="15.6pt" w:type="dxa"/>
          <w:tblLayout w:type="fixed"/>
          <w:tblCellMar>
            <w:start w:w="5.4pt" w:type="dxa"/>
            <w:end w:w="5.4pt" w:type="dxa"/>
          </w:tblCellMar>
          <w:tblLook/>
        </w:tblPrEx>
        <w:trPr>
          <w:cantSplit/>
        </w:trPr>
        <w:tc>
          <w:tcPr>
            <w:tcW w:w="74.85pt" w:type="dxa"/>
            <w:tcBorders>
              <w:top w:val="single" w:sz="8" w:space="0" w:color="auto"/>
              <w:start w:val="single" w:sz="8" w:space="0" w:color="auto"/>
              <w:end w:val="single" w:sz="8" w:space="0" w:color="auto"/>
            </w:tcBorders>
          </w:tcPr>
          <w:p>
            <w:pPr>
              <w:spacing w:before="60" w:after="60"/>
              <w:jc w:val="center"/>
              <w:rPr>
                <w:sz w:val="20"/>
              </w:rPr>
            </w:pPr>
            <w:r>
              <w:rPr>
                <w:sz w:val="20"/>
              </w:rPr>
              <w:t>TOTAL a+b+c</w:t>
            </w:r>
          </w:p>
        </w:tc>
        <w:tc>
          <w:tcPr>
            <w:tcW w:w="56.7pt" w:type="dxa"/>
          </w:tcPr>
          <w:p>
            <w:pPr>
              <w:spacing w:before="60" w:after="60"/>
              <w:rPr>
                <w:sz w:val="20"/>
              </w:rPr>
            </w:pPr>
          </w:p>
        </w:tc>
        <w:tc>
          <w:tcPr>
            <w:tcW w:w="56.7pt" w:type="dxa"/>
          </w:tcPr>
          <w:p>
            <w:pPr>
              <w:spacing w:before="60" w:after="60"/>
              <w:rPr>
                <w:sz w:val="20"/>
              </w:rPr>
            </w:pPr>
          </w:p>
        </w:tc>
        <w:tc>
          <w:tcPr>
            <w:tcW w:w="56.7pt" w:type="dxa"/>
          </w:tcPr>
          <w:p>
            <w:pPr>
              <w:spacing w:before="60" w:after="60"/>
              <w:rPr>
                <w:sz w:val="20"/>
              </w:rPr>
            </w:pPr>
          </w:p>
        </w:tc>
        <w:tc>
          <w:tcPr>
            <w:tcW w:w="56.7pt" w:type="dxa"/>
          </w:tcPr>
          <w:p>
            <w:pPr>
              <w:spacing w:before="60" w:after="60"/>
              <w:rPr>
                <w:sz w:val="20"/>
              </w:rPr>
            </w:pPr>
          </w:p>
        </w:tc>
        <w:tc>
          <w:tcPr>
            <w:tcW w:w="56.7pt" w:type="dxa"/>
          </w:tcPr>
          <w:p>
            <w:pPr>
              <w:spacing w:before="60" w:after="60"/>
              <w:rPr>
                <w:sz w:val="20"/>
              </w:rPr>
            </w:pPr>
          </w:p>
        </w:tc>
        <w:tc>
          <w:tcPr>
            <w:tcW w:w="56.7pt" w:type="dxa"/>
          </w:tcPr>
          <w:p>
            <w:pPr>
              <w:spacing w:before="60" w:after="60"/>
              <w:rPr>
                <w:sz w:val="20"/>
              </w:rPr>
            </w:pPr>
          </w:p>
        </w:tc>
        <w:tc>
          <w:tcPr>
            <w:tcW w:w="63.8pt" w:type="dxa"/>
          </w:tcPr>
          <w:p>
            <w:pPr>
              <w:spacing w:before="60" w:after="60"/>
              <w:rPr>
                <w:sz w:val="20"/>
              </w:rPr>
            </w:pPr>
          </w:p>
        </w:tc>
      </w:tr>
      <w:tr>
        <w:tblPrEx>
          <w:tblInd w:w="15.6pt" w:type="dxa"/>
          <w:tblLayout w:type="fixed"/>
          <w:tblCellMar>
            <w:start w:w="5.4pt" w:type="dxa"/>
            <w:end w:w="5.4pt" w:type="dxa"/>
          </w:tblCellMar>
          <w:tblLook/>
        </w:tblPrEx>
        <w:trPr>
          <w:cantSplit/>
        </w:trPr>
        <w:tc>
          <w:tcPr>
            <w:tcW w:w="74.85pt" w:type="dxa"/>
            <w:tcBorders>
              <w:top w:val="single" w:sz="8" w:space="0" w:color="auto"/>
              <w:start w:val="single" w:sz="8" w:space="0" w:color="auto"/>
              <w:bottom w:val="single" w:sz="8" w:space="0" w:color="auto"/>
              <w:end w:val="single" w:sz="8" w:space="0" w:color="auto"/>
            </w:tcBorders>
          </w:tcPr>
          <w:p>
            <w:pPr>
              <w:spacing w:before="60" w:after="60"/>
              <w:rPr>
                <w:sz w:val="20"/>
              </w:rPr>
            </w:pPr>
            <w:r>
              <w:rPr>
                <w:sz w:val="20"/>
              </w:rPr>
              <w:t>Commitments</w:t>
            </w:r>
          </w:p>
        </w:tc>
        <w:tc>
          <w:tcPr>
            <w:tcW w:w="56.7pt" w:type="dxa"/>
            <w:tcBorders>
              <w:top w:val="single" w:sz="8" w:space="0" w:color="auto"/>
              <w:end w:val="single" w:sz="2" w:space="0" w:color="auto"/>
            </w:tcBorders>
          </w:tcPr>
          <w:p>
            <w:pPr>
              <w:spacing w:before="60" w:after="60"/>
              <w:rPr>
                <w:sz w:val="20"/>
              </w:rPr>
            </w:pPr>
            <w:r>
              <w:rPr>
                <w:sz w:val="20"/>
              </w:rPr>
              <w:t>31,658,500</w:t>
            </w:r>
          </w:p>
        </w:tc>
        <w:tc>
          <w:tcPr>
            <w:tcW w:w="56.7pt" w:type="dxa"/>
            <w:tcBorders>
              <w:top w:val="single" w:sz="8" w:space="0" w:color="auto"/>
              <w:end w:val="single" w:sz="2" w:space="0" w:color="auto"/>
            </w:tcBorders>
          </w:tcPr>
          <w:p>
            <w:pPr>
              <w:spacing w:before="60" w:after="60"/>
              <w:rPr>
                <w:sz w:val="20"/>
              </w:rPr>
            </w:pPr>
            <w:r>
              <w:rPr>
                <w:sz w:val="20"/>
              </w:rPr>
              <w:t>32,158,500</w:t>
            </w:r>
          </w:p>
        </w:tc>
        <w:tc>
          <w:tcPr>
            <w:tcW w:w="56.7pt" w:type="dxa"/>
            <w:tcBorders>
              <w:top w:val="single" w:sz="8" w:space="0" w:color="auto"/>
              <w:end w:val="single" w:sz="2" w:space="0" w:color="auto"/>
            </w:tcBorders>
          </w:tcPr>
          <w:p>
            <w:pPr>
              <w:spacing w:before="60" w:after="60"/>
              <w:rPr>
                <w:sz w:val="20"/>
              </w:rPr>
            </w:pPr>
            <w:r>
              <w:rPr>
                <w:sz w:val="20"/>
              </w:rPr>
              <w:t>32,358,500</w:t>
            </w:r>
          </w:p>
        </w:tc>
        <w:tc>
          <w:tcPr>
            <w:tcW w:w="56.7pt" w:type="dxa"/>
            <w:tcBorders>
              <w:top w:val="single" w:sz="8" w:space="0" w:color="auto"/>
              <w:end w:val="single" w:sz="2" w:space="0" w:color="auto"/>
            </w:tcBorders>
          </w:tcPr>
          <w:p>
            <w:pPr>
              <w:spacing w:before="60" w:after="60"/>
              <w:rPr>
                <w:sz w:val="20"/>
              </w:rPr>
            </w:pPr>
            <w:r>
              <w:rPr>
                <w:sz w:val="20"/>
              </w:rPr>
              <w:t>32,158,500</w:t>
            </w:r>
          </w:p>
        </w:tc>
        <w:tc>
          <w:tcPr>
            <w:tcW w:w="56.7pt" w:type="dxa"/>
            <w:tcBorders>
              <w:top w:val="single" w:sz="8" w:space="0" w:color="auto"/>
              <w:end w:val="single" w:sz="2" w:space="0" w:color="auto"/>
            </w:tcBorders>
          </w:tcPr>
          <w:p>
            <w:pPr>
              <w:spacing w:before="60" w:after="60"/>
              <w:rPr>
                <w:sz w:val="20"/>
              </w:rPr>
            </w:pPr>
            <w:r>
              <w:rPr>
                <w:sz w:val="20"/>
              </w:rPr>
              <w:t>32,158,500</w:t>
            </w:r>
          </w:p>
        </w:tc>
        <w:tc>
          <w:tcPr>
            <w:tcW w:w="56.7pt" w:type="dxa"/>
            <w:tcBorders>
              <w:top w:val="single" w:sz="8" w:space="0" w:color="auto"/>
              <w:bottom w:val="single" w:sz="8" w:space="0" w:color="auto"/>
              <w:end w:val="single" w:sz="8" w:space="0" w:color="auto"/>
            </w:tcBorders>
          </w:tcPr>
          <w:p>
            <w:pPr>
              <w:spacing w:before="60" w:after="60"/>
              <w:rPr>
                <w:sz w:val="20"/>
              </w:rPr>
            </w:pPr>
          </w:p>
        </w:tc>
        <w:tc>
          <w:tcPr>
            <w:tcW w:w="63.8pt" w:type="dxa"/>
            <w:tcBorders>
              <w:top w:val="single" w:sz="8" w:space="0" w:color="auto"/>
              <w:start w:val="single" w:sz="8" w:space="0" w:color="auto"/>
              <w:bottom w:val="single" w:sz="8" w:space="0" w:color="auto"/>
              <w:end w:val="single" w:sz="8" w:space="0" w:color="auto"/>
            </w:tcBorders>
          </w:tcPr>
          <w:p>
            <w:pPr>
              <w:spacing w:before="60" w:after="60"/>
              <w:rPr>
                <w:sz w:val="20"/>
              </w:rPr>
            </w:pPr>
            <w:r>
              <w:rPr>
                <w:sz w:val="20"/>
              </w:rPr>
              <w:t>160,492,500</w:t>
            </w:r>
          </w:p>
        </w:tc>
      </w:tr>
      <w:tr>
        <w:tblPrEx>
          <w:tblInd w:w="15.6pt" w:type="dxa"/>
          <w:tblLayout w:type="fixed"/>
          <w:tblCellMar>
            <w:start w:w="5.4pt" w:type="dxa"/>
            <w:end w:w="5.4pt" w:type="dxa"/>
          </w:tblCellMar>
          <w:tblLook/>
        </w:tblPrEx>
        <w:trPr>
          <w:cantSplit/>
        </w:trPr>
        <w:tc>
          <w:tcPr>
            <w:tcW w:w="74.85pt" w:type="dxa"/>
            <w:tcBorders>
              <w:start w:val="single" w:sz="8" w:space="0" w:color="auto"/>
              <w:bottom w:val="single" w:sz="8" w:space="0" w:color="auto"/>
              <w:end w:val="single" w:sz="8" w:space="0" w:color="auto"/>
            </w:tcBorders>
          </w:tcPr>
          <w:p>
            <w:pPr>
              <w:spacing w:before="60" w:after="60"/>
              <w:rPr>
                <w:sz w:val="20"/>
              </w:rPr>
            </w:pPr>
            <w:r>
              <w:rPr>
                <w:sz w:val="20"/>
              </w:rPr>
              <w:t>Payments</w:t>
            </w:r>
          </w:p>
        </w:tc>
        <w:tc>
          <w:tcPr>
            <w:tcW w:w="56.7pt" w:type="dxa"/>
            <w:tcBorders>
              <w:top w:val="single" w:sz="8" w:space="0" w:color="auto"/>
              <w:bottom w:val="single" w:sz="8" w:space="0" w:color="auto"/>
              <w:end w:val="single" w:sz="2" w:space="0" w:color="auto"/>
            </w:tcBorders>
          </w:tcPr>
          <w:p>
            <w:pPr>
              <w:spacing w:before="60" w:after="60"/>
              <w:rPr>
                <w:sz w:val="20"/>
              </w:rPr>
            </w:pPr>
            <w:r>
              <w:rPr>
                <w:sz w:val="20"/>
              </w:rPr>
              <w:t>13,108,500</w:t>
            </w:r>
          </w:p>
        </w:tc>
        <w:tc>
          <w:tcPr>
            <w:tcW w:w="56.7pt" w:type="dxa"/>
            <w:tcBorders>
              <w:top w:val="single" w:sz="8" w:space="0" w:color="auto"/>
              <w:bottom w:val="single" w:sz="8" w:space="0" w:color="auto"/>
              <w:end w:val="single" w:sz="2" w:space="0" w:color="auto"/>
            </w:tcBorders>
          </w:tcPr>
          <w:p>
            <w:pPr>
              <w:spacing w:before="60" w:after="60"/>
              <w:rPr>
                <w:sz w:val="20"/>
              </w:rPr>
            </w:pPr>
            <w:r>
              <w:rPr>
                <w:sz w:val="20"/>
              </w:rPr>
              <w:t>25,958,500</w:t>
            </w:r>
          </w:p>
        </w:tc>
        <w:tc>
          <w:tcPr>
            <w:tcW w:w="56.7pt" w:type="dxa"/>
            <w:tcBorders>
              <w:top w:val="single" w:sz="8" w:space="0" w:color="auto"/>
              <w:bottom w:val="single" w:sz="8" w:space="0" w:color="auto"/>
              <w:end w:val="single" w:sz="2" w:space="0" w:color="auto"/>
            </w:tcBorders>
          </w:tcPr>
          <w:p>
            <w:pPr>
              <w:spacing w:before="60" w:after="60"/>
              <w:rPr>
                <w:sz w:val="20"/>
              </w:rPr>
            </w:pPr>
            <w:r>
              <w:rPr>
                <w:sz w:val="20"/>
              </w:rPr>
              <w:t>32,958,500</w:t>
            </w:r>
          </w:p>
        </w:tc>
        <w:tc>
          <w:tcPr>
            <w:tcW w:w="56.7pt" w:type="dxa"/>
            <w:tcBorders>
              <w:top w:val="single" w:sz="8" w:space="0" w:color="auto"/>
              <w:bottom w:val="single" w:sz="8" w:space="0" w:color="auto"/>
              <w:end w:val="single" w:sz="2" w:space="0" w:color="auto"/>
            </w:tcBorders>
          </w:tcPr>
          <w:p>
            <w:pPr>
              <w:spacing w:before="60" w:after="60"/>
              <w:rPr>
                <w:sz w:val="20"/>
              </w:rPr>
            </w:pPr>
            <w:r>
              <w:rPr>
                <w:sz w:val="20"/>
              </w:rPr>
              <w:t>32,958,500</w:t>
            </w:r>
          </w:p>
        </w:tc>
        <w:tc>
          <w:tcPr>
            <w:tcW w:w="56.7pt" w:type="dxa"/>
            <w:tcBorders>
              <w:top w:val="single" w:sz="8" w:space="0" w:color="auto"/>
              <w:bottom w:val="single" w:sz="8" w:space="0" w:color="auto"/>
              <w:end w:val="single" w:sz="2" w:space="0" w:color="auto"/>
            </w:tcBorders>
          </w:tcPr>
          <w:p>
            <w:pPr>
              <w:spacing w:before="60" w:after="60"/>
              <w:rPr>
                <w:sz w:val="20"/>
              </w:rPr>
            </w:pPr>
            <w:r>
              <w:rPr>
                <w:sz w:val="20"/>
              </w:rPr>
              <w:t>32,958,500</w:t>
            </w:r>
          </w:p>
        </w:tc>
        <w:tc>
          <w:tcPr>
            <w:tcW w:w="56.7pt" w:type="dxa"/>
            <w:tcBorders>
              <w:top w:val="single" w:sz="8" w:space="0" w:color="auto"/>
              <w:bottom w:val="single" w:sz="8" w:space="0" w:color="auto"/>
              <w:end w:val="single" w:sz="8" w:space="0" w:color="auto"/>
            </w:tcBorders>
          </w:tcPr>
          <w:p>
            <w:pPr>
              <w:spacing w:before="60" w:after="60"/>
              <w:rPr>
                <w:sz w:val="20"/>
              </w:rPr>
            </w:pPr>
            <w:r>
              <w:rPr>
                <w:sz w:val="20"/>
              </w:rPr>
              <w:t>22,550,000</w:t>
            </w:r>
          </w:p>
        </w:tc>
        <w:tc>
          <w:tcPr>
            <w:tcW w:w="63.8pt" w:type="dxa"/>
            <w:tcBorders>
              <w:top w:val="single" w:sz="8" w:space="0" w:color="auto"/>
              <w:start w:val="single" w:sz="8" w:space="0" w:color="auto"/>
              <w:bottom w:val="single" w:sz="8" w:space="0" w:color="auto"/>
              <w:end w:val="single" w:sz="8" w:space="0" w:color="auto"/>
            </w:tcBorders>
          </w:tcPr>
          <w:p>
            <w:pPr>
              <w:spacing w:before="60" w:after="60"/>
              <w:rPr>
                <w:sz w:val="20"/>
              </w:rPr>
            </w:pPr>
            <w:r>
              <w:rPr>
                <w:sz w:val="20"/>
              </w:rPr>
              <w:t>160,492,500</w:t>
            </w:r>
          </w:p>
        </w:tc>
      </w:tr>
    </w:tbl>
    <w:p/>
    <w:p/>
    <w:p/>
    <w:p>
      <w:pPr>
        <w:pStyle w:val="RefVer"/>
      </w:pPr>
      <w:r>
        <w:br w:type="page"/>
      </w:r>
    </w:p>
    <w:p>
      <w:pPr>
        <w:pStyle w:val="ZDate"/>
      </w:pPr>
      <w:r>
        <w:rPr>
          <w:rStyle w:val="HideTWBExt"/>
          <w:lang w:val="en-GB"/>
        </w:rPr>
        <w:t>&lt;Date&gt;</w:t>
      </w:r>
      <w:r>
        <w:rPr>
          <w:rStyle w:val="HideTWBInt"/>
        </w:rPr>
        <w:t>{06/10/2003}</w:t>
      </w:r>
      <w:r>
        <w:t>6 October 2003</w:t>
      </w:r>
      <w:r>
        <w:rPr>
          <w:rStyle w:val="HideTWBExt"/>
          <w:lang w:val="en-GB"/>
        </w:rPr>
        <w:t>&lt;/Date&gt;</w:t>
      </w:r>
    </w:p>
    <w:p>
      <w:pPr>
        <w:pStyle w:val="PageHeading"/>
      </w:pPr>
      <w:bookmarkStart w:id="4" w:name="_Toc54689460"/>
      <w:r>
        <w:t xml:space="preserve">OPINION </w:t>
      </w:r>
      <w:r>
        <w:rPr>
          <w:rStyle w:val="HideTWBExt"/>
          <w:lang w:val="en-GB"/>
        </w:rPr>
        <w:t>&lt;CommissionResp&gt;</w:t>
      </w:r>
      <w:bookmarkStart w:id="5" w:name="OpinionToc_1"/>
      <w:r>
        <w:rPr>
          <w:caps/>
        </w:rPr>
        <w:t xml:space="preserve">of the </w:t>
      </w:r>
      <w:r>
        <w:rPr>
          <w:rStyle w:val="HideTWBInt"/>
          <w:caps/>
        </w:rPr>
        <w:t>{BUDG}</w:t>
      </w:r>
      <w:r>
        <w:rPr>
          <w:caps/>
        </w:rPr>
        <w:t>Committee on Budgets</w:t>
      </w:r>
      <w:bookmarkEnd w:id="5"/>
      <w:bookmarkEnd w:id="4"/>
      <w:r>
        <w:rPr>
          <w:rStyle w:val="HideTWBExt"/>
          <w:lang w:val="en-GB"/>
        </w:rPr>
        <w:t>&lt;/CommissionResp&gt;</w:t>
      </w:r>
    </w:p>
    <w:p>
      <w:r>
        <w:rPr>
          <w:rStyle w:val="HideTWBExt"/>
          <w:lang w:val="en-GB"/>
        </w:rPr>
        <w:t>&lt;CommissionInt&gt;</w:t>
      </w:r>
      <w:r>
        <w:t xml:space="preserve">for the </w:t>
      </w:r>
      <w:r>
        <w:rPr>
          <w:rStyle w:val="HideTWBInt"/>
        </w:rPr>
        <w:t>{ITRE}</w:t>
      </w:r>
      <w:r>
        <w:t>Committee on Industry, External Trade, Research and Energy</w:t>
      </w:r>
    </w:p>
    <w:p>
      <w:pPr>
        <w:pStyle w:val="Cover24"/>
        <w:ind w:start="0"/>
      </w:pPr>
    </w:p>
    <w:p>
      <w:pPr>
        <w:pStyle w:val="Cover24"/>
        <w:ind w:start="0"/>
      </w:pPr>
      <w:r>
        <w:rPr>
          <w:rStyle w:val="HideTWBExt"/>
          <w:lang w:val="en-GB"/>
        </w:rPr>
        <w:t>&lt;/CommissionInt&gt;&lt;Titre&gt;</w:t>
      </w:r>
      <w:r>
        <w:t>on the proposal for a European Parliament and Council decision on  Interoperable Delivery of pan-European eGovernment Services to Public Administrations, Businesses and Citizens (IDABC)</w:t>
      </w:r>
      <w:r>
        <w:rPr>
          <w:rStyle w:val="HideTWBExt"/>
          <w:lang w:val="en-GB"/>
        </w:rPr>
        <w:t>&lt;/Titre&gt;</w:t>
      </w:r>
      <w:r>
        <w:t xml:space="preserve"> </w:t>
      </w:r>
    </w:p>
    <w:p>
      <w:pPr>
        <w:pStyle w:val="Cover24"/>
        <w:ind w:start="0"/>
      </w:pPr>
      <w:r>
        <w:rPr>
          <w:rStyle w:val="HideTWBExt"/>
          <w:lang w:val="en-GB"/>
        </w:rPr>
        <w:t>&lt;DocRef&gt;</w:t>
      </w:r>
      <w:r>
        <w:t>(COM(2003) 406 – C5</w:t>
      </w:r>
      <w:r>
        <w:noBreakHyphen/>
        <w:t>0310/2003 – 2003/0147(COD))</w:t>
      </w:r>
      <w:r>
        <w:rPr>
          <w:rStyle w:val="HideTWBExt"/>
          <w:lang w:val="en-GB"/>
        </w:rPr>
        <w:t>&lt;/DocRef&gt;</w:t>
      </w:r>
    </w:p>
    <w:p>
      <w:pPr>
        <w:pStyle w:val="Cover12"/>
        <w:ind w:start="0"/>
      </w:pPr>
      <w:r>
        <w:t xml:space="preserve">Draftsman: </w:t>
      </w:r>
      <w:r>
        <w:rPr>
          <w:rStyle w:val="HideTWBExt"/>
          <w:lang w:val="en-GB"/>
        </w:rPr>
        <w:t>&lt;Depute&gt;</w:t>
      </w:r>
      <w:r>
        <w:t>Franz Turchi</w:t>
      </w:r>
      <w:r>
        <w:rPr>
          <w:rStyle w:val="HideTWBExt"/>
          <w:lang w:val="en-GB"/>
        </w:rPr>
        <w:t>&lt;/Depute&gt;</w:t>
      </w:r>
    </w:p>
    <w:p>
      <w:pPr>
        <w:widowControl/>
        <w:tabs>
          <w:tab w:val="center" w:pos="4677"/>
        </w:tabs>
      </w:pPr>
    </w:p>
    <w:p>
      <w:pPr>
        <w:pStyle w:val="PageHeadingNotTOC"/>
      </w:pPr>
      <w:r>
        <w:t>PROCEDURE</w:t>
      </w:r>
    </w:p>
    <w:p>
      <w:pPr>
        <w:pStyle w:val="Normal12"/>
      </w:pPr>
      <w:r>
        <w:t xml:space="preserve">The </w:t>
      </w:r>
      <w:r>
        <w:rPr>
          <w:rStyle w:val="HideTWBInt"/>
        </w:rPr>
        <w:t>{BUDG}</w:t>
      </w:r>
      <w:r>
        <w:t xml:space="preserve">Committee on Budgets appointed Franz Turchi draftsman at its meeting of </w:t>
      </w:r>
      <w:r>
        <w:rPr>
          <w:rStyle w:val="HideTWBInt"/>
        </w:rPr>
        <w:t>{11/09/2003}</w:t>
      </w:r>
      <w:r>
        <w:t>11 September 2003.</w:t>
      </w:r>
    </w:p>
    <w:p>
      <w:pPr>
        <w:pStyle w:val="Normal12"/>
      </w:pPr>
      <w:r>
        <w:t>It considered the draft opinion at its meeting of 6 October 2003.</w:t>
      </w:r>
    </w:p>
    <w:p>
      <w:pPr>
        <w:pStyle w:val="Normal12"/>
      </w:pPr>
      <w:r>
        <w:t>At the latter meeting it adopted the following amendments unanimously.</w:t>
      </w:r>
    </w:p>
    <w:p>
      <w:pPr>
        <w:pStyle w:val="Normal12"/>
      </w:pPr>
      <w:r>
        <w:t>The following were present for the vote Terence Wynn (chairman), Reimer Böge (vice-chairman), Anne Elisabet Jensen (vice-chairman) Franz Turchi (draftsman), Ioannis Averoff, Joan Colom i Naval, Den Dover, Bárbara Dührkop Dührkop, Catherine Guy-Quint, Jutta D. Haug, María Esther Herranz García, Constanze Angela Krehl, John Joseph McCartin, Jan Mulder, Juan Andrés Naranjo Escobar, Per Stenmarck and Brigitte Wenzel-Perillo.</w:t>
      </w:r>
    </w:p>
    <w:p>
      <w:pPr>
        <w:pStyle w:val="PageHeadingNotTOC"/>
      </w:pPr>
      <w:r>
        <w:br w:type="page"/>
        <w:t>SHORT JUSTIFICATION</w:t>
      </w:r>
    </w:p>
    <w:p>
      <w:pPr>
        <w:rPr>
          <w:b/>
        </w:rPr>
      </w:pPr>
    </w:p>
    <w:p>
      <w:pPr>
        <w:rPr>
          <w:b/>
        </w:rPr>
      </w:pPr>
      <w:r>
        <w:rPr>
          <w:b/>
        </w:rPr>
        <w:t>Background</w:t>
      </w:r>
    </w:p>
    <w:p/>
    <w:p>
      <w:pPr>
        <w:widowControl/>
        <w:spacing w:before="120" w:after="120"/>
        <w:ind w:start="357" w:hanging="357"/>
        <w:jc w:val="both"/>
      </w:pPr>
      <w:r>
        <w:t>1.</w:t>
        <w:tab/>
        <w:t>Member States and the European Commission increasingly share the responsibility for the implementation of a broad range of legislative acts. This requires the development of new ways of working together, using information technology and telematic networks. Consequently, in its action plan for eEurope 2005 endorsed in Seville in June 2002, the European Council underlines the importance of eGovernment and in particular the establishment of pan-European eGovernment services to businesses and citizens in support of cross-border activities.</w:t>
      </w:r>
    </w:p>
    <w:p>
      <w:pPr>
        <w:widowControl/>
        <w:spacing w:before="120" w:after="120"/>
        <w:ind w:start="357" w:hanging="357"/>
        <w:jc w:val="both"/>
      </w:pPr>
      <w:r>
        <w:t>2.</w:t>
        <w:tab/>
        <w:t>The present proposal establishes a follow-on programme on IDA II (Interchange of Data between Administrations Programme) that is due to expire on 31 December 2004. IDA II has provided a forum for exchange of ideas and experiences and has led to the establishment of a big variety of operational trans-European networks between national public administrations as well as between these, the European Commission and the other European Union institutions. It has thus been instrumental to achieve a steady progress in the co-operation between European Commission and Member States' public administrations.</w:t>
      </w:r>
    </w:p>
    <w:p>
      <w:pPr>
        <w:widowControl/>
        <w:spacing w:before="120" w:after="120"/>
        <w:ind w:start="357" w:hanging="357"/>
        <w:jc w:val="both"/>
      </w:pPr>
      <w:r>
        <w:t>3.</w:t>
        <w:tab/>
        <w:t>The new IDABC-Programme (Interoperable Delivery of pan-European eGovernment Services to Public Administration, Businesses and Citizens) will draw on the expertise gathered in IDA II and is expected to strongly contribute to the further development of pan-European eGovernment services. It will better enable the Member States and the Community to implement, within their respective areas of competence, the Community policies and activities referred to in Articles 3 and 4 of the Treaty.</w:t>
      </w:r>
    </w:p>
    <w:p>
      <w:pPr>
        <w:widowControl/>
        <w:spacing w:before="120" w:after="120"/>
        <w:ind w:start="357" w:hanging="357"/>
        <w:jc w:val="both"/>
      </w:pPr>
      <w:r>
        <w:t>4.</w:t>
        <w:tab/>
        <w:t>IDABC is a five-year programme (2005 - 2009). In comparison to the IDA II Programme its annual budget has been increased by about 20% to cover expenditures relating to the full integration of the new Member States. IDABC has also a broader scope in so far as it encompasses networks as well as services extending the benefits of the interaction between administrations to businesses and citizens.</w:t>
      </w:r>
    </w:p>
    <w:p>
      <w:pPr>
        <w:widowControl/>
        <w:spacing w:before="120" w:after="120"/>
        <w:ind w:start="357" w:hanging="357"/>
        <w:jc w:val="both"/>
      </w:pPr>
      <w:r>
        <w:t>5.</w:t>
        <w:tab/>
        <w:t>Along these lines, IDABC will comprise two strands</w:t>
      </w:r>
    </w:p>
    <w:p>
      <w:pPr>
        <w:ind w:firstLine="357"/>
      </w:pPr>
      <w:r>
        <w:t>- projects of Common Interest in support of sectoral policies and</w:t>
      </w:r>
    </w:p>
    <w:p>
      <w:pPr>
        <w:ind w:firstLine="357"/>
      </w:pPr>
      <w:r>
        <w:t>- horizontal measures in support of interoperability, mainly infrastructure services.</w:t>
      </w:r>
    </w:p>
    <w:p>
      <w:pPr>
        <w:widowControl/>
        <w:spacing w:before="120" w:after="120"/>
        <w:ind w:start="357" w:hanging="357"/>
        <w:jc w:val="both"/>
      </w:pPr>
      <w:r>
        <w:t>6.</w:t>
        <w:tab/>
        <w:t>In order to strengthen the selection of projects of Common Interest and horizontal measures to be funded under the Programme, a comprehensive global implementation plan will be required from each of them. This plan must also contain concrete information on the financial and operational sustainability of the projects during the post-implementation phase.</w:t>
      </w:r>
    </w:p>
    <w:p>
      <w:pPr>
        <w:widowControl/>
        <w:spacing w:before="120" w:after="120"/>
        <w:ind w:start="357" w:hanging="357"/>
        <w:jc w:val="both"/>
      </w:pPr>
      <w:r>
        <w:t>7.</w:t>
        <w:tab/>
        <w:t>Since the need for pan-European eGovernment services and interoperability of telematic networks does not stop at the borders of the European Union, the possibility of extending the scope of the Programme to third countries as well as international organisations of bodies is envisaged.</w:t>
      </w:r>
    </w:p>
    <w:p/>
    <w:p/>
    <w:p>
      <w:pPr>
        <w:rPr>
          <w:b/>
        </w:rPr>
      </w:pPr>
      <w:r>
        <w:rPr>
          <w:b/>
        </w:rPr>
        <w:t>Financial impact</w:t>
      </w:r>
    </w:p>
    <w:p/>
    <w:p>
      <w:pPr>
        <w:widowControl/>
        <w:spacing w:before="120" w:after="120"/>
        <w:ind w:start="357" w:hanging="357"/>
        <w:jc w:val="both"/>
      </w:pPr>
      <w:r>
        <w:t>8.</w:t>
        <w:tab/>
        <w:t>The Commission gives a financial reference amount over the five-year period of 148.7 million euro, out of which 59.1 million euro are suggested for the period from 1 January 2005 to 31 December 2006 and 89.6 million euro for the period from 1 January 2007 to 31 December 2009, subject to compatibility with the future financial perspective.</w:t>
      </w:r>
    </w:p>
    <w:p>
      <w:pPr>
        <w:widowControl/>
        <w:spacing w:before="120" w:after="120"/>
        <w:ind w:start="357" w:hanging="357"/>
        <w:jc w:val="both"/>
      </w:pPr>
      <w:r>
        <w:t>9.</w:t>
        <w:tab/>
        <w:t>The breakdown is as follows:</w:t>
      </w:r>
    </w:p>
    <w:p/>
    <w:p>
      <w:pPr>
        <w:ind w:firstLine="357"/>
      </w:pPr>
      <w:r>
        <w:t>(a) Schedule of commitment appropriations (</w:t>
      </w:r>
      <w:r>
        <w:rPr>
          <w:i/>
        </w:rPr>
        <w:t>in € million</w:t>
      </w:r>
      <w:r>
        <w:t>)</w:t>
      </w:r>
    </w:p>
    <w:p>
      <w:pPr>
        <w:rPr>
          <w:i/>
        </w:rPr>
      </w:pPr>
    </w:p>
    <w:tbl>
      <w:tblPr>
        <w:tblInd w:w="15.6pt" w:type="dxa"/>
        <w:tblLayout w:type="fixed"/>
        <w:tblCellMar>
          <w:start w:w="5.4pt" w:type="dxa"/>
          <w:end w:w="5.4pt" w:type="dxa"/>
        </w:tblCellMar>
        <w:tblLook/>
      </w:tblPr>
      <w:tblGrid>
        <w:gridCol w:w="2206"/>
        <w:gridCol w:w="913"/>
        <w:gridCol w:w="851"/>
        <w:gridCol w:w="851"/>
        <w:gridCol w:w="851"/>
        <w:gridCol w:w="851"/>
        <w:gridCol w:w="928"/>
        <w:gridCol w:w="992"/>
      </w:tblGrid>
      <w:tr>
        <w:tblPrEx>
          <w:tblInd w:w="15.6pt" w:type="dxa"/>
          <w:tblLayout w:type="fixed"/>
          <w:tblCellMar>
            <w:start w:w="5.4pt" w:type="dxa"/>
            <w:end w:w="5.4pt" w:type="dxa"/>
          </w:tblCellMar>
          <w:tblLook/>
        </w:tblPrEx>
        <w:trPr>
          <w:cantSplit/>
        </w:trPr>
        <w:tc>
          <w:tcPr>
            <w:tcW w:w="110.3pt" w:type="dxa"/>
            <w:tcBorders>
              <w:top w:val="single" w:sz="4" w:space="0" w:color="auto"/>
              <w:start w:val="single" w:sz="4" w:space="0" w:color="auto"/>
              <w:bottom w:val="single" w:sz="4" w:space="0" w:color="auto"/>
              <w:end w:val="single" w:sz="2" w:space="0" w:color="auto"/>
            </w:tcBorders>
          </w:tcPr>
          <w:p>
            <w:pPr>
              <w:spacing w:before="60" w:after="60"/>
              <w:rPr>
                <w:i/>
              </w:rPr>
            </w:pPr>
          </w:p>
        </w:tc>
        <w:tc>
          <w:tcPr>
            <w:tcW w:w="45.65pt" w:type="dxa"/>
            <w:tcBorders>
              <w:top w:val="single" w:sz="4" w:space="0" w:color="auto"/>
              <w:bottom w:val="single" w:sz="4" w:space="0" w:color="auto"/>
              <w:end w:val="single" w:sz="4" w:space="0" w:color="auto"/>
            </w:tcBorders>
          </w:tcPr>
          <w:p>
            <w:pPr>
              <w:spacing w:before="60" w:after="60"/>
              <w:rPr>
                <w:sz w:val="22"/>
              </w:rPr>
            </w:pPr>
            <w:r>
              <w:rPr>
                <w:sz w:val="22"/>
              </w:rPr>
              <w:t>2005</w:t>
            </w:r>
          </w:p>
        </w:tc>
        <w:tc>
          <w:tcPr>
            <w:tcW w:w="42.55pt" w:type="dxa"/>
            <w:tcBorders>
              <w:top w:val="single" w:sz="8" w:space="0" w:color="auto"/>
              <w:start w:val="nil"/>
              <w:bottom w:val="single" w:sz="8" w:space="0" w:color="auto"/>
              <w:end w:val="single" w:sz="2" w:space="0" w:color="auto"/>
            </w:tcBorders>
          </w:tcPr>
          <w:p>
            <w:pPr>
              <w:spacing w:before="60" w:after="60"/>
              <w:rPr>
                <w:sz w:val="22"/>
              </w:rPr>
            </w:pPr>
            <w:r>
              <w:rPr>
                <w:sz w:val="22"/>
              </w:rPr>
              <w:t>2006</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2007</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2008</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2009</w:t>
            </w:r>
          </w:p>
        </w:tc>
        <w:tc>
          <w:tcPr>
            <w:tcW w:w="46.4pt" w:type="dxa"/>
            <w:tcBorders>
              <w:top w:val="single" w:sz="8" w:space="0" w:color="auto"/>
              <w:bottom w:val="single" w:sz="8" w:space="0" w:color="auto"/>
              <w:end w:val="single" w:sz="8" w:space="0" w:color="auto"/>
            </w:tcBorders>
          </w:tcPr>
          <w:p>
            <w:pPr>
              <w:spacing w:before="60" w:after="60"/>
              <w:rPr>
                <w:sz w:val="22"/>
              </w:rPr>
            </w:pPr>
            <w:r>
              <w:rPr>
                <w:sz w:val="22"/>
              </w:rPr>
              <w:t>subs. years</w:t>
            </w:r>
          </w:p>
        </w:tc>
        <w:tc>
          <w:tcPr>
            <w:tcW w:w="49.6pt" w:type="dxa"/>
            <w:tcBorders>
              <w:top w:val="single" w:sz="8" w:space="0" w:color="auto"/>
              <w:start w:val="single" w:sz="8" w:space="0" w:color="auto"/>
              <w:bottom w:val="single" w:sz="8" w:space="0" w:color="auto"/>
              <w:end w:val="single" w:sz="8" w:space="0" w:color="auto"/>
            </w:tcBorders>
          </w:tcPr>
          <w:p>
            <w:pPr>
              <w:spacing w:before="60" w:after="60"/>
              <w:rPr>
                <w:sz w:val="22"/>
              </w:rPr>
            </w:pPr>
            <w:r>
              <w:rPr>
                <w:sz w:val="22"/>
              </w:rPr>
              <w:t>Total</w:t>
            </w:r>
          </w:p>
        </w:tc>
      </w:tr>
      <w:tr>
        <w:tblPrEx>
          <w:tblInd w:w="15.6pt" w:type="dxa"/>
          <w:tblLayout w:type="fixed"/>
          <w:tblCellMar>
            <w:start w:w="5.4pt" w:type="dxa"/>
            <w:end w:w="5.4pt" w:type="dxa"/>
          </w:tblCellMar>
          <w:tblLook/>
        </w:tblPrEx>
        <w:trPr>
          <w:cantSplit/>
        </w:trPr>
        <w:tc>
          <w:tcPr>
            <w:tcW w:w="110.3pt" w:type="dxa"/>
            <w:tcBorders>
              <w:top w:val="single" w:sz="4" w:space="0" w:color="auto"/>
              <w:start w:val="single" w:sz="8" w:space="0" w:color="auto"/>
              <w:bottom w:val="single" w:sz="8" w:space="0" w:color="auto"/>
              <w:end w:val="single" w:sz="2" w:space="0" w:color="auto"/>
            </w:tcBorders>
          </w:tcPr>
          <w:p>
            <w:pPr>
              <w:spacing w:before="60" w:after="60"/>
            </w:pPr>
            <w:r>
              <w:t>Commitments IDABC-Programme</w:t>
            </w:r>
          </w:p>
        </w:tc>
        <w:tc>
          <w:tcPr>
            <w:tcW w:w="45.65pt" w:type="dxa"/>
            <w:tcBorders>
              <w:top w:val="single" w:sz="4" w:space="0" w:color="auto"/>
              <w:bottom w:val="single" w:sz="8" w:space="0" w:color="auto"/>
              <w:end w:val="single" w:sz="2" w:space="0" w:color="auto"/>
            </w:tcBorders>
          </w:tcPr>
          <w:p>
            <w:pPr>
              <w:spacing w:before="60" w:after="60"/>
              <w:rPr>
                <w:sz w:val="22"/>
              </w:rPr>
            </w:pPr>
            <w:r>
              <w:rPr>
                <w:sz w:val="22"/>
              </w:rPr>
              <w:t>28.550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29.050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29.250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29.000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29.000</w:t>
            </w:r>
          </w:p>
        </w:tc>
        <w:tc>
          <w:tcPr>
            <w:tcW w:w="46.4pt" w:type="dxa"/>
            <w:tcBorders>
              <w:top w:val="single" w:sz="8" w:space="0" w:color="auto"/>
              <w:bottom w:val="single" w:sz="8" w:space="0" w:color="auto"/>
              <w:end w:val="single" w:sz="8" w:space="0" w:color="auto"/>
            </w:tcBorders>
          </w:tcPr>
          <w:p>
            <w:pPr>
              <w:spacing w:before="60" w:after="60"/>
              <w:rPr>
                <w:sz w:val="22"/>
              </w:rPr>
            </w:pPr>
          </w:p>
        </w:tc>
        <w:tc>
          <w:tcPr>
            <w:tcW w:w="49.6pt" w:type="dxa"/>
            <w:tcBorders>
              <w:top w:val="single" w:sz="8" w:space="0" w:color="auto"/>
              <w:start w:val="single" w:sz="8" w:space="0" w:color="auto"/>
              <w:bottom w:val="single" w:sz="8" w:space="0" w:color="auto"/>
              <w:end w:val="single" w:sz="8" w:space="0" w:color="auto"/>
            </w:tcBorders>
          </w:tcPr>
          <w:p>
            <w:pPr>
              <w:spacing w:before="60" w:after="60"/>
              <w:rPr>
                <w:sz w:val="22"/>
              </w:rPr>
            </w:pPr>
            <w:r>
              <w:rPr>
                <w:sz w:val="22"/>
              </w:rPr>
              <w:t>144.850</w:t>
            </w:r>
          </w:p>
        </w:tc>
      </w:tr>
      <w:tr>
        <w:tblPrEx>
          <w:tblInd w:w="15.6pt" w:type="dxa"/>
          <w:tblLayout w:type="fixed"/>
          <w:tblCellMar>
            <w:start w:w="5.4pt" w:type="dxa"/>
            <w:end w:w="5.4pt" w:type="dxa"/>
          </w:tblCellMar>
          <w:tblLook/>
        </w:tblPrEx>
        <w:trPr>
          <w:cantSplit/>
        </w:trPr>
        <w:tc>
          <w:tcPr>
            <w:tcW w:w="110.3pt" w:type="dxa"/>
            <w:tcBorders>
              <w:top w:val="single" w:sz="8" w:space="0" w:color="auto"/>
              <w:start w:val="single" w:sz="8" w:space="0" w:color="auto"/>
              <w:bottom w:val="single" w:sz="8" w:space="0" w:color="auto"/>
              <w:end w:val="single" w:sz="2" w:space="0" w:color="auto"/>
            </w:tcBorders>
          </w:tcPr>
          <w:p>
            <w:pPr>
              <w:spacing w:before="60" w:after="60"/>
              <w:rPr>
                <w:i/>
              </w:rPr>
            </w:pPr>
            <w:r>
              <w:rPr>
                <w:i/>
              </w:rPr>
              <w:t>Commitments IDA-Programme*</w:t>
            </w:r>
          </w:p>
        </w:tc>
        <w:tc>
          <w:tcPr>
            <w:tcW w:w="45.65pt" w:type="dxa"/>
            <w:tcBorders>
              <w:bottom w:val="single" w:sz="8" w:space="0" w:color="auto"/>
              <w:end w:val="single" w:sz="2" w:space="0" w:color="auto"/>
            </w:tcBorders>
          </w:tcPr>
          <w:p>
            <w:pPr>
              <w:spacing w:before="60" w:after="60"/>
              <w:rPr>
                <w:i/>
                <w:sz w:val="22"/>
              </w:rPr>
            </w:pPr>
            <w:r>
              <w:rPr>
                <w:i/>
                <w:sz w:val="22"/>
              </w:rPr>
              <w:t>26.265</w:t>
            </w:r>
          </w:p>
        </w:tc>
        <w:tc>
          <w:tcPr>
            <w:tcW w:w="42.55pt" w:type="dxa"/>
            <w:tcBorders>
              <w:bottom w:val="single" w:sz="8" w:space="0" w:color="auto"/>
              <w:end w:val="single" w:sz="2" w:space="0" w:color="auto"/>
            </w:tcBorders>
          </w:tcPr>
          <w:p>
            <w:pPr>
              <w:spacing w:before="60" w:after="60"/>
              <w:rPr>
                <w:i/>
                <w:sz w:val="22"/>
              </w:rPr>
            </w:pPr>
            <w:r>
              <w:rPr>
                <w:i/>
                <w:sz w:val="22"/>
              </w:rPr>
              <w:t>26.790</w:t>
            </w:r>
          </w:p>
        </w:tc>
        <w:tc>
          <w:tcPr>
            <w:tcW w:w="42.55pt" w:type="dxa"/>
            <w:tcBorders>
              <w:bottom w:val="single" w:sz="8" w:space="0" w:color="auto"/>
              <w:end w:val="single" w:sz="2" w:space="0" w:color="auto"/>
            </w:tcBorders>
          </w:tcPr>
          <w:p>
            <w:pPr>
              <w:spacing w:before="60" w:after="60"/>
              <w:rPr>
                <w:i/>
                <w:sz w:val="22"/>
              </w:rPr>
            </w:pPr>
            <w:r>
              <w:rPr>
                <w:i/>
                <w:sz w:val="22"/>
              </w:rPr>
              <w:t>27.326</w:t>
            </w:r>
          </w:p>
        </w:tc>
        <w:tc>
          <w:tcPr>
            <w:tcW w:w="42.55pt" w:type="dxa"/>
            <w:tcBorders>
              <w:bottom w:val="single" w:sz="8" w:space="0" w:color="auto"/>
              <w:end w:val="single" w:sz="2" w:space="0" w:color="auto"/>
            </w:tcBorders>
          </w:tcPr>
          <w:p>
            <w:pPr>
              <w:spacing w:before="60" w:after="60"/>
              <w:rPr>
                <w:i/>
                <w:sz w:val="22"/>
              </w:rPr>
            </w:pPr>
            <w:r>
              <w:rPr>
                <w:i/>
                <w:sz w:val="22"/>
              </w:rPr>
              <w:t>27.873</w:t>
            </w:r>
          </w:p>
        </w:tc>
        <w:tc>
          <w:tcPr>
            <w:tcW w:w="42.55pt" w:type="dxa"/>
            <w:tcBorders>
              <w:bottom w:val="single" w:sz="8" w:space="0" w:color="auto"/>
              <w:end w:val="single" w:sz="2" w:space="0" w:color="auto"/>
            </w:tcBorders>
          </w:tcPr>
          <w:p>
            <w:pPr>
              <w:spacing w:before="60" w:after="60"/>
              <w:rPr>
                <w:i/>
                <w:sz w:val="22"/>
              </w:rPr>
            </w:pPr>
            <w:r>
              <w:rPr>
                <w:i/>
                <w:sz w:val="22"/>
              </w:rPr>
              <w:t>28.430</w:t>
            </w:r>
          </w:p>
        </w:tc>
        <w:tc>
          <w:tcPr>
            <w:tcW w:w="46.4pt" w:type="dxa"/>
            <w:tcBorders>
              <w:top w:val="single" w:sz="8" w:space="0" w:color="auto"/>
              <w:bottom w:val="single" w:sz="8" w:space="0" w:color="auto"/>
              <w:end w:val="single" w:sz="8" w:space="0" w:color="auto"/>
            </w:tcBorders>
          </w:tcPr>
          <w:p>
            <w:pPr>
              <w:spacing w:before="60" w:after="60"/>
              <w:rPr>
                <w:i/>
                <w:sz w:val="22"/>
              </w:rPr>
            </w:pPr>
          </w:p>
        </w:tc>
        <w:tc>
          <w:tcPr>
            <w:tcW w:w="49.6pt" w:type="dxa"/>
            <w:tcBorders>
              <w:top w:val="single" w:sz="8" w:space="0" w:color="auto"/>
              <w:start w:val="single" w:sz="8" w:space="0" w:color="auto"/>
              <w:bottom w:val="single" w:sz="8" w:space="0" w:color="auto"/>
              <w:end w:val="single" w:sz="8" w:space="0" w:color="auto"/>
            </w:tcBorders>
          </w:tcPr>
          <w:p>
            <w:pPr>
              <w:spacing w:before="60" w:after="60"/>
              <w:rPr>
                <w:i/>
                <w:sz w:val="22"/>
              </w:rPr>
            </w:pPr>
            <w:r>
              <w:rPr>
                <w:i/>
                <w:sz w:val="22"/>
              </w:rPr>
              <w:t>136.684</w:t>
            </w:r>
          </w:p>
        </w:tc>
      </w:tr>
    </w:tbl>
    <w:p>
      <w:pPr>
        <w:ind w:start="426" w:end="425"/>
        <w:rPr>
          <w:i/>
        </w:rPr>
      </w:pPr>
      <w:r>
        <w:t xml:space="preserve">* </w:t>
      </w:r>
      <w:r>
        <w:rPr>
          <w:i/>
        </w:rPr>
        <w:t>if IDA programme had been continued at the averag</w:t>
      </w:r>
      <w:r>
        <w:rPr>
          <w:i/>
        </w:rPr>
        <w:t>e annual level for the period 2005 - 2009 (adjusted for an inflation rate of 2 %)</w:t>
      </w:r>
    </w:p>
    <w:p/>
    <w:p>
      <w:pPr>
        <w:widowControl/>
        <w:spacing w:before="120" w:after="120"/>
        <w:ind w:start="357" w:hanging="357"/>
        <w:jc w:val="both"/>
      </w:pPr>
      <w:r>
        <w:t>10.</w:t>
        <w:tab/>
        <w:t>The following table shows the increase in appropriations for the IDABC-Programme over the period 2005 - 2009 compared to the estimate for IDA after adjustment for enlargement in 2004: (</w:t>
      </w:r>
      <w:r>
        <w:rPr>
          <w:i/>
        </w:rPr>
        <w:t>in € million</w:t>
      </w:r>
      <w:r>
        <w:t>)</w:t>
      </w:r>
    </w:p>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384"/>
        <w:gridCol w:w="1134"/>
        <w:gridCol w:w="1134"/>
        <w:gridCol w:w="1276"/>
        <w:gridCol w:w="1134"/>
        <w:gridCol w:w="1276"/>
        <w:gridCol w:w="1134"/>
        <w:gridCol w:w="1040"/>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69.2pt" w:type="dxa"/>
          </w:tcPr>
          <w:p/>
        </w:tc>
        <w:tc>
          <w:tcPr>
            <w:tcW w:w="56.7pt" w:type="dxa"/>
          </w:tcPr>
          <w:p>
            <w:r>
              <w:t>2005</w:t>
            </w:r>
          </w:p>
        </w:tc>
        <w:tc>
          <w:tcPr>
            <w:tcW w:w="56.7pt" w:type="dxa"/>
          </w:tcPr>
          <w:p>
            <w:r>
              <w:t>2006</w:t>
            </w:r>
          </w:p>
        </w:tc>
        <w:tc>
          <w:tcPr>
            <w:tcW w:w="63.8pt" w:type="dxa"/>
          </w:tcPr>
          <w:p>
            <w:r>
              <w:t>2007</w:t>
            </w:r>
          </w:p>
        </w:tc>
        <w:tc>
          <w:tcPr>
            <w:tcW w:w="56.7pt" w:type="dxa"/>
          </w:tcPr>
          <w:p>
            <w:r>
              <w:t>2008</w:t>
            </w:r>
          </w:p>
        </w:tc>
        <w:tc>
          <w:tcPr>
            <w:tcW w:w="63.8pt" w:type="dxa"/>
          </w:tcPr>
          <w:p>
            <w:r>
              <w:t>2009</w:t>
            </w:r>
          </w:p>
        </w:tc>
        <w:tc>
          <w:tcPr>
            <w:tcW w:w="56.7pt" w:type="dxa"/>
          </w:tcPr>
          <w:p>
            <w:r>
              <w:t>subs. years</w:t>
            </w:r>
          </w:p>
        </w:tc>
        <w:tc>
          <w:tcPr>
            <w:tcW w:w="52pt" w:type="dxa"/>
          </w:tcPr>
          <w:p>
            <w:r>
              <w:t>Total</w:t>
            </w:r>
          </w:p>
        </w:tc>
      </w:tr>
      <w:tr>
        <w:tblPrEx>
          <w:tblLayout w:type="fixed"/>
          <w:tblCellMar>
            <w:start w:w="5.4pt" w:type="dxa"/>
            <w:end w:w="5.4pt" w:type="dxa"/>
          </w:tblCellMar>
          <w:tblLook/>
        </w:tblPrEx>
        <w:tc>
          <w:tcPr>
            <w:tcW w:w="69.2pt" w:type="dxa"/>
          </w:tcPr>
          <w:p>
            <w:pPr>
              <w:rPr>
                <w:sz w:val="20"/>
              </w:rPr>
            </w:pPr>
            <w:r>
              <w:rPr>
                <w:sz w:val="20"/>
              </w:rPr>
              <w:t>Increase in IDABC-appropriations</w:t>
            </w:r>
          </w:p>
          <w:p>
            <w:pPr>
              <w:rPr>
                <w:sz w:val="20"/>
              </w:rPr>
            </w:pPr>
            <w:r>
              <w:rPr>
                <w:sz w:val="20"/>
              </w:rPr>
              <w:t>compared to est. for IDA</w:t>
            </w:r>
          </w:p>
        </w:tc>
        <w:tc>
          <w:tcPr>
            <w:tcW w:w="56.7pt" w:type="dxa"/>
          </w:tcPr>
          <w:p/>
          <w:p>
            <w:r>
              <w:t>+ 2.285</w:t>
            </w:r>
          </w:p>
        </w:tc>
        <w:tc>
          <w:tcPr>
            <w:tcW w:w="56.7pt" w:type="dxa"/>
          </w:tcPr>
          <w:p/>
          <w:p>
            <w:r>
              <w:t>+ 2.260</w:t>
            </w:r>
          </w:p>
        </w:tc>
        <w:tc>
          <w:tcPr>
            <w:tcW w:w="63.8pt" w:type="dxa"/>
          </w:tcPr>
          <w:p/>
          <w:p>
            <w:r>
              <w:t>+ 1.924</w:t>
            </w:r>
          </w:p>
        </w:tc>
        <w:tc>
          <w:tcPr>
            <w:tcW w:w="56.7pt" w:type="dxa"/>
          </w:tcPr>
          <w:p/>
          <w:p>
            <w:r>
              <w:t>+ 1.127</w:t>
            </w:r>
          </w:p>
        </w:tc>
        <w:tc>
          <w:tcPr>
            <w:tcW w:w="63.8pt" w:type="dxa"/>
          </w:tcPr>
          <w:p/>
          <w:p>
            <w:r>
              <w:t>+ 0.570</w:t>
            </w:r>
          </w:p>
        </w:tc>
        <w:tc>
          <w:tcPr>
            <w:tcW w:w="56.7pt" w:type="dxa"/>
          </w:tcPr>
          <w:p/>
        </w:tc>
        <w:tc>
          <w:tcPr>
            <w:tcW w:w="52pt" w:type="dxa"/>
          </w:tcPr>
          <w:p/>
          <w:p>
            <w:r>
              <w:t>+ 8.166</w:t>
            </w:r>
          </w:p>
        </w:tc>
      </w:tr>
    </w:tbl>
    <w:p/>
    <w:p>
      <w:pPr>
        <w:widowControl/>
        <w:spacing w:before="120" w:after="120"/>
        <w:ind w:start="357" w:hanging="357"/>
        <w:jc w:val="both"/>
      </w:pPr>
      <w:r>
        <w:t>11.</w:t>
        <w:tab/>
        <w:t>Bearing in mind that the amounts for IDA within the programme have been suppr</w:t>
      </w:r>
      <w:r>
        <w:t>essed in the new Commission proposal, the rapporteur also points out two elements:</w:t>
      </w:r>
    </w:p>
    <w:p/>
    <w:p>
      <w:pPr>
        <w:ind w:start="567" w:hanging="141"/>
      </w:pPr>
      <w:r>
        <w:t>-</w:t>
        <w:tab/>
        <w:t>Following the revision of the financial perspective to cover the needs of enlargement, a supplementary amount of 540 million euro has been allocated to heading 3. Therefore it seems consistent to use the new margin.</w:t>
      </w:r>
    </w:p>
    <w:p/>
    <w:p>
      <w:pPr>
        <w:ind w:start="567" w:hanging="141"/>
      </w:pPr>
      <w:r>
        <w:t>-</w:t>
        <w:tab/>
        <w:t>The Common Declaration of 20 July 2000 that new legislative initiatives launched by the Commission should not aim at reducing existing policies.</w:t>
      </w:r>
    </w:p>
    <w:p>
      <w:pPr>
        <w:widowControl/>
        <w:spacing w:before="120" w:after="120"/>
        <w:ind w:start="357" w:hanging="357"/>
        <w:jc w:val="both"/>
      </w:pPr>
      <w:r>
        <w:t>12.</w:t>
        <w:tab/>
        <w:t>In the course of the current negotiations on the revision of the financial perspective the Budgetary Authority may consider an increase for this programme, considering the importance Parliament has attributed to pan-European eGovernment services and the added value the IDABC-Programme will provide for administrations, businesses and citizens. Therefore, the increase in appropriations from IDA to IDABC seems acceptable to the rapporteur.</w:t>
      </w:r>
    </w:p>
    <w:p/>
    <w:p>
      <w:pPr>
        <w:ind w:start="357"/>
      </w:pPr>
      <w:r>
        <w:t>(b) Technical and administrative assistance and support expenditure can be broken down as follows (</w:t>
      </w:r>
      <w:r>
        <w:rPr>
          <w:i/>
        </w:rPr>
        <w:t>in € million</w:t>
      </w:r>
      <w:r>
        <w:t>)</w:t>
      </w:r>
    </w:p>
    <w:p>
      <w:pPr>
        <w:rPr>
          <w:i/>
        </w:rPr>
      </w:pPr>
    </w:p>
    <w:tbl>
      <w:tblPr>
        <w:tblInd w:w="15.6pt" w:type="dxa"/>
        <w:tblLayout w:type="fixed"/>
        <w:tblCellMar>
          <w:start w:w="5.4pt" w:type="dxa"/>
          <w:end w:w="5.4pt" w:type="dxa"/>
        </w:tblCellMar>
        <w:tblLook/>
      </w:tblPr>
      <w:tblGrid>
        <w:gridCol w:w="2064"/>
        <w:gridCol w:w="1055"/>
        <w:gridCol w:w="851"/>
        <w:gridCol w:w="851"/>
        <w:gridCol w:w="851"/>
        <w:gridCol w:w="851"/>
        <w:gridCol w:w="928"/>
        <w:gridCol w:w="992"/>
      </w:tblGrid>
      <w:tr>
        <w:tblPrEx>
          <w:tblInd w:w="15.6pt" w:type="dxa"/>
          <w:tblLayout w:type="fixed"/>
          <w:tblCellMar>
            <w:start w:w="5.4pt" w:type="dxa"/>
            <w:end w:w="5.4pt" w:type="dxa"/>
          </w:tblCellMar>
          <w:tblLook/>
        </w:tblPrEx>
        <w:trPr>
          <w:cantSplit/>
        </w:trPr>
        <w:tc>
          <w:tcPr>
            <w:tcW w:w="103.2pt" w:type="dxa"/>
            <w:tcBorders>
              <w:top w:val="single" w:sz="4" w:space="0" w:color="auto"/>
              <w:start w:val="single" w:sz="4" w:space="0" w:color="auto"/>
              <w:bottom w:val="single" w:sz="4" w:space="0" w:color="auto"/>
              <w:end w:val="single" w:sz="2" w:space="0" w:color="auto"/>
            </w:tcBorders>
          </w:tcPr>
          <w:p>
            <w:pPr>
              <w:spacing w:before="60" w:after="60"/>
            </w:pPr>
          </w:p>
        </w:tc>
        <w:tc>
          <w:tcPr>
            <w:tcW w:w="52.75pt" w:type="dxa"/>
            <w:tcBorders>
              <w:top w:val="single" w:sz="4" w:space="0" w:color="auto"/>
              <w:bottom w:val="single" w:sz="4" w:space="0" w:color="auto"/>
              <w:end w:val="single" w:sz="4" w:space="0" w:color="auto"/>
            </w:tcBorders>
          </w:tcPr>
          <w:p>
            <w:pPr>
              <w:spacing w:before="60" w:after="60"/>
              <w:rPr>
                <w:sz w:val="22"/>
              </w:rPr>
            </w:pPr>
            <w:r>
              <w:rPr>
                <w:sz w:val="22"/>
              </w:rPr>
              <w:t>2005</w:t>
            </w:r>
          </w:p>
        </w:tc>
        <w:tc>
          <w:tcPr>
            <w:tcW w:w="42.55pt" w:type="dxa"/>
            <w:tcBorders>
              <w:top w:val="single" w:sz="8" w:space="0" w:color="auto"/>
              <w:start w:val="nil"/>
              <w:bottom w:val="single" w:sz="8" w:space="0" w:color="auto"/>
              <w:end w:val="single" w:sz="2" w:space="0" w:color="auto"/>
            </w:tcBorders>
          </w:tcPr>
          <w:p>
            <w:pPr>
              <w:spacing w:before="60" w:after="60"/>
              <w:rPr>
                <w:sz w:val="22"/>
              </w:rPr>
            </w:pPr>
            <w:r>
              <w:rPr>
                <w:sz w:val="22"/>
              </w:rPr>
              <w:t>2006</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2007</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2008</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2009</w:t>
            </w:r>
          </w:p>
        </w:tc>
        <w:tc>
          <w:tcPr>
            <w:tcW w:w="46.4pt" w:type="dxa"/>
            <w:tcBorders>
              <w:top w:val="single" w:sz="8" w:space="0" w:color="auto"/>
              <w:bottom w:val="single" w:sz="8" w:space="0" w:color="auto"/>
              <w:end w:val="single" w:sz="8" w:space="0" w:color="auto"/>
            </w:tcBorders>
          </w:tcPr>
          <w:p>
            <w:pPr>
              <w:spacing w:before="60" w:after="60"/>
              <w:rPr>
                <w:sz w:val="22"/>
              </w:rPr>
            </w:pPr>
            <w:r>
              <w:rPr>
                <w:sz w:val="22"/>
              </w:rPr>
              <w:t>subs. years</w:t>
            </w:r>
          </w:p>
        </w:tc>
        <w:tc>
          <w:tcPr>
            <w:tcW w:w="49.6pt" w:type="dxa"/>
            <w:tcBorders>
              <w:top w:val="single" w:sz="8" w:space="0" w:color="auto"/>
              <w:start w:val="single" w:sz="8" w:space="0" w:color="auto"/>
              <w:bottom w:val="single" w:sz="8" w:space="0" w:color="auto"/>
              <w:end w:val="single" w:sz="8" w:space="0" w:color="auto"/>
            </w:tcBorders>
          </w:tcPr>
          <w:p>
            <w:pPr>
              <w:spacing w:before="60" w:after="60"/>
              <w:rPr>
                <w:sz w:val="22"/>
              </w:rPr>
            </w:pPr>
            <w:r>
              <w:rPr>
                <w:sz w:val="22"/>
              </w:rPr>
              <w:t>Total</w:t>
            </w:r>
          </w:p>
        </w:tc>
      </w:tr>
      <w:tr>
        <w:tblPrEx>
          <w:tblInd w:w="15.6pt" w:type="dxa"/>
          <w:tblLayout w:type="fixed"/>
          <w:tblCellMar>
            <w:start w:w="5.4pt" w:type="dxa"/>
            <w:end w:w="5.4pt" w:type="dxa"/>
          </w:tblCellMar>
          <w:tblLook/>
        </w:tblPrEx>
        <w:trPr>
          <w:cantSplit/>
        </w:trPr>
        <w:tc>
          <w:tcPr>
            <w:tcW w:w="103.2pt" w:type="dxa"/>
            <w:tcBorders>
              <w:top w:val="single" w:sz="4" w:space="0" w:color="auto"/>
              <w:start w:val="single" w:sz="8" w:space="0" w:color="auto"/>
              <w:bottom w:val="single" w:sz="8" w:space="0" w:color="auto"/>
              <w:end w:val="single" w:sz="2" w:space="0" w:color="auto"/>
            </w:tcBorders>
          </w:tcPr>
          <w:p>
            <w:pPr>
              <w:spacing w:before="60" w:after="60"/>
            </w:pPr>
            <w:r>
              <w:t>Commitments</w:t>
            </w:r>
          </w:p>
        </w:tc>
        <w:tc>
          <w:tcPr>
            <w:tcW w:w="52.75pt" w:type="dxa"/>
            <w:tcBorders>
              <w:top w:val="single" w:sz="4" w:space="0" w:color="auto"/>
              <w:bottom w:val="single" w:sz="8" w:space="0" w:color="auto"/>
              <w:end w:val="single" w:sz="2" w:space="0" w:color="auto"/>
            </w:tcBorders>
          </w:tcPr>
          <w:p>
            <w:pPr>
              <w:spacing w:before="60" w:after="60"/>
              <w:rPr>
                <w:sz w:val="22"/>
              </w:rPr>
            </w:pPr>
            <w:r>
              <w:rPr>
                <w:sz w:val="22"/>
              </w:rPr>
              <w:t>0.750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0.750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0.750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0.800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0.800</w:t>
            </w:r>
          </w:p>
        </w:tc>
        <w:tc>
          <w:tcPr>
            <w:tcW w:w="46.4pt" w:type="dxa"/>
            <w:tcBorders>
              <w:top w:val="single" w:sz="8" w:space="0" w:color="auto"/>
              <w:bottom w:val="single" w:sz="8" w:space="0" w:color="auto"/>
              <w:end w:val="single" w:sz="8" w:space="0" w:color="auto"/>
            </w:tcBorders>
          </w:tcPr>
          <w:p>
            <w:pPr>
              <w:spacing w:before="60" w:after="60"/>
              <w:rPr>
                <w:sz w:val="22"/>
              </w:rPr>
            </w:pPr>
          </w:p>
        </w:tc>
        <w:tc>
          <w:tcPr>
            <w:tcW w:w="49.6pt" w:type="dxa"/>
            <w:tcBorders>
              <w:top w:val="single" w:sz="8" w:space="0" w:color="auto"/>
              <w:start w:val="single" w:sz="8" w:space="0" w:color="auto"/>
              <w:bottom w:val="single" w:sz="8" w:space="0" w:color="auto"/>
              <w:end w:val="single" w:sz="8" w:space="0" w:color="auto"/>
            </w:tcBorders>
          </w:tcPr>
          <w:p>
            <w:pPr>
              <w:spacing w:before="60" w:after="60"/>
              <w:rPr>
                <w:sz w:val="22"/>
              </w:rPr>
            </w:pPr>
            <w:r>
              <w:rPr>
                <w:sz w:val="22"/>
              </w:rPr>
              <w:t>3.850</w:t>
            </w:r>
          </w:p>
        </w:tc>
      </w:tr>
    </w:tbl>
    <w:p/>
    <w:p/>
    <w:p>
      <w:pPr>
        <w:ind w:start="426"/>
      </w:pPr>
      <w:r>
        <w:t>Considering a + b the total allocation for the Programme is as follows (</w:t>
      </w:r>
      <w:r>
        <w:rPr>
          <w:i/>
        </w:rPr>
        <w:t>in € million</w:t>
      </w:r>
      <w:r>
        <w:t>)</w:t>
      </w:r>
    </w:p>
    <w:p/>
    <w:tbl>
      <w:tblPr>
        <w:tblInd w:w="15.6pt" w:type="dxa"/>
        <w:tblLayout w:type="fixed"/>
        <w:tblCellMar>
          <w:start w:w="5.4pt" w:type="dxa"/>
          <w:end w:w="5.4pt" w:type="dxa"/>
        </w:tblCellMar>
        <w:tblLook/>
      </w:tblPr>
      <w:tblGrid>
        <w:gridCol w:w="2064"/>
        <w:gridCol w:w="1055"/>
        <w:gridCol w:w="851"/>
        <w:gridCol w:w="851"/>
        <w:gridCol w:w="851"/>
        <w:gridCol w:w="851"/>
        <w:gridCol w:w="928"/>
        <w:gridCol w:w="992"/>
      </w:tblGrid>
      <w:tr>
        <w:tblPrEx>
          <w:tblInd w:w="15.6pt" w:type="dxa"/>
          <w:tblLayout w:type="fixed"/>
          <w:tblCellMar>
            <w:start w:w="5.4pt" w:type="dxa"/>
            <w:end w:w="5.4pt" w:type="dxa"/>
          </w:tblCellMar>
          <w:tblLook/>
        </w:tblPrEx>
        <w:trPr>
          <w:cantSplit/>
        </w:trPr>
        <w:tc>
          <w:tcPr>
            <w:tcW w:w="103.2pt" w:type="dxa"/>
            <w:tcBorders>
              <w:top w:val="single" w:sz="4" w:space="0" w:color="auto"/>
              <w:start w:val="single" w:sz="4" w:space="0" w:color="auto"/>
              <w:bottom w:val="single" w:sz="4" w:space="0" w:color="auto"/>
              <w:end w:val="single" w:sz="2" w:space="0" w:color="auto"/>
            </w:tcBorders>
          </w:tcPr>
          <w:p>
            <w:pPr>
              <w:spacing w:before="60" w:after="60"/>
            </w:pPr>
          </w:p>
        </w:tc>
        <w:tc>
          <w:tcPr>
            <w:tcW w:w="52.75pt" w:type="dxa"/>
            <w:tcBorders>
              <w:top w:val="single" w:sz="4" w:space="0" w:color="auto"/>
              <w:bottom w:val="single" w:sz="4" w:space="0" w:color="auto"/>
              <w:end w:val="single" w:sz="4" w:space="0" w:color="auto"/>
            </w:tcBorders>
          </w:tcPr>
          <w:p>
            <w:pPr>
              <w:spacing w:before="60" w:after="60"/>
              <w:rPr>
                <w:sz w:val="22"/>
              </w:rPr>
            </w:pPr>
            <w:r>
              <w:rPr>
                <w:sz w:val="22"/>
              </w:rPr>
              <w:t>2005</w:t>
            </w:r>
          </w:p>
        </w:tc>
        <w:tc>
          <w:tcPr>
            <w:tcW w:w="42.55pt" w:type="dxa"/>
            <w:tcBorders>
              <w:top w:val="single" w:sz="8" w:space="0" w:color="auto"/>
              <w:start w:val="nil"/>
              <w:bottom w:val="single" w:sz="8" w:space="0" w:color="auto"/>
              <w:end w:val="single" w:sz="2" w:space="0" w:color="auto"/>
            </w:tcBorders>
          </w:tcPr>
          <w:p>
            <w:pPr>
              <w:spacing w:before="60" w:after="60"/>
              <w:rPr>
                <w:sz w:val="22"/>
              </w:rPr>
            </w:pPr>
            <w:r>
              <w:rPr>
                <w:sz w:val="22"/>
              </w:rPr>
              <w:t>2006</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2007</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2008</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2009</w:t>
            </w:r>
          </w:p>
        </w:tc>
        <w:tc>
          <w:tcPr>
            <w:tcW w:w="46.4pt" w:type="dxa"/>
            <w:tcBorders>
              <w:top w:val="single" w:sz="8" w:space="0" w:color="auto"/>
              <w:bottom w:val="single" w:sz="8" w:space="0" w:color="auto"/>
              <w:end w:val="single" w:sz="8" w:space="0" w:color="auto"/>
            </w:tcBorders>
          </w:tcPr>
          <w:p>
            <w:pPr>
              <w:spacing w:before="60" w:after="60"/>
              <w:rPr>
                <w:sz w:val="22"/>
              </w:rPr>
            </w:pPr>
            <w:r>
              <w:rPr>
                <w:sz w:val="22"/>
              </w:rPr>
              <w:t>subs. years</w:t>
            </w:r>
          </w:p>
        </w:tc>
        <w:tc>
          <w:tcPr>
            <w:tcW w:w="49.6pt" w:type="dxa"/>
            <w:tcBorders>
              <w:top w:val="single" w:sz="8" w:space="0" w:color="auto"/>
              <w:start w:val="single" w:sz="8" w:space="0" w:color="auto"/>
              <w:bottom w:val="single" w:sz="8" w:space="0" w:color="auto"/>
              <w:end w:val="single" w:sz="8" w:space="0" w:color="auto"/>
            </w:tcBorders>
          </w:tcPr>
          <w:p>
            <w:pPr>
              <w:spacing w:before="60" w:after="60"/>
              <w:rPr>
                <w:sz w:val="22"/>
              </w:rPr>
            </w:pPr>
            <w:r>
              <w:rPr>
                <w:sz w:val="22"/>
              </w:rPr>
              <w:t>Total</w:t>
            </w:r>
          </w:p>
        </w:tc>
      </w:tr>
      <w:tr>
        <w:tblPrEx>
          <w:tblInd w:w="15.6pt" w:type="dxa"/>
          <w:tblLayout w:type="fixed"/>
          <w:tblCellMar>
            <w:start w:w="5.4pt" w:type="dxa"/>
            <w:end w:w="5.4pt" w:type="dxa"/>
          </w:tblCellMar>
          <w:tblLook/>
        </w:tblPrEx>
        <w:trPr>
          <w:cantSplit/>
        </w:trPr>
        <w:tc>
          <w:tcPr>
            <w:tcW w:w="103.2pt" w:type="dxa"/>
            <w:tcBorders>
              <w:top w:val="single" w:sz="4" w:space="0" w:color="auto"/>
              <w:start w:val="single" w:sz="8" w:space="0" w:color="auto"/>
              <w:bottom w:val="single" w:sz="8" w:space="0" w:color="auto"/>
              <w:end w:val="single" w:sz="2" w:space="0" w:color="auto"/>
            </w:tcBorders>
          </w:tcPr>
          <w:p>
            <w:pPr>
              <w:spacing w:before="60" w:after="60"/>
            </w:pPr>
            <w:r>
              <w:t>Commitments</w:t>
            </w:r>
          </w:p>
        </w:tc>
        <w:tc>
          <w:tcPr>
            <w:tcW w:w="52.75pt" w:type="dxa"/>
            <w:tcBorders>
              <w:top w:val="single" w:sz="4" w:space="0" w:color="auto"/>
              <w:bottom w:val="single" w:sz="8" w:space="0" w:color="auto"/>
              <w:end w:val="single" w:sz="2" w:space="0" w:color="auto"/>
            </w:tcBorders>
          </w:tcPr>
          <w:p>
            <w:pPr>
              <w:spacing w:before="60" w:after="60"/>
              <w:rPr>
                <w:sz w:val="22"/>
              </w:rPr>
            </w:pPr>
            <w:r>
              <w:rPr>
                <w:sz w:val="22"/>
              </w:rPr>
              <w:t>29.300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29.800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30.000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29.800</w:t>
            </w:r>
          </w:p>
        </w:tc>
        <w:tc>
          <w:tcPr>
            <w:tcW w:w="42.55pt" w:type="dxa"/>
            <w:tcBorders>
              <w:top w:val="single" w:sz="8" w:space="0" w:color="auto"/>
              <w:bottom w:val="single" w:sz="8" w:space="0" w:color="auto"/>
              <w:end w:val="single" w:sz="2" w:space="0" w:color="auto"/>
            </w:tcBorders>
          </w:tcPr>
          <w:p>
            <w:pPr>
              <w:spacing w:before="60" w:after="60"/>
              <w:rPr>
                <w:sz w:val="22"/>
              </w:rPr>
            </w:pPr>
            <w:r>
              <w:rPr>
                <w:sz w:val="22"/>
              </w:rPr>
              <w:t>29.800</w:t>
            </w:r>
          </w:p>
        </w:tc>
        <w:tc>
          <w:tcPr>
            <w:tcW w:w="46.4pt" w:type="dxa"/>
            <w:tcBorders>
              <w:top w:val="single" w:sz="8" w:space="0" w:color="auto"/>
              <w:bottom w:val="single" w:sz="8" w:space="0" w:color="auto"/>
              <w:end w:val="single" w:sz="8" w:space="0" w:color="auto"/>
            </w:tcBorders>
          </w:tcPr>
          <w:p>
            <w:pPr>
              <w:spacing w:before="60" w:after="60"/>
              <w:rPr>
                <w:sz w:val="22"/>
              </w:rPr>
            </w:pPr>
          </w:p>
        </w:tc>
        <w:tc>
          <w:tcPr>
            <w:tcW w:w="49.6pt" w:type="dxa"/>
            <w:tcBorders>
              <w:top w:val="single" w:sz="8" w:space="0" w:color="auto"/>
              <w:start w:val="single" w:sz="8" w:space="0" w:color="auto"/>
              <w:bottom w:val="single" w:sz="8" w:space="0" w:color="auto"/>
              <w:end w:val="single" w:sz="8" w:space="0" w:color="auto"/>
            </w:tcBorders>
          </w:tcPr>
          <w:p>
            <w:pPr>
              <w:spacing w:before="60" w:after="60"/>
              <w:rPr>
                <w:sz w:val="22"/>
              </w:rPr>
            </w:pPr>
            <w:r>
              <w:rPr>
                <w:sz w:val="22"/>
              </w:rPr>
              <w:t>148.700</w:t>
            </w:r>
          </w:p>
        </w:tc>
      </w:tr>
    </w:tbl>
    <w:p/>
    <w:p>
      <w:pPr>
        <w:widowControl/>
        <w:spacing w:before="120" w:after="120"/>
        <w:ind w:start="357" w:hanging="357"/>
        <w:jc w:val="both"/>
      </w:pPr>
      <w:r>
        <w:t>13.</w:t>
        <w:tab/>
        <w:t>Regarding the overall financial impact of human resources, the Commission proposal gives a sum of 2,068,500 euro of total expenditure for twelve months. This amounts to some 7% of the total allocation for the programme over the five-year period.</w:t>
      </w:r>
    </w:p>
    <w:p>
      <w:pPr>
        <w:widowControl/>
        <w:spacing w:before="120" w:after="120"/>
        <w:ind w:start="357" w:hanging="357"/>
        <w:jc w:val="both"/>
      </w:pPr>
      <w:r>
        <w:t>14.</w:t>
        <w:tab/>
        <w:t>According to the Commission, all needs for human and administrative resources for the Programme (11.792 million euro for the five-year period) shall be covered within the allocation granted to the managing DG in the framework of the annual allocation procedure. Thus, the rapporteur considers that the Commission's proposal is compatible with the current expenditure ceiling (Amendment 1).</w:t>
      </w:r>
    </w:p>
    <w:p>
      <w:pPr>
        <w:widowControl/>
        <w:spacing w:before="120" w:after="120"/>
        <w:ind w:start="357" w:hanging="357"/>
        <w:jc w:val="both"/>
      </w:pPr>
      <w:r>
        <w:t>15.</w:t>
        <w:tab/>
        <w:t>However, since the financial reference amount included in the proposal refers to the entire duration of the Programme (2005 - 2009) judgement on its future compliance with the financial perspective in place, then, lies solely with the budgetary authority.</w:t>
      </w:r>
    </w:p>
    <w:p>
      <w:pPr>
        <w:rPr>
          <w:b/>
        </w:rPr>
      </w:pPr>
    </w:p>
    <w:p>
      <w:pPr>
        <w:rPr>
          <w:b/>
        </w:rPr>
      </w:pPr>
    </w:p>
    <w:p>
      <w:pPr>
        <w:rPr>
          <w:b/>
        </w:rPr>
      </w:pPr>
      <w:r>
        <w:rPr>
          <w:b/>
        </w:rPr>
        <w:t>Comitology</w:t>
      </w:r>
    </w:p>
    <w:p/>
    <w:p>
      <w:pPr>
        <w:widowControl/>
        <w:spacing w:before="120" w:after="120"/>
        <w:ind w:start="357" w:hanging="357"/>
        <w:jc w:val="both"/>
      </w:pPr>
      <w:r>
        <w:t>16.</w:t>
        <w:tab/>
        <w:t xml:space="preserve">The rapporteur proposes, in line with the traditional approach of the Budgets Committee, that the advisory procedure shall apply (Amendments 2 + 4). Each Member State should be represented in the Telematics between Administrations Committee (TAC) (Amendment 3). This should increase effectiveness of the decision-making process and avoid excessive administrative costs. </w:t>
      </w:r>
    </w:p>
    <w:p>
      <w:pPr>
        <w:widowControl/>
        <w:spacing w:before="120" w:after="120"/>
        <w:ind w:start="357" w:hanging="357"/>
        <w:jc w:val="both"/>
      </w:pPr>
    </w:p>
    <w:p/>
    <w:p>
      <w:pPr>
        <w:rPr>
          <w:b/>
        </w:rPr>
      </w:pPr>
      <w:r>
        <w:rPr>
          <w:b/>
        </w:rPr>
        <w:t>Other aspects</w:t>
      </w:r>
    </w:p>
    <w:p/>
    <w:p>
      <w:pPr>
        <w:widowControl/>
        <w:spacing w:before="120" w:after="120"/>
        <w:ind w:start="357" w:hanging="357"/>
        <w:jc w:val="both"/>
      </w:pPr>
      <w:r>
        <w:t>17.</w:t>
        <w:tab/>
        <w:t>The Decision already splits the financial reference amount into two fixed allocations for the two strands of the Programme, i.e. projects of common interest and horizontal measures. This will leave no flexibility as to the financial share each strand will receive. Therefore, the fixed splitting of the available funds seems unnecessary at this stage and has been deleted (Amendments 6 + 7). The results of the quantitative and qualitative evaluation made by the Commission shall be forwarded to the budgetary authority (Amendment 5).</w:t>
      </w:r>
    </w:p>
    <w:p>
      <w:pPr>
        <w:pStyle w:val="ConclusionsPA"/>
        <w:rPr>
          <w:lang w:val="en-GB"/>
        </w:rPr>
      </w:pPr>
      <w:r>
        <w:rPr>
          <w:lang w:val="en-GB"/>
        </w:rPr>
        <w:br w:type="page"/>
        <w:t>AMENDMENT TO THE LEGISLATIVE RESOLUTION</w:t>
      </w:r>
    </w:p>
    <w:p>
      <w:pPr>
        <w:pStyle w:val="Normal12Tab"/>
      </w:pPr>
      <w:r>
        <w:t xml:space="preserve">The </w:t>
      </w:r>
      <w:r>
        <w:rPr>
          <w:rStyle w:val="HideTWBInt"/>
        </w:rPr>
        <w:t>{BUDG}</w:t>
      </w:r>
      <w:r>
        <w:t xml:space="preserve">Committee on Budgets calls on the </w:t>
      </w:r>
      <w:r>
        <w:rPr>
          <w:rStyle w:val="HideTWBInt"/>
        </w:rPr>
        <w:t>{ITRE}</w:t>
      </w:r>
      <w:r>
        <w:t>Committee on Industry, External Trade, Research and Energy, as the committee responsible, to incorporate the following amendments in its report:</w:t>
      </w:r>
    </w:p>
    <w:p>
      <w:pPr>
        <w:pStyle w:val="PageconclusionsphrasesPA"/>
        <w:jc w:val="center"/>
      </w:pPr>
      <w:r>
        <w:t>Amendment 1</w:t>
      </w:r>
    </w:p>
    <w:p>
      <w:pPr>
        <w:pStyle w:val="PageconclusionsphrasesPA"/>
      </w:pPr>
      <w:r>
        <w:rPr>
          <w:i/>
        </w:rPr>
        <w:t>[The European Parliament]</w:t>
      </w:r>
    </w:p>
    <w:p>
      <w:pPr>
        <w:rPr>
          <w:b/>
          <w:i/>
        </w:rPr>
      </w:pPr>
      <w:r>
        <w:rPr>
          <w:b/>
          <w:i/>
        </w:rPr>
        <w:t>Considers that the financial statement of the Commission proposal is compatible with the ceiling of heading 3 of the Financial Perspective without restricting other policies;</w:t>
      </w:r>
    </w:p>
    <w:p>
      <w:pPr>
        <w:rPr>
          <w:b/>
          <w:i/>
        </w:rPr>
      </w:pPr>
    </w:p>
    <w:p>
      <w:pPr>
        <w:rPr>
          <w:b/>
          <w:i/>
        </w:rPr>
      </w:pPr>
    </w:p>
    <w:p>
      <w:pPr>
        <w:jc w:val="center"/>
        <w:rPr>
          <w:i/>
        </w:rPr>
      </w:pPr>
      <w:r>
        <w:rPr>
          <w:i/>
        </w:rPr>
        <w:t>Justification</w:t>
      </w:r>
    </w:p>
    <w:p>
      <w:pPr>
        <w:jc w:val="center"/>
        <w:rPr>
          <w:i/>
        </w:rPr>
      </w:pPr>
    </w:p>
    <w:p>
      <w:r>
        <w:rPr>
          <w:i/>
        </w:rPr>
        <w:t>The amount proposed for the specific programme shall be compatible with the expenditure ceilings under the financial perspective. If, in the course of the adoption of the decision, other amounts were to be proposed by the legislative authority, the budgetary authority would need to be consulted again. In this case, the Committee on Budgets would re-examine the impact on the ceiling under the current financial perspective, according to the declaration of 20 July 2000.</w:t>
      </w:r>
      <w:r>
        <w:rPr>
          <w:rStyle w:val="HideTWBExt"/>
          <w:lang w:val="en-GB"/>
        </w:rPr>
        <w:t>&lt;/AmJust&gt;</w:t>
      </w:r>
    </w:p>
    <w:p>
      <w:pPr>
        <w:pStyle w:val="Normal6"/>
      </w:pPr>
    </w:p>
    <w:p>
      <w:pPr>
        <w:pStyle w:val="Normal6"/>
      </w:pPr>
    </w:p>
    <w:p>
      <w:pPr>
        <w:pStyle w:val="Normal6"/>
        <w:jc w:val="center"/>
      </w:pPr>
      <w:r>
        <w:rPr>
          <w:b/>
        </w:rPr>
        <w:t>AMENDMENTS TO THE LEGISLATIVE TEXTS</w:t>
      </w:r>
    </w:p>
    <w:p>
      <w:pPr>
        <w:pStyle w:val="Normal6"/>
      </w:pP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Text proposed by the Commission</w:t>
            </w:r>
            <w:r>
              <w:rPr>
                <w:rStyle w:val="FootnoteReference"/>
              </w:rPr>
              <w:footnoteReference w:id="2"/>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Amendments by Parliament</w:t>
            </w:r>
          </w:p>
        </w:tc>
      </w:tr>
    </w:tbl>
    <w:p>
      <w:pPr>
        <w:widowControl/>
        <w:tabs>
          <w:tab w:val="start" w:pos="-720"/>
        </w:tabs>
        <w:rPr>
          <w:rStyle w:val="HideTWBExt"/>
          <w:rFonts w:ascii="Times New Roman" w:hAnsi="Times New Roman"/>
          <w:vanish w:val="0"/>
          <w:color w:val="auto"/>
          <w:sz w:val="24"/>
          <w:lang w:val="en-GB"/>
        </w:rPr>
      </w:pPr>
    </w:p>
    <w:p>
      <w:pPr>
        <w:widowControl/>
        <w:tabs>
          <w:tab w:val="start" w:pos="-720"/>
        </w:tabs>
        <w:rPr>
          <w:rStyle w:val="HideTWBExt"/>
          <w:rFonts w:ascii="Times New Roman" w:hAnsi="Times New Roman"/>
          <w:vanish w:val="0"/>
          <w:color w:val="auto"/>
          <w:sz w:val="24"/>
          <w:lang w:val="en-GB"/>
        </w:rPr>
      </w:pPr>
    </w:p>
    <w:p>
      <w:pPr>
        <w:pStyle w:val="AMNumber"/>
        <w:spacing w:before="0"/>
      </w:pPr>
      <w:r>
        <w:rPr>
          <w:rStyle w:val="HideTWBExt"/>
          <w:lang w:val="en-GB"/>
        </w:rPr>
        <w:t>&lt;Amend&gt;</w:t>
      </w:r>
      <w:r>
        <w:t xml:space="preserve">Amendment </w:t>
      </w:r>
      <w:r>
        <w:rPr>
          <w:rStyle w:val="HideTWBExt"/>
          <w:lang w:val="en-GB"/>
        </w:rPr>
        <w:t>&lt;NumAm&gt;</w:t>
      </w:r>
      <w:r>
        <w:t>2</w:t>
      </w:r>
      <w:r>
        <w:rPr>
          <w:rStyle w:val="HideTWBExt"/>
          <w:lang w:val="en-GB"/>
        </w:rPr>
        <w:t>&lt;/NumAm&gt;</w:t>
      </w:r>
    </w:p>
    <w:p>
      <w:pPr>
        <w:pStyle w:val="AMNumber"/>
        <w:spacing w:before="0"/>
      </w:pPr>
    </w:p>
    <w:p>
      <w:pPr>
        <w:pStyle w:val="AMNumber"/>
        <w:spacing w:before="0"/>
      </w:pPr>
      <w:r>
        <w:t>Article 11, Heading</w:t>
      </w:r>
    </w:p>
    <w:p>
      <w:pPr>
        <w:pStyle w:val="Normal12Centre"/>
        <w:jc w:val="start"/>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rPr>
                <w:b/>
              </w:rPr>
              <w:t>Management</w:t>
            </w:r>
            <w:r>
              <w:t xml:space="preserve"> Committee</w:t>
            </w:r>
          </w:p>
        </w:tc>
        <w:tc>
          <w:tcPr>
            <w:tcW w:w="243.8pt" w:type="dxa"/>
            <w:tcBorders>
              <w:start w:val="single" w:sz="6" w:space="0" w:color="FFFFFF"/>
            </w:tcBorders>
          </w:tcPr>
          <w:p>
            <w:pPr>
              <w:pStyle w:val="Normal6"/>
              <w:rPr>
                <w:b/>
                <w:i/>
              </w:rPr>
            </w:pPr>
            <w:r>
              <w:t>Committee</w:t>
            </w:r>
          </w:p>
        </w:tc>
      </w:tr>
    </w:tbl>
    <w:p>
      <w:pPr>
        <w:pStyle w:val="Normal12Italic"/>
      </w:pPr>
    </w:p>
    <w:p>
      <w:pPr>
        <w:widowControl/>
        <w:tabs>
          <w:tab w:val="start" w:pos="-720"/>
        </w:tabs>
        <w:rPr>
          <w:rStyle w:val="HideTWBExt"/>
          <w:rFonts w:ascii="Times New Roman" w:hAnsi="Times New Roman"/>
          <w:vanish w:val="0"/>
          <w:color w:val="auto"/>
          <w:sz w:val="24"/>
          <w:lang w:val="en-GB"/>
        </w:rPr>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t>3</w:t>
      </w:r>
      <w:r>
        <w:rPr>
          <w:rStyle w:val="HideTWBExt"/>
          <w:lang w:val="en-GB"/>
        </w:rPr>
        <w:t>&lt;/NumAm&gt;</w:t>
      </w:r>
    </w:p>
    <w:p>
      <w:pPr>
        <w:pStyle w:val="Normal12Centre"/>
      </w:pPr>
      <w:r>
        <w:t>Article 11,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1. The Commission shall be assisted by a committee called the Telematics between Administrations Committee (TAC), composed of </w:t>
            </w:r>
            <w:r>
              <w:rPr>
                <w:b/>
                <w:i/>
              </w:rPr>
              <w:t>representatives of the Member States</w:t>
            </w:r>
            <w:r>
              <w:t xml:space="preserve"> and chaired by the representative of the Commission.</w:t>
            </w:r>
          </w:p>
        </w:tc>
        <w:tc>
          <w:tcPr>
            <w:tcW w:w="243.8pt" w:type="dxa"/>
            <w:tcBorders>
              <w:start w:val="single" w:sz="6" w:space="0" w:color="FFFFFF"/>
            </w:tcBorders>
          </w:tcPr>
          <w:p>
            <w:pPr>
              <w:pStyle w:val="Normal6"/>
            </w:pPr>
            <w:r>
              <w:t xml:space="preserve">1. The Commission shall be assisted by a committee called the Telematics between Administrations Committee (TAC), composed of </w:t>
            </w:r>
            <w:r>
              <w:rPr>
                <w:b/>
                <w:i/>
              </w:rPr>
              <w:t>one representative from each Member State</w:t>
            </w:r>
            <w:r>
              <w:t xml:space="preserve"> and chaired by the representative of the Commission.</w:t>
            </w:r>
          </w:p>
        </w:tc>
      </w:tr>
    </w:tbl>
    <w:p>
      <w:pPr>
        <w:pStyle w:val="JustificationTitle"/>
      </w:pPr>
      <w:r>
        <w:t>Justification</w:t>
      </w:r>
    </w:p>
    <w:p>
      <w:pPr>
        <w:rPr>
          <w:i/>
        </w:rPr>
      </w:pPr>
      <w:r>
        <w:rPr>
          <w:i/>
        </w:rPr>
        <w:t>Member States should have one representative each in order to facilitate the decision-making of the committee.</w:t>
      </w:r>
    </w:p>
    <w:p>
      <w:pPr>
        <w:pStyle w:val="Normal12Italic"/>
      </w:pPr>
    </w:p>
    <w:p>
      <w:r>
        <w:rPr>
          <w:rStyle w:val="HideTWBExt"/>
          <w:lang w:val="en-GB"/>
        </w:rPr>
        <w:t>&lt;/Amend&gt;</w:t>
      </w:r>
    </w:p>
    <w:p>
      <w:pPr>
        <w:pStyle w:val="AMNumber"/>
      </w:pPr>
      <w:r>
        <w:rPr>
          <w:rStyle w:val="HideTWBExt"/>
          <w:lang w:val="en-GB"/>
        </w:rPr>
        <w:t>&lt;</w:t>
      </w:r>
      <w:bookmarkStart w:id="6" w:name="DocEPTmp2"/>
      <w:bookmarkEnd w:id="6"/>
      <w:r>
        <w:rPr>
          <w:rStyle w:val="HideTWBExt"/>
          <w:lang w:val="en-GB"/>
        </w:rPr>
        <w:t>Amend&gt;</w:t>
      </w:r>
      <w:r>
        <w:t xml:space="preserve">Amendment </w:t>
      </w:r>
      <w:r>
        <w:rPr>
          <w:rStyle w:val="HideTWBExt"/>
          <w:lang w:val="en-GB"/>
        </w:rPr>
        <w:t>&lt;NumAm&gt;</w:t>
      </w:r>
      <w:r>
        <w:t>4</w:t>
      </w:r>
      <w:r>
        <w:rPr>
          <w:rStyle w:val="HideTWBExt"/>
          <w:lang w:val="en-GB"/>
        </w:rPr>
        <w:t>&lt;/NumAm&gt;</w:t>
      </w:r>
    </w:p>
    <w:p>
      <w:pPr>
        <w:pStyle w:val="Normal12Centre"/>
      </w:pPr>
      <w:r>
        <w:t>Article 11,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2. Where reference is made to this paragraph, Articles</w:t>
            </w:r>
            <w:r>
              <w:rPr>
                <w:i/>
              </w:rPr>
              <w:t xml:space="preserve"> </w:t>
            </w:r>
            <w:r>
              <w:rPr>
                <w:b/>
                <w:i/>
              </w:rPr>
              <w:t>4</w:t>
            </w:r>
            <w:r>
              <w:t xml:space="preserve"> and 7 of Council Decision 1999/486/EC shall apply, having regard to Article 8 thereof. </w:t>
            </w:r>
            <w:r>
              <w:rPr>
                <w:b/>
                <w:i/>
              </w:rPr>
              <w:t>The period laid down in Article 4(3) of Decision 1999/468/EC shall be set at three months.</w:t>
            </w:r>
          </w:p>
        </w:tc>
        <w:tc>
          <w:tcPr>
            <w:tcW w:w="243.8pt" w:type="dxa"/>
            <w:tcBorders>
              <w:start w:val="single" w:sz="6" w:space="0" w:color="FFFFFF"/>
            </w:tcBorders>
          </w:tcPr>
          <w:p>
            <w:pPr>
              <w:pStyle w:val="Normal6"/>
            </w:pPr>
            <w:r>
              <w:t xml:space="preserve">2. Where reference is made to this paragraph, Articles </w:t>
            </w:r>
            <w:r>
              <w:rPr>
                <w:b/>
                <w:i/>
              </w:rPr>
              <w:t>3</w:t>
            </w:r>
            <w:r>
              <w:t xml:space="preserve"> and 7 of Council Decision 1999/486/EC shall apply, having regard to Article 8 thereof.</w:t>
            </w:r>
          </w:p>
        </w:tc>
      </w:tr>
    </w:tbl>
    <w:p>
      <w:pPr>
        <w:pStyle w:val="JustificationTitle"/>
      </w:pPr>
      <w:r>
        <w:t>Justification</w:t>
      </w:r>
    </w:p>
    <w:p>
      <w:pPr>
        <w:rPr>
          <w:i/>
        </w:rPr>
      </w:pPr>
      <w:r>
        <w:rPr>
          <w:i/>
        </w:rPr>
        <w:t>The rapporteur considers that the legislative proposal should comply with the traditional approach of the Committee on Budgets as regards comitology.</w:t>
      </w:r>
    </w:p>
    <w:p>
      <w:pPr>
        <w:pStyle w:val="Normal12Italic"/>
      </w:pP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t>5</w:t>
      </w:r>
      <w:r>
        <w:rPr>
          <w:rStyle w:val="HideTWBExt"/>
          <w:lang w:val="en-GB"/>
        </w:rPr>
        <w:t>&lt;/NumAm&gt;</w:t>
      </w:r>
    </w:p>
    <w:p>
      <w:pPr>
        <w:pStyle w:val="Normal12Centre"/>
      </w:pPr>
      <w:r>
        <w:t>Article 12, Paragraph 3</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3. The Commission shall forward </w:t>
            </w:r>
            <w:r>
              <w:rPr>
                <w:b/>
                <w:i/>
              </w:rPr>
              <w:t xml:space="preserve">its evaluations to the European Parliament and the Council </w:t>
            </w:r>
            <w:r>
              <w:t>together with any appropriate  proposal for the amendment of this Decision. The evaluations shall be forwarded no later than the draft budget for the years 2008 and 2010 respectively.</w:t>
            </w:r>
          </w:p>
        </w:tc>
        <w:tc>
          <w:tcPr>
            <w:tcW w:w="243.8pt" w:type="dxa"/>
            <w:tcBorders>
              <w:start w:val="single" w:sz="6" w:space="0" w:color="FFFFFF"/>
            </w:tcBorders>
          </w:tcPr>
          <w:p>
            <w:pPr>
              <w:pStyle w:val="Normal6"/>
            </w:pPr>
            <w:r>
              <w:t xml:space="preserve">3. The Commission shall forward </w:t>
            </w:r>
            <w:r>
              <w:rPr>
                <w:b/>
                <w:i/>
              </w:rPr>
              <w:t xml:space="preserve">the results of its quantitative and qualitative evaluation to the budgetary authority </w:t>
            </w:r>
            <w:r>
              <w:t>together with any appropriate  proposal for the amendment of this Decision. The evaluations shall be forwarded no later than the draft budget for the years 2008 and 2010 respectively.</w:t>
            </w:r>
          </w:p>
        </w:tc>
      </w:tr>
    </w:tbl>
    <w:p>
      <w:pPr>
        <w:pStyle w:val="JustificationTitle"/>
      </w:pPr>
      <w:r>
        <w:t>Justification</w:t>
      </w:r>
    </w:p>
    <w:p>
      <w:pPr>
        <w:rPr>
          <w:i/>
        </w:rPr>
      </w:pPr>
      <w:r>
        <w:rPr>
          <w:i/>
        </w:rPr>
        <w:t>The Commission shall forward its mid-term and final evaluations to the budgetary authority. These evaluations will prove useful to Parliament for justifying its demands when negotiating the coming financial perspectives.</w:t>
      </w:r>
    </w:p>
    <w:p>
      <w:pPr>
        <w:pStyle w:val="Normal12Italic"/>
      </w:pP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t>6</w:t>
      </w:r>
      <w:r>
        <w:rPr>
          <w:rStyle w:val="HideTWBExt"/>
          <w:lang w:val="en-GB"/>
        </w:rPr>
        <w:t>&lt;/NumAm&gt;</w:t>
      </w:r>
    </w:p>
    <w:p>
      <w:pPr>
        <w:pStyle w:val="Normal12Centre"/>
      </w:pPr>
      <w:r>
        <w:t>Article 15,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t>1. The financial reference amount for the implementation of the Community action under this Decision for the period from 1 January 2005 to 31 December 2006 shall be 59.1 million euro</w:t>
            </w:r>
            <w:r>
              <w:rPr>
                <w:b/>
              </w:rPr>
              <w:t xml:space="preserve">, </w:t>
            </w:r>
            <w:r>
              <w:rPr>
                <w:b/>
                <w:i/>
              </w:rPr>
              <w:t>out of which:</w:t>
            </w:r>
          </w:p>
          <w:p>
            <w:pPr>
              <w:rPr>
                <w:b/>
                <w:i/>
              </w:rPr>
            </w:pPr>
          </w:p>
          <w:p>
            <w:pPr>
              <w:rPr>
                <w:b/>
                <w:i/>
              </w:rPr>
            </w:pPr>
            <w:r>
              <w:rPr>
                <w:b/>
                <w:i/>
              </w:rPr>
              <w:t>i) 30.5 million euro for projects of common interest</w:t>
            </w:r>
          </w:p>
          <w:p>
            <w:pPr>
              <w:rPr>
                <w:b/>
                <w:i/>
              </w:rPr>
            </w:pPr>
          </w:p>
          <w:p>
            <w:pPr>
              <w:pStyle w:val="Normal6"/>
            </w:pPr>
            <w:r>
              <w:rPr>
                <w:b/>
                <w:i/>
              </w:rPr>
              <w:t>ii) 28.6 million euro for horizontal measures.</w:t>
            </w:r>
          </w:p>
        </w:tc>
        <w:tc>
          <w:tcPr>
            <w:tcW w:w="243.8pt" w:type="dxa"/>
            <w:tcBorders>
              <w:start w:val="single" w:sz="6" w:space="0" w:color="FFFFFF"/>
            </w:tcBorders>
          </w:tcPr>
          <w:p>
            <w:r>
              <w:t>1. The financial reference amount for the implementation of the Community action under this Decision for the period from 1 January 2005 to 31 December 2006 shall be 59.1 million euro.</w:t>
            </w:r>
          </w:p>
        </w:tc>
      </w:tr>
    </w:tbl>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t>7</w:t>
      </w:r>
      <w:r>
        <w:rPr>
          <w:rStyle w:val="HideTWBExt"/>
          <w:lang w:val="en-GB"/>
        </w:rPr>
        <w:t>&lt;/NumAm&gt;</w:t>
      </w:r>
    </w:p>
    <w:p>
      <w:pPr>
        <w:pStyle w:val="Normal12Centre"/>
      </w:pPr>
      <w:r>
        <w:t>Article 15,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t>2. Subject to compatibility with the future financial perspectives, the financial reference amount for the implementation of the Community action under this Decision for the period from 1 January 2007 to 31 December 2009 shall be 89.6 million euro</w:t>
            </w:r>
            <w:r>
              <w:rPr>
                <w:b/>
                <w:i/>
              </w:rPr>
              <w:t>, out of which:</w:t>
            </w:r>
          </w:p>
          <w:p>
            <w:pPr>
              <w:rPr>
                <w:b/>
                <w:i/>
              </w:rPr>
            </w:pPr>
          </w:p>
          <w:p>
            <w:pPr>
              <w:rPr>
                <w:b/>
                <w:i/>
              </w:rPr>
            </w:pPr>
            <w:r>
              <w:rPr>
                <w:b/>
                <w:i/>
              </w:rPr>
              <w:t>i) 44.2 million euro for projects of common interest</w:t>
            </w:r>
          </w:p>
          <w:p>
            <w:pPr>
              <w:rPr>
                <w:b/>
                <w:i/>
              </w:rPr>
            </w:pPr>
          </w:p>
          <w:p>
            <w:pPr>
              <w:pStyle w:val="Normal6"/>
            </w:pPr>
            <w:r>
              <w:rPr>
                <w:b/>
                <w:i/>
              </w:rPr>
              <w:t>ii) 45.4 million euro for horizontal measures.</w:t>
            </w:r>
          </w:p>
        </w:tc>
        <w:tc>
          <w:tcPr>
            <w:tcW w:w="243.8pt" w:type="dxa"/>
            <w:tcBorders>
              <w:start w:val="single" w:sz="6" w:space="0" w:color="FFFFFF"/>
            </w:tcBorders>
          </w:tcPr>
          <w:p>
            <w:pPr>
              <w:pStyle w:val="Normal6"/>
            </w:pPr>
            <w:r>
              <w:t>2. Subject to compatibility with the future financial perspectives, the financial reference amount for the implementation of the Community action under this Decision for the period from 1 January 2007 to 31 December 2009 shall be 89.6 million euro</w:t>
            </w:r>
            <w:r>
              <w:rPr>
                <w:b/>
                <w:i/>
              </w:rPr>
              <w:t>.</w:t>
            </w:r>
          </w:p>
        </w:tc>
      </w:tr>
    </w:tbl>
    <w:p>
      <w:pPr>
        <w:pStyle w:val="JustificationTitle"/>
      </w:pPr>
      <w:r>
        <w:t>Justification</w:t>
      </w:r>
    </w:p>
    <w:p>
      <w:r>
        <w:rPr>
          <w:i/>
        </w:rPr>
        <w:t>In order to keep up a high degree of management flexibility regarding the allocation of the funds available under the Programme, it is not deemed necessary, at this stage, to attribute fixed amounts to the two strands of the Programme.</w:t>
      </w:r>
    </w:p>
    <w:p>
      <w:pPr>
        <w:pStyle w:val="Normal12Italic"/>
      </w:pPr>
      <w:bookmarkStart w:id="7" w:name="DocEPLastPosition"/>
      <w:bookmarkEnd w:id="7"/>
    </w:p>
    <w:p>
      <w:r>
        <w:rPr>
          <w:rStyle w:val="HideTWBExt"/>
          <w:lang w:val="en-GB"/>
        </w:rPr>
        <w:t>&lt;/Amend&gt;</w:t>
      </w:r>
    </w:p>
    <w:p>
      <w:pPr>
        <w:widowControl/>
        <w:tabs>
          <w:tab w:val="start" w:pos="-720"/>
        </w:tabs>
      </w:pPr>
    </w:p>
    <w:p/>
    <w:sectPr>
      <w:footerReference w:type="even" r:id="rId6"/>
      <w:footerReference w:type="default" r:id="rId7"/>
      <w:footerReference w:type="first" r:id="rId8"/>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t xml:space="preserve">PE </w:t>
    </w:r>
    <w:r>
      <w:rPr>
        <w:vanish/>
        <w:color w:val="000080"/>
      </w:rPr>
      <w:t>&lt;NoPe&gt;</w:t>
    </w:r>
    <w:r>
      <w:t>322.043</w:t>
    </w:r>
    <w:r>
      <w:rPr>
        <w:vanish/>
        <w:color w:val="000080"/>
      </w:rPr>
      <w:t>&lt;/NoPe&gt;</w:t>
    </w:r>
    <w:r>
      <w:tab/>
    </w:r>
    <w:r>
      <w:fldChar w:fldCharType="begin"/>
    </w:r>
    <w:r>
      <w:instrText xml:space="preserve"> PAGE  \* MERGEFORMAT </w:instrText>
    </w:r>
    <w:r>
      <w:fldChar w:fldCharType="separate"/>
    </w:r>
    <w:r>
      <w:t>4</w:t>
    </w:r>
    <w:r>
      <w:fldChar w:fldCharType="end"/>
    </w:r>
    <w:r>
      <w:t>/</w:t>
    </w:r>
    <w:r>
      <w:fldChar w:fldCharType="begin"/>
    </w:r>
    <w:r>
      <w:instrText xml:space="preserve"> NUMPAGES  \* MERGEFORMAT </w:instrText>
    </w:r>
    <w:r>
      <w:fldChar w:fldCharType="separate"/>
    </w:r>
    <w:r>
      <w:t>19</w:t>
    </w:r>
    <w:r>
      <w:fldChar w:fldCharType="end"/>
    </w:r>
    <w:r>
      <w:tab/>
    </w:r>
    <w:r>
      <w:rPr>
        <w:vanish/>
        <w:color w:val="000080"/>
      </w:rPr>
      <w:t>&lt;PathFdr&gt;</w:t>
    </w:r>
    <w:r>
      <w:t>RR\322043EN.doc</w:t>
    </w:r>
    <w:r>
      <w:rPr>
        <w:vanish/>
        <w:color w:val="000080"/>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000080"/>
      </w:rPr>
      <w:t>&lt;PathFdr&gt;</w:t>
    </w:r>
    <w:r>
      <w:t>RR\322043EN.doc</w:t>
    </w:r>
    <w:r>
      <w:rPr>
        <w:vanish/>
        <w:color w:val="000080"/>
      </w:rPr>
      <w:t>&lt;/PathFdr&gt;</w:t>
    </w:r>
    <w:r>
      <w:tab/>
    </w:r>
    <w:r>
      <w:fldChar w:fldCharType="begin"/>
    </w:r>
    <w:r>
      <w:instrText xml:space="preserve"> PAGE  \* MERGEFORMAT </w:instrText>
    </w:r>
    <w:r>
      <w:fldChar w:fldCharType="separate"/>
    </w:r>
    <w:r>
      <w:t>5</w:t>
    </w:r>
    <w:r>
      <w:fldChar w:fldCharType="end"/>
    </w:r>
    <w:r>
      <w:t>/</w:t>
    </w:r>
    <w:r>
      <w:fldChar w:fldCharType="begin"/>
    </w:r>
    <w:r>
      <w:instrText xml:space="preserve"> NUMPAGES  \* MERGEFORMAT </w:instrText>
    </w:r>
    <w:r>
      <w:fldChar w:fldCharType="separate"/>
    </w:r>
    <w:r>
      <w:t>19</w:t>
    </w:r>
    <w:r>
      <w:fldChar w:fldCharType="end"/>
    </w:r>
    <w:r>
      <w:tab/>
      <w:t xml:space="preserve">PE </w:t>
    </w:r>
    <w:r>
      <w:rPr>
        <w:vanish/>
        <w:color w:val="000080"/>
      </w:rPr>
      <w:t>&lt;NoPe&gt;</w:t>
    </w:r>
    <w:r>
      <w:t>322.043</w:t>
    </w:r>
    <w:r>
      <w:rPr>
        <w:vanish/>
        <w:color w:val="000080"/>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000080"/>
      </w:rPr>
      <w:t>&lt;PathFdr&gt;</w:t>
    </w:r>
    <w:r>
      <w:t>RR\322043EN.doc</w:t>
    </w:r>
    <w:r>
      <w:rPr>
        <w:vanish/>
        <w:color w:val="000080"/>
      </w:rPr>
      <w:t>&lt;/PathFdr&gt;</w:t>
    </w:r>
    <w:r>
      <w:tab/>
      <w:tab/>
      <w:t xml:space="preserve">PE </w:t>
    </w:r>
    <w:r>
      <w:rPr>
        <w:vanish/>
        <w:color w:val="000080"/>
      </w:rPr>
      <w:t>&lt;NoPe&gt;</w:t>
    </w:r>
    <w:r>
      <w:t>322.043</w:t>
    </w:r>
    <w:r>
      <w:rPr>
        <w:vanish/>
        <w:color w:val="000080"/>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id="1">
    <w:p>
      <w:pPr>
        <w:pStyle w:val="FootnoteText"/>
      </w:pPr>
      <w:r>
        <w:rPr>
          <w:rStyle w:val="FootnoteReference"/>
        </w:rPr>
        <w:footnoteRef/>
      </w:r>
      <w:r>
        <w:t xml:space="preserve"> Not yet published in OJ.</w:t>
      </w:r>
    </w:p>
  </w:footnote>
  <w:footnote w:id="2">
    <w:p>
      <w:pPr>
        <w:pStyle w:val="FootnoteText"/>
      </w:pPr>
      <w:r>
        <w:rPr>
          <w:rStyle w:val="FootnoteReference"/>
        </w:rPr>
        <w:footnoteRef/>
      </w:r>
      <w:r>
        <w:t xml:space="preserve"> OJ C ...., </w:t>
      </w:r>
      <w:r>
        <w:rPr>
          <w:rStyle w:val="HideTWBInt"/>
        </w:rPr>
        <w:t>{18/09/2003}</w:t>
      </w:r>
      <w:r>
        <w:t>..., 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lvlText w:val="%1."/>
      <w:lvlJc w:val="start"/>
      <w:pPr>
        <w:tabs>
          <w:tab w:val="num" w:pos="1492"/>
        </w:tabs>
        <w:ind w:start="1492" w:hanging="360"/>
      </w:pPr>
    </w:lvl>
  </w:abstractNum>
  <w:abstractNum w:abstractNumId="1">
    <w:nsid w:val="FFFFFF7D"/>
    <w:multiLevelType w:val="singleLevel"/>
    <w:tmpl w:val="D0C0EE6C"/>
    <w:lvl w:ilvl="0">
      <w:start w:val="1"/>
      <w:numFmt w:val="decimal"/>
      <w:lvlText w:val="%1."/>
      <w:lvlJc w:val="start"/>
      <w:pPr>
        <w:tabs>
          <w:tab w:val="num" w:pos="1209"/>
        </w:tabs>
        <w:ind w:start="1209" w:hanging="360"/>
      </w:pPr>
    </w:lvl>
  </w:abstractNum>
  <w:abstractNum w:abstractNumId="2">
    <w:nsid w:val="FFFFFF7E"/>
    <w:multiLevelType w:val="singleLevel"/>
    <w:tmpl w:val="BFB40F5E"/>
    <w:lvl w:ilvl="0">
      <w:start w:val="1"/>
      <w:numFmt w:val="decimal"/>
      <w:lvlText w:val="%1."/>
      <w:lvlJc w:val="start"/>
      <w:pPr>
        <w:tabs>
          <w:tab w:val="num" w:pos="926"/>
        </w:tabs>
        <w:ind w:start="926" w:hanging="360"/>
      </w:pPr>
    </w:lvl>
  </w:abstractNum>
  <w:abstractNum w:abstractNumId="3">
    <w:nsid w:val="FFFFFF7F"/>
    <w:multiLevelType w:val="singleLevel"/>
    <w:tmpl w:val="BF525DAA"/>
    <w:lvl w:ilvl="0">
      <w:start w:val="1"/>
      <w:numFmt w:val="decimal"/>
      <w:lvlText w:val="%1."/>
      <w:lvlJc w:val="start"/>
      <w:pPr>
        <w:tabs>
          <w:tab w:val="num" w:pos="643"/>
        </w:tabs>
        <w:ind w:start="643" w:hanging="360"/>
      </w:pPr>
    </w:lvl>
  </w:abstractNum>
  <w:abstractNum w:abstractNumId="4">
    <w:nsid w:val="FFFFFF80"/>
    <w:multiLevelType w:val="singleLevel"/>
    <w:tmpl w:val="97309190"/>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lvlText w:val="%1."/>
      <w:lvlJc w:val="start"/>
      <w:pPr>
        <w:tabs>
          <w:tab w:val="num" w:pos="360"/>
        </w:tabs>
        <w:ind w:start="360" w:hanging="360"/>
      </w:pPr>
    </w:lvl>
  </w:abstractNum>
  <w:abstractNum w:abstractNumId="9">
    <w:nsid w:val="FFFFFF89"/>
    <w:multiLevelType w:val="singleLevel"/>
    <w:tmpl w:val="AB4278A6"/>
    <w:lvl w:ilvl="0">
      <w:start w:val="1"/>
      <w:numFmt w:val="bullet"/>
      <w:lvlText w:val=""/>
      <w:lvlJc w:val="start"/>
      <w:pPr>
        <w:tabs>
          <w:tab w:val="num" w:pos="360"/>
        </w:tabs>
        <w:ind w:start="360" w:hanging="360"/>
      </w:pPr>
      <w:rPr>
        <w:rFonts w:ascii="Symbol" w:hAnsi="Symbol" w:hint="default"/>
      </w:rPr>
    </w:lvl>
  </w:abstractNum>
  <w:abstractNum w:abstractNumId="10">
    <w:nsid w:val="64EE446D"/>
    <w:multiLevelType w:val="singleLevel"/>
    <w:tmpl w:val="08090001"/>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2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KEY" w:val="ITRE"/>
    <w:docVar w:name="CopyToNetwork" w:val="-1"/>
    <w:docVar w:name="DOCMNU" w:val=" 3"/>
    <w:docVar w:name="FILLINMNU" w:val=" 1"/>
    <w:docVar w:name="FOROPINMNU" w:val=" 2"/>
    <w:docVar w:name="iNoAmend" w:val="5"/>
    <w:docVar w:name="LastEditedSection" w:val=" 1"/>
    <w:docVar w:name="OPIN1KEY" w:val="BUDG"/>
    <w:docVar w:name="OPIN2KEY" w:val="LIBE"/>
    <w:docVar w:name="OPINMNU" w:val=" 2"/>
    <w:docVar w:name="REFERRAL2MNU" w:val=" 2"/>
    <w:docVar w:name="RepeatBlock-Amend" w:val="{\rtf1\ansi\ansicpg1252\uc1 \deff0\deflang1033\deflangfe1033{\fonttbl{\f0\froman\fcharset0\fprq2{\*\panose 02020603050405020304}Times New Roman;}{\f1\fswiss\fcharset0\fprq2{\*\panose 020b0604020202020204}Arial;}&#13;&#10;{\f38\froman\fcharset238\fprq2 Times New Roman CE;}{\f39\froman\fcharset204\fprq2 Times New Roman Cyr;}{\f41\froman\fcharset161\fprq2 Times New Roman Greek;}{\f42\froman\fcharset162\fprq2 Times New Roman Tur;}&#13;&#10;{\f43\froman\fcharset186\fprq2 Times New Roman Baltic;}{\f44\fswiss\fcharset238\fprq2 Arial CE;}{\f45\fswiss\fcharset204\fprq2 Arial Cyr;}{\f47\fswiss\fcharset161\fprq2 Arial Greek;}{\f48\fswiss\fcharset162\fprq2 Arial Tur;}&#13;&#10;{\f49\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1036\cgrid \snext0 Normal;}{\s1\qj\fi-360\li360\sb240\sa60\keepn\widctlpar&#13;&#10;\jclisttab\tx360\tx1021\tx1418\tx1786\tx2381\tx2948\tx3572\tx4139\tx4763\tx5387\tx5954\tx6577\tx7144\ls4\adjustright \lang1036\kerning28\cgrid \sbasedon0 \snext0 heading 1;}{\s2\qj\fi-792\li792\sb240\sa60\keepn\widctlpar&#13;&#10;\jclisttab\tx792\tx1021\tx1418\tx1786\tx2381\tx2948\tx3572\tx4139\tx4763\tx5387\tx5954\tx6577\tx7144\ls4\ilvl1\adjustright \lang1036\cgrid \sbasedon0 \snext0 heading 2;}{\s3\qj\fi-1224\li1224\sb240\sa60\keepn\widctlpar&#13;&#10;\tx1021\jclisttab\tx1224\tx1418\tx1786\tx2381\tx2948\tx3572\tx4139\tx4763\tx5387\tx5954\tx6577\tx7144\ls4\ilvl2\adjustright \f1\lang1036\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1036\cgrid \sbasedon0 \snext15 footer;}{\*\cs16 \additive \sbasedon10 page number;}{\s17\qj\widctlpar&#13;&#10;\tx1021\tx1418\tx1786\tx2381\tx2948\tx3572\tx4139\tqc\tx4536\tx4763\tx5387\tx5954\tx6577\tx7144\tqr\tx9072\adjustright \lang1036\cgrid \sbasedon0 \snext17 header;}{\s18\qj\fi-240\li240\widctlpar\adjustright \b\cgrid \sbasedon0 \snext0 \sautoupd index 1;}{&#13;&#10;\s19\qj\fi-240\li480\widctlpar\adjustright \lang1036\cgrid \sbasedon0 \snext0 \sautoupd index 2;}{\s20\qj\fi-240\li720\widctlpar\adjustright \lang1036\cgrid \sbasedon0 \snext0 \sautoupd index 3;}{\s21\qj\fi-240\li960\widctlpar\adjustright \lang1036\cgrid &#13;&#10;\sbasedon0 \snext0 \sautoupd index 4;}{\s22\qj\fi-240\li1200\widctlpar\adjustright \lang1036\cgrid \sbasedon0 \snext0 \sautoupd index 5;}{\s23\qj\fi-240\li1440\widctlpar\adjustright \lang1036\cgrid \sbasedon0 \snext0 \sautoupd index 6;}{&#13;&#10;\s24\qj\fi-240\li1680\widctlpar\adjustright \lang1036\cgrid \sbasedon0 \snext0 \sautoupd index 7;}{\s25\qj\fi-240\li1920\widctlpar\adjustright \lang1036\cgrid \sbasedon0 \snext0 \sautoupd index 8;}{\s26\qj\fi-240\li2160\widctlpar\adjustright &#13;&#10;\lang1036\cgrid \sbasedon0 \snext0 \sautoupd index 9;}{\s27\qj\widctlpar\tx1021\tx1418\tx1786\tx2381\tx2948\tx3572\tx4139\tx4763\tx5387\tx5954\tx6577\tx7144\adjustright \lang1036\cgrid \sbasedon0 \snext18 index heading;}{\s28\qj\widctlpar&#13;&#10;\tx1021\tx1418\tx1786\tx2381\tx2948\tx3572\tx4139\tx4763\tx5387\tx5954\tx6577\tx7144\adjustright \fs20\lang1036\cgrid \sbasedon0 \snext28 endnote text;}{\s29\qj\fi-480\li480\widctlpar\adjustright \lang1036\cgrid \sbasedon0 \snext0 table of figures;}{\*&#13;&#10;\cs30 \additive \super \sbasedon10 endnote reference;}{\s31\qj\li2880\widctlpar\tx1021\tx1418\tx1786\tx2381\tx2948\tx3572\tx4139\tx4763\tx5387\tx5954\tx6577\tx7144\phpg\posxc\posyb\absh-1980\absw7920\dxfrtext180\dfrmtxtx180\dfrmtxty0\adjustright &#13;&#10;\lang1036\cgrid \sbasedon0 \snext31 envelope address;}{\s32\qj\widctlpar\tx1021\tx1418\tx1786\tx2381\tx2948\tx3572\tx4139\tx4763\tx5387\tx5954\tx6577\tx7144\adjustright \fs20\lang1036\cgrid \sbasedon0 \snext32 envelope return;}{\s33\qj\widctlpar&#13;&#10;\tx1021\tx1418\tx1786\tx2381\tx2948\tx3572\tx4139\tx4763\tx5387\tx5954\tx6577\tx7144\adjustright \fs20\lang1036\cgrid \sbasedon0 \snext33 footnote text;}{\*\cs34 \additive \super \sbasedon10 footnote reference;}{\*\cs35 \additive \v\f1\fs20\cf9\lang1024 &#13;&#10;\sbasedon10 HideTWBExt;}{\*\cs36 \additive \v\cf15 \sbasedon10 HideTWBInt;}{\s37\sa120\nowidctlpar\adjustright \lang2057\cgrid \sbasedon0 \snext37 Normal6;}{\s38\sb240\nowidctlpar\adjustright \i\lang2057\cgrid \sbasedon0 \snext38 Normal12Italic;}{&#13;&#10;\s39\qc\sb360\nowidctlpar\adjustright \lang2057\cgrid \sbasedon0 \snext39 AMNumber;}{\s40\qc\sb240\keepn\nowidctlpar\adjustright \i\lang2057\cgrid \sbasedon0 \snext40 CrossRef;}{\s41\qc\sb240\keepn\nowidctlpar\adjustright \i\lang2057\cgrid &#13;&#10;\sbasedon0 \snext0 JustificationTitle;}{\s42\qc\sa240\nowidctlpar\adjustright \lang2057\cgrid \sbasedon0 \snext42 Normal12Centre;}}{\*\listtable{\list\listtemplateid-1134238410{\listlevel\levelnfc0\leveljc0\levelfollow0\levelstartat1\levelspace0&#13;&#10;\levelindent0{\leveltext\'02\'00.;}{\levelnumbers\'01;}\s1\fi-360\li360\jclisttab\tx360 }{\listlevel\levelnfc0\leveljc0\levelfollow0\levelstartat1\levelspace0\levelindent0{\leveltext\'04\'00.\'01.;}{\levelnumbers\'01\'03;}\s2\fi-792\li792\jclisttab\tx792 &#13;&#10;}{\listlevel\levelnfc0\leveljc0\levelfollow0\levelstartat1\levelspace0\levelindent0{\leveltext\'06\'00.\'01.\'02.;}{\levelnumbers\'01\'03\'05;}\s3\fi-1224\li1224\jclisttab\tx1224 }{\listlevel\levelnfc0\leveljc0\levelfollow0\levelstartat1\levelspace0&#13;&#10;\levelindent0{\leveltext\'08\'00.\'01.\'02.\'03.;}{\levelnumbers\'01\'03\'05\'07;}\s4\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5495536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578419}{\list\listtemplateid325584214{\listlevel\levelnfc0\leveljc0\levelfollow0\levelstartat1&#13;&#10;\levelspace0\levelindent0{\leveltext\'02\'00.;}{\levelnumbers\'01;}\fi-360\li360\jclisttab\tx360 }{\listlevel\levelnfc0\leveljc0\levelfollow0\levelstartat1\levelspace0\levelindent0{\leveltext\'04\'00.\'01.;}{\levelnumbers\'01\'03;}\fi-792\li792&#13;&#10;\jclisttab\tx792 }{\listlevel\levelnfc0\leveljc0\levelfollow0\levelstartat1\levelspace0\levelindent0{\leveltext\'06\'00.\'01.\'02.;}{\levelnumbers\'01\'03\'05;}\fi-1224\li1224\jclisttab\tx1224 }{\listlevel\levelnfc0\leveljc0\levelfollow0\levelstartat1&#13;&#10;\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438376642}&#13;&#10;{\list\listtemplateid67895327{\listlevel\levelnfc0\leveljc0\levelfollow0\levelstartat1\levelspace0\levelindent0{\leveltext\'02\'00.;}{\levelnumbers\'01;}\fi-360\li360\jclisttab\tx360 }{\listlevel\levelnfc0\leveljc0\levelfollow0\levelstartat1\levelspace0&#13;&#10;\levelindent0{\leveltext\'04\'00.\'01.;}{\levelnumbers\'01\'03;}\fi-432\li792\jclisttab\tx792 }{\listlevel\levelnfc0\leveljc0\levelfollow0\levelstartat1\levelspace0\levelindent0{\leveltext\'06\'00.\'01.\'02.;}{\levelnumbers\'01\'03\'05;}\fi-504\li1224&#13;&#10;\jclisttab\tx1440 }{\listlevel\levelnfc0\leveljc0\levelfollow0\levelstartat1\levelspace0\levelindent0{\leveltext\'08\'00.\'01.\'02.\'03.;}{\levelnumbers\'01\'03\'05\'07;}\fi-648\li1728\jclisttab\tx1800 }{\listlevel\levelnfc0\leveljc0\levelfollow0&#13;&#10;\levelstartat1\levelspace0\levelindent0{\leveltext\'0a\'00.\'01.\'02.\'03.\'04.;}{\levelnumbers\'01\'03\'05\'07\'09;}\fi-792\li2232\jclisttab\tx2520 }{\listlevel\levelnfc0\leveljc0\levelfollow0\levelstartat1\levelspace0\levelindent0{\leveltext&#13;&#10;\'0c\'00.\'01.\'02.\'03.\'04.\'05.;}{\levelnumbers\'01\'03\'05\'07\'09\'0b;}\fi-936\li2736\jclisttab\tx2880 }{\listlevel\levelnfc0\leveljc0\levelfollow0\levelstartat1\levelspace0\levelindent0{\leveltext&#13;&#10;\'0e\'00.\'01.\'02.\'03.\'04.\'05.\'06.;}{\levelnumbers\'01\'03\'05\'07\'09\'0b\'0d;}\fi-1080\li3240\jclisttab\tx3600 }{\listlevel\levelnfc0\leveljc0\levelfollow0\levelstartat1\levelspace0\levelindent0{\leveltext&#13;&#10;\'10\'00.\'01.\'02.\'03.\'04.\'05.\'06.\'07.;}{\levelnumbers\'01\'03\'05\'07\'09\'0b\'0d\'0f;}\fi-1224\li3744\jclisttab\tx3960 }{\listlevel\levelnfc0\leveljc0\levelfollow0\levelstartat1\levelspace0\levelindent0{\leveltext&#13;&#10;\'12\'00.\'01.\'02.\'03.\'04.\'05.\'06.\'07.\'08.;}{\levelnumbers\'01\'03\'05\'07\'09\'0b\'0d\'0f\'11;}\fi-1440\li4320\jclisttab\tx4680 }{\listname ;}\listid649216157}{\list\listtemplateid-1755406156{\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s5\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96319357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280406163}{\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2540295}}&#13;&#10;{\*\listoverridetable{\listoverride\listid649216157\listoverridecount0\ls1}{\listoverride\listid438376642\listoverridecount0\ls2}{\listoverride\listid191578419\listoverridecount0\ls3}{\listoverride\listid154955360\listoverridecount0\ls4}&#13;&#10;{\listoverride\listid1912540295\listoverridecount0\ls5}{\listoverride\listid1280406163\listoverridecount0\ls6}{\listoverride\listid963193570\listoverridecount0\ls7}}{\info{\title Amendment ##}{\author svescia}{\operator svescia}&#13;&#10;{\creatim\yr2003\mo9\dy18\hr17\min10}{\revtim\yr2003\mo9\dy18\hr17\min10}{\printim\yr1999\mo2\dy24\hr9\min24}{\version1}{\edmins0}{\nofpages1}{\nofwords0}{\nofchars0}{\*\company European Parliament}{\nofcharsws0}{\vern23}}&#13;&#10;\paperw11905\paperh16837\margl1418\margr1191\margt1418\margb1418 \widowctrl\ftnbj\aenddoc\ftnrstpg\aftnnar\formshade\viewkind1\viewscale120\pgbrdrhead\pgbrdrfoot \fet0\sectd \psz9\linex0\headery1134\footery1134\colsx709\sectdefaultcl {\*\pnseclvl1&#13;&#10;\pnucrm\pnstart1\pnindent720\pnhang{\pntxta .}}{\*\pnseclvl2\pnucltr\pnstart1\pnindent720\pnhang{\pntxta .}}{\*\pnseclvl3\pndec\pnstart1\pnindent720\pnhang{\pntxta .}}{\*\pnseclvl4\pnlcltr\pnstart1\pnindent720\pnhang{\pntxta )}}{\*\pnseclvl5&#13;&#10;\pndec\pnstart1\pnindent720\pnhang{\pntxtb (}{\pntxta )}}{\*\pnseclvl6\pnlcltr\pnstart1\pnindent720\pnhang{\pntxtb (}{\pntxta )}}{\*\pnseclvl7\pnlcrm\pnstart1\pnindent720\pnhang{\pntxtb (}{\pntxta )}}{\*\pnseclvl8\pnlcltr\pnstart1\pnindent720\pnhang&#13;&#10;{\pntxtb (}{\pntxta )}}{\*\pnseclvl9\pnlcrm\pnstart1\pnindent720\pnhang{\pntxtb (}{\pntxta )}}\pard\plain \s39\qc\sb360\nowidctlpar\adjustright \lang2057\cgrid {\cs35\v\f1\fs20\cf9\lang1024 {\*\bkmkstart restart}&lt;Amend&gt;}{Amendment }{&#13;&#10;\cs35\v\f1\fs20\cf9\lang1024 &lt;NumAm&gt;}{#}{\cs36\v\cf15 ENMIENDA@NRAM@}{#}{\cs35\v\f1\fs20\cf9\lang1024 &lt;/NumAm&gt;}{&#13;&#10;\par }\pard\plain \s42\qc\sa240\nowidctlpar\adjustright \lang2057\cgrid {\cf10 \u9668\'3f}{#}{\cs36\v\cf15 TVTPART@PART@}{#}{\cf10 \u9658\'3f}{&#13;&#10;\par }\trowd \trqc\trgaph340\trleft-340 \clvertalt\clbrdrr\brdrs\brdrw15\brdrcf8 \cltxlrtb \cellx4536\clvertalt\clbrdrl\brdrs\brdrw15\brdrcf8 \cltxlrtb \cellx9412\pard\plain \s37\sa120\nowidctlpar\intbl\adjustright \lang2057\cgrid {##\cell ##\cell &#13;&#10;}\pard\plain \widctlpar\intbl\adjustright \lang1036\cgrid {\row }\pard\plain \s40\qc\sb240\keepn\nowidctlpar\adjustright \i\lang2057\cgrid {\cs35\i0\v\f1\fs20\cf9\lang1024 &lt;OptDel}{\cs35\v\f1\fs20\cf9\lang1024 &gt;}{#}{\cs36\v\cf15 &#13;&#10;MNU[CROSSREFNO][CROSSREFYES]@CHOICE@}{#}{\cs35\i0\v\f1\fs20\cf9\lang1024 &lt;/OptDel&gt;}{&#13;&#10;\par }\pard\plain \s41\qc\sb240\keepn\nowidctlpar\adjustright \i\lang2057\cgrid {Justification&#13;&#10;\par }\pard\plain \s38\sb240\nowidctlpar\adjustright \i\lang2057\cgrid {\cs35\i0\v\f1\fs20\cf9\lang1024 &lt;OptDelPrev}{\cs35\v\f1\fs20\cf9\lang1024 &gt;}{#}{\cs36\v\cf15 MNU[TEXTJUST1][TEXTJUST2][TEXTJUSTNO]@CHOICE@}{#}{\cs35\i0\v\f1\fs20\cf9\lang1024 &lt;/OptDelPrev}&#13;&#10;{\cs35\v\f1\fs20\cf9\lang1024 &gt;}{&#13;&#10;\par }\pard\plain \qj\widctlpar\tx1021\tx1418\tx1786\tx2381\tx2948\tx3572\tx4139\tx4763\tx5387\tx5954\tx6577\tx7144\adjustright \lang1036\cgrid {\cs35\v\f1\fs20\cf9\lang2057 &lt;/Amend&gt;}{{\*\bkmkend restart}&#13;&#10;\par }}"/>
    <w:docVar w:name="strSubDir" w:val="322"/>
    <w:docVar w:name="TVTPART" w:val="Recital 5 a (new)"/>
    <w:docVar w:name="TXTART1" w:val="Article 156(1)"/>
    <w:docVar w:name="TXTAUTHOR" w:val="Imelda Mary Read"/>
    <w:docVar w:name="TXTLANGUE" w:val="EN"/>
    <w:docVar w:name="TXTLANGUEMIN" w:val="en"/>
    <w:docVar w:name="TXTNRC" w:val="0310/2003"/>
    <w:docVar w:name="TXTNRCOD" w:val="2003/0147"/>
    <w:docVar w:name="TXTNRCOM" w:val="(2003) 406"/>
    <w:docVar w:name="TXTNRPE" w:val="322.043"/>
    <w:docVar w:name="TXTROUTE" w:val="RR\322043EN.doc"/>
    <w:docVar w:name="TXTTITLE" w:val="Interoperable Delivery of pan-European eGovernment Services to Public Administrations, Businesses and Citizens (IDAB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GB"/>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a12b"/>
    <w:pPr>
      <w:tabs>
        <w:tab w:val="center" w:pos="4536"/>
        <w:tab w:val="end" w:pos="9072"/>
      </w:tabs>
    </w:pPr>
    <w:rPr>
      <w:sz w:val="22"/>
    </w:rPr>
  </w:style>
  <w:style w:type="paragraph" w:customStyle="1" w:styleId="Normal12a12b">
    <w:name w:val="Normal12a12b"/>
    <w:basedOn w:val="Normal"/>
    <w:pPr>
      <w:spacing w:before="240" w:after="240"/>
    </w:pPr>
  </w:style>
  <w:style w:type="character" w:customStyle="1" w:styleId="Added">
    <w:name w:val="Added"/>
    <w:basedOn w:val="DefaultParagraphFont"/>
    <w:rPr>
      <w:b/>
      <w:i/>
    </w:rPr>
  </w:style>
  <w:style w:type="character" w:customStyle="1" w:styleId="Deleted">
    <w:name w:val="Deleted"/>
    <w:basedOn w:val="DefaultParagraphFont"/>
    <w:rPr>
      <w:b/>
      <w:i/>
    </w:rPr>
  </w:style>
  <w:style w:type="paragraph" w:customStyle="1" w:styleId="Footer2">
    <w:name w:val="Footer2"/>
    <w:basedOn w:val="Normal12"/>
    <w:pPr>
      <w:tabs>
        <w:tab w:val="end" w:pos="9923"/>
      </w:tabs>
      <w:ind w:start="-851"/>
    </w:pPr>
    <w:rPr>
      <w:rFonts w:ascii="Arial" w:hAnsi="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uiPriority w:val="39"/>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end"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start="357" w:hanging="357"/>
    </w:pPr>
  </w:style>
  <w:style w:type="paragraph" w:customStyle="1" w:styleId="AMNumber">
    <w:name w:val="AMNumber"/>
    <w:basedOn w:val="Normal"/>
    <w:pPr>
      <w:spacing w:before="360"/>
      <w:jc w:val="center"/>
    </w:pPr>
  </w:style>
  <w:style w:type="paragraph" w:customStyle="1" w:styleId="ColHeading">
    <w:name w:val="ColHeading"/>
    <w:basedOn w:val="Normal"/>
    <w:pPr>
      <w:spacing w:before="240" w:after="120"/>
      <w:jc w:val="center"/>
    </w:pPr>
  </w:style>
  <w:style w:type="paragraph" w:customStyle="1" w:styleId="Committee">
    <w:name w:val="Committee"/>
    <w:basedOn w:val="Normal"/>
    <w:pPr>
      <w:spacing w:before="240" w:after="1200"/>
      <w:jc w:val="center"/>
    </w:pPr>
    <w:rPr>
      <w:i/>
    </w:rPr>
  </w:style>
  <w:style w:type="paragraph" w:customStyle="1" w:styleId="Normal24">
    <w:name w:val="Normal24"/>
    <w:basedOn w:val="Normal"/>
    <w:pPr>
      <w:spacing w:after="480"/>
    </w:pPr>
  </w:style>
  <w:style w:type="paragraph" w:customStyle="1" w:styleId="Cover12">
    <w:name w:val="Cover12"/>
    <w:basedOn w:val="Normal12"/>
    <w:pPr>
      <w:ind w:start="1418"/>
    </w:pPr>
  </w:style>
  <w:style w:type="paragraph" w:customStyle="1" w:styleId="Cover24">
    <w:name w:val="Cover24"/>
    <w:basedOn w:val="Normal24"/>
    <w:pPr>
      <w:ind w:start="1418"/>
    </w:pPr>
  </w:style>
  <w:style w:type="paragraph" w:customStyle="1" w:styleId="CoverNormal">
    <w:name w:val="CoverNormal"/>
    <w:basedOn w:val="Normal"/>
    <w:pPr>
      <w:ind w:start="1418"/>
    </w:pPr>
  </w:style>
  <w:style w:type="paragraph" w:customStyle="1" w:styleId="CrossRef">
    <w:name w:val="CrossRef"/>
    <w:basedOn w:val="Normal"/>
    <w:pPr>
      <w:keepNext/>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EntPE">
    <w:name w:val="EntPE"/>
    <w:basedOn w:val="Normal12"/>
    <w:pPr>
      <w:jc w:val="center"/>
    </w:pPr>
    <w:rPr>
      <w:sz w:val="56"/>
    </w:rPr>
  </w:style>
  <w:style w:type="paragraph" w:customStyle="1" w:styleId="Hanging12">
    <w:name w:val="Hanging12"/>
    <w:basedOn w:val="Normal12"/>
    <w:pPr>
      <w:tabs>
        <w:tab w:val="start" w:pos="357"/>
      </w:tabs>
      <w:ind w:star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star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pPr>
      <w:jc w:val="end"/>
    </w:pPr>
    <w:rPr>
      <w:rFonts w:ascii="Arial" w:hAnsi="Arial"/>
      <w:b/>
      <w:caps/>
    </w:rPr>
  </w:style>
  <w:style w:type="paragraph" w:customStyle="1" w:styleId="RefStatus">
    <w:name w:val="RefStatus"/>
    <w:basedOn w:val="Normal"/>
    <w:pPr>
      <w:jc w:val="end"/>
    </w:pPr>
    <w:rPr>
      <w:rFonts w:ascii="Arial" w:hAnsi="Arial"/>
      <w:caps/>
    </w:rPr>
  </w:style>
  <w:style w:type="paragraph" w:customStyle="1" w:styleId="RefVer">
    <w:name w:val="RefVer"/>
    <w:basedOn w:val="Normal12"/>
    <w:pPr>
      <w:jc w:val="end"/>
    </w:pPr>
    <w:rPr>
      <w:rFonts w:ascii="Arial" w:hAnsi="Arial"/>
    </w:rPr>
  </w:style>
  <w:style w:type="paragraph" w:customStyle="1" w:styleId="StarsAndIs">
    <w:name w:val="StarsAndIs"/>
    <w:basedOn w:val="Normal"/>
    <w:pPr>
      <w:ind w:start="1418"/>
    </w:pPr>
    <w:rPr>
      <w:rFonts w:ascii="Arial" w:hAnsi="Arial"/>
      <w:b/>
      <w:sz w:val="48"/>
    </w:rPr>
  </w:style>
  <w:style w:type="paragraph" w:customStyle="1" w:styleId="Term">
    <w:name w:val="Term"/>
    <w:basedOn w:val="Normal"/>
    <w:pPr>
      <w:jc w:val="center"/>
    </w:pPr>
    <w:rPr>
      <w:i/>
      <w:sz w:val="28"/>
    </w:rPr>
  </w:style>
  <w:style w:type="paragraph" w:customStyle="1" w:styleId="TypeDoc">
    <w:name w:val="TypeDoc"/>
    <w:basedOn w:val="Normal24"/>
    <w:pPr>
      <w:ind w:start="1418"/>
    </w:pPr>
    <w:rPr>
      <w:rFonts w:ascii="Arial" w:hAnsi="Arial"/>
      <w:b/>
      <w:sz w:val="48"/>
    </w:rPr>
  </w:style>
  <w:style w:type="paragraph" w:customStyle="1" w:styleId="ZDate">
    <w:name w:val="ZDate"/>
    <w:basedOn w:val="Normal"/>
    <w:pPr>
      <w:spacing w:after="1200"/>
    </w:pPr>
  </w:style>
  <w:style w:type="paragraph" w:customStyle="1" w:styleId="Lgendesigne">
    <w:name w:val="Légende signe"/>
    <w:basedOn w:val="Normal"/>
    <w:pPr>
      <w:tabs>
        <w:tab w:val="end" w:pos="454"/>
        <w:tab w:val="start" w:pos="737"/>
      </w:tabs>
      <w:ind w:start="737" w:hanging="737"/>
    </w:pPr>
    <w:rPr>
      <w:snapToGrid w:val="0"/>
      <w:sz w:val="18"/>
      <w:lang w:val="en-US" w:eastAsia="en-US"/>
    </w:rPr>
  </w:style>
  <w:style w:type="paragraph" w:customStyle="1" w:styleId="Lgendetitre">
    <w:name w:val="Légende titre"/>
    <w:basedOn w:val="Normal"/>
    <w:pPr>
      <w:spacing w:before="240" w:after="240"/>
    </w:pPr>
    <w:rPr>
      <w:b/>
      <w:i/>
      <w:snapToGrid w:val="0"/>
      <w:lang w:val="en-US" w:eastAsia="en-US"/>
    </w:rPr>
  </w:style>
  <w:style w:type="paragraph" w:customStyle="1" w:styleId="Lgendestandard">
    <w:name w:val="Légende standard"/>
    <w:basedOn w:val="Lgendesigne"/>
    <w:pPr>
      <w:ind w:start="0" w:firstLine="0"/>
    </w:pPr>
  </w:style>
  <w:style w:type="paragraph" w:styleId="FootnoteText">
    <w:name w:val="footnote text"/>
    <w:basedOn w:val="Normal"/>
    <w:rPr>
      <w:sz w:val="20"/>
    </w:rPr>
  </w:style>
  <w:style w:type="character" w:styleId="FootnoteReference">
    <w:name w:val="footnote reference"/>
    <w:basedOn w:val="DefaultParagraphFont"/>
    <w:rPr>
      <w:vertAlign w:val="superscript"/>
    </w:rPr>
  </w:style>
  <w:style w:type="paragraph" w:styleId="Header">
    <w:name w:val="header"/>
    <w:basedOn w:val="Normal"/>
    <w:pPr>
      <w:tabs>
        <w:tab w:val="center" w:pos="4320"/>
        <w:tab w:val="end" w:pos="8640"/>
      </w:tabs>
    </w:pPr>
  </w:style>
  <w:style w:type="paragraph" w:customStyle="1" w:styleId="Text1">
    <w:name w:val="Text 1"/>
    <w:basedOn w:val="Normal"/>
    <w:pPr>
      <w:widowControl/>
      <w:spacing w:before="120" w:after="120"/>
      <w:ind w:start="851"/>
      <w:jc w:val="both"/>
    </w:pPr>
  </w:style>
  <w:style w:type="paragraph" w:customStyle="1" w:styleId="ManualHeading1">
    <w:name w:val="Manual Heading 1"/>
    <w:basedOn w:val="Heading1"/>
    <w:next w:val="Text1"/>
    <w:pPr>
      <w:widowControl/>
      <w:numPr>
        <w:ilvl w:val="0"/>
        <w:numId w:val="0"/>
      </w:numPr>
      <w:tabs>
        <w:tab w:val="num" w:pos="851"/>
      </w:tabs>
      <w:spacing w:before="360" w:after="120"/>
      <w:ind w:start="851" w:hanging="851"/>
      <w:jc w:val="both"/>
    </w:pPr>
    <w:rPr>
      <w:rFonts w:ascii="Times New Roman" w:hAnsi="Times New Roman"/>
      <w:smallCaps/>
      <w:kern w:val="0"/>
      <w:sz w:val="24"/>
    </w:rPr>
  </w:style>
  <w:style w:type="paragraph" w:customStyle="1" w:styleId="ManualHeading2">
    <w:name w:val="Manual Heading 2"/>
    <w:basedOn w:val="Heading2"/>
    <w:next w:val="Normal"/>
    <w:pPr>
      <w:widowControl/>
      <w:numPr>
        <w:ilvl w:val="0"/>
        <w:numId w:val="0"/>
      </w:numPr>
      <w:tabs>
        <w:tab w:val="num" w:pos="851"/>
      </w:tabs>
      <w:spacing w:before="120" w:after="120"/>
      <w:ind w:start="851" w:hanging="851"/>
      <w:jc w:val="both"/>
    </w:pPr>
    <w:rPr>
      <w:rFonts w:ascii="Times New Roman" w:hAnsi="Times New Roman"/>
      <w:i w:val="0"/>
    </w:rPr>
  </w:style>
  <w:style w:type="paragraph" w:customStyle="1" w:styleId="NormalRight">
    <w:name w:val="Normal Right"/>
    <w:basedOn w:val="Normal"/>
    <w:pPr>
      <w:widowControl/>
      <w:spacing w:before="120" w:after="120"/>
      <w:jc w:val="end"/>
    </w:pPr>
  </w:style>
  <w:style w:type="paragraph" w:customStyle="1" w:styleId="Point0">
    <w:name w:val="Point 0"/>
    <w:basedOn w:val="Normal"/>
    <w:pPr>
      <w:widowControl/>
      <w:spacing w:before="120" w:after="120"/>
      <w:ind w:start="851" w:hanging="851"/>
      <w:jc w:val="both"/>
    </w:pPr>
  </w:style>
  <w:style w:type="paragraph" w:customStyle="1" w:styleId="PageHeadingNotTOC">
    <w:name w:val="PageHeadingNotTOC"/>
    <w:basedOn w:val="Normal12a12b"/>
    <w:pPr>
      <w:keepNext/>
      <w:jc w:val="center"/>
    </w:pPr>
    <w:rPr>
      <w:rFonts w:ascii="Arial" w:hAnsi="Arial"/>
      <w:b/>
    </w:rPr>
  </w:style>
  <w:style w:type="paragraph" w:customStyle="1" w:styleId="ConclusionsPA">
    <w:name w:val="ConclusionsPA"/>
    <w:basedOn w:val="Normal12"/>
    <w:pPr>
      <w:spacing w:before="480"/>
      <w:jc w:val="center"/>
    </w:pPr>
    <w:rPr>
      <w:rFonts w:ascii="Arial" w:hAnsi="Arial"/>
      <w:b/>
      <w:caps/>
      <w:snapToGrid w:val="0"/>
      <w:lang w:val="en-US" w:eastAsia="en-US"/>
    </w:rPr>
  </w:style>
  <w:style w:type="paragraph" w:customStyle="1" w:styleId="PageconclusionsphrasesPA">
    <w:name w:val="Page conclusions phrases PA"/>
    <w:basedOn w:val="Normal"/>
    <w:pPr>
      <w:keepNext/>
      <w:keepLines/>
      <w:tabs>
        <w:tab w:val="start" w:pos="357"/>
      </w:tabs>
      <w:spacing w:after="240"/>
    </w:pPr>
    <w:rPr>
      <w:snapToGrid w:val="0"/>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_Leg\COD\COD_1st\PR_COD_1am.dot" TargetMode="External" /></Relationships>
</file>

<file path=docProps/app.xml><?xml version="1.0" encoding="utf-8"?>
<Properties xmlns="http://purl.oclc.org/ooxml/officeDocument/extendedProperties" xmlns:vt="http://purl.oclc.org/ooxml/officeDocument/docPropsVTypes">
  <Template>PR_COD_1am.dot</Template>
  <TotalTime>0</TotalTime>
  <Pages>19</Pages>
  <Words>4133</Words>
  <Characters>23563</Characters>
  <Application>Microsoft Office Word</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PR_COD_1am</vt:lpstr>
    </vt:vector>
  </TitlesOfParts>
  <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dc:title>
  <dc:creator>svescia</dc:creator>
  <cp:lastModifiedBy>svescia</cp:lastModifiedBy>
  <cp:revision>2</cp:revision>
  <cp:lastPrinted>2003-11-04T17:51:00Z</cp:lastPrinted>
  <dcterms:created xsi:type="dcterms:W3CDTF">2003-11-04T17:54:00Z</dcterms:created>
  <dcterms:modified xsi:type="dcterms:W3CDTF">2003-11-04T17:54:00Z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322043</vt:lpwstr>
  </property>
  <property fmtid="{D5CDD505-2E9C-101B-9397-08002B2CF9AE}" pid="4" name="&lt;Model&gt;">
    <vt:lpwstr>PR_COD_1am</vt:lpwstr>
  </property>
  <property fmtid="{D5CDD505-2E9C-101B-9397-08002B2CF9AE}" pid="5" name="&lt;ModelCod&gt;">
    <vt:lpwstr>C:\Program Files\DocEP\DOCS\PR\Pr_Leg\COD\COD_1st\PR_COD_1am.dot(22/04/2003 18:04:18)</vt:lpwstr>
  </property>
  <property fmtid="{D5CDD505-2E9C-101B-9397-08002B2CF9AE}" pid="6" name="&lt;ModelTra&gt;">
    <vt:lpwstr>C:\Program Files\DocEP\TRANSFIL\EN\PR_COD_1am.EN(27/05/2003 09:26:34)</vt:lpwstr>
  </property>
  <property fmtid="{D5CDD505-2E9C-101B-9397-08002B2CF9AE}" pid="7" name="&lt;ModelVie&gt;">
    <vt:lpwstr>C:\Program Files\DocEP\Help\VIEWER\EN\PR_COD_1am.htm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RR\322043EN.doc</vt:lpwstr>
  </property>
  <property fmtid="{D5CDD505-2E9C-101B-9397-08002B2CF9AE}" pid="11" name="LastEdited with">
    <vt:lpwstr>4.12 Build [20000401]</vt:lpwstr>
  </property>
  <property fmtid="{D5CDD505-2E9C-101B-9397-08002B2CF9AE}" pid="12" name="PE Number">
    <vt:lpwstr>322.043</vt:lpwstr>
  </property>
</Properties>
</file>