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EntPE"/>
      </w:pPr>
      <w:r>
        <w:rPr>
          <w:rStyle w:val="HideTWBExt"/>
          <w:lang w:val="en-GB"/>
        </w:rPr>
        <w:t>&lt;EntPE&gt;</w:t>
      </w:r>
      <w:r>
        <w:t>EUROPEAN PARLIAMENT</w:t>
      </w:r>
      <w:r>
        <w:rPr>
          <w:rStyle w:val="HideTWBExt"/>
          <w:lang w:val="en-GB"/>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Term"/>
            </w:pPr>
            <w:r>
              <w:t>1999</w:t>
            </w:r>
          </w:p>
        </w:tc>
        <w:tc>
          <w:tcPr>
            <w:tcW w:w="80.6pt" w:type="dxa"/>
            <w:vAlign w:val="center"/>
          </w:tcPr>
          <w:p>
            <w:pPr>
              <w:pStyle w:val="Term"/>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716777646"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Term"/>
            </w:pPr>
            <w:r>
              <w:t>2004</w:t>
            </w:r>
          </w:p>
        </w:tc>
      </w:tr>
    </w:tbl>
    <w:p>
      <w:pPr>
        <w:pStyle w:val="Committee"/>
      </w:pPr>
      <w:r>
        <w:t>Session document</w:t>
      </w:r>
    </w:p>
    <w:p>
      <w:pPr>
        <w:pStyle w:val="RefStatus"/>
      </w:pPr>
      <w:r>
        <w:rPr>
          <w:rStyle w:val="HideTWBExt"/>
          <w:lang w:val="en-GB"/>
        </w:rPr>
        <w:t>&lt;RefStatus&gt;</w:t>
      </w:r>
      <w:r>
        <w:t>FINAL</w:t>
      </w:r>
      <w:r>
        <w:rPr>
          <w:rStyle w:val="HideTWBExt"/>
          <w:lang w:val="en-GB"/>
        </w:rPr>
        <w:t>&lt;/RefStatus&gt;</w:t>
      </w:r>
    </w:p>
    <w:p>
      <w:pPr>
        <w:pStyle w:val="RefProc"/>
      </w:pPr>
      <w:r>
        <w:rPr>
          <w:rStyle w:val="HideTWBInt"/>
        </w:rPr>
        <w:t>&lt;NoDocSe&gt;</w:t>
      </w:r>
      <w:r>
        <w:t>A5-0028/2004</w:t>
      </w:r>
      <w:r>
        <w:rPr>
          <w:rStyle w:val="HideTWBInt"/>
        </w:rPr>
        <w:t>&lt;/NoDocSe&gt;</w:t>
      </w:r>
    </w:p>
    <w:p>
      <w:pPr>
        <w:pStyle w:val="RefVer"/>
      </w:pPr>
      <w:r>
        <w:rPr>
          <w:rStyle w:val="HideTWBExt"/>
          <w:lang w:val="en-GB"/>
        </w:rPr>
        <w:t>&lt;RefVer&gt;&lt;/RefVer&gt;</w:t>
      </w:r>
    </w:p>
    <w:p>
      <w:pPr>
        <w:pStyle w:val="ZDate"/>
      </w:pPr>
      <w:r>
        <w:rPr>
          <w:rStyle w:val="HideTWBExt"/>
          <w:lang w:val="en-GB"/>
        </w:rPr>
        <w:t>&lt;Date&gt;</w:t>
      </w:r>
      <w:r>
        <w:rPr>
          <w:rStyle w:val="HideTWBInt"/>
        </w:rPr>
        <w:t>{29/01/2004}</w:t>
      </w:r>
      <w:r>
        <w:t>27 January 2004</w:t>
      </w:r>
      <w:r>
        <w:rPr>
          <w:rStyle w:val="HideTWBExt"/>
          <w:lang w:val="en-GB"/>
        </w:rPr>
        <w:t>&lt;/Date&gt;</w:t>
      </w:r>
    </w:p>
    <w:p>
      <w:pPr>
        <w:pStyle w:val="StarsAndIs"/>
      </w:pPr>
      <w:r>
        <w:rPr>
          <w:rStyle w:val="HideTWBExt"/>
          <w:lang w:val="en-GB"/>
        </w:rPr>
        <w:t>&lt;</w:t>
      </w:r>
      <w:r>
        <w:rPr>
          <w:rStyle w:val="HideTWBExt"/>
          <w:b w:val="0"/>
          <w:lang w:val="en-GB"/>
        </w:rPr>
        <w:t>RefProcLect</w:t>
      </w:r>
      <w:r>
        <w:rPr>
          <w:rStyle w:val="HideTWBExt"/>
          <w:lang w:val="en-GB"/>
        </w:rPr>
        <w:t>&gt;</w:t>
      </w:r>
      <w:r>
        <w:t>***I</w:t>
      </w:r>
      <w:r>
        <w:rPr>
          <w:rStyle w:val="HideTWBExt"/>
          <w:lang w:val="en-GB"/>
        </w:rPr>
        <w:t>&lt;/</w:t>
      </w:r>
      <w:r>
        <w:rPr>
          <w:rStyle w:val="HideTWBExt"/>
          <w:b w:val="0"/>
          <w:lang w:val="en-GB"/>
        </w:rPr>
        <w:t>RefProcLect</w:t>
      </w:r>
      <w:r>
        <w:rPr>
          <w:rStyle w:val="HideTWBExt"/>
          <w:lang w:val="en-GB"/>
        </w:rPr>
        <w:t>&gt;</w:t>
      </w:r>
    </w:p>
    <w:p>
      <w:pPr>
        <w:pStyle w:val="TypeDoc"/>
      </w:pPr>
      <w:r>
        <w:rPr>
          <w:rStyle w:val="HideTWBExt"/>
          <w:lang w:val="en-GB"/>
        </w:rPr>
        <w:t>&lt;</w:t>
      </w:r>
      <w:r>
        <w:rPr>
          <w:rStyle w:val="HideTWBExt"/>
          <w:b w:val="0"/>
          <w:lang w:val="en-GB"/>
        </w:rPr>
        <w:t>TitreType</w:t>
      </w:r>
      <w:r>
        <w:rPr>
          <w:rStyle w:val="HideTWBExt"/>
          <w:lang w:val="en-GB"/>
        </w:rPr>
        <w:t>&gt;</w:t>
      </w:r>
      <w:r>
        <w:t>REPORT</w:t>
      </w:r>
      <w:r>
        <w:rPr>
          <w:rStyle w:val="HideTWBExt"/>
          <w:lang w:val="en-GB"/>
        </w:rPr>
        <w:t>&lt;/</w:t>
      </w:r>
      <w:r>
        <w:rPr>
          <w:rStyle w:val="HideTWBExt"/>
          <w:b w:val="0"/>
          <w:lang w:val="en-GB"/>
        </w:rPr>
        <w:t>TitreType</w:t>
      </w:r>
      <w:r>
        <w:rPr>
          <w:rStyle w:val="HideTWBExt"/>
          <w:lang w:val="en-GB"/>
        </w:rPr>
        <w:t>&gt;</w:t>
      </w:r>
    </w:p>
    <w:p>
      <w:pPr>
        <w:pStyle w:val="CoverNormal"/>
      </w:pPr>
      <w:r>
        <w:rPr>
          <w:rStyle w:val="HideTWBExt"/>
          <w:lang w:val="en-GB"/>
        </w:rPr>
        <w:t>&lt;Titre&gt;</w:t>
      </w:r>
      <w:r>
        <w:t>on the proposal for a European Parliament and Council decision modifying Council Decision 2000/821/EC of 20 December 2000 on the implementation of a programme to encourage the development, distribution and promotion of European audiovisual works (MEDIA Plus - Development, Distribution and Promotion)</w:t>
      </w:r>
      <w:r>
        <w:rPr>
          <w:rStyle w:val="HideTWBExt"/>
          <w:lang w:val="en-GB"/>
        </w:rPr>
        <w:t>&lt;/Titre&gt;</w:t>
      </w:r>
    </w:p>
    <w:p>
      <w:pPr>
        <w:pStyle w:val="Cover24"/>
      </w:pPr>
      <w:r>
        <w:rPr>
          <w:rStyle w:val="HideTWBExt"/>
          <w:lang w:val="en-GB"/>
        </w:rPr>
        <w:t>&lt;DocRef&gt;</w:t>
      </w:r>
      <w:r>
        <w:t>(COM(2003) 191 – C5</w:t>
      </w:r>
      <w:r>
        <w:noBreakHyphen/>
        <w:t>0177/2003 – 2003/0067(COD))</w:t>
      </w:r>
      <w:r>
        <w:rPr>
          <w:rStyle w:val="HideTWBExt"/>
          <w:lang w:val="en-GB"/>
        </w:rPr>
        <w:t>&lt;/DocRef&gt;</w:t>
      </w:r>
    </w:p>
    <w:p>
      <w:pPr>
        <w:pStyle w:val="Cover24"/>
      </w:pPr>
      <w:r>
        <w:rPr>
          <w:rStyle w:val="HideTWBExt"/>
          <w:lang w:val="en-GB"/>
        </w:rPr>
        <w:t>&lt;Commission&gt;</w:t>
      </w:r>
      <w:r>
        <w:rPr>
          <w:rStyle w:val="HideTWBInt"/>
        </w:rPr>
        <w:t>{CULT}</w:t>
      </w:r>
      <w:r>
        <w:t>Committee on Culture, Youth, Education, the Media and Sport</w:t>
      </w:r>
      <w:r>
        <w:rPr>
          <w:rStyle w:val="HideTWBExt"/>
          <w:lang w:val="en-GB"/>
        </w:rPr>
        <w:t>&lt;/Commission&gt;</w:t>
      </w:r>
    </w:p>
    <w:p>
      <w:pPr>
        <w:pStyle w:val="Cover12"/>
      </w:pPr>
      <w:r>
        <w:t xml:space="preserve">Rapporteur: </w:t>
      </w:r>
      <w:r>
        <w:rPr>
          <w:rStyle w:val="HideTWBExt"/>
          <w:lang w:val="en-GB"/>
        </w:rPr>
        <w:t>&lt;Depute&gt;</w:t>
      </w:r>
      <w:r>
        <w:t>Walter Veltroni</w:t>
      </w:r>
      <w:r>
        <w:rPr>
          <w:rStyle w:val="HideTWBExt"/>
          <w:lang w:val="en-GB"/>
        </w:rPr>
        <w:t>&lt;/Depute&gt;</w:t>
      </w:r>
    </w:p>
    <w:p>
      <w:pPr>
        <w:widowControl/>
        <w:tabs>
          <w:tab w:val="center" w:pos="4677"/>
        </w:tabs>
        <w:jc w:val="both"/>
      </w:pPr>
      <w:r>
        <w:br w:type="page"/>
      </w:r>
    </w:p>
    <w:p>
      <w:r>
        <w:fldChar w:fldCharType="begin"/>
      </w:r>
      <w:r>
        <w:instrText xml:space="preserve"> TITLE  \* MERGEFORMAT </w:instrText>
      </w:r>
      <w:r>
        <w:fldChar w:fldCharType="separate"/>
      </w:r>
      <w:r>
        <w:t>PR_COD_1app</w:t>
      </w:r>
      <w:r>
        <w:fldChar w:fldCharType="end"/>
      </w:r>
    </w:p>
    <w:p/>
    <w:p/>
    <w:tbl>
      <w:tblPr>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
      <w:tblGrid>
        <w:gridCol w:w="5811"/>
      </w:tblGrid>
      <w:tr>
        <w:tblPrEx>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Ex>
        <w:tc>
          <w:tcPr>
            <w:tcW w:w="290.55pt" w:type="dxa"/>
          </w:tcPr>
          <w:p>
            <w:pPr>
              <w:pStyle w:val="Lgendetitre"/>
              <w:rPr>
                <w:lang w:val="en-GB"/>
              </w:rPr>
            </w:pPr>
            <w:r>
              <w:rPr>
                <w:lang w:val="en-GB"/>
              </w:rPr>
              <w:t>Symbols for procedures</w:t>
            </w:r>
          </w:p>
        </w:tc>
      </w:tr>
      <w:tr>
        <w:tblPrEx>
          <w:tblInd w:w="83.35pt" w:type="dxa"/>
          <w:tblLayout w:type="fixed"/>
          <w:tblCellMar>
            <w:start w:w="5.35pt" w:type="dxa"/>
            <w:end w:w="5.35pt" w:type="dxa"/>
          </w:tblCellMar>
          <w:tblLook/>
        </w:tblPrEx>
        <w:trPr>
          <w:cantSplit/>
          <w:trHeight w:val="6075"/>
        </w:trPr>
        <w:tc>
          <w:tcPr>
            <w:tcW w:w="290.55pt" w:type="dxa"/>
            <w:tcBorders>
              <w:bottom w:val="single" w:sz="4" w:space="0" w:color="auto"/>
            </w:tcBorders>
          </w:tcPr>
          <w:p>
            <w:pPr>
              <w:pStyle w:val="Lgendesigne"/>
              <w:rPr>
                <w:i/>
                <w:lang w:val="en-GB"/>
              </w:rPr>
            </w:pPr>
            <w:r>
              <w:rPr>
                <w:lang w:val="en-GB"/>
              </w:rPr>
              <w:tab/>
              <w:t>*</w:t>
              <w:tab/>
              <w:t>Consultation procedure</w:t>
              <w:br/>
            </w:r>
            <w:r>
              <w:rPr>
                <w:i/>
                <w:lang w:val="en-GB"/>
              </w:rPr>
              <w:t>majority of the votes cast</w:t>
            </w:r>
          </w:p>
          <w:p>
            <w:pPr>
              <w:pStyle w:val="Lgendesigne"/>
              <w:rPr>
                <w:i/>
                <w:lang w:val="en-GB"/>
              </w:rPr>
            </w:pPr>
            <w:r>
              <w:rPr>
                <w:lang w:val="en-GB"/>
              </w:rPr>
              <w:tab/>
              <w:t>**I</w:t>
              <w:tab/>
              <w:t>Cooperation procedure (first reading)</w:t>
              <w:br/>
            </w:r>
            <w:r>
              <w:rPr>
                <w:i/>
                <w:lang w:val="en-GB"/>
              </w:rPr>
              <w:t>majority of the votes cast</w:t>
            </w:r>
          </w:p>
          <w:p>
            <w:pPr>
              <w:pStyle w:val="Lgendesigne"/>
              <w:rPr>
                <w:i/>
                <w:lang w:val="en-GB"/>
              </w:rPr>
            </w:pPr>
            <w:r>
              <w:rPr>
                <w:lang w:val="en-GB"/>
              </w:rPr>
              <w:tab/>
              <w:t>**II</w:t>
              <w:tab/>
              <w:t>Cooperation procedure (second reading)</w:t>
              <w:br/>
            </w:r>
            <w:r>
              <w:rPr>
                <w:i/>
                <w:lang w:val="en-GB"/>
              </w:rPr>
              <w:t>majority of the votes cast, to approve the common position</w:t>
              <w:br/>
              <w:t>majority of Parliament’s component Members, to reject or amend the common position</w:t>
            </w:r>
          </w:p>
          <w:p>
            <w:pPr>
              <w:pStyle w:val="Lgendesigne"/>
              <w:rPr>
                <w:i/>
                <w:lang w:val="en-GB"/>
              </w:rPr>
            </w:pPr>
            <w:r>
              <w:rPr>
                <w:lang w:val="en-GB"/>
              </w:rPr>
              <w:tab/>
              <w:t>***</w:t>
              <w:tab/>
              <w:t>Assent procedure</w:t>
              <w:br/>
            </w:r>
            <w:r>
              <w:rPr>
                <w:i/>
                <w:lang w:val="en-GB"/>
              </w:rPr>
              <w:t>majority of Parliament’s component Members except in cases covered by Articles 105, 107, 161 and 300 of the EC Treaty and Article 7 of the EU Treaty</w:t>
            </w:r>
          </w:p>
          <w:p>
            <w:pPr>
              <w:pStyle w:val="Lgendesigne"/>
              <w:rPr>
                <w:i/>
                <w:lang w:val="en-GB"/>
              </w:rPr>
            </w:pPr>
            <w:r>
              <w:rPr>
                <w:lang w:val="en-GB"/>
              </w:rPr>
              <w:tab/>
              <w:t>***I</w:t>
              <w:tab/>
              <w:t>Codecision procedure (first reading)</w:t>
              <w:br/>
            </w:r>
            <w:r>
              <w:rPr>
                <w:i/>
                <w:lang w:val="en-GB"/>
              </w:rPr>
              <w:t>majority of the votes cast</w:t>
            </w:r>
          </w:p>
          <w:p>
            <w:pPr>
              <w:pStyle w:val="Lgendesigne"/>
              <w:rPr>
                <w:i/>
                <w:lang w:val="en-GB"/>
              </w:rPr>
            </w:pPr>
            <w:r>
              <w:rPr>
                <w:lang w:val="en-GB"/>
              </w:rPr>
              <w:tab/>
              <w:t>***II</w:t>
              <w:tab/>
              <w:t>Codecision procedure (second reading)</w:t>
              <w:br/>
            </w:r>
            <w:r>
              <w:rPr>
                <w:i/>
                <w:lang w:val="en-GB"/>
              </w:rPr>
              <w:t>majority of the votes cast, to approve the common position</w:t>
              <w:br/>
              <w:t>majority of Parliament’s component Members, to reject or amend the common position</w:t>
            </w:r>
          </w:p>
          <w:p>
            <w:pPr>
              <w:pStyle w:val="Lgendesigne"/>
              <w:rPr>
                <w:i/>
                <w:lang w:val="en-GB"/>
              </w:rPr>
            </w:pPr>
            <w:r>
              <w:rPr>
                <w:lang w:val="en-GB"/>
              </w:rPr>
              <w:tab/>
              <w:t>***III</w:t>
              <w:tab/>
              <w:t>Codecision procedure (third reading)</w:t>
              <w:br/>
            </w:r>
            <w:r>
              <w:rPr>
                <w:i/>
                <w:lang w:val="en-GB"/>
              </w:rPr>
              <w:t>majority of the votes cast, to approve the joint text</w:t>
            </w:r>
          </w:p>
          <w:p>
            <w:pPr>
              <w:pStyle w:val="Lgendesigne"/>
              <w:ind w:start="0" w:firstLine="0"/>
              <w:rPr>
                <w:lang w:val="en-GB"/>
              </w:rPr>
            </w:pPr>
          </w:p>
          <w:p>
            <w:pPr>
              <w:pStyle w:val="Lgendestandard"/>
              <w:rPr>
                <w:lang w:val="en-GB"/>
              </w:rPr>
            </w:pPr>
            <w:r>
              <w:rPr>
                <w:lang w:val="en-GB"/>
              </w:rPr>
              <w:t>(The type of procedure depends on the legal basis proposed by the Commission)</w:t>
            </w:r>
          </w:p>
          <w:p>
            <w:pPr>
              <w:pStyle w:val="Lgendesigne"/>
              <w:ind w:start="0" w:firstLine="0"/>
              <w:rPr>
                <w:lang w:val="en-GB"/>
              </w:rPr>
            </w:pPr>
          </w:p>
        </w:tc>
      </w:tr>
    </w:tbl>
    <w:p/>
    <w:p/>
    <w:p/>
    <w:p/>
    <w:tbl>
      <w:tblPr>
        <w:tblInd w:w="83.4pt" w:type="dxa"/>
        <w:tblBorders>
          <w:top w:val="single" w:sz="4" w:space="0" w:color="auto"/>
          <w:start w:val="single" w:sz="4" w:space="0" w:color="auto"/>
          <w:bottom w:val="single" w:sz="4" w:space="0" w:color="auto"/>
          <w:end w:val="single" w:sz="4" w:space="0" w:color="auto"/>
          <w:insideH w:val="none" w:sz="0" w:space="0" w:color="auto"/>
          <w:insideV w:val="single" w:sz="6" w:space="0" w:color="auto"/>
        </w:tblBorders>
        <w:tblLayout w:type="fixed"/>
        <w:tblCellMar>
          <w:start w:w="5.4pt" w:type="dxa"/>
          <w:end w:w="5.4pt" w:type="dxa"/>
        </w:tblCellMar>
        <w:tblLook/>
      </w:tblPr>
      <w:tblGrid>
        <w:gridCol w:w="5811"/>
      </w:tblGrid>
      <w:tr>
        <w:tblPrEx>
          <w:tblInd w:w="83.4pt" w:type="dxa"/>
          <w:tblBorders>
            <w:top w:val="single" w:sz="4" w:space="0" w:color="auto"/>
            <w:start w:val="single" w:sz="4" w:space="0" w:color="auto"/>
            <w:bottom w:val="single" w:sz="4" w:space="0" w:color="auto"/>
            <w:end w:val="single" w:sz="4" w:space="0" w:color="auto"/>
            <w:insideH w:val="none" w:sz="0" w:space="0" w:color="auto"/>
            <w:insideV w:val="single" w:sz="6" w:space="0" w:color="auto"/>
          </w:tblBorders>
          <w:tblLayout w:type="fixed"/>
          <w:tblCellMar>
            <w:start w:w="5.4pt" w:type="dxa"/>
            <w:end w:w="5.4pt" w:type="dxa"/>
          </w:tblCellMar>
          <w:tblLook/>
        </w:tblPrEx>
        <w:tc>
          <w:tcPr>
            <w:tcW w:w="290.55pt" w:type="dxa"/>
          </w:tcPr>
          <w:p>
            <w:pPr>
              <w:pStyle w:val="Lgendetitre"/>
              <w:rPr>
                <w:lang w:val="en-GB"/>
              </w:rPr>
            </w:pPr>
            <w:r>
              <w:rPr>
                <w:lang w:val="en-GB"/>
              </w:rPr>
              <w:t>Amendments to a legislative text</w:t>
            </w:r>
          </w:p>
        </w:tc>
      </w:tr>
      <w:tr>
        <w:tblPrEx>
          <w:tblInd w:w="83.4pt" w:type="dxa"/>
          <w:tblLayout w:type="fixed"/>
          <w:tblCellMar>
            <w:start w:w="5.4pt" w:type="dxa"/>
            <w:end w:w="5.4pt" w:type="dxa"/>
          </w:tblCellMar>
          <w:tblLook/>
        </w:tblPrEx>
        <w:tc>
          <w:tcPr>
            <w:tcW w:w="290.55pt" w:type="dxa"/>
          </w:tcPr>
          <w:p>
            <w:pPr>
              <w:pStyle w:val="Lgendestandard"/>
              <w:rPr>
                <w:lang w:val="en-GB"/>
              </w:rPr>
            </w:pPr>
            <w:r>
              <w:rPr>
                <w:lang w:val="en-GB"/>
              </w:rPr>
              <w:t xml:space="preserve">In amendments by Parliament, amended text is highlighted in </w:t>
            </w:r>
            <w:r>
              <w:rPr>
                <w:b/>
                <w:i/>
                <w:lang w:val="en-GB"/>
              </w:rPr>
              <w:t>bold italics</w:t>
            </w:r>
            <w:r>
              <w:rPr>
                <w:lang w:val="en-GB"/>
              </w:rPr>
              <w:t xml:space="preserve">. Highlighting in </w:t>
            </w:r>
            <w:r>
              <w:rPr>
                <w:i/>
                <w:lang w:val="en-GB"/>
              </w:rPr>
              <w:t>normal italics</w:t>
            </w:r>
            <w:r>
              <w:rPr>
                <w:lang w:val="en-GB"/>
              </w:rPr>
              <w:t xml:space="preserve"> is an indication for the relevant departments showing parts of the legislative text for which a correction is proposed, to assist preparation of the final text (for instance, obvious errors or omissions in a given language version). These suggested corrections are subject to the agreement of the departments concerned.</w:t>
            </w:r>
          </w:p>
          <w:p>
            <w:pPr>
              <w:pStyle w:val="Lgendestandard"/>
              <w:rPr>
                <w:lang w:val="en-GB"/>
              </w:rPr>
            </w:pPr>
          </w:p>
        </w:tc>
      </w:tr>
    </w:tbl>
    <w:p/>
    <w:p>
      <w:pPr>
        <w:widowControl/>
        <w:tabs>
          <w:tab w:val="center" w:pos="4677"/>
        </w:tabs>
        <w:jc w:val="both"/>
      </w:pPr>
    </w:p>
    <w:p>
      <w:pPr>
        <w:pStyle w:val="TOCHeading"/>
      </w:pPr>
      <w:r>
        <w:br w:type="page"/>
        <w:t>CONTENTS</w:t>
      </w:r>
    </w:p>
    <w:p>
      <w:pPr>
        <w:pStyle w:val="TOCPage"/>
      </w:pPr>
      <w:r>
        <w:t>Page</w:t>
      </w:r>
    </w:p>
    <w:p>
      <w:pPr>
        <w:pStyle w:val="TOC1"/>
        <w:tabs>
          <w:tab w:val="end" w:leader="dot" w:pos="9062"/>
        </w:tabs>
      </w:pPr>
      <w:r>
        <w:fldChar w:fldCharType="begin"/>
      </w:r>
      <w:r>
        <w:instrText xml:space="preserve"> TOC \o "3-3" \t "Heading 1,1,Heading 2,2,PageHeading,1,PageHeading,1" </w:instrText>
      </w:r>
      <w:r>
        <w:fldChar w:fldCharType="separate"/>
      </w:r>
      <w:r>
        <w:t>PROCEDURAL PAGE</w:t>
        <w:tab/>
      </w:r>
      <w:r>
        <w:fldChar w:fldCharType="begin"/>
      </w:r>
      <w:r>
        <w:instrText xml:space="preserve"> PAGEREF _Toc63225072 \h </w:instrText>
      </w:r>
      <w:r>
        <w:fldChar w:fldCharType="separate"/>
      </w:r>
      <w:r>
        <w:t>4</w:t>
      </w:r>
      <w:r>
        <w:fldChar w:fldCharType="end"/>
      </w:r>
    </w:p>
    <w:p>
      <w:pPr>
        <w:pStyle w:val="TOC1"/>
        <w:tabs>
          <w:tab w:val="end" w:leader="dot" w:pos="9062"/>
        </w:tabs>
      </w:pPr>
      <w:r>
        <w:t>DRAFT EUROPEAN PARLIAMENT LEGISLATIVE RESOLUTION</w:t>
        <w:tab/>
      </w:r>
      <w:r>
        <w:fldChar w:fldCharType="begin"/>
      </w:r>
      <w:r>
        <w:instrText xml:space="preserve"> PAGEREF _Toc63225073 \h </w:instrText>
      </w:r>
      <w:r>
        <w:fldChar w:fldCharType="separate"/>
      </w:r>
      <w:r>
        <w:t>5</w:t>
      </w:r>
      <w:r>
        <w:fldChar w:fldCharType="end"/>
      </w:r>
    </w:p>
    <w:p>
      <w:pPr>
        <w:pStyle w:val="TOC1"/>
        <w:tabs>
          <w:tab w:val="end" w:leader="dot" w:pos="9062"/>
        </w:tabs>
      </w:pPr>
      <w:r>
        <w:t>EXPLANATORY STATEMENT</w:t>
        <w:tab/>
      </w:r>
      <w:r>
        <w:fldChar w:fldCharType="begin"/>
      </w:r>
      <w:r>
        <w:instrText xml:space="preserve"> PAGEREF _Toc63225074 \h </w:instrText>
      </w:r>
      <w:r>
        <w:fldChar w:fldCharType="separate"/>
      </w:r>
      <w:r>
        <w:t>7</w:t>
      </w:r>
      <w:r>
        <w:fldChar w:fldCharType="end"/>
      </w:r>
    </w:p>
    <w:p>
      <w:pPr>
        <w:pStyle w:val="TOC1"/>
        <w:tabs>
          <w:tab w:val="end" w:leader="dot" w:pos="9062"/>
        </w:tabs>
      </w:pPr>
      <w:r>
        <w:t>FINANCIAL STATEMENT</w:t>
        <w:tab/>
      </w:r>
      <w:r>
        <w:fldChar w:fldCharType="begin"/>
      </w:r>
      <w:r>
        <w:instrText xml:space="preserve"> PAGEREF _Toc63225075 \h </w:instrText>
      </w:r>
      <w:r>
        <w:fldChar w:fldCharType="separate"/>
      </w:r>
      <w:r>
        <w:t>11</w:t>
      </w:r>
      <w:r>
        <w:fldChar w:fldCharType="end"/>
      </w:r>
    </w:p>
    <w:p>
      <w:pPr>
        <w:pStyle w:val="TableofEntries"/>
        <w:ind w:end="1134"/>
        <w:jc w:val="start"/>
      </w:pPr>
      <w:r>
        <w:fldChar w:fldCharType="end"/>
      </w:r>
      <w:r>
        <w:t>OPINION OF THE COMMITTEE ON BUDGETS</w:t>
        <w:tab/>
        <w:t>13</w:t>
      </w:r>
    </w:p>
    <w:p>
      <w:pPr>
        <w:pStyle w:val="PageHeading"/>
      </w:pPr>
      <w:r>
        <w:t xml:space="preserve">                                            </w:t>
        <w:br w:type="page"/>
      </w:r>
      <w:bookmarkStart w:id="0" w:name="_Toc63225072"/>
      <w:r>
        <w:t>PROCEDURAL PAGE</w:t>
      </w:r>
      <w:bookmarkEnd w:id="0"/>
    </w:p>
    <w:p>
      <w:pPr>
        <w:pStyle w:val="Normal12"/>
      </w:pPr>
      <w:r>
        <w:t xml:space="preserve">By letter of </w:t>
      </w:r>
      <w:r>
        <w:rPr>
          <w:rStyle w:val="HideTWBInt"/>
        </w:rPr>
        <w:t>{12/05/2003}</w:t>
      </w:r>
      <w:r>
        <w:t>16 April 2003 the Commission submitted to Parliament, pursuant to Articles 251(2) and 157(3) of the EC Treaty, the proposal for a European Parliament and Council decision modifying Council Decision 2000/821/EC of 20 December 2000 on the implementation of a programme to encourage the development, distribution and promotion of European audiovisual works (MEDIA Plus - Development, Distribution and Promotion) (COM(2003) 191 – 2003/0067(COD)).</w:t>
      </w:r>
    </w:p>
    <w:p>
      <w:pPr>
        <w:pStyle w:val="Normal12"/>
      </w:pPr>
      <w:r>
        <w:t xml:space="preserve">At the sitting of </w:t>
      </w:r>
      <w:r>
        <w:rPr>
          <w:rStyle w:val="HideTWBInt"/>
        </w:rPr>
        <w:t>{19/05/2003}</w:t>
      </w:r>
      <w:r>
        <w:t xml:space="preserve">12 May 2003 the President of Parliament announced that he had referred the proposal to the </w:t>
      </w:r>
      <w:r>
        <w:rPr>
          <w:rStyle w:val="HideTWBInt"/>
        </w:rPr>
        <w:t>{CULT}</w:t>
      </w:r>
      <w:r>
        <w:t xml:space="preserve">Committee on Culture, Youth, Education, the Media and Sport as the committee responsible and the </w:t>
      </w:r>
      <w:r>
        <w:rPr>
          <w:rStyle w:val="HideTWBInt"/>
        </w:rPr>
        <w:t>{BUDG}</w:t>
      </w:r>
      <w:r>
        <w:t>Committee on Budgets, the Committee on Legal Affairs and the Internal Market and the Committee on Industry, External Trade, Research and Energy for its opinion (C5</w:t>
      </w:r>
      <w:r>
        <w:noBreakHyphen/>
        <w:t>0177/2003).</w:t>
      </w:r>
    </w:p>
    <w:p>
      <w:pPr>
        <w:pStyle w:val="Normal12"/>
      </w:pPr>
      <w:r>
        <w:t xml:space="preserve">The </w:t>
      </w:r>
      <w:r>
        <w:rPr>
          <w:rStyle w:val="HideTWBInt"/>
        </w:rPr>
        <w:t>{CULT}</w:t>
      </w:r>
      <w:r>
        <w:t xml:space="preserve">Committee on Culture, Youth, Education, the Media and Sport appointed Walter Veltroni rapporteur at its meeting of </w:t>
      </w:r>
      <w:r>
        <w:rPr>
          <w:rStyle w:val="HideTWBInt"/>
        </w:rPr>
        <w:t>{19/05/2003}</w:t>
      </w:r>
      <w:r>
        <w:t>19 May 2003.</w:t>
      </w:r>
    </w:p>
    <w:p>
      <w:pPr>
        <w:pStyle w:val="Normal12"/>
      </w:pPr>
      <w:r>
        <w:t>The committee considered the Commission proposal and draft report at its meetings of 25 November 2003 and 27 January 2004.</w:t>
      </w:r>
    </w:p>
    <w:p>
      <w:pPr>
        <w:pStyle w:val="Normal12"/>
      </w:pPr>
      <w:r>
        <w:t>At the last meeting it adopted the draft legislative resolution unanimously.</w:t>
      </w:r>
    </w:p>
    <w:p>
      <w:pPr>
        <w:pStyle w:val="Normal12"/>
      </w:pPr>
      <w:r>
        <w:t>The following were present for the vote: Michel Rocard (chairman), Vasco Graça Moura (vice-chairman), Theresa Zabell (vice-chairman), Pedro Aparicio Sánchez, Christopher J.P. Beazley, Rolf Berend (for Sabine Zissener), Geneviève Fraisse, Lissy Gröner, Ruth Hieronymi, Ulpu Iivari, Renzo Imbeni, Doris Pack, Roy Perry, Christa Prets, Giorgio Ruffolo, Marieke Sanders-ten Holte, Gianni Vattimo and Eurig Wyn.</w:t>
      </w:r>
    </w:p>
    <w:p>
      <w:pPr>
        <w:pStyle w:val="Normal12"/>
      </w:pPr>
      <w:r>
        <w:t>The opinion of the Committee on Budgets is attached. The Committee on Legal Affairs and the Internal Market decided on 21 May 2003 not to deliver an opinion. The Committee on Industry, External Trade, Research and Energy decided</w:t>
      </w:r>
      <w:r>
        <w:rPr>
          <w:i/>
        </w:rPr>
        <w:t xml:space="preserve"> </w:t>
      </w:r>
      <w:r>
        <w:t xml:space="preserve">on 11 June 2003 not to deliver an opinion. </w:t>
      </w:r>
    </w:p>
    <w:p>
      <w:pPr>
        <w:pStyle w:val="Normal12"/>
      </w:pPr>
      <w:r>
        <w:t>The report was tabled on 27 January 2004.</w:t>
      </w:r>
    </w:p>
    <w:p>
      <w:pPr>
        <w:pStyle w:val="PageHeading"/>
      </w:pPr>
      <w:r>
        <w:br w:type="page"/>
      </w:r>
      <w:bookmarkStart w:id="1" w:name="_Toc63225073"/>
      <w:r>
        <w:t>DRAFT EUROPEAN PARLIAMENT LEGISLATIVE RESOLUTION</w:t>
      </w:r>
      <w:bookmarkEnd w:id="1"/>
    </w:p>
    <w:p>
      <w:pPr>
        <w:pStyle w:val="NormalBold"/>
      </w:pPr>
      <w:r>
        <w:t>on the proposal for a European Parliament and Council decision modifying Council Decision 2000/821/EC of 20 December 2000 on the implementation of a programme to encourage the development, distribution and promotion of European audiovisual works (MEDIA Plus - Development, Distribution and Promotion)</w:t>
      </w:r>
    </w:p>
    <w:p>
      <w:pPr>
        <w:pStyle w:val="Normal12Bold"/>
      </w:pPr>
      <w:r>
        <w:t>(COM(2003) 191 – C5</w:t>
      </w:r>
      <w:r>
        <w:noBreakHyphen/>
        <w:t>0177/2003 – 2003/0067(COD))</w:t>
      </w:r>
    </w:p>
    <w:p>
      <w:pPr>
        <w:pStyle w:val="Normal12Bold"/>
      </w:pPr>
      <w:r>
        <w:t>(Codecision procedure: first reading)</w:t>
      </w:r>
    </w:p>
    <w:p>
      <w:pPr>
        <w:pStyle w:val="Normal12"/>
      </w:pPr>
      <w:r>
        <w:rPr>
          <w:i/>
        </w:rPr>
        <w:t>The European Parliament</w:t>
      </w:r>
      <w:r>
        <w:t>,</w:t>
      </w:r>
    </w:p>
    <w:p>
      <w:pPr>
        <w:pStyle w:val="Normal12Hanging"/>
      </w:pPr>
      <w:r>
        <w:t>–</w:t>
        <w:tab/>
        <w:t>having regard to the Commission proposal to the European Parliament and the Council (COM(2003) 191)</w:t>
      </w:r>
      <w:r>
        <w:rPr>
          <w:rStyle w:val="FootnoteReference"/>
        </w:rPr>
        <w:footnoteReference w:id="1"/>
      </w:r>
      <w:r>
        <w:t>,</w:t>
      </w:r>
    </w:p>
    <w:p>
      <w:pPr>
        <w:pStyle w:val="Normal12Hanging"/>
      </w:pPr>
      <w:r>
        <w:t>–</w:t>
        <w:tab/>
        <w:t>having regard to Article 251(2) and Article 157(3) of the EC Treaty, pursuant to which the Commission submitted the proposal to Parliament (C5</w:t>
      </w:r>
      <w:r>
        <w:noBreakHyphen/>
      </w:r>
      <w:bookmarkStart w:id="2" w:name="DocEPLastVariable"/>
      <w:r>
        <w:t>0177/2003</w:t>
      </w:r>
      <w:bookmarkEnd w:id="2"/>
      <w:r>
        <w:t>),</w:t>
      </w:r>
    </w:p>
    <w:p>
      <w:pPr>
        <w:pStyle w:val="Normal12Hanging"/>
      </w:pPr>
      <w:r>
        <w:t>–</w:t>
        <w:tab/>
        <w:t>having regard to Rule 67 of its Rules of Procedure,</w:t>
      </w:r>
    </w:p>
    <w:p>
      <w:pPr>
        <w:pStyle w:val="Normal12Hanging"/>
      </w:pPr>
      <w:r>
        <w:t>–</w:t>
        <w:tab/>
        <w:t xml:space="preserve">having regard to the report of the </w:t>
      </w:r>
      <w:r>
        <w:rPr>
          <w:rStyle w:val="HideTWBInt"/>
        </w:rPr>
        <w:t>{CULT}</w:t>
      </w:r>
      <w:r>
        <w:t>Committee on Culture, Youth, Education, the Media and Sport and the opinion of the Committee on Budgets (A5</w:t>
      </w:r>
      <w:r>
        <w:noBreakHyphen/>
        <w:t>0028/2004),</w:t>
      </w:r>
    </w:p>
    <w:p>
      <w:pPr>
        <w:pStyle w:val="Normal12Hanging"/>
      </w:pPr>
      <w:r>
        <w:t>1.</w:t>
        <w:tab/>
        <w:t>Approves the Commission proposal;</w:t>
      </w:r>
    </w:p>
    <w:p>
      <w:pPr>
        <w:tabs>
          <w:tab w:val="start" w:pos="420"/>
        </w:tabs>
        <w:spacing w:before="120" w:after="240"/>
        <w:ind w:start="426" w:hanging="426"/>
      </w:pPr>
      <w:r>
        <w:t>2.</w:t>
        <w:tab/>
        <w:t>Considers that the financial statement of the Commission proposal is compatible with the ceiling of heading 3 of the financial perspective without restricting other policies;</w:t>
      </w:r>
    </w:p>
    <w:p>
      <w:pPr>
        <w:pStyle w:val="Normal12Hanging"/>
      </w:pPr>
      <w:r>
        <w:t>3.</w:t>
        <w:tab/>
        <w:t>Calls on the Commission to refer the matter to Parliament again if it intends to amend its proposal substantially or replace it with another text;</w:t>
      </w:r>
    </w:p>
    <w:p>
      <w:pPr>
        <w:pStyle w:val="Normal12Hanging"/>
      </w:pPr>
      <w:r>
        <w:t>4.</w:t>
        <w:tab/>
        <w:t>Instructs its President to forward its position to the Council and Commission.</w:t>
      </w:r>
    </w:p>
    <w:tbl>
      <w:tblPr>
        <w:jc w:val="center"/>
        <w:tblLayout w:type="fixed"/>
        <w:tblCellMar>
          <w:start w:w="0pt" w:type="dxa"/>
          <w:end w:w="0pt" w:type="dxa"/>
        </w:tblCellMar>
        <w:tblLook/>
      </w:tblPr>
      <w:tblGrid>
        <w:gridCol w:w="4196"/>
        <w:gridCol w:w="680"/>
        <w:gridCol w:w="4196"/>
      </w:tblGrid>
      <w:tr>
        <w:tblPrEx>
          <w:jc w:val="center"/>
          <w:tblLayout w:type="fixed"/>
          <w:tblCellMar>
            <w:start w:w="0pt" w:type="dxa"/>
            <w:end w:w="0pt" w:type="dxa"/>
          </w:tblCellMar>
          <w:tblLook/>
        </w:tblPrEx>
        <w:trPr>
          <w:jc w:val="center"/>
        </w:trPr>
        <w:tc>
          <w:tcPr>
            <w:tcW w:w="209.8pt" w:type="dxa"/>
            <w:tcBorders>
              <w:top w:val="single" w:sz="6" w:space="0" w:color="FFFFFF"/>
              <w:start w:val="single" w:sz="6" w:space="0" w:color="FFFFFF"/>
              <w:bottom w:val="single" w:sz="7" w:space="0" w:color="000000"/>
              <w:end w:val="single" w:sz="6" w:space="0" w:color="FFFFFF"/>
            </w:tcBorders>
          </w:tcPr>
          <w:p>
            <w:pPr>
              <w:pStyle w:val="ColHeading"/>
            </w:pPr>
            <w:r>
              <w:t>Text proposed by the Commission</w:t>
            </w:r>
          </w:p>
        </w:tc>
        <w:tc>
          <w:tcPr>
            <w:tcW w:w="34pt" w:type="dxa"/>
            <w:tcBorders>
              <w:top w:val="single" w:sz="6" w:space="0" w:color="FFFFFF"/>
              <w:start w:val="single" w:sz="6" w:space="0" w:color="FFFFFF"/>
              <w:bottom w:val="single" w:sz="6" w:space="0" w:color="FFFFFF"/>
              <w:end w:val="single" w:sz="6" w:space="0" w:color="FFFFFF"/>
            </w:tcBorders>
          </w:tcPr>
          <w:p/>
        </w:tc>
        <w:tc>
          <w:tcPr>
            <w:tcW w:w="209.8pt" w:type="dxa"/>
            <w:tcBorders>
              <w:top w:val="single" w:sz="6" w:space="0" w:color="FFFFFF"/>
              <w:start w:val="single" w:sz="6" w:space="0" w:color="FFFFFF"/>
              <w:bottom w:val="single" w:sz="7" w:space="0" w:color="000000"/>
              <w:end w:val="single" w:sz="6" w:space="0" w:color="FFFFFF"/>
            </w:tcBorders>
          </w:tcPr>
          <w:p>
            <w:pPr>
              <w:pStyle w:val="ColHeading"/>
            </w:pPr>
            <w:r>
              <w:t>Amendments by Parliament</w:t>
            </w:r>
          </w:p>
        </w:tc>
      </w:tr>
    </w:tbl>
    <w:p>
      <w:pPr>
        <w:pStyle w:val="AMNumber"/>
      </w:pPr>
      <w:r>
        <w:rPr>
          <w:rStyle w:val="HideTWBExt"/>
          <w:lang w:val="en-GB"/>
        </w:rPr>
        <w:t>&lt;Amend&gt;</w:t>
      </w:r>
      <w:r>
        <w:t xml:space="preserve">Amendment </w:t>
      </w:r>
      <w:r>
        <w:rPr>
          <w:rStyle w:val="HideTWBExt"/>
          <w:lang w:val="en-GB"/>
        </w:rPr>
        <w:t>&lt;NumAm&gt;</w:t>
      </w:r>
      <w:r>
        <w:t>2</w:t>
      </w:r>
      <w:r>
        <w:rPr>
          <w:rStyle w:val="HideTWBExt"/>
          <w:lang w:val="en-GB"/>
        </w:rPr>
        <w:t>&lt;/NumAm&gt;</w:t>
      </w:r>
    </w:p>
    <w:p>
      <w:pPr>
        <w:pStyle w:val="Normal12Centre"/>
        <w:spacing w:after="0"/>
      </w:pPr>
      <w:r>
        <w:t>RECITAL 2 A (new)</w:t>
      </w:r>
    </w:p>
    <w:p>
      <w:pPr>
        <w:pStyle w:val="Normal12Centre"/>
        <w:spacing w:after="0"/>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 </w:t>
            </w:r>
          </w:p>
        </w:tc>
        <w:tc>
          <w:tcPr>
            <w:tcW w:w="243.8pt" w:type="dxa"/>
            <w:tcBorders>
              <w:start w:val="single" w:sz="6" w:space="0" w:color="FFFFFF"/>
            </w:tcBorders>
          </w:tcPr>
          <w:p>
            <w:pPr>
              <w:pStyle w:val="Normal6"/>
            </w:pPr>
            <w:r>
              <w:rPr>
                <w:b/>
                <w:i/>
              </w:rPr>
              <w:t>(2a) It is essential that the Commission provide a full and detailed assessment report on the MEDIA Plus Programme not later than 31 December 2005 in time for the legislative authority to be able to consider the proposal for a new MEDIA Plus Programme planned to start in 2007, and in view of the budgetary authority to evaluate the need for the new financial framework,</w:t>
            </w:r>
          </w:p>
        </w:tc>
      </w:tr>
    </w:tbl>
    <w:p>
      <w:pPr>
        <w:pStyle w:val="JustificationTitle"/>
      </w:pPr>
      <w:r>
        <w:t>Justification</w:t>
      </w:r>
    </w:p>
    <w:p>
      <w:pPr>
        <w:pStyle w:val="Normal12Italic"/>
      </w:pPr>
      <w:r>
        <w:rPr>
          <w:rStyle w:val="HideTWBExt"/>
          <w:lang w:val="en-GB"/>
        </w:rPr>
        <w:t>&lt;OptDelPrev&gt;</w:t>
      </w:r>
      <w:r>
        <w:t>Since the Commission has not yet submitted the midterm report provided for in the original MEDIA Plus Decision, ‘on the basis of the results after two years of implementation’, it has to be made clear that any discussion and subsequent decision on a new proposal for a MEDIA Plus Programme can only take place on the basis of a full and detailed assessment report of the results achieved so far.</w:t>
      </w:r>
    </w:p>
    <w:p>
      <w:pPr>
        <w:pStyle w:val="Normal12Italic"/>
      </w:pPr>
      <w:r>
        <w:t xml:space="preserve"> </w:t>
      </w:r>
    </w:p>
    <w:p>
      <w:pPr>
        <w:pStyle w:val="AMNumber"/>
      </w:pPr>
      <w:r>
        <w:rPr>
          <w:rStyle w:val="HideTWBExt"/>
          <w:lang w:val="en-GB"/>
        </w:rPr>
        <w:t>&lt;Amend&gt;</w:t>
      </w:r>
      <w:r>
        <w:t xml:space="preserve">Amendment </w:t>
      </w:r>
      <w:r>
        <w:rPr>
          <w:rStyle w:val="HideTWBExt"/>
          <w:lang w:val="en-GB"/>
        </w:rPr>
        <w:t>&lt;NumAm&gt;</w:t>
      </w:r>
      <w:r>
        <w:t>3</w:t>
      </w:r>
      <w:r>
        <w:rPr>
          <w:rStyle w:val="HideTWBExt"/>
          <w:lang w:val="en-GB"/>
        </w:rPr>
        <w:t>&lt;/NumAm&gt;</w:t>
      </w:r>
    </w:p>
    <w:p>
      <w:pPr>
        <w:pStyle w:val="Normal12Centre"/>
        <w:spacing w:after="0"/>
      </w:pPr>
      <w:r>
        <w:t>ARTICLE 1, POINT 2</w:t>
      </w:r>
    </w:p>
    <w:p>
      <w:pPr>
        <w:pStyle w:val="Normal12Centre"/>
        <w:spacing w:after="0"/>
      </w:pPr>
      <w:r>
        <w:t>Article 5, Paragraph 2 (Decision 2000/821/EC)</w:t>
      </w:r>
    </w:p>
    <w:p>
      <w:pPr>
        <w:pStyle w:val="Normal12Centre"/>
        <w:spacing w:after="0"/>
        <w:jc w:val="start"/>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rPr>
                <w:snapToGrid w:val="0"/>
                <w:lang w:eastAsia="en-US"/>
              </w:rPr>
            </w:pPr>
            <w:r>
              <w:rPr>
                <w:snapToGrid w:val="0"/>
                <w:lang w:eastAsia="en-US"/>
              </w:rPr>
              <w:t xml:space="preserve">(2) In Article 5(2), the financial reference amount of EUR 350 million is replaced by </w:t>
            </w:r>
            <w:r>
              <w:rPr>
                <w:b/>
                <w:i/>
                <w:snapToGrid w:val="0"/>
                <w:lang w:eastAsia="en-US"/>
              </w:rPr>
              <w:t>EUR 435.60 million</w:t>
            </w:r>
            <w:r>
              <w:rPr>
                <w:snapToGrid w:val="0"/>
                <w:lang w:eastAsia="en-US"/>
              </w:rPr>
              <w:t>.</w:t>
            </w:r>
          </w:p>
          <w:p>
            <w:pPr>
              <w:pStyle w:val="Normal6"/>
            </w:pPr>
            <w:r>
              <w:t xml:space="preserve"> </w:t>
            </w:r>
          </w:p>
        </w:tc>
        <w:tc>
          <w:tcPr>
            <w:tcW w:w="243.8pt" w:type="dxa"/>
            <w:tcBorders>
              <w:start w:val="single" w:sz="6" w:space="0" w:color="FFFFFF"/>
            </w:tcBorders>
          </w:tcPr>
          <w:p>
            <w:pPr>
              <w:pStyle w:val="Normal6"/>
            </w:pPr>
            <w:r>
              <w:t xml:space="preserve">In Article 5(2), the financial reference amount of EUR 350 million is replaced by </w:t>
            </w:r>
            <w:r>
              <w:rPr>
                <w:b/>
                <w:i/>
              </w:rPr>
              <w:t>EUR 453.60 million, including the adjustment to take account of enlargement, following the revision of the financial perspective.</w:t>
            </w:r>
            <w:r>
              <w:t>.</w:t>
            </w:r>
          </w:p>
        </w:tc>
      </w:tr>
    </w:tbl>
    <w:p>
      <w:pPr>
        <w:pStyle w:val="Normal12Italic"/>
        <w:rPr>
          <w:rStyle w:val="HideTWBExt"/>
          <w:i w:val="0"/>
          <w:vanish w:val="0"/>
          <w:lang w:val="en-GB"/>
        </w:rPr>
      </w:pPr>
    </w:p>
    <w:p>
      <w:pPr>
        <w:pStyle w:val="Normal12Italic"/>
        <w:spacing w:before="0"/>
      </w:pPr>
      <w:r>
        <w:rPr>
          <w:rStyle w:val="HideTWBExt"/>
          <w:i w:val="0"/>
          <w:vanish w:val="0"/>
          <w:lang w:val="en-GB"/>
        </w:rPr>
        <w:br w:type="page"/>
      </w:r>
      <w:r>
        <w:rPr>
          <w:rStyle w:val="HideTWBExt"/>
          <w:i w:val="0"/>
          <w:lang w:val="en-GB"/>
        </w:rPr>
        <w:t>&lt;/OptDelPrev</w:t>
      </w:r>
      <w:r>
        <w:rPr>
          <w:rStyle w:val="HideTWBExt"/>
          <w:lang w:val="en-GB"/>
        </w:rPr>
        <w:t>&gt;</w:t>
      </w:r>
    </w:p>
    <w:p>
      <w:pPr>
        <w:pStyle w:val="PageHeading"/>
        <w:spacing w:before="0"/>
      </w:pPr>
      <w:bookmarkStart w:id="3" w:name="_Toc63154288"/>
      <w:bookmarkStart w:id="4" w:name="_Toc63225074"/>
      <w:r>
        <w:t>EXPLANATORY STATEMENT</w:t>
      </w:r>
      <w:bookmarkEnd w:id="3"/>
      <w:bookmarkEnd w:id="4"/>
    </w:p>
    <w:p/>
    <w:p>
      <w:r>
        <w:t>MEDIA Plus is the European Union programme which was created to encourage the development, distribution and promotion of European audiovisual works. It was set up by a Council Decision of 20 December 2000, to run from 1 January 2001 to 31 December 2005, and follows the MEDIA I (1991-1995) and MEDIA II (1996-2000) programmes.</w:t>
      </w:r>
    </w:p>
    <w:p/>
    <w:p>
      <w:r>
        <w:t xml:space="preserve">MEDIA Plus has the specific objective of improving the competitiveness of the European audiovisual sector on international markets and strengthening the mobility of European works. It also constitutes a significant instrument for promoting linguistic and cultural diversity and for developing the audiovisual sector in regions and countries with </w:t>
      </w:r>
      <w:r>
        <w:rPr>
          <w:snapToGrid w:val="0"/>
          <w:lang w:eastAsia="en-US"/>
        </w:rPr>
        <w:t>low audiovisual production capacity and/or a restricted linguistic or geographical area. Finally, through digitisation and networking MEDIA Plus seeks to enhance the European audiovisual heritage, strengthen transnational cooperation between small and medium-sized enterprises and disseminate new types of audiovisual content using new technologies</w:t>
      </w:r>
      <w:r>
        <w:t>.</w:t>
      </w:r>
    </w:p>
    <w:p/>
    <w:p>
      <w:r>
        <w:t>Right from the definition of its aims, MEDIA Plus clearly identifies the close link between technology and content, media and art, industry and culture. That link is an essential part of the historic heritage and cultural diversity of Europe, and is a fundamental added value of the audiovisual sector.</w:t>
      </w:r>
    </w:p>
    <w:p/>
    <w:p>
      <w:r>
        <w:t>MEDIA Plus has a budget of € 350 million, split into three action lines relating to the development, distribution and promotion of European audiovisual works, together with various pilot projects. In 2002 the MEDIA Plus budget was broken down as follows: development: € 13.695 million; distribution: € 38.047 m; promotion: € 8.185 m; pilot projects: € 648 000.</w:t>
      </w:r>
    </w:p>
    <w:p/>
    <w:p>
      <w:r>
        <w:t>The current MEDIA Plus programme will end on 31 December 2005. The accession of 10 new Member States and the outcome of the Intergovernmental Conferen</w:t>
      </w:r>
      <w:r>
        <w:t>ce will change the political and institutional environment. The Commission's concern to provide continuity for the various operators, with regard to the structure and the resources available prior to the new financial perspective in 2007, is therefore understandable.</w:t>
      </w:r>
    </w:p>
    <w:p/>
    <w:p>
      <w:r>
        <w:t xml:space="preserve">The Commission proposes extending the current MEDIA Plus programme until 31 December 2006, with </w:t>
      </w:r>
      <w:r>
        <w:t>a budget of € 435.6 m, compared with the € 350 m envisaged up to 31 December 2005. The Commission's intention is to use this extension to prepare a subsequent adjustment to the MEDIA programme. It will also be for Parliament, acting in a spirit of full coo</w:t>
      </w:r>
      <w:r>
        <w:t>peration with the other institutions, to give the future programme a substantive political approach. The codecision procedure which, following the entry into force of the Treaty of Nice, provides the legal basis for MEDIA Plus (Article 157(3)), will actually give Parliament a greater say.</w:t>
      </w:r>
    </w:p>
    <w:p/>
    <w:p>
      <w:r>
        <w:t>At present, budget line B3-2010A covers the management costs for the Technical Assistance Office for MEDIA Plus and MEDIA Training. The MEDIA programmes should be managed in future by an executive agency, which should start operating in May 2005. It is desirable that it should help to improve access to information and to simplify MEDIA programme procedures, giving them a higher profile and making them more effective.</w:t>
      </w:r>
    </w:p>
    <w:p>
      <w:r>
        <w:t>According to Article 12(3) of the Decision establishing the MEDIA Plus programme, an evaluation report must be presented to the European Parliament, the Council and the Economic and Social Committee after two years' implementation of the programme. The report is to be accompanied, if need be, by proposals for adjustments. Such a report is therefore essential for a comprehensive and detailed assessment of MEDIA Plus. The rapporteur has been able to examine a preparatory version of it, and hopes that the Commission will follow up as soon as possible its apparent intention of presenting a final version of that report to our parliamentary committee. It is important to stress, even at this stage, that the mid-term review carried out by external consultants confirms the effectiveness of the MEDIA programme in pursuing the goals laid down by the Decision of 20 December 2000.</w:t>
      </w:r>
    </w:p>
    <w:p/>
    <w:p>
      <w:r>
        <w:t>The rapporteur also takes a positive view of the Commission's commitment, through the wide-ranging consultation on the MEDIA programme which has taken place in 2003 (including the public hearing of 1 and 2 July 2003), to follow the path of dialogue and engagement with the entire audiovisual sector, its operators and the various European networks and associations. The rapporteur has drawn a range of ideas for debate from the many contributions made during the above consultation exercise.</w:t>
      </w:r>
    </w:p>
    <w:p/>
    <w:p>
      <w:r>
        <w:t>The rapporteur considers that, in order to ensure that the programme's objectives are attained more successfully, a strong commitment to ensuring better information for operators and visibility for MEDIA is vital. On the one hand, there is a need to draw many different players (Member States, regions, cities, associations, media desks) into participating in this information work; on the other, the MEDIA 'quality mark' must increasingly be made the distinctive emblem of a consistent political commitment to strengthening European cultural identity. For example, there is a need to give special events associated with awards such as the Media Prize or the European Film Awards a higher profile.</w:t>
      </w:r>
    </w:p>
    <w:p/>
    <w:p>
      <w:r>
        <w:t>The rapporteur particularly endorses the need for a debate about a global, high-profile</w:t>
      </w:r>
      <w:r>
        <w:rPr>
          <w:i/>
        </w:rPr>
        <w:t xml:space="preserve"> </w:t>
      </w:r>
      <w:r>
        <w:t>approach to European audiovisual policy. Accordingly, he welcomes the recent announcement by Commissioner Reding that she will be presenting a Communication on the 'future of audiovisual policy'. The achievement of a European audiovisual area is a major objective for the Union, because audiovisual creative work and the heritage of images undoubtedly comprise one of the elements which contribute to shaping the European public's awareness.</w:t>
      </w:r>
    </w:p>
    <w:p/>
    <w:p>
      <w:pPr>
        <w:widowControl/>
      </w:pPr>
      <w:r>
        <w:t>One question of major importance is that of the legal basis on which we should develop a future programme for Community involvement in the audiovisual sector. It is doubtful whether simply treating the audiovisual sector in the same way as industry can work in terms of safeguarding cultural diversity, e.g. in international negotiating forums (WTO). The interconnections between IT and audiovisual media, and their transformation, is having a profound effect on their content and accessibility, on a range of connected rights, and on culture in the broad sense. The technological changes which are under way, such as switchover, i.e. the transition from analogue to digital radio and television broadcasting, constitute a 'complex process with social and economic implications going well beyond the pure technical migration', as the Commission rightly argues in its Communication on the transition from analogue to digital broadcasting (COM(541) 2003, p. 4). It is therefore reductive to focus solely on the economic and industrial aspects of these changes. Indeed, it is important for the European Parliament to promote a debate to underline the fact that the cultural and social aspects are inseparable from the purely technical issues.</w:t>
      </w:r>
    </w:p>
    <w:p/>
    <w:p>
      <w:r>
        <w:t>Financing remains a key problem in the European audiovisual sector. This is even more the case in the overall context, which is marked by the film industry's funding crisis, the increasing closure and fragmentation of markets, low advertising revenue, the financial crisis affecting several major operators in the sector, and also the fragile state of small and medium-sized firms. Last but not least, the need to safeguard the film industries of the candidate countries should, by itself, require a quality leap in European support for the audiovisual sector. The industrial hegemony of the United States in the audiovisual sector, particularly in the candidate countries, makes it even more important to strengthen the competitiveness of the European film industry.</w:t>
      </w:r>
    </w:p>
    <w:p/>
    <w:p>
      <w:r>
        <w:t>One central idea in MEDIA is that Community and national support should complement each other. The lack of available resources is an obstacle to this, and one which looms large in some candidate countries. We therefore need to find more resources and encourage greater involvement at various institutional levels, via the open method of coordination. The idea of active governance, able to involve more players at more levels, needs to make headway in the audiovisual sector, too. This spirit of inclusiveness should also lead to the audiovisual sector being integrated to a greater extent into other Union policies, particularly into structural, regional and external policies.</w:t>
      </w:r>
    </w:p>
    <w:p/>
    <w:p>
      <w:r>
        <w:t>It is also important for best practice and the exchange of experience at European and national level to be stepped up, and also for the positive impact of e.g. tax shelter mechanisms to be explored in more depth.</w:t>
      </w:r>
    </w:p>
    <w:p/>
    <w:p>
      <w:r>
        <w:t>The European Parliament has argued the importance of setting up a guarantee fund for investments by film companies. The rapporteur is aware of the difficulties being encountered by this project, in terms of both its cost and the belief of some Member States that the fund might be a barrier to the free market. The importance of the 'i2i Audiovisual' preparatory action, designed to encourage investment in the audiovisual sector, should be emphasised. European assistance with covering some of the bank costs involved in audiovisual production is particularly important for small and medium-sized firms. Their geographical spread and their significance are the particular feature of the European audiovisual sector. The rapporteur endorses the suggestion (which is included in the draft evaluation report that he has been able to read) that i2i be incorporated into MEDIA Plus so as to enhance its impact.</w:t>
      </w:r>
    </w:p>
    <w:p/>
    <w:p>
      <w:r>
        <w:t>Improving the distribution of works carrying the MEDIA 'quality mark' remains a fundamental objective. The rapporteur stresses the results obtained, in particular, by the MEDIA Distribution action line. Nine out of 10 films distributed in Europe outside the country in which they were produced are supported by MEDIA Plus, adding up to a total of 98 films since MEDIA Plus began. Distribution covers various activities relating to cinemas, sales agents and TV distribution. The rapporteur once again stresses here the support provided by MEDIA Plus for 'secondary' works such as documentaries and other audiovisual output.</w:t>
      </w:r>
    </w:p>
    <w:p/>
    <w:p>
      <w:pPr>
        <w:widowControl/>
      </w:pPr>
      <w:r>
        <w:t>From this point of view, too, the preferred role of television (both publicly and privately owned) has been that of acting as a vehicle for audiovisual content, rather than producing it. Directive 89/552/EEC makes provision for audiovisual distribution quotas which can easily be circumvented. Digitisation and convergence are having the effect of increasing the demand for audiovisual content and the specialisation of operators. Setting up a mechanism to channel a percentage of television broadcasters' revenue (irrespective of the transmission medium) into production might be a worthwhile measure to establish a 'virtuous circle' of production and distribution.</w:t>
      </w:r>
    </w:p>
    <w:p/>
    <w:p>
      <w:r>
        <w:t>A particular role is played by public broadcasting services, which should rediscover the habit of production, in order to stimulate supply and cultural diversity. In order to encourage promotion by television broadcasters, mechanisms for exempting advertising for cinematographic works from the limits on advertising laid down in Directive 89/552/EEC could be explored.</w:t>
      </w:r>
    </w:p>
    <w:p/>
    <w:p>
      <w:r>
        <w:t>As part of overall thinking about the future of European audiovisual policy it is vital to address the issue of pluralism, which is synonymous with the circulation of ideas, the safeguarding of diversity, and greater opportunities for more economic players. To this end, media concentration is regarded as undesirable, and Community measures, in the form of an ad hoc directive laying down specific rules on the ownership of mass communication media, would be welcome.</w:t>
      </w:r>
    </w:p>
    <w:p/>
    <w:p>
      <w:r>
        <w:t>Recognition of copyright is essential for the protection of creativity and the development of culture. The ease with which universally affordable digital reproduction technology can circumvent copyright makes it essential for the rules and arrangements governing the payment of copyright fees to be revised. The audiovisual and multimedia market is subject to excessive taxation, which acts as a disincentive to purchase. Reduced demand has an impact on copyright and on the potential of a market which would otherwise be far livelier and more remunerative. This leads to many potential purchasers focusing on products acquired by non-legitimate means. It might therefore be worthwhile to apply a reduced rate to multimedia products such as CDs, CD-ROMs, DVDs and audiovisual media in the broad sense, and Annex H to Directive 77/388/EEC should be revised accordingly.</w:t>
      </w:r>
    </w:p>
    <w:p/>
    <w:p>
      <w:r>
        <w:t>The rapporteur's aim here has been to supply ideas to stimulate debate, in the hope that in the near future the European Parliament will be able to devote a full day, with the involvement of the Commission and the Irish Presidency, to discussing the future of European audiovisual policy, paying particular attention to the connection between technological change and services, and between citizens' opportunities and rights.</w:t>
      </w:r>
    </w:p>
    <w:p>
      <w:pPr>
        <w:pStyle w:val="PageHeading"/>
        <w:rPr>
          <w:rFonts w:ascii="Times New Roman" w:hAnsi="Times New Roman"/>
        </w:rPr>
      </w:pPr>
      <w:r>
        <w:br w:type="page"/>
      </w:r>
      <w:bookmarkStart w:id="5" w:name="_Toc62987718"/>
      <w:bookmarkStart w:id="6" w:name="_Toc63225075"/>
      <w:r>
        <w:rPr>
          <w:rFonts w:ascii="Times New Roman" w:hAnsi="Times New Roman"/>
        </w:rPr>
        <w:t>FINANCIAL STATEMENT</w:t>
      </w:r>
      <w:bookmarkEnd w:id="5"/>
      <w:bookmarkEnd w:id="6"/>
    </w:p>
    <w:p>
      <w:pPr>
        <w:jc w:val="center"/>
        <w:rPr>
          <w:b/>
          <w:color w:val="000000"/>
        </w:rPr>
      </w:pPr>
    </w:p>
    <w:p>
      <w:pPr>
        <w:rPr>
          <w:b/>
          <w:color w:val="000000"/>
        </w:rPr>
      </w:pPr>
    </w:p>
    <w:p>
      <w:pPr>
        <w:rPr>
          <w:color w:val="000000"/>
        </w:rPr>
      </w:pPr>
      <w:r>
        <w:rPr>
          <w:b/>
          <w:color w:val="000000"/>
        </w:rPr>
        <w:t xml:space="preserve">* </w:t>
      </w:r>
      <w:r>
        <w:rPr>
          <w:color w:val="000000"/>
        </w:rPr>
        <w:t>to be attached to the draft report, in accordance with article 159, para 3 (c) of the Rules of Procedure (only if the financial framework proposed differs from the Commission proposal)</w:t>
      </w:r>
    </w:p>
    <w:p>
      <w:pPr>
        <w:rPr>
          <w:color w:val="000000"/>
        </w:rPr>
      </w:pPr>
    </w:p>
    <w:p>
      <w:pPr>
        <w:rPr>
          <w:b/>
          <w:color w:val="000000"/>
        </w:rPr>
      </w:pPr>
      <w:r>
        <w:rPr>
          <w:b/>
          <w:color w:val="000000"/>
        </w:rPr>
        <w:t>Report: A5-0028/2004</w:t>
      </w:r>
    </w:p>
    <w:p>
      <w:pPr>
        <w:rPr>
          <w:b/>
          <w:color w:val="000000"/>
        </w:rPr>
      </w:pPr>
    </w:p>
    <w:p>
      <w:pPr>
        <w:rPr>
          <w:b/>
          <w:color w:val="000000"/>
        </w:rPr>
      </w:pPr>
      <w:r>
        <w:rPr>
          <w:b/>
          <w:color w:val="000000"/>
        </w:rPr>
        <w:t>Rapporteur: Walter VELTRONI</w:t>
      </w:r>
    </w:p>
    <w:p>
      <w:pPr>
        <w:rPr>
          <w:b/>
          <w:color w:val="000000"/>
        </w:rPr>
      </w:pPr>
    </w:p>
    <w:p>
      <w:pPr>
        <w:tabs>
          <w:tab w:val="start" w:pos="709"/>
        </w:tabs>
        <w:rPr>
          <w:b/>
          <w:color w:val="000000"/>
        </w:rPr>
      </w:pPr>
      <w:r>
        <w:rPr>
          <w:b/>
          <w:color w:val="000000"/>
        </w:rPr>
        <w:t>1.</w:t>
        <w:tab/>
        <w:t>DESCRIPTION</w:t>
      </w:r>
    </w:p>
    <w:p>
      <w:pPr>
        <w:tabs>
          <w:tab w:val="start" w:pos="709"/>
        </w:tabs>
        <w:rPr>
          <w:b/>
          <w:color w:val="000000"/>
        </w:rPr>
      </w:pPr>
    </w:p>
    <w:p>
      <w:pPr>
        <w:ind w:start="709" w:hanging="709"/>
        <w:rPr>
          <w:b/>
          <w:color w:val="000000"/>
        </w:rPr>
      </w:pPr>
      <w:r>
        <w:rPr>
          <w:b/>
          <w:color w:val="000000"/>
        </w:rPr>
        <w:t>1.1.</w:t>
        <w:tab/>
        <w:tab/>
        <w:t>Title of action: Decision of the European Parliament and of the Council modifying Council Decision 2000/821/EC of 20 December 200 on the implementation of a programme to encourage the development, distribution and promotion of European audiovisual works (MEDIA Plus - Development, Distribution and Promotion)</w:t>
      </w:r>
    </w:p>
    <w:p>
      <w:pPr>
        <w:tabs>
          <w:tab w:val="start" w:pos="709"/>
        </w:tabs>
        <w:rPr>
          <w:b/>
          <w:color w:val="000000"/>
        </w:rPr>
      </w:pPr>
    </w:p>
    <w:p>
      <w:pPr>
        <w:tabs>
          <w:tab w:val="start" w:pos="709"/>
        </w:tabs>
        <w:rPr>
          <w:b/>
          <w:color w:val="000000"/>
        </w:rPr>
      </w:pPr>
    </w:p>
    <w:p>
      <w:pPr>
        <w:tabs>
          <w:tab w:val="start" w:pos="709"/>
        </w:tabs>
        <w:rPr>
          <w:color w:val="000000"/>
        </w:rPr>
      </w:pPr>
      <w:r>
        <w:rPr>
          <w:b/>
          <w:color w:val="000000"/>
        </w:rPr>
        <w:t>1.2.</w:t>
        <w:tab/>
        <w:t>Policy area(s): 15. Education and culture</w:t>
      </w:r>
    </w:p>
    <w:p>
      <w:pPr>
        <w:tabs>
          <w:tab w:val="start" w:pos="709"/>
        </w:tabs>
        <w:rPr>
          <w:color w:val="000000"/>
        </w:rPr>
      </w:pPr>
      <w:r>
        <w:rPr>
          <w:color w:val="000000"/>
        </w:rPr>
        <w:tab/>
      </w:r>
      <w:r>
        <w:rPr>
          <w:b/>
          <w:color w:val="000000"/>
        </w:rPr>
        <w:t>Activit(y/ies): 15.05 Audiovisual policy and sports</w:t>
      </w:r>
    </w:p>
    <w:p>
      <w:pPr>
        <w:tabs>
          <w:tab w:val="start" w:pos="709"/>
        </w:tabs>
        <w:rPr>
          <w:color w:val="000000"/>
        </w:rPr>
      </w:pPr>
    </w:p>
    <w:p>
      <w:pPr>
        <w:tabs>
          <w:tab w:val="start" w:pos="709"/>
        </w:tabs>
        <w:rPr>
          <w:color w:val="000000"/>
        </w:rPr>
      </w:pPr>
    </w:p>
    <w:p>
      <w:pPr>
        <w:tabs>
          <w:tab w:val="start" w:pos="709"/>
        </w:tabs>
        <w:rPr>
          <w:b/>
          <w:color w:val="000000"/>
        </w:rPr>
      </w:pPr>
      <w:r>
        <w:rPr>
          <w:b/>
          <w:color w:val="000000"/>
        </w:rPr>
        <w:t>1.3</w:t>
        <w:tab/>
        <w:t>ABB nomenclature (traditional nomenclature)</w:t>
      </w:r>
    </w:p>
    <w:p>
      <w:pPr>
        <w:tabs>
          <w:tab w:val="start" w:pos="709"/>
        </w:tabs>
        <w:rPr>
          <w:b/>
          <w:color w:val="000000"/>
        </w:rPr>
      </w:pPr>
    </w:p>
    <w:p>
      <w:pPr>
        <w:tabs>
          <w:tab w:val="start" w:pos="709"/>
        </w:tabs>
        <w:rPr>
          <w:b/>
          <w:color w:val="000000"/>
        </w:rPr>
      </w:pPr>
      <w:r>
        <w:rPr>
          <w:b/>
          <w:color w:val="000000"/>
        </w:rPr>
        <w:tab/>
        <w:t>15.05.01.01 (B3 - 2010) Media Plus</w:t>
      </w:r>
    </w:p>
    <w:p>
      <w:pPr>
        <w:tabs>
          <w:tab w:val="start" w:pos="709"/>
        </w:tabs>
        <w:rPr>
          <w:color w:val="000000"/>
        </w:rPr>
      </w:pPr>
    </w:p>
    <w:p>
      <w:pPr>
        <w:tabs>
          <w:tab w:val="start" w:pos="709"/>
        </w:tabs>
        <w:rPr>
          <w:color w:val="000000"/>
        </w:rPr>
      </w:pPr>
      <w:r>
        <w:rPr>
          <w:color w:val="000000"/>
        </w:rPr>
        <w:tab/>
        <w:t>15.01.04.08 (B3 2010A) Technical assistance costs</w:t>
      </w:r>
    </w:p>
    <w:p>
      <w:pPr>
        <w:rPr>
          <w:color w:val="000000"/>
        </w:rPr>
      </w:pPr>
    </w:p>
    <w:p>
      <w:pPr>
        <w:tabs>
          <w:tab w:val="start" w:pos="709"/>
        </w:tabs>
        <w:spacing w:before="360" w:after="120"/>
        <w:ind w:start="851" w:hanging="851"/>
        <w:rPr>
          <w:b/>
          <w:color w:val="000000"/>
        </w:rPr>
      </w:pPr>
      <w:r>
        <w:rPr>
          <w:b/>
          <w:color w:val="000000"/>
        </w:rPr>
        <w:t>2.</w:t>
        <w:tab/>
        <w:tab/>
        <w:t xml:space="preserve">OVERALL FIGURES </w:t>
      </w:r>
    </w:p>
    <w:p>
      <w:pPr>
        <w:tabs>
          <w:tab w:val="start" w:pos="360"/>
          <w:tab w:val="start" w:pos="709"/>
        </w:tabs>
        <w:spacing w:before="120" w:after="120"/>
        <w:ind w:start="851" w:hanging="851"/>
        <w:rPr>
          <w:b/>
          <w:color w:val="000000"/>
        </w:rPr>
      </w:pPr>
      <w:r>
        <w:rPr>
          <w:b/>
          <w:color w:val="000000"/>
        </w:rPr>
        <w:t>21.</w:t>
        <w:tab/>
        <w:tab/>
        <w:tab/>
        <w:t>Period of application:</w:t>
      </w:r>
    </w:p>
    <w:p>
      <w:pPr>
        <w:tabs>
          <w:tab w:val="start" w:pos="709"/>
        </w:tabs>
        <w:spacing w:before="120" w:after="120"/>
        <w:ind w:start="851"/>
        <w:rPr>
          <w:color w:val="000000"/>
        </w:rPr>
      </w:pPr>
      <w:r>
        <w:rPr>
          <w:color w:val="000000"/>
        </w:rPr>
        <w:t>2001-2006</w:t>
      </w:r>
    </w:p>
    <w:p>
      <w:pPr>
        <w:tabs>
          <w:tab w:val="start" w:pos="709"/>
        </w:tabs>
        <w:spacing w:before="120" w:after="120"/>
        <w:ind w:start="851"/>
        <w:rPr>
          <w:rFonts w:ascii="TmsRmn" w:hAnsi="TmsRmn"/>
          <w:color w:val="000000"/>
        </w:rPr>
      </w:pPr>
      <w:r>
        <w:rPr>
          <w:rFonts w:ascii="TmsRmn" w:hAnsi="TmsRmn"/>
          <w:color w:val="000000"/>
        </w:rPr>
        <w:br w:type="page"/>
      </w:r>
    </w:p>
    <w:p>
      <w:pPr>
        <w:tabs>
          <w:tab w:val="start" w:pos="360"/>
          <w:tab w:val="start" w:pos="709"/>
        </w:tabs>
        <w:spacing w:before="120" w:after="120"/>
        <w:ind w:start="851" w:hanging="851"/>
        <w:rPr>
          <w:b/>
          <w:color w:val="000000"/>
        </w:rPr>
      </w:pPr>
      <w:r>
        <w:rPr>
          <w:b/>
          <w:color w:val="000000"/>
        </w:rPr>
        <w:t>2.2.</w:t>
        <w:tab/>
        <w:tab/>
        <w:t>Global cost and multiannual programming:</w:t>
      </w:r>
    </w:p>
    <w:p>
      <w:pPr>
        <w:tabs>
          <w:tab w:val="start" w:pos="709"/>
        </w:tabs>
        <w:spacing w:before="120" w:after="120"/>
        <w:ind w:start="851" w:hanging="851"/>
        <w:rPr>
          <w:color w:val="000000"/>
        </w:rPr>
      </w:pPr>
      <w:r>
        <w:rPr>
          <w:b/>
          <w:color w:val="000000"/>
        </w:rPr>
        <w:tab/>
        <w:tab/>
      </w:r>
      <w:r>
        <w:rPr>
          <w:color w:val="000000"/>
        </w:rPr>
        <w:t>(Financial intervention + technical assistance + human resources)</w:t>
      </w:r>
    </w:p>
    <w:p>
      <w:pPr>
        <w:tabs>
          <w:tab w:val="start" w:pos="709"/>
        </w:tabs>
        <w:spacing w:before="120" w:after="120"/>
        <w:rPr>
          <w:color w:val="000000"/>
        </w:rPr>
      </w:pPr>
      <w:r>
        <w:rPr>
          <w:color w:val="000000"/>
        </w:rPr>
        <w:tab/>
        <w:t>€million 453.60</w:t>
      </w:r>
    </w:p>
    <w:p>
      <w:pPr>
        <w:spacing w:before="120" w:after="120"/>
        <w:rPr>
          <w:color w:val="000000"/>
        </w:rPr>
      </w:pPr>
    </w:p>
    <w:tbl>
      <w:tblPr>
        <w:tblInd w:w="10.2pt" w:type="dxa"/>
        <w:tblLayout w:type="fixed"/>
        <w:tblCellMar>
          <w:start w:w="0pt" w:type="dxa"/>
          <w:end w:w="0pt" w:type="dxa"/>
        </w:tblCellMar>
        <w:tblLook/>
      </w:tblPr>
      <w:tblGrid>
        <w:gridCol w:w="2268"/>
        <w:gridCol w:w="930"/>
        <w:gridCol w:w="993"/>
        <w:gridCol w:w="992"/>
        <w:gridCol w:w="992"/>
        <w:gridCol w:w="992"/>
        <w:gridCol w:w="1418"/>
      </w:tblGrid>
      <w:tr>
        <w:tblPrEx>
          <w:tblInd w:w="10.2pt" w:type="dxa"/>
          <w:tblLayout w:type="fixed"/>
          <w:tblCellMar>
            <w:start w:w="0pt" w:type="dxa"/>
            <w:end w:w="0pt" w:type="dxa"/>
          </w:tblCellMar>
          <w:tblLook/>
        </w:tblPrEx>
        <w:trPr>
          <w:cantSplit/>
          <w:trHeight w:val="1440"/>
        </w:trPr>
        <w:tc>
          <w:tcPr>
            <w:tcW w:w="113.4pt" w:type="dxa"/>
            <w:tcBorders>
              <w:top w:val="single" w:sz="8" w:space="0" w:color="000000"/>
              <w:start w:val="single" w:sz="8" w:space="0" w:color="000000"/>
              <w:end w:val="single" w:sz="6" w:space="0" w:color="000000"/>
            </w:tcBorders>
          </w:tcPr>
          <w:p>
            <w:pPr>
              <w:spacing w:before="120" w:after="120"/>
              <w:rPr>
                <w:color w:val="000000"/>
              </w:rPr>
            </w:pPr>
          </w:p>
          <w:p>
            <w:pPr>
              <w:spacing w:before="120" w:after="120"/>
              <w:rPr>
                <w:color w:val="000000"/>
              </w:rPr>
            </w:pPr>
          </w:p>
        </w:tc>
        <w:tc>
          <w:tcPr>
            <w:tcW w:w="46.5pt" w:type="dxa"/>
            <w:tcBorders>
              <w:top w:val="single" w:sz="8" w:space="0" w:color="000000"/>
              <w:start w:val="single" w:sz="6" w:space="0" w:color="000000"/>
              <w:end w:val="single" w:sz="6" w:space="0" w:color="000000"/>
            </w:tcBorders>
          </w:tcPr>
          <w:p>
            <w:pPr>
              <w:spacing w:before="120" w:after="120"/>
              <w:jc w:val="center"/>
              <w:rPr>
                <w:color w:val="000000"/>
              </w:rPr>
            </w:pPr>
          </w:p>
          <w:p>
            <w:pPr>
              <w:jc w:val="center"/>
              <w:rPr>
                <w:color w:val="000000"/>
              </w:rPr>
            </w:pPr>
            <w:r>
              <w:rPr>
                <w:color w:val="000000"/>
              </w:rPr>
              <w:t>2004</w:t>
            </w:r>
          </w:p>
          <w:p>
            <w:pPr>
              <w:jc w:val="center"/>
              <w:rPr>
                <w:color w:val="000000"/>
              </w:rPr>
            </w:pPr>
            <w:r>
              <w:rPr>
                <w:color w:val="000000"/>
              </w:rPr>
              <w:t>EU 25</w:t>
            </w:r>
          </w:p>
        </w:tc>
        <w:tc>
          <w:tcPr>
            <w:tcW w:w="49.65pt" w:type="dxa"/>
            <w:tcBorders>
              <w:top w:val="single" w:sz="8" w:space="0" w:color="000000"/>
              <w:start w:val="single" w:sz="6" w:space="0" w:color="000000"/>
              <w:end w:val="single" w:sz="6" w:space="0" w:color="000000"/>
            </w:tcBorders>
          </w:tcPr>
          <w:p>
            <w:pPr>
              <w:jc w:val="center"/>
              <w:rPr>
                <w:color w:val="000000"/>
              </w:rPr>
            </w:pPr>
          </w:p>
          <w:p>
            <w:pPr>
              <w:jc w:val="center"/>
              <w:rPr>
                <w:color w:val="000000"/>
              </w:rPr>
            </w:pPr>
          </w:p>
          <w:p>
            <w:pPr>
              <w:jc w:val="center"/>
              <w:rPr>
                <w:color w:val="000000"/>
              </w:rPr>
            </w:pPr>
            <w:r>
              <w:rPr>
                <w:color w:val="000000"/>
              </w:rPr>
              <w:t>2005</w:t>
            </w:r>
          </w:p>
          <w:p>
            <w:pPr>
              <w:jc w:val="center"/>
              <w:rPr>
                <w:color w:val="000000"/>
              </w:rPr>
            </w:pPr>
            <w:r>
              <w:rPr>
                <w:color w:val="000000"/>
              </w:rPr>
              <w:t>EU 25</w:t>
            </w:r>
          </w:p>
        </w:tc>
        <w:tc>
          <w:tcPr>
            <w:tcW w:w="49.6pt" w:type="dxa"/>
            <w:tcBorders>
              <w:top w:val="single" w:sz="8" w:space="0" w:color="000000"/>
              <w:start w:val="single" w:sz="6" w:space="0" w:color="000000"/>
              <w:end w:val="single" w:sz="6" w:space="0" w:color="000000"/>
            </w:tcBorders>
          </w:tcPr>
          <w:p>
            <w:pPr>
              <w:jc w:val="center"/>
              <w:rPr>
                <w:color w:val="000000"/>
              </w:rPr>
            </w:pPr>
          </w:p>
          <w:p>
            <w:pPr>
              <w:jc w:val="center"/>
              <w:rPr>
                <w:color w:val="000000"/>
              </w:rPr>
            </w:pPr>
          </w:p>
          <w:p>
            <w:pPr>
              <w:jc w:val="center"/>
              <w:rPr>
                <w:color w:val="000000"/>
              </w:rPr>
            </w:pPr>
            <w:r>
              <w:rPr>
                <w:color w:val="000000"/>
              </w:rPr>
              <w:t>2006</w:t>
            </w:r>
          </w:p>
          <w:p>
            <w:pPr>
              <w:jc w:val="center"/>
              <w:rPr>
                <w:color w:val="000000"/>
              </w:rPr>
            </w:pPr>
            <w:r>
              <w:rPr>
                <w:color w:val="000000"/>
              </w:rPr>
              <w:t>EU 25</w:t>
            </w:r>
          </w:p>
        </w:tc>
        <w:tc>
          <w:tcPr>
            <w:tcW w:w="49.6pt" w:type="dxa"/>
            <w:tcBorders>
              <w:top w:val="single" w:sz="8" w:space="0" w:color="000000"/>
              <w:end w:val="single" w:sz="8" w:space="0" w:color="000000"/>
            </w:tcBorders>
          </w:tcPr>
          <w:p>
            <w:pPr>
              <w:jc w:val="center"/>
              <w:rPr>
                <w:color w:val="000000"/>
              </w:rPr>
            </w:pPr>
          </w:p>
        </w:tc>
        <w:tc>
          <w:tcPr>
            <w:tcW w:w="49.6pt" w:type="dxa"/>
            <w:tcBorders>
              <w:top w:val="single" w:sz="8" w:space="0" w:color="000000"/>
              <w:end w:val="single" w:sz="8" w:space="0" w:color="000000"/>
            </w:tcBorders>
          </w:tcPr>
          <w:p>
            <w:pPr>
              <w:jc w:val="center"/>
              <w:rPr>
                <w:color w:val="000000"/>
              </w:rPr>
            </w:pPr>
          </w:p>
        </w:tc>
        <w:tc>
          <w:tcPr>
            <w:tcW w:w="70.9pt" w:type="dxa"/>
            <w:tcBorders>
              <w:top w:val="single" w:sz="8" w:space="0" w:color="000000"/>
              <w:end w:val="single" w:sz="8" w:space="0" w:color="000000"/>
            </w:tcBorders>
          </w:tcPr>
          <w:p>
            <w:pPr>
              <w:jc w:val="center"/>
              <w:rPr>
                <w:color w:val="000000"/>
              </w:rPr>
            </w:pPr>
          </w:p>
        </w:tc>
      </w:tr>
      <w:tr>
        <w:tblPrEx>
          <w:tblInd w:w="10.2pt" w:type="dxa"/>
          <w:tblLayout w:type="fixed"/>
          <w:tblCellMar>
            <w:start w:w="0pt" w:type="dxa"/>
            <w:end w:w="0pt" w:type="dxa"/>
          </w:tblCellMar>
          <w:tblLook/>
        </w:tblPrEx>
        <w:trPr>
          <w:cantSplit/>
        </w:trPr>
        <w:tc>
          <w:tcPr>
            <w:tcW w:w="113.4pt" w:type="dxa"/>
            <w:tcBorders>
              <w:top w:val="single" w:sz="6" w:space="0" w:color="000000"/>
              <w:start w:val="single" w:sz="8" w:space="0" w:color="000000"/>
              <w:bottom w:val="single" w:sz="8" w:space="0" w:color="000000"/>
              <w:end w:val="single" w:sz="6" w:space="0" w:color="000000"/>
            </w:tcBorders>
          </w:tcPr>
          <w:p>
            <w:pPr>
              <w:jc w:val="center"/>
              <w:rPr>
                <w:color w:val="000000"/>
              </w:rPr>
            </w:pPr>
            <w:r>
              <w:rPr>
                <w:color w:val="000000"/>
              </w:rPr>
              <w:t>Commitments</w:t>
            </w:r>
          </w:p>
        </w:tc>
        <w:tc>
          <w:tcPr>
            <w:tcW w:w="46.5pt" w:type="dxa"/>
            <w:tcBorders>
              <w:top w:val="single" w:sz="6" w:space="0" w:color="000000"/>
              <w:start w:val="single" w:sz="6" w:space="0" w:color="000000"/>
              <w:bottom w:val="single" w:sz="8" w:space="0" w:color="000000"/>
              <w:end w:val="single" w:sz="6" w:space="0" w:color="000000"/>
            </w:tcBorders>
          </w:tcPr>
          <w:p>
            <w:pPr>
              <w:jc w:val="center"/>
              <w:rPr>
                <w:color w:val="000000"/>
              </w:rPr>
            </w:pPr>
          </w:p>
          <w:p>
            <w:pPr>
              <w:jc w:val="center"/>
              <w:rPr>
                <w:color w:val="000000"/>
              </w:rPr>
            </w:pPr>
            <w:r>
              <w:rPr>
                <w:color w:val="000000"/>
              </w:rPr>
              <w:t>81.20</w:t>
            </w:r>
          </w:p>
        </w:tc>
        <w:tc>
          <w:tcPr>
            <w:tcW w:w="49.65pt" w:type="dxa"/>
            <w:tcBorders>
              <w:top w:val="single" w:sz="6" w:space="0" w:color="000000"/>
              <w:start w:val="single" w:sz="6" w:space="0" w:color="000000"/>
              <w:bottom w:val="single" w:sz="8" w:space="0" w:color="000000"/>
              <w:end w:val="single" w:sz="6" w:space="0" w:color="000000"/>
            </w:tcBorders>
          </w:tcPr>
          <w:p>
            <w:pPr>
              <w:jc w:val="center"/>
              <w:rPr>
                <w:color w:val="000000"/>
              </w:rPr>
            </w:pPr>
          </w:p>
          <w:p>
            <w:pPr>
              <w:jc w:val="center"/>
              <w:rPr>
                <w:color w:val="000000"/>
              </w:rPr>
            </w:pPr>
            <w:r>
              <w:rPr>
                <w:color w:val="000000"/>
              </w:rPr>
              <w:t>85.80</w:t>
            </w:r>
          </w:p>
        </w:tc>
        <w:tc>
          <w:tcPr>
            <w:tcW w:w="49.6pt" w:type="dxa"/>
            <w:tcBorders>
              <w:top w:val="single" w:sz="6" w:space="0" w:color="000000"/>
              <w:start w:val="single" w:sz="6" w:space="0" w:color="000000"/>
              <w:bottom w:val="single" w:sz="8" w:space="0" w:color="000000"/>
              <w:end w:val="single" w:sz="6" w:space="0" w:color="000000"/>
            </w:tcBorders>
          </w:tcPr>
          <w:p>
            <w:pPr>
              <w:jc w:val="center"/>
              <w:rPr>
                <w:color w:val="000000"/>
              </w:rPr>
            </w:pPr>
            <w:r>
              <w:rPr>
                <w:color w:val="000000"/>
              </w:rPr>
              <w:t>85.6</w:t>
            </w:r>
          </w:p>
        </w:tc>
        <w:tc>
          <w:tcPr>
            <w:tcW w:w="49.6pt" w:type="dxa"/>
            <w:tcBorders>
              <w:top w:val="single" w:sz="6" w:space="0" w:color="000000"/>
              <w:bottom w:val="single" w:sz="8" w:space="0" w:color="000000"/>
              <w:end w:val="single" w:sz="8" w:space="0" w:color="000000"/>
            </w:tcBorders>
          </w:tcPr>
          <w:p>
            <w:pPr>
              <w:jc w:val="center"/>
              <w:rPr>
                <w:color w:val="000000"/>
              </w:rPr>
            </w:pPr>
          </w:p>
        </w:tc>
        <w:tc>
          <w:tcPr>
            <w:tcW w:w="49.6pt" w:type="dxa"/>
            <w:tcBorders>
              <w:top w:val="single" w:sz="6" w:space="0" w:color="000000"/>
              <w:bottom w:val="single" w:sz="8" w:space="0" w:color="000000"/>
              <w:end w:val="single" w:sz="8" w:space="0" w:color="000000"/>
            </w:tcBorders>
          </w:tcPr>
          <w:p>
            <w:pPr>
              <w:jc w:val="center"/>
              <w:rPr>
                <w:color w:val="000000"/>
              </w:rPr>
            </w:pPr>
          </w:p>
        </w:tc>
        <w:tc>
          <w:tcPr>
            <w:tcW w:w="70.9pt" w:type="dxa"/>
            <w:tcBorders>
              <w:top w:val="single" w:sz="6" w:space="0" w:color="000000"/>
              <w:bottom w:val="single" w:sz="8" w:space="0" w:color="000000"/>
              <w:end w:val="single" w:sz="8" w:space="0" w:color="000000"/>
            </w:tcBorders>
          </w:tcPr>
          <w:p>
            <w:pPr>
              <w:jc w:val="center"/>
              <w:rPr>
                <w:color w:val="000000"/>
              </w:rPr>
            </w:pPr>
          </w:p>
        </w:tc>
      </w:tr>
    </w:tbl>
    <w:p>
      <w:pPr>
        <w:rPr>
          <w:color w:val="000000"/>
        </w:rPr>
      </w:pPr>
    </w:p>
    <w:p>
      <w:pPr>
        <w:pStyle w:val="ManualHeading2"/>
        <w:jc w:val="start"/>
        <w:rPr>
          <w:rFonts w:ascii="Times New Roman" w:hAnsi="Times New Roman"/>
          <w:b w:val="0"/>
          <w:color w:val="000000"/>
        </w:rPr>
      </w:pPr>
    </w:p>
    <w:p>
      <w:pPr>
        <w:tabs>
          <w:tab w:val="start" w:pos="360"/>
          <w:tab w:val="start" w:pos="851"/>
        </w:tabs>
        <w:spacing w:before="120" w:after="120"/>
        <w:ind w:start="851" w:hanging="851"/>
        <w:rPr>
          <w:b/>
          <w:color w:val="000000"/>
        </w:rPr>
      </w:pPr>
      <w:r>
        <w:rPr>
          <w:b/>
          <w:color w:val="000000"/>
        </w:rPr>
        <w:t>3.</w:t>
        <w:tab/>
        <w:tab/>
        <w:t>COMPATIBILITY WITH FINANCIAL PROGRAMMING AND FINANCIAL PERSPECTIVE</w:t>
      </w:r>
    </w:p>
    <w:p>
      <w:pPr>
        <w:spacing w:before="120" w:after="120"/>
        <w:ind w:start="1418" w:hanging="567"/>
        <w:rPr>
          <w:color w:val="000000"/>
        </w:rPr>
      </w:pPr>
      <w:r>
        <w:rPr>
          <w:color w:val="000000"/>
        </w:rPr>
        <w:t>[X]</w:t>
        <w:tab/>
        <w:t>Version compatibility</w:t>
      </w:r>
    </w:p>
    <w:p>
      <w:pPr>
        <w:spacing w:before="120" w:after="120"/>
        <w:ind w:start="1418" w:hanging="567"/>
        <w:rPr>
          <w:color w:val="000000"/>
        </w:rPr>
      </w:pPr>
      <w:r>
        <w:rPr>
          <w:color w:val="000000"/>
        </w:rPr>
        <w:t>[]</w:t>
        <w:tab/>
        <w:t>Version partial incompatibility</w:t>
      </w:r>
    </w:p>
    <w:p>
      <w:pPr>
        <w:spacing w:before="120" w:after="120"/>
        <w:ind w:start="1418" w:hanging="567"/>
        <w:rPr>
          <w:color w:val="000000"/>
        </w:rPr>
      </w:pPr>
      <w:r>
        <w:rPr>
          <w:color w:val="000000"/>
        </w:rPr>
        <w:t>[]</w:t>
        <w:tab/>
        <w:t>Version total incompat</w:t>
      </w:r>
      <w:r>
        <w:rPr>
          <w:color w:val="000000"/>
        </w:rPr>
        <w:t xml:space="preserve">iblity </w:t>
      </w:r>
    </w:p>
    <w:p>
      <w:pPr>
        <w:tabs>
          <w:tab w:val="start" w:pos="851"/>
        </w:tabs>
        <w:spacing w:before="360" w:after="120"/>
        <w:ind w:start="851" w:hanging="851"/>
        <w:rPr>
          <w:b/>
          <w:color w:val="000000"/>
        </w:rPr>
      </w:pPr>
      <w:r>
        <w:rPr>
          <w:b/>
          <w:color w:val="000000"/>
        </w:rPr>
        <w:t>4.</w:t>
        <w:tab/>
        <w:t>FINANCIAL IMPACT</w:t>
      </w:r>
    </w:p>
    <w:p>
      <w:pPr>
        <w:spacing w:before="120" w:after="120"/>
        <w:jc w:val="center"/>
        <w:rPr>
          <w:i/>
          <w:color w:val="000000"/>
        </w:rPr>
      </w:pPr>
      <w:r>
        <w:rPr>
          <w:color w:val="000000"/>
        </w:rPr>
        <w:t xml:space="preserve">Commitments </w:t>
      </w:r>
      <w:r>
        <w:rPr>
          <w:i/>
          <w:color w:val="000000"/>
        </w:rPr>
        <w:t>(in €million)</w:t>
      </w:r>
    </w:p>
    <w:tbl>
      <w:tblPr>
        <w:tblInd w:w="-7.1pt" w:type="dxa"/>
        <w:tblLayout w:type="fixed"/>
        <w:tblCellMar>
          <w:start w:w="0pt" w:type="dxa"/>
          <w:end w:w="0pt" w:type="dxa"/>
        </w:tblCellMar>
        <w:tblLook/>
      </w:tblPr>
      <w:tblGrid>
        <w:gridCol w:w="2553"/>
        <w:gridCol w:w="1021"/>
        <w:gridCol w:w="1021"/>
        <w:gridCol w:w="1021"/>
        <w:gridCol w:w="1021"/>
        <w:gridCol w:w="1021"/>
        <w:gridCol w:w="1021"/>
      </w:tblGrid>
      <w:tr>
        <w:tblPrEx>
          <w:tblInd w:w="-7.1pt" w:type="dxa"/>
          <w:tblLayout w:type="fixed"/>
          <w:tblCellMar>
            <w:start w:w="0pt" w:type="dxa"/>
            <w:end w:w="0pt" w:type="dxa"/>
          </w:tblCellMar>
          <w:tblLook/>
        </w:tblPrEx>
        <w:trPr>
          <w:cantSplit/>
        </w:trPr>
        <w:tc>
          <w:tcPr>
            <w:tcW w:w="127.65pt" w:type="dxa"/>
            <w:tcBorders>
              <w:top w:val="single" w:sz="4" w:space="0" w:color="000000"/>
              <w:start w:val="single" w:sz="4" w:space="0" w:color="000000"/>
              <w:bottom w:val="single" w:sz="6" w:space="0" w:color="000000"/>
              <w:end w:val="single" w:sz="6" w:space="0" w:color="000000"/>
            </w:tcBorders>
          </w:tcPr>
          <w:p>
            <w:pPr>
              <w:jc w:val="center"/>
              <w:rPr>
                <w:color w:val="000000"/>
              </w:rPr>
            </w:pPr>
          </w:p>
        </w:tc>
        <w:tc>
          <w:tcPr>
            <w:tcW w:w="51.05pt" w:type="dxa"/>
            <w:tcBorders>
              <w:top w:val="single" w:sz="6" w:space="0" w:color="000000"/>
              <w:start w:val="single" w:sz="6" w:space="0" w:color="000000"/>
              <w:bottom w:val="single" w:sz="6" w:space="0" w:color="000000"/>
              <w:end w:val="single" w:sz="6" w:space="0" w:color="000000"/>
            </w:tcBorders>
          </w:tcPr>
          <w:p>
            <w:pPr>
              <w:jc w:val="center"/>
              <w:rPr>
                <w:color w:val="000000"/>
              </w:rPr>
            </w:pPr>
          </w:p>
          <w:p>
            <w:pPr>
              <w:jc w:val="center"/>
              <w:rPr>
                <w:color w:val="000000"/>
              </w:rPr>
            </w:pPr>
          </w:p>
          <w:p>
            <w:pPr>
              <w:jc w:val="center"/>
              <w:rPr>
                <w:color w:val="000000"/>
              </w:rPr>
            </w:pPr>
            <w:r>
              <w:rPr>
                <w:color w:val="000000"/>
              </w:rPr>
              <w:t>2004</w:t>
            </w:r>
          </w:p>
        </w:tc>
        <w:tc>
          <w:tcPr>
            <w:tcW w:w="51pt" w:type="dxa"/>
            <w:tcBorders>
              <w:top w:val="single" w:sz="6" w:space="0" w:color="000000"/>
              <w:start w:val="single" w:sz="6" w:space="0" w:color="000000"/>
              <w:bottom w:val="single" w:sz="6" w:space="0" w:color="000000"/>
              <w:end w:val="single" w:sz="6" w:space="0" w:color="000000"/>
            </w:tcBorders>
          </w:tcPr>
          <w:p>
            <w:pPr>
              <w:jc w:val="center"/>
              <w:rPr>
                <w:color w:val="000000"/>
              </w:rPr>
            </w:pPr>
          </w:p>
          <w:p>
            <w:pPr>
              <w:jc w:val="center"/>
              <w:rPr>
                <w:color w:val="000000"/>
              </w:rPr>
            </w:pPr>
          </w:p>
          <w:p>
            <w:pPr>
              <w:jc w:val="center"/>
              <w:rPr>
                <w:color w:val="000000"/>
              </w:rPr>
            </w:pPr>
            <w:r>
              <w:rPr>
                <w:color w:val="000000"/>
              </w:rPr>
              <w:t>2005</w:t>
            </w:r>
          </w:p>
        </w:tc>
        <w:tc>
          <w:tcPr>
            <w:tcW w:w="51.05pt" w:type="dxa"/>
            <w:tcBorders>
              <w:top w:val="single" w:sz="6" w:space="0" w:color="000000"/>
              <w:start w:val="single" w:sz="6" w:space="0" w:color="000000"/>
              <w:bottom w:val="single" w:sz="6" w:space="0" w:color="000000"/>
              <w:end w:val="single" w:sz="6" w:space="0" w:color="000000"/>
            </w:tcBorders>
          </w:tcPr>
          <w:p>
            <w:pPr>
              <w:jc w:val="center"/>
              <w:rPr>
                <w:color w:val="000000"/>
              </w:rPr>
            </w:pPr>
          </w:p>
          <w:p>
            <w:pPr>
              <w:jc w:val="center"/>
              <w:rPr>
                <w:color w:val="000000"/>
              </w:rPr>
            </w:pPr>
          </w:p>
          <w:p>
            <w:pPr>
              <w:jc w:val="center"/>
              <w:rPr>
                <w:color w:val="000000"/>
              </w:rPr>
            </w:pPr>
            <w:r>
              <w:rPr>
                <w:color w:val="000000"/>
              </w:rPr>
              <w:t>2006</w:t>
            </w:r>
          </w:p>
        </w:tc>
        <w:tc>
          <w:tcPr>
            <w:tcW w:w="51.05pt" w:type="dxa"/>
            <w:tcBorders>
              <w:top w:val="single" w:sz="6" w:space="0" w:color="000000"/>
              <w:start w:val="single" w:sz="6" w:space="0" w:color="000000"/>
              <w:bottom w:val="single" w:sz="6" w:space="0" w:color="000000"/>
              <w:end w:val="single" w:sz="6" w:space="0" w:color="000000"/>
            </w:tcBorders>
          </w:tcPr>
          <w:p>
            <w:pPr>
              <w:jc w:val="center"/>
              <w:rPr>
                <w:color w:val="000000"/>
              </w:rPr>
            </w:pPr>
          </w:p>
        </w:tc>
        <w:tc>
          <w:tcPr>
            <w:tcW w:w="51.05pt" w:type="dxa"/>
            <w:tcBorders>
              <w:top w:val="single" w:sz="6" w:space="0" w:color="000000"/>
              <w:start w:val="single" w:sz="6" w:space="0" w:color="000000"/>
              <w:bottom w:val="single" w:sz="6" w:space="0" w:color="000000"/>
              <w:end w:val="single" w:sz="6" w:space="0" w:color="000000"/>
            </w:tcBorders>
          </w:tcPr>
          <w:p>
            <w:pPr>
              <w:jc w:val="center"/>
              <w:rPr>
                <w:color w:val="000000"/>
              </w:rPr>
            </w:pPr>
          </w:p>
        </w:tc>
        <w:tc>
          <w:tcPr>
            <w:tcW w:w="51.05pt" w:type="dxa"/>
            <w:tcBorders>
              <w:top w:val="single" w:sz="6" w:space="0" w:color="000000"/>
              <w:start w:val="single" w:sz="6" w:space="0" w:color="000000"/>
              <w:bottom w:val="single" w:sz="6" w:space="0" w:color="000000"/>
              <w:end w:val="single" w:sz="6" w:space="0" w:color="000000"/>
            </w:tcBorders>
          </w:tcPr>
          <w:p>
            <w:pPr>
              <w:jc w:val="center"/>
              <w:rPr>
                <w:color w:val="000000"/>
              </w:rPr>
            </w:pPr>
          </w:p>
          <w:p>
            <w:pPr>
              <w:jc w:val="center"/>
              <w:rPr>
                <w:color w:val="000000"/>
              </w:rPr>
            </w:pPr>
          </w:p>
          <w:p>
            <w:pPr>
              <w:jc w:val="center"/>
              <w:rPr>
                <w:color w:val="000000"/>
              </w:rPr>
            </w:pPr>
            <w:r>
              <w:rPr>
                <w:color w:val="000000"/>
              </w:rPr>
              <w:t>Total</w:t>
            </w:r>
          </w:p>
        </w:tc>
      </w:tr>
      <w:tr>
        <w:tblPrEx>
          <w:tblInd w:w="-7.1pt" w:type="dxa"/>
          <w:tblLayout w:type="fixed"/>
          <w:tblCellMar>
            <w:start w:w="0pt" w:type="dxa"/>
            <w:end w:w="0pt" w:type="dxa"/>
          </w:tblCellMar>
          <w:tblLook/>
        </w:tblPrEx>
        <w:trPr>
          <w:cantSplit/>
        </w:trPr>
        <w:tc>
          <w:tcPr>
            <w:tcW w:w="127.65pt" w:type="dxa"/>
            <w:tcBorders>
              <w:start w:val="single" w:sz="6" w:space="0" w:color="000000"/>
              <w:bottom w:val="single" w:sz="2" w:space="0" w:color="000000"/>
              <w:end w:val="single" w:sz="6" w:space="0" w:color="000000"/>
            </w:tcBorders>
          </w:tcPr>
          <w:p>
            <w:pPr>
              <w:rPr>
                <w:color w:val="000000"/>
              </w:rPr>
            </w:pPr>
            <w:r>
              <w:rPr>
                <w:color w:val="000000"/>
              </w:rPr>
              <w:t>Financial intervention</w:t>
            </w:r>
          </w:p>
        </w:tc>
        <w:tc>
          <w:tcPr>
            <w:tcW w:w="51.05pt" w:type="dxa"/>
            <w:tcBorders>
              <w:top w:val="single" w:sz="6" w:space="0" w:color="000000"/>
              <w:start w:val="single" w:sz="6" w:space="0" w:color="000000"/>
              <w:bottom w:val="single" w:sz="6" w:space="0" w:color="000000"/>
              <w:end w:val="single" w:sz="6" w:space="0" w:color="000000"/>
            </w:tcBorders>
          </w:tcPr>
          <w:p>
            <w:pPr>
              <w:jc w:val="center"/>
              <w:rPr>
                <w:color w:val="000000"/>
              </w:rPr>
            </w:pPr>
            <w:r>
              <w:rPr>
                <w:color w:val="000000"/>
              </w:rPr>
              <w:t>75.20</w:t>
            </w:r>
          </w:p>
        </w:tc>
        <w:tc>
          <w:tcPr>
            <w:tcW w:w="51pt" w:type="dxa"/>
            <w:tcBorders>
              <w:top w:val="single" w:sz="6" w:space="0" w:color="000000"/>
              <w:start w:val="single" w:sz="6" w:space="0" w:color="000000"/>
              <w:bottom w:val="single" w:sz="6" w:space="0" w:color="000000"/>
              <w:end w:val="single" w:sz="6" w:space="0" w:color="000000"/>
            </w:tcBorders>
          </w:tcPr>
          <w:p>
            <w:pPr>
              <w:jc w:val="center"/>
              <w:rPr>
                <w:color w:val="000000"/>
              </w:rPr>
            </w:pPr>
            <w:r>
              <w:rPr>
                <w:color w:val="000000"/>
              </w:rPr>
              <w:t>79.80</w:t>
            </w:r>
          </w:p>
        </w:tc>
        <w:tc>
          <w:tcPr>
            <w:tcW w:w="51.05pt" w:type="dxa"/>
            <w:tcBorders>
              <w:top w:val="single" w:sz="6" w:space="0" w:color="000000"/>
              <w:start w:val="single" w:sz="6" w:space="0" w:color="000000"/>
              <w:bottom w:val="single" w:sz="6" w:space="0" w:color="000000"/>
              <w:end w:val="single" w:sz="6" w:space="0" w:color="000000"/>
            </w:tcBorders>
          </w:tcPr>
          <w:p>
            <w:pPr>
              <w:jc w:val="center"/>
              <w:rPr>
                <w:color w:val="000000"/>
              </w:rPr>
            </w:pPr>
            <w:r>
              <w:rPr>
                <w:color w:val="000000"/>
              </w:rPr>
              <w:t>79.60</w:t>
            </w:r>
          </w:p>
        </w:tc>
        <w:tc>
          <w:tcPr>
            <w:tcW w:w="51.05pt" w:type="dxa"/>
            <w:tcBorders>
              <w:top w:val="single" w:sz="6" w:space="0" w:color="000000"/>
              <w:start w:val="single" w:sz="6" w:space="0" w:color="000000"/>
              <w:bottom w:val="single" w:sz="6" w:space="0" w:color="000000"/>
              <w:end w:val="single" w:sz="6" w:space="0" w:color="000000"/>
            </w:tcBorders>
          </w:tcPr>
          <w:p>
            <w:pPr>
              <w:jc w:val="center"/>
              <w:rPr>
                <w:color w:val="000000"/>
              </w:rPr>
            </w:pPr>
          </w:p>
        </w:tc>
        <w:tc>
          <w:tcPr>
            <w:tcW w:w="51.05pt" w:type="dxa"/>
            <w:tcBorders>
              <w:top w:val="single" w:sz="6" w:space="0" w:color="000000"/>
              <w:start w:val="single" w:sz="6" w:space="0" w:color="000000"/>
              <w:bottom w:val="single" w:sz="6" w:space="0" w:color="000000"/>
              <w:end w:val="single" w:sz="6" w:space="0" w:color="000000"/>
            </w:tcBorders>
          </w:tcPr>
          <w:p>
            <w:pPr>
              <w:jc w:val="center"/>
              <w:rPr>
                <w:color w:val="000000"/>
              </w:rPr>
            </w:pPr>
          </w:p>
        </w:tc>
        <w:tc>
          <w:tcPr>
            <w:tcW w:w="51.05pt" w:type="dxa"/>
            <w:tcBorders>
              <w:top w:val="single" w:sz="6" w:space="0" w:color="000000"/>
              <w:start w:val="single" w:sz="6" w:space="0" w:color="000000"/>
              <w:bottom w:val="single" w:sz="6" w:space="0" w:color="000000"/>
              <w:end w:val="single" w:sz="6" w:space="0" w:color="000000"/>
            </w:tcBorders>
          </w:tcPr>
          <w:p>
            <w:pPr>
              <w:jc w:val="center"/>
              <w:rPr>
                <w:color w:val="000000"/>
              </w:rPr>
            </w:pPr>
          </w:p>
        </w:tc>
      </w:tr>
      <w:tr>
        <w:tblPrEx>
          <w:tblInd w:w="-7.1pt" w:type="dxa"/>
          <w:tblLayout w:type="fixed"/>
          <w:tblCellMar>
            <w:start w:w="0pt" w:type="dxa"/>
            <w:end w:w="0pt" w:type="dxa"/>
          </w:tblCellMar>
          <w:tblLook/>
        </w:tblPrEx>
        <w:trPr>
          <w:cantSplit/>
        </w:trPr>
        <w:tc>
          <w:tcPr>
            <w:tcW w:w="127.6pt" w:type="dxa"/>
            <w:tcBorders>
              <w:start w:val="single" w:sz="6" w:space="0" w:color="000000"/>
              <w:end w:val="single" w:sz="6" w:space="0" w:color="000000"/>
            </w:tcBorders>
          </w:tcPr>
          <w:p>
            <w:pPr>
              <w:rPr>
                <w:color w:val="000000"/>
              </w:rPr>
            </w:pPr>
            <w:r>
              <w:rPr>
                <w:color w:val="000000"/>
              </w:rPr>
              <w:t>Technical assistance costs</w:t>
            </w:r>
          </w:p>
        </w:tc>
        <w:tc>
          <w:tcPr>
            <w:tcW w:w="51.05pt" w:type="dxa"/>
            <w:tcBorders>
              <w:top w:val="single" w:sz="6" w:space="0" w:color="000000"/>
              <w:start w:val="single" w:sz="6" w:space="0" w:color="000000"/>
              <w:bottom w:val="single" w:sz="6" w:space="0" w:color="000000"/>
              <w:end w:val="single" w:sz="6" w:space="0" w:color="000000"/>
            </w:tcBorders>
          </w:tcPr>
          <w:p>
            <w:pPr>
              <w:jc w:val="center"/>
              <w:rPr>
                <w:color w:val="000000"/>
              </w:rPr>
            </w:pPr>
            <w:r>
              <w:rPr>
                <w:color w:val="000000"/>
              </w:rPr>
              <w:t>6.00</w:t>
            </w:r>
          </w:p>
        </w:tc>
        <w:tc>
          <w:tcPr>
            <w:tcW w:w="51.05pt" w:type="dxa"/>
            <w:tcBorders>
              <w:top w:val="single" w:sz="6" w:space="0" w:color="000000"/>
              <w:start w:val="single" w:sz="6" w:space="0" w:color="000000"/>
              <w:bottom w:val="single" w:sz="6" w:space="0" w:color="000000"/>
              <w:end w:val="single" w:sz="6" w:space="0" w:color="000000"/>
            </w:tcBorders>
          </w:tcPr>
          <w:p>
            <w:pPr>
              <w:jc w:val="center"/>
              <w:rPr>
                <w:color w:val="000000"/>
              </w:rPr>
            </w:pPr>
            <w:r>
              <w:rPr>
                <w:color w:val="000000"/>
              </w:rPr>
              <w:t>6.00</w:t>
            </w:r>
          </w:p>
        </w:tc>
        <w:tc>
          <w:tcPr>
            <w:tcW w:w="51.05pt" w:type="dxa"/>
            <w:tcBorders>
              <w:top w:val="single" w:sz="6" w:space="0" w:color="000000"/>
              <w:start w:val="single" w:sz="6" w:space="0" w:color="000000"/>
              <w:bottom w:val="single" w:sz="6" w:space="0" w:color="000000"/>
              <w:end w:val="single" w:sz="6" w:space="0" w:color="000000"/>
            </w:tcBorders>
          </w:tcPr>
          <w:p>
            <w:pPr>
              <w:jc w:val="center"/>
              <w:rPr>
                <w:color w:val="000000"/>
              </w:rPr>
            </w:pPr>
            <w:r>
              <w:rPr>
                <w:color w:val="000000"/>
              </w:rPr>
              <w:t>6.00</w:t>
            </w:r>
          </w:p>
        </w:tc>
        <w:tc>
          <w:tcPr>
            <w:tcW w:w="51.05pt" w:type="dxa"/>
            <w:tcBorders>
              <w:top w:val="single" w:sz="6" w:space="0" w:color="000000"/>
              <w:start w:val="single" w:sz="6" w:space="0" w:color="000000"/>
              <w:bottom w:val="single" w:sz="6" w:space="0" w:color="000000"/>
              <w:end w:val="single" w:sz="6" w:space="0" w:color="000000"/>
            </w:tcBorders>
          </w:tcPr>
          <w:p>
            <w:pPr>
              <w:jc w:val="center"/>
              <w:rPr>
                <w:color w:val="000000"/>
              </w:rPr>
            </w:pPr>
          </w:p>
        </w:tc>
        <w:tc>
          <w:tcPr>
            <w:tcW w:w="51.05pt" w:type="dxa"/>
            <w:tcBorders>
              <w:top w:val="single" w:sz="6" w:space="0" w:color="000000"/>
              <w:start w:val="single" w:sz="6" w:space="0" w:color="000000"/>
              <w:bottom w:val="single" w:sz="6" w:space="0" w:color="000000"/>
              <w:end w:val="single" w:sz="6" w:space="0" w:color="000000"/>
            </w:tcBorders>
          </w:tcPr>
          <w:p>
            <w:pPr>
              <w:jc w:val="center"/>
              <w:rPr>
                <w:color w:val="000000"/>
              </w:rPr>
            </w:pPr>
          </w:p>
        </w:tc>
        <w:tc>
          <w:tcPr>
            <w:tcW w:w="51.05pt" w:type="dxa"/>
            <w:tcBorders>
              <w:start w:val="single" w:sz="6" w:space="0" w:color="000000"/>
              <w:bottom w:val="single" w:sz="6" w:space="0" w:color="000000"/>
              <w:end w:val="single" w:sz="6" w:space="0" w:color="000000"/>
            </w:tcBorders>
          </w:tcPr>
          <w:p>
            <w:pPr>
              <w:jc w:val="center"/>
              <w:rPr>
                <w:color w:val="000000"/>
              </w:rPr>
            </w:pPr>
          </w:p>
        </w:tc>
      </w:tr>
      <w:tr>
        <w:tblPrEx>
          <w:tblInd w:w="-7.1pt" w:type="dxa"/>
          <w:tblLayout w:type="fixed"/>
          <w:tblCellMar>
            <w:start w:w="0pt" w:type="dxa"/>
            <w:end w:w="0pt" w:type="dxa"/>
          </w:tblCellMar>
          <w:tblLook/>
        </w:tblPrEx>
        <w:trPr>
          <w:cantSplit/>
        </w:trPr>
        <w:tc>
          <w:tcPr>
            <w:tcW w:w="127.6pt" w:type="dxa"/>
            <w:tcBorders>
              <w:top w:val="single" w:sz="4" w:space="0" w:color="000000"/>
              <w:start w:val="single" w:sz="4" w:space="0" w:color="000000"/>
              <w:bottom w:val="single" w:sz="4" w:space="0" w:color="000000"/>
              <w:end w:val="single" w:sz="4" w:space="0" w:color="000000"/>
            </w:tcBorders>
          </w:tcPr>
          <w:p>
            <w:pPr>
              <w:rPr>
                <w:color w:val="000000"/>
              </w:rPr>
            </w:pPr>
          </w:p>
        </w:tc>
        <w:tc>
          <w:tcPr>
            <w:tcW w:w="51.05pt" w:type="dxa"/>
            <w:tcBorders>
              <w:top w:val="single" w:sz="6" w:space="0" w:color="000000"/>
              <w:start w:val="single" w:sz="6" w:space="0" w:color="000000"/>
              <w:end w:val="single" w:sz="6" w:space="0" w:color="000000"/>
            </w:tcBorders>
          </w:tcPr>
          <w:p>
            <w:pPr>
              <w:jc w:val="center"/>
              <w:rPr>
                <w:color w:val="000000"/>
              </w:rPr>
            </w:pPr>
          </w:p>
        </w:tc>
        <w:tc>
          <w:tcPr>
            <w:tcW w:w="51.05pt" w:type="dxa"/>
            <w:tcBorders>
              <w:top w:val="single" w:sz="6" w:space="0" w:color="000000"/>
              <w:start w:val="single" w:sz="6" w:space="0" w:color="000000"/>
              <w:end w:val="single" w:sz="6" w:space="0" w:color="000000"/>
            </w:tcBorders>
          </w:tcPr>
          <w:p>
            <w:pPr>
              <w:jc w:val="center"/>
              <w:rPr>
                <w:color w:val="000000"/>
              </w:rPr>
            </w:pPr>
          </w:p>
        </w:tc>
        <w:tc>
          <w:tcPr>
            <w:tcW w:w="51.05pt" w:type="dxa"/>
            <w:tcBorders>
              <w:top w:val="single" w:sz="6" w:space="0" w:color="000000"/>
              <w:start w:val="single" w:sz="6" w:space="0" w:color="000000"/>
              <w:end w:val="single" w:sz="6" w:space="0" w:color="000000"/>
            </w:tcBorders>
          </w:tcPr>
          <w:p>
            <w:pPr>
              <w:jc w:val="center"/>
              <w:rPr>
                <w:color w:val="000000"/>
              </w:rPr>
            </w:pPr>
          </w:p>
        </w:tc>
        <w:tc>
          <w:tcPr>
            <w:tcW w:w="51.05pt" w:type="dxa"/>
            <w:tcBorders>
              <w:top w:val="single" w:sz="6" w:space="0" w:color="000000"/>
              <w:start w:val="single" w:sz="6" w:space="0" w:color="000000"/>
              <w:end w:val="single" w:sz="6" w:space="0" w:color="000000"/>
            </w:tcBorders>
          </w:tcPr>
          <w:p>
            <w:pPr>
              <w:jc w:val="center"/>
              <w:rPr>
                <w:color w:val="000000"/>
              </w:rPr>
            </w:pPr>
          </w:p>
        </w:tc>
        <w:tc>
          <w:tcPr>
            <w:tcW w:w="51.05pt" w:type="dxa"/>
            <w:tcBorders>
              <w:top w:val="single" w:sz="6" w:space="0" w:color="000000"/>
              <w:start w:val="single" w:sz="6" w:space="0" w:color="000000"/>
              <w:end w:val="single" w:sz="6" w:space="0" w:color="000000"/>
            </w:tcBorders>
          </w:tcPr>
          <w:p>
            <w:pPr>
              <w:jc w:val="center"/>
              <w:rPr>
                <w:color w:val="000000"/>
              </w:rPr>
            </w:pPr>
          </w:p>
        </w:tc>
        <w:tc>
          <w:tcPr>
            <w:tcW w:w="51.05pt" w:type="dxa"/>
            <w:tcBorders>
              <w:top w:val="single" w:sz="6" w:space="0" w:color="000000"/>
              <w:start w:val="single" w:sz="6" w:space="0" w:color="000000"/>
              <w:end w:val="single" w:sz="6" w:space="0" w:color="000000"/>
            </w:tcBorders>
          </w:tcPr>
          <w:p>
            <w:pPr>
              <w:jc w:val="center"/>
              <w:rPr>
                <w:color w:val="000000"/>
              </w:rPr>
            </w:pPr>
          </w:p>
        </w:tc>
      </w:tr>
      <w:tr>
        <w:tblPrEx>
          <w:tblInd w:w="-7.1pt" w:type="dxa"/>
          <w:tblLayout w:type="fixed"/>
          <w:tblCellMar>
            <w:start w:w="0pt" w:type="dxa"/>
            <w:end w:w="0pt" w:type="dxa"/>
          </w:tblCellMar>
          <w:tblLook/>
        </w:tblPrEx>
        <w:trPr>
          <w:cantSplit/>
          <w:trHeight w:val="310"/>
        </w:trPr>
        <w:tc>
          <w:tcPr>
            <w:tcW w:w="127.6pt" w:type="dxa"/>
            <w:tcBorders>
              <w:start w:val="single" w:sz="6" w:space="0" w:color="000000"/>
              <w:bottom w:val="single" w:sz="4" w:space="0" w:color="auto"/>
              <w:end w:val="single" w:sz="6" w:space="0" w:color="000000"/>
            </w:tcBorders>
          </w:tcPr>
          <w:p>
            <w:pPr>
              <w:jc w:val="end"/>
              <w:rPr>
                <w:color w:val="000000"/>
              </w:rPr>
            </w:pPr>
            <w:r>
              <w:rPr>
                <w:color w:val="000000"/>
              </w:rPr>
              <w:t>Total</w:t>
            </w:r>
          </w:p>
        </w:tc>
        <w:tc>
          <w:tcPr>
            <w:tcW w:w="51.05pt" w:type="dxa"/>
            <w:tcBorders>
              <w:top w:val="single" w:sz="6" w:space="0" w:color="000000"/>
              <w:start w:val="single" w:sz="6" w:space="0" w:color="000000"/>
              <w:bottom w:val="single" w:sz="4" w:space="0" w:color="auto"/>
              <w:end w:val="single" w:sz="6" w:space="0" w:color="000000"/>
            </w:tcBorders>
          </w:tcPr>
          <w:p>
            <w:pPr>
              <w:jc w:val="center"/>
              <w:rPr>
                <w:color w:val="000000"/>
              </w:rPr>
            </w:pPr>
            <w:r>
              <w:rPr>
                <w:color w:val="000000"/>
              </w:rPr>
              <w:t>81.20</w:t>
            </w:r>
          </w:p>
        </w:tc>
        <w:tc>
          <w:tcPr>
            <w:tcW w:w="51.05pt" w:type="dxa"/>
            <w:tcBorders>
              <w:top w:val="single" w:sz="6" w:space="0" w:color="000000"/>
              <w:start w:val="single" w:sz="6" w:space="0" w:color="000000"/>
              <w:bottom w:val="single" w:sz="4" w:space="0" w:color="auto"/>
              <w:end w:val="single" w:sz="6" w:space="0" w:color="000000"/>
            </w:tcBorders>
          </w:tcPr>
          <w:p>
            <w:pPr>
              <w:jc w:val="center"/>
              <w:rPr>
                <w:color w:val="000000"/>
              </w:rPr>
            </w:pPr>
            <w:r>
              <w:rPr>
                <w:color w:val="000000"/>
              </w:rPr>
              <w:t>85.80</w:t>
            </w:r>
          </w:p>
        </w:tc>
        <w:tc>
          <w:tcPr>
            <w:tcW w:w="51.05pt" w:type="dxa"/>
            <w:tcBorders>
              <w:top w:val="single" w:sz="6" w:space="0" w:color="000000"/>
              <w:start w:val="single" w:sz="6" w:space="0" w:color="000000"/>
              <w:bottom w:val="single" w:sz="4" w:space="0" w:color="auto"/>
              <w:end w:val="single" w:sz="6" w:space="0" w:color="000000"/>
            </w:tcBorders>
          </w:tcPr>
          <w:p>
            <w:pPr>
              <w:jc w:val="center"/>
              <w:rPr>
                <w:color w:val="000000"/>
              </w:rPr>
            </w:pPr>
            <w:r>
              <w:rPr>
                <w:color w:val="000000"/>
              </w:rPr>
              <w:t>85.60</w:t>
            </w:r>
          </w:p>
        </w:tc>
        <w:tc>
          <w:tcPr>
            <w:tcW w:w="51.05pt" w:type="dxa"/>
            <w:tcBorders>
              <w:top w:val="single" w:sz="6" w:space="0" w:color="000000"/>
              <w:start w:val="single" w:sz="6" w:space="0" w:color="000000"/>
              <w:bottom w:val="single" w:sz="4" w:space="0" w:color="auto"/>
              <w:end w:val="single" w:sz="6" w:space="0" w:color="000000"/>
            </w:tcBorders>
          </w:tcPr>
          <w:p>
            <w:pPr>
              <w:jc w:val="center"/>
              <w:rPr>
                <w:color w:val="000000"/>
              </w:rPr>
            </w:pPr>
          </w:p>
        </w:tc>
        <w:tc>
          <w:tcPr>
            <w:tcW w:w="51.05pt" w:type="dxa"/>
            <w:tcBorders>
              <w:top w:val="single" w:sz="6" w:space="0" w:color="000000"/>
              <w:start w:val="single" w:sz="6" w:space="0" w:color="000000"/>
              <w:bottom w:val="single" w:sz="4" w:space="0" w:color="auto"/>
              <w:end w:val="single" w:sz="6" w:space="0" w:color="000000"/>
            </w:tcBorders>
          </w:tcPr>
          <w:p>
            <w:pPr>
              <w:jc w:val="center"/>
              <w:rPr>
                <w:color w:val="000000"/>
              </w:rPr>
            </w:pPr>
          </w:p>
        </w:tc>
        <w:tc>
          <w:tcPr>
            <w:tcW w:w="51.05pt" w:type="dxa"/>
            <w:tcBorders>
              <w:top w:val="single" w:sz="6" w:space="0" w:color="000000"/>
              <w:start w:val="single" w:sz="6" w:space="0" w:color="000000"/>
              <w:bottom w:val="single" w:sz="4" w:space="0" w:color="auto"/>
              <w:end w:val="single" w:sz="6" w:space="0" w:color="000000"/>
            </w:tcBorders>
          </w:tcPr>
          <w:p>
            <w:pPr>
              <w:jc w:val="center"/>
              <w:rPr>
                <w:color w:val="000000"/>
              </w:rPr>
            </w:pPr>
          </w:p>
        </w:tc>
      </w:tr>
    </w:tbl>
    <w:p/>
    <w:p>
      <w:pPr>
        <w:pStyle w:val="ZDate"/>
        <w:spacing w:after="360"/>
      </w:pPr>
      <w:r>
        <w:br w:type="page"/>
      </w:r>
      <w:r>
        <w:rPr>
          <w:rStyle w:val="HideTWBExt"/>
          <w:lang w:val="en-GB"/>
        </w:rPr>
        <w:t>&lt;Date&gt;</w:t>
      </w:r>
      <w:r>
        <w:rPr>
          <w:rStyle w:val="HideTWBInt"/>
        </w:rPr>
        <w:t>{20/01/2004}</w:t>
      </w:r>
      <w:r>
        <w:t>21 January 2004</w:t>
      </w:r>
      <w:r>
        <w:rPr>
          <w:rStyle w:val="HideTWBExt"/>
          <w:lang w:val="en-GB"/>
        </w:rPr>
        <w:t>&lt;/Date&gt;</w:t>
      </w:r>
    </w:p>
    <w:p>
      <w:pPr>
        <w:pStyle w:val="TypeDoc"/>
        <w:rPr>
          <w:sz w:val="28"/>
        </w:rPr>
      </w:pPr>
      <w:r>
        <w:rPr>
          <w:rStyle w:val="HideTWBExt"/>
          <w:sz w:val="28"/>
          <w:lang w:val="en-GB"/>
        </w:rPr>
        <w:t>&lt;</w:t>
      </w:r>
      <w:r>
        <w:rPr>
          <w:rStyle w:val="HideTWBExt"/>
          <w:b w:val="0"/>
          <w:sz w:val="28"/>
          <w:lang w:val="en-GB"/>
        </w:rPr>
        <w:t>TitreType</w:t>
      </w:r>
      <w:r>
        <w:rPr>
          <w:rStyle w:val="HideTWBExt"/>
          <w:sz w:val="28"/>
          <w:lang w:val="en-GB"/>
        </w:rPr>
        <w:t>&gt;</w:t>
      </w:r>
      <w:r>
        <w:rPr>
          <w:sz w:val="28"/>
        </w:rPr>
        <w:t>OPINION</w:t>
      </w:r>
      <w:r>
        <w:rPr>
          <w:rStyle w:val="HideTWBExt"/>
          <w:sz w:val="28"/>
          <w:lang w:val="en-GB"/>
        </w:rPr>
        <w:t>&lt;/</w:t>
      </w:r>
      <w:r>
        <w:rPr>
          <w:rStyle w:val="HideTWBExt"/>
          <w:b w:val="0"/>
          <w:sz w:val="28"/>
          <w:lang w:val="en-GB"/>
        </w:rPr>
        <w:t>TitreType</w:t>
      </w:r>
      <w:r>
        <w:rPr>
          <w:rStyle w:val="HideTWBExt"/>
          <w:sz w:val="28"/>
          <w:lang w:val="en-GB"/>
        </w:rPr>
        <w:t>&gt;</w:t>
      </w:r>
      <w:r>
        <w:rPr>
          <w:rStyle w:val="HideTWBExt"/>
          <w:vanish w:val="0"/>
          <w:sz w:val="28"/>
          <w:lang w:val="en-GB"/>
        </w:rPr>
        <w:t xml:space="preserve"> </w:t>
      </w:r>
      <w:r>
        <w:rPr>
          <w:rStyle w:val="HideTWBExt"/>
          <w:sz w:val="28"/>
          <w:lang w:val="en-GB"/>
        </w:rPr>
        <w:t>&lt;CommissionResp&gt;</w:t>
      </w:r>
      <w:r>
        <w:rPr>
          <w:sz w:val="28"/>
        </w:rPr>
        <w:t xml:space="preserve">OF THE </w:t>
      </w:r>
      <w:r>
        <w:rPr>
          <w:rStyle w:val="HideTWBInt"/>
          <w:sz w:val="28"/>
        </w:rPr>
        <w:t>{BUDG}</w:t>
      </w:r>
      <w:r>
        <w:rPr>
          <w:sz w:val="28"/>
        </w:rPr>
        <w:t>COMMITTEE ON BUDGETS</w:t>
      </w:r>
      <w:r>
        <w:rPr>
          <w:rStyle w:val="HideTWBExt"/>
          <w:sz w:val="28"/>
          <w:lang w:val="en-GB"/>
        </w:rPr>
        <w:t>&lt;/CommissionResp&gt;</w:t>
      </w:r>
    </w:p>
    <w:p>
      <w:pPr>
        <w:pStyle w:val="Cover24"/>
        <w:ind w:start="0"/>
      </w:pPr>
      <w:r>
        <w:rPr>
          <w:rStyle w:val="HideTWBExt"/>
          <w:lang w:val="en-GB"/>
        </w:rPr>
        <w:t>&lt;CommissionInt&gt;</w:t>
      </w:r>
      <w:r>
        <w:t xml:space="preserve">for the </w:t>
      </w:r>
      <w:r>
        <w:rPr>
          <w:rStyle w:val="HideTWBInt"/>
        </w:rPr>
        <w:t>{CULT}</w:t>
      </w:r>
      <w:r>
        <w:t>Committee on Culture, Youth, Education, the Media and Sport</w:t>
      </w:r>
      <w:r>
        <w:rPr>
          <w:rStyle w:val="HideTWBExt"/>
          <w:lang w:val="en-GB"/>
        </w:rPr>
        <w:t>&lt;/CommissionInt&gt;</w:t>
      </w:r>
    </w:p>
    <w:p>
      <w:pPr>
        <w:pStyle w:val="CoverNormal"/>
        <w:ind w:start="0"/>
      </w:pPr>
      <w:r>
        <w:rPr>
          <w:rStyle w:val="HideTWBExt"/>
          <w:lang w:val="en-GB"/>
        </w:rPr>
        <w:t>&lt;Titre&gt;</w:t>
      </w:r>
      <w:r>
        <w:t>on the proposal for a European Parliament and Council Decision modifying Council Decision 2000/821/EC of 20 December 2000 on the implementation of a programme to encourage the development, distribution and promotion of European audiovisual works (MEDIA Plus - Development, Distribution and Promotion)</w:t>
      </w:r>
      <w:r>
        <w:rPr>
          <w:rStyle w:val="HideTWBExt"/>
          <w:lang w:val="en-GB"/>
        </w:rPr>
        <w:t>&lt;/Titre&gt;</w:t>
      </w:r>
      <w:r>
        <w:t xml:space="preserve"> </w:t>
      </w:r>
    </w:p>
    <w:p>
      <w:pPr>
        <w:pStyle w:val="Cover24"/>
        <w:ind w:start="0"/>
      </w:pPr>
      <w:r>
        <w:rPr>
          <w:rStyle w:val="HideTWBExt"/>
          <w:lang w:val="en-GB"/>
        </w:rPr>
        <w:t>&lt;DocRef&gt;</w:t>
      </w:r>
      <w:r>
        <w:t>(COM(2003)191 – C5</w:t>
      </w:r>
      <w:r>
        <w:noBreakHyphen/>
        <w:t>0177/2003 – 2003/0067(COD))</w:t>
      </w:r>
      <w:r>
        <w:rPr>
          <w:rStyle w:val="HideTWBExt"/>
          <w:lang w:val="en-GB"/>
        </w:rPr>
        <w:t>&lt;/DocRef&gt;</w:t>
      </w:r>
    </w:p>
    <w:p>
      <w:pPr>
        <w:pStyle w:val="Cover12"/>
        <w:ind w:start="0"/>
      </w:pPr>
      <w:r>
        <w:t xml:space="preserve"> Draftsmen: </w:t>
      </w:r>
      <w:r>
        <w:rPr>
          <w:rStyle w:val="HideTWBExt"/>
          <w:lang w:val="en-GB"/>
        </w:rPr>
        <w:t>&lt;Depute&gt;</w:t>
      </w:r>
      <w:r>
        <w:t>Reimer Böge and Joan Colom i Naval</w:t>
      </w:r>
      <w:r>
        <w:rPr>
          <w:rStyle w:val="HideTWBExt"/>
          <w:lang w:val="en-GB"/>
        </w:rPr>
        <w:t>&lt;/Depute&gt;</w:t>
      </w:r>
    </w:p>
    <w:p>
      <w:pPr>
        <w:widowControl/>
        <w:tabs>
          <w:tab w:val="center" w:pos="4677"/>
        </w:tabs>
        <w:jc w:val="both"/>
      </w:pPr>
    </w:p>
    <w:p>
      <w:pPr>
        <w:pStyle w:val="PageHeadingNotTOC"/>
      </w:pPr>
      <w:bookmarkStart w:id="7" w:name="_Toc26759887"/>
      <w:r>
        <w:t xml:space="preserve"> </w:t>
      </w:r>
      <w:bookmarkEnd w:id="7"/>
      <w:r>
        <w:t xml:space="preserve">PROCEDURE </w:t>
      </w:r>
    </w:p>
    <w:p>
      <w:pPr>
        <w:pStyle w:val="Normal12"/>
      </w:pPr>
      <w:r>
        <w:t xml:space="preserve">The </w:t>
      </w:r>
      <w:r>
        <w:rPr>
          <w:rStyle w:val="HideTWBInt"/>
        </w:rPr>
        <w:t>{BUDG}</w:t>
      </w:r>
      <w:r>
        <w:t xml:space="preserve">Committee on Budgets appointed Reimer Böge and Joan Colom i Naval draftsmen at its meeting of </w:t>
      </w:r>
      <w:r>
        <w:rPr>
          <w:rStyle w:val="HideTWBInt"/>
        </w:rPr>
        <w:t>{22/05/2003}</w:t>
      </w:r>
      <w:r>
        <w:t>22 May 2003.</w:t>
      </w:r>
    </w:p>
    <w:p>
      <w:pPr>
        <w:pStyle w:val="Normal12"/>
      </w:pPr>
      <w:r>
        <w:t>It considered the draft opinion at its meeting of 20 January 2004.</w:t>
      </w:r>
    </w:p>
    <w:p>
      <w:pPr>
        <w:pStyle w:val="Normal12"/>
      </w:pPr>
      <w:r>
        <w:t>At the last meeting it adopted the following amendments unanimously.</w:t>
      </w:r>
    </w:p>
    <w:p>
      <w:pPr>
        <w:pStyle w:val="Normal12"/>
      </w:pPr>
      <w:r>
        <w:t>The following were present for the vote: Terence Wynn (chairman, Reimer Böge (vice-chairman and draftsman), Anne Elisabet Jensen (vice-chairwoman), Franz Turchi (vice-chairman), Joan Colom i Naval (co-draftsman), Den Dover, Bárbara Dührkop Dührkop, Göran Färm, Catherine Guy-Quint, María Esther Herranz García, Esko Olavi Seppänen, Kyösti Tapio Virrankoski and Ralf Walter.</w:t>
      </w:r>
    </w:p>
    <w:p>
      <w:pPr>
        <w:pStyle w:val="PageHeadingNotTOC"/>
      </w:pPr>
      <w:r>
        <w:br w:type="page"/>
        <w:t>SHORT JUSTIFICATION</w:t>
      </w:r>
    </w:p>
    <w:p>
      <w:pPr>
        <w:pStyle w:val="Normal12"/>
        <w:widowControl/>
        <w:rPr>
          <w:b/>
        </w:rPr>
      </w:pPr>
      <w:r>
        <w:rPr>
          <w:rStyle w:val="HideTWBExt"/>
          <w:lang w:val="en-GB"/>
        </w:rPr>
        <w:t>&lt;OptDelPrev&gt;</w:t>
      </w:r>
      <w:r>
        <w:t xml:space="preserve"> </w:t>
      </w:r>
      <w:r>
        <w:rPr>
          <w:rStyle w:val="HideTWBExt"/>
          <w:lang w:val="en-GB"/>
        </w:rPr>
        <w:t>&lt;</w:t>
      </w:r>
      <w:r>
        <w:rPr>
          <w:b/>
        </w:rPr>
        <w:t>Background</w:t>
      </w:r>
    </w:p>
    <w:p>
      <w:pPr>
        <w:pStyle w:val="Normal12"/>
        <w:widowControl/>
        <w:ind w:start="425" w:hanging="425"/>
      </w:pPr>
      <w:r>
        <w:t>1.</w:t>
        <w:tab/>
        <w:t>The MEDIA Plus programme is due to expire on 31 December 2005. It has had a duration of five years (2001 - 2005) with an overall budget of 350 million euro for EU 15.</w:t>
      </w:r>
    </w:p>
    <w:p>
      <w:pPr>
        <w:pStyle w:val="Normal12"/>
        <w:widowControl/>
        <w:ind w:start="425" w:hanging="425"/>
      </w:pPr>
      <w:r>
        <w:t>2.</w:t>
        <w:tab/>
        <w:t>This programme comes to an end at a time when there will be major changes for the future structure and functioning of the European Union. A possible follow-up programme will certainly need to adapt to these changes, although the extent and shape of these future modifications cannot be predicted accurately, as yet.</w:t>
      </w:r>
    </w:p>
    <w:p>
      <w:pPr>
        <w:pStyle w:val="Normal12"/>
        <w:widowControl/>
        <w:ind w:start="425" w:hanging="425"/>
      </w:pPr>
      <w:r>
        <w:t>3.</w:t>
        <w:tab/>
        <w:t>In this situation, in order to provide for continuity of Community support for the audio-visual sector, the Commission proposes the prolongation of the programme for one year.</w:t>
      </w:r>
    </w:p>
    <w:p>
      <w:pPr>
        <w:pStyle w:val="Normal12"/>
        <w:widowControl/>
        <w:ind w:start="425" w:hanging="425"/>
      </w:pPr>
      <w:r>
        <w:t>4.</w:t>
        <w:tab/>
        <w:t xml:space="preserve">This approach will enable the Commission to prepare a proposal for a new programme for Community support for the audio-visual sector, on the basis of the evaluation foreseen in the Decision establishing the original programme. </w:t>
      </w:r>
    </w:p>
    <w:p>
      <w:pPr>
        <w:pStyle w:val="Normal12"/>
        <w:widowControl/>
        <w:ind w:start="425" w:hanging="425"/>
        <w:rPr>
          <w:b/>
        </w:rPr>
      </w:pPr>
      <w:r>
        <w:rPr>
          <w:b/>
        </w:rPr>
        <w:t>Financial impact</w:t>
      </w:r>
    </w:p>
    <w:p>
      <w:pPr>
        <w:pStyle w:val="Normal12"/>
        <w:widowControl/>
        <w:ind w:start="425" w:hanging="425"/>
      </w:pPr>
      <w:r>
        <w:t>5.</w:t>
        <w:tab/>
        <w:t>The total budgetary impact of the proposal over the year concerned, 2006, is 85.6 million euro, which increases the original financial reference amount of 350m euro to a total of 435.6m euro for the full duration of the programme.</w:t>
      </w:r>
    </w:p>
    <w:p>
      <w:pPr>
        <w:widowControl/>
        <w:spacing w:before="120" w:after="120"/>
        <w:ind w:start="357" w:hanging="357"/>
      </w:pPr>
      <w:r>
        <w:t>6.</w:t>
        <w:tab/>
        <w:t>In addition, following the revision of heading 3 of the financial perspective in view of enlargement an amount of 18 m euro was proposed by the Commission to be added to the programme's overall budget for EU 10 after enlargement. This brings the overall financial reference amount for the full duration of the programme (2001 - 2006), as amended by the current proposal, up to a total of 453.6m euro (</w:t>
      </w:r>
      <w:r>
        <w:rPr>
          <w:i/>
        </w:rPr>
        <w:t>Amendment 3</w:t>
      </w:r>
      <w:r>
        <w:t>).</w:t>
      </w:r>
    </w:p>
    <w:p>
      <w:pPr>
        <w:pStyle w:val="Normal12"/>
        <w:widowControl/>
        <w:spacing w:before="120" w:after="120"/>
        <w:ind w:start="357" w:hanging="357"/>
      </w:pPr>
      <w:r>
        <w:t>7.</w:t>
        <w:tab/>
        <w:t xml:space="preserve"> The following table gives an overview over the breakdown of the final reference amount for the full duration of the programme for EU 25:</w:t>
      </w:r>
    </w:p>
    <w:p>
      <w:pPr>
        <w:pStyle w:val="Normal12"/>
        <w:widowControl/>
        <w:spacing w:after="0"/>
        <w:ind w:start="357" w:hanging="357"/>
        <w:jc w:val="both"/>
      </w:pPr>
    </w:p>
    <w:tbl>
      <w:tblPr>
        <w:tblInd w:w="26.7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
      <w:tblGrid>
        <w:gridCol w:w="1842"/>
        <w:gridCol w:w="1843"/>
        <w:gridCol w:w="1843"/>
        <w:gridCol w:w="3118"/>
      </w:tblGrid>
      <w:tr>
        <w:tblPrEx>
          <w:tblInd w:w="26.7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Ex>
        <w:tc>
          <w:tcPr>
            <w:tcW w:w="92.1pt" w:type="dxa"/>
            <w:vAlign w:val="center"/>
          </w:tcPr>
          <w:p>
            <w:pPr>
              <w:pStyle w:val="Normal12"/>
              <w:widowControl/>
              <w:spacing w:after="0"/>
              <w:jc w:val="center"/>
              <w:rPr>
                <w:b/>
              </w:rPr>
            </w:pPr>
            <w:r>
              <w:rPr>
                <w:b/>
              </w:rPr>
              <w:t>EU 10 / EU 15</w:t>
            </w:r>
          </w:p>
        </w:tc>
        <w:tc>
          <w:tcPr>
            <w:tcW w:w="92.15pt" w:type="dxa"/>
          </w:tcPr>
          <w:p>
            <w:pPr>
              <w:pStyle w:val="Normal12"/>
              <w:widowControl/>
              <w:spacing w:after="0"/>
              <w:jc w:val="center"/>
              <w:rPr>
                <w:b/>
              </w:rPr>
            </w:pPr>
            <w:r>
              <w:rPr>
                <w:b/>
              </w:rPr>
              <w:t>Period</w:t>
            </w:r>
          </w:p>
        </w:tc>
        <w:tc>
          <w:tcPr>
            <w:tcW w:w="92.15pt" w:type="dxa"/>
          </w:tcPr>
          <w:p>
            <w:pPr>
              <w:pStyle w:val="Normal12"/>
              <w:widowControl/>
              <w:spacing w:after="0"/>
              <w:jc w:val="center"/>
              <w:rPr>
                <w:b/>
              </w:rPr>
            </w:pPr>
            <w:r>
              <w:rPr>
                <w:b/>
              </w:rPr>
              <w:t>Amount</w:t>
            </w:r>
          </w:p>
        </w:tc>
        <w:tc>
          <w:tcPr>
            <w:tcW w:w="155.9pt" w:type="dxa"/>
          </w:tcPr>
          <w:p>
            <w:pPr>
              <w:pStyle w:val="Normal12"/>
              <w:widowControl/>
              <w:spacing w:after="0"/>
              <w:jc w:val="center"/>
              <w:rPr>
                <w:b/>
              </w:rPr>
            </w:pPr>
            <w:r>
              <w:rPr>
                <w:b/>
              </w:rPr>
              <w:t>Basis</w:t>
            </w:r>
          </w:p>
        </w:tc>
      </w:tr>
      <w:tr>
        <w:tblPrEx>
          <w:tblInd w:w="26.7pt" w:type="dxa"/>
          <w:tblLayout w:type="fixed"/>
          <w:tblCellMar>
            <w:start w:w="5.4pt" w:type="dxa"/>
            <w:end w:w="5.4pt" w:type="dxa"/>
          </w:tblCellMar>
          <w:tblLook/>
        </w:tblPrEx>
        <w:tc>
          <w:tcPr>
            <w:tcW w:w="92.1pt" w:type="dxa"/>
          </w:tcPr>
          <w:p>
            <w:pPr>
              <w:pStyle w:val="Normal12"/>
              <w:widowControl/>
              <w:spacing w:before="120" w:after="120"/>
              <w:jc w:val="center"/>
            </w:pPr>
            <w:r>
              <w:t>EU 15</w:t>
            </w:r>
          </w:p>
        </w:tc>
        <w:tc>
          <w:tcPr>
            <w:tcW w:w="92.15pt" w:type="dxa"/>
          </w:tcPr>
          <w:p>
            <w:pPr>
              <w:pStyle w:val="Normal12"/>
              <w:widowControl/>
              <w:spacing w:before="120" w:after="120"/>
              <w:jc w:val="center"/>
            </w:pPr>
            <w:r>
              <w:t>2001 - 2005</w:t>
            </w:r>
          </w:p>
        </w:tc>
        <w:tc>
          <w:tcPr>
            <w:tcW w:w="92.15pt" w:type="dxa"/>
          </w:tcPr>
          <w:p>
            <w:pPr>
              <w:pStyle w:val="Normal12"/>
              <w:widowControl/>
              <w:spacing w:before="120" w:after="120"/>
              <w:jc w:val="center"/>
            </w:pPr>
            <w:r>
              <w:t>350 m</w:t>
            </w:r>
          </w:p>
        </w:tc>
        <w:tc>
          <w:tcPr>
            <w:tcW w:w="155.9pt" w:type="dxa"/>
          </w:tcPr>
          <w:p>
            <w:pPr>
              <w:pStyle w:val="Normal12"/>
              <w:widowControl/>
              <w:spacing w:before="120" w:after="120"/>
              <w:rPr>
                <w:sz w:val="20"/>
              </w:rPr>
            </w:pPr>
            <w:r>
              <w:rPr>
                <w:sz w:val="20"/>
              </w:rPr>
              <w:t>financial reference amount of the initial MEDIA Plus programme</w:t>
            </w:r>
          </w:p>
        </w:tc>
      </w:tr>
      <w:tr>
        <w:tblPrEx>
          <w:tblInd w:w="26.7pt" w:type="dxa"/>
          <w:tblLayout w:type="fixed"/>
          <w:tblCellMar>
            <w:start w:w="5.4pt" w:type="dxa"/>
            <w:end w:w="5.4pt" w:type="dxa"/>
          </w:tblCellMar>
          <w:tblLook/>
        </w:tblPrEx>
        <w:tc>
          <w:tcPr>
            <w:tcW w:w="92.1pt" w:type="dxa"/>
          </w:tcPr>
          <w:p>
            <w:pPr>
              <w:pStyle w:val="Normal12"/>
              <w:widowControl/>
              <w:spacing w:before="120" w:after="120"/>
              <w:jc w:val="center"/>
            </w:pPr>
            <w:r>
              <w:t>EU 10</w:t>
            </w:r>
          </w:p>
        </w:tc>
        <w:tc>
          <w:tcPr>
            <w:tcW w:w="92.15pt" w:type="dxa"/>
          </w:tcPr>
          <w:p>
            <w:pPr>
              <w:pStyle w:val="Normal12"/>
              <w:widowControl/>
              <w:spacing w:before="120" w:after="120"/>
              <w:jc w:val="center"/>
            </w:pPr>
            <w:r>
              <w:t>2004</w:t>
            </w:r>
          </w:p>
        </w:tc>
        <w:tc>
          <w:tcPr>
            <w:tcW w:w="92.15pt" w:type="dxa"/>
          </w:tcPr>
          <w:p>
            <w:pPr>
              <w:pStyle w:val="Normal12"/>
              <w:widowControl/>
              <w:spacing w:before="120" w:after="120"/>
              <w:jc w:val="center"/>
            </w:pPr>
            <w:r>
              <w:t>8.3 m</w:t>
            </w:r>
          </w:p>
        </w:tc>
        <w:tc>
          <w:tcPr>
            <w:tcW w:w="155.9pt" w:type="dxa"/>
          </w:tcPr>
          <w:p>
            <w:pPr>
              <w:pStyle w:val="Normal12"/>
              <w:widowControl/>
              <w:spacing w:before="120" w:after="120"/>
              <w:rPr>
                <w:sz w:val="20"/>
              </w:rPr>
            </w:pPr>
            <w:r>
              <w:rPr>
                <w:sz w:val="20"/>
              </w:rPr>
              <w:t>share of the additional amount for EU 10 foreseen by the revision of the financial perspective in view of enlargement, already decided by the budgetary authority in the budget 2004 (see point 8)</w:t>
            </w:r>
          </w:p>
        </w:tc>
      </w:tr>
      <w:tr>
        <w:tblPrEx>
          <w:tblInd w:w="26.7pt" w:type="dxa"/>
          <w:tblLayout w:type="fixed"/>
          <w:tblCellMar>
            <w:start w:w="5.4pt" w:type="dxa"/>
            <w:end w:w="5.4pt" w:type="dxa"/>
          </w:tblCellMar>
          <w:tblLook/>
        </w:tblPrEx>
        <w:tc>
          <w:tcPr>
            <w:tcW w:w="92.1pt" w:type="dxa"/>
          </w:tcPr>
          <w:p>
            <w:pPr>
              <w:pStyle w:val="Normal12"/>
              <w:widowControl/>
              <w:spacing w:before="120" w:after="120"/>
              <w:jc w:val="center"/>
            </w:pPr>
            <w:r>
              <w:t>EU 10</w:t>
            </w:r>
          </w:p>
        </w:tc>
        <w:tc>
          <w:tcPr>
            <w:tcW w:w="92.15pt" w:type="dxa"/>
          </w:tcPr>
          <w:p>
            <w:pPr>
              <w:pStyle w:val="Normal12"/>
              <w:widowControl/>
              <w:spacing w:before="120" w:after="120"/>
              <w:jc w:val="center"/>
            </w:pPr>
            <w:r>
              <w:t>2005</w:t>
            </w:r>
          </w:p>
        </w:tc>
        <w:tc>
          <w:tcPr>
            <w:tcW w:w="92.15pt" w:type="dxa"/>
          </w:tcPr>
          <w:p>
            <w:pPr>
              <w:pStyle w:val="Normal12"/>
              <w:widowControl/>
              <w:spacing w:before="120" w:after="120"/>
              <w:jc w:val="center"/>
            </w:pPr>
            <w:r>
              <w:t>9.7 m</w:t>
            </w:r>
          </w:p>
        </w:tc>
        <w:tc>
          <w:tcPr>
            <w:tcW w:w="155.9pt" w:type="dxa"/>
          </w:tcPr>
          <w:p>
            <w:pPr>
              <w:pStyle w:val="Normal12"/>
              <w:widowControl/>
              <w:spacing w:before="120" w:after="120"/>
              <w:rPr>
                <w:sz w:val="20"/>
              </w:rPr>
            </w:pPr>
            <w:r>
              <w:rPr>
                <w:sz w:val="20"/>
              </w:rPr>
              <w:t>remaining share of the additional amount for EU 10, as foreseen by the revision of the financial perspective in view of enlargement (see point 8)</w:t>
            </w:r>
          </w:p>
        </w:tc>
      </w:tr>
      <w:tr>
        <w:tblPrEx>
          <w:tblInd w:w="26.7pt" w:type="dxa"/>
          <w:tblLayout w:type="fixed"/>
          <w:tblCellMar>
            <w:start w:w="5.4pt" w:type="dxa"/>
            <w:end w:w="5.4pt" w:type="dxa"/>
          </w:tblCellMar>
          <w:tblLook/>
        </w:tblPrEx>
        <w:tc>
          <w:tcPr>
            <w:tcW w:w="92.1pt" w:type="dxa"/>
          </w:tcPr>
          <w:p>
            <w:pPr>
              <w:pStyle w:val="Normal12"/>
              <w:widowControl/>
              <w:spacing w:before="120" w:after="120"/>
              <w:jc w:val="center"/>
            </w:pPr>
            <w:r>
              <w:t>EU 25</w:t>
            </w:r>
          </w:p>
        </w:tc>
        <w:tc>
          <w:tcPr>
            <w:tcW w:w="92.15pt" w:type="dxa"/>
          </w:tcPr>
          <w:p>
            <w:pPr>
              <w:pStyle w:val="Normal12"/>
              <w:widowControl/>
              <w:spacing w:before="120" w:after="120"/>
              <w:jc w:val="center"/>
            </w:pPr>
            <w:r>
              <w:t>2006</w:t>
            </w:r>
          </w:p>
        </w:tc>
        <w:tc>
          <w:tcPr>
            <w:tcW w:w="92.15pt" w:type="dxa"/>
          </w:tcPr>
          <w:p>
            <w:pPr>
              <w:pStyle w:val="Normal12"/>
              <w:widowControl/>
              <w:spacing w:before="120" w:after="120"/>
              <w:jc w:val="center"/>
            </w:pPr>
            <w:r>
              <w:t>85.6 m</w:t>
            </w:r>
          </w:p>
        </w:tc>
        <w:tc>
          <w:tcPr>
            <w:tcW w:w="155.9pt" w:type="dxa"/>
          </w:tcPr>
          <w:p>
            <w:pPr>
              <w:pStyle w:val="Normal12"/>
              <w:widowControl/>
              <w:spacing w:before="120" w:after="120"/>
              <w:rPr>
                <w:sz w:val="20"/>
              </w:rPr>
            </w:pPr>
            <w:r>
              <w:rPr>
                <w:sz w:val="20"/>
              </w:rPr>
              <w:t>additional amount for the extension of the programme as indicated by the current proposal, for EU 25</w:t>
            </w:r>
          </w:p>
        </w:tc>
      </w:tr>
      <w:tr>
        <w:tblPrEx>
          <w:tblInd w:w="26.7pt" w:type="dxa"/>
          <w:tblLayout w:type="fixed"/>
          <w:tblCellMar>
            <w:start w:w="5.4pt" w:type="dxa"/>
            <w:end w:w="5.4pt" w:type="dxa"/>
          </w:tblCellMar>
          <w:tblLook/>
        </w:tblPrEx>
        <w:tc>
          <w:tcPr>
            <w:tcW w:w="92.1pt" w:type="dxa"/>
          </w:tcPr>
          <w:p>
            <w:pPr>
              <w:pStyle w:val="Normal12"/>
              <w:widowControl/>
              <w:spacing w:before="120" w:after="120"/>
              <w:jc w:val="center"/>
              <w:rPr>
                <w:b/>
              </w:rPr>
            </w:pPr>
            <w:r>
              <w:rPr>
                <w:b/>
              </w:rPr>
              <w:t>TOTAL</w:t>
            </w:r>
          </w:p>
        </w:tc>
        <w:tc>
          <w:tcPr>
            <w:tcW w:w="92.15pt" w:type="dxa"/>
          </w:tcPr>
          <w:p>
            <w:pPr>
              <w:pStyle w:val="Normal12"/>
              <w:widowControl/>
              <w:spacing w:before="120" w:after="120"/>
              <w:jc w:val="center"/>
              <w:rPr>
                <w:b/>
              </w:rPr>
            </w:pPr>
            <w:r>
              <w:rPr>
                <w:b/>
              </w:rPr>
              <w:t>2001 - 2006</w:t>
            </w:r>
          </w:p>
        </w:tc>
        <w:tc>
          <w:tcPr>
            <w:tcW w:w="92.15pt" w:type="dxa"/>
          </w:tcPr>
          <w:p>
            <w:pPr>
              <w:pStyle w:val="Normal12"/>
              <w:widowControl/>
              <w:spacing w:before="120" w:after="120"/>
              <w:jc w:val="center"/>
              <w:rPr>
                <w:b/>
              </w:rPr>
            </w:pPr>
            <w:r>
              <w:rPr>
                <w:b/>
              </w:rPr>
              <w:t>453.6 m</w:t>
            </w:r>
          </w:p>
        </w:tc>
        <w:tc>
          <w:tcPr>
            <w:tcW w:w="155.9pt" w:type="dxa"/>
          </w:tcPr>
          <w:p>
            <w:pPr>
              <w:pStyle w:val="Normal12"/>
              <w:widowControl/>
              <w:spacing w:before="120" w:after="120"/>
              <w:jc w:val="center"/>
              <w:rPr>
                <w:b/>
              </w:rPr>
            </w:pPr>
            <w:r>
              <w:rPr>
                <w:b/>
              </w:rPr>
              <w:t>EU 25</w:t>
            </w:r>
          </w:p>
        </w:tc>
      </w:tr>
    </w:tbl>
    <w:p>
      <w:pPr>
        <w:pStyle w:val="Normal12"/>
        <w:widowControl/>
        <w:ind w:start="425" w:hanging="425"/>
      </w:pPr>
    </w:p>
    <w:p>
      <w:pPr>
        <w:widowControl/>
        <w:spacing w:before="120" w:after="120"/>
        <w:ind w:start="357" w:hanging="357"/>
      </w:pPr>
      <w:r>
        <w:t>8.</w:t>
        <w:tab/>
        <w:t xml:space="preserve"> Out of the additional 18m euro for enlargement, 8.3m euro have already been foreseen by the budgetary authority in the budget 2004 for EU 10. The remaining 9.7m euro will have to be formally agreed upon by the budgetary authority in the budget for 2005.</w:t>
      </w:r>
    </w:p>
    <w:p>
      <w:pPr>
        <w:widowControl/>
        <w:spacing w:before="120" w:after="120"/>
        <w:ind w:start="357" w:hanging="357"/>
      </w:pPr>
      <w:r>
        <w:t>9.</w:t>
        <w:tab/>
        <w:t>If the legislative authority endorses the resulting total reference amount of 453.6m euro it means that it also agrees to the full additional amount of 18m euro for enlargement.</w:t>
      </w:r>
    </w:p>
    <w:p>
      <w:pPr>
        <w:pStyle w:val="Normal12"/>
        <w:widowControl/>
        <w:spacing w:before="120" w:after="120"/>
        <w:ind w:start="357" w:hanging="357"/>
      </w:pPr>
      <w:r>
        <w:t>10.</w:t>
        <w:tab/>
        <w:t>This procedure has become necessary by the fact that, other than with the MEDIA Training programme, the MEDIA Plus programme was not among the programmes that were jointly negotiated ("co-decision package") for new reference amounts in order to take account of enlargement (and consequently not included in the Commission's proposal for amending the reference amounts COM (2003) 777) because it only came under co-decision under the Treaty of Nice whose provisions entered into force on 1 February 2003. The original MEDIA Plus programme was adopted under the consultation procedure.</w:t>
      </w:r>
    </w:p>
    <w:p>
      <w:pPr>
        <w:pStyle w:val="Normal12"/>
        <w:widowControl/>
        <w:spacing w:before="120" w:after="120"/>
        <w:ind w:start="357" w:hanging="357"/>
      </w:pPr>
      <w:r>
        <w:t>11.</w:t>
        <w:tab/>
        <w:t>In the light of the above breakdown of the figures for EU 25, the following table shows the schedule of commitment appropriations of the last two years of the original programme (2004/2005) and of the proposed prolongation (2006) (in euro million):</w:t>
      </w:r>
    </w:p>
    <w:p>
      <w:pPr>
        <w:pStyle w:val="Normal12"/>
        <w:widowControl/>
        <w:spacing w:after="0"/>
        <w:ind w:start="357" w:hanging="357"/>
        <w:jc w:val="both"/>
      </w:pPr>
    </w:p>
    <w:tbl>
      <w:tblPr>
        <w:jc w:val="center"/>
        <w:tblInd w:w="-74.6pt" w:type="dxa"/>
        <w:tblLayout w:type="fixed"/>
        <w:tblCellMar>
          <w:start w:w="5.4pt" w:type="dxa"/>
          <w:end w:w="5.4pt" w:type="dxa"/>
        </w:tblCellMar>
        <w:tblLook/>
      </w:tblPr>
      <w:tblGrid>
        <w:gridCol w:w="2893"/>
        <w:gridCol w:w="964"/>
        <w:gridCol w:w="964"/>
        <w:gridCol w:w="1418"/>
      </w:tblGrid>
      <w:tr>
        <w:tblPrEx>
          <w:jc w:val="center"/>
          <w:tblInd w:w="-74.6pt" w:type="dxa"/>
          <w:tblLayout w:type="fixed"/>
          <w:tblCellMar>
            <w:start w:w="5.4pt" w:type="dxa"/>
            <w:end w:w="5.4pt" w:type="dxa"/>
          </w:tblCellMar>
          <w:tblLook/>
        </w:tblPrEx>
        <w:trPr>
          <w:cantSplit/>
          <w:jc w:val="center"/>
        </w:trPr>
        <w:tc>
          <w:tcPr>
            <w:tcW w:w="144.65pt" w:type="dxa"/>
            <w:tcBorders>
              <w:top w:val="single" w:sz="6" w:space="0" w:color="auto"/>
              <w:start w:val="single" w:sz="6" w:space="0" w:color="auto"/>
              <w:bottom w:val="single" w:sz="6" w:space="0" w:color="auto"/>
              <w:end w:val="single" w:sz="6" w:space="0" w:color="auto"/>
            </w:tcBorders>
            <w:shd w:val="clear" w:color="auto" w:fill="auto"/>
          </w:tcPr>
          <w:p>
            <w:pPr>
              <w:pStyle w:val="NormalLeft"/>
              <w:rPr>
                <w:b/>
              </w:rPr>
            </w:pPr>
            <w:r>
              <w:rPr>
                <w:b/>
              </w:rPr>
              <w:t xml:space="preserve">MEDIA Plus </w:t>
            </w:r>
          </w:p>
        </w:tc>
        <w:tc>
          <w:tcPr>
            <w:tcW w:w="48.2pt" w:type="dxa"/>
            <w:tcBorders>
              <w:top w:val="single" w:sz="6" w:space="0" w:color="auto"/>
              <w:bottom w:val="single" w:sz="6" w:space="0" w:color="auto"/>
              <w:end w:val="single" w:sz="6" w:space="0" w:color="auto"/>
            </w:tcBorders>
            <w:shd w:val="clear" w:color="auto" w:fill="auto"/>
          </w:tcPr>
          <w:p>
            <w:pPr>
              <w:pStyle w:val="NormalLeft"/>
              <w:jc w:val="center"/>
              <w:rPr>
                <w:b/>
              </w:rPr>
            </w:pPr>
            <w:r>
              <w:rPr>
                <w:b/>
              </w:rPr>
              <w:t>2004</w:t>
            </w:r>
          </w:p>
        </w:tc>
        <w:tc>
          <w:tcPr>
            <w:tcW w:w="48.2pt" w:type="dxa"/>
            <w:tcBorders>
              <w:top w:val="single" w:sz="6" w:space="0" w:color="auto"/>
              <w:bottom w:val="single" w:sz="6" w:space="0" w:color="auto"/>
              <w:end w:val="single" w:sz="6" w:space="0" w:color="auto"/>
            </w:tcBorders>
            <w:shd w:val="clear" w:color="auto" w:fill="auto"/>
          </w:tcPr>
          <w:p>
            <w:pPr>
              <w:pStyle w:val="NormalLeft"/>
              <w:jc w:val="center"/>
              <w:rPr>
                <w:b/>
              </w:rPr>
            </w:pPr>
            <w:r>
              <w:rPr>
                <w:b/>
              </w:rPr>
              <w:t>2005</w:t>
            </w:r>
          </w:p>
        </w:tc>
        <w:tc>
          <w:tcPr>
            <w:tcW w:w="70.9pt" w:type="dxa"/>
            <w:tcBorders>
              <w:top w:val="single" w:sz="6" w:space="0" w:color="auto"/>
              <w:bottom w:val="single" w:sz="6" w:space="0" w:color="auto"/>
              <w:end w:val="single" w:sz="6" w:space="0" w:color="auto"/>
            </w:tcBorders>
            <w:shd w:val="clear" w:color="auto" w:fill="FFFF00"/>
          </w:tcPr>
          <w:p>
            <w:pPr>
              <w:pStyle w:val="NormalLeft"/>
              <w:jc w:val="center"/>
              <w:rPr>
                <w:b/>
              </w:rPr>
            </w:pPr>
            <w:r>
              <w:rPr>
                <w:b/>
              </w:rPr>
              <w:t>2006</w:t>
            </w:r>
          </w:p>
        </w:tc>
      </w:tr>
      <w:tr>
        <w:tblPrEx>
          <w:jc w:val="center"/>
          <w:tblInd w:w="-74.6pt" w:type="dxa"/>
          <w:tblLayout w:type="fixed"/>
          <w:tblCellMar>
            <w:start w:w="5.4pt" w:type="dxa"/>
            <w:end w:w="5.4pt" w:type="dxa"/>
          </w:tblCellMar>
          <w:tblLook/>
        </w:tblPrEx>
        <w:trPr>
          <w:cantSplit/>
          <w:jc w:val="center"/>
        </w:trPr>
        <w:tc>
          <w:tcPr>
            <w:tcW w:w="144.65pt" w:type="dxa"/>
            <w:tcBorders>
              <w:start w:val="single" w:sz="6" w:space="0" w:color="auto"/>
              <w:bottom w:val="single" w:sz="6" w:space="0" w:color="auto"/>
              <w:end w:val="single" w:sz="6" w:space="0" w:color="auto"/>
            </w:tcBorders>
            <w:shd w:val="clear" w:color="auto" w:fill="auto"/>
          </w:tcPr>
          <w:p>
            <w:pPr>
              <w:pStyle w:val="NormalLeft"/>
              <w:spacing w:before="0" w:after="0"/>
              <w:rPr>
                <w:b/>
              </w:rPr>
            </w:pPr>
            <w:r>
              <w:rPr>
                <w:b/>
              </w:rPr>
              <w:t>Commitments EU 25</w:t>
            </w:r>
          </w:p>
        </w:tc>
        <w:tc>
          <w:tcPr>
            <w:tcW w:w="48.2pt" w:type="dxa"/>
            <w:tcBorders>
              <w:bottom w:val="single" w:sz="6" w:space="0" w:color="auto"/>
              <w:end w:val="single" w:sz="6" w:space="0" w:color="auto"/>
            </w:tcBorders>
            <w:shd w:val="clear" w:color="auto" w:fill="auto"/>
          </w:tcPr>
          <w:p>
            <w:pPr>
              <w:pStyle w:val="NormalLeft"/>
              <w:spacing w:before="0" w:after="0"/>
              <w:jc w:val="center"/>
            </w:pPr>
            <w:r>
              <w:t>75.20</w:t>
            </w:r>
          </w:p>
        </w:tc>
        <w:tc>
          <w:tcPr>
            <w:tcW w:w="48.2pt" w:type="dxa"/>
            <w:tcBorders>
              <w:bottom w:val="single" w:sz="6" w:space="0" w:color="auto"/>
              <w:end w:val="single" w:sz="6" w:space="0" w:color="auto"/>
            </w:tcBorders>
            <w:shd w:val="clear" w:color="auto" w:fill="auto"/>
          </w:tcPr>
          <w:p>
            <w:pPr>
              <w:pStyle w:val="NormalLeft"/>
              <w:spacing w:before="0" w:after="0"/>
              <w:jc w:val="center"/>
            </w:pPr>
            <w:r>
              <w:t>79.80</w:t>
            </w:r>
          </w:p>
        </w:tc>
        <w:tc>
          <w:tcPr>
            <w:tcW w:w="70.9pt" w:type="dxa"/>
            <w:tcBorders>
              <w:top w:val="single" w:sz="6" w:space="0" w:color="auto"/>
              <w:bottom w:val="single" w:sz="6" w:space="0" w:color="auto"/>
              <w:end w:val="single" w:sz="6" w:space="0" w:color="auto"/>
            </w:tcBorders>
            <w:shd w:val="clear" w:color="auto" w:fill="FFFF00"/>
          </w:tcPr>
          <w:p>
            <w:pPr>
              <w:pStyle w:val="NormalLeft"/>
              <w:spacing w:before="0" w:after="0"/>
              <w:jc w:val="center"/>
            </w:pPr>
            <w:r>
              <w:t>85.6</w:t>
            </w:r>
          </w:p>
        </w:tc>
      </w:tr>
    </w:tbl>
    <w:p>
      <w:pPr>
        <w:pStyle w:val="Normal12"/>
        <w:widowControl/>
        <w:spacing w:after="0"/>
      </w:pPr>
    </w:p>
    <w:p>
      <w:pPr>
        <w:widowControl/>
        <w:spacing w:before="120" w:after="120"/>
        <w:ind w:start="357" w:hanging="357"/>
      </w:pPr>
      <w:r>
        <w:t>12.</w:t>
        <w:tab/>
        <w:t>Regarding the technical and administrative assistance costs for the additional year of the MEDIA Plus Programme, the Commission gives a figure of 6.0 m euro in commitments for 2006. This amounts to some 7% of the total foreseen for the programme, a share which is acceptable to your draftsmen.</w:t>
      </w:r>
    </w:p>
    <w:p>
      <w:pPr>
        <w:widowControl/>
        <w:spacing w:before="120" w:after="120"/>
        <w:ind w:start="357" w:hanging="357"/>
      </w:pPr>
      <w:r>
        <w:t>13.</w:t>
        <w:tab/>
        <w:t>The overall financial impact of the prolongation of MEDIA Plus of 85.6m euro seems to be in line with the development of commitments for MEDIA Plus up to 2005. Consequently, your draftsmen have no objections to the amount proposed.</w:t>
      </w:r>
    </w:p>
    <w:p>
      <w:pPr>
        <w:widowControl/>
        <w:spacing w:before="120" w:after="120"/>
        <w:ind w:start="357" w:hanging="357"/>
      </w:pPr>
      <w:r>
        <w:t>14.</w:t>
        <w:tab/>
        <w:t>It is also compatible with the current expenditure ceiling of Heading 3 of the financial perspective as adjusted for enlargement (</w:t>
      </w:r>
      <w:r>
        <w:rPr>
          <w:i/>
        </w:rPr>
        <w:t>Amendment 1</w:t>
      </w:r>
      <w:r>
        <w:t>).</w:t>
      </w:r>
    </w:p>
    <w:p>
      <w:pPr>
        <w:widowControl/>
        <w:spacing w:before="120" w:after="120"/>
        <w:ind w:start="357" w:hanging="357"/>
      </w:pPr>
      <w:r>
        <w:t>15.</w:t>
        <w:tab/>
        <w:t>If, in the course of the adoption of the decision, other amounts were to be proposed by the legislative authority, the budgetary authority would need to be consulted again according to article 63a) of the Rules of Procedure. In this case, the Committee on Budgets would re-examine the impact on the ceiling under the current financial perspective, according to the declaration of 20 July 2000.</w:t>
      </w:r>
    </w:p>
    <w:p>
      <w:pPr>
        <w:spacing w:after="240"/>
        <w:rPr>
          <w:b/>
        </w:rPr>
      </w:pPr>
    </w:p>
    <w:p>
      <w:pPr>
        <w:spacing w:before="120" w:after="120"/>
        <w:ind w:start="357" w:hanging="357"/>
        <w:rPr>
          <w:b/>
        </w:rPr>
      </w:pPr>
      <w:r>
        <w:rPr>
          <w:b/>
        </w:rPr>
        <w:t>Other aspects</w:t>
      </w:r>
    </w:p>
    <w:p>
      <w:pPr>
        <w:pStyle w:val="Normal12"/>
        <w:widowControl/>
        <w:spacing w:before="120" w:after="120"/>
        <w:ind w:start="357" w:hanging="357"/>
      </w:pPr>
      <w:r>
        <w:t>16.</w:t>
        <w:tab/>
        <w:t>With regard to the fact that the required mid-term evaluation report of MEDIA Plus has not yet been presented by the Commission, your draftsmen would like to point out once more that such mid-term - and final - assessment reports, delivered in time, are essential requirements for Parliament in order to be able to discuss and decide on proposed follow-up programmes (</w:t>
      </w:r>
      <w:r>
        <w:rPr>
          <w:i/>
        </w:rPr>
        <w:t>Amendment 2</w:t>
      </w:r>
      <w:r>
        <w:t>).</w:t>
      </w:r>
      <w:r>
        <w:rPr>
          <w:rStyle w:val="HideTWBExt"/>
          <w:lang w:val="en-GB"/>
        </w:rPr>
        <w:t>/OptDelPrev&gt;</w:t>
      </w:r>
    </w:p>
    <w:p>
      <w:pPr>
        <w:pStyle w:val="ConclusionsPA"/>
        <w:rPr>
          <w:lang w:val="en-GB"/>
        </w:rPr>
      </w:pPr>
      <w:r>
        <w:rPr>
          <w:lang w:val="en-GB"/>
        </w:rPr>
        <w:t>AMENDMENTS</w:t>
      </w:r>
    </w:p>
    <w:p>
      <w:pPr>
        <w:pStyle w:val="Normal12Tab"/>
      </w:pPr>
      <w:r>
        <w:t xml:space="preserve">The </w:t>
      </w:r>
      <w:r>
        <w:rPr>
          <w:rStyle w:val="HideTWBInt"/>
        </w:rPr>
        <w:t>{BUDG}</w:t>
      </w:r>
      <w:r>
        <w:t xml:space="preserve">Committee on Budgets calls on the </w:t>
      </w:r>
      <w:r>
        <w:rPr>
          <w:rStyle w:val="HideTWBInt"/>
        </w:rPr>
        <w:t>{CULT}</w:t>
      </w:r>
      <w:r>
        <w:t>Committee on Culture, Youth, Education, the Media and Sport, as the committee responsible, to incorporate the following amendments in its report:</w:t>
      </w:r>
    </w:p>
    <w:p>
      <w:pPr>
        <w:pStyle w:val="ConclusionsPA"/>
        <w:widowControl/>
        <w:rPr>
          <w:lang w:val="en-GB"/>
        </w:rPr>
      </w:pPr>
      <w:r>
        <w:rPr>
          <w:lang w:val="en-GB"/>
        </w:rPr>
        <w:t>AMENDMENT TO THE LEGISLATIVE RESOLUTION</w:t>
      </w:r>
    </w:p>
    <w:p>
      <w:pPr>
        <w:pStyle w:val="AMNumber"/>
        <w:widowControl/>
        <w:spacing w:before="120" w:after="240"/>
      </w:pPr>
      <w:r>
        <w:rPr>
          <w:rStyle w:val="HideTWBExt"/>
          <w:lang w:val="en-GB"/>
        </w:rPr>
        <w:t>&lt;Amend&gt;</w:t>
      </w:r>
      <w:r>
        <w:t xml:space="preserve">Amendment </w:t>
      </w:r>
      <w:r>
        <w:rPr>
          <w:rStyle w:val="HideTWBExt"/>
          <w:lang w:val="en-GB"/>
        </w:rPr>
        <w:t>&lt;NumAm&gt;</w:t>
      </w:r>
      <w:r>
        <w:t>1</w:t>
      </w:r>
      <w:r>
        <w:rPr>
          <w:rStyle w:val="HideTWBExt"/>
          <w:lang w:val="en-GB"/>
        </w:rPr>
        <w:t>&lt;/NumAm&gt;</w:t>
      </w:r>
    </w:p>
    <w:p>
      <w:pPr>
        <w:pStyle w:val="PageconclusionsphrasesPA"/>
        <w:widowControl/>
        <w:spacing w:before="120"/>
      </w:pPr>
      <w:r>
        <w:rPr>
          <w:i/>
        </w:rPr>
        <w:t>[The European Parliament]</w:t>
      </w:r>
    </w:p>
    <w:p>
      <w:pPr>
        <w:pStyle w:val="Normal12Tab"/>
      </w:pPr>
      <w:r>
        <w:rPr>
          <w:b/>
          <w:i/>
        </w:rPr>
        <w:t>Considers that the financial statement of the Commission proposal is compatible with the ceiling of heading 3 of the financial perspective without restricting other policies;</w:t>
      </w:r>
    </w:p>
    <w:tbl>
      <w:tblPr>
        <w:jc w:val="center"/>
        <w:tblLayout w:type="fixed"/>
        <w:tblCellMar>
          <w:start w:w="0pt" w:type="dxa"/>
          <w:end w:w="0pt" w:type="dxa"/>
        </w:tblCellMar>
        <w:tblLook/>
      </w:tblPr>
      <w:tblGrid>
        <w:gridCol w:w="4196"/>
        <w:gridCol w:w="680"/>
        <w:gridCol w:w="4196"/>
      </w:tblGrid>
      <w:tr>
        <w:tblPrEx>
          <w:jc w:val="center"/>
          <w:tblLayout w:type="fixed"/>
          <w:tblCellMar>
            <w:start w:w="0pt" w:type="dxa"/>
            <w:end w:w="0pt" w:type="dxa"/>
          </w:tblCellMar>
          <w:tblLook/>
        </w:tblPrEx>
        <w:trPr>
          <w:jc w:val="center"/>
        </w:trPr>
        <w:tc>
          <w:tcPr>
            <w:tcW w:w="209.8pt" w:type="dxa"/>
            <w:tcBorders>
              <w:top w:val="single" w:sz="6" w:space="0" w:color="FFFFFF"/>
              <w:start w:val="single" w:sz="6" w:space="0" w:color="FFFFFF"/>
              <w:bottom w:val="single" w:sz="7" w:space="0" w:color="000000"/>
              <w:end w:val="single" w:sz="6" w:space="0" w:color="FFFFFF"/>
            </w:tcBorders>
          </w:tcPr>
          <w:p>
            <w:pPr>
              <w:pStyle w:val="ColHeading"/>
            </w:pPr>
            <w:r>
              <w:t>Text proposed by the Commission</w:t>
            </w:r>
            <w:r>
              <w:rPr>
                <w:rStyle w:val="FootnoteReference"/>
              </w:rPr>
              <w:footnoteReference w:id="2"/>
            </w:r>
          </w:p>
        </w:tc>
        <w:tc>
          <w:tcPr>
            <w:tcW w:w="34pt" w:type="dxa"/>
            <w:tcBorders>
              <w:top w:val="single" w:sz="6" w:space="0" w:color="FFFFFF"/>
              <w:start w:val="single" w:sz="6" w:space="0" w:color="FFFFFF"/>
              <w:bottom w:val="single" w:sz="6" w:space="0" w:color="FFFFFF"/>
              <w:end w:val="single" w:sz="6" w:space="0" w:color="FFFFFF"/>
            </w:tcBorders>
          </w:tcPr>
          <w:p/>
        </w:tc>
        <w:tc>
          <w:tcPr>
            <w:tcW w:w="209.8pt" w:type="dxa"/>
            <w:tcBorders>
              <w:top w:val="single" w:sz="6" w:space="0" w:color="FFFFFF"/>
              <w:start w:val="single" w:sz="6" w:space="0" w:color="FFFFFF"/>
              <w:bottom w:val="single" w:sz="7" w:space="0" w:color="000000"/>
              <w:end w:val="single" w:sz="6" w:space="0" w:color="FFFFFF"/>
            </w:tcBorders>
          </w:tcPr>
          <w:p>
            <w:pPr>
              <w:pStyle w:val="ColHeading"/>
            </w:pPr>
            <w:r>
              <w:t>Amendments by Parliament</w:t>
            </w:r>
          </w:p>
        </w:tc>
      </w:tr>
    </w:tbl>
    <w:p>
      <w:pPr>
        <w:pStyle w:val="AMNumber"/>
        <w:spacing w:before="240"/>
      </w:pPr>
      <w:bookmarkStart w:id="8" w:name="restart"/>
      <w:r>
        <w:rPr>
          <w:rStyle w:val="HideTWBExt"/>
          <w:lang w:val="en-GB"/>
        </w:rPr>
        <w:t>&lt;Amend&gt;</w:t>
      </w:r>
      <w:r>
        <w:t xml:space="preserve">Amendment </w:t>
      </w:r>
      <w:r>
        <w:rPr>
          <w:rStyle w:val="HideTWBExt"/>
          <w:lang w:val="en-GB"/>
        </w:rPr>
        <w:t>&lt;NumAm&gt;</w:t>
      </w:r>
      <w:r>
        <w:t>2</w:t>
      </w:r>
      <w:r>
        <w:rPr>
          <w:rStyle w:val="HideTWBExt"/>
          <w:lang w:val="en-GB"/>
        </w:rPr>
        <w:t>&lt;/NumAm&gt;</w:t>
      </w:r>
    </w:p>
    <w:p>
      <w:pPr>
        <w:pStyle w:val="Normal12Centre"/>
        <w:widowControl/>
        <w:spacing w:after="0"/>
      </w:pPr>
      <w:r>
        <w:t xml:space="preserve"> RECITAL 2 A (new)</w:t>
      </w:r>
    </w:p>
    <w:p>
      <w:pPr>
        <w:pStyle w:val="Normal12Centre"/>
        <w:widowControl/>
        <w:spacing w:after="0"/>
      </w:pPr>
      <w:r>
        <w:t>Recital 39 a (new) (Decision 2000/821/EC</w:t>
      </w:r>
    </w:p>
    <w:p>
      <w:pPr>
        <w:pStyle w:val="Normal12Centre"/>
        <w:jc w:val="start"/>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pStyle w:val="Normal6"/>
            </w:pPr>
            <w:r>
              <w:t xml:space="preserve"> </w:t>
            </w:r>
          </w:p>
        </w:tc>
        <w:tc>
          <w:tcPr>
            <w:tcW w:w="243.8pt" w:type="dxa"/>
            <w:tcBorders>
              <w:start w:val="single" w:sz="6" w:space="0" w:color="FFFFFF"/>
            </w:tcBorders>
          </w:tcPr>
          <w:p>
            <w:pPr>
              <w:pStyle w:val="Normal6"/>
            </w:pPr>
            <w:r>
              <w:rPr>
                <w:b/>
                <w:i/>
              </w:rPr>
              <w:t>(39a)</w:t>
            </w:r>
            <w:r>
              <w:rPr>
                <w:i/>
              </w:rPr>
              <w:t xml:space="preserve"> </w:t>
            </w:r>
            <w:r>
              <w:rPr>
                <w:b/>
                <w:i/>
              </w:rPr>
              <w:t>It is essential that the Commission provides a full and detailed assessment report on the MEDIA Plus Programme not later than 31 December 2005 in time for the legislative authority to be able to consider the proposal for a new MEDIA Plus Programme planned to start in 2007, and in view of the budgetary authority to evaluate the need for the new financial framework,</w:t>
            </w:r>
          </w:p>
        </w:tc>
      </w:tr>
    </w:tbl>
    <w:p>
      <w:pPr>
        <w:pStyle w:val="CrossRef"/>
      </w:pPr>
      <w:r>
        <w:rPr>
          <w:rStyle w:val="HideTWBExt"/>
          <w:i w:val="0"/>
          <w:lang w:val="en-GB"/>
        </w:rPr>
        <w:t>&lt;OptDel</w:t>
      </w:r>
      <w:r>
        <w:rPr>
          <w:rStyle w:val="HideTWBExt"/>
          <w:lang w:val="en-GB"/>
        </w:rPr>
        <w:t>&gt;</w:t>
      </w:r>
      <w:r>
        <w:rPr>
          <w:rStyle w:val="HideTWBExt"/>
          <w:i w:val="0"/>
          <w:lang w:val="en-GB"/>
        </w:rPr>
        <w:t>&lt;/OptDel&gt;</w:t>
      </w:r>
    </w:p>
    <w:p>
      <w:pPr>
        <w:pStyle w:val="JustificationTitle"/>
      </w:pPr>
      <w:r>
        <w:t>Justification</w:t>
      </w:r>
    </w:p>
    <w:p>
      <w:pPr>
        <w:pStyle w:val="Normal12Italic"/>
      </w:pPr>
      <w:r>
        <w:rPr>
          <w:rStyle w:val="HideTWBExt"/>
          <w:lang w:val="en-GB"/>
        </w:rPr>
        <w:t>&lt;OptDelPrev&gt;</w:t>
      </w:r>
      <w:r>
        <w:t xml:space="preserve">Since the Commission has not yet submitted the midterm report provided for in the original MEDIA Plus Decision "on the basis of the results after two years of implementation", it has to be made clear that any discussion and subsequent decision on a new proposal for a MEDIA Plus Programme can only take place on the basis of a full and detailed assessment report of the results achieved so far. </w:t>
      </w:r>
    </w:p>
    <w:p>
      <w:pPr>
        <w:pStyle w:val="AMNumber"/>
      </w:pPr>
      <w:r>
        <w:rPr>
          <w:rStyle w:val="HideTWBExt"/>
          <w:lang w:val="en-GB"/>
        </w:rPr>
        <w:t>&lt;Amend&gt;</w:t>
      </w:r>
      <w:r>
        <w:t xml:space="preserve">Amendment </w:t>
      </w:r>
      <w:r>
        <w:rPr>
          <w:rStyle w:val="HideTWBExt"/>
          <w:lang w:val="en-GB"/>
        </w:rPr>
        <w:t>&lt;NumAm&gt;</w:t>
      </w:r>
      <w:r>
        <w:t>3</w:t>
      </w:r>
      <w:r>
        <w:rPr>
          <w:rStyle w:val="HideTWBExt"/>
          <w:lang w:val="en-GB"/>
        </w:rPr>
        <w:t>&lt;/NumAm&gt;</w:t>
      </w:r>
    </w:p>
    <w:p>
      <w:pPr>
        <w:pStyle w:val="Normal12Centre"/>
        <w:spacing w:after="0"/>
      </w:pPr>
      <w:r>
        <w:t>ARTICLE 1, POINT 2</w:t>
      </w:r>
    </w:p>
    <w:p>
      <w:pPr>
        <w:pStyle w:val="Normal12Centre"/>
        <w:spacing w:after="0"/>
      </w:pPr>
      <w:r>
        <w:t>Article 5, Paragraph 2 (Decision 2000/821/EC)</w:t>
      </w:r>
    </w:p>
    <w:p>
      <w:pPr>
        <w:pStyle w:val="Normal12Centre"/>
        <w:spacing w:after="0"/>
        <w:jc w:val="start"/>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pPr>
              <w:rPr>
                <w:snapToGrid w:val="0"/>
                <w:lang w:eastAsia="en-US"/>
              </w:rPr>
            </w:pPr>
            <w:r>
              <w:rPr>
                <w:snapToGrid w:val="0"/>
                <w:lang w:eastAsia="en-US"/>
              </w:rPr>
              <w:t xml:space="preserve">(2) In Article 5(2), the financial reference amount of EUR 350 million is replaced by EUR </w:t>
            </w:r>
            <w:r>
              <w:rPr>
                <w:b/>
                <w:i/>
                <w:snapToGrid w:val="0"/>
                <w:lang w:eastAsia="en-US"/>
              </w:rPr>
              <w:t>435.60</w:t>
            </w:r>
            <w:r>
              <w:rPr>
                <w:snapToGrid w:val="0"/>
                <w:lang w:eastAsia="en-US"/>
              </w:rPr>
              <w:t xml:space="preserve"> million.</w:t>
            </w:r>
          </w:p>
          <w:p>
            <w:pPr>
              <w:pStyle w:val="Normal6"/>
            </w:pPr>
            <w:r>
              <w:t xml:space="preserve"> </w:t>
            </w:r>
          </w:p>
        </w:tc>
        <w:tc>
          <w:tcPr>
            <w:tcW w:w="243.8pt" w:type="dxa"/>
            <w:tcBorders>
              <w:start w:val="single" w:sz="6" w:space="0" w:color="FFFFFF"/>
            </w:tcBorders>
          </w:tcPr>
          <w:p>
            <w:pPr>
              <w:pStyle w:val="Normal6"/>
            </w:pPr>
            <w:r>
              <w:t xml:space="preserve">In Article 5(2), the financial reference amount of EUR 350 million is replaced by EUR </w:t>
            </w:r>
            <w:r>
              <w:rPr>
                <w:b/>
                <w:i/>
              </w:rPr>
              <w:t xml:space="preserve">453.60 </w:t>
            </w:r>
            <w:r>
              <w:t>million</w:t>
            </w:r>
            <w:r>
              <w:rPr>
                <w:b/>
                <w:i/>
              </w:rPr>
              <w:t>, including the adjustment to take account of enlargement, following the revision of the financial perspective.</w:t>
            </w:r>
          </w:p>
        </w:tc>
      </w:tr>
    </w:tbl>
    <w:p>
      <w:pPr>
        <w:pStyle w:val="Normal12Italic"/>
      </w:pPr>
      <w:r>
        <w:rPr>
          <w:rStyle w:val="HideTWBExt"/>
          <w:i w:val="0"/>
          <w:color w:val="auto"/>
          <w:lang w:val="en-GB"/>
        </w:rPr>
        <w:t>&lt;/OptDelPrev</w:t>
      </w:r>
      <w:r>
        <w:rPr>
          <w:rStyle w:val="HideTWBExt"/>
          <w:color w:val="auto"/>
          <w:lang w:val="en-GB"/>
        </w:rPr>
        <w:t>&gt;</w:t>
      </w:r>
    </w:p>
    <w:p>
      <w:pPr>
        <w:widowControl/>
        <w:tabs>
          <w:tab w:val="start" w:pos="-720"/>
        </w:tabs>
        <w:rPr>
          <w:rStyle w:val="HideTWBExt"/>
          <w:vanish w:val="0"/>
          <w:color w:val="auto"/>
          <w:lang w:val="en-GB"/>
        </w:rPr>
      </w:pPr>
    </w:p>
    <w:p>
      <w:pPr>
        <w:widowControl/>
        <w:tabs>
          <w:tab w:val="start" w:pos="-720"/>
        </w:tabs>
        <w:jc w:val="center"/>
        <w:rPr>
          <w:i/>
        </w:rPr>
      </w:pPr>
      <w:r>
        <w:rPr>
          <w:i/>
        </w:rPr>
        <w:t>Justification</w:t>
      </w:r>
    </w:p>
    <w:p>
      <w:pPr>
        <w:widowControl/>
        <w:tabs>
          <w:tab w:val="start" w:pos="-720"/>
        </w:tabs>
        <w:rPr>
          <w:i/>
        </w:rPr>
      </w:pPr>
    </w:p>
    <w:p>
      <w:pPr>
        <w:widowControl/>
        <w:tabs>
          <w:tab w:val="start" w:pos="-720"/>
        </w:tabs>
        <w:rPr>
          <w:i/>
        </w:rPr>
      </w:pPr>
      <w:r>
        <w:rPr>
          <w:i/>
        </w:rPr>
        <w:t>Following the revision of the financial perspective for enlargement, an amount of 18 mio euro will be added to the overall financial framework of the programme for EU-25</w:t>
      </w:r>
      <w:r>
        <w:rPr>
          <w:rStyle w:val="HideTWBExt"/>
          <w:i/>
          <w:vanish w:val="0"/>
          <w:color w:val="auto"/>
          <w:lang w:val="en-GB"/>
        </w:rPr>
        <w:t>.</w:t>
      </w:r>
      <w:r>
        <w:rPr>
          <w:rStyle w:val="HideTWBExt"/>
          <w:i/>
          <w:color w:val="auto"/>
          <w:lang w:val="en-GB"/>
        </w:rPr>
        <w:t>&lt;/Amend&gt;</w:t>
      </w:r>
      <w:bookmarkEnd w:id="8"/>
    </w:p>
    <w:p/>
    <w:sectPr>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34" w:right="1417" w:bottom="1417" w:left="1417" w:header="1134" w:footer="567" w:gutter="0"/>
      <w:cols w:space="708"/>
      <w:noEndnote/>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7A87" w:usb1="80000000" w:usb2="00000008" w:usb3="00000000" w:csb0="000000F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7A87" w:usb1="80000000" w:usb2="00000008" w:usb3="00000000" w:csb0="000000FF" w:csb1="00000000"/>
  </w:font>
  <w:font w:name="TmsRmn">
    <w:panose1 w:val="00000000000000000000"/>
    <w:charset w:characterSet="iso-8859-1"/>
    <w:family w:val="decorative"/>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 xml:space="preserve">PE </w:t>
    </w:r>
    <w:r>
      <w:rPr>
        <w:rStyle w:val="HideTWBExt"/>
      </w:rPr>
      <w:t>&lt;NoPE&gt;</w:t>
    </w:r>
    <w:r>
      <w:t>334.047</w:t>
    </w:r>
    <w:r>
      <w:rPr>
        <w:rStyle w:val="HideTWBExt"/>
      </w:rPr>
      <w:t>&lt;/NoPE&gt;</w:t>
    </w:r>
    <w:r>
      <w:tab/>
    </w:r>
    <w:r>
      <w:fldChar w:fldCharType="begin"/>
    </w:r>
    <w:r>
      <w:instrText xml:space="preserve"> PAGE  \* MERGEFORMAT </w:instrText>
    </w:r>
    <w:r>
      <w:fldChar w:fldCharType="separate"/>
    </w:r>
    <w:r>
      <w:t>2</w:t>
    </w:r>
    <w:r>
      <w:fldChar w:fldCharType="end"/>
    </w:r>
    <w:r>
      <w:t>/</w:t>
    </w:r>
    <w:r>
      <w:fldChar w:fldCharType="begin"/>
    </w:r>
    <w:r>
      <w:instrText xml:space="preserve"> NUMPAGES  \* MERGEFORMAT </w:instrText>
    </w:r>
    <w:r>
      <w:fldChar w:fldCharType="separate"/>
    </w:r>
    <w:r>
      <w:t>17</w:t>
    </w:r>
    <w:r>
      <w:fldChar w:fldCharType="end"/>
    </w:r>
    <w:r>
      <w:tab/>
    </w:r>
    <w:r>
      <w:rPr>
        <w:rStyle w:val="HideTWBExt"/>
      </w:rPr>
      <w:t>&lt;PathFdR&gt;</w:t>
    </w:r>
    <w:r>
      <w:t>RR\521968EN.doc</w:t>
    </w:r>
    <w:r>
      <w:rPr>
        <w:rStyle w:val="HideTWBExt"/>
      </w:rPr>
      <w:t>&lt;/PathFdR&gt;</w:t>
    </w:r>
  </w:p>
  <w:p>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RR\521968EN.doc</w:t>
    </w:r>
    <w:r>
      <w:rPr>
        <w:rStyle w:val="HideTWBExt"/>
      </w:rPr>
      <w:t>&lt;/PathFdR&gt;</w:t>
    </w:r>
    <w:r>
      <w:tab/>
    </w:r>
    <w:r>
      <w:fldChar w:fldCharType="begin"/>
    </w:r>
    <w:r>
      <w:instrText xml:space="preserve"> PAGE  \* MERGEFORMAT </w:instrText>
    </w:r>
    <w:r>
      <w:fldChar w:fldCharType="separate"/>
    </w:r>
    <w:r>
      <w:t>3</w:t>
    </w:r>
    <w:r>
      <w:fldChar w:fldCharType="end"/>
    </w:r>
    <w:r>
      <w:t>/</w:t>
    </w:r>
    <w:r>
      <w:fldChar w:fldCharType="begin"/>
    </w:r>
    <w:r>
      <w:instrText xml:space="preserve"> NUMPAGES  \* MERGEFORMAT </w:instrText>
    </w:r>
    <w:r>
      <w:fldChar w:fldCharType="separate"/>
    </w:r>
    <w:r>
      <w:t>17</w:t>
    </w:r>
    <w:r>
      <w:fldChar w:fldCharType="end"/>
    </w:r>
    <w:r>
      <w:tab/>
      <w:t xml:space="preserve">PE </w:t>
    </w:r>
    <w:r>
      <w:rPr>
        <w:rStyle w:val="HideTWBExt"/>
      </w:rPr>
      <w:t>&lt;NoPE&gt;</w:t>
    </w:r>
    <w:r>
      <w:t>334.047</w:t>
    </w:r>
    <w:r>
      <w:rPr>
        <w:rStyle w:val="HideTWBExt"/>
      </w:rPr>
      <w:t>&lt;/NoPE&gt;</w:t>
    </w:r>
  </w:p>
  <w:p>
    <w:pPr>
      <w:pStyle w:val="Footer2"/>
    </w:pPr>
    <w:r>
      <w:tab/>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RR\521968EN.doc</w:t>
    </w:r>
    <w:r>
      <w:rPr>
        <w:rStyle w:val="HideTWBExt"/>
      </w:rPr>
      <w:t>&lt;/PathFdR&gt;</w:t>
    </w:r>
    <w:r>
      <w:tab/>
      <w:tab/>
      <w:t xml:space="preserve">PE </w:t>
    </w:r>
    <w:r>
      <w:rPr>
        <w:rStyle w:val="HideTWBExt"/>
      </w:rPr>
      <w:t>&lt;NoPE&gt;</w:t>
    </w:r>
    <w:r>
      <w:t>334.047</w:t>
    </w:r>
    <w:r>
      <w:rPr>
        <w:rStyle w:val="HideTWBExt"/>
      </w:rPr>
      <w:t>&lt;/NoPE&gt;</w:t>
    </w:r>
  </w:p>
  <w:p>
    <w:pPr>
      <w:pStyle w:val="Footer2"/>
    </w:pPr>
    <w:r>
      <w:t>EN</w:t>
      <w:tab/>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
        <w:separator/>
      </w:r>
    </w:p>
  </w:footnote>
  <w:footnote w:id="1">
    <w:p>
      <w:pPr>
        <w:pStyle w:val="FootnoteText"/>
      </w:pPr>
      <w:r>
        <w:rPr>
          <w:rStyle w:val="FootnoteReference"/>
        </w:rPr>
        <w:footnoteRef/>
      </w:r>
      <w:r>
        <w:t xml:space="preserve"> Not yet published in OJ.</w:t>
      </w:r>
    </w:p>
  </w:footnote>
  <w:footnote w:id="2">
    <w:p>
      <w:pPr>
        <w:pStyle w:val="FootnoteText"/>
      </w:pPr>
      <w:r>
        <w:rPr>
          <w:rStyle w:val="FootnoteReference"/>
        </w:rPr>
        <w:footnoteRef/>
      </w:r>
      <w:r>
        <w:t xml:space="preserve"> Not yet published in OJ.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B22A8A2"/>
    <w:lvl w:ilvl="0">
      <w:start w:val="1"/>
      <w:numFmt w:val="decimal"/>
      <w:lvlText w:val="%1."/>
      <w:lvlJc w:val="start"/>
      <w:pPr>
        <w:tabs>
          <w:tab w:val="num" w:pos="1492"/>
        </w:tabs>
        <w:ind w:start="1492" w:hanging="360"/>
      </w:pPr>
    </w:lvl>
  </w:abstractNum>
  <w:abstractNum w:abstractNumId="1">
    <w:nsid w:val="FFFFFF7D"/>
    <w:multiLevelType w:val="singleLevel"/>
    <w:tmpl w:val="D0C0EE6C"/>
    <w:lvl w:ilvl="0">
      <w:start w:val="1"/>
      <w:numFmt w:val="decimal"/>
      <w:lvlText w:val="%1."/>
      <w:lvlJc w:val="start"/>
      <w:pPr>
        <w:tabs>
          <w:tab w:val="num" w:pos="1209"/>
        </w:tabs>
        <w:ind w:start="1209" w:hanging="360"/>
      </w:pPr>
    </w:lvl>
  </w:abstractNum>
  <w:abstractNum w:abstractNumId="2">
    <w:nsid w:val="FFFFFF7E"/>
    <w:multiLevelType w:val="singleLevel"/>
    <w:tmpl w:val="BFB40F5E"/>
    <w:lvl w:ilvl="0">
      <w:start w:val="1"/>
      <w:numFmt w:val="decimal"/>
      <w:lvlText w:val="%1."/>
      <w:lvlJc w:val="start"/>
      <w:pPr>
        <w:tabs>
          <w:tab w:val="num" w:pos="926"/>
        </w:tabs>
        <w:ind w:start="926" w:hanging="360"/>
      </w:pPr>
    </w:lvl>
  </w:abstractNum>
  <w:abstractNum w:abstractNumId="3">
    <w:nsid w:val="FFFFFF7F"/>
    <w:multiLevelType w:val="singleLevel"/>
    <w:tmpl w:val="BF525DAA"/>
    <w:lvl w:ilvl="0">
      <w:start w:val="1"/>
      <w:numFmt w:val="decimal"/>
      <w:lvlText w:val="%1."/>
      <w:lvlJc w:val="start"/>
      <w:pPr>
        <w:tabs>
          <w:tab w:val="num" w:pos="643"/>
        </w:tabs>
        <w:ind w:start="643" w:hanging="360"/>
      </w:pPr>
    </w:lvl>
  </w:abstractNum>
  <w:abstractNum w:abstractNumId="4">
    <w:nsid w:val="FFFFFF80"/>
    <w:multiLevelType w:val="singleLevel"/>
    <w:tmpl w:val="97309190"/>
    <w:lvl w:ilvl="0">
      <w:start w:val="1"/>
      <w:numFmt w:val="bullet"/>
      <w:lvlText w:val=""/>
      <w:lvlJc w:val="start"/>
      <w:pPr>
        <w:tabs>
          <w:tab w:val="num" w:pos="1492"/>
        </w:tabs>
        <w:ind w:start="1492" w:hanging="360"/>
      </w:pPr>
      <w:rPr>
        <w:rFonts w:ascii="Symbol" w:hAnsi="Symbol" w:hint="default"/>
      </w:rPr>
    </w:lvl>
  </w:abstractNum>
  <w:abstractNum w:abstractNumId="5">
    <w:nsid w:val="FFFFFF81"/>
    <w:multiLevelType w:val="singleLevel"/>
    <w:tmpl w:val="8026A280"/>
    <w:lvl w:ilvl="0">
      <w:start w:val="1"/>
      <w:numFmt w:val="bullet"/>
      <w:lvlText w:val=""/>
      <w:lvlJc w:val="start"/>
      <w:pPr>
        <w:tabs>
          <w:tab w:val="num" w:pos="1209"/>
        </w:tabs>
        <w:ind w:start="1209" w:hanging="360"/>
      </w:pPr>
      <w:rPr>
        <w:rFonts w:ascii="Symbol" w:hAnsi="Symbol" w:hint="default"/>
      </w:rPr>
    </w:lvl>
  </w:abstractNum>
  <w:abstractNum w:abstractNumId="6">
    <w:nsid w:val="FFFFFF82"/>
    <w:multiLevelType w:val="singleLevel"/>
    <w:tmpl w:val="1CDC9AF0"/>
    <w:lvl w:ilvl="0">
      <w:start w:val="1"/>
      <w:numFmt w:val="bullet"/>
      <w:lvlText w:val=""/>
      <w:lvlJc w:val="start"/>
      <w:pPr>
        <w:tabs>
          <w:tab w:val="num" w:pos="926"/>
        </w:tabs>
        <w:ind w:start="926" w:hanging="360"/>
      </w:pPr>
      <w:rPr>
        <w:rFonts w:ascii="Symbol" w:hAnsi="Symbol" w:hint="default"/>
      </w:rPr>
    </w:lvl>
  </w:abstractNum>
  <w:abstractNum w:abstractNumId="7">
    <w:nsid w:val="FFFFFF83"/>
    <w:multiLevelType w:val="singleLevel"/>
    <w:tmpl w:val="1E120C2A"/>
    <w:lvl w:ilvl="0">
      <w:start w:val="1"/>
      <w:numFmt w:val="bullet"/>
      <w:lvlText w:val=""/>
      <w:lvlJc w:val="start"/>
      <w:pPr>
        <w:tabs>
          <w:tab w:val="num" w:pos="643"/>
        </w:tabs>
        <w:ind w:start="643" w:hanging="360"/>
      </w:pPr>
      <w:rPr>
        <w:rFonts w:ascii="Symbol" w:hAnsi="Symbol" w:hint="default"/>
      </w:rPr>
    </w:lvl>
  </w:abstractNum>
  <w:abstractNum w:abstractNumId="8">
    <w:nsid w:val="FFFFFF88"/>
    <w:multiLevelType w:val="singleLevel"/>
    <w:tmpl w:val="D92AAA74"/>
    <w:lvl w:ilvl="0">
      <w:start w:val="1"/>
      <w:numFmt w:val="decimal"/>
      <w:lvlText w:val="%1."/>
      <w:lvlJc w:val="start"/>
      <w:pPr>
        <w:tabs>
          <w:tab w:val="num" w:pos="360"/>
        </w:tabs>
        <w:ind w:start="360" w:hanging="360"/>
      </w:pPr>
    </w:lvl>
  </w:abstractNum>
  <w:abstractNum w:abstractNumId="9">
    <w:nsid w:val="FFFFFF89"/>
    <w:multiLevelType w:val="singleLevel"/>
    <w:tmpl w:val="AB4278A6"/>
    <w:lvl w:ilvl="0">
      <w:start w:val="1"/>
      <w:numFmt w:val="bullet"/>
      <w:lvlText w:val=""/>
      <w:lvlJc w:val="start"/>
      <w:pPr>
        <w:tabs>
          <w:tab w:val="num" w:pos="360"/>
        </w:tabs>
        <w:ind w:star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0"/>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COMKEY" w:val="CULT"/>
    <w:docVar w:name="CopyToNetwork" w:val="-1"/>
    <w:docVar w:name="DOCMNU" w:val=" 3"/>
    <w:docVar w:name="FILLINMNU" w:val=" 1"/>
    <w:docVar w:name="FOROPINMNU" w:val=" 1"/>
    <w:docVar w:name="LastEditedSection" w:val=" 1"/>
    <w:docVar w:name="OPIN1KEY" w:val="BUDG"/>
    <w:docVar w:name="OPINMNU" w:val=" 1"/>
    <w:docVar w:name="REFERRAL2MNU" w:val=" 2"/>
    <w:docVar w:name="strDocTypeID" w:val="PR_COD_1app"/>
    <w:docVar w:name="strSubDir" w:val="521"/>
    <w:docVar w:name="TXTART1" w:val="151"/>
    <w:docVar w:name="TXTAUTHOR" w:val="Walter Veltroni"/>
    <w:docVar w:name="TXTLANGUE" w:val="EN"/>
    <w:docVar w:name="TXTLANGUEMIN" w:val="en"/>
    <w:docVar w:name="TXTNRC" w:val="0177/2003"/>
    <w:docVar w:name="TXTNRCOD" w:val="2003/0191"/>
    <w:docVar w:name="TXTNRCOM" w:val="(2003) 0191"/>
    <w:docVar w:name="TXTNRPE" w:val="334.047"/>
    <w:docVar w:name="TXTROUTE" w:val="RR\521968EN.doc"/>
    <w:docVar w:name="TXTTITLE" w:val="modifying Council Decision 2000/821/EC of 20 December 2000 on the implementation of a programme to encourage the development, distribution and promotion of European audiovisual works (MEDIA Plus - Development, Distribtuion and Promotion)"/>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lang w:val="en-GB"/>
    </w:rPr>
  </w:style>
  <w:style w:type="paragraph" w:styleId="Heading1">
    <w:name w:val="heading 1"/>
    <w:basedOn w:val="Normal"/>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rPr>
  </w:style>
  <w:style w:type="paragraph" w:styleId="Heading3">
    <w:name w:val="heading 3"/>
    <w:basedOn w:val="Normal"/>
    <w:next w:val="Normal"/>
    <w:uiPriority w:val="9"/>
    <w:qFormat/>
    <w:pPr>
      <w:keepNext/>
      <w:spacing w:before="240" w:after="60"/>
      <w:outlineLvl w:val="2"/>
    </w:pPr>
    <w:rPr>
      <w:rFonts w:ascii="Arial" w:hAnsi="Arial"/>
    </w:rPr>
  </w:style>
  <w:style w:type="paragraph" w:styleId="Heading4">
    <w:name w:val="heading 4"/>
    <w:basedOn w:val="Normal"/>
    <w:next w:val="Normal"/>
    <w:uiPriority w:val="9"/>
    <w:qFormat/>
    <w:pPr>
      <w:keepNext/>
      <w:spacing w:before="240" w:after="60"/>
      <w:outlineLvl w:val="3"/>
    </w:pPr>
    <w:rPr>
      <w:rFonts w:ascii="Arial" w:hAnsi="Arial"/>
      <w:b/>
    </w:rPr>
  </w:style>
  <w:style w:type="paragraph" w:styleId="Heading5">
    <w:name w:val="heading 5"/>
    <w:basedOn w:val="Normal"/>
    <w:next w:val="Normal"/>
    <w:uiPriority w:val="9"/>
    <w:qFormat/>
    <w:pPr>
      <w:spacing w:before="240" w:after="60"/>
      <w:outlineLvl w:val="4"/>
    </w:pPr>
    <w:rPr>
      <w:sz w:val="22"/>
    </w:rPr>
  </w:style>
  <w:style w:type="paragraph" w:styleId="Heading6">
    <w:name w:val="heading 6"/>
    <w:basedOn w:val="Normal"/>
    <w:next w:val="Normal"/>
    <w:uiPriority w:val="9"/>
    <w:qFormat/>
    <w:pPr>
      <w:spacing w:before="240" w:after="60"/>
      <w:outlineLvl w:val="5"/>
    </w:pPr>
    <w:rPr>
      <w:i/>
      <w:sz w:val="22"/>
    </w:rPr>
  </w:style>
  <w:style w:type="paragraph" w:styleId="Heading7">
    <w:name w:val="heading 7"/>
    <w:basedOn w:val="Normal"/>
    <w:next w:val="Normal"/>
    <w:uiPriority w:val="9"/>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uiPriority w:val="9"/>
    <w:qFormat/>
    <w:p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character" w:customStyle="1" w:styleId="HideTWBExt">
    <w:name w:val="HideTWBExt"/>
    <w:basedOn w:val="DefaultParagraphFont"/>
    <w:rPr>
      <w:rFonts w:ascii="Arial" w:hAnsi="Arial"/>
      <w:vanish/>
      <w:color w:val="000080"/>
      <w:sz w:val="20"/>
    </w:rPr>
  </w:style>
  <w:style w:type="paragraph" w:styleId="Footer">
    <w:name w:val="footer"/>
    <w:basedOn w:val="Normal12a12b"/>
    <w:pPr>
      <w:tabs>
        <w:tab w:val="center" w:pos="4536"/>
        <w:tab w:val="end" w:pos="9072"/>
      </w:tabs>
    </w:pPr>
    <w:rPr>
      <w:sz w:val="22"/>
    </w:rPr>
  </w:style>
  <w:style w:type="paragraph" w:customStyle="1" w:styleId="Normal12a12b">
    <w:name w:val="Normal12a12b"/>
    <w:basedOn w:val="Normal"/>
    <w:pPr>
      <w:spacing w:before="240" w:after="240"/>
    </w:pPr>
  </w:style>
  <w:style w:type="character" w:customStyle="1" w:styleId="Added">
    <w:name w:val="Added"/>
    <w:basedOn w:val="DefaultParagraphFont"/>
    <w:rPr>
      <w:b/>
      <w:i/>
    </w:rPr>
  </w:style>
  <w:style w:type="character" w:customStyle="1" w:styleId="Deleted">
    <w:name w:val="Deleted"/>
    <w:basedOn w:val="DefaultParagraphFont"/>
    <w:rPr>
      <w:b/>
      <w:i/>
    </w:rPr>
  </w:style>
  <w:style w:type="paragraph" w:customStyle="1" w:styleId="Footer2">
    <w:name w:val="Footer2"/>
    <w:basedOn w:val="Normal12"/>
    <w:pPr>
      <w:tabs>
        <w:tab w:val="end" w:pos="9923"/>
      </w:tabs>
      <w:ind w:start="-851"/>
    </w:pPr>
    <w:rPr>
      <w:rFonts w:ascii="Arial" w:hAnsi="Arial"/>
      <w:b/>
      <w:sz w:val="48"/>
    </w:rPr>
  </w:style>
  <w:style w:type="paragraph" w:customStyle="1" w:styleId="Normal12">
    <w:name w:val="Normal12"/>
    <w:basedOn w:val="Normal"/>
    <w:pPr>
      <w:spacing w:after="240"/>
    </w:pPr>
  </w:style>
  <w:style w:type="paragraph" w:customStyle="1" w:styleId="Justification">
    <w:name w:val="Justification"/>
    <w:basedOn w:val="Normal12"/>
    <w:rPr>
      <w:i/>
    </w:rPr>
  </w:style>
  <w:style w:type="paragraph" w:styleId="TOC1">
    <w:name w:val="toc 1"/>
    <w:basedOn w:val="Normal12"/>
    <w:next w:val="Normal12"/>
    <w:autoRedefine/>
    <w:uiPriority w:val="39"/>
  </w:style>
  <w:style w:type="paragraph" w:customStyle="1" w:styleId="TOCHeading">
    <w:name w:val="TOC Heading"/>
    <w:basedOn w:val="Normal12"/>
    <w:next w:val="Normal12"/>
    <w:pPr>
      <w:keepNext/>
      <w:spacing w:before="240"/>
      <w:jc w:val="center"/>
    </w:pPr>
    <w:rPr>
      <w:rFonts w:ascii="Arial" w:hAnsi="Arial"/>
      <w:b/>
    </w:rPr>
  </w:style>
  <w:style w:type="paragraph" w:customStyle="1" w:styleId="TOCPage">
    <w:name w:val="TOC Page"/>
    <w:basedOn w:val="Normal12"/>
    <w:next w:val="TOC1"/>
    <w:pPr>
      <w:keepNext/>
      <w:jc w:val="end"/>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end"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start="357" w:hanging="357"/>
    </w:pPr>
  </w:style>
  <w:style w:type="paragraph" w:customStyle="1" w:styleId="AMNumber">
    <w:name w:val="AMNumber"/>
    <w:basedOn w:val="Normal"/>
    <w:pPr>
      <w:spacing w:before="360"/>
      <w:jc w:val="center"/>
    </w:pPr>
  </w:style>
  <w:style w:type="paragraph" w:customStyle="1" w:styleId="ColHeading">
    <w:name w:val="ColHeading"/>
    <w:basedOn w:val="Normal"/>
    <w:pPr>
      <w:spacing w:before="240" w:after="120"/>
      <w:jc w:val="center"/>
    </w:pPr>
  </w:style>
  <w:style w:type="paragraph" w:customStyle="1" w:styleId="Committee">
    <w:name w:val="Committee"/>
    <w:basedOn w:val="Normal"/>
    <w:pPr>
      <w:spacing w:before="240" w:after="1200"/>
      <w:jc w:val="center"/>
    </w:pPr>
    <w:rPr>
      <w:i/>
    </w:rPr>
  </w:style>
  <w:style w:type="paragraph" w:customStyle="1" w:styleId="Normal24">
    <w:name w:val="Normal24"/>
    <w:basedOn w:val="Normal"/>
    <w:pPr>
      <w:spacing w:after="480"/>
    </w:pPr>
  </w:style>
  <w:style w:type="paragraph" w:customStyle="1" w:styleId="Cover12">
    <w:name w:val="Cover12"/>
    <w:basedOn w:val="Normal12"/>
    <w:pPr>
      <w:ind w:start="1418"/>
    </w:pPr>
  </w:style>
  <w:style w:type="paragraph" w:customStyle="1" w:styleId="Cover24">
    <w:name w:val="Cover24"/>
    <w:basedOn w:val="Normal24"/>
    <w:pPr>
      <w:ind w:start="1418"/>
    </w:pPr>
  </w:style>
  <w:style w:type="paragraph" w:customStyle="1" w:styleId="CoverNormal">
    <w:name w:val="CoverNormal"/>
    <w:basedOn w:val="Normal"/>
    <w:pPr>
      <w:ind w:start="1418"/>
    </w:pPr>
  </w:style>
  <w:style w:type="paragraph" w:customStyle="1" w:styleId="CrossRef">
    <w:name w:val="CrossRef"/>
    <w:basedOn w:val="Normal"/>
    <w:pPr>
      <w:keepNext/>
      <w:spacing w:before="240"/>
      <w:jc w:val="center"/>
    </w:pPr>
    <w:rPr>
      <w:i/>
    </w:rPr>
  </w:style>
  <w:style w:type="paragraph" w:customStyle="1" w:styleId="DocRef">
    <w:name w:val="DocRef"/>
    <w:basedOn w:val="Normal"/>
    <w:pPr>
      <w:spacing w:after="960"/>
      <w:jc w:val="center"/>
    </w:pPr>
    <w:rPr>
      <w:rFonts w:ascii="Arial" w:hAnsi="Arial"/>
      <w:b/>
    </w:rPr>
  </w:style>
  <w:style w:type="paragraph" w:customStyle="1" w:styleId="DocType">
    <w:name w:val="DocType"/>
    <w:basedOn w:val="Normal12"/>
    <w:pPr>
      <w:jc w:val="center"/>
    </w:pPr>
    <w:rPr>
      <w:rFonts w:ascii="Arial" w:hAnsi="Arial"/>
      <w:b/>
      <w:sz w:val="28"/>
    </w:rPr>
  </w:style>
  <w:style w:type="paragraph" w:customStyle="1" w:styleId="EntPE">
    <w:name w:val="EntPE"/>
    <w:basedOn w:val="Normal12"/>
    <w:pPr>
      <w:jc w:val="center"/>
    </w:pPr>
    <w:rPr>
      <w:sz w:val="56"/>
    </w:rPr>
  </w:style>
  <w:style w:type="paragraph" w:customStyle="1" w:styleId="Hanging12">
    <w:name w:val="Hanging12"/>
    <w:basedOn w:val="Normal12"/>
    <w:pPr>
      <w:tabs>
        <w:tab w:val="start" w:pos="357"/>
      </w:tabs>
      <w:ind w:start="357" w:hanging="357"/>
    </w:p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pPr>
      <w:tabs>
        <w:tab w:val="start" w:pos="35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RefProc">
    <w:name w:val="RefProc"/>
    <w:basedOn w:val="Normal"/>
    <w:pPr>
      <w:jc w:val="end"/>
    </w:pPr>
    <w:rPr>
      <w:rFonts w:ascii="Arial" w:hAnsi="Arial"/>
      <w:b/>
      <w:caps/>
    </w:rPr>
  </w:style>
  <w:style w:type="paragraph" w:customStyle="1" w:styleId="RefStatus">
    <w:name w:val="RefStatus"/>
    <w:basedOn w:val="Normal"/>
    <w:pPr>
      <w:jc w:val="end"/>
    </w:pPr>
    <w:rPr>
      <w:rFonts w:ascii="Arial" w:hAnsi="Arial"/>
      <w:caps/>
    </w:rPr>
  </w:style>
  <w:style w:type="paragraph" w:customStyle="1" w:styleId="RefVer">
    <w:name w:val="RefVer"/>
    <w:basedOn w:val="Normal12"/>
    <w:pPr>
      <w:jc w:val="end"/>
    </w:pPr>
    <w:rPr>
      <w:rFonts w:ascii="Arial" w:hAnsi="Arial"/>
    </w:rPr>
  </w:style>
  <w:style w:type="paragraph" w:customStyle="1" w:styleId="StarsAndIs">
    <w:name w:val="StarsAndIs"/>
    <w:basedOn w:val="Normal"/>
    <w:pPr>
      <w:ind w:start="1418"/>
    </w:pPr>
    <w:rPr>
      <w:rFonts w:ascii="Arial" w:hAnsi="Arial"/>
      <w:b/>
      <w:sz w:val="48"/>
    </w:rPr>
  </w:style>
  <w:style w:type="paragraph" w:customStyle="1" w:styleId="Term">
    <w:name w:val="Term"/>
    <w:basedOn w:val="Normal"/>
    <w:pPr>
      <w:jc w:val="center"/>
    </w:pPr>
    <w:rPr>
      <w:i/>
      <w:sz w:val="28"/>
    </w:rPr>
  </w:style>
  <w:style w:type="paragraph" w:customStyle="1" w:styleId="TypeDoc">
    <w:name w:val="TypeDoc"/>
    <w:basedOn w:val="Normal24"/>
    <w:pPr>
      <w:ind w:start="1418"/>
    </w:pPr>
    <w:rPr>
      <w:rFonts w:ascii="Arial" w:hAnsi="Arial"/>
      <w:b/>
      <w:sz w:val="48"/>
    </w:rPr>
  </w:style>
  <w:style w:type="paragraph" w:customStyle="1" w:styleId="ZDate">
    <w:name w:val="ZDate"/>
    <w:basedOn w:val="Normal"/>
    <w:pPr>
      <w:spacing w:after="1200"/>
    </w:pPr>
  </w:style>
  <w:style w:type="paragraph" w:customStyle="1" w:styleId="Lgendesigne">
    <w:name w:val="Légende signe"/>
    <w:basedOn w:val="Normal"/>
    <w:pPr>
      <w:tabs>
        <w:tab w:val="end" w:pos="454"/>
        <w:tab w:val="start" w:pos="737"/>
      </w:tabs>
      <w:ind w:start="737" w:hanging="737"/>
    </w:pPr>
    <w:rPr>
      <w:snapToGrid w:val="0"/>
      <w:sz w:val="18"/>
      <w:lang w:val="en-US" w:eastAsia="en-US"/>
    </w:rPr>
  </w:style>
  <w:style w:type="paragraph" w:customStyle="1" w:styleId="Lgendetitre">
    <w:name w:val="Légende titre"/>
    <w:basedOn w:val="Normal"/>
    <w:pPr>
      <w:spacing w:before="240" w:after="240"/>
    </w:pPr>
    <w:rPr>
      <w:b/>
      <w:i/>
      <w:snapToGrid w:val="0"/>
      <w:lang w:val="en-US" w:eastAsia="en-US"/>
    </w:rPr>
  </w:style>
  <w:style w:type="paragraph" w:customStyle="1" w:styleId="Lgendestandard">
    <w:name w:val="Légende standard"/>
    <w:basedOn w:val="Lgendesigne"/>
    <w:pPr>
      <w:ind w:start="0" w:firstLine="0"/>
    </w:pPr>
  </w:style>
  <w:style w:type="paragraph" w:styleId="FootnoteText">
    <w:name w:val="footnote text"/>
    <w:basedOn w:val="Normal"/>
    <w:rPr>
      <w:sz w:val="20"/>
    </w:rPr>
  </w:style>
  <w:style w:type="character" w:styleId="FootnoteReference">
    <w:name w:val="footnote reference"/>
    <w:basedOn w:val="DefaultParagraphFont"/>
    <w:rPr>
      <w:vertAlign w:val="superscript"/>
    </w:rPr>
  </w:style>
  <w:style w:type="paragraph" w:styleId="Header">
    <w:name w:val="header"/>
    <w:basedOn w:val="Normal"/>
    <w:pPr>
      <w:tabs>
        <w:tab w:val="center" w:pos="4320"/>
        <w:tab w:val="end" w:pos="8640"/>
      </w:tabs>
    </w:pPr>
  </w:style>
  <w:style w:type="paragraph" w:styleId="TOC2">
    <w:name w:val="toc 2"/>
    <w:basedOn w:val="Normal"/>
    <w:next w:val="Normal"/>
    <w:autoRedefine/>
    <w:uiPriority w:val="39"/>
    <w:pPr>
      <w:ind w:start="240"/>
    </w:pPr>
  </w:style>
  <w:style w:type="paragraph" w:styleId="TOC3">
    <w:name w:val="toc 3"/>
    <w:basedOn w:val="Normal"/>
    <w:next w:val="Normal"/>
    <w:autoRedefine/>
    <w:uiPriority w:val="39"/>
    <w:pPr>
      <w:ind w:start="480"/>
    </w:pPr>
  </w:style>
  <w:style w:type="paragraph" w:styleId="TOC4">
    <w:name w:val="toc 4"/>
    <w:basedOn w:val="Normal"/>
    <w:next w:val="Normal"/>
    <w:autoRedefine/>
    <w:uiPriority w:val="39"/>
    <w:pPr>
      <w:ind w:start="720"/>
    </w:pPr>
  </w:style>
  <w:style w:type="paragraph" w:styleId="TOC5">
    <w:name w:val="toc 5"/>
    <w:basedOn w:val="Normal"/>
    <w:next w:val="Normal"/>
    <w:autoRedefine/>
    <w:uiPriority w:val="39"/>
    <w:pPr>
      <w:ind w:start="960"/>
    </w:pPr>
  </w:style>
  <w:style w:type="paragraph" w:styleId="TOC6">
    <w:name w:val="toc 6"/>
    <w:basedOn w:val="Normal"/>
    <w:next w:val="Normal"/>
    <w:autoRedefine/>
    <w:uiPriority w:val="39"/>
    <w:pPr>
      <w:ind w:start="1200"/>
    </w:pPr>
  </w:style>
  <w:style w:type="paragraph" w:styleId="TOC7">
    <w:name w:val="toc 7"/>
    <w:basedOn w:val="Normal"/>
    <w:next w:val="Normal"/>
    <w:autoRedefine/>
    <w:uiPriority w:val="39"/>
    <w:pPr>
      <w:ind w:start="1440"/>
    </w:pPr>
  </w:style>
  <w:style w:type="paragraph" w:styleId="TOC8">
    <w:name w:val="toc 8"/>
    <w:basedOn w:val="Normal"/>
    <w:next w:val="Normal"/>
    <w:autoRedefine/>
    <w:uiPriority w:val="39"/>
    <w:pPr>
      <w:ind w:start="1680"/>
    </w:pPr>
  </w:style>
  <w:style w:type="paragraph" w:styleId="TOC9">
    <w:name w:val="toc 9"/>
    <w:basedOn w:val="Normal"/>
    <w:next w:val="Normal"/>
    <w:autoRedefine/>
    <w:uiPriority w:val="39"/>
    <w:pPr>
      <w:ind w:start="1920"/>
    </w:pPr>
  </w:style>
  <w:style w:type="paragraph" w:customStyle="1" w:styleId="PageHeadingNotTOC">
    <w:name w:val="PageHeadingNotTOC"/>
    <w:basedOn w:val="Normal12a12b"/>
    <w:pPr>
      <w:keepNext/>
      <w:jc w:val="center"/>
    </w:pPr>
    <w:rPr>
      <w:rFonts w:ascii="Arial" w:hAnsi="Arial"/>
      <w:b/>
    </w:rPr>
  </w:style>
  <w:style w:type="paragraph" w:customStyle="1" w:styleId="ConclusionsPA">
    <w:name w:val="ConclusionsPA"/>
    <w:basedOn w:val="Normal12"/>
    <w:pPr>
      <w:spacing w:before="480"/>
      <w:jc w:val="center"/>
    </w:pPr>
    <w:rPr>
      <w:rFonts w:ascii="Arial" w:hAnsi="Arial"/>
      <w:b/>
      <w:caps/>
      <w:snapToGrid w:val="0"/>
      <w:lang w:val="en-US" w:eastAsia="en-US"/>
    </w:rPr>
  </w:style>
  <w:style w:type="paragraph" w:customStyle="1" w:styleId="NormalLeft">
    <w:name w:val="Normal Left"/>
    <w:basedOn w:val="Normal"/>
    <w:pPr>
      <w:widowControl/>
      <w:spacing w:before="120" w:after="120"/>
    </w:pPr>
  </w:style>
  <w:style w:type="paragraph" w:customStyle="1" w:styleId="PageconclusionsphrasesPA">
    <w:name w:val="Page conclusions phrases PA"/>
    <w:basedOn w:val="Normal"/>
    <w:pPr>
      <w:keepNext/>
      <w:keepLines/>
      <w:tabs>
        <w:tab w:val="start" w:pos="357"/>
      </w:tabs>
      <w:spacing w:after="240"/>
    </w:pPr>
    <w:rPr>
      <w:snapToGrid w:val="0"/>
      <w:lang w:eastAsia="en-US"/>
    </w:rPr>
  </w:style>
  <w:style w:type="paragraph" w:customStyle="1" w:styleId="ManualHeading2">
    <w:name w:val="Manual Heading 2"/>
    <w:pPr>
      <w:jc w:val="both"/>
    </w:pPr>
    <w:rPr>
      <w:rFonts w:ascii="Arial" w:hAnsi="Arial"/>
      <w:b/>
      <w:snapToGrid w:val="0"/>
      <w:sz w:val="24"/>
      <w:lang w:val="en-GB"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header" Target="header3.xml" /><Relationship Id="rId11" Type="http://purl.oclc.org/ooxml/officeDocument/relationships/footer" Target="footer3.xml" /><Relationship Id="rId12" Type="http://purl.oclc.org/ooxml/officeDocument/relationships/numbering" Target="numbering.xml" /><Relationship Id="rId13"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header" Target="header1.xml" /><Relationship Id="rId7" Type="http://purl.oclc.org/ooxml/officeDocument/relationships/header" Target="header2.xml" /><Relationship Id="rId8" Type="http://purl.oclc.org/ooxml/officeDocument/relationships/footer" Target="footer1.xml" /><Relationship Id="rId9" Type="http://purl.oclc.org/ooxml/officeDocument/relationships/footer" Target="footer2.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PR\Pr_Leg\COD\COD_1st\PR_COD_1app.dot" TargetMode="External" /></Relationships>
</file>

<file path=docProps/app.xml><?xml version="1.0" encoding="utf-8"?>
<Properties xmlns="http://purl.oclc.org/ooxml/officeDocument/extendedProperties" xmlns:vt="http://purl.oclc.org/ooxml/officeDocument/docPropsVTypes">
  <Template>PR_COD_1app.dot</Template>
  <TotalTime>0</TotalTime>
  <Pages>17</Pages>
  <Words>4409</Words>
  <Characters>25132</Characters>
  <Application>Microsoft Office Word</Application>
  <DocSecurity>0</DocSecurity>
  <Lines>209</Lines>
  <Paragraphs>50</Paragraphs>
  <ScaleCrop>false</ScaleCrop>
  <HeadingPairs>
    <vt:vector size="2" baseType="variant">
      <vt:variant>
        <vt:lpstr>Title</vt:lpstr>
      </vt:variant>
      <vt:variant>
        <vt:i4>1</vt:i4>
      </vt:variant>
    </vt:vector>
  </HeadingPairs>
  <TitlesOfParts>
    <vt:vector size="1" baseType="lpstr">
      <vt:lpstr>PR_COD_1app</vt:lpstr>
    </vt:vector>
  </TitlesOfParts>
  <Company/>
  <LinksUpToDate>false</LinksUpToDate>
  <CharactersWithSpaces>30863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PR_COD_1app</dc:title>
  <dc:creator>tbartosova</dc:creator>
  <cp:lastModifiedBy>RMason</cp:lastModifiedBy>
  <cp:revision>2</cp:revision>
  <cp:lastPrinted>2004-01-30T10:23:00Z</cp:lastPrinted>
  <dcterms:created xsi:type="dcterms:W3CDTF">2004-01-30T10:27:00Z</dcterms:created>
  <dcterms:modified xsi:type="dcterms:W3CDTF">2004-01-30T10:27:00Z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EN</vt:lpwstr>
  </property>
  <property fmtid="{D5CDD505-2E9C-101B-9397-08002B2CF9AE}" pid="3" name="&lt;FdR&gt;">
    <vt:lpwstr>521968</vt:lpwstr>
  </property>
  <property fmtid="{D5CDD505-2E9C-101B-9397-08002B2CF9AE}" pid="4" name="&lt;Model&gt;">
    <vt:lpwstr>PR_COD_1app</vt:lpwstr>
  </property>
  <property fmtid="{D5CDD505-2E9C-101B-9397-08002B2CF9AE}" pid="5" name="&lt;ModelCod&gt;">
    <vt:lpwstr>C:\Program Files\DocEP\DOCS\PR\Pr_Leg\COD\COD_1st\PR_COD_1app.dot(22/04/2003 18:03:10)</vt:lpwstr>
  </property>
  <property fmtid="{D5CDD505-2E9C-101B-9397-08002B2CF9AE}" pid="6" name="&lt;ModelTra&gt;">
    <vt:lpwstr>C:\Program Files\DocEP\TRANSFIL\EN\PR_COD_1app.EN(16/10/2003 17:01:10)</vt:lpwstr>
  </property>
  <property fmtid="{D5CDD505-2E9C-101B-9397-08002B2CF9AE}" pid="7" name="&lt;ModelVie&gt;">
    <vt:lpwstr>C:\Program Files\DocEP\Help\VIEWER\EN\PR_COD_1app.htm</vt:lpwstr>
  </property>
  <property fmtid="{D5CDD505-2E9C-101B-9397-08002B2CF9AE}" pid="8" name="&lt;Type&gt;">
    <vt:lpwstr>RR</vt:lpwstr>
  </property>
  <property fmtid="{D5CDD505-2E9C-101B-9397-08002B2CF9AE}" pid="9" name="CloseDOCEP">
    <vt:lpwstr>False</vt:lpwstr>
  </property>
  <property fmtid="{D5CDD505-2E9C-101B-9397-08002B2CF9AE}" pid="10" name="Created with">
    <vt:lpwstr>4.12 Build [20000401]</vt:lpwstr>
  </property>
  <property fmtid="{D5CDD505-2E9C-101B-9397-08002B2CF9AE}" pid="11" name="FooterPath">
    <vt:lpwstr>RR\521968EN.doc</vt:lpwstr>
  </property>
  <property fmtid="{D5CDD505-2E9C-101B-9397-08002B2CF9AE}" pid="12" name="FromRER">
    <vt:lpwstr>CANCEL</vt:lpwstr>
  </property>
  <property fmtid="{D5CDD505-2E9C-101B-9397-08002B2CF9AE}" pid="13" name="LastEdited with">
    <vt:lpwstr>6.0.2 Build [20030704]</vt:lpwstr>
  </property>
  <property fmtid="{D5CDD505-2E9C-101B-9397-08002B2CF9AE}" pid="14" name="PE Number">
    <vt:lpwstr>334.047</vt:lpwstr>
  </property>
  <property fmtid="{D5CDD505-2E9C-101B-9397-08002B2CF9AE}" pid="15" name="propEpadesTrad">
    <vt:lpwstr>\\epades\trad\DG2\CULT\PR\512\512879EN.doc</vt:lpwstr>
  </property>
  <property fmtid="{D5CDD505-2E9C-101B-9397-08002B2CF9AE}" pid="16" name="propFRAG">
    <vt:lpwstr/>
  </property>
  <property fmtid="{D5CDD505-2E9C-101B-9397-08002B2CF9AE}" pid="17" name="propSERVICE">
    <vt:lpwstr>CULT</vt:lpwstr>
  </property>
  <property fmtid="{D5CDD505-2E9C-101B-9397-08002B2CF9AE}" pid="18" name="propTYPEDOC">
    <vt:lpwstr>CULTPR</vt:lpwstr>
  </property>
  <property fmtid="{D5CDD505-2E9C-101B-9397-08002B2CF9AE}" pid="19" name="propVERSION">
    <vt:lpwstr/>
  </property>
</Properties>
</file>