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96B79" w:rsidRPr="00CD542F" w:rsidTr="00696B79">
        <w:trPr>
          <w:trHeight w:hRule="exact" w:val="1418"/>
        </w:trPr>
        <w:tc>
          <w:tcPr>
            <w:tcW w:w="6804" w:type="dxa"/>
            <w:vAlign w:val="center"/>
            <w:hideMark/>
          </w:tcPr>
          <w:p w:rsidR="00696B79" w:rsidRPr="00CD542F" w:rsidRDefault="00DD502E">
            <w:pPr>
              <w:pStyle w:val="EPName"/>
            </w:pPr>
            <w:r w:rsidRPr="00CD542F">
              <w:t>Europees Parlement</w:t>
            </w:r>
          </w:p>
          <w:p w:rsidR="00696B79" w:rsidRPr="00CD542F" w:rsidRDefault="00DF649B" w:rsidP="00DF649B">
            <w:pPr>
              <w:pStyle w:val="EPTerm"/>
              <w:rPr>
                <w:rStyle w:val="HideTWBExt"/>
                <w:noProof w:val="0"/>
                <w:vanish w:val="0"/>
                <w:color w:val="auto"/>
              </w:rPr>
            </w:pPr>
            <w:r w:rsidRPr="00CD542F">
              <w:t>2014-2019</w:t>
            </w:r>
          </w:p>
        </w:tc>
        <w:tc>
          <w:tcPr>
            <w:tcW w:w="2268" w:type="dxa"/>
            <w:hideMark/>
          </w:tcPr>
          <w:p w:rsidR="00696B79" w:rsidRPr="00CD542F" w:rsidRDefault="008A3FE6">
            <w:pPr>
              <w:pStyle w:val="EPLogo"/>
            </w:pPr>
            <w:r w:rsidRPr="00CD542F">
              <w:rPr>
                <w:noProof/>
                <w:lang w:val="en-GB" w:eastAsia="en-GB" w:bidi="ar-SA"/>
              </w:rPr>
              <w:drawing>
                <wp:inline distT="0" distB="0" distL="0" distR="0" wp14:anchorId="5DF1FA11" wp14:editId="271341FB">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1742E9" w:rsidRPr="00CD542F" w:rsidRDefault="001742E9" w:rsidP="001742E9">
      <w:pPr>
        <w:pStyle w:val="LineTop"/>
      </w:pPr>
    </w:p>
    <w:p w:rsidR="001742E9" w:rsidRPr="00CD542F" w:rsidRDefault="0053182B" w:rsidP="001742E9">
      <w:pPr>
        <w:pStyle w:val="ZCommittee"/>
      </w:pPr>
      <w:r>
        <w:t>Zittingsdocument</w:t>
      </w:r>
    </w:p>
    <w:p w:rsidR="001742E9" w:rsidRPr="00CD542F" w:rsidRDefault="001742E9" w:rsidP="001742E9">
      <w:pPr>
        <w:pStyle w:val="LineBottom"/>
      </w:pPr>
    </w:p>
    <w:p w:rsidR="00B328A0" w:rsidRPr="00CD542F" w:rsidRDefault="0053182B">
      <w:pPr>
        <w:pStyle w:val="RefProc"/>
      </w:pPr>
      <w:r w:rsidRPr="0053182B">
        <w:rPr>
          <w:rStyle w:val="HideTWBExt"/>
        </w:rPr>
        <w:t>&lt;NoDocSe&gt;</w:t>
      </w:r>
      <w:r w:rsidRPr="0053182B">
        <w:t>A8-0269/2016</w:t>
      </w:r>
      <w:r w:rsidRPr="0053182B">
        <w:rPr>
          <w:rStyle w:val="HideTWBExt"/>
        </w:rPr>
        <w:t>&lt;/NoDocSe&gt;</w:t>
      </w:r>
    </w:p>
    <w:p w:rsidR="00B328A0" w:rsidRPr="00CD542F" w:rsidRDefault="00B328A0">
      <w:pPr>
        <w:pStyle w:val="ZDate"/>
      </w:pPr>
      <w:r w:rsidRPr="00CD542F">
        <w:rPr>
          <w:rStyle w:val="HideTWBExt"/>
          <w:noProof w:val="0"/>
        </w:rPr>
        <w:t>&lt;Date&gt;</w:t>
      </w:r>
      <w:r w:rsidR="0053182B" w:rsidRPr="0053182B">
        <w:rPr>
          <w:rStyle w:val="HideTWBInt"/>
        </w:rPr>
        <w:t>{29/09/2016}</w:t>
      </w:r>
      <w:r w:rsidR="0053182B" w:rsidRPr="0053182B">
        <w:t>29.9.2016</w:t>
      </w:r>
      <w:r w:rsidRPr="00CD542F">
        <w:rPr>
          <w:rStyle w:val="HideTWBExt"/>
          <w:noProof w:val="0"/>
        </w:rPr>
        <w:t>&lt;/Date&gt;</w:t>
      </w:r>
    </w:p>
    <w:p w:rsidR="00B328A0" w:rsidRPr="00CD542F" w:rsidRDefault="00B328A0">
      <w:pPr>
        <w:pStyle w:val="StarsAndIs"/>
      </w:pPr>
      <w:r w:rsidRPr="00CD542F">
        <w:rPr>
          <w:rStyle w:val="HideTWBExt"/>
          <w:b w:val="0"/>
          <w:noProof w:val="0"/>
        </w:rPr>
        <w:t>&lt;RefProcLect&gt;</w:t>
      </w:r>
      <w:r w:rsidRPr="00CD542F">
        <w:t>***II</w:t>
      </w:r>
      <w:r w:rsidRPr="00CD542F">
        <w:rPr>
          <w:rStyle w:val="HideTWBExt"/>
          <w:b w:val="0"/>
          <w:noProof w:val="0"/>
        </w:rPr>
        <w:t>&lt;/RefProcLect&gt;</w:t>
      </w:r>
    </w:p>
    <w:p w:rsidR="00B328A0" w:rsidRPr="00CD542F" w:rsidRDefault="00B328A0">
      <w:pPr>
        <w:pStyle w:val="TypeDoc"/>
      </w:pPr>
      <w:r w:rsidRPr="00CD542F">
        <w:rPr>
          <w:rStyle w:val="HideTWBExt"/>
          <w:b w:val="0"/>
          <w:noProof w:val="0"/>
        </w:rPr>
        <w:t>&lt;TitreType&gt;</w:t>
      </w:r>
      <w:r w:rsidR="0053182B" w:rsidRPr="0053182B">
        <w:t>ONTWERPAANBEVELING VOOR DE TWEEDE LEZING</w:t>
      </w:r>
      <w:r w:rsidRPr="00CD542F">
        <w:rPr>
          <w:rStyle w:val="HideTWBExt"/>
          <w:b w:val="0"/>
          <w:noProof w:val="0"/>
        </w:rPr>
        <w:t>&lt;/TitreType&gt;</w:t>
      </w:r>
    </w:p>
    <w:p w:rsidR="00B328A0" w:rsidRPr="00CD542F" w:rsidRDefault="00B328A0">
      <w:pPr>
        <w:pStyle w:val="CoverNormal"/>
      </w:pPr>
      <w:r w:rsidRPr="00CD542F">
        <w:rPr>
          <w:rStyle w:val="HideTWBExt"/>
          <w:noProof w:val="0"/>
        </w:rPr>
        <w:t>&lt;Titre&gt;</w:t>
      </w:r>
      <w:r w:rsidRPr="00CD542F">
        <w:t>over het standpunt van de Raad in eerste lezing met het oog op de aanneming van een richtlijn van het Europees Parlement en de Raad over de toegankelijkheid van de websites en mobiele applicaties van overheidsinstanties</w:t>
      </w:r>
      <w:r w:rsidRPr="00CD542F">
        <w:rPr>
          <w:rStyle w:val="HideTWBExt"/>
          <w:noProof w:val="0"/>
        </w:rPr>
        <w:t>&lt;/Titre&gt;</w:t>
      </w:r>
    </w:p>
    <w:p w:rsidR="00B328A0" w:rsidRPr="00CD542F" w:rsidRDefault="00B328A0">
      <w:pPr>
        <w:pStyle w:val="Cover24"/>
      </w:pPr>
      <w:r w:rsidRPr="00CD542F">
        <w:rPr>
          <w:rStyle w:val="HideTWBExt"/>
          <w:noProof w:val="0"/>
        </w:rPr>
        <w:t>&lt;DocRef&gt;</w:t>
      </w:r>
      <w:r w:rsidRPr="00CD542F">
        <w:t>(09389/1/2016 – C8-0360/2016 – 2012/0340(COD))</w:t>
      </w:r>
      <w:r w:rsidRPr="00CD542F">
        <w:rPr>
          <w:rStyle w:val="HideTWBExt"/>
          <w:noProof w:val="0"/>
        </w:rPr>
        <w:t>&lt;/DocRef&gt;</w:t>
      </w:r>
    </w:p>
    <w:p w:rsidR="00B328A0" w:rsidRPr="00CD542F" w:rsidRDefault="00B328A0">
      <w:pPr>
        <w:pStyle w:val="Cover24"/>
      </w:pPr>
      <w:r w:rsidRPr="00CD542F">
        <w:rPr>
          <w:rStyle w:val="HideTWBExt"/>
          <w:noProof w:val="0"/>
        </w:rPr>
        <w:t>&lt;Commission&gt;</w:t>
      </w:r>
      <w:r w:rsidRPr="00CD542F">
        <w:rPr>
          <w:rStyle w:val="HideTWBInt"/>
        </w:rPr>
        <w:t>{IMCO}</w:t>
      </w:r>
      <w:r w:rsidRPr="00CD542F">
        <w:t>Commissie interne markt en consumentenbescherming</w:t>
      </w:r>
      <w:r w:rsidRPr="00CD542F">
        <w:rPr>
          <w:rStyle w:val="HideTWBExt"/>
          <w:noProof w:val="0"/>
        </w:rPr>
        <w:t>&lt;/Commission&gt;</w:t>
      </w:r>
    </w:p>
    <w:p w:rsidR="00B328A0" w:rsidRPr="00CD542F" w:rsidRDefault="00DD502E">
      <w:pPr>
        <w:pStyle w:val="Cover24"/>
      </w:pPr>
      <w:r w:rsidRPr="00CD542F">
        <w:t xml:space="preserve">Rapporteur: </w:t>
      </w:r>
      <w:r w:rsidRPr="00CD542F">
        <w:rPr>
          <w:rStyle w:val="HideTWBExt"/>
          <w:noProof w:val="0"/>
        </w:rPr>
        <w:t>&lt;Depute&gt;</w:t>
      </w:r>
      <w:r w:rsidRPr="00CD542F">
        <w:t>Dita Charanzová</w:t>
      </w:r>
      <w:r w:rsidRPr="00CD542F">
        <w:rPr>
          <w:rStyle w:val="HideTWBExt"/>
          <w:noProof w:val="0"/>
        </w:rPr>
        <w:t>&lt;/Depute&gt;</w:t>
      </w:r>
    </w:p>
    <w:p w:rsidR="00E91F5F" w:rsidRPr="00CD542F" w:rsidRDefault="00E91F5F" w:rsidP="00E91F5F">
      <w:pPr>
        <w:pStyle w:val="CoverNormal"/>
      </w:pPr>
    </w:p>
    <w:p w:rsidR="00B328A0" w:rsidRPr="00CD542F" w:rsidRDefault="00B328A0" w:rsidP="00744DF3">
      <w:pPr>
        <w:widowControl/>
        <w:tabs>
          <w:tab w:val="center" w:pos="4677"/>
        </w:tabs>
      </w:pPr>
      <w:r w:rsidRPr="00CD542F">
        <w:br w:type="page"/>
      </w:r>
      <w:bookmarkStart w:id="0" w:name="DocEPTmpStart"/>
      <w:bookmarkEnd w:id="0"/>
    </w:p>
    <w:p w:rsidR="00DF649B" w:rsidRPr="00CD542F" w:rsidRDefault="00157466">
      <w:r>
        <w:lastRenderedPageBreak/>
        <w:fldChar w:fldCharType="begin"/>
      </w:r>
      <w:r>
        <w:instrText>TITLE \* MERGEFORMAT</w:instrText>
      </w:r>
      <w:r>
        <w:fldChar w:fldCharType="separate"/>
      </w:r>
      <w:r>
        <w:t>PR_COD_2app</w:t>
      </w:r>
      <w:r>
        <w:fldChar w:fldCharType="end"/>
      </w:r>
    </w:p>
    <w:p w:rsidR="00DF649B" w:rsidRPr="00CD542F" w:rsidRDefault="00DF649B"/>
    <w:p w:rsidR="00DF649B" w:rsidRPr="00CD542F" w:rsidRDefault="00DF649B"/>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F649B" w:rsidRPr="00CD542F">
        <w:tc>
          <w:tcPr>
            <w:tcW w:w="5811" w:type="dxa"/>
          </w:tcPr>
          <w:p w:rsidR="00DF649B" w:rsidRPr="00CD542F" w:rsidRDefault="00DF649B">
            <w:pPr>
              <w:pStyle w:val="Lgendetitre"/>
            </w:pPr>
            <w:r w:rsidRPr="00CD542F">
              <w:t>Verklaring van de gebruikte tekens</w:t>
            </w:r>
          </w:p>
        </w:tc>
      </w:tr>
      <w:tr w:rsidR="00DF649B" w:rsidRPr="00CD542F" w:rsidTr="00DF649B">
        <w:trPr>
          <w:cantSplit/>
          <w:trHeight w:val="1944"/>
        </w:trPr>
        <w:tc>
          <w:tcPr>
            <w:tcW w:w="5811" w:type="dxa"/>
            <w:tcBorders>
              <w:bottom w:val="single" w:sz="4" w:space="0" w:color="auto"/>
            </w:tcBorders>
          </w:tcPr>
          <w:p w:rsidR="00DF649B" w:rsidRPr="00CD542F" w:rsidRDefault="00DF649B">
            <w:pPr>
              <w:pStyle w:val="Lgendesigne"/>
            </w:pPr>
            <w:r w:rsidRPr="00CD542F">
              <w:tab/>
              <w:t>*</w:t>
            </w:r>
            <w:r w:rsidRPr="00CD542F">
              <w:tab/>
              <w:t>Raadplegingsprocedure</w:t>
            </w:r>
          </w:p>
          <w:p w:rsidR="00DF649B" w:rsidRPr="00CD542F" w:rsidRDefault="00DF649B">
            <w:pPr>
              <w:pStyle w:val="Lgendesigne"/>
            </w:pPr>
            <w:r w:rsidRPr="00CD542F">
              <w:tab/>
              <w:t>***</w:t>
            </w:r>
            <w:r w:rsidRPr="00CD542F">
              <w:tab/>
              <w:t>Goedkeuringsprocedure</w:t>
            </w:r>
          </w:p>
          <w:p w:rsidR="00DF649B" w:rsidRPr="00CD542F" w:rsidRDefault="00DF649B">
            <w:pPr>
              <w:pStyle w:val="Lgendesigne"/>
            </w:pPr>
            <w:r w:rsidRPr="00CD542F">
              <w:tab/>
              <w:t>***I</w:t>
            </w:r>
            <w:r w:rsidRPr="00CD542F">
              <w:tab/>
              <w:t>Gewone wetgevingsprocedure (eerste lezing)</w:t>
            </w:r>
          </w:p>
          <w:p w:rsidR="00DF649B" w:rsidRPr="00CD542F" w:rsidRDefault="00DF649B">
            <w:pPr>
              <w:pStyle w:val="Lgendesigne"/>
            </w:pPr>
            <w:r w:rsidRPr="00CD542F">
              <w:tab/>
              <w:t>***II</w:t>
            </w:r>
            <w:r w:rsidRPr="00CD542F">
              <w:tab/>
              <w:t>Gewone wetgevingsprocedure (tweede lezing)</w:t>
            </w:r>
          </w:p>
          <w:p w:rsidR="00DF649B" w:rsidRPr="00CD542F" w:rsidRDefault="00DF649B">
            <w:pPr>
              <w:pStyle w:val="Lgendesigne"/>
            </w:pPr>
            <w:r w:rsidRPr="00CD542F">
              <w:tab/>
              <w:t>***III</w:t>
            </w:r>
            <w:r w:rsidRPr="00CD542F">
              <w:tab/>
              <w:t>Gewone wetgevingsprocedure (derde lezing)</w:t>
            </w:r>
          </w:p>
          <w:p w:rsidR="00DF649B" w:rsidRPr="00CD542F" w:rsidRDefault="00DF649B">
            <w:pPr>
              <w:pStyle w:val="Lgendesigne"/>
              <w:ind w:left="0" w:firstLine="0"/>
            </w:pPr>
          </w:p>
          <w:p w:rsidR="00DF649B" w:rsidRPr="00CD542F" w:rsidRDefault="00DF649B">
            <w:pPr>
              <w:pStyle w:val="Lgendestandard"/>
            </w:pPr>
            <w:r w:rsidRPr="00CD542F">
              <w:t>(De aangeduide procedure is gebaseerd op de in de ontwerptekst voorgestelde rechtsgrond.)</w:t>
            </w:r>
          </w:p>
          <w:p w:rsidR="00DF649B" w:rsidRPr="00CD542F" w:rsidRDefault="00DF649B">
            <w:pPr>
              <w:pStyle w:val="Lgendesigne"/>
              <w:ind w:left="0" w:firstLine="0"/>
            </w:pPr>
          </w:p>
        </w:tc>
      </w:tr>
    </w:tbl>
    <w:p w:rsidR="00DF649B" w:rsidRPr="00CD542F" w:rsidRDefault="00DF649B"/>
    <w:p w:rsidR="00DF649B" w:rsidRPr="00CD542F" w:rsidRDefault="00DF649B"/>
    <w:p w:rsidR="00DF649B" w:rsidRPr="00CD542F" w:rsidRDefault="00DF649B"/>
    <w:p w:rsidR="00DF649B" w:rsidRPr="00CD542F" w:rsidRDefault="00DF649B"/>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DF649B" w:rsidRPr="00CD542F">
        <w:tc>
          <w:tcPr>
            <w:tcW w:w="5811" w:type="dxa"/>
          </w:tcPr>
          <w:p w:rsidR="00DF649B" w:rsidRPr="00CD542F" w:rsidRDefault="00DF649B">
            <w:pPr>
              <w:pStyle w:val="Lgendetitre"/>
            </w:pPr>
            <w:r w:rsidRPr="00CD542F">
              <w:t>Amendementen op een ontwerptekst</w:t>
            </w:r>
          </w:p>
        </w:tc>
      </w:tr>
      <w:tr w:rsidR="00DF649B" w:rsidRPr="00CD542F">
        <w:tc>
          <w:tcPr>
            <w:tcW w:w="5811" w:type="dxa"/>
          </w:tcPr>
          <w:p w:rsidR="00DF649B" w:rsidRPr="00CD542F" w:rsidRDefault="00DF649B" w:rsidP="00DF649B">
            <w:pPr>
              <w:pStyle w:val="Lgendestandard"/>
              <w:rPr>
                <w:szCs w:val="24"/>
              </w:rPr>
            </w:pPr>
            <w:r w:rsidRPr="00CD542F">
              <w:rPr>
                <w:b/>
              </w:rPr>
              <w:t>Amendementen van het Parlement in twee kolommen</w:t>
            </w:r>
          </w:p>
          <w:p w:rsidR="00DF649B" w:rsidRPr="00CD542F" w:rsidRDefault="00DF649B" w:rsidP="00DF649B">
            <w:pPr>
              <w:pStyle w:val="Lgendestandard"/>
              <w:rPr>
                <w:szCs w:val="24"/>
              </w:rPr>
            </w:pPr>
          </w:p>
          <w:p w:rsidR="00DF649B" w:rsidRPr="00CD542F" w:rsidRDefault="00DF649B" w:rsidP="00DF649B">
            <w:pPr>
              <w:pStyle w:val="Lgendestandard"/>
              <w:rPr>
                <w:szCs w:val="24"/>
              </w:rPr>
            </w:pPr>
            <w:r w:rsidRPr="00CD542F">
              <w:t xml:space="preserve">Geschrapte tekstdelen worden in de linkerkolom in </w:t>
            </w:r>
            <w:r w:rsidRPr="00CD542F">
              <w:rPr>
                <w:b/>
                <w:i/>
              </w:rPr>
              <w:t>vet cursief</w:t>
            </w:r>
            <w:r w:rsidRPr="00CD542F">
              <w:t xml:space="preserve"> aangegeven. Vervangen tekstdelen worden in beide kolommen in </w:t>
            </w:r>
            <w:r w:rsidRPr="00CD542F">
              <w:rPr>
                <w:b/>
                <w:i/>
              </w:rPr>
              <w:t>vet cursief</w:t>
            </w:r>
            <w:r w:rsidRPr="00CD542F">
              <w:t xml:space="preserve"> aangegeven. Nieuwe tekst wordt in de rechterkolom in </w:t>
            </w:r>
            <w:r w:rsidRPr="00CD542F">
              <w:rPr>
                <w:b/>
                <w:i/>
              </w:rPr>
              <w:t>vet cursief</w:t>
            </w:r>
            <w:r w:rsidRPr="00CD542F">
              <w:t xml:space="preserve"> aangegeven.</w:t>
            </w:r>
          </w:p>
          <w:p w:rsidR="00DF649B" w:rsidRPr="00CD542F" w:rsidRDefault="00DF649B" w:rsidP="00DF649B">
            <w:pPr>
              <w:pStyle w:val="Lgendestandard"/>
              <w:rPr>
                <w:szCs w:val="24"/>
              </w:rPr>
            </w:pPr>
          </w:p>
          <w:p w:rsidR="00DF649B" w:rsidRPr="00CD542F" w:rsidRDefault="00DF649B" w:rsidP="00DF649B">
            <w:pPr>
              <w:pStyle w:val="Lgendestandard"/>
              <w:rPr>
                <w:szCs w:val="24"/>
              </w:rPr>
            </w:pPr>
            <w:r w:rsidRPr="00CD542F">
              <w:t>In de eerste en tweede regel van de koptekst boven elk amendement wordt verwezen naar het tekstdeel in kwestie van de ontwerphandeling. Indien een amendement betrekking heeft op een bestaande handeling, waarop in de ontwerphandeling wijzigingen worden voorgesteld, bevat de koptekst bovendien een derde en vierde regel, die verwijzen naar de bestaande handeling respectievelijk naar de bepaling in kwestie.</w:t>
            </w:r>
          </w:p>
          <w:p w:rsidR="00DF649B" w:rsidRPr="00CD542F" w:rsidRDefault="00DF649B" w:rsidP="00DF649B">
            <w:pPr>
              <w:pStyle w:val="Lgendestandard"/>
              <w:rPr>
                <w:szCs w:val="24"/>
              </w:rPr>
            </w:pPr>
          </w:p>
          <w:p w:rsidR="00DF649B" w:rsidRPr="00CD542F" w:rsidRDefault="00DF649B" w:rsidP="00DF649B">
            <w:pPr>
              <w:pStyle w:val="Lgendestandard"/>
              <w:rPr>
                <w:b/>
                <w:szCs w:val="24"/>
              </w:rPr>
            </w:pPr>
            <w:r w:rsidRPr="00CD542F">
              <w:rPr>
                <w:b/>
              </w:rPr>
              <w:t>Amendementen van het Parlement in de vorm van een geconsolideerde tekst</w:t>
            </w:r>
          </w:p>
          <w:p w:rsidR="00DF649B" w:rsidRPr="00CD542F" w:rsidRDefault="00DF649B" w:rsidP="00DF649B">
            <w:pPr>
              <w:pStyle w:val="Lgendestandard"/>
              <w:rPr>
                <w:szCs w:val="24"/>
              </w:rPr>
            </w:pPr>
          </w:p>
          <w:p w:rsidR="00DF649B" w:rsidRPr="00CD542F" w:rsidRDefault="00DF649B" w:rsidP="00DF649B">
            <w:pPr>
              <w:pStyle w:val="Lgendestandard"/>
              <w:rPr>
                <w:szCs w:val="24"/>
              </w:rPr>
            </w:pPr>
            <w:r w:rsidRPr="00CD542F">
              <w:t xml:space="preserve">Nieuwe tekstdelen worden in </w:t>
            </w:r>
            <w:r w:rsidRPr="00CD542F">
              <w:rPr>
                <w:b/>
                <w:i/>
              </w:rPr>
              <w:t>vet cursief</w:t>
            </w:r>
            <w:r w:rsidRPr="00CD542F">
              <w:t xml:space="preserve"> aangegeven. Geschrapte tekstdelen worden aangegeven met het symbool ▌ of worden doorgestreept. Waar tekstdelen vervangen worden, wordt de nieuwe tekst in </w:t>
            </w:r>
            <w:r w:rsidRPr="00CD542F">
              <w:rPr>
                <w:b/>
                <w:i/>
              </w:rPr>
              <w:t>vet cursief</w:t>
            </w:r>
            <w:r w:rsidRPr="00CD542F">
              <w:t xml:space="preserve"> aangegeven, terwijl de vervangen tekst wordt geschrapt of doorgestreept. </w:t>
            </w:r>
          </w:p>
          <w:p w:rsidR="00DF649B" w:rsidRPr="00CD542F" w:rsidRDefault="00DF649B" w:rsidP="00DF649B">
            <w:pPr>
              <w:pStyle w:val="Lgendestandard"/>
              <w:rPr>
                <w:szCs w:val="24"/>
              </w:rPr>
            </w:pPr>
            <w:r w:rsidRPr="00CD542F">
              <w:t>Bij wijze van uitzondering worden zuiver technische wijzigingen die de diensten aanbrengen met het oog op de opstelling van de definitieve tekst, niet gemarkeerd.</w:t>
            </w:r>
          </w:p>
          <w:p w:rsidR="00DF649B" w:rsidRPr="00CD542F" w:rsidRDefault="00DF649B">
            <w:pPr>
              <w:pStyle w:val="Lgendestandard"/>
            </w:pPr>
          </w:p>
        </w:tc>
      </w:tr>
    </w:tbl>
    <w:p w:rsidR="00DF649B" w:rsidRPr="00CD542F" w:rsidRDefault="00DF649B"/>
    <w:p w:rsidR="00B328A0" w:rsidRPr="00CD542F" w:rsidRDefault="00B328A0" w:rsidP="00744DF3">
      <w:pPr>
        <w:widowControl/>
        <w:tabs>
          <w:tab w:val="center" w:pos="4677"/>
        </w:tabs>
      </w:pPr>
    </w:p>
    <w:p w:rsidR="00B328A0" w:rsidRPr="00CD542F" w:rsidRDefault="00B328A0">
      <w:pPr>
        <w:pStyle w:val="TOCHeading"/>
      </w:pPr>
      <w:r w:rsidRPr="00CD542F">
        <w:br w:type="page"/>
      </w:r>
      <w:r w:rsidRPr="00CD542F">
        <w:lastRenderedPageBreak/>
        <w:t>INHOUD</w:t>
      </w:r>
    </w:p>
    <w:p w:rsidR="00B328A0" w:rsidRPr="00CD542F" w:rsidRDefault="00DD502E">
      <w:pPr>
        <w:pStyle w:val="TOCPage"/>
      </w:pPr>
      <w:r w:rsidRPr="00CD542F">
        <w:t>Blz.</w:t>
      </w:r>
    </w:p>
    <w:p w:rsidR="00157466" w:rsidRDefault="00744DF3">
      <w:pPr>
        <w:pStyle w:val="TOC1"/>
        <w:tabs>
          <w:tab w:val="right" w:leader="dot" w:pos="9060"/>
        </w:tabs>
        <w:rPr>
          <w:rFonts w:asciiTheme="minorHAnsi" w:eastAsiaTheme="minorEastAsia" w:hAnsiTheme="minorHAnsi" w:cstheme="minorBidi"/>
          <w:noProof/>
          <w:sz w:val="22"/>
          <w:szCs w:val="22"/>
          <w:lang w:val="en-GB" w:eastAsia="en-GB" w:bidi="ar-SA"/>
        </w:rPr>
      </w:pPr>
      <w:r w:rsidRPr="00CD542F">
        <w:rPr>
          <w:b/>
        </w:rPr>
        <w:fldChar w:fldCharType="begin"/>
      </w:r>
      <w:r w:rsidRPr="00CD542F">
        <w:rPr>
          <w:b/>
        </w:rPr>
        <w:instrText xml:space="preserve"> TOC \t "PageHeading</w:instrText>
      </w:r>
      <w:r w:rsidR="0053182B">
        <w:rPr>
          <w:b/>
        </w:rPr>
        <w:instrText>;</w:instrText>
      </w:r>
      <w:r w:rsidRPr="00CD542F">
        <w:rPr>
          <w:b/>
        </w:rPr>
        <w:instrText xml:space="preserve">1" </w:instrText>
      </w:r>
      <w:r w:rsidRPr="00CD542F">
        <w:rPr>
          <w:b/>
        </w:rPr>
        <w:fldChar w:fldCharType="separate"/>
      </w:r>
      <w:r w:rsidR="00157466">
        <w:rPr>
          <w:noProof/>
        </w:rPr>
        <w:t>ONTWERPWETGEVINGSRESOLUTIE VAN HET EUROPEES PARLEMENT</w:t>
      </w:r>
      <w:r w:rsidR="00157466">
        <w:rPr>
          <w:noProof/>
        </w:rPr>
        <w:tab/>
      </w:r>
      <w:r w:rsidR="00157466">
        <w:rPr>
          <w:noProof/>
        </w:rPr>
        <w:fldChar w:fldCharType="begin"/>
      </w:r>
      <w:r w:rsidR="00157466">
        <w:rPr>
          <w:noProof/>
        </w:rPr>
        <w:instrText xml:space="preserve"> PAGEREF _Toc462995675 \h </w:instrText>
      </w:r>
      <w:r w:rsidR="00157466">
        <w:rPr>
          <w:noProof/>
        </w:rPr>
      </w:r>
      <w:r w:rsidR="00157466">
        <w:rPr>
          <w:noProof/>
        </w:rPr>
        <w:fldChar w:fldCharType="separate"/>
      </w:r>
      <w:r w:rsidR="00157466">
        <w:rPr>
          <w:noProof/>
        </w:rPr>
        <w:t>5</w:t>
      </w:r>
      <w:r w:rsidR="00157466">
        <w:rPr>
          <w:noProof/>
        </w:rPr>
        <w:fldChar w:fldCharType="end"/>
      </w:r>
    </w:p>
    <w:p w:rsidR="00157466" w:rsidRDefault="0015746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PROCEDURE VAN DE TEN PRINCIPALE BEVOEGDE COMMISSIE</w:t>
      </w:r>
      <w:r>
        <w:rPr>
          <w:noProof/>
        </w:rPr>
        <w:tab/>
      </w:r>
      <w:r>
        <w:rPr>
          <w:noProof/>
        </w:rPr>
        <w:fldChar w:fldCharType="begin"/>
      </w:r>
      <w:r>
        <w:rPr>
          <w:noProof/>
        </w:rPr>
        <w:instrText xml:space="preserve"> PAGEREF _Toc462995676 \h </w:instrText>
      </w:r>
      <w:r>
        <w:rPr>
          <w:noProof/>
        </w:rPr>
      </w:r>
      <w:r>
        <w:rPr>
          <w:noProof/>
        </w:rPr>
        <w:fldChar w:fldCharType="separate"/>
      </w:r>
      <w:r>
        <w:rPr>
          <w:noProof/>
        </w:rPr>
        <w:t>6</w:t>
      </w:r>
      <w:r>
        <w:rPr>
          <w:noProof/>
        </w:rPr>
        <w:fldChar w:fldCharType="end"/>
      </w:r>
    </w:p>
    <w:p w:rsidR="0041169E" w:rsidRPr="00CD542F" w:rsidRDefault="00744DF3">
      <w:pPr>
        <w:pStyle w:val="TOC1"/>
        <w:tabs>
          <w:tab w:val="right" w:leader="dot" w:pos="9060"/>
        </w:tabs>
        <w:rPr>
          <w:rFonts w:asciiTheme="minorHAnsi" w:eastAsiaTheme="minorEastAsia" w:hAnsiTheme="minorHAnsi" w:cstheme="minorBidi"/>
          <w:sz w:val="22"/>
          <w:szCs w:val="22"/>
        </w:rPr>
      </w:pPr>
      <w:r w:rsidRPr="00CD542F">
        <w:rPr>
          <w:b/>
        </w:rPr>
        <w:fldChar w:fldCharType="end"/>
      </w:r>
    </w:p>
    <w:p w:rsidR="00AB2BE6" w:rsidRPr="00CD542F" w:rsidRDefault="00AB2BE6" w:rsidP="00AB2BE6"/>
    <w:p w:rsidR="00AB2BE6" w:rsidRPr="00CD542F" w:rsidRDefault="00AB2BE6">
      <w:pPr>
        <w:pStyle w:val="PageHeading"/>
      </w:pPr>
    </w:p>
    <w:p w:rsidR="00B328A0" w:rsidRPr="00CD542F" w:rsidRDefault="00B328A0">
      <w:pPr>
        <w:pStyle w:val="PageHeading"/>
      </w:pPr>
      <w:r w:rsidRPr="00CD542F">
        <w:br w:type="page"/>
      </w:r>
      <w:r w:rsidRPr="00CD542F">
        <w:lastRenderedPageBreak/>
        <w:br w:type="page"/>
      </w:r>
      <w:bookmarkStart w:id="1" w:name="_Toc462137947"/>
      <w:bookmarkStart w:id="2" w:name="_Toc462995675"/>
      <w:r w:rsidRPr="00CD542F">
        <w:lastRenderedPageBreak/>
        <w:t>ONTWERPWETGEVINGSRESOLUTIE VAN HET EUROPEES PARLEMENT</w:t>
      </w:r>
      <w:bookmarkEnd w:id="1"/>
      <w:bookmarkEnd w:id="2"/>
    </w:p>
    <w:p w:rsidR="00B328A0" w:rsidRPr="00CD542F" w:rsidRDefault="00DD502E">
      <w:pPr>
        <w:pStyle w:val="NormalBold"/>
      </w:pPr>
      <w:r w:rsidRPr="00CD542F">
        <w:t>over het standpunt van de Raad in eerste lezing met het oog op de aanneming van een richtlijn van het Europees Parlement en de Raad over de toegankelijkheid van de websites en mobiele applicaties van overheidsinstanties</w:t>
      </w:r>
    </w:p>
    <w:p w:rsidR="00B328A0" w:rsidRPr="00CD542F" w:rsidRDefault="00DD502E">
      <w:pPr>
        <w:pStyle w:val="Normal12Bold"/>
      </w:pPr>
      <w:r w:rsidRPr="00CD542F">
        <w:t>(09389/1/2016 – C8-0360/2016 – 2012/0340(COD))</w:t>
      </w:r>
    </w:p>
    <w:p w:rsidR="00B328A0" w:rsidRPr="00CD542F" w:rsidRDefault="00DD502E">
      <w:pPr>
        <w:pStyle w:val="Normal12Bold"/>
      </w:pPr>
      <w:r w:rsidRPr="00CD542F">
        <w:t>(Gewone wetgevingsprocedure: tweede lezing)</w:t>
      </w:r>
    </w:p>
    <w:p w:rsidR="00B328A0" w:rsidRPr="00CD542F" w:rsidRDefault="00DD502E">
      <w:pPr>
        <w:pStyle w:val="Normal12"/>
      </w:pPr>
      <w:r w:rsidRPr="00CD542F">
        <w:rPr>
          <w:i/>
        </w:rPr>
        <w:t>Het Europees Parlement</w:t>
      </w:r>
      <w:r w:rsidRPr="00CD542F">
        <w:t>,</w:t>
      </w:r>
    </w:p>
    <w:p w:rsidR="00B328A0" w:rsidRPr="00CD542F" w:rsidRDefault="00B328A0">
      <w:pPr>
        <w:pStyle w:val="Normal12Hanging"/>
      </w:pPr>
      <w:r w:rsidRPr="00CD542F">
        <w:t>–</w:t>
      </w:r>
      <w:r w:rsidRPr="00CD542F">
        <w:tab/>
        <w:t>gezien het standpunt van de Raad in eerste lezing (09389/1/2016 – C8-</w:t>
      </w:r>
      <w:bookmarkStart w:id="3" w:name="DocEPLastVariable"/>
      <w:bookmarkEnd w:id="3"/>
      <w:r w:rsidRPr="00CD542F">
        <w:t>0360/2016),</w:t>
      </w:r>
    </w:p>
    <w:p w:rsidR="00DF649B" w:rsidRPr="00CD542F" w:rsidRDefault="00F90BF7" w:rsidP="00F90BF7">
      <w:pPr>
        <w:pStyle w:val="Normal12Hanging"/>
      </w:pPr>
      <w:r w:rsidRPr="00CD542F">
        <w:t>–</w:t>
      </w:r>
      <w:r w:rsidRPr="00CD542F">
        <w:tab/>
        <w:t>gezien het advies van het Europees Economisch en Sociaal Comité van 22 mei 2013</w:t>
      </w:r>
      <w:r w:rsidRPr="00CD542F">
        <w:rPr>
          <w:rStyle w:val="FootnoteReference"/>
        </w:rPr>
        <w:footnoteReference w:id="1"/>
      </w:r>
      <w:r w:rsidRPr="00CD542F">
        <w:t>,</w:t>
      </w:r>
    </w:p>
    <w:p w:rsidR="00F90BF7" w:rsidRPr="00CD542F" w:rsidRDefault="00DF649B" w:rsidP="00F90BF7">
      <w:pPr>
        <w:pStyle w:val="Normal12Hanging"/>
      </w:pPr>
      <w:r w:rsidRPr="00CD542F">
        <w:t>–</w:t>
      </w:r>
      <w:r w:rsidRPr="00CD542F">
        <w:tab/>
        <w:t>gezien zijn in eerste lezing geformuleerde standpunt inzake het voorstel van de Commissie aan het Parlement en de Raad (COM(2012)0721)</w:t>
      </w:r>
      <w:r w:rsidRPr="00CD542F">
        <w:rPr>
          <w:rStyle w:val="FootnoteReference"/>
        </w:rPr>
        <w:footnoteReference w:id="2"/>
      </w:r>
      <w:r w:rsidRPr="00CD542F">
        <w:t>,</w:t>
      </w:r>
    </w:p>
    <w:p w:rsidR="00C83E85" w:rsidRPr="00CD542F" w:rsidRDefault="00C83E85" w:rsidP="00C83E85">
      <w:pPr>
        <w:pStyle w:val="Normal12Hanging"/>
      </w:pPr>
      <w:r w:rsidRPr="00CD542F">
        <w:t>–</w:t>
      </w:r>
      <w:r w:rsidRPr="00CD542F">
        <w:tab/>
        <w:t>gezien artikel 294, lid 7, van het Verdrag betreffende de werking van de Europese Unie,</w:t>
      </w:r>
    </w:p>
    <w:p w:rsidR="00C83E85" w:rsidRPr="00CD542F" w:rsidRDefault="00C83E85" w:rsidP="00C83E85">
      <w:pPr>
        <w:pStyle w:val="Normal12Hanging"/>
      </w:pPr>
      <w:r w:rsidRPr="00CD542F">
        <w:t>–</w:t>
      </w:r>
      <w:r w:rsidRPr="00CD542F">
        <w:tab/>
        <w:t>gezien artikel 76 van zijn Reglement,</w:t>
      </w:r>
    </w:p>
    <w:p w:rsidR="00B328A0" w:rsidRPr="00CD542F" w:rsidRDefault="00B328A0">
      <w:pPr>
        <w:pStyle w:val="Normal12Hanging"/>
      </w:pPr>
      <w:r w:rsidRPr="00CD542F">
        <w:t>–</w:t>
      </w:r>
      <w:r w:rsidRPr="00CD542F">
        <w:tab/>
        <w:t>gezien de aanbeveling voor de tweede lezing van de Commissie interne markt en consumentenbescherming (</w:t>
      </w:r>
      <w:r w:rsidR="0053182B">
        <w:t>A8-0269/2016</w:t>
      </w:r>
      <w:r w:rsidRPr="00CD542F">
        <w:t>),</w:t>
      </w:r>
    </w:p>
    <w:p w:rsidR="00B328A0" w:rsidRPr="00CD542F" w:rsidRDefault="00B328A0">
      <w:pPr>
        <w:pStyle w:val="Normal12Hanging"/>
      </w:pPr>
      <w:r w:rsidRPr="00CD542F">
        <w:t>1.</w:t>
      </w:r>
      <w:r w:rsidRPr="00CD542F">
        <w:tab/>
        <w:t>hecht zijn goedkeuring aan het standpunt van de Raad in eerste lezing;</w:t>
      </w:r>
    </w:p>
    <w:p w:rsidR="00B328A0" w:rsidRPr="00CD542F" w:rsidRDefault="00DF649B">
      <w:pPr>
        <w:pStyle w:val="Normal12Hanging"/>
      </w:pPr>
      <w:r w:rsidRPr="00CD542F">
        <w:t>2.</w:t>
      </w:r>
      <w:r w:rsidRPr="00CD542F">
        <w:tab/>
        <w:t>constateert dat het besluit is vastgesteld overeenkomstig het standpunt van de Raad;</w:t>
      </w:r>
    </w:p>
    <w:p w:rsidR="00B328A0" w:rsidRPr="00CD542F" w:rsidRDefault="00DF649B">
      <w:pPr>
        <w:pStyle w:val="Normal12Hanging"/>
      </w:pPr>
      <w:r w:rsidRPr="00CD542F">
        <w:t>3.</w:t>
      </w:r>
      <w:r w:rsidRPr="00CD542F">
        <w:tab/>
        <w:t>verzoekt zijn Voorzitter het besluit samen met de voorzitter van de Raad overeenkomstig artikel 297, lid 1, van het Verdrag betreffende de werking van de Europese Unie te ondertekenen;</w:t>
      </w:r>
    </w:p>
    <w:p w:rsidR="00B328A0" w:rsidRPr="00CD542F" w:rsidRDefault="000E4452">
      <w:pPr>
        <w:pStyle w:val="Normal12Hanging"/>
      </w:pPr>
      <w:r w:rsidRPr="00CD542F">
        <w:t>4</w:t>
      </w:r>
      <w:bookmarkStart w:id="4" w:name="DocEPLastPosition"/>
      <w:bookmarkEnd w:id="4"/>
      <w:r w:rsidRPr="00CD542F">
        <w:t>.</w:t>
      </w:r>
      <w:r w:rsidRPr="00CD542F">
        <w:tab/>
        <w:t xml:space="preserve">verzoekt zijn secretaris-generaal het besluit te ondertekenen, nadat is nagegaan of alle procedures naar behoren zijn uitgevoerd, en met de secretaris-generaal van de Raad zorg te dragen voor publicatie ervan in het </w:t>
      </w:r>
      <w:r w:rsidRPr="00CD542F">
        <w:rPr>
          <w:i/>
        </w:rPr>
        <w:t>Publicatieblad van de Europese Unie</w:t>
      </w:r>
      <w:r w:rsidRPr="00CD542F">
        <w:t>.</w:t>
      </w:r>
    </w:p>
    <w:p w:rsidR="00B328A0" w:rsidRPr="00CD542F" w:rsidRDefault="000E4452">
      <w:pPr>
        <w:pStyle w:val="Normal12Hanging"/>
      </w:pPr>
      <w:r w:rsidRPr="00CD542F">
        <w:t>5.</w:t>
      </w:r>
      <w:r w:rsidRPr="00CD542F">
        <w:tab/>
        <w:t>verzoekt zijn Voorzitter het standpunt van het Parlement te doen toekomen aan de Raad en aan de Commissie alsmede aan de nationale parlementen.</w:t>
      </w:r>
    </w:p>
    <w:p w:rsidR="0053182B" w:rsidRPr="0053182B" w:rsidRDefault="0053182B" w:rsidP="0053182B">
      <w:r w:rsidRPr="0053182B">
        <w:br w:type="page"/>
      </w:r>
    </w:p>
    <w:p w:rsidR="0053182B" w:rsidRDefault="0053182B" w:rsidP="0053182B">
      <w:pPr>
        <w:pStyle w:val="PageHeading"/>
      </w:pPr>
      <w:bookmarkStart w:id="5" w:name="ProcPageRR"/>
      <w:bookmarkStart w:id="6" w:name="_Toc462995676"/>
      <w:r>
        <w:t>PROCEDURE VAN DE TEN PRINCIPALE BEVOEGDE COMMISSIE</w:t>
      </w:r>
      <w:bookmarkEnd w:id="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3182B">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De toegankelijkheid van de websites van overheidsinstanties</w:t>
            </w:r>
          </w:p>
        </w:tc>
      </w:tr>
      <w:tr w:rsidR="0053182B">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09389/1/2016 – C8-0360/2016 – 2012/0340(COD)</w:t>
            </w:r>
          </w:p>
        </w:tc>
      </w:tr>
      <w:tr w:rsidR="0053182B">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Datum eerste lezing EP – P-nummer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26.2.2014                     T7-0158/2014</w:t>
            </w:r>
          </w:p>
        </w:tc>
      </w:tr>
      <w:tr w:rsidR="0053182B">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Voorstel van de Commissie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COM(2012)0721 - C7-0394/2012</w:t>
            </w:r>
          </w:p>
        </w:tc>
      </w:tr>
      <w:tr w:rsidR="0053182B">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Datum bekendmaking ontvangst standpunt van de Raad in eerste lezing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15.9.2016</w:t>
            </w:r>
          </w:p>
        </w:tc>
      </w:tr>
      <w:tr w:rsidR="0053182B">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Commissie ten principale</w:t>
            </w:r>
          </w:p>
          <w:p w:rsidR="0053182B" w:rsidRDefault="0053182B">
            <w:pPr>
              <w:autoSpaceDE w:val="0"/>
              <w:autoSpaceDN w:val="0"/>
              <w:adjustRightInd w:val="0"/>
              <w:rPr>
                <w:color w:val="000000"/>
                <w:sz w:val="20"/>
              </w:rPr>
            </w:pPr>
            <w:r>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IMCO</w:t>
            </w:r>
          </w:p>
          <w:p w:rsidR="0053182B" w:rsidRDefault="0053182B">
            <w:pPr>
              <w:autoSpaceDE w:val="0"/>
              <w:autoSpaceDN w:val="0"/>
              <w:adjustRightInd w:val="0"/>
              <w:rPr>
                <w:color w:val="000000"/>
                <w:sz w:val="20"/>
              </w:rPr>
            </w:pPr>
            <w:r>
              <w:rPr>
                <w:color w:val="000000"/>
                <w:sz w:val="20"/>
              </w:rPr>
              <w:t>15.9.2016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r>
      <w:tr w:rsidR="0053182B">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Rapporteurs</w:t>
            </w:r>
          </w:p>
          <w:p w:rsidR="0053182B" w:rsidRDefault="0053182B">
            <w:pPr>
              <w:autoSpaceDE w:val="0"/>
              <w:autoSpaceDN w:val="0"/>
              <w:adjustRightInd w:val="0"/>
              <w:rPr>
                <w:color w:val="000000"/>
                <w:sz w:val="20"/>
              </w:rPr>
            </w:pPr>
            <w:r>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Dita Charanzová</w:t>
            </w:r>
          </w:p>
          <w:p w:rsidR="0053182B" w:rsidRDefault="0053182B">
            <w:pPr>
              <w:autoSpaceDE w:val="0"/>
              <w:autoSpaceDN w:val="0"/>
              <w:adjustRightInd w:val="0"/>
              <w:rPr>
                <w:color w:val="000000"/>
                <w:sz w:val="20"/>
              </w:rPr>
            </w:pPr>
            <w:r>
              <w:rPr>
                <w:color w:val="000000"/>
                <w:sz w:val="20"/>
              </w:rPr>
              <w:t>17.7.2014</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r>
      <w:tr w:rsidR="0053182B">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22.1.2015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r>
      <w:tr w:rsidR="0053182B">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26.9.2016</w:t>
            </w:r>
          </w:p>
        </w:tc>
        <w:tc>
          <w:tcPr>
            <w:tcW w:w="1474" w:type="dxa"/>
            <w:tcBorders>
              <w:top w:val="nil"/>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rFonts w:ascii="sans-serif" w:hAnsi="sans-serif" w:cs="sans-serif"/>
                <w:color w:val="000000"/>
                <w:szCs w:val="24"/>
              </w:rPr>
            </w:pPr>
          </w:p>
        </w:tc>
      </w:tr>
      <w:tr w:rsidR="0053182B">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w:t>
            </w:r>
          </w:p>
          <w:p w:rsidR="0053182B" w:rsidRDefault="0053182B">
            <w:pPr>
              <w:autoSpaceDE w:val="0"/>
              <w:autoSpaceDN w:val="0"/>
              <w:adjustRightInd w:val="0"/>
              <w:rPr>
                <w:color w:val="000000"/>
                <w:sz w:val="20"/>
              </w:rPr>
            </w:pPr>
            <w:r>
              <w:rPr>
                <w:color w:val="000000"/>
                <w:sz w:val="20"/>
              </w:rPr>
              <w:t>–:</w:t>
            </w:r>
          </w:p>
          <w:p w:rsidR="0053182B" w:rsidRDefault="0053182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28</w:t>
            </w:r>
          </w:p>
          <w:p w:rsidR="0053182B" w:rsidRDefault="0053182B">
            <w:pPr>
              <w:autoSpaceDE w:val="0"/>
              <w:autoSpaceDN w:val="0"/>
              <w:adjustRightInd w:val="0"/>
              <w:rPr>
                <w:color w:val="000000"/>
                <w:sz w:val="20"/>
              </w:rPr>
            </w:pPr>
            <w:r>
              <w:rPr>
                <w:color w:val="000000"/>
                <w:sz w:val="20"/>
              </w:rPr>
              <w:t>2</w:t>
            </w:r>
          </w:p>
          <w:p w:rsidR="0053182B" w:rsidRDefault="0053182B">
            <w:pPr>
              <w:autoSpaceDE w:val="0"/>
              <w:autoSpaceDN w:val="0"/>
              <w:adjustRightInd w:val="0"/>
              <w:rPr>
                <w:color w:val="000000"/>
                <w:sz w:val="20"/>
              </w:rPr>
            </w:pPr>
            <w:r>
              <w:rPr>
                <w:color w:val="000000"/>
                <w:sz w:val="20"/>
              </w:rPr>
              <w:t>0</w:t>
            </w:r>
          </w:p>
        </w:tc>
      </w:tr>
      <w:tr w:rsidR="0053182B">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 xml:space="preserve">Dita Charanzová, Sergio Gaetano Cofferati, Daniel Dalton, Nicola Danti, Vicky </w:t>
            </w:r>
            <w:bookmarkStart w:id="7" w:name="_GoBack"/>
            <w:bookmarkEnd w:id="7"/>
            <w:r>
              <w:rPr>
                <w:color w:val="000000"/>
                <w:sz w:val="20"/>
              </w:rPr>
              <w:t>Ford, Evelyne Gebhardt, Sergio Gutiérrez Prieto, Liisa Jaakonsaari, Philippe Juvin, Roberta Metsola, Eva Paunova, Virginie Rozière, Christel Schaldemose, Andreas Schwab, Olga Sehnalová, Igor Šoltes, Ivan Štefanec, Catherine Stihler, Richard Sulík, Róża Gräfin von Thun und Hohenstein, Mylène Troszczynski, Anneleen Van Bossuyt, Marco Zullo</w:t>
            </w:r>
          </w:p>
        </w:tc>
      </w:tr>
      <w:tr w:rsidR="0053182B">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Birgit Collin-Langen, Julia Reda, Marc Tarabella</w:t>
            </w:r>
          </w:p>
        </w:tc>
      </w:tr>
      <w:tr w:rsidR="0053182B" w:rsidRPr="00157466">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182B" w:rsidRPr="00157466" w:rsidRDefault="0053182B">
            <w:pPr>
              <w:autoSpaceDE w:val="0"/>
              <w:autoSpaceDN w:val="0"/>
              <w:adjustRightInd w:val="0"/>
              <w:rPr>
                <w:color w:val="000000"/>
                <w:sz w:val="20"/>
                <w:lang w:val="pt-PT"/>
              </w:rPr>
            </w:pPr>
            <w:r w:rsidRPr="00157466">
              <w:rPr>
                <w:color w:val="000000"/>
                <w:sz w:val="20"/>
                <w:lang w:val="pt-PT"/>
              </w:rPr>
              <w:t>Tim Aker, Franc Bogovič, Albert Deß, Sofia Ribeiro</w:t>
            </w:r>
          </w:p>
        </w:tc>
      </w:tr>
      <w:tr w:rsidR="0053182B">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b/>
                <w:bCs/>
                <w:color w:val="000000"/>
                <w:sz w:val="20"/>
              </w:rPr>
            </w:pPr>
            <w:r>
              <w:rPr>
                <w:b/>
                <w:bCs/>
                <w:color w:val="000000"/>
                <w:sz w:val="20"/>
              </w:rPr>
              <w:t>Datum indiening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182B" w:rsidRDefault="0053182B">
            <w:pPr>
              <w:autoSpaceDE w:val="0"/>
              <w:autoSpaceDN w:val="0"/>
              <w:adjustRightInd w:val="0"/>
              <w:rPr>
                <w:color w:val="000000"/>
                <w:sz w:val="20"/>
              </w:rPr>
            </w:pPr>
            <w:r>
              <w:rPr>
                <w:color w:val="000000"/>
                <w:sz w:val="20"/>
              </w:rPr>
              <w:t>29.9.2016</w:t>
            </w:r>
          </w:p>
        </w:tc>
      </w:tr>
    </w:tbl>
    <w:p w:rsidR="0053182B" w:rsidRDefault="0053182B">
      <w:pPr>
        <w:autoSpaceDE w:val="0"/>
        <w:autoSpaceDN w:val="0"/>
        <w:adjustRightInd w:val="0"/>
        <w:rPr>
          <w:rFonts w:ascii="Arial" w:hAnsi="Arial" w:cs="Arial"/>
          <w:szCs w:val="24"/>
        </w:rPr>
      </w:pPr>
    </w:p>
    <w:bookmarkEnd w:id="5"/>
    <w:p w:rsidR="00B328A0" w:rsidRPr="0053182B" w:rsidRDefault="00B328A0" w:rsidP="0053182B"/>
    <w:sectPr w:rsidR="00B328A0" w:rsidRPr="0053182B" w:rsidSect="00CD542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9B" w:rsidRPr="00CD542F" w:rsidRDefault="00DF649B">
      <w:r w:rsidRPr="00CD542F">
        <w:separator/>
      </w:r>
    </w:p>
  </w:endnote>
  <w:endnote w:type="continuationSeparator" w:id="0">
    <w:p w:rsidR="00DF649B" w:rsidRPr="00CD542F" w:rsidRDefault="00DF649B">
      <w:r w:rsidRPr="00CD54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2B" w:rsidRDefault="0053182B" w:rsidP="0053182B">
    <w:pPr>
      <w:pStyle w:val="Footer"/>
    </w:pPr>
    <w:r>
      <w:t>PE</w:t>
    </w:r>
    <w:r w:rsidRPr="0053182B">
      <w:rPr>
        <w:rStyle w:val="HideTWBExt"/>
      </w:rPr>
      <w:t>&lt;NoPE&gt;</w:t>
    </w:r>
    <w:r>
      <w:t>589.314</w:t>
    </w:r>
    <w:r w:rsidRPr="0053182B">
      <w:rPr>
        <w:rStyle w:val="HideTWBExt"/>
      </w:rPr>
      <w:t>&lt;/NoPE&gt;&lt;Version&gt;</w:t>
    </w:r>
    <w:r>
      <w:t>v02-00</w:t>
    </w:r>
    <w:r w:rsidRPr="0053182B">
      <w:rPr>
        <w:rStyle w:val="HideTWBExt"/>
      </w:rPr>
      <w:t>&lt;/Version&gt;</w:t>
    </w:r>
    <w:r>
      <w:tab/>
    </w:r>
    <w:r>
      <w:fldChar w:fldCharType="begin"/>
    </w:r>
    <w:r>
      <w:instrText xml:space="preserve"> PAGE  \* MERGEFORMAT </w:instrText>
    </w:r>
    <w:r>
      <w:fldChar w:fldCharType="separate"/>
    </w:r>
    <w:r w:rsidR="00157466">
      <w:rPr>
        <w:noProof/>
      </w:rPr>
      <w:t>6</w:t>
    </w:r>
    <w:r>
      <w:fldChar w:fldCharType="end"/>
    </w:r>
    <w:r>
      <w:t>/</w:t>
    </w:r>
    <w:fldSimple w:instr=" NUMPAGES  \* MERGEFORMAT ">
      <w:r w:rsidR="00157466">
        <w:rPr>
          <w:noProof/>
        </w:rPr>
        <w:t>6</w:t>
      </w:r>
    </w:fldSimple>
    <w:r>
      <w:tab/>
    </w:r>
    <w:r w:rsidRPr="0053182B">
      <w:rPr>
        <w:rStyle w:val="HideTWBExt"/>
      </w:rPr>
      <w:t>&lt;PathFdR&gt;</w:t>
    </w:r>
    <w:r>
      <w:t>RR\1105436NL.docx</w:t>
    </w:r>
    <w:r w:rsidRPr="0053182B">
      <w:rPr>
        <w:rStyle w:val="HideTWBExt"/>
      </w:rPr>
      <w:t>&lt;/PathFdR&gt;</w:t>
    </w:r>
  </w:p>
  <w:p w:rsidR="00DF649B" w:rsidRPr="00CD542F" w:rsidRDefault="0053182B" w:rsidP="0053182B">
    <w:pPr>
      <w:pStyle w:val="Footer2"/>
    </w:pPr>
    <w: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2B" w:rsidRDefault="0053182B" w:rsidP="0053182B">
    <w:pPr>
      <w:pStyle w:val="Footer"/>
    </w:pPr>
    <w:r w:rsidRPr="0053182B">
      <w:rPr>
        <w:rStyle w:val="HideTWBExt"/>
      </w:rPr>
      <w:t>&lt;PathFdR&gt;</w:t>
    </w:r>
    <w:r>
      <w:t>RR\1105436NL.docx</w:t>
    </w:r>
    <w:r w:rsidRPr="0053182B">
      <w:rPr>
        <w:rStyle w:val="HideTWBExt"/>
      </w:rPr>
      <w:t>&lt;/PathFdR&gt;</w:t>
    </w:r>
    <w:r>
      <w:tab/>
    </w:r>
    <w:r>
      <w:fldChar w:fldCharType="begin"/>
    </w:r>
    <w:r>
      <w:instrText xml:space="preserve"> PAGE  \* MERGEFORMAT </w:instrText>
    </w:r>
    <w:r>
      <w:fldChar w:fldCharType="separate"/>
    </w:r>
    <w:r w:rsidR="00157466">
      <w:rPr>
        <w:noProof/>
      </w:rPr>
      <w:t>5</w:t>
    </w:r>
    <w:r>
      <w:fldChar w:fldCharType="end"/>
    </w:r>
    <w:r>
      <w:t>/</w:t>
    </w:r>
    <w:fldSimple w:instr=" NUMPAGES  \* MERGEFORMAT ">
      <w:r w:rsidR="00157466">
        <w:rPr>
          <w:noProof/>
        </w:rPr>
        <w:t>6</w:t>
      </w:r>
    </w:fldSimple>
    <w:r>
      <w:tab/>
      <w:t>PE</w:t>
    </w:r>
    <w:r w:rsidRPr="0053182B">
      <w:rPr>
        <w:rStyle w:val="HideTWBExt"/>
      </w:rPr>
      <w:t>&lt;NoPE&gt;</w:t>
    </w:r>
    <w:r>
      <w:t>589.314</w:t>
    </w:r>
    <w:r w:rsidRPr="0053182B">
      <w:rPr>
        <w:rStyle w:val="HideTWBExt"/>
      </w:rPr>
      <w:t>&lt;/NoPE&gt;&lt;Version&gt;</w:t>
    </w:r>
    <w:r>
      <w:t>v02-00</w:t>
    </w:r>
    <w:r w:rsidRPr="0053182B">
      <w:rPr>
        <w:rStyle w:val="HideTWBExt"/>
      </w:rPr>
      <w:t>&lt;/Version&gt;</w:t>
    </w:r>
  </w:p>
  <w:p w:rsidR="00DF649B" w:rsidRPr="00CD542F" w:rsidRDefault="0053182B" w:rsidP="0053182B">
    <w:pPr>
      <w:pStyle w:val="Footer2"/>
    </w:pPr>
    <w:r>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2B" w:rsidRDefault="0053182B" w:rsidP="0053182B">
    <w:pPr>
      <w:pStyle w:val="Footer"/>
    </w:pPr>
    <w:r w:rsidRPr="0053182B">
      <w:rPr>
        <w:rStyle w:val="HideTWBExt"/>
      </w:rPr>
      <w:t>&lt;PathFdR&gt;</w:t>
    </w:r>
    <w:r>
      <w:t>RR\1105436NL.docx</w:t>
    </w:r>
    <w:r w:rsidRPr="0053182B">
      <w:rPr>
        <w:rStyle w:val="HideTWBExt"/>
      </w:rPr>
      <w:t>&lt;/PathFdR&gt;</w:t>
    </w:r>
    <w:r>
      <w:tab/>
    </w:r>
    <w:r>
      <w:tab/>
      <w:t>PE</w:t>
    </w:r>
    <w:r w:rsidRPr="0053182B">
      <w:rPr>
        <w:rStyle w:val="HideTWBExt"/>
      </w:rPr>
      <w:t>&lt;NoPE&gt;</w:t>
    </w:r>
    <w:r>
      <w:t>589.314</w:t>
    </w:r>
    <w:r w:rsidRPr="0053182B">
      <w:rPr>
        <w:rStyle w:val="HideTWBExt"/>
      </w:rPr>
      <w:t>&lt;/NoPE&gt;&lt;Version&gt;</w:t>
    </w:r>
    <w:r>
      <w:t>v02-00</w:t>
    </w:r>
    <w:r w:rsidRPr="0053182B">
      <w:rPr>
        <w:rStyle w:val="HideTWBExt"/>
      </w:rPr>
      <w:t>&lt;/Version&gt;</w:t>
    </w:r>
  </w:p>
  <w:p w:rsidR="00DF649B" w:rsidRPr="00CD542F" w:rsidRDefault="0053182B" w:rsidP="0053182B">
    <w:pPr>
      <w:pStyle w:val="Footer2"/>
      <w:tabs>
        <w:tab w:val="center" w:pos="4535"/>
        <w:tab w:val="right" w:pos="9921"/>
      </w:tabs>
    </w:pPr>
    <w:r>
      <w:t>NL</w:t>
    </w:r>
    <w:r>
      <w:tab/>
    </w:r>
    <w:r w:rsidRPr="0053182B">
      <w:rPr>
        <w:b w:val="0"/>
        <w:i/>
        <w:color w:val="C0C0C0"/>
        <w:sz w:val="22"/>
      </w:rPr>
      <w:t>In verscheidenheid verenigd</w:t>
    </w:r>
    <w:r>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9B" w:rsidRPr="00CD542F" w:rsidRDefault="00DF649B">
      <w:r w:rsidRPr="00CD542F">
        <w:separator/>
      </w:r>
    </w:p>
  </w:footnote>
  <w:footnote w:type="continuationSeparator" w:id="0">
    <w:p w:rsidR="00DF649B" w:rsidRPr="00CD542F" w:rsidRDefault="00DF649B">
      <w:r w:rsidRPr="00CD542F">
        <w:continuationSeparator/>
      </w:r>
    </w:p>
  </w:footnote>
  <w:footnote w:id="1">
    <w:p w:rsidR="00DF649B" w:rsidRPr="00CD542F" w:rsidRDefault="00DF649B" w:rsidP="00DF649B">
      <w:pPr>
        <w:pStyle w:val="FootnoteText"/>
      </w:pPr>
      <w:r w:rsidRPr="00CD542F">
        <w:rPr>
          <w:rStyle w:val="FootnoteReference"/>
        </w:rPr>
        <w:footnoteRef/>
      </w:r>
      <w:r w:rsidRPr="00CD542F">
        <w:t xml:space="preserve"> PB C 271 van 19.9.2013, blz. 116.</w:t>
      </w:r>
    </w:p>
  </w:footnote>
  <w:footnote w:id="2">
    <w:p w:rsidR="00DF649B" w:rsidRPr="00CD542F" w:rsidRDefault="00DF649B">
      <w:pPr>
        <w:pStyle w:val="FootnoteText"/>
      </w:pPr>
      <w:r w:rsidRPr="00CD542F">
        <w:rPr>
          <w:rStyle w:val="FootnoteReference"/>
        </w:rPr>
        <w:footnoteRef/>
      </w:r>
      <w:r w:rsidRPr="00CD542F">
        <w:t xml:space="preserve"> Aangenomen teksten van 26.2.2014, P7_TA(2014)0158.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43" w:rsidRDefault="00DA7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43" w:rsidRDefault="00DA7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43" w:rsidRDefault="00DA7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READINGMNU" w:val=" 1"/>
    <w:docVar w:name="COMKEY" w:val="IMCO"/>
    <w:docVar w:name="CopyToNetwork" w:val="-1"/>
    <w:docVar w:name="DOCMNU" w:val=" 2"/>
    <w:docVar w:name="EPSTATMNU" w:val=" 5"/>
    <w:docVar w:name="INSTITUTIONSMNU" w:val=" 2"/>
    <w:docVar w:name="LastEditedSection" w:val=" 1"/>
    <w:docVar w:name="OTHERSTATMNU" w:val=" 4"/>
    <w:docVar w:name="PARLIAMENTSMNU" w:val=" 2"/>
    <w:docVar w:name="strDocTypeID" w:val="CONV"/>
    <w:docVar w:name="strSubDir" w:val="1105"/>
    <w:docVar w:name="TXTAUTHOR" w:val="Dita Charanzová"/>
    <w:docVar w:name="TXTLANGUE" w:val="NL"/>
    <w:docVar w:name="TXTLANGUEMIN" w:val="nl"/>
    <w:docVar w:name="TXTNRC" w:val="0360/2016"/>
    <w:docVar w:name="TXTNRCOD" w:val="2012/0340"/>
    <w:docVar w:name="TXTNRCOUNC" w:val="09389/1/2016"/>
    <w:docVar w:name="TXTNRPE" w:val="589.314"/>
    <w:docVar w:name="TXTPEorAP" w:val="PE"/>
    <w:docVar w:name="TXTROUTE" w:val="RR\1105436NL.docx"/>
    <w:docVar w:name="TXTTITLE" w:val="#TXTNRCOUNC@NRCOUNC@#"/>
    <w:docVar w:name="TXTVERSION" w:val="02-00"/>
  </w:docVars>
  <w:rsids>
    <w:rsidRoot w:val="00DD502E"/>
    <w:rsid w:val="000263F4"/>
    <w:rsid w:val="000627B6"/>
    <w:rsid w:val="00071D7E"/>
    <w:rsid w:val="00076114"/>
    <w:rsid w:val="000E4452"/>
    <w:rsid w:val="000F5800"/>
    <w:rsid w:val="000F6D4D"/>
    <w:rsid w:val="00135DB4"/>
    <w:rsid w:val="00157466"/>
    <w:rsid w:val="001742E9"/>
    <w:rsid w:val="001E7D60"/>
    <w:rsid w:val="001F74C8"/>
    <w:rsid w:val="003705B2"/>
    <w:rsid w:val="003A7AA7"/>
    <w:rsid w:val="003E226E"/>
    <w:rsid w:val="0041169E"/>
    <w:rsid w:val="00481A55"/>
    <w:rsid w:val="004A2A70"/>
    <w:rsid w:val="004B2B38"/>
    <w:rsid w:val="0053182B"/>
    <w:rsid w:val="00594225"/>
    <w:rsid w:val="005D1FF5"/>
    <w:rsid w:val="00696B79"/>
    <w:rsid w:val="00744DF3"/>
    <w:rsid w:val="00756B4B"/>
    <w:rsid w:val="007C23A6"/>
    <w:rsid w:val="007C77B4"/>
    <w:rsid w:val="007D5198"/>
    <w:rsid w:val="0085215D"/>
    <w:rsid w:val="008A3FE6"/>
    <w:rsid w:val="00A04886"/>
    <w:rsid w:val="00A11851"/>
    <w:rsid w:val="00A71001"/>
    <w:rsid w:val="00AB2BE6"/>
    <w:rsid w:val="00AF72D7"/>
    <w:rsid w:val="00B30B85"/>
    <w:rsid w:val="00B328A0"/>
    <w:rsid w:val="00BE17F9"/>
    <w:rsid w:val="00BF454B"/>
    <w:rsid w:val="00C223E0"/>
    <w:rsid w:val="00C83E85"/>
    <w:rsid w:val="00CD542F"/>
    <w:rsid w:val="00D019D4"/>
    <w:rsid w:val="00D9705B"/>
    <w:rsid w:val="00DA7943"/>
    <w:rsid w:val="00DD1465"/>
    <w:rsid w:val="00DD502E"/>
    <w:rsid w:val="00DF649B"/>
    <w:rsid w:val="00E220DA"/>
    <w:rsid w:val="00E4310C"/>
    <w:rsid w:val="00E76102"/>
    <w:rsid w:val="00E91F5F"/>
    <w:rsid w:val="00F3060C"/>
    <w:rsid w:val="00F90BF7"/>
    <w:rsid w:val="00FE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B39CA2-1F38-4231-A013-C597A9D2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0F5800"/>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96B7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E5DD1"/>
    <w:pPr>
      <w:tabs>
        <w:tab w:val="left" w:pos="567"/>
      </w:tabs>
    </w:pPr>
  </w:style>
  <w:style w:type="paragraph" w:customStyle="1" w:styleId="RefProc">
    <w:name w:val="RefProc"/>
    <w:basedOn w:val="Normal"/>
    <w:rsid w:val="00B328A0"/>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2E9"/>
    <w:pPr>
      <w:jc w:val="center"/>
    </w:pPr>
    <w:rPr>
      <w:rFonts w:ascii="Arial" w:hAnsi="Arial" w:cs="Arial"/>
      <w:i/>
      <w:sz w:val="22"/>
      <w:szCs w:val="22"/>
    </w:rPr>
  </w:style>
  <w:style w:type="paragraph" w:customStyle="1" w:styleId="LineTop">
    <w:name w:val="LineTop"/>
    <w:basedOn w:val="Normal"/>
    <w:next w:val="ZCommittee"/>
    <w:rsid w:val="001742E9"/>
    <w:pPr>
      <w:pBdr>
        <w:top w:val="single" w:sz="4" w:space="1" w:color="auto"/>
      </w:pBdr>
      <w:jc w:val="center"/>
    </w:pPr>
    <w:rPr>
      <w:rFonts w:ascii="Arial" w:hAnsi="Arial"/>
      <w:sz w:val="16"/>
      <w:szCs w:val="16"/>
    </w:rPr>
  </w:style>
  <w:style w:type="paragraph" w:customStyle="1" w:styleId="LineBottom">
    <w:name w:val="LineBottom"/>
    <w:basedOn w:val="Normal"/>
    <w:next w:val="Normal"/>
    <w:rsid w:val="001742E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Lgendesigne">
    <w:name w:val="Légende signe"/>
    <w:basedOn w:val="Normal"/>
    <w:rsid w:val="00DF649B"/>
    <w:pPr>
      <w:tabs>
        <w:tab w:val="right" w:pos="454"/>
        <w:tab w:val="left" w:pos="737"/>
      </w:tabs>
      <w:ind w:left="737" w:hanging="737"/>
    </w:pPr>
    <w:rPr>
      <w:snapToGrid w:val="0"/>
      <w:sz w:val="18"/>
    </w:rPr>
  </w:style>
  <w:style w:type="paragraph" w:customStyle="1" w:styleId="Lgendetitre">
    <w:name w:val="Légende titre"/>
    <w:basedOn w:val="Normal"/>
    <w:rsid w:val="00DF649B"/>
    <w:pPr>
      <w:spacing w:before="240" w:after="240"/>
    </w:pPr>
    <w:rPr>
      <w:b/>
      <w:i/>
      <w:snapToGrid w:val="0"/>
    </w:rPr>
  </w:style>
  <w:style w:type="paragraph" w:customStyle="1" w:styleId="Lgendestandard">
    <w:name w:val="Légende standard"/>
    <w:basedOn w:val="Lgendesigne"/>
    <w:rsid w:val="00DF649B"/>
    <w:pPr>
      <w:ind w:left="0" w:firstLine="0"/>
    </w:pPr>
  </w:style>
  <w:style w:type="paragraph" w:styleId="FootnoteText">
    <w:name w:val="footnote text"/>
    <w:basedOn w:val="Normal"/>
    <w:link w:val="FootnoteTextChar"/>
    <w:rsid w:val="00DF649B"/>
    <w:rPr>
      <w:sz w:val="20"/>
    </w:rPr>
  </w:style>
  <w:style w:type="character" w:customStyle="1" w:styleId="FootnoteTextChar">
    <w:name w:val="Footnote Text Char"/>
    <w:basedOn w:val="DefaultParagraphFont"/>
    <w:link w:val="FootnoteText"/>
    <w:rsid w:val="00DF649B"/>
  </w:style>
  <w:style w:type="character" w:styleId="FootnoteReference">
    <w:name w:val="footnote reference"/>
    <w:basedOn w:val="DefaultParagraphFont"/>
    <w:rsid w:val="00DF649B"/>
    <w:rPr>
      <w:vertAlign w:val="superscript"/>
    </w:rPr>
  </w:style>
  <w:style w:type="paragraph" w:styleId="BalloonText">
    <w:name w:val="Balloon Text"/>
    <w:basedOn w:val="Normal"/>
    <w:link w:val="BalloonTextChar"/>
    <w:rsid w:val="000F6D4D"/>
    <w:rPr>
      <w:rFonts w:ascii="Segoe UI" w:hAnsi="Segoe UI" w:cs="Segoe UI"/>
      <w:sz w:val="18"/>
      <w:szCs w:val="18"/>
    </w:rPr>
  </w:style>
  <w:style w:type="character" w:customStyle="1" w:styleId="BalloonTextChar">
    <w:name w:val="Balloon Text Char"/>
    <w:basedOn w:val="DefaultParagraphFont"/>
    <w:link w:val="BalloonText"/>
    <w:rsid w:val="000F6D4D"/>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leen\AppData\Local\Temp\PR_COD_2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C1BA-C7B6-4338-A580-F2687F2C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PR_COD_2app.dot</Template>
  <TotalTime>0</TotalTime>
  <Pages>6</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CLEEN Isabelle</dc:creator>
  <cp:keywords/>
  <dc:description/>
  <cp:lastModifiedBy>TINNEMANS Beatrice Herma</cp:lastModifiedBy>
  <cp:revision>2</cp:revision>
  <cp:lastPrinted>2004-11-04T08:41:00Z</cp:lastPrinted>
  <dcterms:created xsi:type="dcterms:W3CDTF">2016-09-30T08:45:00Z</dcterms:created>
  <dcterms:modified xsi:type="dcterms:W3CDTF">2016-09-30T08:45:00Z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8.8.0 Build [20160701]</vt:lpwstr>
  </property>
  <property fmtid="{D5CDD505-2E9C-101B-9397-08002B2CF9AE}" pid="3" name="LastEdited with">
    <vt:lpwstr>8.5.0 Build [20151002]</vt:lpwstr>
  </property>
  <property fmtid="{D5CDD505-2E9C-101B-9397-08002B2CF9AE}" pid="4" name="&lt;FdR&gt;">
    <vt:lpwstr>1105436</vt:lpwstr>
  </property>
  <property fmtid="{D5CDD505-2E9C-101B-9397-08002B2CF9AE}" pid="5" name="&lt;Type&gt;">
    <vt:lpwstr>RR</vt:lpwstr>
  </property>
  <property fmtid="{D5CDD505-2E9C-101B-9397-08002B2CF9AE}" pid="6" name="&lt;ModelCod&gt;">
    <vt:lpwstr>\\eiciBRUpr1\pdocep$\DocEP\DOCS\General\PR\PR_Leg\COD\COD_2nd\PR_COD_2app.dot(17/02/2016 11:44:36)</vt:lpwstr>
  </property>
  <property fmtid="{D5CDD505-2E9C-101B-9397-08002B2CF9AE}" pid="7" name="&lt;ModelTra&gt;">
    <vt:lpwstr>\\eiciBRUpr1\pdocep$\DocEP\TRANSFIL\EN\PR_COD_2app.EN(26/05/2015 07:20:41)</vt:lpwstr>
  </property>
  <property fmtid="{D5CDD505-2E9C-101B-9397-08002B2CF9AE}" pid="8" name="&lt;Model&gt;">
    <vt:lpwstr>PR_COD_2app</vt:lpwstr>
  </property>
  <property fmtid="{D5CDD505-2E9C-101B-9397-08002B2CF9AE}" pid="9" name="FooterPath">
    <vt:lpwstr>RR\1105436NL.docx</vt:lpwstr>
  </property>
  <property fmtid="{D5CDD505-2E9C-101B-9397-08002B2CF9AE}" pid="10" name="PE Number">
    <vt:lpwstr>589.314</vt:lpwstr>
  </property>
  <property fmtid="{D5CDD505-2E9C-101B-9397-08002B2CF9AE}" pid="11" name="SubscribeElise">
    <vt:lpwstr/>
  </property>
  <property fmtid="{D5CDD505-2E9C-101B-9397-08002B2CF9AE}" pid="12" name="SendToEpades">
    <vt:lpwstr>OK - 2016/9/19 15:01</vt:lpwstr>
  </property>
  <property fmtid="{D5CDD505-2E9C-101B-9397-08002B2CF9AE}" pid="13" name="SDLStudio">
    <vt:lpwstr/>
  </property>
  <property fmtid="{D5CDD505-2E9C-101B-9397-08002B2CF9AE}" pid="14" name="&lt;Extension&gt;">
    <vt:lpwstr>NL</vt:lpwstr>
  </property>
  <property fmtid="{D5CDD505-2E9C-101B-9397-08002B2CF9AE}" pid="15" name="Bookout">
    <vt:lpwstr>OK - 2016/9/30 10:45</vt:lpwstr>
  </property>
</Properties>
</file>