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803ED6" w:rsidTr="000555E6">
        <w:trPr>
          <w:trHeight w:hRule="exact" w:val="1418"/>
        </w:trPr>
        <w:tc>
          <w:tcPr>
            <w:tcW w:w="6804" w:type="dxa"/>
            <w:shd w:val="clear" w:color="auto" w:fill="auto"/>
            <w:vAlign w:val="center"/>
          </w:tcPr>
          <w:p w:rsidR="00300158" w:rsidRPr="00803ED6" w:rsidRDefault="001B5598" w:rsidP="000555E6">
            <w:pPr>
              <w:pStyle w:val="EPName"/>
            </w:pPr>
            <w:bookmarkStart w:id="0" w:name="_GoBack"/>
            <w:bookmarkEnd w:id="0"/>
            <w:r>
              <w:t>Parlament Europejski</w:t>
            </w:r>
          </w:p>
          <w:p w:rsidR="00300158" w:rsidRPr="00803ED6" w:rsidRDefault="00457F94" w:rsidP="00457F94">
            <w:pPr>
              <w:pStyle w:val="EPTerm"/>
              <w:rPr>
                <w:rStyle w:val="HideTWBExt"/>
                <w:noProof w:val="0"/>
                <w:vanish w:val="0"/>
                <w:color w:val="auto"/>
              </w:rPr>
            </w:pPr>
            <w:r>
              <w:t>2014-2019</w:t>
            </w:r>
          </w:p>
        </w:tc>
        <w:tc>
          <w:tcPr>
            <w:tcW w:w="2268" w:type="dxa"/>
            <w:shd w:val="clear" w:color="auto" w:fill="auto"/>
          </w:tcPr>
          <w:p w:rsidR="00300158" w:rsidRPr="00803ED6" w:rsidRDefault="00216494"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D461B7" w:rsidRPr="00803ED6" w:rsidRDefault="00D461B7" w:rsidP="00D461B7">
      <w:pPr>
        <w:pStyle w:val="LineTop"/>
      </w:pPr>
    </w:p>
    <w:p w:rsidR="00D461B7" w:rsidRPr="00803ED6" w:rsidRDefault="00603BC5" w:rsidP="00D461B7">
      <w:pPr>
        <w:pStyle w:val="ZCommittee"/>
      </w:pPr>
      <w:r>
        <w:t>Dokument z posiedzenia</w:t>
      </w:r>
    </w:p>
    <w:p w:rsidR="00D461B7" w:rsidRPr="00803ED6" w:rsidRDefault="00D461B7" w:rsidP="00D461B7">
      <w:pPr>
        <w:pStyle w:val="LineBottom"/>
      </w:pPr>
    </w:p>
    <w:p w:rsidR="004D2440" w:rsidRPr="00803ED6" w:rsidRDefault="00603BC5">
      <w:pPr>
        <w:pStyle w:val="RefProc"/>
      </w:pPr>
      <w:r>
        <w:rPr>
          <w:rStyle w:val="HideTWBExt"/>
          <w:noProof w:val="0"/>
        </w:rPr>
        <w:t>&lt;NoDocSe&gt;</w:t>
      </w:r>
      <w:r>
        <w:t>A8-0270/2016</w:t>
      </w:r>
      <w:r>
        <w:rPr>
          <w:rStyle w:val="HideTWBExt"/>
          <w:noProof w:val="0"/>
        </w:rPr>
        <w:t>&lt;/NoDocSe&gt;</w:t>
      </w:r>
    </w:p>
    <w:p w:rsidR="004D2440" w:rsidRPr="00803ED6" w:rsidRDefault="004D2440">
      <w:pPr>
        <w:pStyle w:val="ZDate"/>
      </w:pPr>
      <w:r>
        <w:rPr>
          <w:rStyle w:val="HideTWBExt"/>
          <w:noProof w:val="0"/>
        </w:rPr>
        <w:t>&lt;Date&gt;</w:t>
      </w:r>
      <w:r>
        <w:rPr>
          <w:rStyle w:val="HideTWBInt"/>
        </w:rPr>
        <w:t>{28/09/2016}</w:t>
      </w:r>
      <w:r>
        <w:t>29.9.2016</w:t>
      </w:r>
      <w:r>
        <w:rPr>
          <w:rStyle w:val="HideTWBExt"/>
          <w:noProof w:val="0"/>
        </w:rPr>
        <w:t>&lt;/Date&gt;</w:t>
      </w:r>
    </w:p>
    <w:p w:rsidR="004D2440" w:rsidRPr="00803ED6" w:rsidRDefault="004D2440">
      <w:pPr>
        <w:pStyle w:val="TypeDoc"/>
      </w:pPr>
      <w:r>
        <w:rPr>
          <w:rStyle w:val="HideTWBExt"/>
          <w:b w:val="0"/>
          <w:noProof w:val="0"/>
        </w:rPr>
        <w:t>&lt;TitreType&gt;</w:t>
      </w:r>
      <w:r>
        <w:t>SPRAWOZDANIE</w:t>
      </w:r>
      <w:r>
        <w:rPr>
          <w:rStyle w:val="HideTWBExt"/>
          <w:b w:val="0"/>
          <w:noProof w:val="0"/>
        </w:rPr>
        <w:t>&lt;/TitreType&gt;</w:t>
      </w:r>
    </w:p>
    <w:p w:rsidR="004D2440" w:rsidRPr="00803ED6" w:rsidRDefault="004D2440">
      <w:pPr>
        <w:pStyle w:val="CoverNormal"/>
      </w:pPr>
      <w:r>
        <w:rPr>
          <w:rStyle w:val="HideTWBExt"/>
          <w:noProof w:val="0"/>
        </w:rPr>
        <w:t>&lt;Titre&gt;</w:t>
      </w:r>
      <w:r>
        <w:t xml:space="preserve">w sprawie wniosku dotyczącego decyzji Parlamentu Europejskiego i Rady w sprawie uruchomienia Funduszu Solidarności Unii Europejskiej (FSUE) </w:t>
      </w:r>
      <w:r>
        <w:rPr>
          <w:rStyle w:val="HideTWBExt"/>
          <w:noProof w:val="0"/>
        </w:rPr>
        <w:t>&lt;/Titre&gt;</w:t>
      </w:r>
    </w:p>
    <w:p w:rsidR="004D2440" w:rsidRPr="00803ED6" w:rsidRDefault="004D2440">
      <w:pPr>
        <w:pStyle w:val="Cover24"/>
      </w:pPr>
      <w:r>
        <w:rPr>
          <w:rStyle w:val="HideTWBExt"/>
          <w:noProof w:val="0"/>
        </w:rPr>
        <w:t>&lt;DocRef&gt;</w:t>
      </w:r>
      <w:r>
        <w:t>(COM(2016)0462 – C8-0283/2016 – 2016/2165(BUD))</w:t>
      </w:r>
      <w:r>
        <w:rPr>
          <w:rStyle w:val="HideTWBExt"/>
          <w:noProof w:val="0"/>
        </w:rPr>
        <w:t>&lt;/DocRef&gt;</w:t>
      </w:r>
    </w:p>
    <w:p w:rsidR="004D2440" w:rsidRPr="00803ED6" w:rsidRDefault="004D2440">
      <w:pPr>
        <w:pStyle w:val="Cover24"/>
      </w:pPr>
      <w:r>
        <w:rPr>
          <w:rStyle w:val="HideTWBExt"/>
          <w:noProof w:val="0"/>
        </w:rPr>
        <w:t>&lt;Commission&gt;</w:t>
      </w:r>
      <w:r>
        <w:rPr>
          <w:rStyle w:val="HideTWBInt"/>
        </w:rPr>
        <w:t>{BUDG}</w:t>
      </w:r>
      <w:r>
        <w:t>Komisja Budżetowa</w:t>
      </w:r>
      <w:r>
        <w:rPr>
          <w:rStyle w:val="HideTWBExt"/>
          <w:noProof w:val="0"/>
        </w:rPr>
        <w:t>&lt;/Commission&gt;</w:t>
      </w:r>
    </w:p>
    <w:p w:rsidR="004D2440" w:rsidRPr="00803ED6" w:rsidRDefault="001B5598">
      <w:pPr>
        <w:pStyle w:val="Cover24"/>
        <w:rPr>
          <w:rStyle w:val="HideTWBExt"/>
          <w:noProof w:val="0"/>
        </w:rPr>
      </w:pPr>
      <w:r>
        <w:t xml:space="preserve">Sprawozdawca: </w:t>
      </w:r>
      <w:r>
        <w:rPr>
          <w:rStyle w:val="HideTWBExt"/>
          <w:noProof w:val="0"/>
        </w:rPr>
        <w:t>&lt;Depute&gt;</w:t>
      </w:r>
      <w:r>
        <w:t>Georgios Kyrtsos</w:t>
      </w:r>
      <w:r>
        <w:rPr>
          <w:rStyle w:val="HideTWBExt"/>
          <w:noProof w:val="0"/>
        </w:rPr>
        <w:t>&lt;/Depute&gt;</w:t>
      </w:r>
    </w:p>
    <w:p w:rsidR="004D2440" w:rsidRPr="00803ED6" w:rsidRDefault="004D2440" w:rsidP="00300158">
      <w:pPr>
        <w:widowControl/>
        <w:tabs>
          <w:tab w:val="center" w:pos="4677"/>
        </w:tabs>
      </w:pPr>
      <w:r>
        <w:br w:type="page"/>
      </w:r>
    </w:p>
    <w:p w:rsidR="004D2440" w:rsidRPr="00803ED6" w:rsidRDefault="001B5598" w:rsidP="00300158">
      <w:pPr>
        <w:widowControl/>
        <w:tabs>
          <w:tab w:val="center" w:pos="4677"/>
        </w:tabs>
      </w:pPr>
      <w:r>
        <w:t>PR_BUD_Funds</w:t>
      </w:r>
    </w:p>
    <w:p w:rsidR="004D2440" w:rsidRPr="00803ED6" w:rsidRDefault="001B5598">
      <w:pPr>
        <w:pStyle w:val="TOCHeading"/>
      </w:pPr>
      <w:r>
        <w:t>SPIS TREŚCI</w:t>
      </w:r>
    </w:p>
    <w:p w:rsidR="004D2440" w:rsidRPr="00803ED6" w:rsidRDefault="001B5598">
      <w:pPr>
        <w:pStyle w:val="TOCPage"/>
      </w:pPr>
      <w:r>
        <w:t>Strona</w:t>
      </w:r>
    </w:p>
    <w:p w:rsidR="006A10FB" w:rsidRDefault="004D2440">
      <w:pPr>
        <w:pStyle w:val="TOC1"/>
        <w:tabs>
          <w:tab w:val="right" w:leader="dot" w:pos="9060"/>
        </w:tabs>
        <w:rPr>
          <w:rFonts w:asciiTheme="minorHAnsi" w:eastAsiaTheme="minorEastAsia" w:hAnsiTheme="minorHAnsi" w:cstheme="minorBidi"/>
          <w:noProof/>
          <w:sz w:val="22"/>
          <w:szCs w:val="22"/>
          <w:lang w:bidi="ar-SA"/>
        </w:rPr>
      </w:pPr>
      <w:r w:rsidRPr="00803ED6">
        <w:fldChar w:fldCharType="begin"/>
      </w:r>
      <w:r w:rsidRPr="00F35163">
        <w:instrText xml:space="preserve"> TOC \t "PageHeading</w:instrText>
      </w:r>
      <w:r w:rsidR="00216494">
        <w:instrText>;</w:instrText>
      </w:r>
      <w:r w:rsidRPr="00F35163">
        <w:instrText xml:space="preserve">1" </w:instrText>
      </w:r>
      <w:r w:rsidRPr="00803ED6">
        <w:fldChar w:fldCharType="separate"/>
      </w:r>
      <w:r w:rsidR="006A10FB">
        <w:rPr>
          <w:noProof/>
        </w:rPr>
        <w:t>PROJEKT REZOLUCJI PARLAMENTU EUROPEJSKIEGO</w:t>
      </w:r>
      <w:r w:rsidR="006A10FB">
        <w:rPr>
          <w:noProof/>
        </w:rPr>
        <w:tab/>
      </w:r>
      <w:r w:rsidR="006A10FB">
        <w:rPr>
          <w:noProof/>
        </w:rPr>
        <w:fldChar w:fldCharType="begin"/>
      </w:r>
      <w:r w:rsidR="006A10FB">
        <w:rPr>
          <w:noProof/>
        </w:rPr>
        <w:instrText xml:space="preserve"> PAGEREF _Toc463259571 \h </w:instrText>
      </w:r>
      <w:r w:rsidR="006A10FB">
        <w:rPr>
          <w:noProof/>
        </w:rPr>
      </w:r>
      <w:r w:rsidR="006A10FB">
        <w:rPr>
          <w:noProof/>
        </w:rPr>
        <w:fldChar w:fldCharType="separate"/>
      </w:r>
      <w:r w:rsidR="006A10FB">
        <w:rPr>
          <w:noProof/>
        </w:rPr>
        <w:t>3</w:t>
      </w:r>
      <w:r w:rsidR="006A10FB">
        <w:rPr>
          <w:noProof/>
        </w:rPr>
        <w:fldChar w:fldCharType="end"/>
      </w:r>
    </w:p>
    <w:p w:rsidR="006A10FB" w:rsidRDefault="006A10FB">
      <w:pPr>
        <w:pStyle w:val="TOC1"/>
        <w:tabs>
          <w:tab w:val="right" w:leader="dot" w:pos="9060"/>
        </w:tabs>
        <w:rPr>
          <w:rFonts w:asciiTheme="minorHAnsi" w:eastAsiaTheme="minorEastAsia" w:hAnsiTheme="minorHAnsi" w:cstheme="minorBidi"/>
          <w:noProof/>
          <w:sz w:val="22"/>
          <w:szCs w:val="22"/>
          <w:lang w:bidi="ar-SA"/>
        </w:rPr>
      </w:pPr>
      <w:r>
        <w:rPr>
          <w:noProof/>
        </w:rPr>
        <w:t>ZAŁĄCZNIK: DECYZJA PARLAMENTU EUROPEJSKIEGO I RADY</w:t>
      </w:r>
      <w:r>
        <w:rPr>
          <w:noProof/>
        </w:rPr>
        <w:tab/>
      </w:r>
      <w:r>
        <w:rPr>
          <w:noProof/>
        </w:rPr>
        <w:fldChar w:fldCharType="begin"/>
      </w:r>
      <w:r>
        <w:rPr>
          <w:noProof/>
        </w:rPr>
        <w:instrText xml:space="preserve"> PAGEREF _Toc463259572 \h </w:instrText>
      </w:r>
      <w:r>
        <w:rPr>
          <w:noProof/>
        </w:rPr>
      </w:r>
      <w:r>
        <w:rPr>
          <w:noProof/>
        </w:rPr>
        <w:fldChar w:fldCharType="separate"/>
      </w:r>
      <w:r>
        <w:rPr>
          <w:noProof/>
        </w:rPr>
        <w:t>4</w:t>
      </w:r>
      <w:r>
        <w:rPr>
          <w:noProof/>
        </w:rPr>
        <w:fldChar w:fldCharType="end"/>
      </w:r>
    </w:p>
    <w:p w:rsidR="006A10FB" w:rsidRDefault="006A10FB">
      <w:pPr>
        <w:pStyle w:val="TOC1"/>
        <w:tabs>
          <w:tab w:val="right" w:leader="dot" w:pos="9060"/>
        </w:tabs>
        <w:rPr>
          <w:rFonts w:asciiTheme="minorHAnsi" w:eastAsiaTheme="minorEastAsia" w:hAnsiTheme="minorHAnsi" w:cstheme="minorBidi"/>
          <w:noProof/>
          <w:sz w:val="22"/>
          <w:szCs w:val="22"/>
          <w:lang w:bidi="ar-SA"/>
        </w:rPr>
      </w:pPr>
      <w:r>
        <w:rPr>
          <w:noProof/>
        </w:rPr>
        <w:t>UZASADNIENIE</w:t>
      </w:r>
      <w:r>
        <w:rPr>
          <w:noProof/>
        </w:rPr>
        <w:tab/>
      </w:r>
      <w:r>
        <w:rPr>
          <w:noProof/>
        </w:rPr>
        <w:fldChar w:fldCharType="begin"/>
      </w:r>
      <w:r>
        <w:rPr>
          <w:noProof/>
        </w:rPr>
        <w:instrText xml:space="preserve"> PAGEREF _Toc463259573 \h </w:instrText>
      </w:r>
      <w:r>
        <w:rPr>
          <w:noProof/>
        </w:rPr>
      </w:r>
      <w:r>
        <w:rPr>
          <w:noProof/>
        </w:rPr>
        <w:fldChar w:fldCharType="separate"/>
      </w:r>
      <w:r>
        <w:rPr>
          <w:noProof/>
        </w:rPr>
        <w:t>6</w:t>
      </w:r>
      <w:r>
        <w:rPr>
          <w:noProof/>
        </w:rPr>
        <w:fldChar w:fldCharType="end"/>
      </w:r>
    </w:p>
    <w:p w:rsidR="006A10FB" w:rsidRDefault="006A10FB">
      <w:pPr>
        <w:pStyle w:val="TOC1"/>
        <w:tabs>
          <w:tab w:val="right" w:leader="dot" w:pos="9060"/>
        </w:tabs>
        <w:rPr>
          <w:rFonts w:asciiTheme="minorHAnsi" w:eastAsiaTheme="minorEastAsia" w:hAnsiTheme="minorHAnsi" w:cstheme="minorBidi"/>
          <w:noProof/>
          <w:sz w:val="22"/>
          <w:szCs w:val="22"/>
          <w:lang w:bidi="ar-SA"/>
        </w:rPr>
      </w:pPr>
      <w:r>
        <w:rPr>
          <w:noProof/>
        </w:rPr>
        <w:t>ZAŁĄCZNIK – PISMO KOMISJI ROZWOJU REGIONALNEGO</w:t>
      </w:r>
      <w:r>
        <w:rPr>
          <w:noProof/>
        </w:rPr>
        <w:tab/>
      </w:r>
      <w:r>
        <w:rPr>
          <w:noProof/>
        </w:rPr>
        <w:fldChar w:fldCharType="begin"/>
      </w:r>
      <w:r>
        <w:rPr>
          <w:noProof/>
        </w:rPr>
        <w:instrText xml:space="preserve"> PAGEREF _Toc463259574 \h </w:instrText>
      </w:r>
      <w:r>
        <w:rPr>
          <w:noProof/>
        </w:rPr>
      </w:r>
      <w:r>
        <w:rPr>
          <w:noProof/>
        </w:rPr>
        <w:fldChar w:fldCharType="separate"/>
      </w:r>
      <w:r>
        <w:rPr>
          <w:noProof/>
        </w:rPr>
        <w:t>8</w:t>
      </w:r>
      <w:r>
        <w:rPr>
          <w:noProof/>
        </w:rPr>
        <w:fldChar w:fldCharType="end"/>
      </w:r>
    </w:p>
    <w:p w:rsidR="006A10FB" w:rsidRDefault="006A10FB">
      <w:pPr>
        <w:pStyle w:val="TOC1"/>
        <w:tabs>
          <w:tab w:val="right" w:leader="dot" w:pos="9060"/>
        </w:tabs>
        <w:rPr>
          <w:rFonts w:asciiTheme="minorHAnsi" w:eastAsiaTheme="minorEastAsia" w:hAnsiTheme="minorHAnsi" w:cstheme="minorBidi"/>
          <w:noProof/>
          <w:sz w:val="22"/>
          <w:szCs w:val="22"/>
          <w:lang w:bidi="ar-SA"/>
        </w:rPr>
      </w:pPr>
      <w:r>
        <w:rPr>
          <w:noProof/>
        </w:rPr>
        <w:t>WYNIK GŁOSOWANIA KOŃCOWEGO W KOMISJI PRZEDMIOTOWO WŁAŚCIWEJ</w:t>
      </w:r>
      <w:r>
        <w:rPr>
          <w:noProof/>
        </w:rPr>
        <w:tab/>
      </w:r>
      <w:r>
        <w:rPr>
          <w:noProof/>
        </w:rPr>
        <w:fldChar w:fldCharType="begin"/>
      </w:r>
      <w:r>
        <w:rPr>
          <w:noProof/>
        </w:rPr>
        <w:instrText xml:space="preserve"> PAGEREF _Toc463259575 \h </w:instrText>
      </w:r>
      <w:r>
        <w:rPr>
          <w:noProof/>
        </w:rPr>
      </w:r>
      <w:r>
        <w:rPr>
          <w:noProof/>
        </w:rPr>
        <w:fldChar w:fldCharType="separate"/>
      </w:r>
      <w:r>
        <w:rPr>
          <w:noProof/>
        </w:rPr>
        <w:t>9</w:t>
      </w:r>
      <w:r>
        <w:rPr>
          <w:noProof/>
        </w:rPr>
        <w:fldChar w:fldCharType="end"/>
      </w:r>
    </w:p>
    <w:p w:rsidR="00F35163" w:rsidRDefault="004D2440" w:rsidP="00216494">
      <w:pPr>
        <w:pStyle w:val="PageHeading"/>
        <w:rPr>
          <w:rFonts w:asciiTheme="minorHAnsi" w:eastAsiaTheme="minorEastAsia" w:hAnsiTheme="minorHAnsi" w:cstheme="minorBidi"/>
          <w:sz w:val="22"/>
          <w:szCs w:val="22"/>
        </w:rPr>
      </w:pPr>
      <w:r w:rsidRPr="00803ED6">
        <w:fldChar w:fldCharType="end"/>
      </w:r>
      <w:r>
        <w:br w:type="page"/>
      </w:r>
      <w:bookmarkStart w:id="1" w:name="_Toc462925455"/>
      <w:bookmarkStart w:id="2" w:name="_Toc463259571"/>
      <w:r>
        <w:lastRenderedPageBreak/>
        <w:t>PROJEKT REZOLUCJI PARLAMENTU EUROPEJSKIEGO</w:t>
      </w:r>
      <w:bookmarkEnd w:id="1"/>
      <w:bookmarkEnd w:id="2"/>
    </w:p>
    <w:p w:rsidR="004D2440" w:rsidRPr="00803ED6" w:rsidRDefault="001B5598">
      <w:pPr>
        <w:pStyle w:val="NormalBold"/>
      </w:pPr>
      <w:r>
        <w:t>w sprawie wniosku dotyczącego decyzji Parlamentu Europejskiego i Rady w sprawie uruchomienia Funduszu Solidarności Unii Europejskiej (FSUE)</w:t>
      </w:r>
    </w:p>
    <w:p w:rsidR="004D2440" w:rsidRPr="00803ED6" w:rsidRDefault="001B5598">
      <w:pPr>
        <w:pStyle w:val="Normal12Bold"/>
      </w:pPr>
      <w:r>
        <w:t>(COM(2016)0462 – C8-0283/2016 – 2016/2165(BUD))</w:t>
      </w:r>
    </w:p>
    <w:p w:rsidR="004D2440" w:rsidRPr="00803ED6" w:rsidRDefault="001B5598">
      <w:pPr>
        <w:pStyle w:val="Normal12"/>
      </w:pPr>
      <w:r>
        <w:rPr>
          <w:i/>
        </w:rPr>
        <w:t>Parlament Europejski,</w:t>
      </w:r>
    </w:p>
    <w:p w:rsidR="00857E09" w:rsidRPr="00803ED6" w:rsidRDefault="004D2440" w:rsidP="00857E09">
      <w:pPr>
        <w:pStyle w:val="Normal12Hanging"/>
        <w:rPr>
          <w:rFonts w:eastAsia="Arial Unicode MS" w:cs="Arial Unicode MS"/>
          <w:color w:val="000000"/>
          <w:szCs w:val="24"/>
          <w:u w:color="000000"/>
        </w:rPr>
      </w:pPr>
      <w:r>
        <w:t>–</w:t>
      </w:r>
      <w:r>
        <w:tab/>
        <w:t>uwzględniając wniosek Komisji przedłożony Parlamentowi Europejskiemu i Radzie (COM(2016)0462 – C8-0283/2016),</w:t>
      </w:r>
      <w:r>
        <w:rPr>
          <w:b/>
          <w:color w:val="000000"/>
          <w:u w:color="000000"/>
        </w:rPr>
        <w:t xml:space="preserve"> </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uwzględniając rozporządzenie Rady (WE) nr 2012/2002 z dnia 11 listopada 2002 r. ustanawiające Fundusz Solidarności Unii Europejskiej</w:t>
      </w:r>
      <w:r>
        <w:rPr>
          <w:color w:val="000000"/>
          <w:u w:color="000000"/>
          <w:vertAlign w:val="superscript"/>
        </w:rPr>
        <w:footnoteReference w:id="1"/>
      </w:r>
      <w:r>
        <w:rPr>
          <w:color w:val="000000"/>
          <w:u w:color="000000"/>
        </w:rPr>
        <w:t>,</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uwzględniając rozporządzenie Rady (UE, Euratom) nr 1311/2013 z dnia 2 grudnia 2013 r. określające wieloletnie ramy finansowe na lata 2014−2020</w:t>
      </w:r>
      <w:r>
        <w:rPr>
          <w:color w:val="000000"/>
          <w:u w:color="000000"/>
          <w:vertAlign w:val="superscript"/>
        </w:rPr>
        <w:footnoteReference w:id="2"/>
      </w:r>
      <w:r>
        <w:rPr>
          <w:color w:val="000000"/>
          <w:u w:color="000000"/>
        </w:rPr>
        <w:t>, w szczególności jego art. 10,</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uwzględniając Porozumienie międzyinstytucjonalne z dnia 2 grudnia 2013 r. pomiędzy Parlamentem Europejskim, Radą i Komisją w sprawie dyscypliny budżetowej, współpracy w kwestiach budżetowych i należytego zarządzania finansami</w:t>
      </w:r>
      <w:r>
        <w:rPr>
          <w:color w:val="000000"/>
          <w:u w:color="000000"/>
          <w:vertAlign w:val="superscript"/>
        </w:rPr>
        <w:footnoteReference w:id="3"/>
      </w:r>
      <w:r>
        <w:rPr>
          <w:color w:val="000000"/>
          <w:u w:color="000000"/>
        </w:rPr>
        <w:t>, w szczególności jego pkt 11,</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uwzględniając pismo Komisji Rozwoju Regionalnego,</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uwzględniając sprawozdanie Komisji Budżetowej (A8-0270/2016),</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1.</w:t>
      </w:r>
      <w:r>
        <w:tab/>
      </w:r>
      <w:r>
        <w:rPr>
          <w:color w:val="000000"/>
          <w:u w:color="000000"/>
        </w:rPr>
        <w:t>zatwierdza decyzję załączoną do niniejszej rezolucji;</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2.</w:t>
      </w:r>
      <w:r>
        <w:tab/>
      </w:r>
      <w:r>
        <w:rPr>
          <w:color w:val="000000"/>
          <w:u w:color="000000"/>
        </w:rPr>
        <w:t xml:space="preserve">zobowiązuje swojego przewodniczącego do podpisania wraz z przewodniczącym Rady niniejszej decyzji i zapewnienia jej publikacji w </w:t>
      </w:r>
      <w:r>
        <w:rPr>
          <w:i/>
          <w:color w:val="000000"/>
          <w:u w:color="000000"/>
        </w:rPr>
        <w:t>Dzienniku Urzędowym Unii Europejskiej</w:t>
      </w:r>
      <w:r>
        <w:rPr>
          <w:color w:val="000000"/>
          <w:u w:color="000000"/>
        </w:rPr>
        <w:t>;</w:t>
      </w:r>
    </w:p>
    <w:p w:rsidR="00857E09" w:rsidRPr="00803ED6" w:rsidRDefault="00857E09" w:rsidP="00857E09">
      <w:pPr>
        <w:spacing w:after="240"/>
        <w:ind w:left="567" w:hanging="567"/>
        <w:rPr>
          <w:rFonts w:eastAsia="Arial Unicode MS" w:cs="Arial Unicode MS"/>
          <w:color w:val="000000"/>
          <w:szCs w:val="24"/>
          <w:u w:color="000000"/>
        </w:rPr>
      </w:pPr>
      <w:r>
        <w:rPr>
          <w:color w:val="000000"/>
          <w:u w:color="000000"/>
        </w:rPr>
        <w:t>3.</w:t>
      </w:r>
      <w:r>
        <w:tab/>
      </w:r>
      <w:r>
        <w:rPr>
          <w:color w:val="000000"/>
          <w:u w:color="000000"/>
        </w:rPr>
        <w:t>zobowiązuje swojego przewodniczącego do przekazania niniejszej rezolucji wraz z załącznikiem Radzie i Komisji.</w:t>
      </w:r>
    </w:p>
    <w:p w:rsidR="00857E09" w:rsidRPr="00803ED6" w:rsidRDefault="00857E09" w:rsidP="00857E09">
      <w:pPr>
        <w:pStyle w:val="PageHeading"/>
      </w:pPr>
      <w:r>
        <w:br w:type="page"/>
      </w:r>
      <w:bookmarkStart w:id="3" w:name="_Toc1"/>
      <w:bookmarkStart w:id="4" w:name="_Toc462925456"/>
      <w:bookmarkStart w:id="5" w:name="_Toc463259572"/>
      <w:r>
        <w:lastRenderedPageBreak/>
        <w:t>ZAŁĄCZNIK: DECYZJA PARLAMENTU EUROPEJSKIEGO I RADY</w:t>
      </w:r>
      <w:bookmarkEnd w:id="3"/>
      <w:bookmarkEnd w:id="4"/>
      <w:bookmarkEnd w:id="5"/>
    </w:p>
    <w:p w:rsidR="00857E09" w:rsidRPr="00803ED6" w:rsidRDefault="00857E09" w:rsidP="00857E09">
      <w:pPr>
        <w:spacing w:before="360" w:after="360"/>
        <w:jc w:val="center"/>
        <w:rPr>
          <w:b/>
          <w:bCs/>
          <w:color w:val="000000"/>
          <w:szCs w:val="24"/>
          <w:u w:color="000000"/>
        </w:rPr>
      </w:pPr>
      <w:r>
        <w:rPr>
          <w:b/>
          <w:color w:val="000000"/>
          <w:u w:color="000000"/>
        </w:rPr>
        <w:t xml:space="preserve">w sprawie uruchomienia Funduszu Solidarności Unii Europejskiej w celu udzielenia pomocy Grecji </w:t>
      </w:r>
    </w:p>
    <w:p w:rsidR="00857E09" w:rsidRPr="00803ED6" w:rsidRDefault="00857E09" w:rsidP="00857E09">
      <w:pPr>
        <w:keepNext/>
        <w:spacing w:before="480" w:after="360"/>
        <w:jc w:val="both"/>
        <w:rPr>
          <w:color w:val="000000"/>
          <w:szCs w:val="24"/>
          <w:u w:color="000000"/>
        </w:rPr>
      </w:pPr>
      <w:r>
        <w:rPr>
          <w:color w:val="000000"/>
          <w:u w:color="000000"/>
        </w:rPr>
        <w:t>PARLAMENT EUROPEJSKI I RADA UNII EUROPEJSKIEJ,</w:t>
      </w:r>
    </w:p>
    <w:p w:rsidR="00857E09" w:rsidRPr="00803ED6" w:rsidRDefault="00857E09" w:rsidP="00857E09">
      <w:pPr>
        <w:spacing w:before="120" w:after="120"/>
        <w:jc w:val="both"/>
        <w:rPr>
          <w:color w:val="000000"/>
          <w:szCs w:val="24"/>
          <w:u w:color="000000"/>
        </w:rPr>
      </w:pPr>
      <w:r>
        <w:rPr>
          <w:color w:val="000000"/>
          <w:u w:color="000000"/>
        </w:rPr>
        <w:t>uwzględniając Traktat o funkcjonowaniu Unii Europejskiej,</w:t>
      </w:r>
    </w:p>
    <w:p w:rsidR="00857E09" w:rsidRPr="00803ED6" w:rsidRDefault="00857E09" w:rsidP="00857E09">
      <w:pPr>
        <w:spacing w:before="120" w:after="120"/>
        <w:jc w:val="both"/>
        <w:rPr>
          <w:color w:val="000000"/>
          <w:szCs w:val="24"/>
          <w:u w:color="000000"/>
        </w:rPr>
      </w:pPr>
      <w:r>
        <w:rPr>
          <w:color w:val="000000"/>
          <w:u w:color="000000"/>
        </w:rPr>
        <w:t>uwzględniając rozporządzenie Rady (WE) nr 2012/2002 z dnia 11 listopada 2002 r. ustanawiające Fundusz Solidarności Unii Europejskiej</w:t>
      </w:r>
      <w:r>
        <w:rPr>
          <w:color w:val="000000"/>
          <w:u w:color="000000"/>
          <w:vertAlign w:val="superscript"/>
        </w:rPr>
        <w:footnoteReference w:id="4"/>
      </w:r>
      <w:r>
        <w:rPr>
          <w:color w:val="000000"/>
          <w:u w:color="000000"/>
        </w:rPr>
        <w:t>, w szczególności jego art. 4 ust. 3,</w:t>
      </w:r>
    </w:p>
    <w:p w:rsidR="00857E09" w:rsidRPr="00803ED6" w:rsidRDefault="00857E09" w:rsidP="00857E09">
      <w:pPr>
        <w:spacing w:before="120" w:after="120"/>
        <w:jc w:val="both"/>
        <w:rPr>
          <w:color w:val="000000"/>
          <w:szCs w:val="24"/>
          <w:u w:color="000000"/>
        </w:rPr>
      </w:pPr>
      <w:r>
        <w:rPr>
          <w:color w:val="000000"/>
          <w:u w:color="000000"/>
        </w:rPr>
        <w:t>uwzględniając Porozumienie międzyinstytucjonalne z dnia 2 grudnia 2013 r. pomiędzy Parlamentem Europejskim, Radą i Komisją w sprawie dyscypliny budżetowej, współpracy w kwestiach budżetowych i należytego zarządzania finansami</w:t>
      </w:r>
      <w:r>
        <w:rPr>
          <w:color w:val="000000"/>
          <w:u w:color="000000"/>
          <w:vertAlign w:val="superscript"/>
        </w:rPr>
        <w:footnoteReference w:id="5"/>
      </w:r>
      <w:r>
        <w:rPr>
          <w:color w:val="000000"/>
          <w:u w:color="000000"/>
        </w:rPr>
        <w:t>, w szczególności jego pkt 11,</w:t>
      </w:r>
    </w:p>
    <w:p w:rsidR="00857E09" w:rsidRPr="00803ED6" w:rsidRDefault="00857E09" w:rsidP="00857E09">
      <w:pPr>
        <w:spacing w:before="120" w:after="120"/>
        <w:jc w:val="both"/>
        <w:rPr>
          <w:color w:val="000000"/>
          <w:szCs w:val="24"/>
          <w:u w:color="000000"/>
        </w:rPr>
      </w:pPr>
      <w:r>
        <w:rPr>
          <w:color w:val="000000"/>
          <w:u w:color="000000"/>
        </w:rPr>
        <w:t>uwzględniając wniosek Komisji Europejskiej,</w:t>
      </w:r>
    </w:p>
    <w:p w:rsidR="00857E09" w:rsidRPr="00803ED6" w:rsidRDefault="00857E09" w:rsidP="00857E09">
      <w:pPr>
        <w:spacing w:before="120" w:after="360"/>
        <w:jc w:val="both"/>
        <w:rPr>
          <w:color w:val="000000"/>
          <w:szCs w:val="24"/>
          <w:u w:color="000000"/>
        </w:rPr>
      </w:pPr>
      <w:r>
        <w:rPr>
          <w:color w:val="000000"/>
          <w:u w:color="000000"/>
        </w:rPr>
        <w:t>a także mając na uwadze, co następuje:</w:t>
      </w:r>
    </w:p>
    <w:p w:rsidR="00857E09" w:rsidRPr="00803ED6" w:rsidRDefault="00857E09" w:rsidP="00857E09">
      <w:pPr>
        <w:spacing w:before="120" w:after="120"/>
        <w:ind w:left="709" w:hanging="709"/>
        <w:jc w:val="both"/>
        <w:rPr>
          <w:color w:val="000000"/>
          <w:szCs w:val="24"/>
          <w:u w:color="000000"/>
        </w:rPr>
      </w:pPr>
      <w:r>
        <w:rPr>
          <w:color w:val="000000"/>
          <w:u w:color="000000"/>
        </w:rPr>
        <w:t>(1)</w:t>
      </w:r>
      <w:r>
        <w:tab/>
      </w:r>
      <w:r>
        <w:rPr>
          <w:color w:val="000000"/>
          <w:u w:color="000000"/>
        </w:rPr>
        <w:t xml:space="preserve">Fundusz Solidarności Unii Europejskiej („fundusz”) ma na celu umożliwienie szybkiej, skutecznej i elastycznej reakcji Unii w sytuacjach nadzwyczajnych w celu okazania solidarności z ludnością zamieszkującą regiony dotknięte klęskami żywiołowymi. </w:t>
      </w:r>
    </w:p>
    <w:p w:rsidR="00857E09" w:rsidRPr="00803ED6" w:rsidRDefault="00857E09" w:rsidP="00857E09">
      <w:pPr>
        <w:spacing w:before="120" w:after="120"/>
        <w:ind w:left="709" w:hanging="709"/>
        <w:jc w:val="both"/>
        <w:rPr>
          <w:color w:val="000000"/>
          <w:szCs w:val="24"/>
          <w:u w:color="000000"/>
        </w:rPr>
      </w:pPr>
      <w:r>
        <w:rPr>
          <w:color w:val="000000"/>
          <w:u w:color="000000"/>
        </w:rPr>
        <w:t>(2)</w:t>
      </w:r>
      <w:r>
        <w:tab/>
      </w:r>
      <w:r>
        <w:rPr>
          <w:color w:val="000000"/>
          <w:u w:color="000000"/>
        </w:rPr>
        <w:t>Środki funduszu nie mogą przekroczyć maksymalnej rocznej kwoty w wysokości 500 mln EUR (w cenach z 2011 r.), zgodnie z art. 10 rozporządzenia Rady (UE, Euratom) nr 1311/2013</w:t>
      </w:r>
      <w:r>
        <w:rPr>
          <w:color w:val="000000"/>
          <w:u w:color="000000"/>
          <w:vertAlign w:val="superscript"/>
        </w:rPr>
        <w:footnoteReference w:id="6"/>
      </w:r>
      <w:r>
        <w:rPr>
          <w:color w:val="000000"/>
          <w:u w:color="000000"/>
        </w:rPr>
        <w:t>.</w:t>
      </w:r>
    </w:p>
    <w:p w:rsidR="00857E09" w:rsidRPr="00803ED6" w:rsidRDefault="00857E09" w:rsidP="00857E09">
      <w:pPr>
        <w:spacing w:before="120" w:after="120"/>
        <w:ind w:left="709" w:hanging="709"/>
        <w:jc w:val="both"/>
        <w:rPr>
          <w:color w:val="000000"/>
          <w:sz w:val="22"/>
          <w:szCs w:val="22"/>
          <w:u w:color="000000"/>
        </w:rPr>
      </w:pPr>
      <w:r>
        <w:rPr>
          <w:color w:val="000000"/>
          <w:u w:color="000000"/>
        </w:rPr>
        <w:t>(3)</w:t>
      </w:r>
      <w:r>
        <w:tab/>
      </w:r>
      <w:r>
        <w:rPr>
          <w:color w:val="000000"/>
          <w:u w:color="000000"/>
        </w:rPr>
        <w:t xml:space="preserve">W dniu 5 lutego 2016 r. Grecja złożyła wniosek o pomoc finansową z funduszu w związku z trzęsieniem ziemi, które miało miejsce na Wyspach Jońskich w listopadzie 2015 r. </w:t>
      </w:r>
    </w:p>
    <w:p w:rsidR="00857E09" w:rsidRPr="00803ED6" w:rsidRDefault="00857E09" w:rsidP="00857E09">
      <w:pPr>
        <w:spacing w:before="120" w:after="120"/>
        <w:ind w:left="709" w:hanging="709"/>
        <w:jc w:val="both"/>
        <w:rPr>
          <w:color w:val="000000"/>
          <w:sz w:val="22"/>
          <w:szCs w:val="22"/>
          <w:u w:color="000000"/>
        </w:rPr>
      </w:pPr>
      <w:r>
        <w:rPr>
          <w:color w:val="000000"/>
          <w:u w:color="000000"/>
        </w:rPr>
        <w:t>(4)</w:t>
      </w:r>
      <w:r>
        <w:tab/>
      </w:r>
      <w:r>
        <w:rPr>
          <w:color w:val="000000"/>
          <w:u w:color="000000"/>
        </w:rPr>
        <w:t>Wniosek Grecji spełnia warunki przyznania wkładu finansowego z funduszu zgodnie z art. 4 rozporządzenia (WE) nr 2012/2002.</w:t>
      </w:r>
    </w:p>
    <w:p w:rsidR="00857E09" w:rsidRPr="00803ED6" w:rsidRDefault="00857E09" w:rsidP="00857E09">
      <w:pPr>
        <w:spacing w:before="120" w:after="120"/>
        <w:ind w:left="709" w:hanging="709"/>
        <w:jc w:val="both"/>
        <w:rPr>
          <w:color w:val="000000"/>
          <w:sz w:val="22"/>
          <w:szCs w:val="22"/>
          <w:u w:color="000000"/>
        </w:rPr>
      </w:pPr>
      <w:r>
        <w:rPr>
          <w:color w:val="000000"/>
          <w:u w:color="000000"/>
        </w:rPr>
        <w:t>(5)</w:t>
      </w:r>
      <w:r>
        <w:tab/>
      </w:r>
      <w:r>
        <w:rPr>
          <w:color w:val="000000"/>
          <w:u w:color="000000"/>
        </w:rPr>
        <w:t xml:space="preserve">W związku z tym należy uruchomić fundusz, aby zapewnić wkład finansowy dla Grecji. </w:t>
      </w:r>
    </w:p>
    <w:p w:rsidR="00857E09" w:rsidRPr="00803ED6" w:rsidRDefault="00857E09" w:rsidP="00857E09">
      <w:pPr>
        <w:spacing w:before="120" w:after="120"/>
        <w:ind w:left="709" w:hanging="709"/>
        <w:jc w:val="both"/>
        <w:rPr>
          <w:color w:val="000000"/>
          <w:sz w:val="22"/>
          <w:szCs w:val="22"/>
          <w:u w:color="000000"/>
        </w:rPr>
      </w:pPr>
      <w:r>
        <w:rPr>
          <w:color w:val="000000"/>
          <w:u w:color="000000"/>
        </w:rPr>
        <w:lastRenderedPageBreak/>
        <w:t>(6)</w:t>
      </w:r>
      <w:r>
        <w:tab/>
      </w:r>
      <w:r>
        <w:rPr>
          <w:color w:val="000000"/>
          <w:u w:color="000000"/>
        </w:rPr>
        <w:t>Decyzją Parlamentu Europejskiego i Rady (UE) 2016/252</w:t>
      </w:r>
      <w:r>
        <w:rPr>
          <w:color w:val="000000"/>
          <w:u w:color="000000"/>
          <w:vertAlign w:val="superscript"/>
        </w:rPr>
        <w:footnoteReference w:id="7"/>
      </w:r>
      <w:r>
        <w:rPr>
          <w:color w:val="000000"/>
          <w:u w:color="000000"/>
        </w:rPr>
        <w:t xml:space="preserve"> na rok budżetowy 2016 uruchomiono środki z Funduszu Solidarności Unii Europejskiej w celu udostępnienia kwoty w wysokości 50 mln EUR w formie środków na zobowiązania i środków na płatności na wypłatę zaliczek. Środki te wykorzystano jedynie w bardzo ograniczonym zakresie. Istnieją w związku z tym możliwości sfinansowania pełnej kwoty środków uruchamianych na mocy niniejszej decyzji, która powinna być udostępniona poprzez realokację dostępnych środków na wypłatę zaliczek w budżecie ogólnym Unii na 2016 r.</w:t>
      </w:r>
    </w:p>
    <w:p w:rsidR="00857E09" w:rsidRPr="00803ED6" w:rsidRDefault="00857E09" w:rsidP="00857E09">
      <w:pPr>
        <w:spacing w:before="120" w:after="120"/>
        <w:ind w:left="709" w:hanging="709"/>
        <w:jc w:val="both"/>
        <w:rPr>
          <w:color w:val="000000"/>
          <w:sz w:val="22"/>
          <w:szCs w:val="22"/>
          <w:u w:color="000000"/>
        </w:rPr>
      </w:pPr>
      <w:r>
        <w:rPr>
          <w:color w:val="000000"/>
          <w:u w:color="000000"/>
        </w:rPr>
        <w:t>(7)</w:t>
      </w:r>
      <w:r>
        <w:tab/>
      </w:r>
      <w:r>
        <w:rPr>
          <w:color w:val="000000"/>
          <w:u w:color="000000"/>
        </w:rPr>
        <w:t>Aby skrócić do minimum czas potrzebny na uruchomienie funduszu, niniejsza decyzja powinna wejść w życie z dniem jej przyjęcia.</w:t>
      </w:r>
    </w:p>
    <w:p w:rsidR="00857E09" w:rsidRPr="00803ED6" w:rsidRDefault="00857E09" w:rsidP="00857E09">
      <w:pPr>
        <w:keepNext/>
        <w:spacing w:before="120" w:after="120"/>
        <w:jc w:val="both"/>
        <w:rPr>
          <w:color w:val="000000"/>
          <w:szCs w:val="24"/>
          <w:u w:color="000000"/>
        </w:rPr>
      </w:pPr>
      <w:r>
        <w:rPr>
          <w:color w:val="000000"/>
          <w:u w:color="000000"/>
        </w:rPr>
        <w:t>PRZYJMUJĄ NINIEJSZĄ DECYZJĘ:</w:t>
      </w:r>
    </w:p>
    <w:p w:rsidR="00857E09" w:rsidRPr="00803ED6" w:rsidRDefault="00857E09" w:rsidP="00857E09">
      <w:pPr>
        <w:keepNext/>
        <w:spacing w:before="240" w:after="120"/>
        <w:jc w:val="center"/>
        <w:rPr>
          <w:i/>
          <w:iCs/>
          <w:color w:val="000000"/>
          <w:szCs w:val="24"/>
          <w:u w:color="000000"/>
        </w:rPr>
      </w:pPr>
      <w:r>
        <w:rPr>
          <w:i/>
          <w:color w:val="000000"/>
          <w:u w:color="000000"/>
        </w:rPr>
        <w:t>Artykuł 1</w:t>
      </w:r>
    </w:p>
    <w:p w:rsidR="00857E09" w:rsidRPr="00803ED6" w:rsidRDefault="00857E09" w:rsidP="00857E09">
      <w:pPr>
        <w:spacing w:before="120" w:after="120"/>
        <w:jc w:val="both"/>
        <w:rPr>
          <w:color w:val="000000"/>
          <w:szCs w:val="24"/>
          <w:u w:color="000000"/>
        </w:rPr>
      </w:pPr>
      <w:r>
        <w:rPr>
          <w:color w:val="000000"/>
          <w:u w:color="000000"/>
        </w:rPr>
        <w:t xml:space="preserve">W ramach budżetu ogólnego Unii Europejskiej na rok budżetowy 2016 uruchamia się środki z Funduszu Solidarności Unii Europejskiej w celu udostępnienia kwoty 1 651 834 EUR dla Grecji w formie środków na zobowiązania i środków na płatności. </w:t>
      </w:r>
    </w:p>
    <w:p w:rsidR="00857E09" w:rsidRPr="00803ED6" w:rsidRDefault="00857E09" w:rsidP="00857E09">
      <w:pPr>
        <w:spacing w:before="120" w:after="120"/>
        <w:jc w:val="both"/>
        <w:rPr>
          <w:b/>
          <w:bCs/>
          <w:color w:val="000000"/>
          <w:szCs w:val="24"/>
          <w:u w:color="000000"/>
        </w:rPr>
      </w:pPr>
      <w:r>
        <w:rPr>
          <w:color w:val="000000"/>
          <w:u w:color="000000"/>
        </w:rPr>
        <w:t xml:space="preserve">Kwotę uruchamianych środków, o której mowa w pierwszym akapicie, finansuje się ze środków uruchomionych na wypłatę zaliczek w budżecie Unii na rok budżetowy 2016. Obniża się odpowiednio środki dostępne na wypłatę zaliczek. </w:t>
      </w:r>
    </w:p>
    <w:p w:rsidR="00857E09" w:rsidRPr="00803ED6" w:rsidRDefault="00857E09" w:rsidP="00857E09">
      <w:pPr>
        <w:keepNext/>
        <w:spacing w:before="360" w:after="120"/>
        <w:jc w:val="center"/>
        <w:rPr>
          <w:i/>
          <w:iCs/>
          <w:color w:val="000000"/>
          <w:szCs w:val="24"/>
          <w:u w:color="000000"/>
        </w:rPr>
      </w:pPr>
      <w:r>
        <w:rPr>
          <w:i/>
          <w:color w:val="000000"/>
          <w:u w:color="000000"/>
        </w:rPr>
        <w:t>Artykuł 2</w:t>
      </w:r>
    </w:p>
    <w:p w:rsidR="00857E09" w:rsidRPr="00803ED6" w:rsidRDefault="00857E09" w:rsidP="00857E09">
      <w:pPr>
        <w:spacing w:before="120" w:after="120"/>
        <w:jc w:val="both"/>
        <w:rPr>
          <w:color w:val="000000"/>
          <w:szCs w:val="24"/>
          <w:u w:color="000000"/>
        </w:rPr>
      </w:pPr>
      <w:r>
        <w:rPr>
          <w:color w:val="000000"/>
          <w:u w:color="000000"/>
        </w:rPr>
        <w:t xml:space="preserve">Niniejsza decyzja wchodzi w życie w dniu jej publikacji w </w:t>
      </w:r>
      <w:r>
        <w:rPr>
          <w:i/>
          <w:color w:val="000000"/>
          <w:u w:color="000000"/>
        </w:rPr>
        <w:t>Dzienniku Urzędowym Unii Europejskiej</w:t>
      </w:r>
      <w:r>
        <w:rPr>
          <w:color w:val="000000"/>
          <w:u w:color="000000"/>
        </w:rPr>
        <w:t>.</w:t>
      </w:r>
    </w:p>
    <w:p w:rsidR="00857E09" w:rsidRPr="00803ED6" w:rsidRDefault="00857E09" w:rsidP="00857E09">
      <w:pPr>
        <w:spacing w:before="120" w:after="120"/>
        <w:jc w:val="both"/>
        <w:rPr>
          <w:color w:val="000000"/>
          <w:szCs w:val="24"/>
          <w:u w:color="000000"/>
        </w:rPr>
      </w:pPr>
    </w:p>
    <w:p w:rsidR="00857E09" w:rsidRPr="00803ED6" w:rsidRDefault="00857E09" w:rsidP="00857E09">
      <w:pPr>
        <w:spacing w:before="120" w:after="120"/>
        <w:jc w:val="both"/>
        <w:rPr>
          <w:i/>
          <w:iCs/>
          <w:color w:val="000000"/>
          <w:szCs w:val="24"/>
          <w:u w:color="000000"/>
        </w:rPr>
      </w:pPr>
      <w:r>
        <w:rPr>
          <w:color w:val="000000"/>
          <w:u w:color="000000"/>
        </w:rPr>
        <w:t>Stosuje się ją od dnia ... [data przyjęcia niniejszej decyzji].</w:t>
      </w:r>
    </w:p>
    <w:p w:rsidR="00857E09" w:rsidRPr="00803ED6" w:rsidRDefault="00857E09" w:rsidP="00857E09">
      <w:pPr>
        <w:keepNext/>
        <w:spacing w:before="120"/>
        <w:jc w:val="both"/>
        <w:rPr>
          <w:color w:val="000000"/>
          <w:szCs w:val="24"/>
          <w:u w:color="000000"/>
        </w:rPr>
      </w:pPr>
      <w:r>
        <w:rPr>
          <w:color w:val="000000"/>
          <w:u w:color="000000"/>
        </w:rPr>
        <w:footnoteReference w:customMarkFollows="1" w:id="8"/>
        <w:t xml:space="preserve">Sporządzono w ... </w:t>
      </w:r>
    </w:p>
    <w:p w:rsidR="00857E09" w:rsidRPr="00803ED6" w:rsidRDefault="00857E09" w:rsidP="00857E09">
      <w:pPr>
        <w:keepNext/>
        <w:tabs>
          <w:tab w:val="left" w:pos="4252"/>
        </w:tabs>
        <w:spacing w:before="720"/>
        <w:jc w:val="both"/>
        <w:rPr>
          <w:i/>
          <w:iCs/>
          <w:color w:val="000000"/>
          <w:szCs w:val="24"/>
          <w:u w:color="000000"/>
        </w:rPr>
      </w:pPr>
      <w:r>
        <w:rPr>
          <w:i/>
          <w:color w:val="000000"/>
          <w:u w:color="000000"/>
        </w:rPr>
        <w:t>W imieniu Parlamentu Europejskiego</w:t>
      </w:r>
      <w:r>
        <w:tab/>
      </w:r>
      <w:r>
        <w:rPr>
          <w:i/>
          <w:color w:val="000000"/>
          <w:u w:color="000000"/>
        </w:rPr>
        <w:t>W imieniu Rady</w:t>
      </w:r>
    </w:p>
    <w:p w:rsidR="00857E09" w:rsidRPr="00803ED6" w:rsidRDefault="00857E09" w:rsidP="00857E09">
      <w:pPr>
        <w:tabs>
          <w:tab w:val="left" w:pos="4252"/>
        </w:tabs>
        <w:rPr>
          <w:i/>
          <w:iCs/>
          <w:color w:val="000000"/>
          <w:szCs w:val="24"/>
          <w:u w:color="000000"/>
        </w:rPr>
      </w:pPr>
      <w:r w:rsidRPr="00483741">
        <w:rPr>
          <w:i/>
        </w:rPr>
        <w:t>Przewodniczący</w:t>
      </w:r>
      <w:r>
        <w:tab/>
      </w:r>
      <w:r>
        <w:rPr>
          <w:i/>
          <w:color w:val="000000"/>
          <w:u w:color="000000"/>
        </w:rPr>
        <w:t>Przewodniczący</w:t>
      </w:r>
    </w:p>
    <w:p w:rsidR="00857E09" w:rsidRPr="00803ED6" w:rsidRDefault="00857E09" w:rsidP="00857E09">
      <w:pPr>
        <w:rPr>
          <w:color w:val="000000"/>
          <w:szCs w:val="24"/>
          <w:u w:color="000000"/>
        </w:rPr>
      </w:pPr>
    </w:p>
    <w:p w:rsidR="00857E09" w:rsidRPr="00803ED6" w:rsidRDefault="00857E09" w:rsidP="00857E09">
      <w:pPr>
        <w:rPr>
          <w:color w:val="000000"/>
          <w:szCs w:val="24"/>
          <w:u w:color="000000"/>
        </w:rPr>
      </w:pPr>
    </w:p>
    <w:p w:rsidR="00857E09" w:rsidRPr="00803ED6" w:rsidRDefault="00857E09" w:rsidP="00857E09">
      <w:pPr>
        <w:rPr>
          <w:color w:val="000000"/>
          <w:szCs w:val="24"/>
          <w:u w:color="000000"/>
        </w:rPr>
      </w:pPr>
    </w:p>
    <w:p w:rsidR="00857E09" w:rsidRPr="00803ED6" w:rsidRDefault="00857E09" w:rsidP="00857E09">
      <w:pPr>
        <w:rPr>
          <w:color w:val="000000"/>
          <w:szCs w:val="24"/>
          <w:u w:color="000000"/>
        </w:rPr>
      </w:pPr>
    </w:p>
    <w:p w:rsidR="00857E09" w:rsidRPr="00803ED6" w:rsidRDefault="00857E09" w:rsidP="00857E09">
      <w:pPr>
        <w:rPr>
          <w:color w:val="000000"/>
          <w:szCs w:val="24"/>
          <w:u w:color="000000"/>
        </w:rPr>
      </w:pPr>
    </w:p>
    <w:p w:rsidR="00857E09" w:rsidRPr="00803ED6" w:rsidRDefault="00857E09" w:rsidP="00857E09">
      <w:pPr>
        <w:rPr>
          <w:color w:val="000000"/>
          <w:szCs w:val="24"/>
          <w:u w:color="000000"/>
        </w:rPr>
      </w:pPr>
    </w:p>
    <w:p w:rsidR="00857E09" w:rsidRPr="00803ED6" w:rsidRDefault="00857E09" w:rsidP="00857E09">
      <w:pPr>
        <w:rPr>
          <w:color w:val="000000"/>
          <w:szCs w:val="24"/>
          <w:u w:color="000000"/>
        </w:rPr>
      </w:pPr>
    </w:p>
    <w:p w:rsidR="00857E09" w:rsidRPr="00803ED6" w:rsidRDefault="00857E09" w:rsidP="00857E09">
      <w:pPr>
        <w:pStyle w:val="PageHeading"/>
        <w:rPr>
          <w:rFonts w:eastAsia="Arial" w:cs="Arial"/>
          <w:u w:color="000000"/>
        </w:rPr>
      </w:pPr>
      <w:bookmarkStart w:id="6" w:name="_Toc2"/>
      <w:bookmarkStart w:id="7" w:name="_Toc462925457"/>
      <w:bookmarkStart w:id="8" w:name="_Toc463259573"/>
      <w:r>
        <w:lastRenderedPageBreak/>
        <w:t>UZASADNIENIE</w:t>
      </w:r>
      <w:bookmarkEnd w:id="6"/>
      <w:bookmarkEnd w:id="7"/>
      <w:bookmarkEnd w:id="8"/>
    </w:p>
    <w:p w:rsidR="00857E09" w:rsidRPr="00803ED6" w:rsidRDefault="00857E09" w:rsidP="00857E09">
      <w:pPr>
        <w:spacing w:after="200" w:line="276" w:lineRule="auto"/>
        <w:rPr>
          <w:color w:val="000000"/>
          <w:szCs w:val="24"/>
          <w:u w:color="000000"/>
        </w:rPr>
      </w:pPr>
      <w:r>
        <w:rPr>
          <w:color w:val="000000"/>
          <w:u w:color="000000"/>
        </w:rPr>
        <w:t>Komisja proponuje uruchomienie FSUE</w:t>
      </w:r>
      <w:r>
        <w:rPr>
          <w:color w:val="000000"/>
          <w:sz w:val="26"/>
          <w:u w:color="000000"/>
        </w:rPr>
        <w:t xml:space="preserve"> </w:t>
      </w:r>
      <w:r>
        <w:rPr>
          <w:color w:val="000000"/>
          <w:u w:color="000000"/>
        </w:rPr>
        <w:t xml:space="preserve">w celu udzielenia pomocy finansowej w związku z klęską żywiołową w Grecji (trzęsienia ziemi w regionie Wysp Jońskich, zwłaszcza na wyspie Leukada, w północnych częściach Itaki i na Kefalinii), jaka miała miejsce w dniu 17 listopada 2015 r. </w:t>
      </w:r>
    </w:p>
    <w:p w:rsidR="00857E09" w:rsidRPr="00803ED6" w:rsidRDefault="00857E09" w:rsidP="00857E09">
      <w:pPr>
        <w:spacing w:after="200" w:line="276" w:lineRule="auto"/>
        <w:rPr>
          <w:color w:val="000000"/>
          <w:szCs w:val="24"/>
          <w:u w:color="000000"/>
        </w:rPr>
      </w:pPr>
      <w:r>
        <w:rPr>
          <w:color w:val="000000"/>
          <w:u w:color="000000"/>
        </w:rPr>
        <w:t xml:space="preserve">Trzęsienia ziemi osiągnęły wartość 6,1 w skali Richtera. Dwie osoby zginęły, osiem zostało rannych, zniszczeniu uległo 120 domów, z czego 20 uznano za nienadające się do zamieszkania. W doniesieniach była mowa o znacznych zniszczeniach sieci infrastrukturalnych, budynków i obiektów kultury. Na wyspie Leukada zniszczeniu uległy niektóre z najważniejszych pod względem turystycznym plaż. </w:t>
      </w:r>
    </w:p>
    <w:p w:rsidR="00857E09" w:rsidRPr="00803ED6" w:rsidRDefault="00857E09" w:rsidP="00857E09">
      <w:pPr>
        <w:spacing w:after="200" w:line="276" w:lineRule="auto"/>
        <w:rPr>
          <w:color w:val="000000"/>
          <w:szCs w:val="24"/>
          <w:u w:color="000000"/>
        </w:rPr>
      </w:pPr>
      <w:r>
        <w:rPr>
          <w:color w:val="000000"/>
          <w:u w:color="000000"/>
        </w:rPr>
        <w:t xml:space="preserve">Władze greckie wstępnie oceniły łączną wartość bezpośrednich szkód spowodowanych klęską na kwotę 65 919 000 EUR. W dniu 9 marca 2016 r. kwotę tę podniesiono do 66 073 345 EUR Z uwagi na fakt, że kwota ta stanowi 2,1% regionalnego PKB dotkniętego klęską żywiołową regionu Wysp Jońskich na poziomie NUTS 2 (podstawą są dane Eurostatu z 2014 r.) oraz przekracza próg regionalnego PKB określony na poziomie 1,5%, trzęsienie ziemi kwalifikuje się jako </w:t>
      </w:r>
      <w:r>
        <w:rPr>
          <w:b/>
          <w:color w:val="000000"/>
          <w:u w:color="000000"/>
        </w:rPr>
        <w:t>regionalną klęskę żywiołową</w:t>
      </w:r>
      <w:r>
        <w:rPr>
          <w:color w:val="000000"/>
          <w:u w:color="000000"/>
        </w:rPr>
        <w:t xml:space="preserve"> w rozumieniu art. 2 ust. 3 rozporządzenia w sprawie FSUE.</w:t>
      </w:r>
    </w:p>
    <w:p w:rsidR="00857E09" w:rsidRPr="00803ED6" w:rsidRDefault="00857E09" w:rsidP="00857E09">
      <w:pPr>
        <w:spacing w:after="200" w:line="276" w:lineRule="auto"/>
        <w:rPr>
          <w:color w:val="000000"/>
          <w:szCs w:val="24"/>
          <w:u w:color="000000"/>
        </w:rPr>
      </w:pPr>
      <w:r>
        <w:rPr>
          <w:color w:val="000000"/>
          <w:u w:color="000000"/>
        </w:rPr>
        <w:t>Władze greckie oszacowały koszt niezbędnych działań nadzwyczajnych kwalifikujących się na podstawie art. 3 rozporządzenia na kwotę 52,374 mln EUR, z czego 38 mln EUR dotyczy sektora transportowego, a ponad 7 mln EUR – ochrony dziedzictwa kulturowego.</w:t>
      </w:r>
    </w:p>
    <w:p w:rsidR="00857E09" w:rsidRPr="00803ED6" w:rsidRDefault="00857E09" w:rsidP="00857E09">
      <w:pPr>
        <w:widowControl/>
        <w:spacing w:line="276" w:lineRule="auto"/>
        <w:rPr>
          <w:color w:val="000000"/>
          <w:szCs w:val="24"/>
          <w:u w:color="000000"/>
        </w:rPr>
      </w:pPr>
    </w:p>
    <w:p w:rsidR="00857E09" w:rsidRPr="00803ED6" w:rsidRDefault="00857E09" w:rsidP="00857E09">
      <w:pPr>
        <w:widowControl/>
        <w:spacing w:line="276" w:lineRule="auto"/>
        <w:rPr>
          <w:color w:val="000000"/>
          <w:szCs w:val="24"/>
          <w:u w:color="000000"/>
        </w:rPr>
      </w:pPr>
      <w:r>
        <w:rPr>
          <w:color w:val="000000"/>
          <w:u w:color="000000"/>
        </w:rPr>
        <w:t>Region dotknięty klęską zalicza się do kategorii „regionów słabiej rozwiniętych” w ramach funduszy strukturalnych i inwestycyjnych (2014–2020). Władze greckie nie poinformowały Komisji o zamiarze realokacji środków z programu w ramach europejskich funduszy strukturalnych i inwestycyjnych na działania związane z odbudową.</w:t>
      </w:r>
    </w:p>
    <w:p w:rsidR="00857E09" w:rsidRPr="00803ED6" w:rsidRDefault="00857E09" w:rsidP="00857E09">
      <w:pPr>
        <w:widowControl/>
        <w:spacing w:line="276" w:lineRule="auto"/>
        <w:rPr>
          <w:color w:val="000000"/>
          <w:szCs w:val="24"/>
          <w:u w:color="000000"/>
        </w:rPr>
      </w:pPr>
    </w:p>
    <w:p w:rsidR="00857E09" w:rsidRPr="00803ED6" w:rsidRDefault="00857E09" w:rsidP="00857E09">
      <w:pPr>
        <w:widowControl/>
        <w:spacing w:line="276" w:lineRule="auto"/>
        <w:rPr>
          <w:color w:val="000000"/>
          <w:szCs w:val="24"/>
          <w:u w:color="000000"/>
        </w:rPr>
      </w:pPr>
      <w:r>
        <w:rPr>
          <w:color w:val="000000"/>
          <w:u w:color="000000"/>
        </w:rPr>
        <w:t xml:space="preserve">Na wniosek Grecji w dniu 18 marca 2016 r. Komisja przyznała </w:t>
      </w:r>
      <w:r>
        <w:rPr>
          <w:b/>
          <w:color w:val="000000"/>
          <w:u w:color="000000"/>
        </w:rPr>
        <w:t>zaliczkę w wysokości 164 798 EUR</w:t>
      </w:r>
      <w:r>
        <w:rPr>
          <w:color w:val="000000"/>
          <w:u w:color="000000"/>
        </w:rPr>
        <w:t>, tj. 10% planowanego wkładu funduszu, zgodnie z art. 4a ust. 2 rozporządzenia w sprawie FSUE.</w:t>
      </w:r>
    </w:p>
    <w:p w:rsidR="00857E09" w:rsidRPr="00803ED6" w:rsidRDefault="00857E09" w:rsidP="00857E09">
      <w:pPr>
        <w:widowControl/>
        <w:spacing w:line="276" w:lineRule="auto"/>
        <w:rPr>
          <w:color w:val="000000"/>
          <w:szCs w:val="24"/>
          <w:u w:color="000000"/>
        </w:rPr>
      </w:pPr>
    </w:p>
    <w:p w:rsidR="00857E09" w:rsidRPr="00803ED6" w:rsidRDefault="00857E09" w:rsidP="00857E09">
      <w:pPr>
        <w:spacing w:before="120" w:after="120" w:line="276" w:lineRule="auto"/>
        <w:rPr>
          <w:b/>
          <w:bCs/>
          <w:color w:val="000000"/>
          <w:szCs w:val="24"/>
          <w:u w:color="000000"/>
        </w:rPr>
      </w:pPr>
      <w:r>
        <w:rPr>
          <w:color w:val="000000"/>
          <w:u w:color="000000"/>
        </w:rPr>
        <w:t xml:space="preserve">Zgodnie z wcześniejszą praktyką Komisja proponuje zastosowanie wskaźnika 2,5% całkowitych szkód bezpośrednich w odniesieniu do wszystkich szkód poniżej tego progu. </w:t>
      </w:r>
      <w:r>
        <w:rPr>
          <w:b/>
          <w:color w:val="000000"/>
          <w:u w:color="000000"/>
        </w:rPr>
        <w:t xml:space="preserve">Całkowita kwota proponowanej pomocy wynosi wobec tego 1 651 834 EUR. </w:t>
      </w:r>
    </w:p>
    <w:p w:rsidR="00857E09" w:rsidRPr="00803ED6" w:rsidRDefault="00857E09" w:rsidP="00857E09">
      <w:pPr>
        <w:spacing w:line="276" w:lineRule="auto"/>
        <w:rPr>
          <w:color w:val="000000"/>
          <w:szCs w:val="24"/>
          <w:u w:color="000000"/>
        </w:rPr>
      </w:pPr>
      <w:r>
        <w:rPr>
          <w:color w:val="000000"/>
          <w:u w:color="000000"/>
        </w:rPr>
        <w:t xml:space="preserve">Po odjęciu wypłaconych już zaliczek w wysokości 10% </w:t>
      </w:r>
      <w:r>
        <w:rPr>
          <w:b/>
          <w:color w:val="000000"/>
          <w:u w:color="000000"/>
        </w:rPr>
        <w:t>pozostająca do wypłaty kwota wynosi 1 487 036 EUR</w:t>
      </w:r>
      <w:r>
        <w:rPr>
          <w:color w:val="000000"/>
          <w:u w:color="000000"/>
        </w:rPr>
        <w:t>.</w:t>
      </w:r>
    </w:p>
    <w:p w:rsidR="00857E09" w:rsidRPr="00803ED6" w:rsidRDefault="00857E09" w:rsidP="00857E09">
      <w:pPr>
        <w:spacing w:line="276" w:lineRule="auto"/>
        <w:rPr>
          <w:color w:val="000000"/>
          <w:szCs w:val="24"/>
          <w:u w:color="000000"/>
        </w:rPr>
      </w:pPr>
    </w:p>
    <w:p w:rsidR="00857E09" w:rsidRPr="00803ED6" w:rsidRDefault="00857E09" w:rsidP="00857E09">
      <w:pPr>
        <w:spacing w:line="276" w:lineRule="auto"/>
        <w:rPr>
          <w:color w:val="000000"/>
          <w:szCs w:val="24"/>
          <w:u w:color="000000"/>
        </w:rPr>
      </w:pPr>
      <w:r>
        <w:rPr>
          <w:color w:val="000000"/>
          <w:u w:color="000000"/>
        </w:rPr>
        <w:t xml:space="preserve">W chwili przyjęcia budżetu na 2016 r. ujęto w nim kwotę 50 000 000 EUR w postaci środków na zobowiązania i środków na płatności przeznaczonych na wypłatę zaliczek. Powołując się na pkt 11 porozumienia międzyinstytucjonalnego, które przewiduje możliwość realokacji środków, Komisja proponuje uruchomienie środków funduszu przy </w:t>
      </w:r>
      <w:r>
        <w:rPr>
          <w:b/>
          <w:color w:val="000000"/>
          <w:u w:color="000000"/>
        </w:rPr>
        <w:t>wykorzystaniu tej już uruchomionej kwoty, przeznaczonej w szczególności na wypłatę zaliczek, aby wypłacić pozostające saldo w wysokości 1 487 036 EUR</w:t>
      </w:r>
      <w:r>
        <w:rPr>
          <w:color w:val="000000"/>
          <w:u w:color="000000"/>
        </w:rPr>
        <w:t xml:space="preserve">.  </w:t>
      </w:r>
    </w:p>
    <w:p w:rsidR="00857E09" w:rsidRPr="00803ED6" w:rsidRDefault="00857E09" w:rsidP="00857E09">
      <w:pPr>
        <w:spacing w:line="276" w:lineRule="auto"/>
        <w:rPr>
          <w:color w:val="000000"/>
          <w:szCs w:val="24"/>
          <w:u w:color="000000"/>
        </w:rPr>
      </w:pPr>
    </w:p>
    <w:p w:rsidR="00857E09" w:rsidRPr="00803ED6" w:rsidRDefault="00857E09" w:rsidP="00857E09">
      <w:pPr>
        <w:spacing w:line="276" w:lineRule="auto"/>
        <w:rPr>
          <w:color w:val="000000"/>
          <w:szCs w:val="24"/>
          <w:u w:color="000000"/>
        </w:rPr>
      </w:pPr>
      <w:r>
        <w:rPr>
          <w:color w:val="000000"/>
          <w:u w:color="000000"/>
        </w:rPr>
        <w:t xml:space="preserve">Proponowane uruchomienie funduszu </w:t>
      </w:r>
      <w:r>
        <w:rPr>
          <w:b/>
          <w:color w:val="000000"/>
          <w:u w:color="000000"/>
        </w:rPr>
        <w:t>nie wymagałoby wprowadzania zmian do budżetu na 2016 r.</w:t>
      </w:r>
      <w:r>
        <w:rPr>
          <w:color w:val="000000"/>
          <w:u w:color="000000"/>
        </w:rPr>
        <w:t xml:space="preserve"> ani projektu budżetu korygującego. </w:t>
      </w:r>
    </w:p>
    <w:p w:rsidR="00857E09" w:rsidRPr="00803ED6" w:rsidRDefault="00857E09" w:rsidP="00857E09">
      <w:pPr>
        <w:spacing w:line="276" w:lineRule="auto"/>
        <w:rPr>
          <w:color w:val="000000"/>
          <w:szCs w:val="24"/>
          <w:u w:color="000000"/>
        </w:rPr>
      </w:pPr>
    </w:p>
    <w:p w:rsidR="00857E09" w:rsidRPr="00803ED6" w:rsidRDefault="00857E09" w:rsidP="00857E09">
      <w:pPr>
        <w:spacing w:line="276" w:lineRule="auto"/>
        <w:rPr>
          <w:color w:val="000000"/>
          <w:szCs w:val="24"/>
          <w:u w:color="000000"/>
        </w:rPr>
      </w:pPr>
      <w:r>
        <w:rPr>
          <w:color w:val="000000"/>
          <w:u w:color="000000"/>
        </w:rPr>
        <w:t>Operacja ta pozostawi kwotę w wysokości 48 348 166 EUR dostępną na pokrycie w razie potrzeby wszelkich dalszych zaliczek w 2016 r., ponadto Komisja ocenia, że kwota ta wystarczy do obsłużenia ewentualnych nowych wniosków mogących wpłynąć do końca 2016 r.</w:t>
      </w:r>
    </w:p>
    <w:p w:rsidR="00857E09" w:rsidRPr="00803ED6" w:rsidRDefault="00857E09" w:rsidP="00857E09">
      <w:pPr>
        <w:spacing w:line="276" w:lineRule="auto"/>
        <w:rPr>
          <w:color w:val="000000"/>
          <w:szCs w:val="24"/>
          <w:u w:color="000000"/>
        </w:rPr>
      </w:pPr>
    </w:p>
    <w:p w:rsidR="00857E09" w:rsidRPr="00803ED6" w:rsidRDefault="00857E09" w:rsidP="00857E09">
      <w:pPr>
        <w:spacing w:line="276" w:lineRule="auto"/>
        <w:rPr>
          <w:color w:val="000000"/>
          <w:szCs w:val="24"/>
          <w:u w:color="000000"/>
        </w:rPr>
      </w:pPr>
      <w:r>
        <w:rPr>
          <w:color w:val="000000"/>
          <w:u w:color="000000"/>
        </w:rPr>
        <w:t xml:space="preserve">Jest to pierwsza w 2016 r. decyzja o uruchomieniu funduszu, a całkowita kwota zaproponowanej pomocy jest zgodna z przepisami dotyczącymi pułapu dla Funduszu Solidarności UE, który określono w rozporządzeniu w sprawie wieloletnich ram finansowych i który wynosi 552 mln EUR (tj. 500 mln EUR w cenach z 2011 r.). </w:t>
      </w:r>
    </w:p>
    <w:p w:rsidR="00857E09" w:rsidRPr="00803ED6" w:rsidRDefault="00857E09" w:rsidP="00857E09">
      <w:pPr>
        <w:spacing w:after="200" w:line="276" w:lineRule="auto"/>
        <w:rPr>
          <w:color w:val="000000"/>
          <w:szCs w:val="24"/>
          <w:u w:color="000000"/>
        </w:rPr>
      </w:pPr>
    </w:p>
    <w:p w:rsidR="00857E09" w:rsidRPr="00803ED6" w:rsidRDefault="00857E09" w:rsidP="00857E09">
      <w:pPr>
        <w:rPr>
          <w:b/>
          <w:bCs/>
          <w:i/>
          <w:iCs/>
          <w:szCs w:val="24"/>
          <w:u w:color="000000"/>
        </w:rPr>
      </w:pPr>
      <w:r>
        <w:rPr>
          <w:b/>
          <w:i/>
          <w:u w:color="000000"/>
        </w:rPr>
        <w:t>Na znak solidarności z greckimi regionami, w których miały miejsce zniszczenia, sprawozdawca zaleca szybkie zatwierdzenie wniosku Komisji dotyczącego decyzji załączonej do niniejszego sprawozdania.</w:t>
      </w:r>
    </w:p>
    <w:p w:rsidR="00857E09" w:rsidRPr="00803ED6" w:rsidRDefault="00857E09" w:rsidP="00857E09">
      <w:pPr>
        <w:rPr>
          <w:b/>
          <w:bCs/>
          <w:i/>
          <w:iCs/>
          <w:color w:val="000000"/>
          <w:szCs w:val="24"/>
          <w:u w:color="000000"/>
        </w:rPr>
      </w:pPr>
    </w:p>
    <w:p w:rsidR="00857E09" w:rsidRPr="00803ED6" w:rsidRDefault="00857E09" w:rsidP="00857E09">
      <w:pPr>
        <w:pStyle w:val="PageHeading"/>
        <w:rPr>
          <w:rFonts w:eastAsia="Arial" w:cs="Arial"/>
          <w:u w:color="000000"/>
        </w:rPr>
      </w:pPr>
      <w:r>
        <w:br w:type="page"/>
      </w:r>
      <w:bookmarkStart w:id="9" w:name="_Toc3"/>
      <w:bookmarkStart w:id="10" w:name="_Toc462925458"/>
      <w:bookmarkStart w:id="11" w:name="_Toc463259574"/>
      <w:r>
        <w:t>ZAŁĄCZNIK – PISMO KOMISJI ROZWOJU REGIONALNEGO</w:t>
      </w:r>
      <w:bookmarkEnd w:id="9"/>
      <w:bookmarkEnd w:id="10"/>
      <w:bookmarkEnd w:id="11"/>
    </w:p>
    <w:p w:rsidR="00C95F1F" w:rsidRPr="00803ED6" w:rsidRDefault="00C95F1F" w:rsidP="00C95F1F">
      <w:pPr>
        <w:widowControl/>
        <w:rPr>
          <w:bCs/>
          <w:szCs w:val="24"/>
        </w:rPr>
      </w:pPr>
    </w:p>
    <w:p w:rsidR="00C95F1F" w:rsidRPr="00803ED6" w:rsidRDefault="00C95F1F" w:rsidP="00C95F1F">
      <w:pPr>
        <w:widowControl/>
        <w:rPr>
          <w:bCs/>
          <w:szCs w:val="24"/>
        </w:rPr>
      </w:pPr>
    </w:p>
    <w:p w:rsidR="00C95F1F" w:rsidRPr="00803ED6" w:rsidRDefault="00C95F1F" w:rsidP="00C95F1F">
      <w:pPr>
        <w:widowControl/>
        <w:rPr>
          <w:szCs w:val="24"/>
        </w:rPr>
      </w:pPr>
      <w:r>
        <w:t>Sz. P. Jean ARTHUIS</w:t>
      </w:r>
    </w:p>
    <w:p w:rsidR="00C95F1F" w:rsidRPr="00803ED6" w:rsidRDefault="00C95F1F" w:rsidP="00C95F1F">
      <w:pPr>
        <w:widowControl/>
        <w:rPr>
          <w:szCs w:val="24"/>
        </w:rPr>
      </w:pPr>
      <w:r>
        <w:t>Przewodniczący</w:t>
      </w:r>
    </w:p>
    <w:p w:rsidR="00C95F1F" w:rsidRPr="00803ED6" w:rsidRDefault="00C95F1F" w:rsidP="00C95F1F">
      <w:pPr>
        <w:widowControl/>
        <w:rPr>
          <w:szCs w:val="24"/>
        </w:rPr>
      </w:pPr>
      <w:r>
        <w:t>Komisja Budżetowa</w:t>
      </w:r>
    </w:p>
    <w:p w:rsidR="00C95F1F" w:rsidRPr="00803ED6" w:rsidRDefault="00C95F1F" w:rsidP="00C95F1F">
      <w:pPr>
        <w:widowControl/>
        <w:rPr>
          <w:szCs w:val="24"/>
        </w:rPr>
      </w:pPr>
      <w:r>
        <w:t>Parlament Europejski</w:t>
      </w:r>
    </w:p>
    <w:p w:rsidR="00C95F1F" w:rsidRPr="00803ED6" w:rsidRDefault="00C95F1F" w:rsidP="00C95F1F">
      <w:pPr>
        <w:widowControl/>
        <w:rPr>
          <w:szCs w:val="24"/>
        </w:rPr>
      </w:pPr>
    </w:p>
    <w:p w:rsidR="00C95F1F" w:rsidRPr="00803ED6" w:rsidRDefault="00C95F1F" w:rsidP="00C95F1F">
      <w:pPr>
        <w:widowControl/>
        <w:rPr>
          <w:szCs w:val="24"/>
        </w:rPr>
      </w:pPr>
    </w:p>
    <w:p w:rsidR="00C95F1F" w:rsidRPr="00803ED6" w:rsidRDefault="00C95F1F" w:rsidP="00C95F1F">
      <w:pPr>
        <w:widowControl/>
        <w:rPr>
          <w:szCs w:val="24"/>
        </w:rPr>
      </w:pPr>
      <w:r>
        <w:t>Szanowny Panie Przewodniczący!</w:t>
      </w:r>
    </w:p>
    <w:p w:rsidR="00C95F1F" w:rsidRPr="00803ED6" w:rsidRDefault="00C95F1F" w:rsidP="00C95F1F">
      <w:pPr>
        <w:widowControl/>
        <w:rPr>
          <w:szCs w:val="24"/>
        </w:rPr>
      </w:pPr>
    </w:p>
    <w:p w:rsidR="00C95F1F" w:rsidRPr="00803ED6" w:rsidRDefault="00C95F1F" w:rsidP="00C95F1F">
      <w:pPr>
        <w:widowControl/>
        <w:ind w:left="1440" w:hanging="1440"/>
        <w:jc w:val="both"/>
        <w:rPr>
          <w:b/>
          <w:szCs w:val="24"/>
        </w:rPr>
      </w:pPr>
      <w:r>
        <w:rPr>
          <w:u w:val="single"/>
        </w:rPr>
        <w:t>Przedmiot:</w:t>
      </w:r>
      <w:r>
        <w:tab/>
      </w:r>
      <w:r>
        <w:rPr>
          <w:b/>
        </w:rPr>
        <w:t>Uruchomienie Funduszu Solidarności Unii Europejskiej na rzecz Grecji</w:t>
      </w:r>
    </w:p>
    <w:p w:rsidR="00C95F1F" w:rsidRPr="00803ED6" w:rsidRDefault="00C95F1F" w:rsidP="00C95F1F">
      <w:pPr>
        <w:widowControl/>
        <w:ind w:left="1440" w:hanging="1440"/>
        <w:jc w:val="both"/>
        <w:rPr>
          <w:szCs w:val="24"/>
        </w:rPr>
      </w:pPr>
    </w:p>
    <w:p w:rsidR="00C95F1F" w:rsidRPr="00803ED6" w:rsidRDefault="00C95F1F" w:rsidP="00C95F1F">
      <w:pPr>
        <w:widowControl/>
        <w:jc w:val="both"/>
        <w:rPr>
          <w:szCs w:val="24"/>
        </w:rPr>
      </w:pPr>
      <w:r>
        <w:t>Komisja Europejska przekazała Parlamentowi Europejskiemu wniosek w sprawie decyzji Parlamentu Europejskiego i Rady w sprawie uruchomienia Funduszu Solidarności Unii Europejskiej (COM(2016)0462) na podstawie wniosków o uruchomienie funduszu złożonych przez Grecję w związku z trzęsieniem ziemi, które nawiedziło Wyspy Jońskie w listopadzie 2015 r.</w:t>
      </w:r>
      <w:r>
        <w:rPr>
          <w:rFonts w:ascii="TimesNewRoman" w:hAnsi="TimesNewRoman"/>
        </w:rPr>
        <w:t xml:space="preserve"> </w:t>
      </w:r>
    </w:p>
    <w:p w:rsidR="00C95F1F" w:rsidRPr="00803ED6" w:rsidRDefault="00C95F1F" w:rsidP="00C95F1F">
      <w:pPr>
        <w:widowControl/>
        <w:jc w:val="both"/>
        <w:rPr>
          <w:szCs w:val="24"/>
        </w:rPr>
      </w:pPr>
    </w:p>
    <w:p w:rsidR="00C95F1F" w:rsidRPr="00803ED6" w:rsidRDefault="00C95F1F" w:rsidP="00C95F1F">
      <w:pPr>
        <w:widowControl/>
        <w:jc w:val="both"/>
        <w:rPr>
          <w:szCs w:val="24"/>
        </w:rPr>
      </w:pPr>
      <w:r>
        <w:t>Komisja wnosi o uruchomienie Funduszu Solidarności Unii Europejskiej i szacuje szkody poniesione w związku z klęską żywiołową, jak poniżej:</w:t>
      </w:r>
    </w:p>
    <w:p w:rsidR="00C95F1F" w:rsidRPr="00803ED6" w:rsidRDefault="00C95F1F" w:rsidP="00C95F1F">
      <w:pPr>
        <w:widowControl/>
        <w:jc w:val="both"/>
        <w:rPr>
          <w:szCs w:val="24"/>
        </w:rPr>
      </w:pPr>
    </w:p>
    <w:tbl>
      <w:tblPr>
        <w:tblW w:w="8640" w:type="dxa"/>
        <w:jc w:val="center"/>
        <w:tblLayout w:type="fixed"/>
        <w:tblLook w:val="04A0" w:firstRow="1" w:lastRow="0" w:firstColumn="1" w:lastColumn="0" w:noHBand="0" w:noVBand="1"/>
      </w:tblPr>
      <w:tblGrid>
        <w:gridCol w:w="3074"/>
        <w:gridCol w:w="1227"/>
        <w:gridCol w:w="1413"/>
        <w:gridCol w:w="1200"/>
        <w:gridCol w:w="1726"/>
      </w:tblGrid>
      <w:tr w:rsidR="00C95F1F" w:rsidRPr="00803ED6" w:rsidTr="00C95F1F">
        <w:trPr>
          <w:trHeight w:val="336"/>
          <w:jc w:val="center"/>
        </w:trPr>
        <w:tc>
          <w:tcPr>
            <w:tcW w:w="3072" w:type="dxa"/>
            <w:tcBorders>
              <w:top w:val="nil"/>
              <w:left w:val="nil"/>
              <w:bottom w:val="single" w:sz="4" w:space="0" w:color="auto"/>
              <w:right w:val="nil"/>
            </w:tcBorders>
          </w:tcPr>
          <w:p w:rsidR="00C95F1F" w:rsidRPr="00803ED6" w:rsidRDefault="00C95F1F" w:rsidP="00C95F1F">
            <w:pPr>
              <w:widowControl/>
              <w:jc w:val="center"/>
              <w:rPr>
                <w:b/>
                <w:snapToGrid w:val="0"/>
                <w:sz w:val="18"/>
                <w:szCs w:val="18"/>
              </w:rPr>
            </w:pPr>
          </w:p>
        </w:tc>
        <w:tc>
          <w:tcPr>
            <w:tcW w:w="1227" w:type="dxa"/>
            <w:tcBorders>
              <w:top w:val="nil"/>
              <w:left w:val="nil"/>
              <w:bottom w:val="single" w:sz="4" w:space="0" w:color="auto"/>
              <w:right w:val="nil"/>
            </w:tcBorders>
          </w:tcPr>
          <w:p w:rsidR="00C95F1F" w:rsidRPr="00803ED6" w:rsidRDefault="00C95F1F" w:rsidP="00C95F1F">
            <w:pPr>
              <w:widowControl/>
              <w:ind w:right="59"/>
              <w:jc w:val="center"/>
              <w:rPr>
                <w:i/>
                <w:snapToGrid w:val="0"/>
                <w:sz w:val="18"/>
                <w:szCs w:val="18"/>
              </w:rPr>
            </w:pPr>
          </w:p>
        </w:tc>
        <w:tc>
          <w:tcPr>
            <w:tcW w:w="1413" w:type="dxa"/>
            <w:tcBorders>
              <w:top w:val="nil"/>
              <w:left w:val="nil"/>
              <w:bottom w:val="single" w:sz="4" w:space="0" w:color="auto"/>
              <w:right w:val="nil"/>
            </w:tcBorders>
          </w:tcPr>
          <w:p w:rsidR="00C95F1F" w:rsidRPr="00803ED6" w:rsidRDefault="00C95F1F" w:rsidP="00C95F1F">
            <w:pPr>
              <w:widowControl/>
              <w:jc w:val="center"/>
              <w:rPr>
                <w:i/>
                <w:snapToGrid w:val="0"/>
                <w:sz w:val="18"/>
                <w:szCs w:val="18"/>
              </w:rPr>
            </w:pPr>
          </w:p>
        </w:tc>
        <w:tc>
          <w:tcPr>
            <w:tcW w:w="1200" w:type="dxa"/>
            <w:tcBorders>
              <w:top w:val="nil"/>
              <w:left w:val="nil"/>
              <w:bottom w:val="single" w:sz="4" w:space="0" w:color="auto"/>
              <w:right w:val="nil"/>
            </w:tcBorders>
          </w:tcPr>
          <w:p w:rsidR="00C95F1F" w:rsidRPr="00803ED6" w:rsidRDefault="00C95F1F" w:rsidP="00C95F1F">
            <w:pPr>
              <w:widowControl/>
              <w:jc w:val="center"/>
              <w:rPr>
                <w:i/>
                <w:snapToGrid w:val="0"/>
                <w:sz w:val="18"/>
                <w:szCs w:val="18"/>
              </w:rPr>
            </w:pPr>
          </w:p>
        </w:tc>
        <w:tc>
          <w:tcPr>
            <w:tcW w:w="1725" w:type="dxa"/>
            <w:tcBorders>
              <w:top w:val="nil"/>
              <w:left w:val="nil"/>
              <w:bottom w:val="single" w:sz="4" w:space="0" w:color="auto"/>
              <w:right w:val="nil"/>
            </w:tcBorders>
            <w:vAlign w:val="center"/>
          </w:tcPr>
          <w:p w:rsidR="00C95F1F" w:rsidRPr="00803ED6" w:rsidRDefault="00C95F1F" w:rsidP="00C95F1F">
            <w:pPr>
              <w:widowControl/>
              <w:spacing w:line="276" w:lineRule="auto"/>
              <w:jc w:val="right"/>
              <w:rPr>
                <w:i/>
                <w:snapToGrid w:val="0"/>
                <w:sz w:val="18"/>
                <w:szCs w:val="18"/>
              </w:rPr>
            </w:pPr>
          </w:p>
        </w:tc>
      </w:tr>
      <w:tr w:rsidR="00C95F1F" w:rsidRPr="00803ED6" w:rsidTr="00C95F1F">
        <w:trPr>
          <w:trHeight w:val="788"/>
          <w:jc w:val="center"/>
        </w:trPr>
        <w:tc>
          <w:tcPr>
            <w:tcW w:w="3072" w:type="dxa"/>
            <w:tcBorders>
              <w:top w:val="single" w:sz="4" w:space="0" w:color="auto"/>
              <w:left w:val="single" w:sz="4" w:space="0" w:color="auto"/>
              <w:bottom w:val="dotted" w:sz="4" w:space="0" w:color="auto"/>
              <w:right w:val="dotted" w:sz="4" w:space="0" w:color="auto"/>
            </w:tcBorders>
            <w:shd w:val="clear" w:color="auto" w:fill="EEECE1"/>
            <w:vAlign w:val="center"/>
            <w:hideMark/>
          </w:tcPr>
          <w:p w:rsidR="00C95F1F" w:rsidRPr="00803ED6" w:rsidRDefault="00C95F1F" w:rsidP="00C95F1F">
            <w:pPr>
              <w:widowControl/>
              <w:rPr>
                <w:b/>
                <w:snapToGrid w:val="0"/>
                <w:sz w:val="18"/>
                <w:szCs w:val="18"/>
              </w:rPr>
            </w:pPr>
            <w:r>
              <w:rPr>
                <w:b/>
                <w:snapToGrid w:val="0"/>
                <w:sz w:val="18"/>
              </w:rPr>
              <w:t>Klęska żywiołowa</w:t>
            </w:r>
          </w:p>
        </w:tc>
        <w:tc>
          <w:tcPr>
            <w:tcW w:w="1227" w:type="dxa"/>
            <w:tcBorders>
              <w:top w:val="single" w:sz="4" w:space="0" w:color="auto"/>
              <w:left w:val="dotted" w:sz="4" w:space="0" w:color="auto"/>
              <w:bottom w:val="dotted" w:sz="4" w:space="0" w:color="auto"/>
              <w:right w:val="dotted" w:sz="4" w:space="0" w:color="auto"/>
            </w:tcBorders>
            <w:shd w:val="clear" w:color="auto" w:fill="EEECE1"/>
            <w:hideMark/>
          </w:tcPr>
          <w:p w:rsidR="00C95F1F" w:rsidRPr="00803ED6" w:rsidRDefault="00C95F1F" w:rsidP="00C95F1F">
            <w:pPr>
              <w:widowControl/>
              <w:ind w:right="59"/>
              <w:jc w:val="center"/>
              <w:rPr>
                <w:i/>
                <w:snapToGrid w:val="0"/>
                <w:sz w:val="18"/>
                <w:szCs w:val="18"/>
              </w:rPr>
            </w:pPr>
            <w:r>
              <w:rPr>
                <w:i/>
                <w:snapToGrid w:val="0"/>
                <w:sz w:val="18"/>
              </w:rPr>
              <w:t>Szkody bezpośrednie (w mln EUR)</w:t>
            </w:r>
          </w:p>
        </w:tc>
        <w:tc>
          <w:tcPr>
            <w:tcW w:w="1413" w:type="dxa"/>
            <w:tcBorders>
              <w:top w:val="single" w:sz="4" w:space="0" w:color="auto"/>
              <w:left w:val="dotted" w:sz="4" w:space="0" w:color="auto"/>
              <w:bottom w:val="dotted" w:sz="4" w:space="0" w:color="auto"/>
              <w:right w:val="dotted" w:sz="4" w:space="0" w:color="auto"/>
            </w:tcBorders>
            <w:shd w:val="clear" w:color="auto" w:fill="EEECE1"/>
            <w:hideMark/>
          </w:tcPr>
          <w:p w:rsidR="00C95F1F" w:rsidRPr="00803ED6" w:rsidRDefault="00C95F1F" w:rsidP="00C95F1F">
            <w:pPr>
              <w:widowControl/>
              <w:jc w:val="center"/>
              <w:rPr>
                <w:i/>
                <w:snapToGrid w:val="0"/>
                <w:sz w:val="18"/>
                <w:szCs w:val="18"/>
              </w:rPr>
            </w:pPr>
            <w:r>
              <w:rPr>
                <w:i/>
                <w:snapToGrid w:val="0"/>
                <w:sz w:val="18"/>
              </w:rPr>
              <w:t>2,5 % szkód bezpośrednich w ramach progu (w EUR)</w:t>
            </w:r>
          </w:p>
        </w:tc>
        <w:tc>
          <w:tcPr>
            <w:tcW w:w="1200" w:type="dxa"/>
            <w:tcBorders>
              <w:top w:val="single" w:sz="4" w:space="0" w:color="auto"/>
              <w:left w:val="dotted" w:sz="4" w:space="0" w:color="auto"/>
              <w:bottom w:val="dotted" w:sz="4" w:space="0" w:color="auto"/>
              <w:right w:val="dotted" w:sz="4" w:space="0" w:color="auto"/>
            </w:tcBorders>
            <w:shd w:val="clear" w:color="auto" w:fill="EEECE1"/>
            <w:hideMark/>
          </w:tcPr>
          <w:p w:rsidR="00C95F1F" w:rsidRPr="00803ED6" w:rsidRDefault="00C95F1F" w:rsidP="00C95F1F">
            <w:pPr>
              <w:widowControl/>
              <w:jc w:val="center"/>
              <w:rPr>
                <w:i/>
                <w:snapToGrid w:val="0"/>
                <w:sz w:val="18"/>
                <w:szCs w:val="18"/>
              </w:rPr>
            </w:pPr>
            <w:r>
              <w:rPr>
                <w:i/>
                <w:snapToGrid w:val="0"/>
                <w:sz w:val="18"/>
              </w:rPr>
              <w:t>6 % szkód bezpośrednich powyżej progu</w:t>
            </w:r>
          </w:p>
        </w:tc>
        <w:tc>
          <w:tcPr>
            <w:tcW w:w="1725" w:type="dxa"/>
            <w:tcBorders>
              <w:top w:val="single" w:sz="4" w:space="0" w:color="auto"/>
              <w:left w:val="dotted" w:sz="4" w:space="0" w:color="auto"/>
              <w:bottom w:val="dotted" w:sz="4" w:space="0" w:color="auto"/>
              <w:right w:val="single" w:sz="4" w:space="0" w:color="auto"/>
            </w:tcBorders>
            <w:shd w:val="clear" w:color="auto" w:fill="EEECE1"/>
            <w:hideMark/>
          </w:tcPr>
          <w:p w:rsidR="00C95F1F" w:rsidRPr="00803ED6" w:rsidRDefault="00C95F1F" w:rsidP="00C95F1F">
            <w:pPr>
              <w:widowControl/>
              <w:jc w:val="center"/>
              <w:rPr>
                <w:i/>
                <w:snapToGrid w:val="0"/>
                <w:sz w:val="18"/>
                <w:szCs w:val="18"/>
              </w:rPr>
            </w:pPr>
            <w:r>
              <w:rPr>
                <w:b/>
                <w:i/>
                <w:snapToGrid w:val="0"/>
                <w:sz w:val="18"/>
              </w:rPr>
              <w:t>Kwota proponowanej pomocy ogółem (w EUR)</w:t>
            </w:r>
          </w:p>
        </w:tc>
      </w:tr>
      <w:tr w:rsidR="00C95F1F" w:rsidRPr="00803ED6" w:rsidTr="00C95F1F">
        <w:trPr>
          <w:jc w:val="center"/>
        </w:trPr>
        <w:tc>
          <w:tcPr>
            <w:tcW w:w="3072" w:type="dxa"/>
            <w:tcBorders>
              <w:top w:val="dotted" w:sz="4" w:space="0" w:color="auto"/>
              <w:left w:val="single" w:sz="4" w:space="0" w:color="auto"/>
              <w:bottom w:val="dotted" w:sz="4" w:space="0" w:color="auto"/>
              <w:right w:val="dotted" w:sz="4" w:space="0" w:color="auto"/>
            </w:tcBorders>
            <w:shd w:val="clear" w:color="auto" w:fill="EEECE1"/>
            <w:vAlign w:val="center"/>
            <w:hideMark/>
          </w:tcPr>
          <w:p w:rsidR="00C95F1F" w:rsidRPr="00803ED6" w:rsidRDefault="00C95F1F" w:rsidP="00C95F1F">
            <w:pPr>
              <w:widowControl/>
              <w:spacing w:before="40" w:after="40"/>
              <w:rPr>
                <w:snapToGrid w:val="0"/>
                <w:sz w:val="18"/>
                <w:szCs w:val="18"/>
              </w:rPr>
            </w:pPr>
            <w:r>
              <w:rPr>
                <w:snapToGrid w:val="0"/>
                <w:sz w:val="18"/>
              </w:rPr>
              <w:t xml:space="preserve">GRECJA </w:t>
            </w:r>
          </w:p>
        </w:tc>
        <w:tc>
          <w:tcPr>
            <w:tcW w:w="1227" w:type="dxa"/>
            <w:tcBorders>
              <w:top w:val="dotted" w:sz="4" w:space="0" w:color="auto"/>
              <w:left w:val="dotted" w:sz="4" w:space="0" w:color="auto"/>
              <w:bottom w:val="dotted" w:sz="4" w:space="0" w:color="auto"/>
              <w:right w:val="dotted" w:sz="4" w:space="0" w:color="auto"/>
            </w:tcBorders>
            <w:vAlign w:val="center"/>
            <w:hideMark/>
          </w:tcPr>
          <w:p w:rsidR="00C95F1F" w:rsidRPr="00803ED6" w:rsidRDefault="00C95F1F" w:rsidP="00C95F1F">
            <w:pPr>
              <w:widowControl/>
              <w:spacing w:before="40" w:after="40"/>
              <w:ind w:right="35"/>
              <w:jc w:val="right"/>
              <w:rPr>
                <w:i/>
                <w:snapToGrid w:val="0"/>
                <w:sz w:val="18"/>
                <w:szCs w:val="18"/>
              </w:rPr>
            </w:pPr>
            <w:r>
              <w:rPr>
                <w:i/>
                <w:snapToGrid w:val="0"/>
                <w:sz w:val="18"/>
              </w:rPr>
              <w:t>66 073</w:t>
            </w:r>
          </w:p>
        </w:tc>
        <w:tc>
          <w:tcPr>
            <w:tcW w:w="1413" w:type="dxa"/>
            <w:tcBorders>
              <w:top w:val="dotted" w:sz="4" w:space="0" w:color="auto"/>
              <w:left w:val="dotted" w:sz="4" w:space="0" w:color="auto"/>
              <w:bottom w:val="dotted" w:sz="4" w:space="0" w:color="auto"/>
              <w:right w:val="dotted" w:sz="4" w:space="0" w:color="auto"/>
            </w:tcBorders>
            <w:vAlign w:val="center"/>
            <w:hideMark/>
          </w:tcPr>
          <w:p w:rsidR="00C95F1F" w:rsidRPr="00803ED6" w:rsidRDefault="00C95F1F" w:rsidP="00C95F1F">
            <w:pPr>
              <w:widowControl/>
              <w:jc w:val="right"/>
              <w:rPr>
                <w:bCs/>
                <w:i/>
                <w:iCs/>
                <w:snapToGrid w:val="0"/>
                <w:sz w:val="18"/>
                <w:szCs w:val="18"/>
              </w:rPr>
            </w:pPr>
            <w:r>
              <w:rPr>
                <w:i/>
                <w:snapToGrid w:val="0"/>
                <w:sz w:val="18"/>
              </w:rPr>
              <w:t>1 651 834</w:t>
            </w:r>
          </w:p>
        </w:tc>
        <w:tc>
          <w:tcPr>
            <w:tcW w:w="1200" w:type="dxa"/>
            <w:tcBorders>
              <w:top w:val="dotted" w:sz="4" w:space="0" w:color="auto"/>
              <w:left w:val="dotted" w:sz="4" w:space="0" w:color="auto"/>
              <w:bottom w:val="dotted" w:sz="4" w:space="0" w:color="auto"/>
              <w:right w:val="dotted" w:sz="4" w:space="0" w:color="auto"/>
            </w:tcBorders>
            <w:vAlign w:val="center"/>
            <w:hideMark/>
          </w:tcPr>
          <w:p w:rsidR="00C95F1F" w:rsidRPr="00803ED6" w:rsidRDefault="00C95F1F" w:rsidP="00C95F1F">
            <w:pPr>
              <w:widowControl/>
              <w:jc w:val="right"/>
              <w:rPr>
                <w:i/>
                <w:snapToGrid w:val="0"/>
                <w:sz w:val="18"/>
                <w:szCs w:val="18"/>
              </w:rPr>
            </w:pPr>
            <w:r>
              <w:rPr>
                <w:i/>
                <w:snapToGrid w:val="0"/>
                <w:sz w:val="18"/>
              </w:rPr>
              <w:t>-</w:t>
            </w:r>
          </w:p>
        </w:tc>
        <w:tc>
          <w:tcPr>
            <w:tcW w:w="1725" w:type="dxa"/>
            <w:tcBorders>
              <w:top w:val="dotted" w:sz="4" w:space="0" w:color="auto"/>
              <w:left w:val="dotted" w:sz="4" w:space="0" w:color="auto"/>
              <w:bottom w:val="dotted" w:sz="4" w:space="0" w:color="auto"/>
              <w:right w:val="single" w:sz="4" w:space="0" w:color="auto"/>
            </w:tcBorders>
            <w:vAlign w:val="center"/>
            <w:hideMark/>
          </w:tcPr>
          <w:p w:rsidR="00C95F1F" w:rsidRPr="00803ED6" w:rsidRDefault="00C95F1F" w:rsidP="00C95F1F">
            <w:pPr>
              <w:widowControl/>
              <w:spacing w:before="40" w:after="40"/>
              <w:ind w:right="35"/>
              <w:jc w:val="right"/>
              <w:rPr>
                <w:i/>
                <w:snapToGrid w:val="0"/>
                <w:sz w:val="18"/>
                <w:szCs w:val="18"/>
              </w:rPr>
            </w:pPr>
            <w:r>
              <w:rPr>
                <w:i/>
                <w:snapToGrid w:val="0"/>
                <w:sz w:val="18"/>
              </w:rPr>
              <w:t>1 651 834</w:t>
            </w:r>
          </w:p>
        </w:tc>
      </w:tr>
      <w:tr w:rsidR="00C95F1F" w:rsidRPr="00803ED6" w:rsidTr="00C95F1F">
        <w:trPr>
          <w:trHeight w:val="424"/>
          <w:jc w:val="center"/>
        </w:trPr>
        <w:tc>
          <w:tcPr>
            <w:tcW w:w="3072" w:type="dxa"/>
            <w:tcBorders>
              <w:top w:val="dotted" w:sz="4" w:space="0" w:color="auto"/>
              <w:left w:val="single" w:sz="4" w:space="0" w:color="auto"/>
              <w:bottom w:val="single" w:sz="4" w:space="0" w:color="auto"/>
              <w:right w:val="dotted" w:sz="4" w:space="0" w:color="auto"/>
            </w:tcBorders>
            <w:shd w:val="clear" w:color="auto" w:fill="EEECE1"/>
            <w:vAlign w:val="center"/>
            <w:hideMark/>
          </w:tcPr>
          <w:p w:rsidR="00C95F1F" w:rsidRPr="00803ED6" w:rsidRDefault="00C95F1F" w:rsidP="00C95F1F">
            <w:pPr>
              <w:widowControl/>
              <w:spacing w:before="40" w:after="40"/>
              <w:rPr>
                <w:snapToGrid w:val="0"/>
                <w:sz w:val="18"/>
                <w:szCs w:val="18"/>
              </w:rPr>
            </w:pPr>
            <w:r>
              <w:rPr>
                <w:b/>
                <w:snapToGrid w:val="0"/>
                <w:sz w:val="20"/>
              </w:rPr>
              <w:t>OGÓŁEM</w:t>
            </w:r>
          </w:p>
        </w:tc>
        <w:tc>
          <w:tcPr>
            <w:tcW w:w="5565" w:type="dxa"/>
            <w:gridSpan w:val="4"/>
            <w:tcBorders>
              <w:top w:val="dotted" w:sz="4" w:space="0" w:color="auto"/>
              <w:left w:val="dotted" w:sz="4" w:space="0" w:color="auto"/>
              <w:bottom w:val="single" w:sz="4" w:space="0" w:color="auto"/>
              <w:right w:val="single" w:sz="4" w:space="0" w:color="auto"/>
            </w:tcBorders>
            <w:vAlign w:val="center"/>
            <w:hideMark/>
          </w:tcPr>
          <w:p w:rsidR="00C95F1F" w:rsidRPr="00803ED6" w:rsidRDefault="00C95F1F" w:rsidP="00C95F1F">
            <w:pPr>
              <w:widowControl/>
              <w:spacing w:before="40" w:after="40"/>
              <w:ind w:right="35"/>
              <w:jc w:val="right"/>
              <w:rPr>
                <w:b/>
                <w:i/>
                <w:snapToGrid w:val="0"/>
                <w:sz w:val="18"/>
                <w:szCs w:val="18"/>
              </w:rPr>
            </w:pPr>
            <w:r>
              <w:rPr>
                <w:i/>
                <w:snapToGrid w:val="0"/>
                <w:sz w:val="18"/>
              </w:rPr>
              <w:t>1 651 834</w:t>
            </w:r>
          </w:p>
        </w:tc>
      </w:tr>
    </w:tbl>
    <w:p w:rsidR="00C95F1F" w:rsidRPr="00803ED6" w:rsidRDefault="00C95F1F" w:rsidP="00C95F1F">
      <w:pPr>
        <w:widowControl/>
        <w:jc w:val="both"/>
        <w:rPr>
          <w:szCs w:val="24"/>
        </w:rPr>
      </w:pPr>
    </w:p>
    <w:p w:rsidR="00C95F1F" w:rsidRPr="00803ED6" w:rsidRDefault="00C95F1F" w:rsidP="00C95F1F">
      <w:pPr>
        <w:widowControl/>
        <w:jc w:val="both"/>
        <w:rPr>
          <w:szCs w:val="24"/>
        </w:rPr>
      </w:pPr>
      <w:r>
        <w:t>Po zapoznaniu się ze wspomnianym wnioskiem i mając na uwadze maksymalną dopuszczalną wysokość dotacji z funduszu, Komisja wnosi o uruchomienie środków z funduszu na kwotę 1 651 834 EUR z łącznej kwoty 50 000 000 EUR przeznaczonej w budżecie ogólnym Unii Europejskiej na rok budżetowy 2016 specjalnie na zaliczki.</w:t>
      </w:r>
    </w:p>
    <w:p w:rsidR="00C95F1F" w:rsidRPr="00803ED6" w:rsidRDefault="00C95F1F" w:rsidP="00C95F1F">
      <w:pPr>
        <w:widowControl/>
        <w:jc w:val="both"/>
        <w:rPr>
          <w:szCs w:val="24"/>
        </w:rPr>
      </w:pPr>
    </w:p>
    <w:p w:rsidR="00C95F1F" w:rsidRPr="00803ED6" w:rsidRDefault="00C95F1F" w:rsidP="00C95F1F">
      <w:pPr>
        <w:widowControl/>
        <w:jc w:val="both"/>
        <w:rPr>
          <w:szCs w:val="24"/>
        </w:rPr>
      </w:pPr>
      <w:r>
        <w:t xml:space="preserve">Koordynatorzy komisji ocenili ten wniosek i zwrócili się do mnie z prośbą o wystosowanie do Pana pisma z oświadczeniem, że większość członków Komisji Rozwoju Regionalnego nie ma zastrzeżeń do uruchomienia Funduszu Solidarności Unii Europejskiej i przyznania wyżej wspomnianych środków zgodnie z propozycją Komisji Europejskiej. </w:t>
      </w:r>
    </w:p>
    <w:p w:rsidR="00C95F1F" w:rsidRPr="00803ED6" w:rsidRDefault="00C95F1F" w:rsidP="00C95F1F">
      <w:pPr>
        <w:widowControl/>
        <w:rPr>
          <w:szCs w:val="24"/>
        </w:rPr>
      </w:pPr>
    </w:p>
    <w:p w:rsidR="00C95F1F" w:rsidRPr="00803ED6" w:rsidRDefault="00C95F1F" w:rsidP="00C95F1F">
      <w:pPr>
        <w:widowControl/>
        <w:rPr>
          <w:szCs w:val="24"/>
        </w:rPr>
      </w:pPr>
      <w:r>
        <w:t>Z wyrazami szacunku</w:t>
      </w:r>
    </w:p>
    <w:p w:rsidR="00C95F1F" w:rsidRPr="00803ED6" w:rsidRDefault="00C95F1F" w:rsidP="00C95F1F">
      <w:pPr>
        <w:widowControl/>
        <w:rPr>
          <w:szCs w:val="24"/>
        </w:rPr>
      </w:pPr>
    </w:p>
    <w:p w:rsidR="00C95F1F" w:rsidRPr="00803ED6" w:rsidRDefault="00C95F1F" w:rsidP="00C95F1F">
      <w:pPr>
        <w:widowControl/>
        <w:rPr>
          <w:szCs w:val="24"/>
        </w:rPr>
      </w:pPr>
    </w:p>
    <w:p w:rsidR="00C95F1F" w:rsidRPr="00803ED6" w:rsidRDefault="00C95F1F" w:rsidP="00C95F1F">
      <w:pPr>
        <w:widowControl/>
        <w:rPr>
          <w:szCs w:val="24"/>
        </w:rPr>
      </w:pPr>
    </w:p>
    <w:p w:rsidR="00C95F1F" w:rsidRPr="00803ED6" w:rsidRDefault="00C95F1F" w:rsidP="00C95F1F">
      <w:pPr>
        <w:widowControl/>
        <w:rPr>
          <w:szCs w:val="24"/>
        </w:rPr>
      </w:pPr>
    </w:p>
    <w:p w:rsidR="00C95F1F" w:rsidRPr="00803ED6" w:rsidRDefault="00C95F1F" w:rsidP="00C95F1F">
      <w:pPr>
        <w:widowControl/>
        <w:rPr>
          <w:szCs w:val="24"/>
        </w:rPr>
      </w:pPr>
      <w:r>
        <w:t xml:space="preserve">Iskra MIHAYLOVA </w:t>
      </w:r>
    </w:p>
    <w:p w:rsidR="00857E09" w:rsidRPr="00F35163" w:rsidRDefault="00857E09" w:rsidP="00F35163"/>
    <w:p w:rsidR="00F35163" w:rsidRDefault="00603BC5" w:rsidP="00F35163">
      <w:pPr>
        <w:pStyle w:val="PageHeading"/>
      </w:pPr>
      <w:r>
        <w:br w:type="page"/>
      </w:r>
      <w:bookmarkStart w:id="12" w:name="_Toc462925459"/>
      <w:bookmarkStart w:id="13" w:name="ProcPageRR"/>
      <w:bookmarkStart w:id="14" w:name="_Toc463259575"/>
      <w:r>
        <w:t>WYNIK GŁOSOWANIA KOŃCOWEGO</w:t>
      </w:r>
      <w:r>
        <w:br/>
        <w:t>W KOMISJI PRZEDMIOTOWO WŁAŚCIWEJ</w:t>
      </w:r>
      <w:bookmarkEnd w:id="12"/>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51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b/>
                <w:bCs/>
                <w:color w:val="000000"/>
                <w:sz w:val="20"/>
              </w:rPr>
            </w:pPr>
            <w:r>
              <w:rPr>
                <w:b/>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5163" w:rsidRDefault="00F35163">
            <w:pPr>
              <w:autoSpaceDE w:val="0"/>
              <w:autoSpaceDN w:val="0"/>
              <w:adjustRightInd w:val="0"/>
              <w:rPr>
                <w:color w:val="000000"/>
                <w:sz w:val="20"/>
              </w:rPr>
            </w:pPr>
            <w:r>
              <w:rPr>
                <w:color w:val="000000"/>
                <w:sz w:val="20"/>
              </w:rPr>
              <w:t>28.9.2016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5163" w:rsidRDefault="00F351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35163" w:rsidRDefault="00F351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rFonts w:ascii="sans-serif" w:hAnsi="sans-serif" w:cs="sans-serif"/>
                <w:color w:val="000000"/>
                <w:szCs w:val="24"/>
              </w:rPr>
            </w:pPr>
          </w:p>
        </w:tc>
      </w:tr>
      <w:tr w:rsidR="00F351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b/>
                <w:bCs/>
                <w:color w:val="000000"/>
                <w:sz w:val="20"/>
              </w:rPr>
            </w:pPr>
            <w:r>
              <w:rPr>
                <w:b/>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35163" w:rsidRDefault="00F35163">
            <w:pPr>
              <w:autoSpaceDE w:val="0"/>
              <w:autoSpaceDN w:val="0"/>
              <w:adjustRightInd w:val="0"/>
              <w:rPr>
                <w:color w:val="000000"/>
                <w:sz w:val="20"/>
              </w:rPr>
            </w:pPr>
            <w:r>
              <w:rPr>
                <w:color w:val="000000"/>
                <w:sz w:val="20"/>
              </w:rPr>
              <w:t>+:</w:t>
            </w:r>
          </w:p>
          <w:p w:rsidR="00F35163" w:rsidRDefault="00F35163">
            <w:pPr>
              <w:autoSpaceDE w:val="0"/>
              <w:autoSpaceDN w:val="0"/>
              <w:adjustRightInd w:val="0"/>
              <w:rPr>
                <w:color w:val="000000"/>
                <w:sz w:val="20"/>
              </w:rPr>
            </w:pPr>
            <w:r>
              <w:rPr>
                <w:color w:val="000000"/>
                <w:sz w:val="20"/>
              </w:rPr>
              <w:t>–:</w:t>
            </w:r>
          </w:p>
          <w:p w:rsidR="00F35163" w:rsidRDefault="00F3516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color w:val="000000"/>
                <w:sz w:val="20"/>
              </w:rPr>
            </w:pPr>
            <w:r>
              <w:rPr>
                <w:color w:val="000000"/>
                <w:sz w:val="20"/>
              </w:rPr>
              <w:t>32</w:t>
            </w:r>
          </w:p>
          <w:p w:rsidR="00F35163" w:rsidRDefault="00F35163">
            <w:pPr>
              <w:autoSpaceDE w:val="0"/>
              <w:autoSpaceDN w:val="0"/>
              <w:adjustRightInd w:val="0"/>
              <w:rPr>
                <w:color w:val="000000"/>
                <w:sz w:val="20"/>
              </w:rPr>
            </w:pPr>
            <w:r>
              <w:rPr>
                <w:color w:val="000000"/>
                <w:sz w:val="20"/>
              </w:rPr>
              <w:t>1</w:t>
            </w:r>
          </w:p>
          <w:p w:rsidR="00F35163" w:rsidRDefault="00F35163">
            <w:pPr>
              <w:autoSpaceDE w:val="0"/>
              <w:autoSpaceDN w:val="0"/>
              <w:adjustRightInd w:val="0"/>
              <w:rPr>
                <w:color w:val="000000"/>
                <w:sz w:val="20"/>
              </w:rPr>
            </w:pPr>
            <w:r>
              <w:rPr>
                <w:color w:val="000000"/>
                <w:sz w:val="20"/>
              </w:rPr>
              <w:t>1</w:t>
            </w:r>
          </w:p>
        </w:tc>
      </w:tr>
      <w:tr w:rsidR="00F351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b/>
                <w:bCs/>
                <w:color w:val="000000"/>
                <w:sz w:val="20"/>
              </w:rPr>
            </w:pPr>
            <w:r>
              <w:rPr>
                <w:b/>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color w:val="000000"/>
                <w:sz w:val="20"/>
              </w:rPr>
            </w:pPr>
            <w:r>
              <w:rPr>
                <w:color w:val="000000"/>
                <w:sz w:val="20"/>
              </w:rPr>
              <w:t>Nedzhmi Ali, Jonathan Arnott, Jean Arthuis, Richard Ashworth, Reimer Böge, Lefteris Christoforou, Jean-Paul Denanot, Gérard Deprez, José Manuel Fernandes, Eider Gardiazabal Rubial, Jens Geier, Esteban González Pons, Ingeborg Gräßle, Monika Hohlmeier, Bernd Kölmel, Zbigniew Kuźmiuk, Vladimír Maňka, Ernest Maragall, Siegfried Mureşan, Liadh Ní Riada, Urmas Paet, Pina Picierno, Paul Rübig, Petri Sarvamaa, Patricija Šulin, Eleftherios Synadinos, Paul Tang, Indrek Tarand, Isabelle Thomas, Inese Vaidere, Monika Vana, Auke Zijlstra</w:t>
            </w:r>
          </w:p>
        </w:tc>
      </w:tr>
      <w:tr w:rsidR="00F351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b/>
                <w:bCs/>
                <w:color w:val="000000"/>
                <w:sz w:val="20"/>
              </w:rPr>
            </w:pPr>
            <w:r>
              <w:rPr>
                <w:b/>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35163" w:rsidRDefault="00F35163">
            <w:pPr>
              <w:autoSpaceDE w:val="0"/>
              <w:autoSpaceDN w:val="0"/>
              <w:adjustRightInd w:val="0"/>
              <w:rPr>
                <w:color w:val="000000"/>
                <w:sz w:val="20"/>
              </w:rPr>
            </w:pPr>
            <w:r>
              <w:rPr>
                <w:color w:val="000000"/>
                <w:sz w:val="20"/>
              </w:rPr>
              <w:t>Andrey Novakov, Marco Valli</w:t>
            </w:r>
          </w:p>
        </w:tc>
      </w:tr>
    </w:tbl>
    <w:p w:rsidR="00F35163" w:rsidRDefault="00F35163">
      <w:pPr>
        <w:autoSpaceDE w:val="0"/>
        <w:autoSpaceDN w:val="0"/>
        <w:adjustRightInd w:val="0"/>
        <w:rPr>
          <w:rFonts w:ascii="Arial" w:hAnsi="Arial" w:cs="Arial"/>
          <w:szCs w:val="24"/>
        </w:rPr>
      </w:pPr>
    </w:p>
    <w:bookmarkEnd w:id="13"/>
    <w:p w:rsidR="004D2440" w:rsidRPr="00F35163" w:rsidRDefault="004D2440" w:rsidP="00F35163"/>
    <w:sectPr w:rsidR="004D2440" w:rsidRPr="00F35163" w:rsidSect="00055C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94" w:rsidRPr="00803ED6" w:rsidRDefault="00457F94">
      <w:r w:rsidRPr="00803ED6">
        <w:separator/>
      </w:r>
    </w:p>
  </w:endnote>
  <w:endnote w:type="continuationSeparator" w:id="0">
    <w:p w:rsidR="00457F94" w:rsidRPr="00803ED6" w:rsidRDefault="00457F94">
      <w:r w:rsidRPr="00803E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02" w:rsidRPr="00803ED6" w:rsidRDefault="00055C02" w:rsidP="00055C02">
    <w:pPr>
      <w:pStyle w:val="Footer"/>
    </w:pPr>
    <w:r>
      <w:t>PE</w:t>
    </w:r>
    <w:r>
      <w:rPr>
        <w:rStyle w:val="HideTWBExt"/>
        <w:noProof w:val="0"/>
      </w:rPr>
      <w:t>&lt;NoPE&gt;</w:t>
    </w:r>
    <w:r>
      <w:t>589.207</w:t>
    </w:r>
    <w:r>
      <w:rPr>
        <w:rStyle w:val="HideTWBExt"/>
        <w:noProof w:val="0"/>
      </w:rPr>
      <w:t>&lt;/NoPE&gt;&lt;Version&gt;</w:t>
    </w:r>
    <w:r>
      <w:t>v02-00</w:t>
    </w:r>
    <w:r>
      <w:rPr>
        <w:rStyle w:val="HideTWBExt"/>
        <w:noProof w:val="0"/>
      </w:rPr>
      <w:t>&lt;/Version&gt;</w:t>
    </w:r>
    <w:r>
      <w:tab/>
    </w:r>
    <w:r w:rsidRPr="00803ED6">
      <w:fldChar w:fldCharType="begin"/>
    </w:r>
    <w:r w:rsidRPr="00803ED6">
      <w:instrText xml:space="preserve"> PAGE  \* MERGEFORMAT </w:instrText>
    </w:r>
    <w:r w:rsidRPr="00803ED6">
      <w:fldChar w:fldCharType="separate"/>
    </w:r>
    <w:r w:rsidR="006A10FB">
      <w:rPr>
        <w:noProof/>
      </w:rPr>
      <w:t>2</w:t>
    </w:r>
    <w:r w:rsidRPr="00803ED6">
      <w:fldChar w:fldCharType="end"/>
    </w:r>
    <w:r>
      <w:t>/</w:t>
    </w:r>
    <w:fldSimple w:instr=" NUMPAGES  \* MERGEFORMAT ">
      <w:r w:rsidR="006A10FB">
        <w:rPr>
          <w:noProof/>
        </w:rPr>
        <w:t>9</w:t>
      </w:r>
    </w:fldSimple>
    <w:r>
      <w:tab/>
    </w:r>
    <w:r>
      <w:rPr>
        <w:rStyle w:val="HideTWBExt"/>
        <w:noProof w:val="0"/>
      </w:rPr>
      <w:t>&lt;PathFdR&gt;</w:t>
    </w:r>
    <w:r>
      <w:t>RR\1105437PL.docx</w:t>
    </w:r>
    <w:r>
      <w:rPr>
        <w:rStyle w:val="HideTWBExt"/>
        <w:noProof w:val="0"/>
      </w:rPr>
      <w:t>&lt;/PathFdR&gt;</w:t>
    </w:r>
  </w:p>
  <w:p w:rsidR="00457F94" w:rsidRPr="00803ED6" w:rsidRDefault="00055C02" w:rsidP="00055C02">
    <w:pPr>
      <w:pStyle w:val="Footer2"/>
    </w:pPr>
    <w: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02" w:rsidRPr="00803ED6" w:rsidRDefault="00055C02" w:rsidP="00055C02">
    <w:pPr>
      <w:pStyle w:val="Footer"/>
    </w:pPr>
    <w:r>
      <w:rPr>
        <w:rStyle w:val="HideTWBExt"/>
        <w:noProof w:val="0"/>
      </w:rPr>
      <w:t>&lt;PathFdR&gt;</w:t>
    </w:r>
    <w:r>
      <w:t>RR\1105437PL.docx</w:t>
    </w:r>
    <w:r>
      <w:rPr>
        <w:rStyle w:val="HideTWBExt"/>
        <w:noProof w:val="0"/>
      </w:rPr>
      <w:t>&lt;/PathFdR&gt;</w:t>
    </w:r>
    <w:r>
      <w:tab/>
    </w:r>
    <w:r w:rsidRPr="00803ED6">
      <w:fldChar w:fldCharType="begin"/>
    </w:r>
    <w:r w:rsidRPr="00803ED6">
      <w:instrText xml:space="preserve"> PAGE  \* MERGEFORMAT </w:instrText>
    </w:r>
    <w:r w:rsidRPr="00803ED6">
      <w:fldChar w:fldCharType="separate"/>
    </w:r>
    <w:r w:rsidR="006A10FB">
      <w:rPr>
        <w:noProof/>
      </w:rPr>
      <w:t>3</w:t>
    </w:r>
    <w:r w:rsidRPr="00803ED6">
      <w:fldChar w:fldCharType="end"/>
    </w:r>
    <w:r>
      <w:t>/</w:t>
    </w:r>
    <w:fldSimple w:instr=" NUMPAGES  \* MERGEFORMAT ">
      <w:r w:rsidR="006A10FB">
        <w:rPr>
          <w:noProof/>
        </w:rPr>
        <w:t>9</w:t>
      </w:r>
    </w:fldSimple>
    <w:r>
      <w:tab/>
      <w:t>PE</w:t>
    </w:r>
    <w:r>
      <w:rPr>
        <w:rStyle w:val="HideTWBExt"/>
        <w:noProof w:val="0"/>
      </w:rPr>
      <w:t>&lt;NoPE&gt;</w:t>
    </w:r>
    <w:r>
      <w:t>589.207</w:t>
    </w:r>
    <w:r>
      <w:rPr>
        <w:rStyle w:val="HideTWBExt"/>
        <w:noProof w:val="0"/>
      </w:rPr>
      <w:t>&lt;/NoPE&gt;&lt;Version&gt;</w:t>
    </w:r>
    <w:r>
      <w:t>v02-00</w:t>
    </w:r>
    <w:r>
      <w:rPr>
        <w:rStyle w:val="HideTWBExt"/>
        <w:noProof w:val="0"/>
      </w:rPr>
      <w:t>&lt;/Version&gt;</w:t>
    </w:r>
  </w:p>
  <w:p w:rsidR="00457F94" w:rsidRPr="00803ED6" w:rsidRDefault="00055C02" w:rsidP="00055C02">
    <w:pPr>
      <w:pStyle w:val="Footer2"/>
    </w:pPr>
    <w:r>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02" w:rsidRPr="00803ED6" w:rsidRDefault="00055C02" w:rsidP="00055C02">
    <w:pPr>
      <w:pStyle w:val="Footer"/>
    </w:pPr>
    <w:r>
      <w:rPr>
        <w:rStyle w:val="HideTWBExt"/>
        <w:noProof w:val="0"/>
      </w:rPr>
      <w:t>&lt;PathFdR&gt;</w:t>
    </w:r>
    <w:r>
      <w:t>RR\1105437PL.docx</w:t>
    </w:r>
    <w:r>
      <w:rPr>
        <w:rStyle w:val="HideTWBExt"/>
        <w:noProof w:val="0"/>
      </w:rPr>
      <w:t>&lt;/PathFdR&gt;</w:t>
    </w:r>
    <w:r>
      <w:tab/>
    </w:r>
    <w:r>
      <w:tab/>
      <w:t>PE</w:t>
    </w:r>
    <w:r>
      <w:rPr>
        <w:rStyle w:val="HideTWBExt"/>
        <w:noProof w:val="0"/>
      </w:rPr>
      <w:t>&lt;NoPE&gt;</w:t>
    </w:r>
    <w:r>
      <w:t>589.207</w:t>
    </w:r>
    <w:r>
      <w:rPr>
        <w:rStyle w:val="HideTWBExt"/>
        <w:noProof w:val="0"/>
      </w:rPr>
      <w:t>&lt;/NoPE&gt;&lt;Version&gt;</w:t>
    </w:r>
    <w:r>
      <w:t>v02-00</w:t>
    </w:r>
    <w:r>
      <w:rPr>
        <w:rStyle w:val="HideTWBExt"/>
        <w:noProof w:val="0"/>
      </w:rPr>
      <w:t>&lt;/Version&gt;</w:t>
    </w:r>
  </w:p>
  <w:p w:rsidR="00457F94" w:rsidRPr="00803ED6" w:rsidRDefault="00055C02" w:rsidP="00055C02">
    <w:pPr>
      <w:pStyle w:val="Footer2"/>
      <w:tabs>
        <w:tab w:val="center" w:pos="4535"/>
      </w:tabs>
    </w:pPr>
    <w:r>
      <w:t>PL</w:t>
    </w:r>
    <w:r>
      <w:tab/>
    </w:r>
    <w:r>
      <w:rPr>
        <w:b w:val="0"/>
        <w:i/>
        <w:color w:val="C0C0C0"/>
        <w:sz w:val="22"/>
      </w:rPr>
      <w:t>Zjednoczona w różnorodności</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94" w:rsidRPr="00803ED6" w:rsidRDefault="00457F94">
      <w:r w:rsidRPr="00803ED6">
        <w:separator/>
      </w:r>
    </w:p>
  </w:footnote>
  <w:footnote w:type="continuationSeparator" w:id="0">
    <w:p w:rsidR="00457F94" w:rsidRPr="00803ED6" w:rsidRDefault="00457F94">
      <w:r w:rsidRPr="00803ED6">
        <w:continuationSeparator/>
      </w:r>
    </w:p>
  </w:footnote>
  <w:footnote w:id="1">
    <w:p w:rsidR="00857E09" w:rsidRPr="00803ED6" w:rsidRDefault="00857E09" w:rsidP="00857E09">
      <w:pPr>
        <w:pStyle w:val="FootnoteText"/>
      </w:pPr>
      <w:r>
        <w:rPr>
          <w:rStyle w:val="FootnoteReference"/>
        </w:rPr>
        <w:footnoteRef/>
      </w:r>
      <w:r>
        <w:t xml:space="preserve"> Dz.U. L 311 z 14.11.2002, s. 3.</w:t>
      </w:r>
    </w:p>
  </w:footnote>
  <w:footnote w:id="2">
    <w:p w:rsidR="00857E09" w:rsidRPr="00803ED6" w:rsidRDefault="00857E09" w:rsidP="00857E09">
      <w:pPr>
        <w:pStyle w:val="FootnoteText"/>
      </w:pPr>
      <w:r>
        <w:rPr>
          <w:rStyle w:val="FootnoteReference"/>
        </w:rPr>
        <w:footnoteRef/>
      </w:r>
      <w:r>
        <w:t xml:space="preserve"> Dz.U. L 347 z 20.12.2013, s. 884.</w:t>
      </w:r>
    </w:p>
  </w:footnote>
  <w:footnote w:id="3">
    <w:p w:rsidR="00857E09" w:rsidRPr="00803ED6" w:rsidRDefault="00857E09" w:rsidP="00857E09">
      <w:pPr>
        <w:pStyle w:val="FootnoteText"/>
      </w:pPr>
      <w:r>
        <w:rPr>
          <w:rStyle w:val="FootnoteReference"/>
        </w:rPr>
        <w:footnoteRef/>
      </w:r>
      <w:r>
        <w:t xml:space="preserve"> Dz.U. C 373 z 20.12.2013, s. 1.</w:t>
      </w:r>
    </w:p>
  </w:footnote>
  <w:footnote w:id="4">
    <w:p w:rsidR="00857E09" w:rsidRPr="00803ED6" w:rsidRDefault="00857E09" w:rsidP="00857E09">
      <w:pPr>
        <w:pStyle w:val="FootnoteText"/>
      </w:pPr>
      <w:r>
        <w:rPr>
          <w:rStyle w:val="FootnoteReference"/>
        </w:rPr>
        <w:footnoteRef/>
      </w:r>
      <w:r>
        <w:tab/>
        <w:t>Dz.U. L 311 z 14.11.2002, s. 3.</w:t>
      </w:r>
    </w:p>
  </w:footnote>
  <w:footnote w:id="5">
    <w:p w:rsidR="00857E09" w:rsidRPr="00803ED6" w:rsidRDefault="00857E09" w:rsidP="00857E09">
      <w:pPr>
        <w:pStyle w:val="FootnoteText"/>
      </w:pPr>
      <w:r>
        <w:rPr>
          <w:rStyle w:val="FootnoteReference"/>
        </w:rPr>
        <w:footnoteRef/>
      </w:r>
      <w:r>
        <w:tab/>
        <w:t>Dz.U. C 373 z 20.12.2013, s. 1.</w:t>
      </w:r>
    </w:p>
  </w:footnote>
  <w:footnote w:id="6">
    <w:p w:rsidR="00857E09" w:rsidRPr="00803ED6" w:rsidRDefault="00857E09" w:rsidP="00857E09">
      <w:pPr>
        <w:pStyle w:val="FootnoteText"/>
      </w:pPr>
      <w:r>
        <w:rPr>
          <w:rStyle w:val="FootnoteReference"/>
        </w:rPr>
        <w:footnoteRef/>
      </w:r>
      <w:r>
        <w:tab/>
        <w:t>Rozporządzenie Rady (UE, Euratom) nr 1311/2013 z dnia 2 grudnia 2013 r. określające wieloletnie ramy finansowe na lata 2014–2020 (Dz.U. L 347 z 20.12.2013, s. 884).</w:t>
      </w:r>
    </w:p>
  </w:footnote>
  <w:footnote w:id="7">
    <w:p w:rsidR="00857E09" w:rsidRPr="00803ED6" w:rsidRDefault="00857E09" w:rsidP="00857E09">
      <w:pPr>
        <w:pStyle w:val="FootnoteText"/>
      </w:pPr>
      <w:r>
        <w:rPr>
          <w:rStyle w:val="FootnoteReference"/>
        </w:rPr>
        <w:footnoteRef/>
      </w:r>
      <w:r>
        <w:tab/>
        <w:t>Decyzja Parlamentu Europejskiego i Rady (UE) 2016/252 z dnia 25 listopada 2015 r. w sprawie uruchomienia Funduszu Solidarności Unii Europejskiej na wypłatę zaliczek (Dz.U. L 47 z 24.2.2016, s. 5).</w:t>
      </w:r>
    </w:p>
  </w:footnote>
  <w:footnote w:id="8">
    <w:p w:rsidR="00857E09" w:rsidRPr="00803ED6" w:rsidRDefault="00857E09" w:rsidP="00857E09">
      <w:pPr>
        <w:pStyle w:val="FootnoteText"/>
      </w:pPr>
      <w:r>
        <w:rPr>
          <w:rFonts w:ascii="Symbol" w:hAnsi="Symbol"/>
          <w:vertAlign w:val="superscript"/>
        </w:rPr>
        <w:t>∗</w:t>
      </w:r>
      <w:r>
        <w:t xml:space="preserve"> </w:t>
      </w:r>
      <w:r>
        <w:rPr>
          <w:i/>
        </w:rPr>
        <w:t>Data do wstawienia przez Parlament przed publikacją w 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9D" w:rsidRDefault="00A15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9D" w:rsidRDefault="00A15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9D" w:rsidRDefault="00A15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DT" w:val="28/09/2016"/>
    <w:docVar w:name="LastEditedSection" w:val=" 1"/>
    <w:docVar w:name="strDocTypeID" w:val="PR_BUD_Funds"/>
    <w:docVar w:name="strSubDir" w:val="1105"/>
    <w:docVar w:name="TITLEMNU" w:val=" 1"/>
    <w:docVar w:name="TXTLANGUE" w:val="PL"/>
    <w:docVar w:name="TXTLANGUEMIN" w:val="pl"/>
    <w:docVar w:name="TXTNRBUD" w:val="2016/2165"/>
    <w:docVar w:name="TXTNRC" w:val="0283/2016"/>
    <w:docVar w:name="TXTNRCOM" w:val="(2016)0462"/>
    <w:docVar w:name="TXTNRPE" w:val="589.207"/>
    <w:docVar w:name="TXTPEorAP" w:val="PE"/>
    <w:docVar w:name="TXTROUTE" w:val="RR\1105437PL.docx"/>
    <w:docVar w:name="TXTVERSION" w:val="02-00"/>
  </w:docVars>
  <w:rsids>
    <w:rsidRoot w:val="001B5598"/>
    <w:rsid w:val="000555E6"/>
    <w:rsid w:val="00055C02"/>
    <w:rsid w:val="00093266"/>
    <w:rsid w:val="000E68DA"/>
    <w:rsid w:val="00155B2F"/>
    <w:rsid w:val="00167F25"/>
    <w:rsid w:val="00195607"/>
    <w:rsid w:val="001B5598"/>
    <w:rsid w:val="00216494"/>
    <w:rsid w:val="0022041B"/>
    <w:rsid w:val="002C27F2"/>
    <w:rsid w:val="00300158"/>
    <w:rsid w:val="00347949"/>
    <w:rsid w:val="00380B5A"/>
    <w:rsid w:val="003B4F3D"/>
    <w:rsid w:val="003F5DF6"/>
    <w:rsid w:val="00457F94"/>
    <w:rsid w:val="00483741"/>
    <w:rsid w:val="00492EAD"/>
    <w:rsid w:val="004C73AC"/>
    <w:rsid w:val="004D2440"/>
    <w:rsid w:val="00503B32"/>
    <w:rsid w:val="00532397"/>
    <w:rsid w:val="00533501"/>
    <w:rsid w:val="005A563B"/>
    <w:rsid w:val="005B0658"/>
    <w:rsid w:val="005F27D5"/>
    <w:rsid w:val="00601E96"/>
    <w:rsid w:val="00603BC5"/>
    <w:rsid w:val="00615126"/>
    <w:rsid w:val="00646525"/>
    <w:rsid w:val="00673B31"/>
    <w:rsid w:val="006A10FB"/>
    <w:rsid w:val="00703318"/>
    <w:rsid w:val="007260CD"/>
    <w:rsid w:val="00731ECF"/>
    <w:rsid w:val="00765BBD"/>
    <w:rsid w:val="007E3E06"/>
    <w:rsid w:val="007F63FC"/>
    <w:rsid w:val="00803ED6"/>
    <w:rsid w:val="00843D7C"/>
    <w:rsid w:val="00857E09"/>
    <w:rsid w:val="00861675"/>
    <w:rsid w:val="008B7D48"/>
    <w:rsid w:val="008F1614"/>
    <w:rsid w:val="00917358"/>
    <w:rsid w:val="00925CDC"/>
    <w:rsid w:val="00945699"/>
    <w:rsid w:val="0097776D"/>
    <w:rsid w:val="0098399D"/>
    <w:rsid w:val="00A11D5B"/>
    <w:rsid w:val="00A15E9D"/>
    <w:rsid w:val="00A27E62"/>
    <w:rsid w:val="00A8478A"/>
    <w:rsid w:val="00AE164D"/>
    <w:rsid w:val="00AF4089"/>
    <w:rsid w:val="00AF6B2F"/>
    <w:rsid w:val="00B14C8B"/>
    <w:rsid w:val="00BB725E"/>
    <w:rsid w:val="00BE3123"/>
    <w:rsid w:val="00C327B5"/>
    <w:rsid w:val="00C537DD"/>
    <w:rsid w:val="00C753BD"/>
    <w:rsid w:val="00C90AB3"/>
    <w:rsid w:val="00C95F1F"/>
    <w:rsid w:val="00CA4836"/>
    <w:rsid w:val="00CB1288"/>
    <w:rsid w:val="00CB654F"/>
    <w:rsid w:val="00D17520"/>
    <w:rsid w:val="00D461B7"/>
    <w:rsid w:val="00D82527"/>
    <w:rsid w:val="00DE1BE3"/>
    <w:rsid w:val="00DF46ED"/>
    <w:rsid w:val="00E14CC2"/>
    <w:rsid w:val="00E17D6A"/>
    <w:rsid w:val="00E17F52"/>
    <w:rsid w:val="00E6620D"/>
    <w:rsid w:val="00E84539"/>
    <w:rsid w:val="00EA7BAF"/>
    <w:rsid w:val="00EF6DBE"/>
    <w:rsid w:val="00F130D9"/>
    <w:rsid w:val="00F35163"/>
    <w:rsid w:val="00F43609"/>
    <w:rsid w:val="00FA2712"/>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D4008C5-BC2D-4F87-8445-390C6058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rsid w:val="00457F94"/>
    <w:rPr>
      <w:sz w:val="20"/>
    </w:rPr>
  </w:style>
  <w:style w:type="character" w:customStyle="1" w:styleId="FootnoteTextChar">
    <w:name w:val="Footnote Text Char"/>
    <w:basedOn w:val="DefaultParagraphFont"/>
    <w:link w:val="FootnoteText"/>
    <w:rsid w:val="00457F94"/>
  </w:style>
  <w:style w:type="character" w:styleId="FootnoteReference">
    <w:name w:val="footnote reference"/>
    <w:aliases w:val="Footnote Reference Superscript,Footnote symbol,Footnote,stylish,BVI fnr,Footnote symboFußnotenzeichen,Footnote sign,Footnote Reference Number,E FNZ,-E Fußnotenzeichen,Footnote#,Times 10 Point,Exposant 3 Point,Ref,de nota al pie,SUPER"/>
    <w:basedOn w:val="DefaultParagraphFont"/>
    <w:uiPriority w:val="99"/>
    <w:rsid w:val="00457F94"/>
    <w:rPr>
      <w:vertAlign w:val="superscript"/>
    </w:rPr>
  </w:style>
  <w:style w:type="paragraph" w:styleId="BalloonText">
    <w:name w:val="Balloon Text"/>
    <w:basedOn w:val="Normal"/>
    <w:link w:val="BalloonTextChar"/>
    <w:rsid w:val="00C90AB3"/>
    <w:rPr>
      <w:rFonts w:ascii="Segoe UI" w:hAnsi="Segoe UI" w:cs="Segoe UI"/>
      <w:sz w:val="18"/>
      <w:szCs w:val="18"/>
    </w:rPr>
  </w:style>
  <w:style w:type="character" w:customStyle="1" w:styleId="BalloonTextChar">
    <w:name w:val="Balloon Text Char"/>
    <w:basedOn w:val="DefaultParagraphFont"/>
    <w:link w:val="BalloonText"/>
    <w:rsid w:val="00C90AB3"/>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4284">
      <w:bodyDiv w:val="1"/>
      <w:marLeft w:val="0"/>
      <w:marRight w:val="0"/>
      <w:marTop w:val="0"/>
      <w:marBottom w:val="0"/>
      <w:divBdr>
        <w:top w:val="none" w:sz="0" w:space="0" w:color="auto"/>
        <w:left w:val="none" w:sz="0" w:space="0" w:color="auto"/>
        <w:bottom w:val="none" w:sz="0" w:space="0" w:color="auto"/>
        <w:right w:val="none" w:sz="0" w:space="0" w:color="auto"/>
      </w:divBdr>
    </w:div>
    <w:div w:id="1485782757">
      <w:bodyDiv w:val="1"/>
      <w:marLeft w:val="0"/>
      <w:marRight w:val="0"/>
      <w:marTop w:val="0"/>
      <w:marBottom w:val="0"/>
      <w:divBdr>
        <w:top w:val="none" w:sz="0" w:space="0" w:color="auto"/>
        <w:left w:val="none" w:sz="0" w:space="0" w:color="auto"/>
        <w:bottom w:val="none" w:sz="0" w:space="0" w:color="auto"/>
        <w:right w:val="none" w:sz="0" w:space="0" w:color="auto"/>
      </w:divBdr>
    </w:div>
    <w:div w:id="17264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lasova\AppData\Local\Temp\PR_BUD_Fu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7D4C-7BC0-4B2A-8D8E-B068B000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PR_BUD_Funds.dot</Template>
  <TotalTime>0</TotalTime>
  <Pages>9</Pages>
  <Words>1644</Words>
  <Characters>9865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VLASOVA Marketa</dc:creator>
  <cp:keywords/>
  <dc:description/>
  <cp:lastModifiedBy>ROGINSKA Ewa</cp:lastModifiedBy>
  <cp:revision>2</cp:revision>
  <cp:lastPrinted>2004-12-08T14:27:00Z</cp:lastPrinted>
  <dcterms:created xsi:type="dcterms:W3CDTF">2016-10-03T10:04:00Z</dcterms:created>
  <dcterms:modified xsi:type="dcterms:W3CDTF">2016-10-03T10:04:00Z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1105437</vt:lpwstr>
  </property>
  <property fmtid="{D5CDD505-2E9C-101B-9397-08002B2CF9AE}" pid="5" name="&lt;Type&gt;">
    <vt:lpwstr>RR</vt:lpwstr>
  </property>
  <property fmtid="{D5CDD505-2E9C-101B-9397-08002B2CF9AE}" pid="6" name="&lt;ModelCod&gt;">
    <vt:lpwstr>\\eiciBRUpr1\pdocep$\DocEP\DOCS\General\PR\PR_BUD\BUD\PR_BUD_Funds.dot(22/03/2016 08:30:42)</vt:lpwstr>
  </property>
  <property fmtid="{D5CDD505-2E9C-101B-9397-08002B2CF9AE}" pid="7" name="&lt;ModelTra&gt;">
    <vt:lpwstr>\\eiciBRUpr1\pdocep$\DocEP\TRANSFIL\EN\PR_BUD_Funds.EN(22/03/2016 08:28:49)</vt:lpwstr>
  </property>
  <property fmtid="{D5CDD505-2E9C-101B-9397-08002B2CF9AE}" pid="8" name="&lt;Model&gt;">
    <vt:lpwstr>PR_BUD_Funds</vt:lpwstr>
  </property>
  <property fmtid="{D5CDD505-2E9C-101B-9397-08002B2CF9AE}" pid="9" name="FooterPath">
    <vt:lpwstr>RR\1105437PL.docx</vt:lpwstr>
  </property>
  <property fmtid="{D5CDD505-2E9C-101B-9397-08002B2CF9AE}" pid="10" name="PE Number">
    <vt:lpwstr>589.207</vt:lpwstr>
  </property>
  <property fmtid="{D5CDD505-2E9C-101B-9397-08002B2CF9AE}" pid="11" name="SendToEpades">
    <vt:lpwstr/>
  </property>
  <property fmtid="{D5CDD505-2E9C-101B-9397-08002B2CF9AE}" pid="12" name="SubscribeElise">
    <vt:lpwstr/>
  </property>
  <property fmtid="{D5CDD505-2E9C-101B-9397-08002B2CF9AE}" pid="13" name="Bookout">
    <vt:lpwstr>OK - 2016/10/3 12:04</vt:lpwstr>
  </property>
  <property fmtid="{D5CDD505-2E9C-101B-9397-08002B2CF9AE}" pid="14" name="SDLStudio">
    <vt:lpwstr>YES</vt:lpwstr>
  </property>
  <property fmtid="{D5CDD505-2E9C-101B-9397-08002B2CF9AE}" pid="15" name="&lt;Extension&gt;">
    <vt:lpwstr>PL</vt:lpwstr>
  </property>
</Properties>
</file>