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7F79DC" w:rsidTr="006F7907">
        <w:trPr>
          <w:trHeight w:hRule="exact" w:val="1418"/>
        </w:trPr>
        <w:tc>
          <w:tcPr>
            <w:tcW w:w="6804" w:type="dxa"/>
            <w:shd w:val="clear" w:color="auto" w:fill="auto"/>
            <w:vAlign w:val="center"/>
          </w:tcPr>
          <w:p w:rsidR="006F7907" w:rsidRPr="007F79DC" w:rsidRDefault="00973279" w:rsidP="00FD1DEF">
            <w:pPr>
              <w:pStyle w:val="EPName"/>
              <w:rPr>
                <w:noProof/>
              </w:rPr>
            </w:pPr>
            <w:bookmarkStart w:id="0" w:name="_GoBack"/>
            <w:bookmarkEnd w:id="0"/>
            <w:r>
              <w:t>Parlement européen</w:t>
            </w:r>
          </w:p>
          <w:p w:rsidR="006F7907" w:rsidRPr="007F79DC" w:rsidRDefault="007F79DC" w:rsidP="007F79DC">
            <w:pPr>
              <w:pStyle w:val="EPTerm"/>
              <w:rPr>
                <w:rStyle w:val="HideTWBExt"/>
                <w:vanish w:val="0"/>
                <w:color w:val="auto"/>
              </w:rPr>
            </w:pPr>
            <w:r>
              <w:t>2014-2019</w:t>
            </w:r>
          </w:p>
        </w:tc>
        <w:tc>
          <w:tcPr>
            <w:tcW w:w="2268" w:type="dxa"/>
            <w:shd w:val="clear" w:color="auto" w:fill="auto"/>
          </w:tcPr>
          <w:p w:rsidR="006F7907" w:rsidRPr="007F79DC" w:rsidRDefault="006E1E59" w:rsidP="00896BB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7F79DC" w:rsidRDefault="00461601" w:rsidP="00461601">
      <w:pPr>
        <w:pStyle w:val="LineTop"/>
        <w:rPr>
          <w:noProof/>
        </w:rPr>
      </w:pPr>
    </w:p>
    <w:p w:rsidR="00461601" w:rsidRPr="007F79DC" w:rsidRDefault="007F79DC" w:rsidP="00461601">
      <w:pPr>
        <w:pStyle w:val="ZCommittee"/>
        <w:rPr>
          <w:noProof/>
        </w:rPr>
      </w:pPr>
      <w:r>
        <w:t>Document de séance</w:t>
      </w:r>
    </w:p>
    <w:p w:rsidR="00461601" w:rsidRPr="007F79DC" w:rsidRDefault="00461601" w:rsidP="00461601">
      <w:pPr>
        <w:pStyle w:val="LineBottom"/>
        <w:rPr>
          <w:noProof/>
        </w:rPr>
      </w:pPr>
    </w:p>
    <w:p w:rsidR="00793EA9" w:rsidRPr="007F79DC" w:rsidRDefault="007F79DC">
      <w:pPr>
        <w:pStyle w:val="RefProc"/>
        <w:rPr>
          <w:noProof/>
        </w:rPr>
      </w:pPr>
      <w:r>
        <w:rPr>
          <w:rStyle w:val="HideTWBExt"/>
        </w:rPr>
        <w:t>&lt;NoDocSe&gt;</w:t>
      </w:r>
      <w:r>
        <w:rPr>
          <w:noProof/>
          <w:color w:val="0000F0"/>
        </w:rPr>
        <w:t>A8-0340/2016</w:t>
      </w:r>
      <w:r>
        <w:rPr>
          <w:rStyle w:val="HideTWBExt"/>
        </w:rPr>
        <w:t>&lt;/NoDocSe&gt;</w:t>
      </w:r>
    </w:p>
    <w:p w:rsidR="00793EA9" w:rsidRPr="007F79DC" w:rsidRDefault="00793EA9">
      <w:pPr>
        <w:pStyle w:val="ZDate"/>
        <w:rPr>
          <w:noProof/>
        </w:rPr>
      </w:pPr>
      <w:r>
        <w:rPr>
          <w:rStyle w:val="HideTWBExt"/>
        </w:rPr>
        <w:t>&lt;Date&gt;</w:t>
      </w:r>
      <w:r>
        <w:rPr>
          <w:rStyle w:val="HideTWBInt"/>
          <w:noProof/>
          <w:color w:val="0000F0"/>
        </w:rPr>
        <w:t>{16/11/2016}</w:t>
      </w:r>
      <w:r>
        <w:rPr>
          <w:noProof/>
          <w:color w:val="0000F0"/>
        </w:rPr>
        <w:t>16.11.2016</w:t>
      </w:r>
      <w:r>
        <w:rPr>
          <w:rStyle w:val="HideTWBExt"/>
        </w:rPr>
        <w:t>&lt;/Date&gt;</w:t>
      </w:r>
    </w:p>
    <w:p w:rsidR="00793EA9" w:rsidRPr="007F79DC" w:rsidRDefault="00793EA9">
      <w:pPr>
        <w:pStyle w:val="StarsAndIs"/>
        <w:rPr>
          <w:noProof/>
        </w:rPr>
      </w:pPr>
      <w:r>
        <w:rPr>
          <w:rStyle w:val="HideTWBExt"/>
          <w:b w:val="0"/>
        </w:rPr>
        <w:t>&lt;RefProcLect&gt;</w:t>
      </w:r>
      <w:r>
        <w:rPr>
          <w:noProof/>
          <w:color w:val="0000F0"/>
        </w:rPr>
        <w:t>***I</w:t>
      </w:r>
      <w:r>
        <w:rPr>
          <w:rStyle w:val="HideTWBExt"/>
          <w:b w:val="0"/>
        </w:rPr>
        <w:t>&lt;/RefProcLect&gt;</w:t>
      </w:r>
    </w:p>
    <w:p w:rsidR="00793EA9" w:rsidRPr="007F79DC" w:rsidRDefault="00793EA9">
      <w:pPr>
        <w:pStyle w:val="TypeDoc"/>
        <w:rPr>
          <w:noProof/>
        </w:rPr>
      </w:pPr>
      <w:r>
        <w:rPr>
          <w:rStyle w:val="HideTWBExt"/>
          <w:b w:val="0"/>
        </w:rPr>
        <w:t>&lt;TitreType&gt;</w:t>
      </w:r>
      <w:r>
        <w:rPr>
          <w:noProof/>
          <w:color w:val="0000F0"/>
        </w:rPr>
        <w:t>RAPPORT</w:t>
      </w:r>
      <w:r>
        <w:rPr>
          <w:rStyle w:val="HideTWBExt"/>
          <w:b w:val="0"/>
        </w:rPr>
        <w:t>&lt;/TitreType&gt;</w:t>
      </w:r>
    </w:p>
    <w:p w:rsidR="00793EA9" w:rsidRPr="007F79DC" w:rsidRDefault="00793EA9">
      <w:pPr>
        <w:pStyle w:val="CoverNormal"/>
        <w:rPr>
          <w:noProof/>
        </w:rPr>
      </w:pPr>
      <w:r>
        <w:rPr>
          <w:rStyle w:val="HideTWBExt"/>
        </w:rPr>
        <w:t>&lt;Titre&gt;</w:t>
      </w:r>
      <w:r>
        <w:t>sur la proposition de décision du Parlement européen et du Conseil relative à une Année européenne du patrimoine culturel</w:t>
      </w:r>
      <w:r>
        <w:rPr>
          <w:rStyle w:val="HideTWBExt"/>
        </w:rPr>
        <w:t>&lt;/Titre&gt;</w:t>
      </w:r>
    </w:p>
    <w:p w:rsidR="00793EA9" w:rsidRPr="007F79DC" w:rsidRDefault="00793EA9">
      <w:pPr>
        <w:pStyle w:val="Cover24"/>
        <w:rPr>
          <w:noProof/>
        </w:rPr>
      </w:pPr>
      <w:r>
        <w:rPr>
          <w:rStyle w:val="HideTWBExt"/>
        </w:rPr>
        <w:t>&lt;DocRef&gt;</w:t>
      </w:r>
      <w:r>
        <w:rPr>
          <w:noProof/>
          <w:color w:val="0000F0"/>
        </w:rPr>
        <w:t>(COM(2016)0543 – C8-0352/2016 – 2016/0259(COD))</w:t>
      </w:r>
      <w:r>
        <w:rPr>
          <w:rStyle w:val="HideTWBExt"/>
        </w:rPr>
        <w:t>&lt;/DocRef&gt;</w:t>
      </w:r>
    </w:p>
    <w:p w:rsidR="00793EA9" w:rsidRPr="007F79DC" w:rsidRDefault="00793EA9">
      <w:pPr>
        <w:pStyle w:val="Cover24"/>
        <w:rPr>
          <w:noProof/>
        </w:rPr>
      </w:pPr>
      <w:r>
        <w:rPr>
          <w:rStyle w:val="HideTWBExt"/>
        </w:rPr>
        <w:t>&lt;Commission&gt;</w:t>
      </w:r>
      <w:r>
        <w:rPr>
          <w:rStyle w:val="HideTWBInt"/>
          <w:noProof/>
          <w:color w:val="0000F0"/>
        </w:rPr>
        <w:t>{CULT}</w:t>
      </w:r>
      <w:r>
        <w:rPr>
          <w:noProof/>
          <w:color w:val="0000F0"/>
        </w:rPr>
        <w:t>Commission de la culture et de l'éducation</w:t>
      </w:r>
      <w:r>
        <w:rPr>
          <w:rStyle w:val="HideTWBExt"/>
        </w:rPr>
        <w:t>&lt;/Commission&gt;</w:t>
      </w:r>
    </w:p>
    <w:p w:rsidR="007F79DC" w:rsidRPr="007F79DC" w:rsidRDefault="007F79DC" w:rsidP="007F79DC">
      <w:pPr>
        <w:pStyle w:val="Cover24"/>
        <w:rPr>
          <w:noProof/>
        </w:rPr>
      </w:pPr>
      <w:r>
        <w:rPr>
          <w:noProof/>
          <w:color w:val="0000F0"/>
        </w:rPr>
        <w:t xml:space="preserve">Rapporteur: </w:t>
      </w:r>
      <w:r>
        <w:rPr>
          <w:rStyle w:val="HideTWBExt"/>
        </w:rPr>
        <w:t>&lt;Depute&gt;</w:t>
      </w:r>
      <w:r>
        <w:rPr>
          <w:noProof/>
          <w:color w:val="0000F0"/>
        </w:rPr>
        <w:t>Mircea Diaconu</w:t>
      </w:r>
      <w:r>
        <w:rPr>
          <w:rStyle w:val="HideTWBExt"/>
        </w:rPr>
        <w:t>&lt;/Depute&gt;</w:t>
      </w:r>
    </w:p>
    <w:p w:rsidR="007F79DC" w:rsidRPr="007F79DC" w:rsidRDefault="007F79DC" w:rsidP="007F79DC">
      <w:pPr>
        <w:pStyle w:val="CoverNormal"/>
        <w:rPr>
          <w:noProof/>
        </w:rPr>
      </w:pPr>
    </w:p>
    <w:p w:rsidR="007F79DC" w:rsidRPr="007F79DC" w:rsidRDefault="007F79DC" w:rsidP="007F79DC">
      <w:pPr>
        <w:pStyle w:val="CoverNormal"/>
        <w:rPr>
          <w:b/>
          <w:noProof/>
        </w:rPr>
      </w:pPr>
    </w:p>
    <w:p w:rsidR="007F79DC" w:rsidRPr="007F79DC" w:rsidRDefault="007F79DC" w:rsidP="007F79DC">
      <w:pPr>
        <w:pStyle w:val="CoverNormal"/>
        <w:rPr>
          <w:noProof/>
          <w:szCs w:val="24"/>
        </w:rPr>
      </w:pPr>
      <w:r>
        <w:t>(Procédure simplifiée – article 50, paragraphe 2, du règlement)</w:t>
      </w:r>
    </w:p>
    <w:p w:rsidR="00793EA9" w:rsidRPr="007F79DC" w:rsidRDefault="00793EA9" w:rsidP="007F79DC">
      <w:pPr>
        <w:pStyle w:val="Cover24"/>
        <w:ind w:left="0"/>
        <w:rPr>
          <w:noProof/>
        </w:rPr>
      </w:pPr>
    </w:p>
    <w:p w:rsidR="001C5B44" w:rsidRPr="007F79DC" w:rsidRDefault="001C5B44" w:rsidP="001C5B44">
      <w:pPr>
        <w:pStyle w:val="CoverNormal"/>
        <w:rPr>
          <w:noProof/>
        </w:rPr>
      </w:pPr>
    </w:p>
    <w:p w:rsidR="00793EA9" w:rsidRPr="007F79DC" w:rsidRDefault="00793EA9" w:rsidP="00187008">
      <w:pPr>
        <w:widowControl/>
        <w:tabs>
          <w:tab w:val="center" w:pos="4677"/>
        </w:tabs>
        <w:rPr>
          <w:noProof/>
        </w:rPr>
      </w:pPr>
      <w:r>
        <w:br w:type="page"/>
      </w:r>
      <w:bookmarkStart w:id="1" w:name="DocEPTmpStart"/>
      <w:bookmarkEnd w:id="1"/>
    </w:p>
    <w:p w:rsidR="007F79DC" w:rsidRPr="007F79DC" w:rsidRDefault="00651CD9">
      <w:pPr>
        <w:rPr>
          <w:noProof/>
        </w:rPr>
      </w:pPr>
      <w:r>
        <w:rPr>
          <w:noProof/>
        </w:rPr>
        <w:fldChar w:fldCharType="begin"/>
      </w:r>
      <w:r>
        <w:rPr>
          <w:noProof/>
        </w:rPr>
        <w:instrText>TITLE \* MERGEFORMAT</w:instrText>
      </w:r>
      <w:r>
        <w:rPr>
          <w:noProof/>
        </w:rPr>
        <w:fldChar w:fldCharType="separate"/>
      </w:r>
      <w:r>
        <w:rPr>
          <w:noProof/>
        </w:rPr>
        <w:t>PR_COD_1amCom</w:t>
      </w:r>
      <w:r>
        <w:fldChar w:fldCharType="end"/>
      </w:r>
    </w:p>
    <w:p w:rsidR="007F79DC" w:rsidRPr="007F79DC" w:rsidRDefault="007F79DC">
      <w:pPr>
        <w:rPr>
          <w:noProof/>
        </w:rPr>
      </w:pPr>
    </w:p>
    <w:p w:rsidR="007F79DC" w:rsidRPr="007F79DC" w:rsidRDefault="007F79DC">
      <w:pPr>
        <w:rPr>
          <w:noProof/>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F79DC" w:rsidRPr="007F79DC">
        <w:tc>
          <w:tcPr>
            <w:tcW w:w="5811" w:type="dxa"/>
          </w:tcPr>
          <w:p w:rsidR="007F79DC" w:rsidRPr="007F79DC" w:rsidRDefault="007F79DC">
            <w:pPr>
              <w:pStyle w:val="Lgendetitre"/>
              <w:rPr>
                <w:noProof/>
              </w:rPr>
            </w:pPr>
            <w:r>
              <w:t>Légende des signes utilisés</w:t>
            </w:r>
          </w:p>
        </w:tc>
      </w:tr>
      <w:tr w:rsidR="007F79DC" w:rsidRPr="007F79DC" w:rsidTr="00C50C36">
        <w:trPr>
          <w:cantSplit/>
          <w:trHeight w:val="1944"/>
        </w:trPr>
        <w:tc>
          <w:tcPr>
            <w:tcW w:w="5811" w:type="dxa"/>
            <w:tcBorders>
              <w:bottom w:val="single" w:sz="4" w:space="0" w:color="auto"/>
            </w:tcBorders>
          </w:tcPr>
          <w:p w:rsidR="007F79DC" w:rsidRPr="007F79DC" w:rsidRDefault="007F79DC">
            <w:pPr>
              <w:pStyle w:val="Lgendesigne"/>
              <w:rPr>
                <w:noProof/>
              </w:rPr>
            </w:pPr>
            <w:r>
              <w:tab/>
              <w:t>*</w:t>
            </w:r>
            <w:r>
              <w:tab/>
              <w:t>Procédure de consultation</w:t>
            </w:r>
          </w:p>
          <w:p w:rsidR="007F79DC" w:rsidRPr="007F79DC" w:rsidRDefault="007F79DC">
            <w:pPr>
              <w:pStyle w:val="Lgendesigne"/>
              <w:rPr>
                <w:noProof/>
              </w:rPr>
            </w:pPr>
            <w:r>
              <w:tab/>
              <w:t>***</w:t>
            </w:r>
            <w:r>
              <w:tab/>
              <w:t>Procédure d'approbation</w:t>
            </w:r>
          </w:p>
          <w:p w:rsidR="007F79DC" w:rsidRPr="007F79DC" w:rsidRDefault="007F79DC">
            <w:pPr>
              <w:pStyle w:val="Lgendesigne"/>
              <w:rPr>
                <w:noProof/>
              </w:rPr>
            </w:pPr>
            <w:r>
              <w:tab/>
              <w:t>***I</w:t>
            </w:r>
            <w:r>
              <w:tab/>
              <w:t>Procédure législative ordinaire (première lecture)</w:t>
            </w:r>
          </w:p>
          <w:p w:rsidR="007F79DC" w:rsidRPr="007F79DC" w:rsidRDefault="007F79DC">
            <w:pPr>
              <w:pStyle w:val="Lgendesigne"/>
              <w:rPr>
                <w:noProof/>
              </w:rPr>
            </w:pPr>
            <w:r>
              <w:tab/>
              <w:t>***II</w:t>
            </w:r>
            <w:r>
              <w:tab/>
              <w:t>Procédure législative ordinaire (deuxième lecture)</w:t>
            </w:r>
          </w:p>
          <w:p w:rsidR="007F79DC" w:rsidRPr="007F79DC" w:rsidRDefault="007F79DC">
            <w:pPr>
              <w:pStyle w:val="Lgendesigne"/>
              <w:rPr>
                <w:noProof/>
              </w:rPr>
            </w:pPr>
            <w:r>
              <w:tab/>
              <w:t>***III</w:t>
            </w:r>
            <w:r>
              <w:tab/>
              <w:t>Procédure législative ordinaire (troisième lecture)</w:t>
            </w:r>
          </w:p>
          <w:p w:rsidR="007F79DC" w:rsidRPr="007F79DC" w:rsidRDefault="007F79DC">
            <w:pPr>
              <w:pStyle w:val="Lgendesigne"/>
              <w:ind w:left="0" w:firstLine="0"/>
              <w:rPr>
                <w:noProof/>
              </w:rPr>
            </w:pPr>
          </w:p>
          <w:p w:rsidR="007F79DC" w:rsidRPr="007F79DC" w:rsidRDefault="007F79DC">
            <w:pPr>
              <w:pStyle w:val="Lgendestandard"/>
              <w:rPr>
                <w:noProof/>
              </w:rPr>
            </w:pPr>
            <w:r>
              <w:t>(La procédure indiquée est fondée sur la base juridique proposée par le projet d'acte.)</w:t>
            </w:r>
          </w:p>
          <w:p w:rsidR="007F79DC" w:rsidRPr="007F79DC" w:rsidRDefault="007F79DC">
            <w:pPr>
              <w:pStyle w:val="Lgendesigne"/>
              <w:ind w:left="0" w:firstLine="0"/>
              <w:rPr>
                <w:noProof/>
              </w:rPr>
            </w:pPr>
          </w:p>
        </w:tc>
      </w:tr>
    </w:tbl>
    <w:p w:rsidR="007F79DC" w:rsidRPr="007F79DC" w:rsidRDefault="007F79DC">
      <w:pPr>
        <w:rPr>
          <w:noProof/>
        </w:rPr>
      </w:pPr>
    </w:p>
    <w:p w:rsidR="007F79DC" w:rsidRPr="007F79DC" w:rsidRDefault="007F79DC">
      <w:pPr>
        <w:rPr>
          <w:noProof/>
        </w:rPr>
      </w:pPr>
    </w:p>
    <w:p w:rsidR="007F79DC" w:rsidRPr="007F79DC" w:rsidRDefault="007F79DC">
      <w:pPr>
        <w:rPr>
          <w:noProof/>
        </w:rPr>
      </w:pPr>
    </w:p>
    <w:p w:rsidR="007F79DC" w:rsidRPr="007F79DC" w:rsidRDefault="007F79DC">
      <w:pPr>
        <w:rPr>
          <w:noProof/>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F79DC" w:rsidRPr="007F79DC">
        <w:tc>
          <w:tcPr>
            <w:tcW w:w="5811" w:type="dxa"/>
          </w:tcPr>
          <w:p w:rsidR="007F79DC" w:rsidRPr="007F79DC" w:rsidRDefault="007F79DC">
            <w:pPr>
              <w:pStyle w:val="Lgendetitre"/>
              <w:rPr>
                <w:noProof/>
              </w:rPr>
            </w:pPr>
            <w:r>
              <w:t>Amendements à un projet d'acte</w:t>
            </w:r>
          </w:p>
        </w:tc>
      </w:tr>
      <w:tr w:rsidR="007F79DC" w:rsidRPr="007F79DC">
        <w:tc>
          <w:tcPr>
            <w:tcW w:w="5811" w:type="dxa"/>
          </w:tcPr>
          <w:p w:rsidR="007F79DC" w:rsidRPr="007F79DC" w:rsidRDefault="007F79DC" w:rsidP="00350CA0">
            <w:pPr>
              <w:pStyle w:val="Lgendestandard"/>
              <w:rPr>
                <w:noProof/>
                <w:szCs w:val="18"/>
              </w:rPr>
            </w:pPr>
            <w:r>
              <w:rPr>
                <w:b/>
                <w:noProof/>
              </w:rPr>
              <w:t>Amendements du Parlement présentés en deux colonnes</w:t>
            </w:r>
          </w:p>
          <w:p w:rsidR="007F79DC" w:rsidRPr="007F79DC" w:rsidRDefault="007F79DC" w:rsidP="00350CA0">
            <w:pPr>
              <w:pStyle w:val="Lgendestandard"/>
              <w:rPr>
                <w:noProof/>
                <w:szCs w:val="18"/>
              </w:rPr>
            </w:pPr>
          </w:p>
          <w:p w:rsidR="007F79DC" w:rsidRPr="007F79DC" w:rsidRDefault="007F79DC" w:rsidP="00350CA0">
            <w:pPr>
              <w:pStyle w:val="Lgendestandard"/>
              <w:rPr>
                <w:noProof/>
                <w:szCs w:val="18"/>
              </w:rPr>
            </w:pPr>
            <w:r>
              <w:t xml:space="preserve">Les suppressions sont signalées par des </w:t>
            </w:r>
            <w:r>
              <w:rPr>
                <w:b/>
                <w:i/>
                <w:noProof/>
              </w:rPr>
              <w:t>italiques gras</w:t>
            </w:r>
            <w:r>
              <w:t xml:space="preserve"> dans la colonne de gauche. Les remplacements sont signalés par des </w:t>
            </w:r>
            <w:r>
              <w:rPr>
                <w:b/>
                <w:i/>
                <w:noProof/>
              </w:rPr>
              <w:t xml:space="preserve">italiques gras </w:t>
            </w:r>
            <w:r>
              <w:t>dans les deux colonnes. Le texte nouveau est signalé par des</w:t>
            </w:r>
            <w:r>
              <w:rPr>
                <w:b/>
                <w:i/>
                <w:noProof/>
              </w:rPr>
              <w:t xml:space="preserve"> italiques gras</w:t>
            </w:r>
            <w:r>
              <w:t xml:space="preserve"> dans la colonne de droite.</w:t>
            </w:r>
          </w:p>
          <w:p w:rsidR="007F79DC" w:rsidRPr="007F79DC" w:rsidRDefault="007F79DC" w:rsidP="00350CA0">
            <w:pPr>
              <w:pStyle w:val="Lgendestandard"/>
              <w:rPr>
                <w:noProof/>
              </w:rPr>
            </w:pPr>
          </w:p>
          <w:p w:rsidR="007F79DC" w:rsidRPr="007F79DC" w:rsidRDefault="007F79DC" w:rsidP="00350CA0">
            <w:pPr>
              <w:pStyle w:val="Lgendestandard"/>
              <w:rPr>
                <w:noProof/>
              </w:rPr>
            </w:pPr>
            <w:r>
              <w:t xml:space="preserve">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 </w:t>
            </w:r>
          </w:p>
          <w:p w:rsidR="007F79DC" w:rsidRPr="007F79DC" w:rsidRDefault="007F79DC" w:rsidP="00350CA0">
            <w:pPr>
              <w:pStyle w:val="Lgendestandard"/>
              <w:rPr>
                <w:noProof/>
              </w:rPr>
            </w:pPr>
          </w:p>
          <w:p w:rsidR="007F79DC" w:rsidRPr="007F79DC" w:rsidRDefault="007F79DC" w:rsidP="00350CA0">
            <w:pPr>
              <w:pStyle w:val="Lgendestandard"/>
              <w:rPr>
                <w:b/>
                <w:noProof/>
                <w:szCs w:val="18"/>
              </w:rPr>
            </w:pPr>
            <w:r>
              <w:rPr>
                <w:b/>
                <w:noProof/>
              </w:rPr>
              <w:t>Amendements du Parlement prenant la forme d'un texte consolidé</w:t>
            </w:r>
          </w:p>
          <w:p w:rsidR="007F79DC" w:rsidRPr="007F79DC" w:rsidRDefault="007F79DC" w:rsidP="00350CA0">
            <w:pPr>
              <w:pStyle w:val="Lgendestandard"/>
              <w:rPr>
                <w:noProof/>
                <w:szCs w:val="18"/>
              </w:rPr>
            </w:pPr>
          </w:p>
          <w:p w:rsidR="007F79DC" w:rsidRPr="007F79DC" w:rsidRDefault="007F79DC" w:rsidP="00350CA0">
            <w:pPr>
              <w:pStyle w:val="Lgendestandard"/>
              <w:rPr>
                <w:noProof/>
                <w:szCs w:val="18"/>
              </w:rPr>
            </w:pPr>
            <w:r>
              <w:rPr>
                <w:noProof/>
                <w:color w:val="000000"/>
              </w:rPr>
              <w:t xml:space="preserve">Les parties de textes nouvelles sont indiquées en </w:t>
            </w:r>
            <w:r>
              <w:rPr>
                <w:b/>
                <w:i/>
                <w:noProof/>
                <w:color w:val="000000"/>
              </w:rPr>
              <w:t>italiques gras</w:t>
            </w:r>
            <w:r>
              <w:t xml:space="preserve">. Les parties de texte supprimées sont </w:t>
            </w:r>
            <w:r>
              <w:rPr>
                <w:noProof/>
                <w:color w:val="000000"/>
              </w:rPr>
              <w:t xml:space="preserve">indiquées par le symbole </w:t>
            </w:r>
            <w:r>
              <w:t xml:space="preserve">▌ ou barrées. Les remplacements sont signalés en indiquant en </w:t>
            </w:r>
            <w:r>
              <w:rPr>
                <w:b/>
                <w:i/>
                <w:noProof/>
              </w:rPr>
              <w:t xml:space="preserve">italiques gras </w:t>
            </w:r>
            <w:r>
              <w:t xml:space="preserve">le texte nouveau et en effaçant ou en barrant le texte remplacé. </w:t>
            </w:r>
          </w:p>
          <w:p w:rsidR="007F79DC" w:rsidRPr="007F79DC" w:rsidRDefault="007F79DC" w:rsidP="00350CA0">
            <w:pPr>
              <w:pStyle w:val="Lgendestandard"/>
              <w:rPr>
                <w:noProof/>
              </w:rPr>
            </w:pPr>
            <w:r>
              <w:t>Par exception, les modifications de nature strictement technique apportées par les services en vue de l'élaboration du texte final ne sont pas marquées.</w:t>
            </w:r>
          </w:p>
          <w:p w:rsidR="007F79DC" w:rsidRPr="007F79DC" w:rsidRDefault="007F79DC">
            <w:pPr>
              <w:pStyle w:val="Lgendestandard"/>
              <w:rPr>
                <w:noProof/>
              </w:rPr>
            </w:pPr>
          </w:p>
        </w:tc>
      </w:tr>
    </w:tbl>
    <w:p w:rsidR="007F79DC" w:rsidRPr="007F79DC" w:rsidRDefault="007F79DC">
      <w:pPr>
        <w:rPr>
          <w:noProof/>
        </w:rPr>
      </w:pPr>
    </w:p>
    <w:p w:rsidR="00793EA9" w:rsidRPr="007F79DC" w:rsidRDefault="00793EA9" w:rsidP="00012351">
      <w:pPr>
        <w:widowControl/>
        <w:tabs>
          <w:tab w:val="center" w:pos="4677"/>
        </w:tabs>
        <w:rPr>
          <w:noProof/>
        </w:rPr>
      </w:pPr>
    </w:p>
    <w:p w:rsidR="00793EA9" w:rsidRPr="007F79DC" w:rsidRDefault="00793EA9">
      <w:pPr>
        <w:pStyle w:val="TOCHeading"/>
        <w:rPr>
          <w:noProof/>
        </w:rPr>
      </w:pPr>
      <w:r>
        <w:br w:type="page"/>
      </w:r>
      <w:r>
        <w:lastRenderedPageBreak/>
        <w:t>SOMMAIRE</w:t>
      </w:r>
    </w:p>
    <w:p w:rsidR="00793EA9" w:rsidRPr="007F79DC" w:rsidRDefault="00973279">
      <w:pPr>
        <w:pStyle w:val="TOCPage"/>
        <w:rPr>
          <w:noProof/>
        </w:rPr>
      </w:pPr>
      <w:r>
        <w:t>Page</w:t>
      </w:r>
    </w:p>
    <w:p w:rsidR="00061E9E" w:rsidRDefault="001767E2">
      <w:pPr>
        <w:pStyle w:val="TOC1"/>
        <w:tabs>
          <w:tab w:val="right" w:leader="dot" w:pos="9060"/>
        </w:tabs>
        <w:rPr>
          <w:rFonts w:asciiTheme="minorHAnsi" w:eastAsiaTheme="minorEastAsia" w:hAnsiTheme="minorHAnsi" w:cstheme="minorBidi"/>
          <w:noProof/>
          <w:sz w:val="22"/>
          <w:szCs w:val="22"/>
        </w:rPr>
      </w:pPr>
      <w:r w:rsidRPr="007F79DC">
        <w:rPr>
          <w:b/>
          <w:noProof/>
        </w:rPr>
        <w:fldChar w:fldCharType="begin"/>
      </w:r>
      <w:r w:rsidRPr="007F79DC">
        <w:rPr>
          <w:b/>
          <w:noProof/>
        </w:rPr>
        <w:instrText xml:space="preserve"> TOC \t "PageHeading</w:instrText>
      </w:r>
      <w:r w:rsidR="007F79DC" w:rsidRPr="007F79DC">
        <w:rPr>
          <w:b/>
          <w:noProof/>
        </w:rPr>
        <w:instrText>;</w:instrText>
      </w:r>
      <w:r w:rsidRPr="007F79DC">
        <w:rPr>
          <w:b/>
          <w:noProof/>
        </w:rPr>
        <w:instrText xml:space="preserve">1" </w:instrText>
      </w:r>
      <w:r w:rsidRPr="007F79DC">
        <w:rPr>
          <w:b/>
          <w:noProof/>
        </w:rPr>
        <w:fldChar w:fldCharType="separate"/>
      </w:r>
      <w:r>
        <w:rPr>
          <w:rFonts w:asciiTheme="minorHAnsi" w:eastAsiaTheme="minorEastAsia" w:hAnsiTheme="minorHAnsi" w:cstheme="minorBidi"/>
          <w:noProof/>
          <w:sz w:val="22"/>
          <w:szCs w:val="22"/>
        </w:rPr>
        <w:t>TOC</w:t>
      </w:r>
      <w:r w:rsidRPr="007F79DC">
        <w:rPr>
          <w:b/>
          <w:noProof/>
        </w:rPr>
        <w:fldChar w:fldCharType="end"/>
      </w:r>
    </w:p>
    <w:p w:rsidR="002346B0" w:rsidRPr="007F79DC" w:rsidRDefault="002346B0" w:rsidP="002346B0">
      <w:pPr>
        <w:rPr>
          <w:noProof/>
        </w:rPr>
      </w:pPr>
    </w:p>
    <w:p w:rsidR="002346B0" w:rsidRPr="007F79DC" w:rsidRDefault="002346B0">
      <w:pPr>
        <w:pStyle w:val="PageHeading"/>
        <w:rPr>
          <w:noProof/>
        </w:rPr>
      </w:pPr>
    </w:p>
    <w:p w:rsidR="00793EA9" w:rsidRPr="007F79DC" w:rsidRDefault="00793EA9">
      <w:pPr>
        <w:pStyle w:val="PageHeading"/>
        <w:rPr>
          <w:noProof/>
        </w:rPr>
      </w:pPr>
      <w:r>
        <w:br w:type="page"/>
      </w:r>
      <w:r>
        <w:lastRenderedPageBreak/>
        <w:br w:type="page"/>
      </w:r>
      <w:bookmarkStart w:id="2" w:name="_Toc467491975"/>
      <w:r>
        <w:t>PROJET DE RÉSOLUTION LÉGISLATIVE DU PARLEMENT EUROPÉEN</w:t>
      </w:r>
      <w:bookmarkEnd w:id="2"/>
    </w:p>
    <w:p w:rsidR="007F79DC" w:rsidRPr="007F79DC" w:rsidRDefault="007F79DC" w:rsidP="007F79DC">
      <w:pPr>
        <w:pStyle w:val="NormalBold"/>
        <w:rPr>
          <w:noProof/>
        </w:rPr>
      </w:pPr>
      <w:r>
        <w:t>sur la proposition de décision du Parlement européen et du Conseil relative à une Année européenne du patrimoine culturel</w:t>
      </w:r>
    </w:p>
    <w:p w:rsidR="00793EA9" w:rsidRPr="007F79DC" w:rsidRDefault="007F79DC" w:rsidP="007F79DC">
      <w:pPr>
        <w:pStyle w:val="Normal12Bold"/>
        <w:rPr>
          <w:noProof/>
        </w:rPr>
      </w:pPr>
      <w:r>
        <w:t>(COM(2016)0543 – C8-0352/2016 – 2016/0543(COD))</w:t>
      </w:r>
    </w:p>
    <w:p w:rsidR="00793EA9" w:rsidRPr="007F79DC" w:rsidRDefault="00973279">
      <w:pPr>
        <w:pStyle w:val="Normal12Bold"/>
        <w:rPr>
          <w:noProof/>
        </w:rPr>
      </w:pPr>
      <w:r>
        <w:t>(Procédure législative ordinaire: première lecture)</w:t>
      </w:r>
    </w:p>
    <w:p w:rsidR="007F79DC" w:rsidRPr="007F79DC" w:rsidRDefault="00973279" w:rsidP="007F79DC">
      <w:pPr>
        <w:pStyle w:val="Normal12"/>
        <w:rPr>
          <w:noProof/>
        </w:rPr>
      </w:pPr>
      <w:r>
        <w:rPr>
          <w:i/>
          <w:noProof/>
        </w:rPr>
        <w:t>Le Parlement européen</w:t>
      </w:r>
      <w:r>
        <w:t>,</w:t>
      </w:r>
    </w:p>
    <w:p w:rsidR="007F79DC" w:rsidRPr="007F79DC" w:rsidRDefault="007F79DC" w:rsidP="007F79DC">
      <w:pPr>
        <w:pStyle w:val="Normal12Hanging"/>
        <w:rPr>
          <w:noProof/>
        </w:rPr>
      </w:pPr>
      <w:r>
        <w:t>–</w:t>
      </w:r>
      <w:r>
        <w:tab/>
        <w:t>vu la proposition de la Commission au Parlement européen et au Conseil (COM(2016)0543),</w:t>
      </w:r>
    </w:p>
    <w:p w:rsidR="007F79DC" w:rsidRPr="007F79DC" w:rsidRDefault="007F79DC" w:rsidP="007F79DC">
      <w:pPr>
        <w:pStyle w:val="Normal12Hanging"/>
        <w:rPr>
          <w:noProof/>
        </w:rPr>
      </w:pPr>
      <w:r>
        <w:t>–</w:t>
      </w:r>
      <w:r>
        <w:tab/>
        <w:t>vu l’article 294, paragraphe 2, et l’article 167 du traité sur le fonctionnement de l’Union européenne, conformément auxquels la proposition lui a été présentée par la Commission (C8-0352/2016),</w:t>
      </w:r>
    </w:p>
    <w:p w:rsidR="007F79DC" w:rsidRPr="007F79DC" w:rsidRDefault="007F79DC" w:rsidP="007F79DC">
      <w:pPr>
        <w:pStyle w:val="Normal12Hanging"/>
        <w:rPr>
          <w:noProof/>
        </w:rPr>
      </w:pPr>
      <w:r>
        <w:t xml:space="preserve">– </w:t>
      </w:r>
      <w:r>
        <w:tab/>
        <w:t>vu l’article 294, paragraphe 3, du traité sur le fonctionnement de l’Union européenne,</w:t>
      </w:r>
    </w:p>
    <w:p w:rsidR="007F79DC" w:rsidRPr="007F79DC" w:rsidRDefault="007F79DC" w:rsidP="007F79DC">
      <w:pPr>
        <w:pStyle w:val="Normal12Hanging"/>
        <w:rPr>
          <w:noProof/>
        </w:rPr>
      </w:pPr>
      <w:r>
        <w:t>–</w:t>
      </w:r>
      <w:r>
        <w:tab/>
        <w:t>vu l’avis du Comité des régions du 12 octobre 2016</w:t>
      </w:r>
      <w:r>
        <w:rPr>
          <w:rStyle w:val="FootnoteReference"/>
          <w:noProof/>
        </w:rPr>
        <w:footnoteReference w:id="1"/>
      </w:r>
      <w:r>
        <w:t>,</w:t>
      </w:r>
    </w:p>
    <w:p w:rsidR="007F79DC" w:rsidRPr="007F79DC" w:rsidRDefault="007F79DC" w:rsidP="007F79DC">
      <w:pPr>
        <w:pStyle w:val="Normal12Hanging"/>
        <w:rPr>
          <w:noProof/>
        </w:rPr>
      </w:pPr>
      <w:r>
        <w:t>–</w:t>
      </w:r>
      <w:r>
        <w:tab/>
        <w:t>vu la lettre de la commission du développement régional,</w:t>
      </w:r>
    </w:p>
    <w:p w:rsidR="007F79DC" w:rsidRPr="007F79DC" w:rsidRDefault="007F79DC" w:rsidP="007F79DC">
      <w:pPr>
        <w:pStyle w:val="Normal12Hanging"/>
        <w:rPr>
          <w:noProof/>
        </w:rPr>
      </w:pPr>
      <w:r>
        <w:t>–</w:t>
      </w:r>
      <w:r>
        <w:tab/>
        <w:t xml:space="preserve">vu l’article 59 et l’article 50, paragraphe 2, de son règlement, </w:t>
      </w:r>
    </w:p>
    <w:p w:rsidR="007F79DC" w:rsidRPr="007F79DC" w:rsidRDefault="007F79DC" w:rsidP="007F79DC">
      <w:pPr>
        <w:pStyle w:val="Normal12Hanging"/>
        <w:rPr>
          <w:noProof/>
        </w:rPr>
      </w:pPr>
      <w:r>
        <w:t>–</w:t>
      </w:r>
      <w:r>
        <w:tab/>
        <w:t>vu le rapport de la commission de la culture et de l’éducation et l’avis de la commission des budgets (A8-0340/2016),</w:t>
      </w:r>
    </w:p>
    <w:p w:rsidR="007F79DC" w:rsidRPr="007F79DC" w:rsidRDefault="007F79DC" w:rsidP="007F79DC">
      <w:pPr>
        <w:pStyle w:val="Normal12Hanging"/>
        <w:rPr>
          <w:noProof/>
        </w:rPr>
      </w:pPr>
      <w:r>
        <w:t>1.</w:t>
      </w:r>
      <w:r>
        <w:tab/>
        <w:t>arrête la position en première lecture figurant ci-après;</w:t>
      </w:r>
    </w:p>
    <w:p w:rsidR="007F79DC" w:rsidRPr="007F79DC" w:rsidRDefault="007F79DC" w:rsidP="007F79DC">
      <w:pPr>
        <w:pStyle w:val="Normal12Hanging"/>
        <w:rPr>
          <w:noProof/>
        </w:rPr>
      </w:pPr>
      <w:r>
        <w:t>2.</w:t>
      </w:r>
      <w:r>
        <w:tab/>
        <w:t>demande à la Commission de le saisir à nouveau, si elle entend modifier de manière substantielle sa proposition ou la remplacer par un autre texte;</w:t>
      </w:r>
    </w:p>
    <w:p w:rsidR="007F79DC" w:rsidRPr="007F79DC" w:rsidRDefault="007F79DC" w:rsidP="007F79DC">
      <w:pPr>
        <w:pStyle w:val="Normal12Hanging"/>
        <w:rPr>
          <w:noProof/>
        </w:rPr>
      </w:pPr>
      <w:r>
        <w:t>3.</w:t>
      </w:r>
      <w:r>
        <w:tab/>
        <w:t>charge son Président de transmettre la position du Parlement au Conseil et à la Commission ainsi qu'aux parlements nationaux.</w:t>
      </w:r>
    </w:p>
    <w:p w:rsidR="007F79DC" w:rsidRPr="007F79DC" w:rsidRDefault="007F79DC" w:rsidP="007F79DC">
      <w:pPr>
        <w:pStyle w:val="Normal12Hanging"/>
        <w:rPr>
          <w:noProof/>
          <w:szCs w:val="24"/>
        </w:rPr>
      </w:pPr>
    </w:p>
    <w:p w:rsidR="007F79DC" w:rsidRPr="007F79DC" w:rsidRDefault="007F79DC" w:rsidP="007F79DC">
      <w:pPr>
        <w:pStyle w:val="AMNumberTabs"/>
        <w:keepNext/>
        <w:rPr>
          <w:noProof/>
        </w:rPr>
      </w:pPr>
      <w:r>
        <w:rPr>
          <w:rStyle w:val="HideTWBExt"/>
          <w:b w:val="0"/>
        </w:rPr>
        <w:t>&lt;RepeatBlock-Amend&gt;&lt;Amend&gt;</w:t>
      </w:r>
      <w:r>
        <w:rPr>
          <w:noProof/>
          <w:color w:val="0000F0"/>
        </w:rPr>
        <w:t>Amendement</w:t>
      </w:r>
      <w:r>
        <w:tab/>
      </w:r>
      <w:r>
        <w:tab/>
      </w:r>
      <w:r>
        <w:rPr>
          <w:rStyle w:val="HideTWBExt"/>
          <w:b w:val="0"/>
        </w:rPr>
        <w:t>&lt;NumAm&gt;</w:t>
      </w:r>
      <w:r>
        <w:rPr>
          <w:noProof/>
          <w:color w:val="0000F0"/>
        </w:rPr>
        <w:t>1</w:t>
      </w:r>
      <w:r>
        <w:rPr>
          <w:rStyle w:val="HideTWBExt"/>
          <w:b w:val="0"/>
        </w:rPr>
        <w:t>&lt;/NumAm&gt;</w:t>
      </w:r>
    </w:p>
    <w:p w:rsidR="007F79DC" w:rsidRPr="007F79DC" w:rsidRDefault="007F79DC" w:rsidP="007F79DC">
      <w:pPr>
        <w:pStyle w:val="NormalBold12b"/>
        <w:keepNext/>
        <w:rPr>
          <w:noProof/>
        </w:rPr>
      </w:pPr>
      <w:r>
        <w:rPr>
          <w:rStyle w:val="HideTWBExt"/>
          <w:b w:val="0"/>
        </w:rPr>
        <w:t>&lt;DocAmend&gt;</w:t>
      </w:r>
      <w:r>
        <w:rPr>
          <w:noProof/>
          <w:color w:val="0000F0"/>
        </w:rPr>
        <w:t>Proposition de décision</w:t>
      </w:r>
      <w:r>
        <w:rPr>
          <w:rStyle w:val="HideTWBExt"/>
          <w:b w:val="0"/>
        </w:rPr>
        <w:t>&lt;/DocAmend&gt;</w:t>
      </w:r>
    </w:p>
    <w:p w:rsidR="007F79DC" w:rsidRPr="007F79DC" w:rsidRDefault="007F79DC" w:rsidP="007F79DC">
      <w:pPr>
        <w:pStyle w:val="NormalBold"/>
        <w:rPr>
          <w:noProof/>
        </w:rPr>
      </w:pPr>
      <w:r>
        <w:rPr>
          <w:rStyle w:val="HideTWBExt"/>
          <w:b w:val="0"/>
        </w:rPr>
        <w:t>&lt;Article&gt;</w:t>
      </w:r>
      <w:r>
        <w:rPr>
          <w:noProof/>
          <w:color w:val="0000EB"/>
        </w:rPr>
        <w:t>Visa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79DC" w:rsidRPr="007F79DC" w:rsidTr="007B553E">
        <w:trPr>
          <w:jc w:val="center"/>
        </w:trPr>
        <w:tc>
          <w:tcPr>
            <w:tcW w:w="9752" w:type="dxa"/>
            <w:gridSpan w:val="2"/>
          </w:tcPr>
          <w:p w:rsidR="007F79DC" w:rsidRPr="007F79DC" w:rsidRDefault="007F79DC" w:rsidP="007B553E">
            <w:pPr>
              <w:keepNext/>
              <w:rPr>
                <w:noProof/>
              </w:rPr>
            </w:pPr>
          </w:p>
        </w:tc>
      </w:tr>
      <w:tr w:rsidR="007F79DC" w:rsidRPr="00126821" w:rsidTr="007B553E">
        <w:trPr>
          <w:jc w:val="center"/>
        </w:trPr>
        <w:tc>
          <w:tcPr>
            <w:tcW w:w="4876" w:type="dxa"/>
            <w:hideMark/>
          </w:tcPr>
          <w:p w:rsidR="007F79DC" w:rsidRPr="00651CD9" w:rsidRDefault="007F79DC" w:rsidP="007B553E">
            <w:pPr>
              <w:pStyle w:val="ColumnHeading"/>
              <w:keepNext/>
              <w:rPr>
                <w:noProof/>
                <w:color w:val="0000FA"/>
              </w:rPr>
            </w:pPr>
            <w:r>
              <w:rPr>
                <w:noProof/>
                <w:color w:val="0000FA"/>
              </w:rPr>
              <w:t>Texte proposé par la Commission</w:t>
            </w:r>
          </w:p>
        </w:tc>
        <w:tc>
          <w:tcPr>
            <w:tcW w:w="4876" w:type="dxa"/>
            <w:hideMark/>
          </w:tcPr>
          <w:p w:rsidR="007F79DC" w:rsidRPr="00651CD9" w:rsidRDefault="007F79DC" w:rsidP="007B553E">
            <w:pPr>
              <w:pStyle w:val="ColumnHeading"/>
              <w:keepNext/>
              <w:rPr>
                <w:noProof/>
                <w:color w:val="0000F5"/>
              </w:rPr>
            </w:pPr>
            <w:r>
              <w:rPr>
                <w:noProof/>
                <w:color w:val="0000F5"/>
              </w:rPr>
              <w:t>Amendement</w:t>
            </w:r>
          </w:p>
        </w:tc>
      </w:tr>
      <w:tr w:rsidR="007F79DC" w:rsidRPr="007F79DC" w:rsidTr="007B553E">
        <w:trPr>
          <w:jc w:val="center"/>
        </w:trPr>
        <w:tc>
          <w:tcPr>
            <w:tcW w:w="4876" w:type="dxa"/>
            <w:hideMark/>
          </w:tcPr>
          <w:p w:rsidR="007F79DC" w:rsidRPr="00651CD9" w:rsidRDefault="007F79DC" w:rsidP="007B553E">
            <w:pPr>
              <w:pStyle w:val="Normal6"/>
              <w:rPr>
                <w:noProof/>
                <w:color w:val="0000FA"/>
              </w:rPr>
            </w:pPr>
            <w:r>
              <w:rPr>
                <w:noProof/>
                <w:color w:val="0000FA"/>
              </w:rPr>
              <w:t xml:space="preserve">vu </w:t>
            </w:r>
            <w:r>
              <w:rPr>
                <w:b/>
                <w:i/>
                <w:noProof/>
                <w:color w:val="0000FA"/>
              </w:rPr>
              <w:t>l’avis</w:t>
            </w:r>
            <w:r>
              <w:rPr>
                <w:noProof/>
                <w:color w:val="0000FA"/>
              </w:rPr>
              <w:t xml:space="preserve"> du Comité des régions</w:t>
            </w:r>
            <w:r>
              <w:rPr>
                <w:noProof/>
                <w:color w:val="0000FA"/>
                <w:vertAlign w:val="superscript"/>
              </w:rPr>
              <w:t>16</w:t>
            </w:r>
            <w:r>
              <w:rPr>
                <w:noProof/>
                <w:color w:val="0000FA"/>
              </w:rPr>
              <w:t>,</w:t>
            </w:r>
          </w:p>
        </w:tc>
        <w:tc>
          <w:tcPr>
            <w:tcW w:w="4876" w:type="dxa"/>
            <w:hideMark/>
          </w:tcPr>
          <w:p w:rsidR="007F79DC" w:rsidRPr="00651CD9" w:rsidRDefault="007F79DC" w:rsidP="007B553E">
            <w:pPr>
              <w:pStyle w:val="Normal6"/>
              <w:rPr>
                <w:noProof/>
                <w:color w:val="000005"/>
                <w:szCs w:val="24"/>
              </w:rPr>
            </w:pPr>
            <w:r>
              <w:rPr>
                <w:noProof/>
                <w:color w:val="000005"/>
              </w:rPr>
              <w:t xml:space="preserve">vu </w:t>
            </w:r>
            <w:r>
              <w:rPr>
                <w:b/>
                <w:i/>
                <w:noProof/>
                <w:color w:val="000005"/>
              </w:rPr>
              <w:t>la résolution</w:t>
            </w:r>
            <w:r>
              <w:rPr>
                <w:noProof/>
                <w:color w:val="000005"/>
              </w:rPr>
              <w:t xml:space="preserve"> du Comité des régions</w:t>
            </w:r>
            <w:r>
              <w:rPr>
                <w:noProof/>
                <w:color w:val="000005"/>
                <w:vertAlign w:val="superscript"/>
              </w:rPr>
              <w:t>16</w:t>
            </w:r>
            <w:r>
              <w:rPr>
                <w:noProof/>
                <w:color w:val="000005"/>
              </w:rPr>
              <w:t>,</w:t>
            </w:r>
          </w:p>
        </w:tc>
      </w:tr>
      <w:tr w:rsidR="007F79DC" w:rsidRPr="00126821" w:rsidTr="007B553E">
        <w:trPr>
          <w:jc w:val="center"/>
        </w:trPr>
        <w:tc>
          <w:tcPr>
            <w:tcW w:w="4876" w:type="dxa"/>
            <w:hideMark/>
          </w:tcPr>
          <w:p w:rsidR="007F79DC" w:rsidRPr="00651CD9" w:rsidRDefault="007F79DC" w:rsidP="007B553E">
            <w:pPr>
              <w:pStyle w:val="Normal6"/>
              <w:rPr>
                <w:noProof/>
                <w:color w:val="0000FA"/>
              </w:rPr>
            </w:pPr>
            <w:r>
              <w:rPr>
                <w:noProof/>
                <w:color w:val="0000FA"/>
              </w:rPr>
              <w:t>__________________</w:t>
            </w:r>
          </w:p>
        </w:tc>
        <w:tc>
          <w:tcPr>
            <w:tcW w:w="4876" w:type="dxa"/>
            <w:hideMark/>
          </w:tcPr>
          <w:p w:rsidR="007F79DC" w:rsidRPr="00651CD9" w:rsidRDefault="007F79DC" w:rsidP="007B553E">
            <w:pPr>
              <w:pStyle w:val="Normal6"/>
              <w:rPr>
                <w:noProof/>
                <w:color w:val="000005"/>
                <w:szCs w:val="24"/>
              </w:rPr>
            </w:pPr>
            <w:r>
              <w:rPr>
                <w:noProof/>
                <w:color w:val="000005"/>
              </w:rPr>
              <w:t>__________________</w:t>
            </w:r>
          </w:p>
        </w:tc>
      </w:tr>
      <w:tr w:rsidR="007F79DC" w:rsidRPr="00126821" w:rsidTr="007B553E">
        <w:trPr>
          <w:jc w:val="center"/>
        </w:trPr>
        <w:tc>
          <w:tcPr>
            <w:tcW w:w="4876" w:type="dxa"/>
            <w:hideMark/>
          </w:tcPr>
          <w:p w:rsidR="007F79DC" w:rsidRPr="00651CD9" w:rsidRDefault="007F79DC" w:rsidP="007B553E">
            <w:pPr>
              <w:pStyle w:val="Normal6"/>
              <w:rPr>
                <w:noProof/>
                <w:color w:val="0000FA"/>
              </w:rPr>
            </w:pPr>
            <w:r>
              <w:rPr>
                <w:noProof/>
                <w:color w:val="0000FA"/>
                <w:vertAlign w:val="superscript"/>
              </w:rPr>
              <w:t>16</w:t>
            </w:r>
            <w:r>
              <w:rPr>
                <w:noProof/>
                <w:color w:val="0000FA"/>
              </w:rPr>
              <w:t xml:space="preserve"> JO C , , p. .</w:t>
            </w:r>
          </w:p>
        </w:tc>
        <w:tc>
          <w:tcPr>
            <w:tcW w:w="4876" w:type="dxa"/>
            <w:hideMark/>
          </w:tcPr>
          <w:p w:rsidR="007F79DC" w:rsidRPr="00651CD9" w:rsidRDefault="007F79DC" w:rsidP="007B553E">
            <w:pPr>
              <w:pStyle w:val="Normal6"/>
              <w:rPr>
                <w:noProof/>
                <w:color w:val="000005"/>
                <w:szCs w:val="24"/>
              </w:rPr>
            </w:pPr>
            <w:r>
              <w:rPr>
                <w:noProof/>
                <w:color w:val="000005"/>
                <w:vertAlign w:val="superscript"/>
              </w:rPr>
              <w:t>16</w:t>
            </w:r>
            <w:r>
              <w:rPr>
                <w:noProof/>
                <w:color w:val="000005"/>
              </w:rPr>
              <w:t xml:space="preserve"> JO C , , p. .</w:t>
            </w:r>
          </w:p>
        </w:tc>
      </w:tr>
    </w:tbl>
    <w:p w:rsidR="007F79DC" w:rsidRPr="00126821" w:rsidRDefault="007F79DC" w:rsidP="007F79DC">
      <w:pPr>
        <w:rPr>
          <w:noProof/>
          <w:szCs w:val="24"/>
        </w:rPr>
      </w:pPr>
      <w:r>
        <w:rPr>
          <w:rStyle w:val="HideTWBExt"/>
        </w:rPr>
        <w:t>&lt;/Amend&gt;</w:t>
      </w:r>
    </w:p>
    <w:p w:rsidR="007F79DC" w:rsidRPr="00126821" w:rsidRDefault="007F79DC" w:rsidP="007F79DC">
      <w:pPr>
        <w:pStyle w:val="AMNumberTabs"/>
        <w:keepNext/>
        <w:rPr>
          <w:noProof/>
        </w:rPr>
      </w:pPr>
      <w:r>
        <w:rPr>
          <w:rStyle w:val="HideTWBExt"/>
          <w:b w:val="0"/>
        </w:rPr>
        <w:t>&lt;Amend&gt;</w:t>
      </w:r>
      <w:r>
        <w:rPr>
          <w:noProof/>
          <w:color w:val="0000F0"/>
        </w:rPr>
        <w:t>Amendement</w:t>
      </w:r>
      <w:r>
        <w:tab/>
      </w:r>
      <w:r>
        <w:tab/>
      </w:r>
      <w:r>
        <w:rPr>
          <w:rStyle w:val="HideTWBExt"/>
          <w:b w:val="0"/>
        </w:rPr>
        <w:t>&lt;NumAm&gt;</w:t>
      </w:r>
      <w:r>
        <w:rPr>
          <w:noProof/>
          <w:color w:val="0000F0"/>
        </w:rPr>
        <w:t>2</w:t>
      </w:r>
      <w:r>
        <w:rPr>
          <w:rStyle w:val="HideTWBExt"/>
          <w:b w:val="0"/>
        </w:rPr>
        <w:t>&lt;/NumAm&gt;</w:t>
      </w:r>
    </w:p>
    <w:p w:rsidR="007F79DC" w:rsidRPr="00126821" w:rsidRDefault="007F79DC" w:rsidP="007F79DC">
      <w:pPr>
        <w:pStyle w:val="NormalBold12b"/>
        <w:keepNext/>
        <w:rPr>
          <w:noProof/>
        </w:rPr>
      </w:pPr>
      <w:r>
        <w:rPr>
          <w:rStyle w:val="HideTWBExt"/>
          <w:b w:val="0"/>
        </w:rPr>
        <w:t>&lt;DocAmend&gt;</w:t>
      </w:r>
      <w:r>
        <w:rPr>
          <w:noProof/>
          <w:color w:val="0000F0"/>
        </w:rPr>
        <w:t>Proposition de décision</w:t>
      </w:r>
      <w:r>
        <w:rPr>
          <w:rStyle w:val="HideTWBExt"/>
          <w:b w:val="0"/>
        </w:rPr>
        <w:t>&lt;/DocAmend&gt;</w:t>
      </w:r>
    </w:p>
    <w:p w:rsidR="007F79DC" w:rsidRPr="00126821" w:rsidRDefault="007F79DC" w:rsidP="007F79DC">
      <w:pPr>
        <w:pStyle w:val="NormalBold"/>
        <w:rPr>
          <w:noProof/>
        </w:rPr>
      </w:pPr>
      <w:r>
        <w:rPr>
          <w:rStyle w:val="HideTWBExt"/>
          <w:b w:val="0"/>
        </w:rPr>
        <w:t>&lt;Article&gt;</w:t>
      </w:r>
      <w:r>
        <w:rPr>
          <w:noProof/>
          <w:color w:val="0000EB"/>
        </w:rPr>
        <w:t>Considérant 11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79DC" w:rsidRPr="00126821" w:rsidTr="007B553E">
        <w:trPr>
          <w:jc w:val="center"/>
        </w:trPr>
        <w:tc>
          <w:tcPr>
            <w:tcW w:w="9752" w:type="dxa"/>
            <w:gridSpan w:val="2"/>
          </w:tcPr>
          <w:p w:rsidR="007F79DC" w:rsidRPr="00126821" w:rsidRDefault="007F79DC" w:rsidP="007B553E">
            <w:pPr>
              <w:keepNext/>
              <w:rPr>
                <w:noProof/>
              </w:rPr>
            </w:pPr>
          </w:p>
        </w:tc>
      </w:tr>
      <w:tr w:rsidR="007F79DC" w:rsidRPr="00126821" w:rsidTr="007B553E">
        <w:trPr>
          <w:jc w:val="center"/>
        </w:trPr>
        <w:tc>
          <w:tcPr>
            <w:tcW w:w="4876" w:type="dxa"/>
            <w:hideMark/>
          </w:tcPr>
          <w:p w:rsidR="007F79DC" w:rsidRPr="00651CD9" w:rsidRDefault="007F79DC" w:rsidP="007B553E">
            <w:pPr>
              <w:pStyle w:val="ColumnHeading"/>
              <w:keepNext/>
              <w:rPr>
                <w:noProof/>
                <w:color w:val="0000FA"/>
              </w:rPr>
            </w:pPr>
            <w:r>
              <w:rPr>
                <w:noProof/>
                <w:color w:val="0000FA"/>
              </w:rPr>
              <w:t>Texte proposé par la Commission</w:t>
            </w:r>
          </w:p>
        </w:tc>
        <w:tc>
          <w:tcPr>
            <w:tcW w:w="4876" w:type="dxa"/>
            <w:hideMark/>
          </w:tcPr>
          <w:p w:rsidR="007F79DC" w:rsidRPr="00651CD9" w:rsidRDefault="007F79DC" w:rsidP="007B553E">
            <w:pPr>
              <w:pStyle w:val="ColumnHeading"/>
              <w:keepNext/>
              <w:rPr>
                <w:noProof/>
                <w:color w:val="0000F5"/>
              </w:rPr>
            </w:pPr>
            <w:r>
              <w:rPr>
                <w:noProof/>
                <w:color w:val="0000F5"/>
              </w:rPr>
              <w:t>Amendement</w:t>
            </w:r>
          </w:p>
        </w:tc>
      </w:tr>
      <w:tr w:rsidR="007F79DC" w:rsidRPr="007F79DC" w:rsidTr="007B553E">
        <w:trPr>
          <w:jc w:val="center"/>
        </w:trPr>
        <w:tc>
          <w:tcPr>
            <w:tcW w:w="4876" w:type="dxa"/>
            <w:hideMark/>
          </w:tcPr>
          <w:p w:rsidR="007F79DC" w:rsidRPr="00651CD9" w:rsidRDefault="007F79DC" w:rsidP="007B553E">
            <w:pPr>
              <w:pStyle w:val="Normal6"/>
              <w:rPr>
                <w:noProof/>
                <w:color w:val="0000FA"/>
              </w:rPr>
            </w:pPr>
            <w:r>
              <w:rPr>
                <w:noProof/>
                <w:color w:val="0000FA"/>
              </w:rPr>
              <w:t>(11)</w:t>
            </w:r>
            <w:r>
              <w:tab/>
            </w:r>
            <w:r>
              <w:rPr>
                <w:noProof/>
                <w:color w:val="0000FA"/>
              </w:rPr>
              <w:t>Le patrimoine culturel peut jouer un rôle majeur dans la cohésion sociale, à l'heure où la diversité culturelle est en progression dans les sociétés européennes. De nouvelles approches participatives et interculturelles à l'égard des politiques relatives au patrimoine et des initiatives éducatives attribuant une égale dignité à tous les patrimoines culturels sont de nature à renforcer la confiance, la reconnaissance mutuelle et la cohésion sociale.</w:t>
            </w:r>
          </w:p>
        </w:tc>
        <w:tc>
          <w:tcPr>
            <w:tcW w:w="4876" w:type="dxa"/>
            <w:hideMark/>
          </w:tcPr>
          <w:p w:rsidR="007F79DC" w:rsidRPr="00651CD9" w:rsidRDefault="007F79DC" w:rsidP="007B553E">
            <w:pPr>
              <w:pStyle w:val="Normal6"/>
              <w:rPr>
                <w:noProof/>
                <w:color w:val="000005"/>
                <w:szCs w:val="24"/>
              </w:rPr>
            </w:pPr>
            <w:r>
              <w:rPr>
                <w:noProof/>
                <w:color w:val="000005"/>
              </w:rPr>
              <w:t>(11)</w:t>
            </w:r>
            <w:r>
              <w:tab/>
            </w:r>
            <w:r>
              <w:rPr>
                <w:noProof/>
                <w:color w:val="000005"/>
              </w:rPr>
              <w:t xml:space="preserve">Le patrimoine culturel peut jouer un rôle majeur dans la cohésion sociale, à l'heure où la diversité culturelle est en progression dans les sociétés européennes. </w:t>
            </w:r>
            <w:r>
              <w:rPr>
                <w:b/>
                <w:i/>
                <w:noProof/>
                <w:color w:val="000005"/>
              </w:rPr>
              <w:t>Les sites qui ont reçu le label du patrimoine européen revêtent une forte dimension européenne, puisqu’ils ont été sélectionnés pour leur rôle dans l’histoire de l’Europe. Ils symbolisent par conséquent les idéaux et les valeurs de l’Europe, ainsi que son histoire et son intégration, et rapprochent l’Union de ses citoyens. De même que les capitales européennes de la culture, ces sites renforcent le sentiment d’appartenance des citoyens européens à un espace culturel commun. Il importe donc de rechercher des complémentarités avec l'Année européenne du patrimoine culturel.</w:t>
            </w:r>
            <w:r>
              <w:rPr>
                <w:noProof/>
                <w:color w:val="000005"/>
              </w:rPr>
              <w:t xml:space="preserve"> De nouvelles approches participatives et interculturelles à l’égard des politiques relatives au patrimoine et des initiatives éducatives attribuant une égale dignité à tous les patrimoines culturels</w:t>
            </w:r>
            <w:r>
              <w:rPr>
                <w:b/>
                <w:i/>
                <w:noProof/>
                <w:color w:val="000005"/>
              </w:rPr>
              <w:t>, dans le respect de la liberté des arts, comme l’énonce l’article 13 de la charte des droits fondamentaux de l’Union européenne,</w:t>
            </w:r>
            <w:r>
              <w:rPr>
                <w:noProof/>
                <w:color w:val="000005"/>
              </w:rPr>
              <w:t xml:space="preserve"> sont de nature à renforcer la confiance, la reconnaissance mutuelle et la cohésion sociale.</w:t>
            </w:r>
          </w:p>
        </w:tc>
      </w:tr>
    </w:tbl>
    <w:p w:rsidR="007F79DC" w:rsidRPr="007F79DC" w:rsidRDefault="007F79DC" w:rsidP="007F79DC">
      <w:pPr>
        <w:rPr>
          <w:noProof/>
          <w:szCs w:val="24"/>
        </w:rPr>
      </w:pPr>
      <w:r>
        <w:rPr>
          <w:rStyle w:val="HideTWBExt"/>
        </w:rPr>
        <w:t>&lt;/Amend&gt;</w:t>
      </w:r>
    </w:p>
    <w:p w:rsidR="007F79DC" w:rsidRPr="007F79DC" w:rsidRDefault="007F79DC" w:rsidP="007F79DC">
      <w:pPr>
        <w:pStyle w:val="AMNumberTabs"/>
        <w:keepNext/>
        <w:rPr>
          <w:noProof/>
        </w:rPr>
      </w:pPr>
      <w:r>
        <w:rPr>
          <w:rStyle w:val="HideTWBExt"/>
          <w:b w:val="0"/>
        </w:rPr>
        <w:t>&lt;Amend&gt;</w:t>
      </w:r>
      <w:r>
        <w:rPr>
          <w:noProof/>
          <w:color w:val="0000F0"/>
        </w:rPr>
        <w:t>Amendement</w:t>
      </w:r>
      <w:r>
        <w:tab/>
      </w:r>
      <w:r>
        <w:tab/>
      </w:r>
      <w:r>
        <w:rPr>
          <w:rStyle w:val="HideTWBExt"/>
          <w:b w:val="0"/>
        </w:rPr>
        <w:t>&lt;NumAm&gt;</w:t>
      </w:r>
      <w:r>
        <w:rPr>
          <w:noProof/>
          <w:color w:val="0000F0"/>
        </w:rPr>
        <w:t>3</w:t>
      </w:r>
      <w:r>
        <w:rPr>
          <w:rStyle w:val="HideTWBExt"/>
          <w:b w:val="0"/>
        </w:rPr>
        <w:t>&lt;/NumAm&gt;</w:t>
      </w:r>
    </w:p>
    <w:p w:rsidR="007F79DC" w:rsidRPr="007F79DC" w:rsidRDefault="007F79DC" w:rsidP="007F79DC">
      <w:pPr>
        <w:pStyle w:val="NormalBold12b"/>
        <w:keepNext/>
        <w:rPr>
          <w:noProof/>
        </w:rPr>
      </w:pPr>
      <w:r>
        <w:rPr>
          <w:rStyle w:val="HideTWBExt"/>
          <w:b w:val="0"/>
        </w:rPr>
        <w:t>&lt;DocAmend&gt;</w:t>
      </w:r>
      <w:r>
        <w:rPr>
          <w:noProof/>
          <w:color w:val="0000F0"/>
        </w:rPr>
        <w:t>Proposition de décision</w:t>
      </w:r>
      <w:r>
        <w:rPr>
          <w:rStyle w:val="HideTWBExt"/>
          <w:b w:val="0"/>
        </w:rPr>
        <w:t>&lt;/DocAmend&gt;</w:t>
      </w:r>
    </w:p>
    <w:p w:rsidR="007F79DC" w:rsidRPr="00F930C9" w:rsidRDefault="007F79DC" w:rsidP="007F79DC">
      <w:pPr>
        <w:pStyle w:val="NormalBold"/>
        <w:rPr>
          <w:noProof/>
        </w:rPr>
      </w:pPr>
      <w:r>
        <w:rPr>
          <w:rStyle w:val="HideTWBExt"/>
          <w:b w:val="0"/>
        </w:rPr>
        <w:t>&lt;Article&gt;</w:t>
      </w:r>
      <w:r>
        <w:rPr>
          <w:noProof/>
          <w:color w:val="0000EB"/>
        </w:rPr>
        <w:t>Article 2 – paragraphe 1 – partie introductive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79DC" w:rsidRPr="00E0148B" w:rsidTr="007B553E">
        <w:trPr>
          <w:jc w:val="center"/>
        </w:trPr>
        <w:tc>
          <w:tcPr>
            <w:tcW w:w="9752" w:type="dxa"/>
            <w:gridSpan w:val="2"/>
          </w:tcPr>
          <w:p w:rsidR="007F79DC" w:rsidRPr="00F930C9" w:rsidRDefault="007F79DC" w:rsidP="007B553E">
            <w:pPr>
              <w:keepNext/>
              <w:rPr>
                <w:noProof/>
              </w:rPr>
            </w:pPr>
          </w:p>
        </w:tc>
      </w:tr>
      <w:tr w:rsidR="007F79DC" w:rsidRPr="00126821" w:rsidTr="007B553E">
        <w:trPr>
          <w:jc w:val="center"/>
        </w:trPr>
        <w:tc>
          <w:tcPr>
            <w:tcW w:w="4876" w:type="dxa"/>
            <w:hideMark/>
          </w:tcPr>
          <w:p w:rsidR="007F79DC" w:rsidRPr="00651CD9" w:rsidRDefault="007F79DC" w:rsidP="007B553E">
            <w:pPr>
              <w:pStyle w:val="ColumnHeading"/>
              <w:keepNext/>
              <w:rPr>
                <w:noProof/>
                <w:color w:val="0000FA"/>
              </w:rPr>
            </w:pPr>
            <w:r>
              <w:rPr>
                <w:noProof/>
                <w:color w:val="0000FA"/>
              </w:rPr>
              <w:t>Texte proposé par la Commission</w:t>
            </w:r>
          </w:p>
        </w:tc>
        <w:tc>
          <w:tcPr>
            <w:tcW w:w="4876" w:type="dxa"/>
            <w:hideMark/>
          </w:tcPr>
          <w:p w:rsidR="007F79DC" w:rsidRPr="00651CD9" w:rsidRDefault="007F79DC" w:rsidP="007B553E">
            <w:pPr>
              <w:pStyle w:val="ColumnHeading"/>
              <w:keepNext/>
              <w:rPr>
                <w:noProof/>
                <w:color w:val="0000F5"/>
              </w:rPr>
            </w:pPr>
            <w:r>
              <w:rPr>
                <w:noProof/>
                <w:color w:val="0000F5"/>
              </w:rPr>
              <w:t>Amendement</w:t>
            </w:r>
          </w:p>
        </w:tc>
      </w:tr>
      <w:tr w:rsidR="007F79DC" w:rsidRPr="00126821" w:rsidTr="007B553E">
        <w:trPr>
          <w:jc w:val="center"/>
        </w:trPr>
        <w:tc>
          <w:tcPr>
            <w:tcW w:w="4876" w:type="dxa"/>
            <w:hideMark/>
          </w:tcPr>
          <w:p w:rsidR="007F79DC" w:rsidRPr="00651CD9" w:rsidRDefault="007F79DC" w:rsidP="007B553E">
            <w:pPr>
              <w:pStyle w:val="Normal6"/>
              <w:rPr>
                <w:noProof/>
                <w:color w:val="0000FA"/>
              </w:rPr>
            </w:pPr>
            <w:r>
              <w:rPr>
                <w:noProof/>
                <w:color w:val="0000FA"/>
              </w:rPr>
              <w:t>1.</w:t>
            </w:r>
            <w:r>
              <w:tab/>
            </w:r>
            <w:r>
              <w:rPr>
                <w:noProof/>
                <w:color w:val="0000FA"/>
              </w:rPr>
              <w:t>Conformément aux objectifs de l'agenda européen de la culture, les objectifs généraux de l'Année européenne consistent à encourager et à soutenir - notamment par l'échange d'expériences et de bonnes pratiques - les efforts que fournissent l'Union, les États membres, les autorités régionales et locales afin de protéger, de sauvegarder, de réutiliser, de développer, de valoriser et de promouvoir le patrimoine culturel européen au sein de l'Union européenne (UE). En particulier:</w:t>
            </w:r>
          </w:p>
        </w:tc>
        <w:tc>
          <w:tcPr>
            <w:tcW w:w="4876" w:type="dxa"/>
            <w:hideMark/>
          </w:tcPr>
          <w:p w:rsidR="007F79DC" w:rsidRPr="00651CD9" w:rsidRDefault="007F79DC" w:rsidP="007B553E">
            <w:pPr>
              <w:pStyle w:val="Normal6"/>
              <w:rPr>
                <w:noProof/>
                <w:color w:val="000005"/>
                <w:szCs w:val="24"/>
              </w:rPr>
            </w:pPr>
            <w:r>
              <w:rPr>
                <w:noProof/>
                <w:color w:val="000005"/>
              </w:rPr>
              <w:t>1.</w:t>
            </w:r>
            <w:r>
              <w:tab/>
            </w:r>
            <w:r>
              <w:rPr>
                <w:b/>
                <w:i/>
                <w:noProof/>
                <w:color w:val="000005"/>
              </w:rPr>
              <w:t>L’objectif principal de l’Année européenne est de mettre en valeur le patrimoine culturel européen, qui est une richesse partagée qui s’est forgée au fil d’une histoire séculaire et des interactions entre les États membres et les peuples européens.</w:t>
            </w:r>
            <w:r>
              <w:rPr>
                <w:noProof/>
                <w:color w:val="000005"/>
              </w:rPr>
              <w:t xml:space="preserve"> Conformément aux objectifs de l’agenda européen de la culture, les</w:t>
            </w:r>
            <w:r>
              <w:rPr>
                <w:b/>
                <w:i/>
                <w:noProof/>
                <w:color w:val="000005"/>
              </w:rPr>
              <w:t xml:space="preserve"> autres</w:t>
            </w:r>
            <w:r>
              <w:rPr>
                <w:noProof/>
                <w:color w:val="000005"/>
              </w:rPr>
              <w:t xml:space="preserve"> objectifs généraux de l’Année européenne consistent à encourager et à soutenir – notamment par l’échange d’expériences et de bonnes pratiques – les efforts que fournissent l’Union, les États membres, les autorités régionales et locales afin de protéger, de sauvegarder, de réutiliser, de développer, de valoriser et de promouvoir le patrimoine culturel européen au sein de l’Union européenne (UE). En particulier:</w:t>
            </w:r>
          </w:p>
        </w:tc>
      </w:tr>
    </w:tbl>
    <w:p w:rsidR="007F79DC" w:rsidRPr="00126821" w:rsidRDefault="007F79DC" w:rsidP="007F79DC">
      <w:pPr>
        <w:rPr>
          <w:noProof/>
          <w:szCs w:val="24"/>
        </w:rPr>
      </w:pPr>
      <w:r>
        <w:rPr>
          <w:rStyle w:val="HideTWBExt"/>
        </w:rPr>
        <w:t>&lt;/Amend&gt;</w:t>
      </w:r>
    </w:p>
    <w:p w:rsidR="007F79DC" w:rsidRPr="00126821" w:rsidRDefault="007F79DC" w:rsidP="007F79DC">
      <w:pPr>
        <w:pStyle w:val="AMNumberTabs"/>
        <w:keepNext/>
        <w:rPr>
          <w:noProof/>
        </w:rPr>
      </w:pPr>
      <w:r>
        <w:rPr>
          <w:rStyle w:val="HideTWBExt"/>
          <w:b w:val="0"/>
        </w:rPr>
        <w:t>&lt;Amend&gt;</w:t>
      </w:r>
      <w:r>
        <w:rPr>
          <w:noProof/>
          <w:color w:val="0000F0"/>
        </w:rPr>
        <w:t>Amendement</w:t>
      </w:r>
      <w:r>
        <w:tab/>
      </w:r>
      <w:r>
        <w:tab/>
      </w:r>
      <w:r>
        <w:rPr>
          <w:rStyle w:val="HideTWBExt"/>
          <w:b w:val="0"/>
        </w:rPr>
        <w:t>&lt;NumAm&gt;</w:t>
      </w:r>
      <w:r>
        <w:rPr>
          <w:noProof/>
          <w:color w:val="0000F0"/>
        </w:rPr>
        <w:t>4</w:t>
      </w:r>
      <w:r>
        <w:rPr>
          <w:rStyle w:val="HideTWBExt"/>
          <w:b w:val="0"/>
        </w:rPr>
        <w:t>&lt;/NumAm&gt;</w:t>
      </w:r>
    </w:p>
    <w:p w:rsidR="007F79DC" w:rsidRPr="00126821" w:rsidRDefault="007F79DC" w:rsidP="007F79DC">
      <w:pPr>
        <w:pStyle w:val="NormalBold12b"/>
        <w:keepNext/>
        <w:rPr>
          <w:noProof/>
        </w:rPr>
      </w:pPr>
      <w:r>
        <w:rPr>
          <w:rStyle w:val="HideTWBExt"/>
          <w:b w:val="0"/>
        </w:rPr>
        <w:t>&lt;DocAmend&gt;</w:t>
      </w:r>
      <w:r>
        <w:rPr>
          <w:noProof/>
          <w:color w:val="0000F0"/>
        </w:rPr>
        <w:t>Proposition de décision</w:t>
      </w:r>
      <w:r>
        <w:rPr>
          <w:rStyle w:val="HideTWBExt"/>
          <w:b w:val="0"/>
        </w:rPr>
        <w:t>&lt;/DocAmend&gt;</w:t>
      </w:r>
    </w:p>
    <w:p w:rsidR="007F79DC" w:rsidRPr="00F930C9" w:rsidRDefault="007F79DC" w:rsidP="007F79DC">
      <w:pPr>
        <w:pStyle w:val="NormalBold"/>
        <w:rPr>
          <w:noProof/>
        </w:rPr>
      </w:pPr>
      <w:r>
        <w:rPr>
          <w:rStyle w:val="HideTWBExt"/>
          <w:b w:val="0"/>
        </w:rPr>
        <w:t>&lt;Article&gt;</w:t>
      </w:r>
      <w:r>
        <w:rPr>
          <w:noProof/>
          <w:color w:val="0000EB"/>
        </w:rPr>
        <w:t>Article 2 – paragraphe 1 – point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79DC" w:rsidRPr="00E0148B" w:rsidTr="007B553E">
        <w:trPr>
          <w:jc w:val="center"/>
        </w:trPr>
        <w:tc>
          <w:tcPr>
            <w:tcW w:w="9752" w:type="dxa"/>
            <w:gridSpan w:val="2"/>
          </w:tcPr>
          <w:p w:rsidR="007F79DC" w:rsidRPr="00F930C9" w:rsidRDefault="007F79DC" w:rsidP="007B553E">
            <w:pPr>
              <w:keepNext/>
              <w:rPr>
                <w:noProof/>
              </w:rPr>
            </w:pPr>
          </w:p>
        </w:tc>
      </w:tr>
      <w:tr w:rsidR="007F79DC" w:rsidRPr="00126821" w:rsidTr="007B553E">
        <w:trPr>
          <w:jc w:val="center"/>
        </w:trPr>
        <w:tc>
          <w:tcPr>
            <w:tcW w:w="4876" w:type="dxa"/>
            <w:hideMark/>
          </w:tcPr>
          <w:p w:rsidR="007F79DC" w:rsidRPr="00651CD9" w:rsidRDefault="007F79DC" w:rsidP="007B553E">
            <w:pPr>
              <w:pStyle w:val="ColumnHeading"/>
              <w:keepNext/>
              <w:rPr>
                <w:noProof/>
                <w:color w:val="0000FA"/>
              </w:rPr>
            </w:pPr>
            <w:r>
              <w:rPr>
                <w:noProof/>
                <w:color w:val="0000FA"/>
              </w:rPr>
              <w:t>Texte proposé par la Commission</w:t>
            </w:r>
          </w:p>
        </w:tc>
        <w:tc>
          <w:tcPr>
            <w:tcW w:w="4876" w:type="dxa"/>
            <w:hideMark/>
          </w:tcPr>
          <w:p w:rsidR="007F79DC" w:rsidRPr="00651CD9" w:rsidRDefault="007F79DC" w:rsidP="007B553E">
            <w:pPr>
              <w:pStyle w:val="ColumnHeading"/>
              <w:keepNext/>
              <w:rPr>
                <w:noProof/>
                <w:color w:val="0000F5"/>
              </w:rPr>
            </w:pPr>
            <w:r>
              <w:rPr>
                <w:noProof/>
                <w:color w:val="0000F5"/>
              </w:rPr>
              <w:t>Amendement</w:t>
            </w:r>
          </w:p>
        </w:tc>
      </w:tr>
      <w:tr w:rsidR="007F79DC" w:rsidRPr="007F79DC" w:rsidTr="007B553E">
        <w:trPr>
          <w:jc w:val="center"/>
        </w:trPr>
        <w:tc>
          <w:tcPr>
            <w:tcW w:w="4876" w:type="dxa"/>
            <w:hideMark/>
          </w:tcPr>
          <w:p w:rsidR="007F79DC" w:rsidRPr="00651CD9" w:rsidRDefault="007F79DC" w:rsidP="007B553E">
            <w:pPr>
              <w:pStyle w:val="Normal6"/>
              <w:rPr>
                <w:noProof/>
                <w:color w:val="0000FA"/>
              </w:rPr>
            </w:pPr>
            <w:r>
              <w:rPr>
                <w:noProof/>
                <w:color w:val="0000FA"/>
              </w:rPr>
              <w:t>b)</w:t>
            </w:r>
            <w:r>
              <w:tab/>
            </w:r>
            <w:r>
              <w:rPr>
                <w:noProof/>
                <w:color w:val="0000FA"/>
              </w:rPr>
              <w:t>elle améliore la contribution du patrimoine culturel européen à l’économie et à la société, grâce à son potentiel économique direct et indirect, ce qui inclut la capacité à soutenir les secteurs de la culture et de la création et à inspirer la création et l’innovation, à promouvoir un tourisme durable, à renforcer la cohésion sociale et à créer des emplois à long terme.</w:t>
            </w:r>
          </w:p>
        </w:tc>
        <w:tc>
          <w:tcPr>
            <w:tcW w:w="4876" w:type="dxa"/>
            <w:hideMark/>
          </w:tcPr>
          <w:p w:rsidR="007F79DC" w:rsidRPr="00651CD9" w:rsidRDefault="007F79DC" w:rsidP="007B553E">
            <w:pPr>
              <w:pStyle w:val="Normal6"/>
              <w:rPr>
                <w:noProof/>
                <w:color w:val="000005"/>
                <w:szCs w:val="24"/>
              </w:rPr>
            </w:pPr>
            <w:r>
              <w:rPr>
                <w:noProof/>
                <w:color w:val="000005"/>
              </w:rPr>
              <w:t>b)</w:t>
            </w:r>
            <w:r>
              <w:tab/>
            </w:r>
            <w:r>
              <w:rPr>
                <w:noProof/>
                <w:color w:val="000005"/>
              </w:rPr>
              <w:t>elle améliore la contribution du patrimoine culturel européen à l’économie et à la société, grâce à son potentiel économique direct et indirect, ce qui inclut la capacité à soutenir les secteurs de la culture et de la création</w:t>
            </w:r>
            <w:r>
              <w:rPr>
                <w:b/>
                <w:i/>
                <w:noProof/>
                <w:color w:val="000005"/>
              </w:rPr>
              <w:t>, les petites</w:t>
            </w:r>
            <w:r>
              <w:rPr>
                <w:noProof/>
                <w:color w:val="000005"/>
              </w:rPr>
              <w:t xml:space="preserve"> et </w:t>
            </w:r>
            <w:r>
              <w:rPr>
                <w:b/>
                <w:i/>
                <w:noProof/>
                <w:color w:val="000005"/>
              </w:rPr>
              <w:t xml:space="preserve">moyennes entreprises et les projets de petite comme de grande envergure, </w:t>
            </w:r>
            <w:r>
              <w:rPr>
                <w:noProof/>
                <w:color w:val="000005"/>
              </w:rPr>
              <w:t>à inspirer la création et l’innovation, à promouvoir un tourisme durable, à renforcer la cohésion sociale et à créer des emplois à long terme.</w:t>
            </w:r>
          </w:p>
        </w:tc>
      </w:tr>
    </w:tbl>
    <w:p w:rsidR="007F79DC" w:rsidRPr="007F79DC" w:rsidRDefault="007F79DC" w:rsidP="007F79DC">
      <w:pPr>
        <w:rPr>
          <w:noProof/>
          <w:szCs w:val="24"/>
        </w:rPr>
      </w:pPr>
      <w:r>
        <w:rPr>
          <w:rStyle w:val="HideTWBExt"/>
        </w:rPr>
        <w:t>&lt;/Amend&gt;</w:t>
      </w:r>
    </w:p>
    <w:p w:rsidR="007F79DC" w:rsidRPr="007F79DC" w:rsidRDefault="007F79DC" w:rsidP="007F79DC">
      <w:pPr>
        <w:pStyle w:val="AMNumberTabs"/>
        <w:keepNext/>
        <w:rPr>
          <w:noProof/>
        </w:rPr>
      </w:pPr>
      <w:r>
        <w:rPr>
          <w:rStyle w:val="HideTWBExt"/>
          <w:b w:val="0"/>
        </w:rPr>
        <w:t>&lt;Amend&gt;</w:t>
      </w:r>
      <w:r>
        <w:rPr>
          <w:noProof/>
          <w:color w:val="0000F0"/>
        </w:rPr>
        <w:t>Amendement</w:t>
      </w:r>
      <w:r>
        <w:tab/>
      </w:r>
      <w:r>
        <w:tab/>
      </w:r>
      <w:r>
        <w:rPr>
          <w:rStyle w:val="HideTWBExt"/>
          <w:b w:val="0"/>
        </w:rPr>
        <w:t>&lt;NumAm&gt;</w:t>
      </w:r>
      <w:r>
        <w:rPr>
          <w:noProof/>
          <w:color w:val="0000F0"/>
        </w:rPr>
        <w:t>5</w:t>
      </w:r>
      <w:r>
        <w:rPr>
          <w:rStyle w:val="HideTWBExt"/>
          <w:b w:val="0"/>
        </w:rPr>
        <w:t>&lt;/NumAm&gt;</w:t>
      </w:r>
    </w:p>
    <w:p w:rsidR="007F79DC" w:rsidRPr="007F79DC" w:rsidRDefault="007F79DC" w:rsidP="007F79DC">
      <w:pPr>
        <w:pStyle w:val="NormalBold12b"/>
        <w:keepNext/>
        <w:rPr>
          <w:noProof/>
        </w:rPr>
      </w:pPr>
      <w:r>
        <w:rPr>
          <w:rStyle w:val="HideTWBExt"/>
          <w:b w:val="0"/>
        </w:rPr>
        <w:t>&lt;DocAmend&gt;</w:t>
      </w:r>
      <w:r>
        <w:rPr>
          <w:noProof/>
          <w:color w:val="0000F0"/>
        </w:rPr>
        <w:t>Proposition de décision</w:t>
      </w:r>
      <w:r>
        <w:rPr>
          <w:rStyle w:val="HideTWBExt"/>
          <w:b w:val="0"/>
        </w:rPr>
        <w:t>&lt;/DocAmend&gt;</w:t>
      </w:r>
    </w:p>
    <w:p w:rsidR="007F79DC" w:rsidRPr="00F930C9" w:rsidRDefault="007F79DC" w:rsidP="007F79DC">
      <w:pPr>
        <w:pStyle w:val="NormalBold"/>
        <w:rPr>
          <w:noProof/>
        </w:rPr>
      </w:pPr>
      <w:r>
        <w:rPr>
          <w:rStyle w:val="HideTWBExt"/>
          <w:b w:val="0"/>
        </w:rPr>
        <w:t>&lt;Article&gt;</w:t>
      </w:r>
      <w:r>
        <w:rPr>
          <w:noProof/>
          <w:color w:val="0000EB"/>
        </w:rPr>
        <w:t>Article 3 – paragraphe -1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79DC" w:rsidRPr="00E0148B" w:rsidTr="007B553E">
        <w:trPr>
          <w:jc w:val="center"/>
        </w:trPr>
        <w:tc>
          <w:tcPr>
            <w:tcW w:w="9752" w:type="dxa"/>
            <w:gridSpan w:val="2"/>
          </w:tcPr>
          <w:p w:rsidR="007F79DC" w:rsidRPr="00F930C9" w:rsidRDefault="007F79DC" w:rsidP="007B553E">
            <w:pPr>
              <w:keepNext/>
              <w:rPr>
                <w:noProof/>
              </w:rPr>
            </w:pPr>
          </w:p>
        </w:tc>
      </w:tr>
      <w:tr w:rsidR="007F79DC" w:rsidRPr="00126821" w:rsidTr="007B553E">
        <w:trPr>
          <w:jc w:val="center"/>
        </w:trPr>
        <w:tc>
          <w:tcPr>
            <w:tcW w:w="4876" w:type="dxa"/>
            <w:hideMark/>
          </w:tcPr>
          <w:p w:rsidR="007F79DC" w:rsidRPr="00651CD9" w:rsidRDefault="007F79DC" w:rsidP="007B553E">
            <w:pPr>
              <w:pStyle w:val="ColumnHeading"/>
              <w:keepNext/>
              <w:rPr>
                <w:noProof/>
                <w:color w:val="0000FA"/>
              </w:rPr>
            </w:pPr>
            <w:r>
              <w:rPr>
                <w:noProof/>
                <w:color w:val="0000FA"/>
              </w:rPr>
              <w:t>Texte proposé par la Commission</w:t>
            </w:r>
          </w:p>
        </w:tc>
        <w:tc>
          <w:tcPr>
            <w:tcW w:w="4876" w:type="dxa"/>
            <w:hideMark/>
          </w:tcPr>
          <w:p w:rsidR="007F79DC" w:rsidRPr="00651CD9" w:rsidRDefault="007F79DC" w:rsidP="007B553E">
            <w:pPr>
              <w:pStyle w:val="ColumnHeading"/>
              <w:keepNext/>
              <w:rPr>
                <w:noProof/>
                <w:color w:val="0000F5"/>
              </w:rPr>
            </w:pPr>
            <w:r>
              <w:rPr>
                <w:noProof/>
                <w:color w:val="0000F5"/>
              </w:rPr>
              <w:t>Amendement</w:t>
            </w:r>
          </w:p>
        </w:tc>
      </w:tr>
      <w:tr w:rsidR="007F79DC" w:rsidRPr="007F79DC" w:rsidTr="007B553E">
        <w:trPr>
          <w:jc w:val="center"/>
        </w:trPr>
        <w:tc>
          <w:tcPr>
            <w:tcW w:w="4876" w:type="dxa"/>
          </w:tcPr>
          <w:p w:rsidR="007F79DC" w:rsidRPr="00651CD9" w:rsidRDefault="007F79DC" w:rsidP="007B553E">
            <w:pPr>
              <w:pStyle w:val="Normal6"/>
              <w:rPr>
                <w:noProof/>
                <w:color w:val="0000FA"/>
              </w:rPr>
            </w:pPr>
          </w:p>
        </w:tc>
        <w:tc>
          <w:tcPr>
            <w:tcW w:w="4876" w:type="dxa"/>
            <w:hideMark/>
          </w:tcPr>
          <w:p w:rsidR="007F79DC" w:rsidRPr="00651CD9" w:rsidRDefault="007F79DC" w:rsidP="007B553E">
            <w:pPr>
              <w:pStyle w:val="Normal6"/>
              <w:rPr>
                <w:noProof/>
                <w:color w:val="000005"/>
                <w:szCs w:val="24"/>
              </w:rPr>
            </w:pPr>
            <w:r>
              <w:rPr>
                <w:b/>
                <w:i/>
                <w:noProof/>
                <w:color w:val="000005"/>
              </w:rPr>
              <w:t>-1.</w:t>
            </w:r>
            <w:r>
              <w:tab/>
            </w:r>
            <w:r>
              <w:rPr>
                <w:b/>
                <w:i/>
                <w:noProof/>
                <w:color w:val="000005"/>
              </w:rPr>
              <w:t>Au cours du premier semestre 2017, la Commission mettra en place un groupe de travail qui associera le Parlement européen et les acteurs concernés. Pour le 31 décembre 2017 au plus tard, ce groupe présentera un programme de travail qui détaillera les activités prévues en 2018, y compris les dotations budgétaires correspondantes, ainsi que l’identité visuelle de l’Année européenne. Il désignera également plusieurs initiatives phares qui seront déployées dans le cadre de l’Année européenne.</w:t>
            </w:r>
          </w:p>
        </w:tc>
      </w:tr>
    </w:tbl>
    <w:p w:rsidR="007F79DC" w:rsidRPr="007F79DC" w:rsidRDefault="007F79DC" w:rsidP="007F79DC">
      <w:pPr>
        <w:rPr>
          <w:noProof/>
          <w:szCs w:val="24"/>
        </w:rPr>
      </w:pPr>
      <w:r>
        <w:rPr>
          <w:rStyle w:val="HideTWBExt"/>
        </w:rPr>
        <w:t>&lt;/Amend&gt;</w:t>
      </w:r>
    </w:p>
    <w:p w:rsidR="007F79DC" w:rsidRPr="007F79DC" w:rsidRDefault="007F79DC" w:rsidP="007F79DC">
      <w:pPr>
        <w:pStyle w:val="AMNumberTabs"/>
        <w:keepNext/>
        <w:rPr>
          <w:noProof/>
        </w:rPr>
      </w:pPr>
      <w:r>
        <w:rPr>
          <w:rStyle w:val="HideTWBExt"/>
          <w:b w:val="0"/>
        </w:rPr>
        <w:t>&lt;Amend&gt;</w:t>
      </w:r>
      <w:r>
        <w:rPr>
          <w:noProof/>
          <w:color w:val="0000F0"/>
        </w:rPr>
        <w:t>Amendement</w:t>
      </w:r>
      <w:r>
        <w:tab/>
      </w:r>
      <w:r>
        <w:tab/>
      </w:r>
      <w:r>
        <w:rPr>
          <w:rStyle w:val="HideTWBExt"/>
          <w:b w:val="0"/>
        </w:rPr>
        <w:t>&lt;NumAm&gt;</w:t>
      </w:r>
      <w:r>
        <w:rPr>
          <w:noProof/>
          <w:color w:val="0000F0"/>
        </w:rPr>
        <w:t>6</w:t>
      </w:r>
      <w:r>
        <w:rPr>
          <w:rStyle w:val="HideTWBExt"/>
          <w:b w:val="0"/>
        </w:rPr>
        <w:t>&lt;/NumAm&gt;</w:t>
      </w:r>
    </w:p>
    <w:p w:rsidR="007F79DC" w:rsidRPr="007F79DC" w:rsidRDefault="007F79DC" w:rsidP="007F79DC">
      <w:pPr>
        <w:pStyle w:val="NormalBold12b"/>
        <w:keepNext/>
        <w:rPr>
          <w:noProof/>
        </w:rPr>
      </w:pPr>
      <w:r>
        <w:rPr>
          <w:rStyle w:val="HideTWBExt"/>
          <w:b w:val="0"/>
        </w:rPr>
        <w:t>&lt;DocAmend&gt;</w:t>
      </w:r>
      <w:r>
        <w:rPr>
          <w:noProof/>
          <w:color w:val="0000F0"/>
        </w:rPr>
        <w:t>Proposition de décision</w:t>
      </w:r>
      <w:r>
        <w:rPr>
          <w:rStyle w:val="HideTWBExt"/>
          <w:b w:val="0"/>
        </w:rPr>
        <w:t>&lt;/DocAmend&gt;</w:t>
      </w:r>
    </w:p>
    <w:p w:rsidR="007F79DC" w:rsidRPr="00126821" w:rsidRDefault="007F79DC" w:rsidP="007F79DC">
      <w:pPr>
        <w:pStyle w:val="NormalBold"/>
        <w:rPr>
          <w:noProof/>
        </w:rPr>
      </w:pPr>
      <w:r>
        <w:rPr>
          <w:rStyle w:val="HideTWBExt"/>
          <w:b w:val="0"/>
        </w:rPr>
        <w:t>&lt;Article&gt;</w:t>
      </w:r>
      <w:r>
        <w:rPr>
          <w:noProof/>
          <w:color w:val="0000EB"/>
        </w:rPr>
        <w:t>Article 4 – titre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79DC" w:rsidRPr="00126821" w:rsidTr="007B553E">
        <w:trPr>
          <w:jc w:val="center"/>
        </w:trPr>
        <w:tc>
          <w:tcPr>
            <w:tcW w:w="9752" w:type="dxa"/>
            <w:gridSpan w:val="2"/>
          </w:tcPr>
          <w:p w:rsidR="007F79DC" w:rsidRPr="00126821" w:rsidRDefault="007F79DC" w:rsidP="007B553E">
            <w:pPr>
              <w:keepNext/>
              <w:rPr>
                <w:noProof/>
              </w:rPr>
            </w:pPr>
          </w:p>
        </w:tc>
      </w:tr>
      <w:tr w:rsidR="007F79DC" w:rsidRPr="00126821" w:rsidTr="007B553E">
        <w:trPr>
          <w:jc w:val="center"/>
        </w:trPr>
        <w:tc>
          <w:tcPr>
            <w:tcW w:w="4876" w:type="dxa"/>
            <w:hideMark/>
          </w:tcPr>
          <w:p w:rsidR="007F79DC" w:rsidRPr="00651CD9" w:rsidRDefault="007F79DC" w:rsidP="007B553E">
            <w:pPr>
              <w:pStyle w:val="ColumnHeading"/>
              <w:keepNext/>
              <w:rPr>
                <w:noProof/>
                <w:color w:val="0000FA"/>
              </w:rPr>
            </w:pPr>
            <w:r>
              <w:rPr>
                <w:noProof/>
                <w:color w:val="0000FA"/>
              </w:rPr>
              <w:t>Texte proposé par la Commission</w:t>
            </w:r>
          </w:p>
        </w:tc>
        <w:tc>
          <w:tcPr>
            <w:tcW w:w="4876" w:type="dxa"/>
            <w:hideMark/>
          </w:tcPr>
          <w:p w:rsidR="007F79DC" w:rsidRPr="00651CD9" w:rsidRDefault="007F79DC" w:rsidP="007B553E">
            <w:pPr>
              <w:pStyle w:val="ColumnHeading"/>
              <w:keepNext/>
              <w:rPr>
                <w:noProof/>
                <w:color w:val="0000F5"/>
              </w:rPr>
            </w:pPr>
            <w:r>
              <w:rPr>
                <w:noProof/>
                <w:color w:val="0000F5"/>
              </w:rPr>
              <w:t>Amendement</w:t>
            </w:r>
          </w:p>
        </w:tc>
      </w:tr>
      <w:tr w:rsidR="007F79DC" w:rsidRPr="007F79DC" w:rsidTr="007B553E">
        <w:trPr>
          <w:jc w:val="center"/>
        </w:trPr>
        <w:tc>
          <w:tcPr>
            <w:tcW w:w="4876" w:type="dxa"/>
            <w:hideMark/>
          </w:tcPr>
          <w:p w:rsidR="007F79DC" w:rsidRPr="00651CD9" w:rsidRDefault="007F79DC" w:rsidP="007B553E">
            <w:pPr>
              <w:pStyle w:val="Normal6"/>
              <w:rPr>
                <w:noProof/>
                <w:color w:val="0000FA"/>
              </w:rPr>
            </w:pPr>
            <w:r>
              <w:rPr>
                <w:noProof/>
                <w:color w:val="0000FA"/>
              </w:rPr>
              <w:t>Coordination au niveau national</w:t>
            </w:r>
          </w:p>
        </w:tc>
        <w:tc>
          <w:tcPr>
            <w:tcW w:w="4876" w:type="dxa"/>
            <w:hideMark/>
          </w:tcPr>
          <w:p w:rsidR="007F79DC" w:rsidRPr="00651CD9" w:rsidRDefault="007F79DC" w:rsidP="007B553E">
            <w:pPr>
              <w:pStyle w:val="Normal6"/>
              <w:rPr>
                <w:noProof/>
                <w:color w:val="000005"/>
                <w:szCs w:val="24"/>
              </w:rPr>
            </w:pPr>
            <w:r>
              <w:rPr>
                <w:noProof/>
                <w:color w:val="000005"/>
              </w:rPr>
              <w:t>Coordination au niveau des États membres</w:t>
            </w:r>
          </w:p>
        </w:tc>
      </w:tr>
    </w:tbl>
    <w:p w:rsidR="007F79DC" w:rsidRPr="007F79DC" w:rsidRDefault="007F79DC" w:rsidP="007F79DC">
      <w:pPr>
        <w:rPr>
          <w:noProof/>
          <w:szCs w:val="24"/>
        </w:rPr>
      </w:pPr>
      <w:r>
        <w:rPr>
          <w:rStyle w:val="HideTWBExt"/>
        </w:rPr>
        <w:t>&lt;/Amend&gt;</w:t>
      </w:r>
    </w:p>
    <w:p w:rsidR="007F79DC" w:rsidRPr="007F79DC" w:rsidRDefault="007F79DC" w:rsidP="007F79DC">
      <w:pPr>
        <w:pStyle w:val="AMNumberTabs"/>
        <w:keepNext/>
        <w:rPr>
          <w:noProof/>
        </w:rPr>
      </w:pPr>
      <w:r>
        <w:rPr>
          <w:rStyle w:val="HideTWBExt"/>
          <w:b w:val="0"/>
        </w:rPr>
        <w:t>&lt;Amend&gt;</w:t>
      </w:r>
      <w:r>
        <w:rPr>
          <w:noProof/>
          <w:color w:val="0000F0"/>
        </w:rPr>
        <w:t>Amendement</w:t>
      </w:r>
      <w:r>
        <w:tab/>
      </w:r>
      <w:r>
        <w:tab/>
      </w:r>
      <w:r>
        <w:rPr>
          <w:rStyle w:val="HideTWBExt"/>
          <w:b w:val="0"/>
        </w:rPr>
        <w:t>&lt;NumAm&gt;</w:t>
      </w:r>
      <w:r>
        <w:rPr>
          <w:noProof/>
          <w:color w:val="0000F0"/>
        </w:rPr>
        <w:t>7</w:t>
      </w:r>
      <w:r>
        <w:rPr>
          <w:rStyle w:val="HideTWBExt"/>
          <w:b w:val="0"/>
        </w:rPr>
        <w:t>&lt;/NumAm&gt;</w:t>
      </w:r>
    </w:p>
    <w:p w:rsidR="007F79DC" w:rsidRPr="007F79DC" w:rsidRDefault="007F79DC" w:rsidP="007F79DC">
      <w:pPr>
        <w:pStyle w:val="NormalBold12b"/>
        <w:keepNext/>
        <w:rPr>
          <w:noProof/>
        </w:rPr>
      </w:pPr>
      <w:r>
        <w:rPr>
          <w:rStyle w:val="HideTWBExt"/>
          <w:b w:val="0"/>
        </w:rPr>
        <w:t>&lt;DocAmend&gt;</w:t>
      </w:r>
      <w:r>
        <w:rPr>
          <w:noProof/>
          <w:color w:val="0000F0"/>
        </w:rPr>
        <w:t>Proposition de décision</w:t>
      </w:r>
      <w:r>
        <w:rPr>
          <w:rStyle w:val="HideTWBExt"/>
          <w:b w:val="0"/>
        </w:rPr>
        <w:t>&lt;/DocAmend&gt;</w:t>
      </w:r>
    </w:p>
    <w:p w:rsidR="007F79DC" w:rsidRPr="00126821" w:rsidRDefault="007F79DC" w:rsidP="007F79DC">
      <w:pPr>
        <w:pStyle w:val="NormalBold"/>
        <w:rPr>
          <w:noProof/>
        </w:rPr>
      </w:pPr>
      <w:r>
        <w:rPr>
          <w:rStyle w:val="HideTWBExt"/>
          <w:b w:val="0"/>
        </w:rPr>
        <w:t>&lt;Article&gt;</w:t>
      </w:r>
      <w:r>
        <w:rPr>
          <w:noProof/>
          <w:color w:val="0000EB"/>
        </w:rPr>
        <w:t>Article 4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79DC" w:rsidRPr="00126821" w:rsidTr="007B553E">
        <w:trPr>
          <w:jc w:val="center"/>
        </w:trPr>
        <w:tc>
          <w:tcPr>
            <w:tcW w:w="9752" w:type="dxa"/>
            <w:gridSpan w:val="2"/>
          </w:tcPr>
          <w:p w:rsidR="007F79DC" w:rsidRPr="00126821" w:rsidRDefault="007F79DC" w:rsidP="007B553E">
            <w:pPr>
              <w:keepNext/>
              <w:rPr>
                <w:noProof/>
              </w:rPr>
            </w:pPr>
          </w:p>
        </w:tc>
      </w:tr>
      <w:tr w:rsidR="007F79DC" w:rsidRPr="00126821" w:rsidTr="007B553E">
        <w:trPr>
          <w:jc w:val="center"/>
        </w:trPr>
        <w:tc>
          <w:tcPr>
            <w:tcW w:w="4876" w:type="dxa"/>
            <w:hideMark/>
          </w:tcPr>
          <w:p w:rsidR="007F79DC" w:rsidRPr="00651CD9" w:rsidRDefault="007F79DC" w:rsidP="007B553E">
            <w:pPr>
              <w:pStyle w:val="ColumnHeading"/>
              <w:keepNext/>
              <w:rPr>
                <w:noProof/>
                <w:color w:val="0000FA"/>
              </w:rPr>
            </w:pPr>
            <w:r>
              <w:rPr>
                <w:noProof/>
                <w:color w:val="0000FA"/>
              </w:rPr>
              <w:t>Texte proposé par la Commission</w:t>
            </w:r>
          </w:p>
        </w:tc>
        <w:tc>
          <w:tcPr>
            <w:tcW w:w="4876" w:type="dxa"/>
            <w:hideMark/>
          </w:tcPr>
          <w:p w:rsidR="007F79DC" w:rsidRPr="00651CD9" w:rsidRDefault="007F79DC" w:rsidP="007B553E">
            <w:pPr>
              <w:pStyle w:val="ColumnHeading"/>
              <w:keepNext/>
              <w:rPr>
                <w:noProof/>
                <w:color w:val="0000F5"/>
              </w:rPr>
            </w:pPr>
            <w:r>
              <w:rPr>
                <w:noProof/>
                <w:color w:val="0000F5"/>
              </w:rPr>
              <w:t>Amendement</w:t>
            </w:r>
          </w:p>
        </w:tc>
      </w:tr>
      <w:tr w:rsidR="007F79DC" w:rsidRPr="007F79DC" w:rsidTr="007B553E">
        <w:trPr>
          <w:jc w:val="center"/>
        </w:trPr>
        <w:tc>
          <w:tcPr>
            <w:tcW w:w="4876" w:type="dxa"/>
            <w:hideMark/>
          </w:tcPr>
          <w:p w:rsidR="007F79DC" w:rsidRPr="00651CD9" w:rsidRDefault="007F79DC" w:rsidP="007B553E">
            <w:pPr>
              <w:pStyle w:val="Normal6"/>
              <w:rPr>
                <w:noProof/>
                <w:color w:val="0000FA"/>
              </w:rPr>
            </w:pPr>
            <w:r>
              <w:rPr>
                <w:noProof/>
                <w:color w:val="0000FA"/>
              </w:rPr>
              <w:t xml:space="preserve">Chaque État membre désigne un coordonnateur national chargé d'organiser la participation de cet État à l'Année européenne. Le coordonnateur veille à la coordination des activités pertinentes au niveau </w:t>
            </w:r>
            <w:r>
              <w:rPr>
                <w:b/>
                <w:i/>
                <w:noProof/>
                <w:color w:val="0000FA"/>
              </w:rPr>
              <w:t>national</w:t>
            </w:r>
            <w:r>
              <w:rPr>
                <w:noProof/>
                <w:color w:val="0000FA"/>
              </w:rPr>
              <w:t>.</w:t>
            </w:r>
          </w:p>
        </w:tc>
        <w:tc>
          <w:tcPr>
            <w:tcW w:w="4876" w:type="dxa"/>
            <w:hideMark/>
          </w:tcPr>
          <w:p w:rsidR="007F79DC" w:rsidRPr="00651CD9" w:rsidRDefault="007F79DC" w:rsidP="007B553E">
            <w:pPr>
              <w:pStyle w:val="Normal6"/>
              <w:rPr>
                <w:noProof/>
                <w:color w:val="000005"/>
                <w:szCs w:val="24"/>
              </w:rPr>
            </w:pPr>
            <w:r>
              <w:rPr>
                <w:b/>
                <w:i/>
                <w:noProof/>
                <w:color w:val="000005"/>
              </w:rPr>
              <w:t>Les autorités compétentes des États membres collaborent avec les institutions de l’Union afin de garantir la bonne mise en œuvre de l’Année européenne et d’en multiplier les retombées à travers des activités supplémentaires, l’engagement des collectivités, ainsi que des activités de diffusion.</w:t>
            </w:r>
            <w:r>
              <w:rPr>
                <w:noProof/>
                <w:color w:val="000005"/>
              </w:rPr>
              <w:t xml:space="preserve"> Chaque État membre désigne un coordonnateur national chargé d’organiser la participation de cet État à l’Année européenne. Le coordonnateur veille à la coordination des activités pertinentes au niveau </w:t>
            </w:r>
            <w:r>
              <w:rPr>
                <w:b/>
                <w:i/>
                <w:noProof/>
                <w:color w:val="000005"/>
              </w:rPr>
              <w:t>de l’État membre</w:t>
            </w:r>
            <w:r>
              <w:rPr>
                <w:noProof/>
                <w:color w:val="000005"/>
              </w:rPr>
              <w:t>.</w:t>
            </w:r>
          </w:p>
        </w:tc>
      </w:tr>
    </w:tbl>
    <w:p w:rsidR="007F79DC" w:rsidRPr="007F79DC" w:rsidRDefault="007F79DC" w:rsidP="007F79DC">
      <w:pPr>
        <w:rPr>
          <w:noProof/>
          <w:szCs w:val="24"/>
        </w:rPr>
      </w:pPr>
      <w:r>
        <w:rPr>
          <w:rStyle w:val="HideTWBExt"/>
        </w:rPr>
        <w:t>&lt;/Amend&gt;</w:t>
      </w:r>
    </w:p>
    <w:p w:rsidR="007F79DC" w:rsidRPr="007F79DC" w:rsidRDefault="007F79DC" w:rsidP="007F79DC">
      <w:pPr>
        <w:pStyle w:val="AMNumberTabs"/>
        <w:keepNext/>
        <w:rPr>
          <w:noProof/>
        </w:rPr>
      </w:pPr>
      <w:r>
        <w:rPr>
          <w:rStyle w:val="HideTWBExt"/>
          <w:b w:val="0"/>
        </w:rPr>
        <w:t>&lt;Amend&gt;</w:t>
      </w:r>
      <w:r>
        <w:rPr>
          <w:noProof/>
          <w:color w:val="0000F0"/>
        </w:rPr>
        <w:t>Amendement</w:t>
      </w:r>
      <w:r>
        <w:tab/>
      </w:r>
      <w:r>
        <w:tab/>
      </w:r>
      <w:r>
        <w:rPr>
          <w:rStyle w:val="HideTWBExt"/>
          <w:b w:val="0"/>
        </w:rPr>
        <w:t>&lt;NumAm&gt;</w:t>
      </w:r>
      <w:r>
        <w:rPr>
          <w:noProof/>
          <w:color w:val="0000F0"/>
        </w:rPr>
        <w:t>8</w:t>
      </w:r>
      <w:r>
        <w:rPr>
          <w:rStyle w:val="HideTWBExt"/>
          <w:b w:val="0"/>
        </w:rPr>
        <w:t>&lt;/NumAm&gt;</w:t>
      </w:r>
    </w:p>
    <w:p w:rsidR="007F79DC" w:rsidRPr="007F79DC" w:rsidRDefault="007F79DC" w:rsidP="007F79DC">
      <w:pPr>
        <w:pStyle w:val="NormalBold12b"/>
        <w:keepNext/>
        <w:rPr>
          <w:noProof/>
        </w:rPr>
      </w:pPr>
      <w:r>
        <w:rPr>
          <w:rStyle w:val="HideTWBExt"/>
          <w:b w:val="0"/>
        </w:rPr>
        <w:t>&lt;DocAmend&gt;</w:t>
      </w:r>
      <w:r>
        <w:rPr>
          <w:noProof/>
          <w:color w:val="0000F0"/>
        </w:rPr>
        <w:t>Proposition de décision</w:t>
      </w:r>
      <w:r>
        <w:rPr>
          <w:rStyle w:val="HideTWBExt"/>
          <w:b w:val="0"/>
        </w:rPr>
        <w:t>&lt;/DocAmend&gt;</w:t>
      </w:r>
    </w:p>
    <w:p w:rsidR="007F79DC" w:rsidRPr="00126821" w:rsidRDefault="007F79DC" w:rsidP="007F79DC">
      <w:pPr>
        <w:pStyle w:val="NormalBold"/>
        <w:rPr>
          <w:noProof/>
        </w:rPr>
      </w:pPr>
      <w:r>
        <w:rPr>
          <w:rStyle w:val="HideTWBExt"/>
          <w:b w:val="0"/>
        </w:rPr>
        <w:t>&lt;Article&gt;</w:t>
      </w:r>
      <w:r>
        <w:rPr>
          <w:noProof/>
          <w:color w:val="0000EB"/>
        </w:rPr>
        <w:t>Article 5 – alinéa unique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79DC" w:rsidRPr="00126821" w:rsidTr="007B553E">
        <w:trPr>
          <w:jc w:val="center"/>
        </w:trPr>
        <w:tc>
          <w:tcPr>
            <w:tcW w:w="9752" w:type="dxa"/>
            <w:gridSpan w:val="2"/>
          </w:tcPr>
          <w:p w:rsidR="007F79DC" w:rsidRPr="00126821" w:rsidRDefault="007F79DC" w:rsidP="007B553E">
            <w:pPr>
              <w:keepNext/>
              <w:rPr>
                <w:noProof/>
              </w:rPr>
            </w:pPr>
          </w:p>
        </w:tc>
      </w:tr>
      <w:tr w:rsidR="007F79DC" w:rsidRPr="00126821" w:rsidTr="007B553E">
        <w:trPr>
          <w:jc w:val="center"/>
        </w:trPr>
        <w:tc>
          <w:tcPr>
            <w:tcW w:w="4876" w:type="dxa"/>
            <w:hideMark/>
          </w:tcPr>
          <w:p w:rsidR="007F79DC" w:rsidRPr="00651CD9" w:rsidRDefault="007F79DC" w:rsidP="007B553E">
            <w:pPr>
              <w:pStyle w:val="ColumnHeading"/>
              <w:keepNext/>
              <w:rPr>
                <w:noProof/>
                <w:color w:val="0000FA"/>
              </w:rPr>
            </w:pPr>
            <w:r>
              <w:rPr>
                <w:noProof/>
                <w:color w:val="0000FA"/>
              </w:rPr>
              <w:t>Texte proposé par la Commission</w:t>
            </w:r>
          </w:p>
        </w:tc>
        <w:tc>
          <w:tcPr>
            <w:tcW w:w="4876" w:type="dxa"/>
            <w:hideMark/>
          </w:tcPr>
          <w:p w:rsidR="007F79DC" w:rsidRPr="00651CD9" w:rsidRDefault="007F79DC" w:rsidP="007B553E">
            <w:pPr>
              <w:pStyle w:val="ColumnHeading"/>
              <w:keepNext/>
              <w:rPr>
                <w:noProof/>
                <w:color w:val="0000F5"/>
              </w:rPr>
            </w:pPr>
            <w:r>
              <w:rPr>
                <w:noProof/>
                <w:color w:val="0000F5"/>
              </w:rPr>
              <w:t>Amendement</w:t>
            </w:r>
          </w:p>
        </w:tc>
      </w:tr>
      <w:tr w:rsidR="007F79DC" w:rsidRPr="007F79DC" w:rsidTr="007B553E">
        <w:trPr>
          <w:jc w:val="center"/>
        </w:trPr>
        <w:tc>
          <w:tcPr>
            <w:tcW w:w="4876" w:type="dxa"/>
            <w:hideMark/>
          </w:tcPr>
          <w:p w:rsidR="007F79DC" w:rsidRPr="00651CD9" w:rsidRDefault="007F79DC" w:rsidP="007B553E">
            <w:pPr>
              <w:pStyle w:val="Normal6"/>
              <w:rPr>
                <w:noProof/>
                <w:color w:val="0000FA"/>
              </w:rPr>
            </w:pPr>
            <w:r>
              <w:rPr>
                <w:noProof/>
                <w:color w:val="0000FA"/>
              </w:rPr>
              <w:t xml:space="preserve">La Commission organise des réunions des coordonnateurs </w:t>
            </w:r>
            <w:r>
              <w:rPr>
                <w:b/>
                <w:i/>
                <w:noProof/>
                <w:color w:val="0000FA"/>
              </w:rPr>
              <w:t>nationaux</w:t>
            </w:r>
            <w:r>
              <w:rPr>
                <w:noProof/>
                <w:color w:val="0000FA"/>
              </w:rPr>
              <w:t xml:space="preserve"> pour coordonner le déroulement de l'Année européenne et pour échanger des informations sur sa mise en œuvre aux niveaux </w:t>
            </w:r>
            <w:r>
              <w:rPr>
                <w:b/>
                <w:i/>
                <w:noProof/>
                <w:color w:val="0000FA"/>
              </w:rPr>
              <w:t>national</w:t>
            </w:r>
            <w:r>
              <w:rPr>
                <w:noProof/>
                <w:color w:val="0000FA"/>
              </w:rPr>
              <w:t xml:space="preserve"> et </w:t>
            </w:r>
            <w:r>
              <w:rPr>
                <w:b/>
                <w:i/>
                <w:noProof/>
                <w:color w:val="0000FA"/>
              </w:rPr>
              <w:t>européen</w:t>
            </w:r>
            <w:r>
              <w:rPr>
                <w:noProof/>
                <w:color w:val="0000FA"/>
              </w:rPr>
              <w:t>.</w:t>
            </w:r>
          </w:p>
        </w:tc>
        <w:tc>
          <w:tcPr>
            <w:tcW w:w="4876" w:type="dxa"/>
            <w:hideMark/>
          </w:tcPr>
          <w:p w:rsidR="007F79DC" w:rsidRPr="00651CD9" w:rsidRDefault="007F79DC" w:rsidP="007B553E">
            <w:pPr>
              <w:pStyle w:val="Normal6"/>
              <w:rPr>
                <w:noProof/>
                <w:color w:val="000005"/>
                <w:szCs w:val="24"/>
              </w:rPr>
            </w:pPr>
            <w:r>
              <w:rPr>
                <w:noProof/>
                <w:color w:val="000005"/>
              </w:rPr>
              <w:t xml:space="preserve">La Commission organise des réunions des coordonnateurs </w:t>
            </w:r>
            <w:r>
              <w:rPr>
                <w:b/>
                <w:i/>
                <w:noProof/>
                <w:color w:val="000005"/>
              </w:rPr>
              <w:t>des États membres et des représentants du Parlement européen</w:t>
            </w:r>
            <w:r>
              <w:rPr>
                <w:noProof/>
                <w:color w:val="000005"/>
              </w:rPr>
              <w:t xml:space="preserve"> pour coordonner le déroulement de l’Année européenne et pour échanger des informations sur sa mise en œuvre aux niveaux </w:t>
            </w:r>
            <w:r>
              <w:rPr>
                <w:b/>
                <w:i/>
                <w:noProof/>
                <w:color w:val="000005"/>
              </w:rPr>
              <w:t>des États membres</w:t>
            </w:r>
            <w:r>
              <w:rPr>
                <w:noProof/>
                <w:color w:val="000005"/>
              </w:rPr>
              <w:t xml:space="preserve"> et </w:t>
            </w:r>
            <w:r>
              <w:rPr>
                <w:b/>
                <w:i/>
                <w:noProof/>
                <w:color w:val="000005"/>
              </w:rPr>
              <w:t>de l’Union</w:t>
            </w:r>
            <w:r>
              <w:rPr>
                <w:noProof/>
                <w:color w:val="000005"/>
              </w:rPr>
              <w:t xml:space="preserve">. </w:t>
            </w:r>
            <w:r>
              <w:rPr>
                <w:b/>
                <w:i/>
                <w:noProof/>
                <w:color w:val="000005"/>
              </w:rPr>
              <w:t>La Commission applique à la coordination de l’Année européenne au niveau de l’Union une approche transversale qui garantit la participation de toutes les directions générales concernées, sous la coordination de la direction générale de l’éducation et de la culture, afin de susciter des synergies entre les différents programmes et initiatives de l’Union qui financent des projets dans le domaine du patrimoine culturel et de mieux diffuser les informations sur l’Année européenne.</w:t>
            </w:r>
          </w:p>
        </w:tc>
      </w:tr>
    </w:tbl>
    <w:p w:rsidR="007F79DC" w:rsidRPr="007F79DC" w:rsidRDefault="007F79DC" w:rsidP="007F79DC">
      <w:pPr>
        <w:rPr>
          <w:noProof/>
          <w:szCs w:val="24"/>
        </w:rPr>
      </w:pPr>
      <w:r>
        <w:rPr>
          <w:rStyle w:val="HideTWBExt"/>
        </w:rPr>
        <w:t>&lt;/Amend&gt;</w:t>
      </w:r>
    </w:p>
    <w:p w:rsidR="007F79DC" w:rsidRPr="007F79DC" w:rsidRDefault="007F79DC" w:rsidP="007F79DC">
      <w:pPr>
        <w:pStyle w:val="AMNumberTabs"/>
        <w:keepNext/>
        <w:rPr>
          <w:noProof/>
        </w:rPr>
      </w:pPr>
      <w:r>
        <w:rPr>
          <w:rStyle w:val="HideTWBExt"/>
          <w:b w:val="0"/>
        </w:rPr>
        <w:t>&lt;Amend&gt;</w:t>
      </w:r>
      <w:r>
        <w:rPr>
          <w:noProof/>
          <w:color w:val="0000F0"/>
        </w:rPr>
        <w:t>Amendement</w:t>
      </w:r>
      <w:r>
        <w:tab/>
      </w:r>
      <w:r>
        <w:tab/>
      </w:r>
      <w:r>
        <w:rPr>
          <w:rStyle w:val="HideTWBExt"/>
          <w:b w:val="0"/>
        </w:rPr>
        <w:t>&lt;NumAm&gt;</w:t>
      </w:r>
      <w:r>
        <w:rPr>
          <w:noProof/>
          <w:color w:val="0000F0"/>
        </w:rPr>
        <w:t>9</w:t>
      </w:r>
      <w:r>
        <w:rPr>
          <w:rStyle w:val="HideTWBExt"/>
          <w:b w:val="0"/>
        </w:rPr>
        <w:t>&lt;/NumAm&gt;</w:t>
      </w:r>
    </w:p>
    <w:p w:rsidR="007F79DC" w:rsidRPr="007F79DC" w:rsidRDefault="007F79DC" w:rsidP="007F79DC">
      <w:pPr>
        <w:pStyle w:val="NormalBold12b"/>
        <w:keepNext/>
        <w:rPr>
          <w:noProof/>
        </w:rPr>
      </w:pPr>
      <w:r>
        <w:rPr>
          <w:rStyle w:val="HideTWBExt"/>
          <w:b w:val="0"/>
        </w:rPr>
        <w:t>&lt;DocAmend&gt;</w:t>
      </w:r>
      <w:r>
        <w:rPr>
          <w:noProof/>
          <w:color w:val="0000F0"/>
        </w:rPr>
        <w:t>Proposition de décision</w:t>
      </w:r>
      <w:r>
        <w:rPr>
          <w:rStyle w:val="HideTWBExt"/>
          <w:b w:val="0"/>
        </w:rPr>
        <w:t>&lt;/DocAmend&gt;</w:t>
      </w:r>
    </w:p>
    <w:p w:rsidR="007F79DC" w:rsidRPr="00F930C9" w:rsidRDefault="007F79DC" w:rsidP="007F79DC">
      <w:pPr>
        <w:pStyle w:val="NormalBold"/>
        <w:rPr>
          <w:noProof/>
        </w:rPr>
      </w:pPr>
      <w:r>
        <w:rPr>
          <w:rStyle w:val="HideTWBExt"/>
          <w:b w:val="0"/>
        </w:rPr>
        <w:t>&lt;Article&gt;</w:t>
      </w:r>
      <w:r>
        <w:rPr>
          <w:noProof/>
          <w:color w:val="0000EB"/>
        </w:rPr>
        <w:t>Article 5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79DC" w:rsidRPr="00E0148B" w:rsidTr="007B553E">
        <w:trPr>
          <w:jc w:val="center"/>
        </w:trPr>
        <w:tc>
          <w:tcPr>
            <w:tcW w:w="9752" w:type="dxa"/>
            <w:gridSpan w:val="2"/>
          </w:tcPr>
          <w:p w:rsidR="007F79DC" w:rsidRPr="00F930C9" w:rsidRDefault="007F79DC" w:rsidP="007B553E">
            <w:pPr>
              <w:keepNext/>
              <w:rPr>
                <w:noProof/>
              </w:rPr>
            </w:pPr>
          </w:p>
        </w:tc>
      </w:tr>
      <w:tr w:rsidR="007F79DC" w:rsidRPr="00126821" w:rsidTr="007B553E">
        <w:trPr>
          <w:jc w:val="center"/>
        </w:trPr>
        <w:tc>
          <w:tcPr>
            <w:tcW w:w="4876" w:type="dxa"/>
            <w:hideMark/>
          </w:tcPr>
          <w:p w:rsidR="007F79DC" w:rsidRPr="00651CD9" w:rsidRDefault="007F79DC" w:rsidP="007B553E">
            <w:pPr>
              <w:pStyle w:val="ColumnHeading"/>
              <w:keepNext/>
              <w:rPr>
                <w:noProof/>
                <w:color w:val="0000FA"/>
              </w:rPr>
            </w:pPr>
            <w:r>
              <w:rPr>
                <w:noProof/>
                <w:color w:val="0000FA"/>
              </w:rPr>
              <w:t>Texte proposé par la Commission</w:t>
            </w:r>
          </w:p>
        </w:tc>
        <w:tc>
          <w:tcPr>
            <w:tcW w:w="4876" w:type="dxa"/>
            <w:hideMark/>
          </w:tcPr>
          <w:p w:rsidR="007F79DC" w:rsidRPr="00651CD9" w:rsidRDefault="007F79DC" w:rsidP="007B553E">
            <w:pPr>
              <w:pStyle w:val="ColumnHeading"/>
              <w:keepNext/>
              <w:rPr>
                <w:noProof/>
                <w:color w:val="0000F5"/>
              </w:rPr>
            </w:pPr>
            <w:r>
              <w:rPr>
                <w:noProof/>
                <w:color w:val="0000F5"/>
              </w:rPr>
              <w:t>Amendement</w:t>
            </w:r>
          </w:p>
        </w:tc>
      </w:tr>
      <w:tr w:rsidR="007F79DC" w:rsidRPr="00126821" w:rsidTr="007B553E">
        <w:trPr>
          <w:jc w:val="center"/>
        </w:trPr>
        <w:tc>
          <w:tcPr>
            <w:tcW w:w="4876" w:type="dxa"/>
          </w:tcPr>
          <w:p w:rsidR="007F79DC" w:rsidRPr="00651CD9" w:rsidRDefault="007F79DC" w:rsidP="007B553E">
            <w:pPr>
              <w:pStyle w:val="Normal6"/>
              <w:rPr>
                <w:noProof/>
                <w:color w:val="0000FA"/>
              </w:rPr>
            </w:pPr>
          </w:p>
        </w:tc>
        <w:tc>
          <w:tcPr>
            <w:tcW w:w="4876" w:type="dxa"/>
            <w:hideMark/>
          </w:tcPr>
          <w:p w:rsidR="007F79DC" w:rsidRPr="00651CD9" w:rsidRDefault="007F79DC" w:rsidP="007B553E">
            <w:pPr>
              <w:pStyle w:val="Normal6"/>
              <w:jc w:val="center"/>
              <w:rPr>
                <w:noProof/>
                <w:color w:val="000005"/>
                <w:szCs w:val="24"/>
              </w:rPr>
            </w:pPr>
            <w:r>
              <w:rPr>
                <w:b/>
                <w:i/>
                <w:noProof/>
                <w:color w:val="000005"/>
              </w:rPr>
              <w:t>Article 5 bis</w:t>
            </w:r>
          </w:p>
        </w:tc>
      </w:tr>
      <w:tr w:rsidR="007F79DC" w:rsidRPr="00126821" w:rsidTr="007B553E">
        <w:trPr>
          <w:jc w:val="center"/>
        </w:trPr>
        <w:tc>
          <w:tcPr>
            <w:tcW w:w="4876" w:type="dxa"/>
          </w:tcPr>
          <w:p w:rsidR="007F79DC" w:rsidRPr="00651CD9" w:rsidRDefault="007F79DC" w:rsidP="007B553E">
            <w:pPr>
              <w:pStyle w:val="Normal6"/>
              <w:rPr>
                <w:noProof/>
                <w:color w:val="0000FA"/>
              </w:rPr>
            </w:pPr>
          </w:p>
        </w:tc>
        <w:tc>
          <w:tcPr>
            <w:tcW w:w="4876" w:type="dxa"/>
            <w:hideMark/>
          </w:tcPr>
          <w:p w:rsidR="007F79DC" w:rsidRPr="00651CD9" w:rsidRDefault="007F79DC" w:rsidP="007B553E">
            <w:pPr>
              <w:pStyle w:val="Normal6"/>
              <w:jc w:val="center"/>
              <w:rPr>
                <w:noProof/>
                <w:color w:val="000005"/>
                <w:szCs w:val="24"/>
              </w:rPr>
            </w:pPr>
            <w:r>
              <w:rPr>
                <w:b/>
                <w:i/>
                <w:noProof/>
                <w:color w:val="000005"/>
              </w:rPr>
              <w:t>Participation de la société civile</w:t>
            </w:r>
          </w:p>
        </w:tc>
      </w:tr>
      <w:tr w:rsidR="007F79DC" w:rsidRPr="007F79DC" w:rsidTr="007B553E">
        <w:trPr>
          <w:jc w:val="center"/>
        </w:trPr>
        <w:tc>
          <w:tcPr>
            <w:tcW w:w="4876" w:type="dxa"/>
          </w:tcPr>
          <w:p w:rsidR="007F79DC" w:rsidRPr="00651CD9" w:rsidRDefault="007F79DC" w:rsidP="007B553E">
            <w:pPr>
              <w:pStyle w:val="Normal6"/>
              <w:rPr>
                <w:noProof/>
                <w:color w:val="0000FA"/>
              </w:rPr>
            </w:pPr>
          </w:p>
        </w:tc>
        <w:tc>
          <w:tcPr>
            <w:tcW w:w="4876" w:type="dxa"/>
            <w:hideMark/>
          </w:tcPr>
          <w:p w:rsidR="007F79DC" w:rsidRPr="00651CD9" w:rsidRDefault="007F79DC" w:rsidP="007B553E">
            <w:pPr>
              <w:pStyle w:val="Normal6"/>
              <w:rPr>
                <w:noProof/>
                <w:color w:val="000005"/>
                <w:szCs w:val="24"/>
              </w:rPr>
            </w:pPr>
            <w:r>
              <w:rPr>
                <w:b/>
                <w:i/>
                <w:noProof/>
                <w:color w:val="000005"/>
              </w:rPr>
              <w:t>La structure de l’Année européenne permet la participation active d’organisations professionnelles dans le domaine du patrimoine culturel, de réseaux culturels internationaux ainsi que d’ONG et d’associations culturelles intéressées, en particulier d’organisations de jeunes.</w:t>
            </w:r>
          </w:p>
        </w:tc>
      </w:tr>
    </w:tbl>
    <w:p w:rsidR="007F79DC" w:rsidRPr="007F79DC" w:rsidRDefault="007F79DC" w:rsidP="007F79DC">
      <w:pPr>
        <w:rPr>
          <w:noProof/>
          <w:szCs w:val="24"/>
        </w:rPr>
      </w:pPr>
      <w:r>
        <w:rPr>
          <w:rStyle w:val="HideTWBExt"/>
        </w:rPr>
        <w:t>&lt;/Amend&gt;</w:t>
      </w:r>
    </w:p>
    <w:p w:rsidR="007F79DC" w:rsidRPr="007F79DC" w:rsidRDefault="007F79DC" w:rsidP="007F79DC">
      <w:pPr>
        <w:pStyle w:val="AMNumberTabs"/>
        <w:keepNext/>
        <w:rPr>
          <w:noProof/>
        </w:rPr>
      </w:pPr>
      <w:r>
        <w:rPr>
          <w:rStyle w:val="HideTWBExt"/>
          <w:b w:val="0"/>
        </w:rPr>
        <w:t>&lt;Amend&gt;</w:t>
      </w:r>
      <w:r>
        <w:rPr>
          <w:noProof/>
          <w:color w:val="0000F0"/>
        </w:rPr>
        <w:t>Amendement</w:t>
      </w:r>
      <w:r>
        <w:tab/>
      </w:r>
      <w:r>
        <w:tab/>
      </w:r>
      <w:r>
        <w:rPr>
          <w:rStyle w:val="HideTWBExt"/>
          <w:b w:val="0"/>
        </w:rPr>
        <w:t>&lt;NumAm&gt;</w:t>
      </w:r>
      <w:r>
        <w:rPr>
          <w:noProof/>
          <w:color w:val="0000F0"/>
        </w:rPr>
        <w:t>10</w:t>
      </w:r>
      <w:r>
        <w:rPr>
          <w:rStyle w:val="HideTWBExt"/>
          <w:b w:val="0"/>
        </w:rPr>
        <w:t>&lt;/NumAm&gt;</w:t>
      </w:r>
    </w:p>
    <w:p w:rsidR="007F79DC" w:rsidRPr="007F79DC" w:rsidRDefault="007F79DC" w:rsidP="007F79DC">
      <w:pPr>
        <w:pStyle w:val="NormalBold12b"/>
        <w:keepNext/>
        <w:rPr>
          <w:noProof/>
        </w:rPr>
      </w:pPr>
      <w:r>
        <w:rPr>
          <w:rStyle w:val="HideTWBExt"/>
          <w:b w:val="0"/>
        </w:rPr>
        <w:t>&lt;DocAmend&gt;</w:t>
      </w:r>
      <w:r>
        <w:rPr>
          <w:noProof/>
          <w:color w:val="0000F0"/>
        </w:rPr>
        <w:t>Proposition de décision</w:t>
      </w:r>
      <w:r>
        <w:rPr>
          <w:rStyle w:val="HideTWBExt"/>
          <w:b w:val="0"/>
        </w:rPr>
        <w:t>&lt;/DocAmend&gt;</w:t>
      </w:r>
    </w:p>
    <w:p w:rsidR="007F79DC" w:rsidRPr="00F930C9" w:rsidRDefault="007F79DC" w:rsidP="007F79DC">
      <w:pPr>
        <w:pStyle w:val="NormalBold"/>
        <w:rPr>
          <w:noProof/>
        </w:rPr>
      </w:pPr>
      <w:r>
        <w:rPr>
          <w:rStyle w:val="HideTWBExt"/>
          <w:b w:val="0"/>
        </w:rPr>
        <w:t>&lt;Article&gt;</w:t>
      </w:r>
      <w:r>
        <w:rPr>
          <w:noProof/>
          <w:color w:val="0000EB"/>
        </w:rPr>
        <w:t>Article 7 – paragraphe -1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79DC" w:rsidRPr="00E0148B" w:rsidTr="007B553E">
        <w:trPr>
          <w:jc w:val="center"/>
        </w:trPr>
        <w:tc>
          <w:tcPr>
            <w:tcW w:w="9752" w:type="dxa"/>
            <w:gridSpan w:val="2"/>
          </w:tcPr>
          <w:p w:rsidR="007F79DC" w:rsidRPr="00F930C9" w:rsidRDefault="007F79DC" w:rsidP="007B553E">
            <w:pPr>
              <w:keepNext/>
              <w:rPr>
                <w:noProof/>
              </w:rPr>
            </w:pPr>
          </w:p>
        </w:tc>
      </w:tr>
      <w:tr w:rsidR="007F79DC" w:rsidRPr="00126821" w:rsidTr="007B553E">
        <w:trPr>
          <w:jc w:val="center"/>
        </w:trPr>
        <w:tc>
          <w:tcPr>
            <w:tcW w:w="4876" w:type="dxa"/>
            <w:hideMark/>
          </w:tcPr>
          <w:p w:rsidR="007F79DC" w:rsidRPr="00651CD9" w:rsidRDefault="007F79DC" w:rsidP="007B553E">
            <w:pPr>
              <w:pStyle w:val="ColumnHeading"/>
              <w:keepNext/>
              <w:rPr>
                <w:noProof/>
                <w:color w:val="0000FA"/>
              </w:rPr>
            </w:pPr>
            <w:r>
              <w:rPr>
                <w:noProof/>
                <w:color w:val="0000FA"/>
              </w:rPr>
              <w:t>Texte proposé par la Commission</w:t>
            </w:r>
          </w:p>
        </w:tc>
        <w:tc>
          <w:tcPr>
            <w:tcW w:w="4876" w:type="dxa"/>
            <w:hideMark/>
          </w:tcPr>
          <w:p w:rsidR="007F79DC" w:rsidRPr="00651CD9" w:rsidRDefault="007F79DC" w:rsidP="007B553E">
            <w:pPr>
              <w:pStyle w:val="ColumnHeading"/>
              <w:keepNext/>
              <w:rPr>
                <w:noProof/>
                <w:color w:val="0000F5"/>
              </w:rPr>
            </w:pPr>
            <w:r>
              <w:rPr>
                <w:noProof/>
                <w:color w:val="0000F5"/>
              </w:rPr>
              <w:t>Amendement</w:t>
            </w:r>
          </w:p>
        </w:tc>
      </w:tr>
      <w:tr w:rsidR="007F79DC" w:rsidRPr="007F79DC" w:rsidTr="007B553E">
        <w:trPr>
          <w:jc w:val="center"/>
        </w:trPr>
        <w:tc>
          <w:tcPr>
            <w:tcW w:w="4876" w:type="dxa"/>
          </w:tcPr>
          <w:p w:rsidR="007F79DC" w:rsidRPr="00651CD9" w:rsidRDefault="007F79DC" w:rsidP="007B553E">
            <w:pPr>
              <w:pStyle w:val="Normal6"/>
              <w:rPr>
                <w:noProof/>
                <w:color w:val="0000FA"/>
              </w:rPr>
            </w:pPr>
          </w:p>
        </w:tc>
        <w:tc>
          <w:tcPr>
            <w:tcW w:w="4876" w:type="dxa"/>
            <w:hideMark/>
          </w:tcPr>
          <w:p w:rsidR="007F79DC" w:rsidRPr="00651CD9" w:rsidRDefault="007F79DC" w:rsidP="007B553E">
            <w:pPr>
              <w:pStyle w:val="Normal6"/>
              <w:rPr>
                <w:noProof/>
                <w:color w:val="000005"/>
                <w:szCs w:val="24"/>
              </w:rPr>
            </w:pPr>
            <w:r>
              <w:rPr>
                <w:b/>
                <w:i/>
                <w:noProof/>
                <w:color w:val="000005"/>
              </w:rPr>
              <w:t>-1.</w:t>
            </w:r>
            <w:r>
              <w:tab/>
            </w:r>
            <w:r>
              <w:rPr>
                <w:b/>
                <w:i/>
                <w:noProof/>
                <w:color w:val="000005"/>
              </w:rPr>
              <w:t>Un article du budget général de l’Union est spécialement consacré à l’Année européenne. Il inclut les fonds prévus pour la préparation de cette Année, pour sa mise en œuvre et pour la réalisation des actions qui contribuent à la pérennité de l’Année européenne. Il est doté d’un montant total de 15 millions d'euros.</w:t>
            </w:r>
          </w:p>
        </w:tc>
      </w:tr>
    </w:tbl>
    <w:p w:rsidR="007F79DC" w:rsidRPr="007F79DC" w:rsidRDefault="007F79DC" w:rsidP="007F79DC">
      <w:pPr>
        <w:rPr>
          <w:noProof/>
          <w:szCs w:val="24"/>
        </w:rPr>
      </w:pPr>
      <w:r>
        <w:rPr>
          <w:rStyle w:val="HideTWBExt"/>
        </w:rPr>
        <w:t>&lt;/Amend&gt;</w:t>
      </w:r>
    </w:p>
    <w:p w:rsidR="007F79DC" w:rsidRPr="007F79DC" w:rsidRDefault="007F79DC" w:rsidP="007F79DC">
      <w:pPr>
        <w:pStyle w:val="AMNumberTabs"/>
        <w:keepNext/>
        <w:rPr>
          <w:noProof/>
        </w:rPr>
      </w:pPr>
      <w:r>
        <w:rPr>
          <w:rStyle w:val="HideTWBExt"/>
          <w:b w:val="0"/>
        </w:rPr>
        <w:t>&lt;Amend&gt;</w:t>
      </w:r>
      <w:r>
        <w:rPr>
          <w:noProof/>
          <w:color w:val="0000F0"/>
        </w:rPr>
        <w:t>Amendement</w:t>
      </w:r>
      <w:r>
        <w:tab/>
      </w:r>
      <w:r>
        <w:tab/>
      </w:r>
      <w:r>
        <w:rPr>
          <w:rStyle w:val="HideTWBExt"/>
          <w:b w:val="0"/>
        </w:rPr>
        <w:t>&lt;NumAm&gt;</w:t>
      </w:r>
      <w:r>
        <w:rPr>
          <w:noProof/>
          <w:color w:val="0000F0"/>
        </w:rPr>
        <w:t>11</w:t>
      </w:r>
      <w:r>
        <w:rPr>
          <w:rStyle w:val="HideTWBExt"/>
          <w:b w:val="0"/>
        </w:rPr>
        <w:t>&lt;/NumAm&gt;</w:t>
      </w:r>
    </w:p>
    <w:p w:rsidR="007F79DC" w:rsidRPr="007F79DC" w:rsidRDefault="007F79DC" w:rsidP="007F79DC">
      <w:pPr>
        <w:pStyle w:val="NormalBold12b"/>
        <w:keepNext/>
        <w:rPr>
          <w:noProof/>
        </w:rPr>
      </w:pPr>
      <w:r>
        <w:rPr>
          <w:rStyle w:val="HideTWBExt"/>
          <w:b w:val="0"/>
        </w:rPr>
        <w:t>&lt;DocAmend&gt;</w:t>
      </w:r>
      <w:r>
        <w:rPr>
          <w:noProof/>
          <w:color w:val="0000F0"/>
        </w:rPr>
        <w:t>Proposition de décision</w:t>
      </w:r>
      <w:r>
        <w:rPr>
          <w:rStyle w:val="HideTWBExt"/>
          <w:b w:val="0"/>
        </w:rPr>
        <w:t>&lt;/DocAmend&gt;</w:t>
      </w:r>
    </w:p>
    <w:p w:rsidR="007F79DC" w:rsidRPr="00F930C9" w:rsidRDefault="007F79DC" w:rsidP="007F79DC">
      <w:pPr>
        <w:pStyle w:val="NormalBold"/>
        <w:rPr>
          <w:noProof/>
        </w:rPr>
      </w:pPr>
      <w:r>
        <w:rPr>
          <w:rStyle w:val="HideTWBExt"/>
          <w:b w:val="0"/>
        </w:rPr>
        <w:t>&lt;Article&gt;</w:t>
      </w:r>
      <w:r>
        <w:rPr>
          <w:noProof/>
          <w:color w:val="0000EB"/>
        </w:rPr>
        <w:t>Article 7 – paragraphe -1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79DC" w:rsidRPr="00E0148B" w:rsidTr="007B553E">
        <w:trPr>
          <w:jc w:val="center"/>
        </w:trPr>
        <w:tc>
          <w:tcPr>
            <w:tcW w:w="9752" w:type="dxa"/>
            <w:gridSpan w:val="2"/>
          </w:tcPr>
          <w:p w:rsidR="007F79DC" w:rsidRPr="00F930C9" w:rsidRDefault="007F79DC" w:rsidP="007B553E">
            <w:pPr>
              <w:keepNext/>
              <w:rPr>
                <w:noProof/>
              </w:rPr>
            </w:pPr>
          </w:p>
        </w:tc>
      </w:tr>
      <w:tr w:rsidR="007F79DC" w:rsidRPr="00126821" w:rsidTr="007B553E">
        <w:trPr>
          <w:jc w:val="center"/>
        </w:trPr>
        <w:tc>
          <w:tcPr>
            <w:tcW w:w="4876" w:type="dxa"/>
            <w:hideMark/>
          </w:tcPr>
          <w:p w:rsidR="007F79DC" w:rsidRPr="00651CD9" w:rsidRDefault="007F79DC" w:rsidP="007B553E">
            <w:pPr>
              <w:pStyle w:val="ColumnHeading"/>
              <w:keepNext/>
              <w:rPr>
                <w:noProof/>
                <w:color w:val="0000FA"/>
              </w:rPr>
            </w:pPr>
            <w:r>
              <w:rPr>
                <w:noProof/>
                <w:color w:val="0000FA"/>
              </w:rPr>
              <w:t>Texte proposé par la Commission</w:t>
            </w:r>
          </w:p>
        </w:tc>
        <w:tc>
          <w:tcPr>
            <w:tcW w:w="4876" w:type="dxa"/>
            <w:hideMark/>
          </w:tcPr>
          <w:p w:rsidR="007F79DC" w:rsidRPr="00651CD9" w:rsidRDefault="007F79DC" w:rsidP="007B553E">
            <w:pPr>
              <w:pStyle w:val="ColumnHeading"/>
              <w:keepNext/>
              <w:rPr>
                <w:noProof/>
                <w:color w:val="0000F5"/>
              </w:rPr>
            </w:pPr>
            <w:r>
              <w:rPr>
                <w:noProof/>
                <w:color w:val="0000F5"/>
              </w:rPr>
              <w:t>Amendement</w:t>
            </w:r>
          </w:p>
        </w:tc>
      </w:tr>
      <w:tr w:rsidR="007F79DC" w:rsidRPr="00126821" w:rsidTr="007B553E">
        <w:trPr>
          <w:jc w:val="center"/>
        </w:trPr>
        <w:tc>
          <w:tcPr>
            <w:tcW w:w="4876" w:type="dxa"/>
          </w:tcPr>
          <w:p w:rsidR="007F79DC" w:rsidRPr="00651CD9" w:rsidRDefault="007F79DC" w:rsidP="007B553E">
            <w:pPr>
              <w:pStyle w:val="Normal6"/>
              <w:rPr>
                <w:noProof/>
                <w:color w:val="0000FA"/>
              </w:rPr>
            </w:pPr>
          </w:p>
        </w:tc>
        <w:tc>
          <w:tcPr>
            <w:tcW w:w="4876" w:type="dxa"/>
            <w:hideMark/>
          </w:tcPr>
          <w:p w:rsidR="007F79DC" w:rsidRPr="00651CD9" w:rsidRDefault="007F79DC" w:rsidP="007B553E">
            <w:pPr>
              <w:pStyle w:val="Normal6"/>
              <w:rPr>
                <w:noProof/>
                <w:color w:val="000005"/>
                <w:szCs w:val="24"/>
              </w:rPr>
            </w:pPr>
            <w:r>
              <w:rPr>
                <w:b/>
                <w:i/>
                <w:noProof/>
                <w:color w:val="000005"/>
              </w:rPr>
              <w:t>-1 bis.</w:t>
            </w:r>
            <w:r>
              <w:tab/>
            </w:r>
            <w:r>
              <w:rPr>
                <w:b/>
                <w:i/>
                <w:noProof/>
                <w:color w:val="000005"/>
              </w:rPr>
              <w:t>La répartition annuelle indicative de ce budget se présente comme suit: 1 million d’euros en 2017, 13 millions en 2018 et 1 million en 2019. Les crédits annuels sont autorisés par l’autorité budgétaire.</w:t>
            </w:r>
          </w:p>
        </w:tc>
      </w:tr>
    </w:tbl>
    <w:p w:rsidR="007F79DC" w:rsidRPr="00126821" w:rsidRDefault="007F79DC" w:rsidP="007F79DC">
      <w:pPr>
        <w:rPr>
          <w:noProof/>
          <w:szCs w:val="24"/>
        </w:rPr>
      </w:pPr>
      <w:r>
        <w:rPr>
          <w:rStyle w:val="HideTWBExt"/>
        </w:rPr>
        <w:t>&lt;/Amend&gt;</w:t>
      </w:r>
    </w:p>
    <w:p w:rsidR="007F79DC" w:rsidRPr="00126821" w:rsidRDefault="007F79DC" w:rsidP="007F79DC">
      <w:pPr>
        <w:pStyle w:val="AMNumberTabs"/>
        <w:keepNext/>
        <w:rPr>
          <w:noProof/>
        </w:rPr>
      </w:pPr>
      <w:r>
        <w:rPr>
          <w:rStyle w:val="HideTWBExt"/>
          <w:b w:val="0"/>
        </w:rPr>
        <w:t>&lt;Amend&gt;</w:t>
      </w:r>
      <w:r>
        <w:rPr>
          <w:noProof/>
          <w:color w:val="0000F0"/>
        </w:rPr>
        <w:t>Amendement</w:t>
      </w:r>
      <w:r>
        <w:tab/>
      </w:r>
      <w:r>
        <w:tab/>
      </w:r>
      <w:r>
        <w:rPr>
          <w:rStyle w:val="HideTWBExt"/>
          <w:b w:val="0"/>
        </w:rPr>
        <w:t>&lt;NumAm&gt;</w:t>
      </w:r>
      <w:r>
        <w:rPr>
          <w:noProof/>
          <w:color w:val="0000F0"/>
        </w:rPr>
        <w:t>12</w:t>
      </w:r>
      <w:r>
        <w:rPr>
          <w:rStyle w:val="HideTWBExt"/>
          <w:b w:val="0"/>
        </w:rPr>
        <w:t>&lt;/NumAm&gt;</w:t>
      </w:r>
    </w:p>
    <w:p w:rsidR="007F79DC" w:rsidRPr="00126821" w:rsidRDefault="007F79DC" w:rsidP="007F79DC">
      <w:pPr>
        <w:pStyle w:val="NormalBold12b"/>
        <w:keepNext/>
        <w:rPr>
          <w:noProof/>
        </w:rPr>
      </w:pPr>
      <w:r>
        <w:rPr>
          <w:rStyle w:val="HideTWBExt"/>
          <w:b w:val="0"/>
        </w:rPr>
        <w:t>&lt;DocAmend&gt;</w:t>
      </w:r>
      <w:r>
        <w:rPr>
          <w:noProof/>
          <w:color w:val="0000F0"/>
        </w:rPr>
        <w:t>Proposition de décision</w:t>
      </w:r>
      <w:r>
        <w:rPr>
          <w:rStyle w:val="HideTWBExt"/>
          <w:b w:val="0"/>
        </w:rPr>
        <w:t>&lt;/DocAmend&gt;</w:t>
      </w:r>
    </w:p>
    <w:p w:rsidR="007F79DC" w:rsidRPr="00126821" w:rsidRDefault="007F79DC" w:rsidP="007F79DC">
      <w:pPr>
        <w:pStyle w:val="NormalBold"/>
        <w:rPr>
          <w:noProof/>
        </w:rPr>
      </w:pPr>
      <w:r>
        <w:rPr>
          <w:rStyle w:val="HideTWBExt"/>
          <w:b w:val="0"/>
        </w:rPr>
        <w:t>&lt;Article&gt;</w:t>
      </w:r>
      <w:r>
        <w:rPr>
          <w:noProof/>
          <w:color w:val="0000EB"/>
        </w:rPr>
        <w:t>Article 7 – alinéa unique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F79DC" w:rsidRPr="00126821" w:rsidTr="007B553E">
        <w:trPr>
          <w:jc w:val="center"/>
        </w:trPr>
        <w:tc>
          <w:tcPr>
            <w:tcW w:w="9752" w:type="dxa"/>
            <w:gridSpan w:val="2"/>
          </w:tcPr>
          <w:p w:rsidR="007F79DC" w:rsidRPr="00126821" w:rsidRDefault="007F79DC" w:rsidP="007B553E">
            <w:pPr>
              <w:keepNext/>
              <w:rPr>
                <w:noProof/>
              </w:rPr>
            </w:pPr>
          </w:p>
        </w:tc>
      </w:tr>
      <w:tr w:rsidR="007F79DC" w:rsidRPr="00126821" w:rsidTr="007B553E">
        <w:trPr>
          <w:jc w:val="center"/>
        </w:trPr>
        <w:tc>
          <w:tcPr>
            <w:tcW w:w="4876" w:type="dxa"/>
            <w:hideMark/>
          </w:tcPr>
          <w:p w:rsidR="007F79DC" w:rsidRPr="00651CD9" w:rsidRDefault="007F79DC" w:rsidP="007B553E">
            <w:pPr>
              <w:pStyle w:val="ColumnHeading"/>
              <w:keepNext/>
              <w:rPr>
                <w:noProof/>
                <w:color w:val="0000FA"/>
              </w:rPr>
            </w:pPr>
            <w:r>
              <w:rPr>
                <w:noProof/>
                <w:color w:val="0000FA"/>
              </w:rPr>
              <w:t>Texte proposé par la Commission</w:t>
            </w:r>
          </w:p>
        </w:tc>
        <w:tc>
          <w:tcPr>
            <w:tcW w:w="4876" w:type="dxa"/>
            <w:hideMark/>
          </w:tcPr>
          <w:p w:rsidR="007F79DC" w:rsidRPr="00651CD9" w:rsidRDefault="007F79DC" w:rsidP="007B553E">
            <w:pPr>
              <w:pStyle w:val="ColumnHeading"/>
              <w:keepNext/>
              <w:rPr>
                <w:noProof/>
                <w:color w:val="0000F5"/>
              </w:rPr>
            </w:pPr>
            <w:r>
              <w:rPr>
                <w:noProof/>
                <w:color w:val="0000F5"/>
              </w:rPr>
              <w:t>Amendement</w:t>
            </w:r>
          </w:p>
        </w:tc>
      </w:tr>
      <w:tr w:rsidR="007F79DC" w:rsidRPr="007F79DC" w:rsidTr="007B553E">
        <w:trPr>
          <w:jc w:val="center"/>
        </w:trPr>
        <w:tc>
          <w:tcPr>
            <w:tcW w:w="4876" w:type="dxa"/>
            <w:hideMark/>
          </w:tcPr>
          <w:p w:rsidR="007F79DC" w:rsidRPr="00651CD9" w:rsidRDefault="007F79DC" w:rsidP="007B553E">
            <w:pPr>
              <w:pStyle w:val="Normal6"/>
              <w:rPr>
                <w:noProof/>
                <w:color w:val="0000FA"/>
              </w:rPr>
            </w:pPr>
            <w:r>
              <w:rPr>
                <w:b/>
                <w:i/>
              </w:rPr>
              <w:t>Le</w:t>
            </w:r>
            <w:r>
              <w:t xml:space="preserve"> </w:t>
            </w:r>
            <w:r>
              <w:rPr>
                <w:b/>
                <w:i/>
              </w:rPr>
              <w:t>cofinancement, au niveau européen, des activités menées au soutien</w:t>
            </w:r>
            <w:r>
              <w:t xml:space="preserve"> de l'Année européenne </w:t>
            </w:r>
            <w:r>
              <w:rPr>
                <w:b/>
                <w:i/>
              </w:rPr>
              <w:t>est conforme aux règles applicables aux programmes existants</w:t>
            </w:r>
            <w:r>
              <w:t xml:space="preserve">, </w:t>
            </w:r>
            <w:r>
              <w:rPr>
                <w:b/>
                <w:i/>
              </w:rPr>
              <w:t>en particulier le programme «Europe créative»,</w:t>
            </w:r>
            <w:r>
              <w:t xml:space="preserve"> et </w:t>
            </w:r>
            <w:r>
              <w:rPr>
                <w:b/>
                <w:i/>
              </w:rPr>
              <w:t>est alloué dans le cadre</w:t>
            </w:r>
            <w:r>
              <w:t xml:space="preserve"> des </w:t>
            </w:r>
            <w:r>
              <w:rPr>
                <w:b/>
                <w:i/>
              </w:rPr>
              <w:t>possibilités existantes pour la fixation</w:t>
            </w:r>
            <w:r>
              <w:t xml:space="preserve"> des </w:t>
            </w:r>
            <w:r>
              <w:rPr>
                <w:b/>
                <w:i/>
              </w:rPr>
              <w:t>priorités sur une base annuelle ou pluriannuelle</w:t>
            </w:r>
            <w:r>
              <w:t>.</w:t>
            </w:r>
            <w:r>
              <w:rPr>
                <w:noProof/>
                <w:color w:val="0000FA"/>
              </w:rPr>
              <w:t xml:space="preserve"> L'Année européenne peut s'appuyer, le cas échéant, sur d'autres programmes et politiques dans le cadre de leurs dispositions juridiques et financières existantes.</w:t>
            </w:r>
          </w:p>
        </w:tc>
        <w:tc>
          <w:tcPr>
            <w:tcW w:w="4876" w:type="dxa"/>
            <w:hideMark/>
          </w:tcPr>
          <w:p w:rsidR="007F79DC" w:rsidRPr="00651CD9" w:rsidRDefault="007F79DC" w:rsidP="007B553E">
            <w:pPr>
              <w:pStyle w:val="Normal6"/>
              <w:rPr>
                <w:noProof/>
                <w:color w:val="000005"/>
                <w:szCs w:val="24"/>
              </w:rPr>
            </w:pPr>
            <w:r>
              <w:rPr>
                <w:b/>
                <w:i/>
                <w:noProof/>
                <w:color w:val="000005"/>
              </w:rPr>
              <w:t xml:space="preserve">1. </w:t>
            </w:r>
            <w:r>
              <w:tab/>
            </w:r>
            <w:r>
              <w:rPr>
                <w:b/>
                <w:i/>
              </w:rPr>
              <w:t>Les activités organisées dans le cadre</w:t>
            </w:r>
            <w:r>
              <w:t xml:space="preserve"> de l’Année européenne </w:t>
            </w:r>
            <w:r>
              <w:rPr>
                <w:b/>
                <w:i/>
              </w:rPr>
              <w:t>peuvent être cofinancées par des subventions spécifiques des autorités nationales</w:t>
            </w:r>
            <w:r>
              <w:t xml:space="preserve">, </w:t>
            </w:r>
            <w:r>
              <w:rPr>
                <w:b/>
                <w:i/>
              </w:rPr>
              <w:t>régionales et locales des États membres</w:t>
            </w:r>
            <w:r>
              <w:t xml:space="preserve"> et </w:t>
            </w:r>
            <w:r>
              <w:rPr>
                <w:b/>
                <w:i/>
              </w:rPr>
              <w:t>par</w:t>
            </w:r>
            <w:r>
              <w:t xml:space="preserve"> des </w:t>
            </w:r>
            <w:r>
              <w:rPr>
                <w:b/>
                <w:i/>
              </w:rPr>
              <w:t>mécanismes de financement flexibles, comme</w:t>
            </w:r>
            <w:r>
              <w:t xml:space="preserve"> des </w:t>
            </w:r>
            <w:r>
              <w:rPr>
                <w:b/>
                <w:i/>
              </w:rPr>
              <w:t>partenariats public-privé et des financements participatifs</w:t>
            </w:r>
            <w:r>
              <w:t>.</w:t>
            </w:r>
            <w:r>
              <w:rPr>
                <w:noProof/>
                <w:color w:val="000005"/>
              </w:rPr>
              <w:t xml:space="preserve"> L’Année européenne peut s’appuyer, le cas échéant, sur d’autres programmes et politiques dans le cadre de leurs dispositions juridiques et financières existantes.</w:t>
            </w:r>
          </w:p>
        </w:tc>
      </w:tr>
    </w:tbl>
    <w:p w:rsidR="007F79DC" w:rsidRPr="007F79DC" w:rsidRDefault="007F79DC" w:rsidP="007F79DC">
      <w:pPr>
        <w:rPr>
          <w:noProof/>
          <w:szCs w:val="24"/>
        </w:rPr>
      </w:pPr>
      <w:r>
        <w:rPr>
          <w:rStyle w:val="HideTWBExt"/>
        </w:rPr>
        <w:t>&lt;/Amend&gt;&lt;/RepeatBlock-Amend&gt;</w:t>
      </w:r>
    </w:p>
    <w:p w:rsidR="007F79DC" w:rsidRPr="00126821" w:rsidRDefault="007F79DC" w:rsidP="007F79DC">
      <w:pPr>
        <w:pStyle w:val="CommentText"/>
        <w:rPr>
          <w:noProof/>
        </w:rPr>
      </w:pPr>
    </w:p>
    <w:p w:rsidR="007F79DC" w:rsidRPr="007F79DC" w:rsidRDefault="007F79DC" w:rsidP="007F79DC">
      <w:pPr>
        <w:pStyle w:val="PageHeading"/>
        <w:spacing w:before="0" w:after="720"/>
        <w:rPr>
          <w:noProof/>
        </w:rPr>
      </w:pPr>
      <w:r>
        <w:br w:type="page"/>
      </w:r>
      <w:bookmarkStart w:id="3" w:name="_Toc467141538"/>
      <w:bookmarkStart w:id="4" w:name="_Toc467491976"/>
      <w:bookmarkStart w:id="5" w:name="OpinionToc_1"/>
      <w:r>
        <w:rPr>
          <w:caps/>
          <w:noProof/>
        </w:rPr>
        <w:t>AVIS DE LA COMMISSION DES BUDGETS SUR LA COMPATIBILITÉ FINANCIÈRE</w:t>
      </w:r>
      <w:bookmarkEnd w:id="3"/>
      <w:bookmarkEnd w:id="4"/>
      <w:r>
        <w:rPr>
          <w:caps/>
          <w:noProof/>
        </w:rPr>
        <w:t xml:space="preserve"> </w:t>
      </w:r>
      <w:bookmarkEnd w:id="5"/>
    </w:p>
    <w:p w:rsidR="007F79DC" w:rsidRPr="007F79DC" w:rsidRDefault="007F79DC" w:rsidP="007F79DC">
      <w:pPr>
        <w:rPr>
          <w:noProof/>
        </w:rPr>
      </w:pPr>
    </w:p>
    <w:p w:rsidR="007F79DC" w:rsidRPr="00126821" w:rsidRDefault="007F79DC" w:rsidP="007F79DC">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left" w:pos="-1104"/>
          <w:tab w:val="left" w:pos="-96"/>
          <w:tab w:val="center" w:pos="2448"/>
          <w:tab w:val="left" w:pos="5529"/>
        </w:tabs>
        <w:suppressAutoHyphens/>
        <w:rPr>
          <w:noProof/>
          <w:spacing w:val="-2"/>
          <w:szCs w:val="24"/>
        </w:rPr>
      </w:pPr>
      <w:r>
        <w:t>M</w:t>
      </w:r>
      <w:r>
        <w:rPr>
          <w:vertAlign w:val="superscript"/>
        </w:rPr>
        <w:t>me</w:t>
      </w:r>
      <w:r>
        <w:t xml:space="preserve"> Silvia Costa</w:t>
      </w:r>
    </w:p>
    <w:p w:rsidR="007F79DC" w:rsidRPr="00126821" w:rsidRDefault="007F79DC" w:rsidP="007F79DC">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left" w:pos="-1104"/>
          <w:tab w:val="left" w:pos="-96"/>
          <w:tab w:val="center" w:pos="2448"/>
          <w:tab w:val="left" w:pos="5529"/>
        </w:tabs>
        <w:suppressAutoHyphens/>
        <w:rPr>
          <w:noProof/>
          <w:spacing w:val="-2"/>
          <w:szCs w:val="24"/>
        </w:rPr>
      </w:pPr>
      <w:r>
        <w:t>Présidente</w:t>
      </w:r>
    </w:p>
    <w:p w:rsidR="007F79DC" w:rsidRPr="00126821" w:rsidRDefault="007F79DC" w:rsidP="007F79DC">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left" w:pos="-1104"/>
          <w:tab w:val="left" w:pos="-96"/>
          <w:tab w:val="center" w:pos="2448"/>
          <w:tab w:val="left" w:pos="5529"/>
        </w:tabs>
        <w:suppressAutoHyphens/>
        <w:ind w:left="5760" w:hanging="5760"/>
        <w:jc w:val="left"/>
        <w:rPr>
          <w:noProof/>
          <w:szCs w:val="24"/>
        </w:rPr>
      </w:pPr>
      <w:r>
        <w:t>Commission de la culture et de l'éducation</w:t>
      </w:r>
    </w:p>
    <w:p w:rsidR="007F79DC" w:rsidRPr="00126821" w:rsidRDefault="007F79DC" w:rsidP="007F79DC">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left" w:pos="-1104"/>
          <w:tab w:val="left" w:pos="-96"/>
          <w:tab w:val="center" w:pos="2448"/>
          <w:tab w:val="left" w:pos="5529"/>
        </w:tabs>
        <w:suppressAutoHyphens/>
        <w:rPr>
          <w:noProof/>
          <w:spacing w:val="-2"/>
          <w:szCs w:val="24"/>
        </w:rPr>
      </w:pPr>
      <w:r>
        <w:t>BRUXELLES</w:t>
      </w:r>
    </w:p>
    <w:p w:rsidR="007F79DC" w:rsidRPr="007F79DC" w:rsidRDefault="007F79DC" w:rsidP="007F79DC">
      <w:pPr>
        <w:tabs>
          <w:tab w:val="left" w:pos="-1104"/>
          <w:tab w:val="left" w:pos="-96"/>
          <w:tab w:val="center" w:pos="2448"/>
          <w:tab w:val="left" w:pos="4512"/>
        </w:tabs>
        <w:suppressAutoHyphens/>
        <w:jc w:val="both"/>
        <w:rPr>
          <w:noProof/>
          <w:spacing w:val="-2"/>
          <w:szCs w:val="24"/>
        </w:rPr>
      </w:pPr>
    </w:p>
    <w:p w:rsidR="007F79DC" w:rsidRPr="007F79DC" w:rsidRDefault="007F79DC" w:rsidP="007F79DC">
      <w:pPr>
        <w:tabs>
          <w:tab w:val="left" w:pos="-1104"/>
          <w:tab w:val="left" w:pos="-96"/>
          <w:tab w:val="center" w:pos="2448"/>
          <w:tab w:val="left" w:pos="4512"/>
        </w:tabs>
        <w:suppressAutoHyphens/>
        <w:jc w:val="both"/>
        <w:rPr>
          <w:noProof/>
          <w:spacing w:val="-2"/>
          <w:szCs w:val="24"/>
        </w:rPr>
      </w:pPr>
    </w:p>
    <w:p w:rsidR="007F79DC" w:rsidRPr="00126821" w:rsidRDefault="007F79DC" w:rsidP="007F79DC">
      <w:pPr>
        <w:pStyle w:val="BodyTextIndent2"/>
        <w:tabs>
          <w:tab w:val="clear" w:pos="1104"/>
          <w:tab w:val="left" w:pos="851"/>
        </w:tabs>
        <w:ind w:left="851" w:hanging="851"/>
        <w:jc w:val="left"/>
        <w:rPr>
          <w:noProof/>
          <w:szCs w:val="24"/>
        </w:rPr>
      </w:pPr>
      <w:r>
        <w:t>Objet:</w:t>
      </w:r>
      <w:r>
        <w:tab/>
        <w:t>Avis sur des questions relatives à la compatibilité financière de la proposition de décision du Parlement européen et du Conseil relative à une Année européenne du patrimoine culturel (COM(2016)0543 – C8-0352/2016 – 2016/0259(COD))</w:t>
      </w: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r>
        <w:t>Madame la Présidente,</w:t>
      </w:r>
    </w:p>
    <w:p w:rsidR="007F79DC" w:rsidRPr="00126821" w:rsidRDefault="007F79DC" w:rsidP="007F79DC">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noProof/>
          <w:spacing w:val="-2"/>
          <w:szCs w:val="24"/>
        </w:rPr>
      </w:pPr>
    </w:p>
    <w:p w:rsidR="007F79DC" w:rsidRPr="007F79DC" w:rsidRDefault="007F79DC" w:rsidP="007F79DC">
      <w:pPr>
        <w:tabs>
          <w:tab w:val="left" w:pos="-1104"/>
          <w:tab w:val="left" w:pos="-96"/>
          <w:tab w:val="left" w:pos="851"/>
          <w:tab w:val="left" w:pos="1104"/>
          <w:tab w:val="left" w:pos="1276"/>
          <w:tab w:val="left" w:pos="1418"/>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i/>
          <w:noProof/>
          <w:spacing w:val="-2"/>
          <w:szCs w:val="24"/>
        </w:rPr>
      </w:pPr>
      <w:r>
        <w:t>La proposition en cause a été transmise le 7 septembre 2016 à la commission des budgets pour que celle-ci formule un avis. Après avoir analysé cette proposition, les coordinateurs de cette commission ont décidé, le 15 septembre 2016, de se saisir de l’examen de la compatibilité financière de cette proposition avec le cadre financier pluriannuel (CFP), conformément à l’article 41, paragraphe 4, du règlement.</w:t>
      </w: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r>
        <w:t xml:space="preserve">La commission a examiné la question susmentionnée au cours de sa réunion du 11 octobre 2016. En dépit des inquiétudes qui ont été exprimées, elle a estimé que la proposition législative précitée, qui vise à promouvoir le rôle du patrimoine culturel européen en tant que composante essentielle de la diversité culturelle et du dialogue interculturel et à améliorer la contribution qu’il apporte à l’économie et à la société, est bel et bien financièrement compatible avec le CFP. </w:t>
      </w: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r>
        <w:t xml:space="preserve">Dans sa proposition, la Commission européenne suggère de mettre en œuvre l’Année européenne du patrimoine culturel par le truchement de plusieurs programmes de l’Union, notamment «Europe créative», les fonds structurels et d’investissement européens, Horizon 2020, Erasmus+ et «L’Europe pour les citoyens». Le coût de la mise en œuvre de cette initiative pendant toute sa durée de vie est estimé à 4 millions d’euros, sous la forme de crédits d’engagement et de paiement. Il sera financé dans le cadre du budget en vigueur, les fonds étant prélevés exclusivement dans l’enveloppe du sous-programme «Culture», qui fait partie du programme «Europe créative». Étant donné que l’Année européenne du patrimoine culturel n’était pas prévue lorsque le montant des enveloppes du CFP a été fixé et qu’aucun financement supplémentaire n’est demandé au titre de la programmation financière en cours (qui est certes de nature indicative), il existe une crainte réelle que des fonds destinés à d’autres initiatives du sous-programme «Culture»  soient réaffectés à l’Année européenne. </w:t>
      </w: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r>
        <w:t xml:space="preserve">Or, comme chacun le sait, le programme «Europe créative» a une taille relativement restreinte, mais couvre un champ d’application très large et très ambitieux. La commission estime que le taux d’utilisation des crédits d’engagement et de paiement de 100 % en fin d’exercice, ainsi que le nombre invariablement élevé des projets que ce programme encadre montrent clairement qu’il a atteint les limites de ses capacités. Puiser 4 millions d’euros dans cette enveloppe financière déjà très finement saupoudrée ne ferait qu’aggraver cette situation. </w:t>
      </w: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bCs/>
          <w:iCs/>
          <w:noProof/>
        </w:rPr>
      </w:pPr>
      <w:r>
        <w:t>C’est la raison pour laquelle la commission a voté, dans sa position sur le budget 2017, en faveur de la création d’une ligne budgétaire spécialement consacrée à l’Année européenne du patrimoine culturel, dotée d’un million d’euros en crédits d’engagement et de paiement, pour lancer les préparatifs de cette initiative en 2017. Elle a voulu, ce faisant, marquer le soutien explicite du Parlement à l’organisation d’une Année européenne qui ait les moyens de ses ambitions, sans que ce soit aux dépens des initiatives actuelles et futures entreprises dans le cadre du sous-programme «Culture», lui-même intégré au programme «Europe créative». L’Année européenne devrait donc bénéficier d’un financement propre. La commission a également voté non seulement en faveur du rétablissement de toutes les lignes budgétaires du programme «Europe créative», dont le Conseil souhaitait réduire le montant, mais aussi en faveur de la majoration du financement de ce programme d’un montant total de 41,6 millions d’euros d’engagements par rapport à ce que prévoyait le projet de budget, afin que le programme puisse mieux répondre aux sollicitations dont il est l’objet.</w:t>
      </w: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bCs/>
          <w:iCs/>
          <w:noProof/>
        </w:rPr>
      </w:pP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bCs/>
          <w:iCs/>
          <w:noProof/>
        </w:rPr>
      </w:pPr>
      <w:r>
        <w:t>Si la plénière soutenait cette position de la commission lors de son vote, le 26 octobre, elle donnerait au rapporteur budgétaire un mandat solide pour aborder les négociations avec le Conseil. Soyez assurée que notre commission mettra tout en œuvre, en coordination avec votre commission, pour que les négociations budgétaires débouchent sur un résultat acceptable. Aussi vous saurais-je gré de m’informer de l’évolution des aspects budgétaires de la proposition lors de la procédure d’adoption de la position du Parlement et lors des négociations avec le Conseil.</w:t>
      </w: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bCs/>
          <w:iCs/>
          <w:noProof/>
        </w:rPr>
      </w:pPr>
    </w:p>
    <w:p w:rsidR="007F79DC" w:rsidRPr="007F79DC" w:rsidRDefault="007F79DC" w:rsidP="007F79DC">
      <w:pPr>
        <w:tabs>
          <w:tab w:val="left" w:pos="-1104"/>
          <w:tab w:val="left" w:pos="-96"/>
          <w:tab w:val="left" w:pos="851"/>
          <w:tab w:val="left" w:pos="1104"/>
          <w:tab w:val="left" w:pos="1276"/>
          <w:tab w:val="left" w:pos="1418"/>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r>
        <w:t>Au cours de sa réunion du 11 octobre 2016, la commission des budgets a exprimé son accord sur les points susmentionnés et a donc décidé à l’unanimité de recommander que le rapporteur au fond pose la question de la compatibilité financière de la proposition à la Commission et au Conseil et assure le suivi en la matière au cours des négociations en étroite coopération avec le rapporteur pour le budget 2017, Jens Geier, et avec moi-même.</w:t>
      </w:r>
    </w:p>
    <w:p w:rsidR="007F79DC" w:rsidRPr="007F79DC" w:rsidRDefault="007F79DC" w:rsidP="007F79DC">
      <w:pPr>
        <w:tabs>
          <w:tab w:val="left" w:pos="-1104"/>
          <w:tab w:val="left" w:pos="-96"/>
          <w:tab w:val="left" w:pos="851"/>
          <w:tab w:val="left" w:pos="1104"/>
          <w:tab w:val="left" w:pos="1276"/>
          <w:tab w:val="left" w:pos="1418"/>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p>
    <w:p w:rsidR="007F79DC" w:rsidRPr="007F79DC" w:rsidRDefault="007F79DC" w:rsidP="007F79DC">
      <w:pPr>
        <w:tabs>
          <w:tab w:val="left" w:pos="-1104"/>
          <w:tab w:val="left" w:pos="-96"/>
          <w:tab w:val="left" w:pos="851"/>
          <w:tab w:val="left" w:pos="1104"/>
          <w:tab w:val="left" w:pos="1276"/>
          <w:tab w:val="left" w:pos="1418"/>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r>
        <w:t xml:space="preserve">La commission des budgets vous prie également de bien vouloir annexer la présente lettre au rapport définitif de la commission de la culture et de l’éducation. </w:t>
      </w:r>
    </w:p>
    <w:p w:rsidR="007F79DC" w:rsidRPr="00126821" w:rsidRDefault="007F79DC" w:rsidP="007F79DC">
      <w:pPr>
        <w:pStyle w:val="EndnoteText"/>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p>
    <w:p w:rsidR="007F79DC" w:rsidRPr="00126821" w:rsidRDefault="007F79DC" w:rsidP="007F79DC">
      <w:pPr>
        <w:pStyle w:val="EndnoteText"/>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noProof/>
          <w:spacing w:val="-2"/>
          <w:szCs w:val="24"/>
        </w:rPr>
      </w:pPr>
    </w:p>
    <w:p w:rsidR="007F79DC" w:rsidRPr="007F79DC" w:rsidRDefault="007F79DC" w:rsidP="007F79DC">
      <w:pPr>
        <w:tabs>
          <w:tab w:val="left" w:pos="-1104"/>
          <w:tab w:val="left" w:pos="-96"/>
          <w:tab w:val="left" w:pos="851"/>
          <w:tab w:val="left" w:pos="1104"/>
          <w:tab w:val="left" w:pos="1276"/>
          <w:tab w:val="left" w:pos="1418"/>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noProof/>
          <w:spacing w:val="-2"/>
          <w:szCs w:val="24"/>
        </w:rPr>
      </w:pPr>
      <w:r>
        <w:t>Veuillez agréer, Madame la Présidente, l’expression de ma haute considération.</w:t>
      </w: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noProof/>
          <w:spacing w:val="-2"/>
          <w:szCs w:val="24"/>
        </w:rPr>
      </w:pPr>
    </w:p>
    <w:p w:rsidR="007F79DC" w:rsidRPr="00126821" w:rsidRDefault="007F79DC" w:rsidP="007F79DC">
      <w:pPr>
        <w:pStyle w:val="EndnoteText"/>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noProof/>
          <w:spacing w:val="-2"/>
          <w:szCs w:val="24"/>
        </w:rPr>
      </w:pP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noProof/>
          <w:spacing w:val="-2"/>
          <w:szCs w:val="24"/>
        </w:rPr>
      </w:pPr>
    </w:p>
    <w:p w:rsidR="007F79DC" w:rsidRPr="007F79DC" w:rsidRDefault="007F79DC" w:rsidP="007F79DC">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noProof/>
          <w:spacing w:val="-2"/>
          <w:szCs w:val="24"/>
        </w:rPr>
      </w:pPr>
    </w:p>
    <w:p w:rsidR="007F79DC" w:rsidRPr="007F79DC" w:rsidRDefault="007F79DC" w:rsidP="007F79DC">
      <w:pPr>
        <w:tabs>
          <w:tab w:val="right" w:pos="9600"/>
        </w:tabs>
        <w:suppressAutoHyphens/>
        <w:rPr>
          <w:noProof/>
          <w:spacing w:val="-2"/>
          <w:szCs w:val="24"/>
        </w:rPr>
      </w:pPr>
    </w:p>
    <w:p w:rsidR="007F79DC" w:rsidRPr="007F79DC" w:rsidRDefault="007F79DC" w:rsidP="007F79DC">
      <w:pPr>
        <w:tabs>
          <w:tab w:val="right" w:pos="9600"/>
        </w:tabs>
        <w:suppressAutoHyphens/>
        <w:rPr>
          <w:noProof/>
          <w:spacing w:val="-2"/>
          <w:szCs w:val="24"/>
        </w:rPr>
      </w:pPr>
    </w:p>
    <w:p w:rsidR="007F79DC" w:rsidRPr="007F79DC" w:rsidRDefault="007F79DC" w:rsidP="007F79DC">
      <w:pPr>
        <w:tabs>
          <w:tab w:val="right" w:pos="9356"/>
        </w:tabs>
        <w:suppressAutoHyphens/>
        <w:jc w:val="both"/>
        <w:rPr>
          <w:noProof/>
          <w:spacing w:val="-2"/>
          <w:szCs w:val="24"/>
        </w:rPr>
      </w:pPr>
      <w:r>
        <w:t>Jean Arthuis</w:t>
      </w:r>
    </w:p>
    <w:p w:rsidR="007F79DC" w:rsidRPr="007F79DC" w:rsidRDefault="007F79DC" w:rsidP="007F79DC">
      <w:pPr>
        <w:tabs>
          <w:tab w:val="right" w:pos="9356"/>
        </w:tabs>
        <w:suppressAutoHyphens/>
        <w:jc w:val="both"/>
        <w:rPr>
          <w:noProof/>
          <w:spacing w:val="-2"/>
          <w:szCs w:val="24"/>
        </w:rPr>
      </w:pPr>
    </w:p>
    <w:p w:rsidR="007F79DC" w:rsidRPr="007F79DC" w:rsidRDefault="007F79DC" w:rsidP="007F79DC">
      <w:pPr>
        <w:rPr>
          <w:noProof/>
        </w:rPr>
      </w:pPr>
    </w:p>
    <w:p w:rsidR="007F79DC" w:rsidRPr="007F79DC" w:rsidRDefault="007F79DC" w:rsidP="007F79DC">
      <w:pPr>
        <w:rPr>
          <w:noProof/>
        </w:rPr>
      </w:pPr>
      <w:r>
        <w:br w:type="page"/>
      </w:r>
    </w:p>
    <w:p w:rsidR="007F79DC" w:rsidRPr="007F79DC" w:rsidRDefault="007F79DC" w:rsidP="007F79DC">
      <w:pPr>
        <w:pStyle w:val="PageHeading"/>
        <w:rPr>
          <w:noProof/>
        </w:rPr>
      </w:pPr>
      <w:bookmarkStart w:id="6" w:name="_Toc467141539"/>
      <w:bookmarkStart w:id="7" w:name="_Toc467491977"/>
      <w:r>
        <w:t>ANNEXE: SUGGESTIONS SOUS FORME DE LETTRE DE LA COMMISSION DU DÉVELOPPEMENT RÉGIONAL</w:t>
      </w:r>
      <w:bookmarkEnd w:id="6"/>
      <w:bookmarkEnd w:id="7"/>
    </w:p>
    <w:p w:rsidR="007F79DC" w:rsidRPr="007F79DC" w:rsidRDefault="007F79DC" w:rsidP="007F79DC">
      <w:pPr>
        <w:rPr>
          <w:noProof/>
        </w:rPr>
      </w:pPr>
    </w:p>
    <w:p w:rsidR="007F79DC" w:rsidRPr="007F79DC" w:rsidRDefault="007F79DC" w:rsidP="007F79DC">
      <w:pPr>
        <w:ind w:left="284"/>
        <w:rPr>
          <w:noProof/>
        </w:rPr>
      </w:pPr>
      <w:r>
        <w:t>M</w:t>
      </w:r>
      <w:r>
        <w:rPr>
          <w:vertAlign w:val="superscript"/>
        </w:rPr>
        <w:t>me</w:t>
      </w:r>
      <w:r>
        <w:t xml:space="preserve"> Silvia Costa</w:t>
      </w:r>
    </w:p>
    <w:p w:rsidR="007F79DC" w:rsidRPr="007F79DC" w:rsidRDefault="007F79DC" w:rsidP="007F79DC">
      <w:pPr>
        <w:ind w:left="284"/>
        <w:rPr>
          <w:noProof/>
        </w:rPr>
      </w:pPr>
      <w:r>
        <w:t>Présidente</w:t>
      </w:r>
    </w:p>
    <w:p w:rsidR="007F79DC" w:rsidRPr="007F79DC" w:rsidRDefault="007F79DC" w:rsidP="007F79DC">
      <w:pPr>
        <w:ind w:left="284"/>
        <w:rPr>
          <w:noProof/>
        </w:rPr>
      </w:pPr>
      <w:r>
        <w:t>Commission de la culture et de l'éducation</w:t>
      </w:r>
    </w:p>
    <w:p w:rsidR="007F79DC" w:rsidRPr="007F79DC" w:rsidRDefault="007F79DC" w:rsidP="007F79DC">
      <w:pPr>
        <w:ind w:left="284"/>
        <w:rPr>
          <w:noProof/>
        </w:rPr>
      </w:pPr>
      <w:r>
        <w:t>Parlement européen</w:t>
      </w:r>
    </w:p>
    <w:p w:rsidR="007F79DC" w:rsidRPr="007F79DC" w:rsidRDefault="007F79DC" w:rsidP="007F79DC">
      <w:pPr>
        <w:ind w:left="284"/>
        <w:rPr>
          <w:noProof/>
        </w:rPr>
      </w:pPr>
      <w:r>
        <w:t>ASP  15G306</w:t>
      </w:r>
    </w:p>
    <w:p w:rsidR="007F79DC" w:rsidRPr="007F79DC" w:rsidRDefault="007F79DC" w:rsidP="007F79DC">
      <w:pPr>
        <w:ind w:left="284"/>
        <w:rPr>
          <w:noProof/>
        </w:rPr>
      </w:pPr>
      <w:r>
        <w:t>Bruxelles</w:t>
      </w: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r>
        <w:t>Madame la Présidente,</w:t>
      </w: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b/>
          <w:noProof/>
        </w:rPr>
      </w:pPr>
      <w:r>
        <w:t>Objet:</w:t>
      </w:r>
      <w:r>
        <w:tab/>
      </w:r>
      <w:r>
        <w:rPr>
          <w:b/>
          <w:noProof/>
        </w:rPr>
        <w:t>Année européenne du patrimoine culturel</w:t>
      </w:r>
    </w:p>
    <w:p w:rsidR="007F79DC" w:rsidRPr="007F79DC" w:rsidRDefault="007F79DC" w:rsidP="007F79DC">
      <w:pPr>
        <w:ind w:left="284"/>
        <w:rPr>
          <w:noProof/>
        </w:rPr>
      </w:pPr>
    </w:p>
    <w:p w:rsidR="007F79DC" w:rsidRPr="007F79DC" w:rsidRDefault="007F79DC" w:rsidP="007F79DC">
      <w:pPr>
        <w:ind w:left="284"/>
        <w:rPr>
          <w:noProof/>
        </w:rPr>
      </w:pPr>
      <w:r>
        <w:t>Le 8 septembre 2016, les coordinateurs de la commission du développement régional ont décidé que la commission remettrait un avis sur le rapport législatif de la commission de la culture relatif à la proposition de la Commission européenne de faire de 2018 l’Année européenne du patrimoine culturel. Nous avons pris acte de la décision de la commission CULT de recourir à la procédure simplifiée prévue par l’article 50 du règlement du Parlement. Dans ces conditions, la commission REGI ne peut remettre un avis. Je vous transmets donc dans cette lettre les suggestions que la majorité des membres de la commission REGI ont adoptées en vue de modifier le texte de la Commission (COM(2016)0543). J’espère que vous partagerez cette approche.</w:t>
      </w: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r>
        <w:t>Suggestions:</w:t>
      </w: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tabs>
          <w:tab w:val="left" w:pos="357"/>
        </w:tabs>
        <w:spacing w:after="240"/>
        <w:ind w:left="284"/>
        <w:jc w:val="both"/>
        <w:rPr>
          <w:noProof/>
        </w:rPr>
      </w:pPr>
      <w:r>
        <w:t>1)</w:t>
      </w:r>
      <w:r>
        <w:tab/>
        <w:t>(article 7) l’Année européenne du patrimoine culturel pourrait également être financée en même temps que des projets intégrés dans ce domaine, dans le contexte des Fonds structurels et d’investissement européens (FSIE), dès lors qu’ils sont conformes au règlement de ce fonds et qu’ils sont cohérents avec les stratégies convenues dans les accords de partenariat;</w:t>
      </w:r>
    </w:p>
    <w:p w:rsidR="007F79DC" w:rsidRPr="007F79DC" w:rsidRDefault="007F79DC" w:rsidP="007F79DC">
      <w:pPr>
        <w:tabs>
          <w:tab w:val="left" w:pos="357"/>
        </w:tabs>
        <w:spacing w:after="240"/>
        <w:ind w:left="284"/>
        <w:jc w:val="both"/>
        <w:rPr>
          <w:noProof/>
        </w:rPr>
      </w:pPr>
      <w:r>
        <w:t>2)</w:t>
      </w:r>
      <w:r>
        <w:tab/>
        <w:t>(article 7) souligne l’importance de développer des synergies entre les Fonds structurels et d’investissement européens afin de soutenir l’Année européenne; invite la Commission à aider les États membres à intégrer cette Année à leurs projets locaux et régionaux de développement économique, afin d’en maximiser l’efficacité;</w:t>
      </w:r>
    </w:p>
    <w:p w:rsidR="007F79DC" w:rsidRPr="007F79DC" w:rsidRDefault="007F79DC" w:rsidP="007F79DC">
      <w:pPr>
        <w:tabs>
          <w:tab w:val="left" w:pos="357"/>
        </w:tabs>
        <w:spacing w:after="240"/>
        <w:ind w:left="284"/>
        <w:rPr>
          <w:noProof/>
        </w:rPr>
      </w:pPr>
      <w:r>
        <w:br w:type="page"/>
      </w:r>
    </w:p>
    <w:p w:rsidR="007F79DC" w:rsidRPr="007F79DC" w:rsidRDefault="007F79DC" w:rsidP="007F79DC">
      <w:pPr>
        <w:tabs>
          <w:tab w:val="left" w:pos="357"/>
        </w:tabs>
        <w:spacing w:after="240"/>
        <w:ind w:left="284"/>
        <w:jc w:val="both"/>
        <w:rPr>
          <w:noProof/>
        </w:rPr>
      </w:pPr>
      <w:r>
        <w:t>3)</w:t>
      </w:r>
      <w:r>
        <w:tab/>
        <w:t>(considérant 24 bis, nouveau) souligne l’importance des projets culturels transfrontaliers qui pourraient contribuer à renforcer la cohésion économique et sociale et favoriser l’intégration; demande, dans ce contexte, de renforcer et de continuer à mettre en place des actions de soutien en faveur du financement au moyen d’accords de partenariat public-privé;</w:t>
      </w:r>
    </w:p>
    <w:p w:rsidR="007F79DC" w:rsidRPr="007F79DC" w:rsidRDefault="007F79DC" w:rsidP="007F79DC">
      <w:pPr>
        <w:ind w:left="284"/>
        <w:rPr>
          <w:noProof/>
        </w:rPr>
      </w:pPr>
    </w:p>
    <w:p w:rsidR="007F79DC" w:rsidRPr="007F79DC" w:rsidRDefault="007F79DC" w:rsidP="007F79DC">
      <w:pPr>
        <w:ind w:left="284"/>
        <w:rPr>
          <w:noProof/>
        </w:rPr>
      </w:pPr>
      <w:r>
        <w:t>Veuillez agréer, Madame la Présidente, l’expression de ma haute considération.</w:t>
      </w: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r>
        <w:t>Iskra MIHAYLOVA</w:t>
      </w: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p>
    <w:p w:rsidR="007F79DC" w:rsidRPr="007F79DC" w:rsidRDefault="007F79DC" w:rsidP="007F79DC">
      <w:pPr>
        <w:ind w:left="284"/>
        <w:rPr>
          <w:noProof/>
        </w:rPr>
      </w:pPr>
      <w:r>
        <w:t>Copie:</w:t>
      </w:r>
      <w:r>
        <w:tab/>
        <w:t>M. Mircea Diaconu, rapporteur</w:t>
      </w:r>
    </w:p>
    <w:p w:rsidR="002669B6" w:rsidRPr="007F79DC" w:rsidRDefault="002669B6" w:rsidP="007F79DC">
      <w:pPr>
        <w:pStyle w:val="Normal12"/>
        <w:rPr>
          <w:noProof/>
        </w:rPr>
      </w:pPr>
    </w:p>
    <w:p w:rsidR="007F79DC" w:rsidRPr="007F79DC" w:rsidRDefault="007F79DC" w:rsidP="007F79DC">
      <w:pPr>
        <w:pStyle w:val="PageHeading"/>
        <w:rPr>
          <w:noProof/>
        </w:rPr>
      </w:pPr>
      <w:r>
        <w:br w:type="page"/>
      </w:r>
      <w:bookmarkStart w:id="8" w:name="_Toc467491978"/>
      <w:bookmarkStart w:id="9" w:name="ProcPageRR"/>
      <w:r>
        <w:t>PROCÉDURE DE LA COMMISSION COMPÉTENTE AU FOND</w:t>
      </w:r>
      <w:bookmarkEnd w:id="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79DC" w:rsidRPr="007F79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b/>
                <w:bCs/>
                <w:noProof/>
                <w:color w:val="000000"/>
                <w:sz w:val="20"/>
              </w:rPr>
            </w:pPr>
            <w:r>
              <w:rPr>
                <w:b/>
                <w:noProof/>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noProof/>
                <w:color w:val="000000"/>
                <w:sz w:val="20"/>
              </w:rPr>
            </w:pPr>
            <w:r>
              <w:rPr>
                <w:noProof/>
                <w:color w:val="000000"/>
                <w:sz w:val="20"/>
              </w:rPr>
              <w:t>Année européenne du patrimoine culturel</w:t>
            </w:r>
          </w:p>
        </w:tc>
      </w:tr>
      <w:tr w:rsidR="007F79DC" w:rsidRPr="007F79D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b/>
                <w:bCs/>
                <w:noProof/>
                <w:color w:val="000000"/>
                <w:sz w:val="20"/>
              </w:rPr>
            </w:pPr>
            <w:r>
              <w:rPr>
                <w:b/>
                <w:noProof/>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noProof/>
                <w:color w:val="000000"/>
                <w:sz w:val="20"/>
              </w:rPr>
            </w:pPr>
            <w:r>
              <w:rPr>
                <w:noProof/>
                <w:color w:val="000000"/>
                <w:sz w:val="20"/>
              </w:rPr>
              <w:t>COM(2016)0543 – C8-0352/2016 – 2016/0259(COD)</w:t>
            </w:r>
          </w:p>
        </w:tc>
      </w:tr>
      <w:tr w:rsidR="007F79DC" w:rsidRPr="007F79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b/>
                <w:bCs/>
                <w:noProof/>
                <w:color w:val="000000"/>
                <w:sz w:val="20"/>
              </w:rPr>
            </w:pPr>
            <w:r>
              <w:rPr>
                <w:b/>
                <w:noProof/>
                <w:color w:val="000000"/>
                <w:sz w:val="20"/>
              </w:rPr>
              <w:t>Date de la présentation au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noProof/>
                <w:color w:val="000000"/>
                <w:sz w:val="20"/>
              </w:rPr>
            </w:pPr>
            <w:r>
              <w:rPr>
                <w:noProof/>
                <w:color w:val="000000"/>
                <w:sz w:val="20"/>
              </w:rPr>
              <w:t>30.8.2016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r>
      <w:tr w:rsidR="007F79DC" w:rsidRPr="007F79D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b/>
                <w:bCs/>
                <w:noProof/>
                <w:color w:val="000000"/>
                <w:sz w:val="20"/>
              </w:rPr>
            </w:pPr>
            <w:r>
              <w:rPr>
                <w:b/>
                <w:noProof/>
                <w:color w:val="000000"/>
                <w:sz w:val="20"/>
              </w:rPr>
              <w:t>Commission compétente au fond</w:t>
            </w:r>
          </w:p>
          <w:p w:rsidR="007F79DC" w:rsidRPr="007F79DC" w:rsidRDefault="007F79DC">
            <w:pPr>
              <w:autoSpaceDE w:val="0"/>
              <w:autoSpaceDN w:val="0"/>
              <w:adjustRightInd w:val="0"/>
              <w:rPr>
                <w:noProof/>
                <w:color w:val="000000"/>
                <w:sz w:val="20"/>
              </w:rPr>
            </w:pPr>
            <w:r>
              <w:rPr>
                <w:noProof/>
                <w:color w:val="000000"/>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noProof/>
                <w:color w:val="000000"/>
                <w:sz w:val="20"/>
              </w:rPr>
            </w:pPr>
            <w:r>
              <w:rPr>
                <w:noProof/>
                <w:color w:val="000000"/>
                <w:sz w:val="20"/>
              </w:rPr>
              <w:t>CULT</w:t>
            </w:r>
          </w:p>
          <w:p w:rsidR="007F79DC" w:rsidRPr="007F79DC" w:rsidRDefault="007F79DC">
            <w:pPr>
              <w:autoSpaceDE w:val="0"/>
              <w:autoSpaceDN w:val="0"/>
              <w:adjustRightInd w:val="0"/>
              <w:rPr>
                <w:noProof/>
                <w:color w:val="000000"/>
                <w:sz w:val="20"/>
              </w:rPr>
            </w:pPr>
            <w:r>
              <w:rPr>
                <w:noProof/>
                <w:color w:val="000000"/>
                <w:sz w:val="20"/>
              </w:rPr>
              <w:t>12.9.2016</w:t>
            </w:r>
          </w:p>
        </w:tc>
        <w:tc>
          <w:tcPr>
            <w:tcW w:w="1474" w:type="dxa"/>
            <w:tcBorders>
              <w:top w:val="nil"/>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r>
      <w:tr w:rsidR="007F79DC" w:rsidRPr="007F79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b/>
                <w:bCs/>
                <w:noProof/>
                <w:color w:val="000000"/>
                <w:sz w:val="20"/>
              </w:rPr>
            </w:pPr>
            <w:r>
              <w:rPr>
                <w:b/>
                <w:noProof/>
                <w:color w:val="000000"/>
                <w:sz w:val="20"/>
              </w:rPr>
              <w:t>Commissions saisies pour avis</w:t>
            </w:r>
          </w:p>
          <w:p w:rsidR="007F79DC" w:rsidRPr="007F79DC" w:rsidRDefault="007F79DC">
            <w:pPr>
              <w:autoSpaceDE w:val="0"/>
              <w:autoSpaceDN w:val="0"/>
              <w:adjustRightInd w:val="0"/>
              <w:rPr>
                <w:noProof/>
                <w:color w:val="000000"/>
                <w:sz w:val="20"/>
              </w:rPr>
            </w:pPr>
            <w:r>
              <w:rPr>
                <w:noProof/>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noProof/>
                <w:color w:val="000000"/>
                <w:sz w:val="20"/>
              </w:rPr>
            </w:pPr>
            <w:r>
              <w:rPr>
                <w:noProof/>
                <w:color w:val="000000"/>
                <w:sz w:val="20"/>
              </w:rPr>
              <w:t>BUDG</w:t>
            </w:r>
          </w:p>
          <w:p w:rsidR="007F79DC" w:rsidRPr="007F79DC" w:rsidRDefault="007F79DC">
            <w:pPr>
              <w:autoSpaceDE w:val="0"/>
              <w:autoSpaceDN w:val="0"/>
              <w:adjustRightInd w:val="0"/>
              <w:rPr>
                <w:noProof/>
                <w:color w:val="000000"/>
                <w:sz w:val="20"/>
              </w:rPr>
            </w:pPr>
            <w:r>
              <w:rPr>
                <w:noProof/>
                <w:color w:val="000000"/>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noProof/>
                <w:color w:val="000000"/>
                <w:sz w:val="20"/>
              </w:rPr>
            </w:pPr>
            <w:r>
              <w:rPr>
                <w:noProof/>
                <w:color w:val="000000"/>
                <w:sz w:val="20"/>
              </w:rPr>
              <w:t>REGI</w:t>
            </w:r>
          </w:p>
          <w:p w:rsidR="007F79DC" w:rsidRPr="007F79DC" w:rsidRDefault="007F79DC">
            <w:pPr>
              <w:autoSpaceDE w:val="0"/>
              <w:autoSpaceDN w:val="0"/>
              <w:adjustRightInd w:val="0"/>
              <w:rPr>
                <w:noProof/>
                <w:color w:val="000000"/>
                <w:sz w:val="20"/>
              </w:rPr>
            </w:pPr>
            <w:r>
              <w:rPr>
                <w:noProof/>
                <w:color w:val="000000"/>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r>
      <w:tr w:rsidR="007F79DC" w:rsidRPr="007F79D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b/>
                <w:bCs/>
                <w:noProof/>
                <w:color w:val="000000"/>
                <w:sz w:val="20"/>
              </w:rPr>
            </w:pPr>
            <w:r>
              <w:rPr>
                <w:b/>
                <w:noProof/>
                <w:color w:val="000000"/>
                <w:sz w:val="20"/>
              </w:rPr>
              <w:t>Avis non émis</w:t>
            </w:r>
          </w:p>
          <w:p w:rsidR="007F79DC" w:rsidRPr="007F79DC" w:rsidRDefault="007F79DC">
            <w:pPr>
              <w:autoSpaceDE w:val="0"/>
              <w:autoSpaceDN w:val="0"/>
              <w:adjustRightInd w:val="0"/>
              <w:rPr>
                <w:noProof/>
                <w:color w:val="000000"/>
                <w:sz w:val="20"/>
              </w:rPr>
            </w:pPr>
            <w:r>
              <w:rPr>
                <w:noProof/>
                <w:color w:val="000000"/>
                <w:sz w:val="20"/>
              </w:rPr>
              <w:t>       Date de la décision</w:t>
            </w:r>
          </w:p>
        </w:tc>
        <w:tc>
          <w:tcPr>
            <w:tcW w:w="1530" w:type="dxa"/>
            <w:tcBorders>
              <w:top w:val="nil"/>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noProof/>
                <w:color w:val="000000"/>
                <w:sz w:val="20"/>
              </w:rPr>
            </w:pPr>
            <w:r>
              <w:rPr>
                <w:noProof/>
                <w:color w:val="000000"/>
                <w:sz w:val="20"/>
              </w:rPr>
              <w:t>BUDG</w:t>
            </w:r>
          </w:p>
          <w:p w:rsidR="007F79DC" w:rsidRPr="007F79DC" w:rsidRDefault="007F79DC">
            <w:pPr>
              <w:autoSpaceDE w:val="0"/>
              <w:autoSpaceDN w:val="0"/>
              <w:adjustRightInd w:val="0"/>
              <w:rPr>
                <w:noProof/>
                <w:color w:val="000000"/>
                <w:sz w:val="20"/>
              </w:rPr>
            </w:pPr>
            <w:r>
              <w:rPr>
                <w:noProof/>
                <w:color w:val="000000"/>
                <w:sz w:val="20"/>
              </w:rPr>
              <w:t>15.9.2016</w:t>
            </w:r>
          </w:p>
        </w:tc>
        <w:tc>
          <w:tcPr>
            <w:tcW w:w="1474" w:type="dxa"/>
            <w:tcBorders>
              <w:top w:val="nil"/>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noProof/>
                <w:color w:val="000000"/>
                <w:sz w:val="20"/>
              </w:rPr>
            </w:pPr>
            <w:r>
              <w:rPr>
                <w:noProof/>
                <w:color w:val="000000"/>
                <w:sz w:val="20"/>
              </w:rPr>
              <w:t>REGI</w:t>
            </w:r>
          </w:p>
          <w:p w:rsidR="007F79DC" w:rsidRPr="007F79DC" w:rsidRDefault="007F79DC">
            <w:pPr>
              <w:autoSpaceDE w:val="0"/>
              <w:autoSpaceDN w:val="0"/>
              <w:adjustRightInd w:val="0"/>
              <w:rPr>
                <w:noProof/>
                <w:color w:val="000000"/>
                <w:sz w:val="20"/>
              </w:rPr>
            </w:pPr>
            <w:r>
              <w:rPr>
                <w:noProof/>
                <w:color w:val="000000"/>
                <w:sz w:val="20"/>
              </w:rPr>
              <w:t>14.10.2016</w:t>
            </w:r>
          </w:p>
        </w:tc>
        <w:tc>
          <w:tcPr>
            <w:tcW w:w="1474" w:type="dxa"/>
            <w:tcBorders>
              <w:top w:val="nil"/>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r>
      <w:tr w:rsidR="007F79DC" w:rsidRPr="007F79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b/>
                <w:bCs/>
                <w:noProof/>
                <w:color w:val="000000"/>
                <w:sz w:val="20"/>
              </w:rPr>
            </w:pPr>
            <w:r>
              <w:rPr>
                <w:b/>
                <w:noProof/>
                <w:color w:val="000000"/>
                <w:sz w:val="20"/>
              </w:rPr>
              <w:t>Rapporteurs</w:t>
            </w:r>
          </w:p>
          <w:p w:rsidR="007F79DC" w:rsidRPr="007F79DC" w:rsidRDefault="007F79DC">
            <w:pPr>
              <w:autoSpaceDE w:val="0"/>
              <w:autoSpaceDN w:val="0"/>
              <w:adjustRightInd w:val="0"/>
              <w:rPr>
                <w:noProof/>
                <w:color w:val="000000"/>
                <w:sz w:val="20"/>
              </w:rPr>
            </w:pPr>
            <w:r>
              <w:rPr>
                <w:noProof/>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noProof/>
                <w:color w:val="000000"/>
                <w:sz w:val="20"/>
              </w:rPr>
            </w:pPr>
            <w:r>
              <w:rPr>
                <w:noProof/>
                <w:color w:val="000000"/>
                <w:sz w:val="20"/>
              </w:rPr>
              <w:t>Mircea Diaconu</w:t>
            </w:r>
          </w:p>
          <w:p w:rsidR="007F79DC" w:rsidRPr="007F79DC" w:rsidRDefault="007F79DC">
            <w:pPr>
              <w:autoSpaceDE w:val="0"/>
              <w:autoSpaceDN w:val="0"/>
              <w:adjustRightInd w:val="0"/>
              <w:rPr>
                <w:noProof/>
                <w:color w:val="000000"/>
                <w:sz w:val="20"/>
              </w:rPr>
            </w:pPr>
            <w:r>
              <w:rPr>
                <w:noProof/>
                <w:color w:val="000000"/>
                <w:sz w:val="20"/>
              </w:rPr>
              <w:t>8.9.2016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r>
      <w:tr w:rsidR="007F79DC" w:rsidRPr="007F79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b/>
                <w:bCs/>
                <w:noProof/>
                <w:color w:val="000000"/>
                <w:sz w:val="20"/>
              </w:rPr>
            </w:pPr>
            <w:r>
              <w:rPr>
                <w:b/>
                <w:noProof/>
                <w:color w:val="000000"/>
                <w:sz w:val="20"/>
              </w:rPr>
              <w:t>Procédure simplifiée - date de la décision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noProof/>
                <w:color w:val="000000"/>
                <w:sz w:val="20"/>
              </w:rPr>
            </w:pPr>
            <w:r>
              <w:rPr>
                <w:noProof/>
                <w:color w:val="000000"/>
                <w:sz w:val="20"/>
              </w:rPr>
              <w:t>5.9.2016</w:t>
            </w:r>
          </w:p>
        </w:tc>
      </w:tr>
      <w:tr w:rsidR="007F79DC" w:rsidRPr="007F79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b/>
                <w:bCs/>
                <w:noProof/>
                <w:color w:val="000000"/>
                <w:sz w:val="20"/>
              </w:rPr>
            </w:pPr>
            <w:r>
              <w:rPr>
                <w:b/>
                <w:noProof/>
                <w:color w:val="000000"/>
                <w:sz w:val="20"/>
              </w:rPr>
              <w:t>Modification de la dotation financière</w:t>
            </w:r>
          </w:p>
          <w:p w:rsidR="007F79DC" w:rsidRPr="007F79DC" w:rsidRDefault="007F79DC">
            <w:pPr>
              <w:autoSpaceDE w:val="0"/>
              <w:autoSpaceDN w:val="0"/>
              <w:adjustRightInd w:val="0"/>
              <w:rPr>
                <w:noProof/>
                <w:color w:val="000000"/>
                <w:sz w:val="20"/>
              </w:rPr>
            </w:pPr>
            <w:r>
              <w:rPr>
                <w:noProof/>
                <w:color w:val="000000"/>
                <w:sz w:val="20"/>
              </w:rPr>
              <w:t>       Date de l’avis BUDG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noProof/>
                <w:color w:val="000000"/>
                <w:sz w:val="20"/>
              </w:rPr>
            </w:pPr>
            <w:r>
              <w:rPr>
                <w:noProof/>
                <w:color w:val="000000"/>
                <w:sz w:val="20"/>
              </w:rPr>
              <w:t>BUDG</w:t>
            </w:r>
          </w:p>
          <w:p w:rsidR="007F79DC" w:rsidRPr="007F79DC" w:rsidRDefault="007F79DC">
            <w:pPr>
              <w:autoSpaceDE w:val="0"/>
              <w:autoSpaceDN w:val="0"/>
              <w:adjustRightInd w:val="0"/>
              <w:rPr>
                <w:noProof/>
                <w:color w:val="000000"/>
                <w:sz w:val="20"/>
              </w:rPr>
            </w:pPr>
            <w:r>
              <w:rPr>
                <w:noProof/>
                <w:color w:val="000000"/>
                <w:sz w:val="20"/>
              </w:rPr>
              <w:t>11.10.2016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r>
      <w:tr w:rsidR="007F79DC" w:rsidRPr="007F79D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b/>
                <w:bCs/>
                <w:noProof/>
                <w:color w:val="000000"/>
                <w:sz w:val="20"/>
              </w:rPr>
            </w:pPr>
            <w:r>
              <w:rPr>
                <w:b/>
                <w:noProof/>
                <w:color w:val="000000"/>
                <w:sz w:val="20"/>
              </w:rPr>
              <w:t>Examen en commission</w:t>
            </w:r>
          </w:p>
        </w:tc>
        <w:tc>
          <w:tcPr>
            <w:tcW w:w="1530" w:type="dxa"/>
            <w:tcBorders>
              <w:top w:val="nil"/>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noProof/>
                <w:color w:val="000000"/>
                <w:sz w:val="20"/>
              </w:rPr>
            </w:pPr>
            <w:r>
              <w:rPr>
                <w:noProof/>
                <w:color w:val="000000"/>
                <w:sz w:val="20"/>
              </w:rPr>
              <w:t>11.10.2016</w:t>
            </w:r>
          </w:p>
        </w:tc>
        <w:tc>
          <w:tcPr>
            <w:tcW w:w="1474" w:type="dxa"/>
            <w:tcBorders>
              <w:top w:val="nil"/>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rFonts w:ascii="sans-serif" w:hAnsi="sans-serif" w:cs="sans-serif"/>
                <w:noProof/>
                <w:color w:val="000000"/>
                <w:szCs w:val="24"/>
              </w:rPr>
            </w:pPr>
          </w:p>
        </w:tc>
      </w:tr>
      <w:tr w:rsidR="007F79DC" w:rsidRPr="007F79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b/>
                <w:bCs/>
                <w:noProof/>
                <w:color w:val="000000"/>
                <w:sz w:val="20"/>
              </w:rPr>
            </w:pPr>
            <w:r>
              <w:rPr>
                <w:b/>
                <w:noProof/>
                <w:color w:val="000000"/>
                <w:sz w:val="20"/>
              </w:rPr>
              <w:t>Date du dépôt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9DC" w:rsidRPr="007F79DC" w:rsidRDefault="007F79DC">
            <w:pPr>
              <w:autoSpaceDE w:val="0"/>
              <w:autoSpaceDN w:val="0"/>
              <w:adjustRightInd w:val="0"/>
              <w:rPr>
                <w:noProof/>
                <w:color w:val="000000"/>
                <w:sz w:val="20"/>
              </w:rPr>
            </w:pPr>
            <w:r>
              <w:rPr>
                <w:noProof/>
                <w:color w:val="000000"/>
                <w:sz w:val="20"/>
              </w:rPr>
              <w:t>17.11.2016</w:t>
            </w:r>
          </w:p>
        </w:tc>
      </w:tr>
    </w:tbl>
    <w:p w:rsidR="007F79DC" w:rsidRPr="007F79DC" w:rsidRDefault="007F79DC">
      <w:pPr>
        <w:autoSpaceDE w:val="0"/>
        <w:autoSpaceDN w:val="0"/>
        <w:adjustRightInd w:val="0"/>
        <w:rPr>
          <w:rFonts w:ascii="Arial" w:hAnsi="Arial" w:cs="Arial"/>
          <w:noProof/>
          <w:szCs w:val="24"/>
        </w:rPr>
      </w:pPr>
    </w:p>
    <w:bookmarkEnd w:id="9"/>
    <w:p w:rsidR="002669B6" w:rsidRPr="007F79DC" w:rsidRDefault="002669B6" w:rsidP="007F79DC">
      <w:pPr>
        <w:rPr>
          <w:noProof/>
        </w:rPr>
      </w:pPr>
    </w:p>
    <w:sectPr w:rsidR="002669B6" w:rsidRPr="007F79DC"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79" w:rsidRPr="007F79DC" w:rsidRDefault="00973279">
      <w:r w:rsidRPr="007F79DC">
        <w:separator/>
      </w:r>
    </w:p>
  </w:endnote>
  <w:endnote w:type="continuationSeparator" w:id="0">
    <w:p w:rsidR="00973279" w:rsidRPr="007F79DC" w:rsidRDefault="00973279">
      <w:r w:rsidRPr="007F79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DC" w:rsidRPr="007F79DC" w:rsidRDefault="007F79DC" w:rsidP="007F79DC">
    <w:pPr>
      <w:pStyle w:val="Footer"/>
    </w:pPr>
    <w:r>
      <w:t>PE</w:t>
    </w:r>
    <w:r>
      <w:rPr>
        <w:rStyle w:val="HideTWBExt"/>
        <w:noProof w:val="0"/>
      </w:rPr>
      <w:t>&lt;NoPE&gt;</w:t>
    </w:r>
    <w:r>
      <w:t>592.253</w:t>
    </w:r>
    <w:r>
      <w:rPr>
        <w:rStyle w:val="HideTWBExt"/>
        <w:noProof w:val="0"/>
      </w:rPr>
      <w:t>&lt;/NoPE&gt;&lt;Version&gt;</w:t>
    </w:r>
    <w:r>
      <w:t>v01-00</w:t>
    </w:r>
    <w:r>
      <w:rPr>
        <w:rStyle w:val="HideTWBExt"/>
        <w:noProof w:val="0"/>
      </w:rPr>
      <w:t>&lt;/Version&gt;</w:t>
    </w:r>
    <w:r>
      <w:tab/>
    </w:r>
    <w:r w:rsidRPr="007F79DC">
      <w:fldChar w:fldCharType="begin"/>
    </w:r>
    <w:r w:rsidRPr="007F79DC">
      <w:instrText xml:space="preserve"> PAGE  \* MERGEFORMAT </w:instrText>
    </w:r>
    <w:r w:rsidRPr="007F79DC">
      <w:fldChar w:fldCharType="separate"/>
    </w:r>
    <w:r w:rsidR="006E1E59">
      <w:rPr>
        <w:noProof/>
      </w:rPr>
      <w:t>2</w:t>
    </w:r>
    <w:r w:rsidRPr="007F79DC">
      <w:fldChar w:fldCharType="end"/>
    </w:r>
    <w:r>
      <w:t>/</w:t>
    </w:r>
    <w:r w:rsidR="00A8387A">
      <w:fldChar w:fldCharType="begin"/>
    </w:r>
    <w:r w:rsidR="00A8387A">
      <w:instrText xml:space="preserve"> NUMPAGES  \* MERGEFORMAT </w:instrText>
    </w:r>
    <w:r w:rsidR="00A8387A">
      <w:fldChar w:fldCharType="separate"/>
    </w:r>
    <w:r w:rsidR="006E1E59">
      <w:rPr>
        <w:noProof/>
      </w:rPr>
      <w:t>2</w:t>
    </w:r>
    <w:r w:rsidR="00A8387A">
      <w:rPr>
        <w:noProof/>
      </w:rPr>
      <w:fldChar w:fldCharType="end"/>
    </w:r>
    <w:r>
      <w:tab/>
    </w:r>
    <w:r>
      <w:rPr>
        <w:rStyle w:val="HideTWBExt"/>
        <w:noProof w:val="0"/>
      </w:rPr>
      <w:t>&lt;PathFdR&gt;</w:t>
    </w:r>
    <w:r>
      <w:t>RR\1110001FR.docx</w:t>
    </w:r>
    <w:r>
      <w:rPr>
        <w:rStyle w:val="HideTWBExt"/>
        <w:noProof w:val="0"/>
      </w:rPr>
      <w:t>&lt;/PathFdR&gt;</w:t>
    </w:r>
  </w:p>
  <w:p w:rsidR="00FB52FE" w:rsidRPr="007F79DC" w:rsidRDefault="007F79DC" w:rsidP="007F79DC">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DC" w:rsidRPr="007F79DC" w:rsidRDefault="007F79DC" w:rsidP="007F79DC">
    <w:pPr>
      <w:pStyle w:val="Footer"/>
    </w:pPr>
    <w:r>
      <w:rPr>
        <w:rStyle w:val="HideTWBExt"/>
        <w:noProof w:val="0"/>
      </w:rPr>
      <w:t>&lt;PathFdR&gt;</w:t>
    </w:r>
    <w:r>
      <w:t>RR\1110001FR.docx</w:t>
    </w:r>
    <w:r>
      <w:rPr>
        <w:rStyle w:val="HideTWBExt"/>
        <w:noProof w:val="0"/>
      </w:rPr>
      <w:t>&lt;/PathFdR&gt;</w:t>
    </w:r>
    <w:r>
      <w:tab/>
    </w:r>
    <w:r w:rsidRPr="007F79DC">
      <w:fldChar w:fldCharType="begin"/>
    </w:r>
    <w:r w:rsidRPr="007F79DC">
      <w:instrText xml:space="preserve"> PAGE  \* MERGEFORMAT </w:instrText>
    </w:r>
    <w:r w:rsidRPr="007F79DC">
      <w:fldChar w:fldCharType="separate"/>
    </w:r>
    <w:r w:rsidR="006E1E59">
      <w:rPr>
        <w:noProof/>
      </w:rPr>
      <w:t>3</w:t>
    </w:r>
    <w:r w:rsidRPr="007F79DC">
      <w:fldChar w:fldCharType="end"/>
    </w:r>
    <w:r>
      <w:t>/</w:t>
    </w:r>
    <w:r w:rsidR="00A8387A">
      <w:fldChar w:fldCharType="begin"/>
    </w:r>
    <w:r w:rsidR="00A8387A">
      <w:instrText xml:space="preserve"> NUMPAGES  \* MERGEFORMAT </w:instrText>
    </w:r>
    <w:r w:rsidR="00A8387A">
      <w:fldChar w:fldCharType="separate"/>
    </w:r>
    <w:r w:rsidR="006E1E59">
      <w:rPr>
        <w:noProof/>
      </w:rPr>
      <w:t>3</w:t>
    </w:r>
    <w:r w:rsidR="00A8387A">
      <w:rPr>
        <w:noProof/>
      </w:rPr>
      <w:fldChar w:fldCharType="end"/>
    </w:r>
    <w:r>
      <w:tab/>
      <w:t>PE</w:t>
    </w:r>
    <w:r>
      <w:rPr>
        <w:rStyle w:val="HideTWBExt"/>
        <w:noProof w:val="0"/>
      </w:rPr>
      <w:t>&lt;NoPE&gt;</w:t>
    </w:r>
    <w:r>
      <w:t>592.253</w:t>
    </w:r>
    <w:r>
      <w:rPr>
        <w:rStyle w:val="HideTWBExt"/>
        <w:noProof w:val="0"/>
      </w:rPr>
      <w:t>&lt;/NoPE&gt;&lt;Version&gt;</w:t>
    </w:r>
    <w:r>
      <w:t>v01-00</w:t>
    </w:r>
    <w:r>
      <w:rPr>
        <w:rStyle w:val="HideTWBExt"/>
        <w:noProof w:val="0"/>
      </w:rPr>
      <w:t>&lt;/Version&gt;</w:t>
    </w:r>
  </w:p>
  <w:p w:rsidR="00FB52FE" w:rsidRPr="007F79DC" w:rsidRDefault="007F79DC" w:rsidP="007F79DC">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DC" w:rsidRPr="007F79DC" w:rsidRDefault="007F79DC" w:rsidP="007F79DC">
    <w:pPr>
      <w:pStyle w:val="Footer"/>
    </w:pPr>
    <w:r>
      <w:rPr>
        <w:rStyle w:val="HideTWBExt"/>
        <w:noProof w:val="0"/>
      </w:rPr>
      <w:t>&lt;PathFdR&gt;</w:t>
    </w:r>
    <w:r>
      <w:t>RR\1110001FR.docx</w:t>
    </w:r>
    <w:r>
      <w:rPr>
        <w:rStyle w:val="HideTWBExt"/>
        <w:noProof w:val="0"/>
      </w:rPr>
      <w:t>&lt;/PathFdR&gt;</w:t>
    </w:r>
    <w:r>
      <w:tab/>
    </w:r>
    <w:r>
      <w:tab/>
      <w:t>PE</w:t>
    </w:r>
    <w:r>
      <w:rPr>
        <w:rStyle w:val="HideTWBExt"/>
        <w:noProof w:val="0"/>
      </w:rPr>
      <w:t>&lt;NoPE&gt;</w:t>
    </w:r>
    <w:r>
      <w:t>592.253</w:t>
    </w:r>
    <w:r>
      <w:rPr>
        <w:rStyle w:val="HideTWBExt"/>
        <w:noProof w:val="0"/>
      </w:rPr>
      <w:t>&lt;/NoPE&gt;&lt;Version&gt;</w:t>
    </w:r>
    <w:r>
      <w:t>v01-00</w:t>
    </w:r>
    <w:r>
      <w:rPr>
        <w:rStyle w:val="HideTWBExt"/>
        <w:noProof w:val="0"/>
      </w:rPr>
      <w:t>&lt;/Version&gt;</w:t>
    </w:r>
  </w:p>
  <w:p w:rsidR="00FB52FE" w:rsidRPr="007F79DC" w:rsidRDefault="007F79DC" w:rsidP="007F79DC">
    <w:pPr>
      <w:pStyle w:val="Footer2"/>
      <w:tabs>
        <w:tab w:val="center" w:pos="4535"/>
      </w:tabs>
    </w:pPr>
    <w:r>
      <w:t>FR</w:t>
    </w:r>
    <w:r>
      <w:tab/>
    </w:r>
    <w:r>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79" w:rsidRPr="007F79DC" w:rsidRDefault="00973279">
      <w:r w:rsidRPr="007F79DC">
        <w:separator/>
      </w:r>
    </w:p>
  </w:footnote>
  <w:footnote w:type="continuationSeparator" w:id="0">
    <w:p w:rsidR="00973279" w:rsidRPr="007F79DC" w:rsidRDefault="00973279">
      <w:r w:rsidRPr="007F79DC">
        <w:continuationSeparator/>
      </w:r>
    </w:p>
  </w:footnote>
  <w:footnote w:id="1">
    <w:p w:rsidR="007F79DC" w:rsidRPr="00765458" w:rsidRDefault="007F79DC" w:rsidP="007F79DC">
      <w:pPr>
        <w:pStyle w:val="FootnoteText"/>
      </w:pPr>
      <w:r>
        <w:rPr>
          <w:rStyle w:val="FootnoteReference"/>
        </w:rPr>
        <w:footnoteRef/>
      </w:r>
      <w:r>
        <w:t xml:space="preserve"> JO C xx du xx.10.2016, p.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DC" w:rsidRDefault="007F7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DC" w:rsidRDefault="007F7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DC" w:rsidRDefault="007F7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CULT"/>
    <w:docVar w:name="CopyToNetwork" w:val="-1"/>
    <w:docVar w:name="DOCMNU" w:val=" 3"/>
    <w:docVar w:name="LastEditedSection" w:val=" 1"/>
    <w:docVar w:name="RepeatBlock-Amend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536874 HideTWBExt;}{\*\cs16 \additive \v\cf15 \spriority0 \styrsid4536874 HideTWBInt;}{\s17\ql \li0\ri0\sa120\nowidctlpar\wrapdefault\aspalpha\aspnum\faauto\adjustright\rin0\lin0\itap0 _x000d__x000a_\rtlch\fcs1 \af0\afs20\alang1025 \ltrch\fcs0 \fs24\lang1036\langfe2057\cgrid\langnp1036\langfenp2057 \sbasedon0 \snext17 \slink18 \spriority0 \styrsid4536874 Normal6;}{\*\cs18 \additive \fs24\lang1036\langfe0\langnp1036 _x000d__x000a_\slink17 \slocked \spriority0 \styrsid4536874 Normal6 Char;}{\s19\ql \li0\ri0\nowidctlpar\wrapdefault\aspalpha\aspnum\faauto\adjustright\rin0\lin0\itap0 \rtlch\fcs1 \af0\afs20\alang1025 \ltrch\fcs0 _x000d__x000a_\b\fs24\lang1036\langfe2057\cgrid\langnp1036\langfenp2057 \sbasedon0 \snext19 \slink20 \spriority0 \styrsid4536874 NormalBold;}{\*\cs20 \additive \b\fs24\lang1036\langfe0\langnp1036 \slink19 \slocked \spriority0 \styrsid4536874 NormalBold Char;}{_x000d__x000a_\s21\ql \li0\ri0\sb240\nowidctlpar\wrapdefault\aspalpha\aspnum\faauto\adjustright\rin0\lin0\itap0 \rtlch\fcs1 \af0\afs20\alang1025 \ltrch\fcs0 \i\fs24\lang1036\langfe2057\cgrid\langnp1036\langfenp2057 \sbasedon0 \snext21 \spriority0 \styrsid4536874 _x000d__x000a_Normal12Italic;}{\s22\qc \li0\ri0\sb240\nowidctlpar\wrapdefault\aspalpha\aspnum\faauto\adjustright\rin0\lin0\itap0 \rtlch\fcs1 \af0\afs20\alang1025 \ltrch\fcs0 \i\fs24\lang1036\langfe2057\cgrid\langnp1036\langfenp2057 _x000d__x000a_\sbasedon0 \snext22 \spriority0 \styrsid4536874 CrossRef;}{\s23\qc \li0\ri0\sb240\keepn\nowidctlpar\wrapdefault\aspalpha\aspnum\faauto\adjustright\rin0\lin0\itap0 \rtlch\fcs1 \af0\afs20\alang1025 \ltrch\fcs0 _x000d__x000a_\i\fs24\lang1036\langfe2057\cgrid\langnp1036\langfenp2057 \sbasedon0 \snext0 \spriority0 \styrsid4536874 JustificationTitle;}{\s24\qc \li0\ri0\sa240\nowidctlpar\wrapdefault\aspalpha\aspnum\faauto\adjustright\rin0\lin0\itap0 \rtlch\fcs1 _x000d__x000a_\af0\afs20\alang1025 \ltrch\fcs0 \i\fs24\lang1036\langfe2057\cgrid\langnp1036\langfenp2057 \sbasedon0 \snext24 \spriority0 \styrsid453687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4536874 AMNumberTabs;}{\s26\ql \li0\ri0\sb240\nowidctlpar\wrapdefault\aspalpha\aspnum\faauto\adjustright\rin0\lin0\itap0 \rtlch\fcs1 _x000d__x000a_\af0\afs20\alang1025 \ltrch\fcs0 \b\fs24\lang1036\langfe2057\cgrid\langnp1036\langfenp2057 \sbasedon0 \snext26 \spriority0 \styrsid4536874 NormalBold12b;}}{\*\rsidtbl \rsid24658\rsid735077\rsid2892074\rsid4536874\rsid4666813\rsid5991477\rsid6641733_x000d__x000a_\rsid9636012\rsid11215221\rsid12154954\rsid14424199\rsid15204470\rsid15285974\rsid15950462\rsid16324206\rsid16662270}{\mmathPr\mmathFont34\mbrkBin0\mbrkBinSub0\msmallFrac0\mdispDef1\mlMargin0\mrMargin0\mdefJc1\mwrapIndent1440\mintLim0\mnaryLim1}{\info_x000d__x000a_{\author RICOEUR Corinne}{\operator RICOEUR Corinne}{\creatim\yr2016\mo11\dy21\hr11\min36}{\revtim\yr2016\mo11\dy21\hr11\min36}{\version1}{\edmins0}{\nofpages1}{\nofwords51}{\nofchars581}{\*\company European Parliament}{\nofcharsws584}{\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536874\utinl \fet0{\*\wgrffmtfilter 013f}\ilfomacatclnup0{\*\template C:\\Users\\cricoeur\\AppData\\Local\\Temp\\Blank1.dot}{\*\ftnsep \ltrpar \pard\plain \ltrpar_x000d__x000a_\ql \li0\ri0\widctlpar\wrapdefault\aspalpha\aspnum\faauto\adjustright\rin0\lin0\itap0 \rtlch\fcs1 \af0\afs20\alang1025 \ltrch\fcs0 \fs24\lang2057\langfe2057\cgrid\langnp2057\langfenp2057 {\rtlch\fcs1 \af0 \ltrch\fcs0 \insrsid5991477 \chftnsep _x000d__x000a_\par }}{\*\ftnsepc \ltrpar \pard\plain \ltrpar\ql \li0\ri0\widctlpar\wrapdefault\aspalpha\aspnum\faauto\adjustright\rin0\lin0\itap0 \rtlch\fcs1 \af0\afs20\alang1025 \ltrch\fcs0 \fs24\lang2057\langfe2057\cgrid\langnp2057\langfenp2057 {\rtlch\fcs1 \af0 _x000d__x000a_\ltrch\fcs0 \insrsid5991477 \chftnsepc _x000d__x000a_\par }}{\*\aftnsep \ltrpar \pard\plain \ltrpar\ql \li0\ri0\widctlpar\wrapdefault\aspalpha\aspnum\faauto\adjustright\rin0\lin0\itap0 \rtlch\fcs1 \af0\afs20\alang1025 \ltrch\fcs0 \fs24\lang2057\langfe2057\cgrid\langnp2057\langfenp2057 {\rtlch\fcs1 \af0 _x000d__x000a_\ltrch\fcs0 \insrsid5991477 \chftnsep _x000d__x000a_\par }}{\*\aftnsepc \ltrpar \pard\plain \ltrpar\ql \li0\ri0\widctlpar\wrapdefault\aspalpha\aspnum\faauto\adjustright\rin0\lin0\itap0 \rtlch\fcs1 \af0\afs20\alang1025 \ltrch\fcs0 \fs24\lang2057\langfe2057\cgrid\langnp2057\langfenp2057 {\rtlch\fcs1 \af0 _x000d__x000a_\ltrch\fcs0 \insrsid599147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4536874 \rtlch\fcs1 \af0\afs20\alang1025 \ltrch\fcs0 \b\fs24\lang1036\langfe2057\cgrid\langnp1036\langfenp2057 {\rtlch\fcs1 \af0 \ltrch\fcs0 \cs15\b0\v\f1\fs20\cf9\insrsid4536874\charrsid7736847 {\*\bkmkstart restart}&lt;Amend&gt;}{_x000d__x000a_\rtlch\fcs1 \af0 \ltrch\fcs0 \insrsid4536874\charrsid7736847 Amendement\tab \tab }{\rtlch\fcs1 \af0 \ltrch\fcs0 \cs15\b0\v\f1\fs20\cf9\insrsid4536874\charrsid7736847 &lt;NumAm&gt;}{\rtlch\fcs1 \af0 \ltrch\fcs0 \insrsid4536874\charrsid7736847 #}{\rtlch\fcs1 _x000d__x000a_\af0 \ltrch\fcs0 \cs16\v\cf15\insrsid4536874\charrsid7736847 ENMIENDA@NRAM@}{\rtlch\fcs1 \af0 \ltrch\fcs0 \insrsid4536874\charrsid7736847 #}{\rtlch\fcs1 \af0 \ltrch\fcs0 \cs15\b0\v\f1\fs20\cf9\insrsid4536874\charrsid7736847 &lt;/NumAm&gt;}{\rtlch\fcs1 \af0 _x000d__x000a_\ltrch\fcs0 \insrsid4536874\charrsid7736847 _x000d__x000a_\par }\pard\plain \ltrpar\s26\ql \li0\ri0\sb240\keepn\nowidctlpar\wrapdefault\aspalpha\aspnum\faauto\adjustright\rin0\lin0\itap0\pararsid4536874 \rtlch\fcs1 \af0\afs20\alang1025 \ltrch\fcs0 \b\fs24\lang1036\langfe2057\cgrid\langnp1036\langfenp2057 {_x000d__x000a_\rtlch\fcs1 \af0 \ltrch\fcs0 \cs15\b0\v\f1\fs20\cf9\insrsid4536874\charrsid7736847 &lt;DocAmend&gt;}{\rtlch\fcs1 \af0 \ltrch\fcs0 \insrsid4536874\charrsid7736847 Proposition de #}{\rtlch\fcs1 \af0 \ltrch\fcs0 \cs16\v\cf15\insrsid4536874\charrsid7736847 _x000d__x000a_MNU[DOC1][DOC2][DOC3]@DOCMSG@DOCMNU}{\rtlch\fcs1 \af0 \ltrch\fcs0 \insrsid4536874\charrsid7736847 ##}{\rtlch\fcs1 \af0 \ltrch\fcs0 \cs16\v\cf15\insrsid4536874\charrsid7736847 MNU[AMACTYES][NOTAPP]@CHOICE@AMACTMNU}{\rtlch\fcs1 \af0 \ltrch\fcs0 _x000d__x000a_\insrsid4536874\charrsid7736847 #}{\rtlch\fcs1 \af0 \ltrch\fcs0 \cs15\b0\v\f1\fs20\cf9\insrsid4536874\charrsid7736847 &lt;/DocAmend&gt;}{\rtlch\fcs1 \af0 \ltrch\fcs0 \insrsid4536874\charrsid7736847 _x000d__x000a_\par }\pard\plain \ltrpar\s19\ql \li0\ri0\keepn\nowidctlpar\wrapdefault\aspalpha\aspnum\faauto\adjustright\rin0\lin0\itap0\pararsid4536874 \rtlch\fcs1 \af0\afs20\alang1025 \ltrch\fcs0 \b\fs24\lang1036\langfe2057\cgrid\langnp1036\langfenp2057 {\rtlch\fcs1 \af0 _x000d__x000a_\ltrch\fcs0 \cs15\b0\v\f1\fs20\cf9\insrsid4536874\charrsid7736847 &lt;Article&gt;}{\rtlch\fcs1 \af0 \ltrch\fcs0 \insrsid4536874\charrsid7736847 #}{\rtlch\fcs1 \af0 \ltrch\fcs0 \cs16\v\cf15\insrsid4536874\charrsid7736847 _x000d__x000a_MNU[AMACTPARTYES][AMACTPARTNO]@CHOICE@AMACTMNU}{\rtlch\fcs1 \af0 \ltrch\fcs0 \insrsid4536874\charrsid7736847 #}{\rtlch\fcs1 \af0 \ltrch\fcs0 \cs15\b0\v\f1\fs20\cf9\insrsid4536874\charrsid7736847 &lt;/Article&gt;}{\rtlch\fcs1 \af0 \ltrch\fcs0 _x000d__x000a_\insrsid4536874\charrsid7736847 _x000d__x000a_\par }\pard\plain \ltrpar\ql \li0\ri0\keepn\widctlpar\wrapdefault\aspalpha\aspnum\faauto\adjustright\rin0\lin0\itap0\pararsid4536874 \rtlch\fcs1 \af0\afs20\alang1025 \ltrch\fcs0 \fs24\lang2057\langfe2057\cgrid\langnp2057\langfenp2057 {\rtlch\fcs1 \af0 _x000d__x000a_\ltrch\fcs0 \cs15\v\f1\fs20\cf9\lang1036\langfe2057\langnp1036\insrsid4536874\charrsid7736847 &lt;DocAmend2&gt;&lt;OptDel&gt;}{\rtlch\fcs1 \af0 \ltrch\fcs0 \lang1036\langfe2057\langnp1036\insrsid4536874\charrsid7736847 #}{\rtlch\fcs1 \af0 \ltrch\fcs0 _x000d__x000a_\cs16\v\cf15\lang1036\langfe2057\langnp1036\insrsid4536874\charrsid7736847 MNU[OPTNRACTYES][NOTAPP]@CHOICE@AMACTMNU}{\rtlch\fcs1 \af0 \ltrch\fcs0 \lang1036\langfe2057\langnp1036\insrsid4536874\charrsid7736847 #}{\rtlch\fcs1 \af0 \ltrch\fcs0 _x000d__x000a_\cs15\v\f1\fs20\cf9\lang1036\langfe2057\langnp1036\insrsid4536874\charrsid7736847 &lt;/OptDel&gt;&lt;/DocAmend2&gt;}{\rtlch\fcs1 \af0 \ltrch\fcs0 \lang1036\langfe2057\langnp1036\insrsid4536874\charrsid7736847 _x000d__x000a_\par }\pard \ltrpar\ql \li0\ri0\widctlpar\wrapdefault\aspalpha\aspnum\faauto\adjustright\rin0\lin0\itap0\pararsid4536874 {\rtlch\fcs1 \af0 \ltrch\fcs0 \cs15\v\f1\fs20\cf9\lang1036\langfe2057\langnp1036\insrsid4536874\charrsid7736847 &lt;Article2&gt;&lt;OptDel&gt;}{_x000d__x000a_\rtlch\fcs1 \af0 \ltrch\fcs0 \lang1036\langfe2057\langnp1036\insrsid4536874\charrsid7736847 #}{\rtlch\fcs1 \af0 \ltrch\fcs0 \cs16\v\cf15\lang1036\langfe2057\langnp1036\insrsid4536874\charrsid7736847 MNU[OPTACTPARTYES][NOTAPP]@CHOICE@AMACTMNU}{\rtlch\fcs1 _x000d__x000a_\af0 \ltrch\fcs0 \lang1036\langfe2057\langnp1036\insrsid4536874\charrsid7736847 #}{\rtlch\fcs1 \af0 \ltrch\fcs0 \cs15\v\f1\fs20\cf9\lang1036\langfe2057\langnp1036\insrsid4536874\charrsid7736847 &lt;/OptDel&gt;&lt;/Article2&gt;}{\rtlch\fcs1 \af0 \ltrch\fcs0 _x000d__x000a_\lang1036\langfe2057\langnp1036\insrsid4536874\charrsid7736847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6\langfe2057\langnp1036\insrsid4536874\charrsid7736847 \cell }\pard \ltrpar\ql \li0\ri0\widctlpar\intbl\wrapdefault\aspalpha\aspnum\faauto\adjustright\rin0\lin0 {\rtlch\fcs1 \af0 \ltrch\fcs0 _x000d__x000a_\lang1036\langfe2057\langnp1036\insrsid4536874\charrsid7736847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6\langfe2057\cgrid\langnp1036\langfenp2057 {\rtlch\fcs1 \af0 \ltrch\fcs0 _x000d__x000a_\insrsid4536874\charrsid7736847 #}{\rtlch\fcs1 \af0 \ltrch\fcs0 \cs16\v\cf15\insrsid4536874\charrsid7736847 MNU[OPTLEFTAMACT][LEFTPROP]@CHOICE@AMACTMNU}{\rtlch\fcs1 \af0 \ltrch\fcs0 \insrsid4536874\charrsid7736847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4536874\charrsid7736847 \trowd \ltrrow\ts11\trqc\trgaph340\trleft-340\trftsWidth3\trwWidth9752\trftsWidthB3\trftsWidthA3\trpaddl340\trpaddr340\trpaddfl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7\ql \li0\ri0\sa120\nowidctlpar\intbl\wrapdefault\aspalpha\aspnum\faauto\adjustright\rin0\lin0\pararsid2517430 \rtlch\fcs1 \af0\afs20\alang1025 \ltrch\fcs0 \fs24\lang1036\langfe2057\cgrid\langnp1036\langfenp2057 {_x000d__x000a_\rtlch\fcs1 \af0 \ltrch\fcs0 \insrsid4536874\charrsid7736847 ##\cell ##}{\rtlch\fcs1 \af0\afs24 \ltrch\fcs0 \insrsid4536874\charrsid7736847 \cell }\pard\plain \ltrpar\ql \li0\ri0\widctlpar\intbl\wrapdefault\aspalpha\aspnum\faauto\adjustright\rin0\lin0 _x000d__x000a_\rtlch\fcs1 \af0\afs20\alang1025 \ltrch\fcs0 \fs24\lang2057\langfe2057\cgrid\langnp2057\langfenp2057 {\rtlch\fcs1 \af0 \ltrch\fcs0 \lang1036\langfe2057\langnp1036\insrsid4536874\charrsid7736847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4536874 \rtlch\fcs1 \af0\afs20\alang1025 \ltrch\fcs0 \i\fs24\lang1036\langfe2057\cgrid\langnp1036\langfenp2057 {\rtlch\fcs1 \af0 \ltrch\fcs0 _x000d__x000a_\cs15\i0\v\f1\fs20\cf9\insrsid4536874\charrsid7736847 &lt;OptDel&gt;}{\rtlch\fcs1 \af0 \ltrch\fcs0 \insrsid4536874\charrsid7736847 #}{\rtlch\fcs1 \af0 \ltrch\fcs0 \cs16\v\cf15\insrsid4536874\charrsid7736847 MNU[CROSSREFNO][CROSSREFYES]@CHOICE@}{\rtlch\fcs1 _x000d__x000a_\af0 \ltrch\fcs0 \insrsid4536874\charrsid7736847 #}{\rtlch\fcs1 \af0 \ltrch\fcs0 \cs15\i0\v\f1\fs20\cf9\insrsid4536874\charrsid7736847 &lt;/OptDel&gt;}{\rtlch\fcs1 \af0 \ltrch\fcs0 \insrsid4536874\charrsid7736847 _x000d__x000a_\par }\pard\plain \ltrpar\s23\qc \li0\ri0\sb240\keepn\nowidctlpar\wrapdefault\aspalpha\aspnum\faauto\adjustright\rin0\lin0\itap0\pararsid4536874 \rtlch\fcs1 \af0\afs20\alang1025 \ltrch\fcs0 \i\fs24\lang1036\langfe2057\cgrid\langnp1036\langfenp2057 {_x000d__x000a_\rtlch\fcs1 \af0 \ltrch\fcs0 \cs15\i0\v\f1\fs20\cf9\insrsid4536874\charrsid7736847 &lt;TitreJust&gt;}{\rtlch\fcs1 \af0 \ltrch\fcs0 \insrsid4536874\charrsid7736847 Justification}{\rtlch\fcs1 \af0 \ltrch\fcs0 \cs15\i0\v\f1\fs20\cf9\insrsid4536874\charrsid7736847 _x000d__x000a_&lt;/TitreJust&gt;}{\rtlch\fcs1 \af0 \ltrch\fcs0 \insrsid4536874\charrsid7736847 _x000d__x000a_\par }\pard\plain \ltrpar\s21\ql \li0\ri0\sb240\nowidctlpar\wrapdefault\aspalpha\aspnum\faauto\adjustright\rin0\lin0\itap0\pararsid4536874 \rtlch\fcs1 \af0\afs20\alang1025 \ltrch\fcs0 \i\fs24\lang1036\langfe2057\cgrid\langnp1036\langfenp2057 {\rtlch\fcs1 \af0 _x000d__x000a_\ltrch\fcs0 \cs15\i0\v\f1\fs20\cf9\insrsid4536874\charrsid7736847 &lt;OptDelPrev&gt;}{\rtlch\fcs1 \af0 \ltrch\fcs0 \insrsid4536874\charrsid7736847 #}{\rtlch\fcs1 \af0 \ltrch\fcs0 \cs16\v\cf15\insrsid4536874\charrsid7736847 MNU[TEXTJUSTYES][TEXTJUSTNO]@CHOICE@}{_x000d__x000a_\rtlch\fcs1 \af0 \ltrch\fcs0 \insrsid4536874\charrsid7736847 #}{\rtlch\fcs1 \af0 \ltrch\fcs0 \cs15\i0\v\f1\fs20\cf9\insrsid4536874\charrsid7736847 &lt;/OptDelPrev&gt;}{\rtlch\fcs1 \af0 \ltrch\fcs0 \insrsid4536874\charrsid7736847 _x000d__x000a_\par }\pard\plain \ltrpar\ql \li0\ri0\widctlpar\wrapdefault\aspalpha\aspnum\faauto\adjustright\rin0\lin0\itap0\pararsid4536874 \rtlch\fcs1 \af0\afs20\alang1025 \ltrch\fcs0 \fs24\lang2057\langfe2057\cgrid\langnp2057\langfenp2057 {\rtlch\fcs1 \af0 \ltrch\fcs0 _x000d__x000a_\cs15\v\f1\fs20\cf9\lang1036\langfe2057\langnp1036\insrsid4536874\charrsid7736847 &lt;/Amend&gt;}{\rtlch\fcs1 \af0 \ltrch\fcs0 \insrsid453687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a_x000d__x000a_9520e34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700297 HideTWBExt;}{\s16\ql \li0\ri0\sa120\nowidctlpar\wrapdefault\aspalpha\aspnum\faauto\adjustright\rin0\lin0\itap0 \rtlch\fcs1 \af0\afs20\alang1025 \ltrch\fcs0 _x000d__x000a_\fs24\lang2057\langfe2057\cgrid\langnp2057\langfenp2057 \sbasedon0 \snext16 \slink17 \spriority0 \styrsid6700297 Normal6;}{\*\cs17 \additive \fs24 \slink16 \slocked \spriority0 \styrsid6700297 Normal6 Char;}{_x000d__x000a_\s18\ql \li0\ri0\nowidctlpar\wrapdefault\aspalpha\aspnum\faauto\adjustright\rin0\lin0\itap0 \rtlch\fcs1 \af0\afs20\alang1025 \ltrch\fcs0 \b\fs24\lang2057\langfe2057\cgrid\langnp2057\langfenp2057 \sbasedon0 \snext18 \slink19 \spriority0 \styrsid6700297 _x000d__x000a_NormalBold;}{\*\cs19 \additive \b\fs24 \slink18 \slocked \spriority0 \styrsid6700297 NormalBold Char;}{\s20\ql \li0\ri0\sb240\nowidctlpar\wrapdefault\aspalpha\aspnum\faauto\adjustright\rin0\lin0\itap0 \rtlch\fcs1 \af0\afs20\alang1025 \ltrch\fcs0 _x000d__x000a_\i\fs24\lang2057\langfe2057\cgrid\langnp2057\langfenp2057 \sbasedon0 \snext20 \spriority0 \styrsid6700297 Normal12Italic;}{\s21\qc \li0\ri0\sb240\nowidctlpar\wrapdefault\aspalpha\aspnum\faauto\adjustright\rin0\lin0\itap0 \rtlch\fcs1 \af0\afs20\alang1025 _x000d__x000a_\ltrch\fcs0 \i\fs24\lang2057\langfe2057\cgrid\langnp2057\langfenp2057 \sbasedon0 \snext21 \spriority0 \styrsid6700297 CrossRef;}{\s22\qc \li0\ri0\sb240\keepn\nowidctlpar\wrapdefault\aspalpha\aspnum\faauto\adjustright\rin0\lin0\itap0 \rtlch\fcs1 _x000d__x000a_\af0\afs20\alang1025 \ltrch\fcs0 \i\fs24\lang2057\langfe2057\cgrid\langnp2057\langfenp2057 \sbasedon0 \snext0 \spriority0 \styrsid6700297 JustificationTitle;}{_x000d__x000a_\s23\qc \li0\ri0\sa240\nowidctlpar\wrapdefault\aspalpha\aspnum\faauto\adjustright\rin0\lin0\itap0 \rtlch\fcs1 \af0\afs20\alang1025 \ltrch\fcs0 \i\fs24\lang2057\langfe2057\cgrid\langnp2057\langfenp2057 \sbasedon0 \snext23 \spriority0 \styrsid670029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6700297 AMNumberTabs;}{_x000d__x000a_\s25\ql \li0\ri0\sb240\nowidctlpar\wrapdefault\aspalpha\aspnum\faauto\adjustright\rin0\lin0\itap0 \rtlch\fcs1 \af0\afs20\alang1025 \ltrch\fcs0 \b\fs24\lang2057\langfe2057\cgrid\langnp2057\langfenp2057 \sbasedon0 \snext25 \spriority0 \styrsid6700297 _x000d__x000a_NormalBold12b;}}{\*\rsidtbl \rsid24658\rsid735077\rsid2892074\rsid4666813\rsid6641733\rsid6700297\rsid9636012\rsid11215221\rsid12154954\rsid12208946\rsid14424199\rsid15204470\rsid15285974\rsid15950462\rsid16324206\rsid16662270}{\mmathPr\mmathFont34_x000d__x000a_\mbrkBin0\mbrkBinSub0\msmallFrac0\mdispDef1\mlMargin0\mrMargin0\mdefJc1\mwrapIndent1440\mintLim0\mnaryLim1}{\info{\author RICOEUR Corinne}{\operator RICOEUR Corinne}{\creatim\yr2016\mo11\dy21\hr11\min36}{\revtim\yr2016\mo11\dy21\hr11\min36}{\version1}_x000d__x000a_{\edmins0}{\nofpages1}{\nofwords29}{\nofchars338}{\*\company European Parliament}{\nofcharsws339}{\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700297\utinl \fet0{\*\wgrffmtfilter 013f}\ilfomacatclnup0{\*\template C:\\Users\\cricoeur\\AppData\\Local\\Temp\\Blank1.dot}{\*\ftnsep \ltrpar \pard\plain \ltrpar_x000d__x000a_\ql \li0\ri0\widctlpar\wrapdefault\aspalpha\aspnum\faauto\adjustright\rin0\lin0\itap0 \rtlch\fcs1 \af0\afs20\alang1025 \ltrch\fcs0 \fs24\lang2057\langfe2057\cgrid\langnp2057\langfenp2057 {\rtlch\fcs1 \af0 \ltrch\fcs0 \insrsid12208946 \chftnsep _x000d__x000a_\par }}{\*\ftnsepc \ltrpar \pard\plain \ltrpar\ql \li0\ri0\widctlpar\wrapdefault\aspalpha\aspnum\faauto\adjustright\rin0\lin0\itap0 \rtlch\fcs1 \af0\afs20\alang1025 \ltrch\fcs0 \fs24\lang2057\langfe2057\cgrid\langnp2057\langfenp2057 {\rtlch\fcs1 \af0 _x000d__x000a_\ltrch\fcs0 \insrsid12208946 \chftnsepc _x000d__x000a_\par }}{\*\aftnsep \ltrpar \pard\plain \ltrpar\ql \li0\ri0\widctlpar\wrapdefault\aspalpha\aspnum\faauto\adjustright\rin0\lin0\itap0 \rtlch\fcs1 \af0\afs20\alang1025 \ltrch\fcs0 \fs24\lang2057\langfe2057\cgrid\langnp2057\langfenp2057 {\rtlch\fcs1 \af0 _x000d__x000a_\ltrch\fcs0 \insrsid12208946 \chftnsep _x000d__x000a_\par }}{\*\aftnsepc \ltrpar \pard\plain \ltrpar\ql \li0\ri0\widctlpar\wrapdefault\aspalpha\aspnum\faauto\adjustright\rin0\lin0\itap0 \rtlch\fcs1 \af0\afs20\alang1025 \ltrch\fcs0 \fs24\lang2057\langfe2057\cgrid\langnp2057\langfenp2057 {\rtlch\fcs1 \af0 _x000d__x000a_\ltrch\fcs0 \insrsid1220894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700297 \rtlch\fcs1 \af0\afs20\alang1025 \ltrch\fcs0 \b\fs24\lang2057\langfe2057\cgrid\langnp2057\langfenp2057 {\rtlch\fcs1 \af0 \ltrch\fcs0 \cs15\b0\v\f1\fs20\cf9\insrsid6700297\charrsid4593153 {\*\bkmkstart restart}&lt;Amend&gt;}{_x000d__x000a_\rtlch\fcs1 \af0 \ltrch\fcs0 \insrsid6700297\charrsid4593153 [ZAMENDMENT]\tab \tab }{\rtlch\fcs1 \af0 \ltrch\fcs0 \cs15\b0\v\f1\fs20\cf9\insrsid6700297\charrsid4593153 &lt;NumAm&gt;}{\rtlch\fcs1 \af0 \ltrch\fcs0 \insrsid6700297\charrsid4593153 [ZNRAM]}{_x000d__x000a_\rtlch\fcs1 \af0 \ltrch\fcs0 \cs15\b0\v\f1\fs20\cf9\insrsid6700297\charrsid4593153 &lt;/NumAm&gt;}{\rtlch\fcs1 \af0 \ltrch\fcs0 \insrsid6700297\charrsid4593153 _x000d__x000a_\par }\pard\plain \ltrpar\s25\ql \li0\ri0\sb240\keepn\nowidctlpar\wrapdefault\aspalpha\aspnum\faauto\adjustright\rin0\lin0\itap0\pararsid6700297 \rtlch\fcs1 \af0\afs20\alang1025 \ltrch\fcs0 \b\fs24\lang2057\langfe2057\cgrid\langnp2057\langfenp2057 {_x000d__x000a_\rtlch\fcs1 \af0 \ltrch\fcs0 \cs15\b0\v\f1\fs20\cf9\insrsid6700297\charrsid4593153 &lt;DocAmend&gt;}{\rtlch\fcs1 \af0 \ltrch\fcs0 \insrsid6700297\charrsid4593153 [ZPROPOSAL][ZAMACT]}{\rtlch\fcs1 \af0 \ltrch\fcs0 _x000d__x000a_\cs15\b0\v\f1\fs20\cf9\insrsid6700297\charrsid4593153 &lt;/DocAmend&gt;}{\rtlch\fcs1 \af0 \ltrch\fcs0 \insrsid6700297\charrsid4593153 _x000d__x000a_\par }\pard\plain \ltrpar\s18\ql \li0\ri0\keepn\nowidctlpar\wrapdefault\aspalpha\aspnum\faauto\adjustright\rin0\lin0\itap0\pararsid6700297 \rtlch\fcs1 \af0\afs20\alang1025 \ltrch\fcs0 \b\fs24\lang2057\langfe2057\cgrid\langnp2057\langfenp2057 {\rtlch\fcs1 \af0 _x000d__x000a_\ltrch\fcs0 \cs15\b0\v\f1\fs20\cf9\insrsid6700297\charrsid4593153 &lt;Article&gt;}{\rtlch\fcs1 \af0 \ltrch\fcs0 \insrsid6700297\charrsid4593153 [ZAMPART]}{\rtlch\fcs1 \af0 \ltrch\fcs0 \cs15\b0\v\f1\fs20\cf9\insrsid6700297\charrsid4593153 &lt;/Article&gt;}{_x000d__x000a_\rtlch\fcs1 \af0 \ltrch\fcs0 \insrsid6700297\charrsid4593153 _x000d__x000a_\par }\pard\plain \ltrpar\ql \li0\ri0\keepn\widctlpar\wrapdefault\aspalpha\aspnum\faauto\adjustright\rin0\lin0\itap0\pararsid6700297 \rtlch\fcs1 \af0\afs20\alang1025 \ltrch\fcs0 \fs24\lang2057\langfe2057\cgrid\langnp2057\langfenp2057 {\rtlch\fcs1 \af0 _x000d__x000a_\ltrch\fcs0 \cs15\v\f1\fs20\cf9\insrsid6700297\charrsid4593153 &lt;DocAmend2&gt;&lt;OptDel&gt;}{\rtlch\fcs1 \af0 \ltrch\fcs0 \insrsid6700297\charrsid4593153 [ZNRACT]}{\rtlch\fcs1 \af0 \ltrch\fcs0 \cs15\v\f1\fs20\cf9\insrsid6700297\charrsid4593153 _x000d__x000a_&lt;/OptDel&gt;&lt;/DocAmend2&gt;}{\rtlch\fcs1 \af0 \ltrch\fcs0 \insrsid6700297\charrsid4593153 _x000d__x000a_\par }\pard \ltrpar\ql \li0\ri0\widctlpar\wrapdefault\aspalpha\aspnum\faauto\adjustright\rin0\lin0\itap0\pararsid6700297 {\rtlch\fcs1 \af0 \ltrch\fcs0 \cs15\v\f1\fs20\cf9\insrsid6700297\charrsid4593153 &lt;Article2&gt;&lt;OptDel&gt;}{\rtlch\fcs1 \af0 \ltrch\fcs0 _x000d__x000a_\insrsid6700297\charrsid4593153 [ZACTPART]}{\rtlch\fcs1 \af0 \ltrch\fcs0 \cs15\v\f1\fs20\cf9\insrsid6700297\charrsid4593153 &lt;/OptDel&gt;&lt;/Article2&gt;}{\rtlch\fcs1 \af0 \ltrch\fcs0 \insrsid6700297\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6700297\charrsid4593153 _x000d__x000a_\cell }\pard \ltrpar\ql \li0\ri0\widctlpar\intbl\wrapdefault\aspalpha\aspnum\faauto\adjustright\rin0\lin0 {\rtlch\fcs1 \af0 \ltrch\fcs0 \insrsid6700297\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6700297\charrsid4593153 [ZLEFT]\cell [ZRIGHT]\cell }\pard\plain \ltrpar\ql \li0\ri0\widctlpar\intbl\wrapdefault\aspalpha\aspnum\faauto\adjustright\rin0\lin0 \rtlch\fcs1 \af0\afs20\alang1025 \ltrch\fcs0 _x000d__x000a_\fs24\lang2057\langfe2057\cgrid\langnp2057\langfenp2057 {\rtlch\fcs1 \af0 \ltrch\fcs0 \insrsid6700297\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6700297\charrsid4593153 [ZTEXTL]\cell [ZTEXTR]}{\rtlch\fcs1 \af0\afs24 \ltrch\fcs0 \insrsid6700297\charrsid4593153 \cell }\pard\plain \ltrpar\ql \li0\ri0\widctlpar\intbl\wrapdefault\aspalpha\aspnum\faauto\adjustright\rin0\lin0 \rtlch\fcs1 _x000d__x000a_\af0\afs20\alang1025 \ltrch\fcs0 \fs24\lang2057\langfe2057\cgrid\langnp2057\langfenp2057 {\rtlch\fcs1 \af0 \ltrch\fcs0 \insrsid6700297\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6700297 \rtlch\fcs1 \af0\afs20\alang1025 \ltrch\fcs0 \i\fs24\lang2057\langfe2057\cgrid\langnp2057\langfenp2057 {\rtlch\fcs1 \af0 \ltrch\fcs0 _x000d__x000a_\cs15\i0\v\f1\fs20\cf9\insrsid6700297\charrsid4593153 &lt;OptDel&gt;}{\rtlch\fcs1 \af0 \ltrch\fcs0 \insrsid6700297\charrsid4593153 [ZCROSSREF]}{\rtlch\fcs1 \af0 \ltrch\fcs0 \cs15\i0\v\f1\fs20\cf9\insrsid6700297\charrsid4593153 &lt;/OptDel&gt;}{\rtlch\fcs1 \af0 _x000d__x000a_\ltrch\fcs0 \insrsid6700297\charrsid4593153 _x000d__x000a_\par }\pard\plain \ltrpar\s22\qc \li0\ri0\sb240\keepn\nowidctlpar\wrapdefault\aspalpha\aspnum\faauto\adjustright\rin0\lin0\itap0\pararsid6700297 \rtlch\fcs1 \af0\afs20\alang1025 \ltrch\fcs0 \i\fs24\lang2057\langfe2057\cgrid\langnp2057\langfenp2057 {_x000d__x000a_\rtlch\fcs1 \af0 \ltrch\fcs0 \cs15\i0\v\f1\fs20\cf9\insrsid6700297\charrsid4593153 &lt;TitreJust&gt;}{\rtlch\fcs1 \af0 \ltrch\fcs0 \insrsid6700297\charrsid4593153 [ZJUSTIFICATION]}{\rtlch\fcs1 \af0 \ltrch\fcs0 _x000d__x000a_\cs15\i0\v\f1\fs20\cf9\insrsid6700297\charrsid4593153 &lt;/TitreJust&gt;}{\rtlch\fcs1 \af0 \ltrch\fcs0 \insrsid6700297\charrsid4593153 _x000d__x000a_\par }\pard\plain \ltrpar\s20\ql \li0\ri0\sb240\nowidctlpar\wrapdefault\aspalpha\aspnum\faauto\adjustright\rin0\lin0\itap0\pararsid6700297 \rtlch\fcs1 \af0\afs20\alang1025 \ltrch\fcs0 \i\fs24\lang2057\langfe2057\cgrid\langnp2057\langfenp2057 {\rtlch\fcs1 \af0 _x000d__x000a_\ltrch\fcs0 \cs15\i0\v\f1\fs20\cf9\insrsid6700297\charrsid4593153 &lt;OptDelPrev&gt;}{\rtlch\fcs1 \af0 \ltrch\fcs0 \insrsid6700297\charrsid4593153 [ZTEXTJUST]}{\rtlch\fcs1 \af0 \ltrch\fcs0 \cs15\i0\v\f1\fs20\cf9\insrsid6700297\charrsid4593153 &lt;/OptDelPrev&gt;}{_x000d__x000a_\rtlch\fcs1 \af0 \ltrch\fcs0 \insrsid6700297\charrsid4593153 _x000d__x000a_\par }\pard\plain \ltrpar\ql \li0\ri0\widctlpar\wrapdefault\aspalpha\aspnum\faauto\adjustright\rin0\lin0\itap0\pararsid6700297 \rtlch\fcs1 \af0\afs20\alang1025 \ltrch\fcs0 \fs24\lang2057\langfe2057\cgrid\langnp2057\langfenp2057 {\rtlch\fcs1 \af0 \ltrch\fcs0 _x000d__x000a_\cs15\v\f1\fs20\cf9\insrsid6700297\charrsid4593153 &lt;/Amend&gt;}{\rtlch\fcs1 \af0 \ltrch\fcs0 \insrsid670029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b_x000d__x000a_9121e34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10"/>
    <w:docVar w:name="TXTAUTHOR" w:val="Mircea Diaconu"/>
    <w:docVar w:name="TXTLANGUE" w:val="FR"/>
    <w:docVar w:name="TXTLANGUEMIN" w:val="fr"/>
    <w:docVar w:name="TXTNRC" w:val="0352/2016"/>
    <w:docVar w:name="TXTNRCOD" w:val="2016/0259"/>
    <w:docVar w:name="TXTNRCOM" w:val="(2016)0543"/>
    <w:docVar w:name="TXTROUTE" w:val="RR\1110001FR.docx"/>
    <w:docVar w:name="TXTVERSION" w:val="01-00"/>
  </w:docVars>
  <w:rsids>
    <w:rsidRoot w:val="00973279"/>
    <w:rsid w:val="00011AAB"/>
    <w:rsid w:val="00012351"/>
    <w:rsid w:val="00061E9E"/>
    <w:rsid w:val="00084E89"/>
    <w:rsid w:val="000C60F0"/>
    <w:rsid w:val="000F1096"/>
    <w:rsid w:val="00142215"/>
    <w:rsid w:val="001767E2"/>
    <w:rsid w:val="00187008"/>
    <w:rsid w:val="001C5592"/>
    <w:rsid w:val="001C5B44"/>
    <w:rsid w:val="001C6FFC"/>
    <w:rsid w:val="00212B84"/>
    <w:rsid w:val="002346B0"/>
    <w:rsid w:val="002667C3"/>
    <w:rsid w:val="002669B6"/>
    <w:rsid w:val="00290BED"/>
    <w:rsid w:val="002F40BB"/>
    <w:rsid w:val="002F4B02"/>
    <w:rsid w:val="00323EF8"/>
    <w:rsid w:val="00370AC3"/>
    <w:rsid w:val="003C2068"/>
    <w:rsid w:val="003C37CF"/>
    <w:rsid w:val="004100B1"/>
    <w:rsid w:val="00461601"/>
    <w:rsid w:val="004C0915"/>
    <w:rsid w:val="004D424E"/>
    <w:rsid w:val="004E42C8"/>
    <w:rsid w:val="0051271F"/>
    <w:rsid w:val="00521F46"/>
    <w:rsid w:val="00551123"/>
    <w:rsid w:val="00570A6A"/>
    <w:rsid w:val="00586E50"/>
    <w:rsid w:val="005D1A99"/>
    <w:rsid w:val="005D7609"/>
    <w:rsid w:val="005D7EE8"/>
    <w:rsid w:val="00651CD9"/>
    <w:rsid w:val="006E1E59"/>
    <w:rsid w:val="006F2978"/>
    <w:rsid w:val="006F7907"/>
    <w:rsid w:val="00743189"/>
    <w:rsid w:val="007932B3"/>
    <w:rsid w:val="00793EA9"/>
    <w:rsid w:val="007D6F68"/>
    <w:rsid w:val="007F79DC"/>
    <w:rsid w:val="008633CC"/>
    <w:rsid w:val="00865190"/>
    <w:rsid w:val="008719B9"/>
    <w:rsid w:val="00894ECE"/>
    <w:rsid w:val="00896BB4"/>
    <w:rsid w:val="008A7FB8"/>
    <w:rsid w:val="009022B8"/>
    <w:rsid w:val="00917CC4"/>
    <w:rsid w:val="00973279"/>
    <w:rsid w:val="009763DA"/>
    <w:rsid w:val="009B4B93"/>
    <w:rsid w:val="009F24BE"/>
    <w:rsid w:val="009F6C2F"/>
    <w:rsid w:val="00A22533"/>
    <w:rsid w:val="00A26F46"/>
    <w:rsid w:val="00A34FD3"/>
    <w:rsid w:val="00A36929"/>
    <w:rsid w:val="00A8387A"/>
    <w:rsid w:val="00AA35B0"/>
    <w:rsid w:val="00AD18C8"/>
    <w:rsid w:val="00AD7FA6"/>
    <w:rsid w:val="00AE4643"/>
    <w:rsid w:val="00AF0416"/>
    <w:rsid w:val="00B10CB4"/>
    <w:rsid w:val="00B23B72"/>
    <w:rsid w:val="00B42702"/>
    <w:rsid w:val="00B85407"/>
    <w:rsid w:val="00B95702"/>
    <w:rsid w:val="00BC6489"/>
    <w:rsid w:val="00BD480C"/>
    <w:rsid w:val="00C73602"/>
    <w:rsid w:val="00CF60C8"/>
    <w:rsid w:val="00D32924"/>
    <w:rsid w:val="00D503A3"/>
    <w:rsid w:val="00DA6ED0"/>
    <w:rsid w:val="00DC5011"/>
    <w:rsid w:val="00E15216"/>
    <w:rsid w:val="00E171B6"/>
    <w:rsid w:val="00EB1753"/>
    <w:rsid w:val="00EB6CFF"/>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35830C9-2ECD-4889-A94A-0D9CD45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fr-FR" w:eastAsia="fr-FR" w:bidi="fr-FR"/>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fr-FR" w:eastAsia="fr-FR" w:bidi="fr-FR"/>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styleId="BalloonText">
    <w:name w:val="Balloon Text"/>
    <w:basedOn w:val="Normal"/>
    <w:link w:val="BalloonTextChar"/>
    <w:rsid w:val="007F79DC"/>
    <w:rPr>
      <w:rFonts w:ascii="Segoe UI" w:hAnsi="Segoe UI" w:cs="Segoe UI"/>
      <w:sz w:val="18"/>
      <w:szCs w:val="18"/>
    </w:rPr>
  </w:style>
  <w:style w:type="character" w:customStyle="1" w:styleId="BalloonTextChar">
    <w:name w:val="Balloon Text Char"/>
    <w:basedOn w:val="DefaultParagraphFont"/>
    <w:link w:val="BalloonText"/>
    <w:rsid w:val="007F79DC"/>
    <w:rPr>
      <w:rFonts w:ascii="Segoe UI" w:hAnsi="Segoe UI" w:cs="Segoe UI"/>
      <w:sz w:val="18"/>
      <w:szCs w:val="18"/>
      <w:lang w:val="fr-FR"/>
    </w:rPr>
  </w:style>
  <w:style w:type="paragraph" w:customStyle="1" w:styleId="Lgendesigne">
    <w:name w:val="Légende signe"/>
    <w:basedOn w:val="Normal"/>
    <w:rsid w:val="007F79DC"/>
    <w:pPr>
      <w:tabs>
        <w:tab w:val="right" w:pos="454"/>
        <w:tab w:val="left" w:pos="737"/>
      </w:tabs>
      <w:ind w:left="737" w:hanging="737"/>
    </w:pPr>
    <w:rPr>
      <w:snapToGrid w:val="0"/>
      <w:sz w:val="18"/>
    </w:rPr>
  </w:style>
  <w:style w:type="paragraph" w:customStyle="1" w:styleId="Lgendetitre">
    <w:name w:val="Légende titre"/>
    <w:basedOn w:val="Normal"/>
    <w:rsid w:val="007F79DC"/>
    <w:pPr>
      <w:spacing w:before="240" w:after="240"/>
    </w:pPr>
    <w:rPr>
      <w:b/>
      <w:i/>
      <w:snapToGrid w:val="0"/>
    </w:rPr>
  </w:style>
  <w:style w:type="paragraph" w:customStyle="1" w:styleId="Lgendestandard">
    <w:name w:val="Légende standard"/>
    <w:basedOn w:val="Lgendesigne"/>
    <w:rsid w:val="007F79DC"/>
    <w:pPr>
      <w:ind w:left="0" w:firstLine="0"/>
    </w:pPr>
  </w:style>
  <w:style w:type="paragraph" w:styleId="FootnoteText">
    <w:name w:val="footnote text"/>
    <w:basedOn w:val="Normal"/>
    <w:link w:val="FootnoteTextChar"/>
    <w:rsid w:val="007F79DC"/>
    <w:rPr>
      <w:sz w:val="20"/>
    </w:rPr>
  </w:style>
  <w:style w:type="character" w:customStyle="1" w:styleId="FootnoteTextChar">
    <w:name w:val="Footnote Text Char"/>
    <w:basedOn w:val="DefaultParagraphFont"/>
    <w:link w:val="FootnoteText"/>
    <w:rsid w:val="007F79DC"/>
  </w:style>
  <w:style w:type="character" w:styleId="FootnoteReference">
    <w:name w:val="footnote reference"/>
    <w:basedOn w:val="DefaultParagraphFont"/>
    <w:rsid w:val="007F79DC"/>
    <w:rPr>
      <w:vertAlign w:val="superscript"/>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7F79DC"/>
  </w:style>
  <w:style w:type="paragraph" w:styleId="Index1">
    <w:name w:val="index 1"/>
    <w:basedOn w:val="Normal"/>
    <w:next w:val="Normal"/>
    <w:autoRedefine/>
    <w:rsid w:val="007F79DC"/>
    <w:pPr>
      <w:ind w:left="240" w:hanging="240"/>
    </w:pPr>
  </w:style>
  <w:style w:type="paragraph" w:styleId="IndexHeading">
    <w:name w:val="index heading"/>
    <w:basedOn w:val="Normal"/>
    <w:next w:val="Index1"/>
    <w:unhideWhenUsed/>
    <w:rsid w:val="007F79DC"/>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napToGrid w:val="0"/>
      <w:jc w:val="both"/>
    </w:pPr>
  </w:style>
  <w:style w:type="paragraph" w:styleId="EndnoteText">
    <w:name w:val="endnote text"/>
    <w:basedOn w:val="Normal"/>
    <w:link w:val="EndnoteTextChar"/>
    <w:unhideWhenUsed/>
    <w:rsid w:val="007F79DC"/>
  </w:style>
  <w:style w:type="character" w:customStyle="1" w:styleId="EndnoteTextChar">
    <w:name w:val="Endnote Text Char"/>
    <w:basedOn w:val="DefaultParagraphFont"/>
    <w:link w:val="EndnoteText"/>
    <w:rsid w:val="007F79DC"/>
    <w:rPr>
      <w:sz w:val="24"/>
    </w:rPr>
  </w:style>
  <w:style w:type="paragraph" w:styleId="BodyTextIndent2">
    <w:name w:val="Body Text Indent 2"/>
    <w:basedOn w:val="Normal"/>
    <w:link w:val="BodyTextIndent2Char"/>
    <w:unhideWhenUsed/>
    <w:rsid w:val="007F79DC"/>
    <w:pPr>
      <w:tabs>
        <w:tab w:val="left" w:pos="-1104"/>
        <w:tab w:val="left" w:pos="-96"/>
        <w:tab w:val="left" w:pos="336"/>
        <w:tab w:val="left" w:pos="567"/>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1134" w:hanging="709"/>
      <w:jc w:val="both"/>
    </w:pPr>
    <w:rPr>
      <w:spacing w:val="-2"/>
    </w:rPr>
  </w:style>
  <w:style w:type="character" w:customStyle="1" w:styleId="BodyTextIndent2Char">
    <w:name w:val="Body Text Indent 2 Char"/>
    <w:basedOn w:val="DefaultParagraphFont"/>
    <w:link w:val="BodyTextIndent2"/>
    <w:rsid w:val="007F79DC"/>
    <w:rPr>
      <w:spacing w:val="-2"/>
      <w:sz w:val="24"/>
      <w:lang w:val="fr-FR"/>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664A-B679-44DF-BEBD-55CAC819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A9332868.dotm</Template>
  <TotalTime>0</TotalTime>
  <Pages>1</Pages>
  <Words>3389</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RICOEUR Corinne</dc:creator>
  <cp:keywords/>
  <dc:description/>
  <cp:lastModifiedBy>GILLARD Philippe</cp:lastModifiedBy>
  <cp:revision>2</cp:revision>
  <cp:lastPrinted>2004-11-04T09:41:00Z</cp:lastPrinted>
  <dcterms:created xsi:type="dcterms:W3CDTF">2016-11-30T16:50:00Z</dcterms:created>
  <dcterms:modified xsi:type="dcterms:W3CDTF">2016-11-30T16:50:00Z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1110001</vt:lpwstr>
  </property>
  <property fmtid="{D5CDD505-2E9C-101B-9397-08002B2CF9AE}" pid="5" name="&lt;Type&gt;">
    <vt:lpwstr>RR</vt:lpwstr>
  </property>
  <property fmtid="{D5CDD505-2E9C-101B-9397-08002B2CF9AE}" pid="6" name="&lt;ModelCod&gt;">
    <vt:lpwstr>\\eiciLUXpr1\pdocep$\DocEP\DOCS\General\PR\PR_Leg\COD\COD_1st\PR_COD_1amCom.dot(17/02/2016 10:44:39)</vt:lpwstr>
  </property>
  <property fmtid="{D5CDD505-2E9C-101B-9397-08002B2CF9AE}" pid="7" name="&lt;ModelTra&gt;">
    <vt:lpwstr>\\eiciLUXpr1\pdocep$\DocEP\TRANSFIL\FR\PR_COD_1amCom.FR(18/07/2016 14:15:04)</vt:lpwstr>
  </property>
  <property fmtid="{D5CDD505-2E9C-101B-9397-08002B2CF9AE}" pid="8" name="&lt;Model&gt;">
    <vt:lpwstr>PR_COD_1amCom</vt:lpwstr>
  </property>
  <property fmtid="{D5CDD505-2E9C-101B-9397-08002B2CF9AE}" pid="9" name="FooterPath">
    <vt:lpwstr>RR\1110001FR.docx</vt:lpwstr>
  </property>
  <property fmtid="{D5CDD505-2E9C-101B-9397-08002B2CF9AE}" pid="10" name="PE Number">
    <vt:lpwstr>592.253</vt:lpwstr>
  </property>
  <property fmtid="{D5CDD505-2E9C-101B-9397-08002B2CF9AE}" pid="11" name="Bookout">
    <vt:lpwstr>OK - 2016/11/21 11:44</vt:lpwstr>
  </property>
  <property fmtid="{D5CDD505-2E9C-101B-9397-08002B2CF9AE}" pid="12" name="SDLStudio">
    <vt:lpwstr>YES</vt:lpwstr>
  </property>
  <property fmtid="{D5CDD505-2E9C-101B-9397-08002B2CF9AE}" pid="13" name="&lt;Extension&gt;">
    <vt:lpwstr>FR</vt:lpwstr>
  </property>
</Properties>
</file>