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C1545A" w:rsidRPr="009F1256" w:rsidTr="001C23B0">
        <w:trPr>
          <w:trHeight w:hRule="exact" w:val="1418"/>
        </w:trPr>
        <w:tc>
          <w:tcPr>
            <w:tcW w:w="6804" w:type="dxa"/>
            <w:shd w:val="clear" w:color="auto" w:fill="auto"/>
            <w:vAlign w:val="center"/>
          </w:tcPr>
          <w:p w:rsidR="00C1545A" w:rsidRPr="009F1256" w:rsidRDefault="006E0EBC" w:rsidP="001C23B0">
            <w:pPr>
              <w:pStyle w:val="EPName"/>
            </w:pPr>
            <w:r w:rsidRPr="009F1256">
              <w:t>Europäisches Parlament</w:t>
            </w:r>
          </w:p>
          <w:p w:rsidR="00C1545A" w:rsidRPr="009F1256" w:rsidRDefault="00A42872" w:rsidP="00A42872">
            <w:pPr>
              <w:pStyle w:val="EPTerm"/>
              <w:rPr>
                <w:rStyle w:val="HideTWBExt"/>
                <w:noProof w:val="0"/>
                <w:vanish w:val="0"/>
                <w:color w:val="auto"/>
              </w:rPr>
            </w:pPr>
            <w:r w:rsidRPr="009F1256">
              <w:t>2014-2019</w:t>
            </w:r>
          </w:p>
        </w:tc>
        <w:tc>
          <w:tcPr>
            <w:tcW w:w="2268" w:type="dxa"/>
            <w:shd w:val="clear" w:color="auto" w:fill="auto"/>
          </w:tcPr>
          <w:p w:rsidR="00C1545A" w:rsidRPr="009F1256" w:rsidRDefault="006E313D" w:rsidP="001C23B0">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5pt;height:50.5pt">
                  <v:imagedata r:id="rId8" o:title="EP logo RGB_Mute"/>
                </v:shape>
              </w:pict>
            </w:r>
          </w:p>
        </w:tc>
      </w:tr>
    </w:tbl>
    <w:p w:rsidR="00F62566" w:rsidRPr="009F1256" w:rsidRDefault="00F62566" w:rsidP="00F62566">
      <w:pPr>
        <w:pStyle w:val="LineTop"/>
      </w:pPr>
    </w:p>
    <w:p w:rsidR="00F62566" w:rsidRPr="009F1256" w:rsidRDefault="0077718F" w:rsidP="00F62566">
      <w:pPr>
        <w:pStyle w:val="ZCommittee"/>
      </w:pPr>
      <w:r w:rsidRPr="009F1256">
        <w:t>Plenarsitzungsdokument</w:t>
      </w:r>
    </w:p>
    <w:p w:rsidR="00F62566" w:rsidRPr="009F1256" w:rsidRDefault="00F62566" w:rsidP="00F62566">
      <w:pPr>
        <w:pStyle w:val="LineBottom"/>
      </w:pPr>
    </w:p>
    <w:p w:rsidR="00C30AE5" w:rsidRPr="009F1256" w:rsidRDefault="0077718F">
      <w:pPr>
        <w:pStyle w:val="RefProc"/>
      </w:pPr>
      <w:r w:rsidRPr="009F1256">
        <w:rPr>
          <w:rStyle w:val="HideTWBExt"/>
          <w:noProof w:val="0"/>
        </w:rPr>
        <w:t>&lt;NoDocSe&gt;</w:t>
      </w:r>
      <w:r w:rsidRPr="009F1256">
        <w:t>A8-0110/2017</w:t>
      </w:r>
      <w:r w:rsidRPr="009F1256">
        <w:rPr>
          <w:rStyle w:val="HideTWBExt"/>
          <w:noProof w:val="0"/>
        </w:rPr>
        <w:t>&lt;/NoDocSe&gt;</w:t>
      </w:r>
    </w:p>
    <w:p w:rsidR="00C30AE5" w:rsidRPr="009F1256" w:rsidRDefault="007F7D8B">
      <w:pPr>
        <w:pStyle w:val="ZDate"/>
      </w:pPr>
      <w:r w:rsidRPr="009F1256">
        <w:rPr>
          <w:rStyle w:val="HideTWBExt"/>
          <w:noProof w:val="0"/>
        </w:rPr>
        <w:t>&lt;Date&gt;</w:t>
      </w:r>
      <w:r w:rsidRPr="009F1256">
        <w:rPr>
          <w:rStyle w:val="HideTWBInt"/>
        </w:rPr>
        <w:t>{29/03/2017}</w:t>
      </w:r>
      <w:r w:rsidRPr="009F1256">
        <w:t>29.3.2017</w:t>
      </w:r>
      <w:r w:rsidRPr="009F1256">
        <w:rPr>
          <w:rStyle w:val="HideTWBExt"/>
          <w:noProof w:val="0"/>
        </w:rPr>
        <w:t>&lt;/Date&gt;</w:t>
      </w:r>
    </w:p>
    <w:p w:rsidR="00C30AE5" w:rsidRPr="009F1256" w:rsidRDefault="00C30AE5">
      <w:pPr>
        <w:pStyle w:val="StarsAndIs"/>
      </w:pPr>
      <w:r w:rsidRPr="009F1256">
        <w:rPr>
          <w:rStyle w:val="HideTWBExt"/>
          <w:b w:val="0"/>
          <w:noProof w:val="0"/>
        </w:rPr>
        <w:t>&lt;RefProcLect&gt;</w:t>
      </w:r>
      <w:r w:rsidRPr="009F1256">
        <w:t>***</w:t>
      </w:r>
      <w:r w:rsidRPr="009F1256">
        <w:rPr>
          <w:rStyle w:val="HideTWBExt"/>
          <w:b w:val="0"/>
          <w:noProof w:val="0"/>
        </w:rPr>
        <w:t>&lt;/RefProcLect&gt;</w:t>
      </w:r>
    </w:p>
    <w:p w:rsidR="00C30AE5" w:rsidRPr="009F1256" w:rsidRDefault="00C30AE5">
      <w:pPr>
        <w:pStyle w:val="TypeDoc"/>
      </w:pPr>
      <w:bookmarkStart w:id="0" w:name="_GoBack"/>
      <w:bookmarkEnd w:id="0"/>
      <w:r w:rsidRPr="009F1256">
        <w:rPr>
          <w:rStyle w:val="HideTWBExt"/>
          <w:b w:val="0"/>
          <w:noProof w:val="0"/>
        </w:rPr>
        <w:t>&lt;TitreType&gt;</w:t>
      </w:r>
      <w:r w:rsidRPr="009F1256">
        <w:t>EMPFEHLUNG</w:t>
      </w:r>
      <w:r w:rsidRPr="009F1256">
        <w:rPr>
          <w:rStyle w:val="HideTWBExt"/>
          <w:b w:val="0"/>
          <w:noProof w:val="0"/>
        </w:rPr>
        <w:t>&lt;/TitreType&gt;</w:t>
      </w:r>
    </w:p>
    <w:p w:rsidR="00C30AE5" w:rsidRPr="009F1256" w:rsidRDefault="00C30AE5">
      <w:pPr>
        <w:pStyle w:val="CoverNormal"/>
      </w:pPr>
      <w:r w:rsidRPr="009F1256">
        <w:rPr>
          <w:rStyle w:val="HideTWBExt"/>
          <w:noProof w:val="0"/>
        </w:rPr>
        <w:t>&lt;Titre&gt;</w:t>
      </w:r>
      <w:r w:rsidRPr="009F1256">
        <w:t>zu dem Entwurf einer Verordnung des Rates zur Änderung der Verordnung (EU, Euratom) Nr. 1311/2013 zur Festlegung des mehrjährigen Finanzrahmens für die Jahre 2014–2020</w:t>
      </w:r>
      <w:r w:rsidRPr="009F1256">
        <w:rPr>
          <w:rStyle w:val="HideTWBExt"/>
          <w:noProof w:val="0"/>
        </w:rPr>
        <w:t>&lt;/Titre&gt;</w:t>
      </w:r>
    </w:p>
    <w:p w:rsidR="00C30AE5" w:rsidRPr="009F1256" w:rsidRDefault="00C30AE5">
      <w:pPr>
        <w:pStyle w:val="Cover24"/>
      </w:pPr>
      <w:r w:rsidRPr="009F1256">
        <w:rPr>
          <w:rStyle w:val="HideTWBExt"/>
          <w:noProof w:val="0"/>
        </w:rPr>
        <w:t>&lt;DocRef&gt;</w:t>
      </w:r>
      <w:r w:rsidRPr="009F1256">
        <w:t>(14942/2016 – C8-0103/2017 – 2016/0283(APP))</w:t>
      </w:r>
      <w:r w:rsidRPr="009F1256">
        <w:rPr>
          <w:rStyle w:val="HideTWBExt"/>
          <w:noProof w:val="0"/>
        </w:rPr>
        <w:t>&lt;/DocRef&gt;</w:t>
      </w:r>
    </w:p>
    <w:p w:rsidR="00C30AE5" w:rsidRPr="009F1256" w:rsidRDefault="00C30AE5">
      <w:pPr>
        <w:pStyle w:val="Cover24"/>
      </w:pPr>
      <w:r w:rsidRPr="009F1256">
        <w:rPr>
          <w:rStyle w:val="HideTWBExt"/>
          <w:noProof w:val="0"/>
        </w:rPr>
        <w:t>&lt;Commission&gt;</w:t>
      </w:r>
      <w:r w:rsidRPr="009F1256">
        <w:rPr>
          <w:rStyle w:val="HideTWBInt"/>
        </w:rPr>
        <w:t>{BUDG}</w:t>
      </w:r>
      <w:r w:rsidRPr="009F1256">
        <w:t>Haushaltsausschuss</w:t>
      </w:r>
      <w:r w:rsidRPr="009F1256">
        <w:rPr>
          <w:rStyle w:val="HideTWBExt"/>
          <w:noProof w:val="0"/>
        </w:rPr>
        <w:t>&lt;/Commission&gt;</w:t>
      </w:r>
    </w:p>
    <w:p w:rsidR="00C30AE5" w:rsidRPr="009F1256" w:rsidRDefault="00A42872">
      <w:pPr>
        <w:pStyle w:val="Cover24"/>
      </w:pPr>
      <w:r w:rsidRPr="009F1256">
        <w:t xml:space="preserve">Berichterstatter: </w:t>
      </w:r>
      <w:r w:rsidRPr="009F1256">
        <w:rPr>
          <w:rStyle w:val="HideTWBExt"/>
          <w:noProof w:val="0"/>
        </w:rPr>
        <w:t>&lt;Depute&gt;</w:t>
      </w:r>
      <w:r w:rsidRPr="009F1256">
        <w:t>Jan Olbrycht, Isabelle Thomas</w:t>
      </w:r>
      <w:r w:rsidRPr="009F1256">
        <w:rPr>
          <w:rStyle w:val="HideTWBExt"/>
          <w:noProof w:val="0"/>
        </w:rPr>
        <w:t>&lt;/Depute&gt;</w:t>
      </w:r>
    </w:p>
    <w:p w:rsidR="00E0654E" w:rsidRPr="009F1256" w:rsidRDefault="00E0654E" w:rsidP="002E40B4">
      <w:pPr>
        <w:pStyle w:val="CoverNormal"/>
      </w:pPr>
    </w:p>
    <w:p w:rsidR="00C30AE5" w:rsidRPr="009F1256" w:rsidRDefault="00C30AE5" w:rsidP="00C1545A">
      <w:pPr>
        <w:widowControl/>
        <w:tabs>
          <w:tab w:val="center" w:pos="4677"/>
        </w:tabs>
      </w:pPr>
      <w:r w:rsidRPr="009F1256">
        <w:br w:type="page"/>
      </w:r>
      <w:bookmarkStart w:id="1" w:name="DocEPTmpStart"/>
      <w:bookmarkEnd w:id="1"/>
    </w:p>
    <w:p w:rsidR="00A42872" w:rsidRPr="009F1256" w:rsidRDefault="00A42872">
      <w:pPr>
        <w:rPr>
          <w:szCs w:val="24"/>
        </w:rPr>
      </w:pPr>
      <w:r w:rsidRPr="009F1256">
        <w:rPr>
          <w:szCs w:val="24"/>
        </w:rPr>
        <w:fldChar w:fldCharType="begin"/>
      </w:r>
      <w:r w:rsidRPr="009F1256">
        <w:rPr>
          <w:szCs w:val="24"/>
        </w:rPr>
        <w:instrText>TITLE \* MERGEFORMAT</w:instrText>
      </w:r>
      <w:r w:rsidRPr="009F1256">
        <w:rPr>
          <w:szCs w:val="24"/>
        </w:rPr>
        <w:fldChar w:fldCharType="separate"/>
      </w:r>
      <w:r w:rsidR="006E313D">
        <w:rPr>
          <w:szCs w:val="24"/>
        </w:rPr>
        <w:t>PR_APP</w:t>
      </w:r>
      <w:r w:rsidRPr="009F1256">
        <w:fldChar w:fldCharType="end"/>
      </w:r>
    </w:p>
    <w:p w:rsidR="00A42872" w:rsidRPr="009F1256" w:rsidRDefault="00A42872">
      <w:pPr>
        <w:rPr>
          <w:szCs w:val="24"/>
        </w:rPr>
      </w:pPr>
    </w:p>
    <w:p w:rsidR="00A42872" w:rsidRPr="009F1256" w:rsidRDefault="00A42872">
      <w:pPr>
        <w:rPr>
          <w:szCs w:val="24"/>
        </w:rPr>
      </w:pPr>
    </w:p>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A42872" w:rsidRPr="009F1256">
        <w:tc>
          <w:tcPr>
            <w:tcW w:w="5811" w:type="dxa"/>
            <w:tcBorders>
              <w:top w:val="single" w:sz="4" w:space="0" w:color="auto"/>
            </w:tcBorders>
          </w:tcPr>
          <w:p w:rsidR="00A42872" w:rsidRPr="009F1256" w:rsidRDefault="00A42872">
            <w:pPr>
              <w:pStyle w:val="Lgendetitre"/>
              <w:rPr>
                <w:szCs w:val="24"/>
              </w:rPr>
            </w:pPr>
            <w:r w:rsidRPr="009F1256">
              <w:t>Erklärung der benutzten Zeichen</w:t>
            </w:r>
          </w:p>
        </w:tc>
      </w:tr>
      <w:tr w:rsidR="00A42872" w:rsidRPr="009F1256">
        <w:trPr>
          <w:cantSplit/>
          <w:trHeight w:val="1944"/>
        </w:trPr>
        <w:tc>
          <w:tcPr>
            <w:tcW w:w="5811" w:type="dxa"/>
            <w:tcBorders>
              <w:bottom w:val="single" w:sz="4" w:space="0" w:color="auto"/>
            </w:tcBorders>
          </w:tcPr>
          <w:p w:rsidR="00A42872" w:rsidRPr="009F1256" w:rsidRDefault="00A42872">
            <w:pPr>
              <w:pStyle w:val="Lgendesigne"/>
              <w:rPr>
                <w:szCs w:val="24"/>
              </w:rPr>
            </w:pPr>
            <w:r w:rsidRPr="009F1256">
              <w:tab/>
              <w:t>*</w:t>
            </w:r>
            <w:r w:rsidRPr="009F1256">
              <w:tab/>
              <w:t>Anhörungsverfahren</w:t>
            </w:r>
          </w:p>
          <w:p w:rsidR="00A42872" w:rsidRPr="009F1256" w:rsidRDefault="00A42872">
            <w:pPr>
              <w:pStyle w:val="Lgendesigne"/>
              <w:rPr>
                <w:szCs w:val="24"/>
              </w:rPr>
            </w:pPr>
            <w:r w:rsidRPr="009F1256">
              <w:tab/>
              <w:t>***</w:t>
            </w:r>
            <w:r w:rsidRPr="009F1256">
              <w:tab/>
              <w:t>Zustimmungsverfahren</w:t>
            </w:r>
          </w:p>
          <w:p w:rsidR="00A42872" w:rsidRPr="009F1256" w:rsidRDefault="00A42872">
            <w:pPr>
              <w:pStyle w:val="Lgendesigne"/>
              <w:rPr>
                <w:szCs w:val="24"/>
              </w:rPr>
            </w:pPr>
            <w:r w:rsidRPr="009F1256">
              <w:tab/>
              <w:t>***I</w:t>
            </w:r>
            <w:r w:rsidRPr="009F1256">
              <w:tab/>
              <w:t>Ordentliches Gesetzgebungsverfahren (erste Lesung)</w:t>
            </w:r>
          </w:p>
          <w:p w:rsidR="00A42872" w:rsidRPr="009F1256" w:rsidRDefault="00A42872">
            <w:pPr>
              <w:pStyle w:val="Lgendesigne"/>
              <w:rPr>
                <w:szCs w:val="24"/>
              </w:rPr>
            </w:pPr>
            <w:r w:rsidRPr="009F1256">
              <w:tab/>
              <w:t>***II</w:t>
            </w:r>
            <w:r w:rsidRPr="009F1256">
              <w:tab/>
              <w:t>Ordentliches Gesetzgebungsverfahren (zweite Lesung)</w:t>
            </w:r>
          </w:p>
          <w:p w:rsidR="00A42872" w:rsidRPr="009F1256" w:rsidRDefault="00A42872">
            <w:pPr>
              <w:pStyle w:val="Lgendesigne"/>
              <w:rPr>
                <w:szCs w:val="24"/>
              </w:rPr>
            </w:pPr>
            <w:r w:rsidRPr="009F1256">
              <w:tab/>
              <w:t>***III</w:t>
            </w:r>
            <w:r w:rsidRPr="009F1256">
              <w:tab/>
              <w:t>Ordentliches Gesetzgebungsverfahren (dritte Lesung)</w:t>
            </w:r>
          </w:p>
          <w:p w:rsidR="00A42872" w:rsidRPr="009F1256" w:rsidRDefault="00A42872">
            <w:pPr>
              <w:pStyle w:val="Lgendesigne"/>
              <w:ind w:left="0" w:firstLine="0"/>
              <w:rPr>
                <w:szCs w:val="24"/>
              </w:rPr>
            </w:pPr>
          </w:p>
          <w:p w:rsidR="00A42872" w:rsidRPr="009F1256" w:rsidRDefault="00A42872">
            <w:pPr>
              <w:pStyle w:val="Lgendestandard"/>
              <w:rPr>
                <w:szCs w:val="24"/>
              </w:rPr>
            </w:pPr>
            <w:r w:rsidRPr="009F1256">
              <w:t>(Die Angabe des Verfahrens beruht auf der im Rahmen des Entwurfs eines Rechtsakts vorgeschlagenen Rechtsgrundlage.)</w:t>
            </w:r>
          </w:p>
          <w:p w:rsidR="00A42872" w:rsidRPr="009F1256" w:rsidRDefault="00A42872">
            <w:pPr>
              <w:pStyle w:val="Lgendesigne"/>
              <w:ind w:left="0" w:firstLine="0"/>
              <w:rPr>
                <w:szCs w:val="24"/>
              </w:rPr>
            </w:pPr>
          </w:p>
        </w:tc>
      </w:tr>
    </w:tbl>
    <w:p w:rsidR="00A42872" w:rsidRPr="009F1256" w:rsidRDefault="00A42872">
      <w:pPr>
        <w:rPr>
          <w:szCs w:val="24"/>
        </w:rPr>
      </w:pPr>
    </w:p>
    <w:p w:rsidR="00A42872" w:rsidRPr="009F1256" w:rsidRDefault="00A42872">
      <w:pPr>
        <w:rPr>
          <w:szCs w:val="24"/>
        </w:rPr>
      </w:pPr>
    </w:p>
    <w:p w:rsidR="00C30AE5" w:rsidRPr="009F1256" w:rsidRDefault="00C30AE5" w:rsidP="00C1545A">
      <w:pPr>
        <w:widowControl/>
        <w:tabs>
          <w:tab w:val="center" w:pos="4677"/>
        </w:tabs>
      </w:pPr>
    </w:p>
    <w:p w:rsidR="00C30AE5" w:rsidRPr="009F1256" w:rsidRDefault="00C30AE5">
      <w:pPr>
        <w:pStyle w:val="TOCHeading"/>
      </w:pPr>
      <w:r w:rsidRPr="009F1256">
        <w:br w:type="page"/>
      </w:r>
      <w:r w:rsidRPr="009F1256">
        <w:lastRenderedPageBreak/>
        <w:t>INHALT</w:t>
      </w:r>
    </w:p>
    <w:p w:rsidR="00C30AE5" w:rsidRPr="009F1256" w:rsidRDefault="006E0EBC">
      <w:pPr>
        <w:pStyle w:val="TOCPage"/>
      </w:pPr>
      <w:r w:rsidRPr="009F1256">
        <w:t>Seite</w:t>
      </w:r>
    </w:p>
    <w:p w:rsidR="006E313D" w:rsidRDefault="00753033">
      <w:pPr>
        <w:pStyle w:val="TOC1"/>
        <w:tabs>
          <w:tab w:val="right" w:leader="dot" w:pos="9060"/>
        </w:tabs>
        <w:rPr>
          <w:rFonts w:asciiTheme="minorHAnsi" w:eastAsiaTheme="minorEastAsia" w:hAnsiTheme="minorHAnsi" w:cstheme="minorBidi"/>
          <w:noProof/>
          <w:sz w:val="22"/>
          <w:szCs w:val="22"/>
          <w:lang w:val="en-GB" w:eastAsia="en-GB" w:bidi="ar-SA"/>
        </w:rPr>
      </w:pPr>
      <w:r w:rsidRPr="009F1256">
        <w:rPr>
          <w:b/>
        </w:rPr>
        <w:fldChar w:fldCharType="begin"/>
      </w:r>
      <w:r w:rsidRPr="009F1256">
        <w:rPr>
          <w:b/>
        </w:rPr>
        <w:instrText xml:space="preserve"> TOC \t "PageHeading</w:instrText>
      </w:r>
      <w:r w:rsidR="0077718F" w:rsidRPr="009F1256">
        <w:rPr>
          <w:b/>
        </w:rPr>
        <w:instrText>;</w:instrText>
      </w:r>
      <w:r w:rsidRPr="009F1256">
        <w:rPr>
          <w:b/>
        </w:rPr>
        <w:instrText xml:space="preserve">1" </w:instrText>
      </w:r>
      <w:r w:rsidRPr="009F1256">
        <w:rPr>
          <w:b/>
        </w:rPr>
        <w:fldChar w:fldCharType="separate"/>
      </w:r>
      <w:r w:rsidR="006E313D">
        <w:rPr>
          <w:noProof/>
        </w:rPr>
        <w:t>ENTWURF EINER LEGISLATIVEN ENTSCHLIESSUNG DES EUROPÄISCHEN PARLAMENTS</w:t>
      </w:r>
      <w:r w:rsidR="006E313D">
        <w:rPr>
          <w:noProof/>
        </w:rPr>
        <w:tab/>
      </w:r>
      <w:r w:rsidR="006E313D">
        <w:rPr>
          <w:noProof/>
        </w:rPr>
        <w:fldChar w:fldCharType="begin"/>
      </w:r>
      <w:r w:rsidR="006E313D">
        <w:rPr>
          <w:noProof/>
        </w:rPr>
        <w:instrText xml:space="preserve"> PAGEREF _Toc478716657 \h </w:instrText>
      </w:r>
      <w:r w:rsidR="006E313D">
        <w:rPr>
          <w:noProof/>
        </w:rPr>
      </w:r>
      <w:r w:rsidR="006E313D">
        <w:rPr>
          <w:noProof/>
        </w:rPr>
        <w:fldChar w:fldCharType="separate"/>
      </w:r>
      <w:r w:rsidR="006E313D">
        <w:rPr>
          <w:noProof/>
        </w:rPr>
        <w:t>5</w:t>
      </w:r>
      <w:r w:rsidR="006E313D">
        <w:rPr>
          <w:noProof/>
        </w:rPr>
        <w:fldChar w:fldCharType="end"/>
      </w:r>
    </w:p>
    <w:p w:rsidR="006E313D" w:rsidRDefault="006E313D">
      <w:pPr>
        <w:pStyle w:val="TOC1"/>
        <w:tabs>
          <w:tab w:val="right" w:leader="dot" w:pos="9060"/>
        </w:tabs>
        <w:rPr>
          <w:rFonts w:asciiTheme="minorHAnsi" w:eastAsiaTheme="minorEastAsia" w:hAnsiTheme="minorHAnsi" w:cstheme="minorBidi"/>
          <w:noProof/>
          <w:sz w:val="22"/>
          <w:szCs w:val="22"/>
          <w:lang w:val="en-GB" w:eastAsia="en-GB" w:bidi="ar-SA"/>
        </w:rPr>
      </w:pPr>
      <w:r>
        <w:rPr>
          <w:noProof/>
        </w:rPr>
        <w:t>ANLAGE: ENTWURF EINER VERORDNUNG DES RATES</w:t>
      </w:r>
      <w:r>
        <w:rPr>
          <w:noProof/>
        </w:rPr>
        <w:tab/>
      </w:r>
      <w:r>
        <w:rPr>
          <w:noProof/>
        </w:rPr>
        <w:fldChar w:fldCharType="begin"/>
      </w:r>
      <w:r>
        <w:rPr>
          <w:noProof/>
        </w:rPr>
        <w:instrText xml:space="preserve"> PAGEREF _Toc478716658 \h </w:instrText>
      </w:r>
      <w:r>
        <w:rPr>
          <w:noProof/>
        </w:rPr>
      </w:r>
      <w:r>
        <w:rPr>
          <w:noProof/>
        </w:rPr>
        <w:fldChar w:fldCharType="separate"/>
      </w:r>
      <w:r>
        <w:rPr>
          <w:noProof/>
        </w:rPr>
        <w:t>6</w:t>
      </w:r>
      <w:r>
        <w:rPr>
          <w:noProof/>
        </w:rPr>
        <w:fldChar w:fldCharType="end"/>
      </w:r>
    </w:p>
    <w:p w:rsidR="006E313D" w:rsidRDefault="006E313D">
      <w:pPr>
        <w:pStyle w:val="TOC1"/>
        <w:tabs>
          <w:tab w:val="right" w:leader="dot" w:pos="9060"/>
        </w:tabs>
        <w:rPr>
          <w:rFonts w:asciiTheme="minorHAnsi" w:eastAsiaTheme="minorEastAsia" w:hAnsiTheme="minorHAnsi" w:cstheme="minorBidi"/>
          <w:noProof/>
          <w:sz w:val="22"/>
          <w:szCs w:val="22"/>
          <w:lang w:val="en-GB" w:eastAsia="en-GB" w:bidi="ar-SA"/>
        </w:rPr>
      </w:pPr>
      <w:r>
        <w:rPr>
          <w:noProof/>
        </w:rPr>
        <w:t>VERFAHREN DES FEDERFÜHRENDEN AUSSCHUSSES</w:t>
      </w:r>
      <w:r>
        <w:rPr>
          <w:noProof/>
        </w:rPr>
        <w:tab/>
      </w:r>
      <w:r>
        <w:rPr>
          <w:noProof/>
        </w:rPr>
        <w:fldChar w:fldCharType="begin"/>
      </w:r>
      <w:r>
        <w:rPr>
          <w:noProof/>
        </w:rPr>
        <w:instrText xml:space="preserve"> PAGEREF _Toc478716659 \h </w:instrText>
      </w:r>
      <w:r>
        <w:rPr>
          <w:noProof/>
        </w:rPr>
      </w:r>
      <w:r>
        <w:rPr>
          <w:noProof/>
        </w:rPr>
        <w:fldChar w:fldCharType="separate"/>
      </w:r>
      <w:r>
        <w:rPr>
          <w:noProof/>
        </w:rPr>
        <w:t>14</w:t>
      </w:r>
      <w:r>
        <w:rPr>
          <w:noProof/>
        </w:rPr>
        <w:fldChar w:fldCharType="end"/>
      </w:r>
    </w:p>
    <w:p w:rsidR="006E313D" w:rsidRDefault="006E313D">
      <w:pPr>
        <w:pStyle w:val="TOC1"/>
        <w:tabs>
          <w:tab w:val="right" w:leader="dot" w:pos="9060"/>
        </w:tabs>
        <w:rPr>
          <w:rFonts w:asciiTheme="minorHAnsi" w:eastAsiaTheme="minorEastAsia" w:hAnsiTheme="minorHAnsi" w:cstheme="minorBidi"/>
          <w:noProof/>
          <w:sz w:val="22"/>
          <w:szCs w:val="22"/>
          <w:lang w:val="en-GB" w:eastAsia="en-GB" w:bidi="ar-SA"/>
        </w:rPr>
      </w:pPr>
      <w:r>
        <w:rPr>
          <w:noProof/>
        </w:rPr>
        <w:t>NAMENTLICHE SCHLUSSABSTIMMUNG IM FEDERFÜHRENDEN AUSSCHUSS</w:t>
      </w:r>
      <w:r>
        <w:rPr>
          <w:noProof/>
        </w:rPr>
        <w:tab/>
      </w:r>
      <w:r>
        <w:rPr>
          <w:noProof/>
        </w:rPr>
        <w:fldChar w:fldCharType="begin"/>
      </w:r>
      <w:r>
        <w:rPr>
          <w:noProof/>
        </w:rPr>
        <w:instrText xml:space="preserve"> PAGEREF _Toc478716660 \h </w:instrText>
      </w:r>
      <w:r>
        <w:rPr>
          <w:noProof/>
        </w:rPr>
      </w:r>
      <w:r>
        <w:rPr>
          <w:noProof/>
        </w:rPr>
        <w:fldChar w:fldCharType="separate"/>
      </w:r>
      <w:r>
        <w:rPr>
          <w:noProof/>
        </w:rPr>
        <w:t>15</w:t>
      </w:r>
      <w:r>
        <w:rPr>
          <w:noProof/>
        </w:rPr>
        <w:fldChar w:fldCharType="end"/>
      </w:r>
    </w:p>
    <w:p w:rsidR="00B60CD2" w:rsidRPr="009F1256" w:rsidRDefault="00753033">
      <w:pPr>
        <w:pStyle w:val="TOC1"/>
        <w:tabs>
          <w:tab w:val="right" w:leader="dot" w:pos="9060"/>
        </w:tabs>
        <w:rPr>
          <w:rFonts w:asciiTheme="minorHAnsi" w:eastAsiaTheme="minorEastAsia" w:hAnsiTheme="minorHAnsi" w:cstheme="minorBidi"/>
          <w:sz w:val="22"/>
          <w:szCs w:val="22"/>
        </w:rPr>
      </w:pPr>
      <w:r w:rsidRPr="009F1256">
        <w:rPr>
          <w:b/>
        </w:rPr>
        <w:fldChar w:fldCharType="end"/>
      </w:r>
    </w:p>
    <w:p w:rsidR="00E17125" w:rsidRPr="009F1256" w:rsidRDefault="00E17125" w:rsidP="00E17125"/>
    <w:p w:rsidR="00E17125" w:rsidRPr="009F1256" w:rsidRDefault="00E17125">
      <w:pPr>
        <w:pStyle w:val="PageHeading"/>
      </w:pPr>
    </w:p>
    <w:p w:rsidR="00C30AE5" w:rsidRPr="009F1256" w:rsidRDefault="00C30AE5">
      <w:pPr>
        <w:pStyle w:val="Normal12"/>
      </w:pPr>
      <w:r w:rsidRPr="009F1256">
        <w:br w:type="page"/>
      </w:r>
    </w:p>
    <w:p w:rsidR="00C30AE5" w:rsidRPr="009F1256" w:rsidRDefault="00C30AE5">
      <w:pPr>
        <w:pStyle w:val="PageHeading"/>
      </w:pPr>
      <w:r w:rsidRPr="009F1256">
        <w:br w:type="page"/>
      </w:r>
      <w:bookmarkStart w:id="2" w:name="_Toc477872540"/>
      <w:bookmarkStart w:id="3" w:name="_Toc478634932"/>
      <w:bookmarkStart w:id="4" w:name="_Toc478716657"/>
      <w:r w:rsidRPr="009F1256">
        <w:lastRenderedPageBreak/>
        <w:t>ENTWURF EINER LEGISLATIVEN ENTSCHLIESSUNG DES EUROPÄISCHEN PARLAMENTS</w:t>
      </w:r>
      <w:bookmarkEnd w:id="2"/>
      <w:bookmarkEnd w:id="3"/>
      <w:bookmarkEnd w:id="4"/>
    </w:p>
    <w:p w:rsidR="00B60CD2" w:rsidRPr="009F1256" w:rsidRDefault="00B60CD2" w:rsidP="00B60CD2">
      <w:pPr>
        <w:pStyle w:val="NormalBold"/>
        <w:jc w:val="both"/>
      </w:pPr>
      <w:r w:rsidRPr="009F1256">
        <w:t xml:space="preserve">zu dem Entwurf einer Verordnung des Rates zur Änderung der Verordnung (EU, Euratom) Nr. 1311/2013 zur Festlegung des mehrjährigen Finanzrahmens für die Jahre 2014–2020 </w:t>
      </w:r>
    </w:p>
    <w:p w:rsidR="00B60CD2" w:rsidRPr="009F1256" w:rsidRDefault="006E0EBC" w:rsidP="00B9538E">
      <w:pPr>
        <w:pStyle w:val="Normal12Bold"/>
        <w:spacing w:after="120"/>
      </w:pPr>
      <w:r w:rsidRPr="009F1256">
        <w:t>(14942/2016 – C8-0103/2017 – 2016/0283(APP))</w:t>
      </w:r>
    </w:p>
    <w:p w:rsidR="00C30AE5" w:rsidRPr="009F1256" w:rsidRDefault="006E0EBC" w:rsidP="00B9538E">
      <w:pPr>
        <w:pStyle w:val="Normal12Bold"/>
        <w:spacing w:after="120"/>
      </w:pPr>
      <w:r w:rsidRPr="009F1256">
        <w:t>(Besonderes Gesetzgebungsverfahren – Zustimmung)</w:t>
      </w:r>
    </w:p>
    <w:p w:rsidR="00C30AE5" w:rsidRPr="009F1256" w:rsidRDefault="006E0EBC">
      <w:pPr>
        <w:pStyle w:val="Normal12"/>
      </w:pPr>
      <w:r w:rsidRPr="009F1256">
        <w:rPr>
          <w:i/>
        </w:rPr>
        <w:t>Das Europäische Parlament</w:t>
      </w:r>
      <w:r w:rsidRPr="009F1256">
        <w:t>,</w:t>
      </w:r>
    </w:p>
    <w:p w:rsidR="00B60CD2" w:rsidRPr="009F1256" w:rsidRDefault="00B60CD2" w:rsidP="00B60CD2">
      <w:pPr>
        <w:tabs>
          <w:tab w:val="left" w:pos="426"/>
        </w:tabs>
        <w:spacing w:after="160"/>
        <w:ind w:left="426" w:hanging="426"/>
        <w:rPr>
          <w:szCs w:val="24"/>
        </w:rPr>
      </w:pPr>
      <w:r w:rsidRPr="009F1256">
        <w:t>–</w:t>
      </w:r>
      <w:r w:rsidRPr="009F1256">
        <w:tab/>
        <w:t>unter Hinweis auf den Vorschlag der Kommission für eine Verordnung des Rates zur Änderung der Verordnung (EU, Euratom) Nr. 1311/2013 zur Festlegung des mehrjährigen Finanzrahmens für die Jahre 2014–2020 (COM(2016)0604),</w:t>
      </w:r>
    </w:p>
    <w:p w:rsidR="00B60CD2" w:rsidRPr="009F1256" w:rsidRDefault="00B60CD2" w:rsidP="00B60CD2">
      <w:pPr>
        <w:tabs>
          <w:tab w:val="left" w:pos="426"/>
        </w:tabs>
        <w:spacing w:after="160"/>
        <w:ind w:left="425" w:hanging="425"/>
        <w:rPr>
          <w:szCs w:val="24"/>
        </w:rPr>
      </w:pPr>
      <w:r w:rsidRPr="009F1256">
        <w:t>–</w:t>
      </w:r>
      <w:r w:rsidRPr="009F1256">
        <w:tab/>
        <w:t>unter Hinweis auf den Entwurf einer Verordnung des Rates zur Änderung der Verordnung (EU, Euratom) Nr. 1311/2013 zur Festlegung des mehrjährigen Finanzrahmens für die Jahre 2014–2020 (14942/2016) und auf das Korrigendum des Rates (14942/2016 COR2),</w:t>
      </w:r>
    </w:p>
    <w:p w:rsidR="00B60CD2" w:rsidRPr="009F1256" w:rsidRDefault="00B60CD2" w:rsidP="00B60CD2">
      <w:pPr>
        <w:tabs>
          <w:tab w:val="left" w:pos="426"/>
        </w:tabs>
        <w:spacing w:after="160"/>
        <w:ind w:left="425" w:hanging="425"/>
        <w:rPr>
          <w:i/>
          <w:szCs w:val="24"/>
        </w:rPr>
      </w:pPr>
      <w:r w:rsidRPr="009F1256">
        <w:t>–</w:t>
      </w:r>
      <w:r w:rsidRPr="009F1256">
        <w:tab/>
        <w:t>unter Hinweis auf das vom Rat gemäß Artikel 312 des Vertrags über die Arbeitsweise der Europäischen Union und Artikel 106a des Vertrags zur Gründung der Europäischen Atomgemeinschaft unterbreitete Ersuchen um Zustimmung (C8-0103/2017),</w:t>
      </w:r>
    </w:p>
    <w:p w:rsidR="00B60CD2" w:rsidRPr="009F1256" w:rsidRDefault="00B60CD2" w:rsidP="00B60CD2">
      <w:pPr>
        <w:tabs>
          <w:tab w:val="left" w:pos="426"/>
        </w:tabs>
        <w:spacing w:after="160"/>
        <w:ind w:left="426" w:hanging="426"/>
        <w:rPr>
          <w:szCs w:val="24"/>
        </w:rPr>
      </w:pPr>
      <w:r w:rsidRPr="009F1256">
        <w:t>–</w:t>
      </w:r>
      <w:r w:rsidRPr="009F1256">
        <w:tab/>
        <w:t>unter Hinweis auf die grundsätzliche Einigung des Rates vom 7. März 2017 über die Überarbeitung des mehrjährigen Finanzrahmens 2014–2020</w:t>
      </w:r>
      <w:r w:rsidRPr="009F1256">
        <w:rPr>
          <w:rStyle w:val="FootnoteReference"/>
        </w:rPr>
        <w:footnoteReference w:id="1"/>
      </w:r>
      <w:r w:rsidRPr="009F1256">
        <w:t>,</w:t>
      </w:r>
    </w:p>
    <w:p w:rsidR="00B60CD2" w:rsidRPr="009F1256" w:rsidRDefault="00B60CD2" w:rsidP="00B60CD2">
      <w:pPr>
        <w:tabs>
          <w:tab w:val="left" w:pos="426"/>
        </w:tabs>
        <w:spacing w:after="160"/>
        <w:ind w:left="426" w:hanging="426"/>
        <w:rPr>
          <w:szCs w:val="24"/>
        </w:rPr>
      </w:pPr>
      <w:r w:rsidRPr="009F1256">
        <w:t>–</w:t>
      </w:r>
      <w:r w:rsidRPr="009F1256">
        <w:tab/>
        <w:t>unter Hinweis auf seine Entschließung vom 6. Juli 2016 zur Vorbereitung der Überarbeitung des MFR 2014–2020 nach der Wahl: Beitrag des Parlaments im Vorfeld des Kommissionsvorschlags</w:t>
      </w:r>
      <w:r w:rsidRPr="009F1256">
        <w:rPr>
          <w:rStyle w:val="FootnoteReference"/>
        </w:rPr>
        <w:footnoteReference w:id="2"/>
      </w:r>
      <w:r w:rsidRPr="009F1256">
        <w:t>,</w:t>
      </w:r>
    </w:p>
    <w:p w:rsidR="00B60CD2" w:rsidRPr="009F1256" w:rsidRDefault="00B60CD2" w:rsidP="00B60CD2">
      <w:pPr>
        <w:tabs>
          <w:tab w:val="left" w:pos="426"/>
        </w:tabs>
        <w:spacing w:after="160"/>
        <w:ind w:left="420" w:hanging="420"/>
        <w:rPr>
          <w:szCs w:val="24"/>
        </w:rPr>
      </w:pPr>
      <w:r w:rsidRPr="009F1256">
        <w:t>–</w:t>
      </w:r>
      <w:r w:rsidRPr="009F1256">
        <w:tab/>
        <w:t>unter Hinweis auf seine Entschließung vom 26. Oktober 2016 zur Halbzeitüberarbeitung des MFR 2014–2020</w:t>
      </w:r>
      <w:r w:rsidRPr="009F1256">
        <w:rPr>
          <w:rStyle w:val="FootnoteReference"/>
        </w:rPr>
        <w:footnoteReference w:id="3"/>
      </w:r>
      <w:r w:rsidRPr="009F1256">
        <w:t>,</w:t>
      </w:r>
    </w:p>
    <w:p w:rsidR="00B60CD2" w:rsidRPr="009F1256" w:rsidRDefault="00B60CD2" w:rsidP="00B60CD2">
      <w:pPr>
        <w:tabs>
          <w:tab w:val="left" w:pos="426"/>
        </w:tabs>
        <w:spacing w:after="160"/>
        <w:ind w:left="420" w:hanging="420"/>
      </w:pPr>
      <w:r w:rsidRPr="009F1256">
        <w:t>–</w:t>
      </w:r>
      <w:r w:rsidRPr="009F1256">
        <w:tab/>
        <w:t>unter Hinweis auf seine nichtlegislative Entschließung vom … zu dem Entwurf einer Verordnung</w:t>
      </w:r>
      <w:r w:rsidRPr="009F1256">
        <w:rPr>
          <w:rStyle w:val="FootnoteReference"/>
        </w:rPr>
        <w:footnoteReference w:id="4"/>
      </w:r>
      <w:r w:rsidRPr="009F1256">
        <w:t>,</w:t>
      </w:r>
    </w:p>
    <w:p w:rsidR="00B60CD2" w:rsidRPr="009F1256" w:rsidRDefault="00B60CD2" w:rsidP="00B60CD2">
      <w:pPr>
        <w:tabs>
          <w:tab w:val="left" w:pos="426"/>
        </w:tabs>
        <w:spacing w:after="160"/>
        <w:ind w:left="420" w:hanging="420"/>
        <w:rPr>
          <w:szCs w:val="24"/>
        </w:rPr>
      </w:pPr>
      <w:r w:rsidRPr="009F1256">
        <w:t>–</w:t>
      </w:r>
      <w:r w:rsidRPr="009F1256">
        <w:tab/>
        <w:t>gestützt auf Artikel 86 und Artikel 99 Absätze 1 und 4 seiner Geschäftsordnung,</w:t>
      </w:r>
    </w:p>
    <w:p w:rsidR="00B60CD2" w:rsidRPr="009F1256" w:rsidRDefault="00B60CD2" w:rsidP="00B60CD2">
      <w:pPr>
        <w:tabs>
          <w:tab w:val="left" w:pos="426"/>
        </w:tabs>
        <w:spacing w:after="160"/>
        <w:ind w:left="420" w:hanging="420"/>
        <w:rPr>
          <w:szCs w:val="24"/>
        </w:rPr>
      </w:pPr>
      <w:r w:rsidRPr="009F1256">
        <w:t>–</w:t>
      </w:r>
      <w:r w:rsidRPr="009F1256">
        <w:tab/>
        <w:t>unter Hinweis auf die Empfehlung des Haushaltsausschusses (A8-0110/2017),</w:t>
      </w:r>
    </w:p>
    <w:p w:rsidR="00B60CD2" w:rsidRPr="009F1256" w:rsidRDefault="00B60CD2" w:rsidP="00B60CD2">
      <w:pPr>
        <w:pStyle w:val="Normal12Hanging"/>
        <w:jc w:val="both"/>
      </w:pPr>
      <w:r w:rsidRPr="009F1256">
        <w:t>1.</w:t>
      </w:r>
      <w:r w:rsidRPr="009F1256">
        <w:tab/>
        <w:t>gibt seine Zustimmung zu dem Entwurf einer Verordnung des Rates zur Änderung der Verordnung (EU, Euratom) Nr. 1311/2013 zur Festlegung des mehrjährigen Finanzrahmens für die Jahre 2014–2020, der dieser Entschließung als Anlage beigefügt ist;</w:t>
      </w:r>
    </w:p>
    <w:p w:rsidR="00B60CD2" w:rsidRPr="009F1256" w:rsidRDefault="00B60CD2" w:rsidP="00B60CD2">
      <w:pPr>
        <w:pStyle w:val="Normal12Hanging"/>
      </w:pPr>
      <w:r w:rsidRPr="009F1256">
        <w:t>2.</w:t>
      </w:r>
      <w:r w:rsidRPr="009F1256">
        <w:tab/>
        <w:t>beauftragt seinen Präsidenten, den Standpunkt des Parlaments dem Rat und der Kommission sowie den nationalen Parlamenten zu übermitteln.</w:t>
      </w:r>
    </w:p>
    <w:p w:rsidR="00A42872" w:rsidRPr="009F1256" w:rsidRDefault="00A42872" w:rsidP="00A42872">
      <w:pPr>
        <w:pStyle w:val="PageHeading"/>
      </w:pPr>
      <w:r w:rsidRPr="009F1256">
        <w:br w:type="page"/>
      </w:r>
      <w:bookmarkStart w:id="5" w:name="_Toc478570711"/>
      <w:bookmarkStart w:id="6" w:name="_Toc478634933"/>
      <w:bookmarkStart w:id="7" w:name="_Toc477518513"/>
      <w:bookmarkStart w:id="8" w:name="_Toc478716658"/>
      <w:r w:rsidRPr="009F1256">
        <w:lastRenderedPageBreak/>
        <w:t>ANLAGE: ENTWURF EINER VERORDNUNG DES RATES</w:t>
      </w:r>
      <w:bookmarkEnd w:id="5"/>
      <w:bookmarkEnd w:id="6"/>
      <w:bookmarkEnd w:id="8"/>
      <w:r w:rsidRPr="009F1256">
        <w:br/>
      </w:r>
      <w:bookmarkEnd w:id="7"/>
    </w:p>
    <w:p w:rsidR="004F5DCD" w:rsidRPr="009F1256" w:rsidRDefault="004F5DCD" w:rsidP="004F5DCD">
      <w:pPr>
        <w:widowControl/>
        <w:spacing w:before="360" w:line="360" w:lineRule="auto"/>
        <w:jc w:val="center"/>
        <w:rPr>
          <w:rFonts w:eastAsia="Calibri"/>
          <w:b/>
          <w:szCs w:val="22"/>
        </w:rPr>
      </w:pPr>
      <w:bookmarkStart w:id="9" w:name="_Toc477782043"/>
      <w:r w:rsidRPr="009F1256">
        <w:rPr>
          <w:b/>
        </w:rPr>
        <w:t>VERORDNUNG (EU, Euratom) 2016/… DES RATES</w:t>
      </w:r>
    </w:p>
    <w:p w:rsidR="004F5DCD" w:rsidRPr="009F1256" w:rsidRDefault="004F5DCD" w:rsidP="004F5DCD">
      <w:pPr>
        <w:widowControl/>
        <w:spacing w:before="360" w:line="360" w:lineRule="auto"/>
        <w:jc w:val="center"/>
        <w:rPr>
          <w:rFonts w:eastAsia="Calibri"/>
          <w:b/>
          <w:szCs w:val="22"/>
        </w:rPr>
      </w:pPr>
      <w:r w:rsidRPr="009F1256">
        <w:rPr>
          <w:b/>
        </w:rPr>
        <w:t>vom …</w:t>
      </w:r>
    </w:p>
    <w:p w:rsidR="004F5DCD" w:rsidRPr="009F1256" w:rsidRDefault="004F5DCD" w:rsidP="004F5DCD">
      <w:pPr>
        <w:widowControl/>
        <w:spacing w:before="360" w:after="360" w:line="360" w:lineRule="auto"/>
        <w:jc w:val="center"/>
        <w:rPr>
          <w:rFonts w:eastAsia="Calibri"/>
          <w:b/>
          <w:szCs w:val="22"/>
        </w:rPr>
      </w:pPr>
      <w:r w:rsidRPr="009F1256">
        <w:rPr>
          <w:b/>
        </w:rPr>
        <w:t xml:space="preserve">zur Änderung der Verordnung (EU, Euratom) Nr. 1311/2013 </w:t>
      </w:r>
      <w:r w:rsidRPr="009F1256">
        <w:rPr>
          <w:b/>
        </w:rPr>
        <w:br/>
        <w:t xml:space="preserve">zur Festlegung des mehrjährigen Finanzrahmens </w:t>
      </w:r>
      <w:r w:rsidRPr="009F1256">
        <w:rPr>
          <w:b/>
        </w:rPr>
        <w:br/>
        <w:t>für die Jahre 2014-2020</w:t>
      </w:r>
    </w:p>
    <w:p w:rsidR="004F5DCD" w:rsidRPr="009F1256" w:rsidRDefault="004F5DCD" w:rsidP="004F5DCD">
      <w:pPr>
        <w:keepNext/>
        <w:widowControl/>
        <w:spacing w:before="600" w:after="120" w:line="360" w:lineRule="auto"/>
        <w:rPr>
          <w:rFonts w:eastAsia="Calibri"/>
          <w:szCs w:val="22"/>
        </w:rPr>
      </w:pPr>
      <w:r w:rsidRPr="009F1256">
        <w:t>DER RAT DER EUROPÄISCHEN UNION –</w:t>
      </w:r>
    </w:p>
    <w:p w:rsidR="004F5DCD" w:rsidRPr="009F1256" w:rsidRDefault="004F5DCD" w:rsidP="004F5DCD">
      <w:pPr>
        <w:widowControl/>
        <w:spacing w:before="120" w:after="120" w:line="360" w:lineRule="auto"/>
        <w:rPr>
          <w:rFonts w:eastAsia="Calibri"/>
          <w:szCs w:val="22"/>
        </w:rPr>
      </w:pPr>
      <w:r w:rsidRPr="009F1256">
        <w:t>gestützt auf den Vertrag über die Arbeitsweise der Europäischen Union, insbesondere auf Artikel 312,</w:t>
      </w:r>
    </w:p>
    <w:p w:rsidR="004F5DCD" w:rsidRPr="009F1256" w:rsidRDefault="004F5DCD" w:rsidP="004F5DCD">
      <w:pPr>
        <w:widowControl/>
        <w:spacing w:before="120" w:after="120" w:line="360" w:lineRule="auto"/>
        <w:rPr>
          <w:rFonts w:eastAsia="Calibri"/>
          <w:szCs w:val="22"/>
        </w:rPr>
      </w:pPr>
      <w:r w:rsidRPr="009F1256">
        <w:t>gestützt auf den Vertrag zur Gründung der Europäischen Atomgemeinschaft, insbesondere auf Artikel 106a,</w:t>
      </w:r>
    </w:p>
    <w:p w:rsidR="004F5DCD" w:rsidRPr="009F1256" w:rsidRDefault="004F5DCD" w:rsidP="004F5DCD">
      <w:pPr>
        <w:widowControl/>
        <w:spacing w:before="120" w:after="120" w:line="360" w:lineRule="auto"/>
        <w:rPr>
          <w:rFonts w:eastAsia="Calibri"/>
          <w:szCs w:val="22"/>
        </w:rPr>
      </w:pPr>
      <w:r w:rsidRPr="009F1256">
        <w:t>auf Vorschlag der Europäischen Kommission,</w:t>
      </w:r>
    </w:p>
    <w:p w:rsidR="004F5DCD" w:rsidRPr="009F1256" w:rsidRDefault="004F5DCD" w:rsidP="004F5DCD">
      <w:pPr>
        <w:widowControl/>
        <w:spacing w:before="120" w:after="120" w:line="360" w:lineRule="auto"/>
        <w:rPr>
          <w:rFonts w:eastAsia="Calibri"/>
          <w:szCs w:val="22"/>
        </w:rPr>
      </w:pPr>
      <w:r w:rsidRPr="009F1256">
        <w:t>nach Zustimmung des Europäischen Parlaments,</w:t>
      </w:r>
    </w:p>
    <w:p w:rsidR="004F5DCD" w:rsidRPr="009F1256" w:rsidRDefault="004F5DCD" w:rsidP="004F5DCD">
      <w:pPr>
        <w:widowControl/>
        <w:spacing w:before="120" w:after="120" w:line="360" w:lineRule="auto"/>
        <w:rPr>
          <w:rFonts w:eastAsia="Calibri"/>
          <w:szCs w:val="22"/>
        </w:rPr>
      </w:pPr>
      <w:r w:rsidRPr="009F1256">
        <w:t>nach Zuleitung des Entwurfs des Gesetzgebungsakts an die nationalen Parlamente,</w:t>
      </w:r>
    </w:p>
    <w:p w:rsidR="004F5DCD" w:rsidRPr="009F1256" w:rsidRDefault="004F5DCD" w:rsidP="004F5DCD">
      <w:pPr>
        <w:widowControl/>
        <w:spacing w:before="120" w:after="120" w:line="360" w:lineRule="auto"/>
        <w:rPr>
          <w:rFonts w:eastAsia="Calibri"/>
          <w:szCs w:val="22"/>
        </w:rPr>
      </w:pPr>
      <w:r w:rsidRPr="009F1256">
        <w:t>gemäß einem besonderen Gesetzgebungsverfahren,</w:t>
      </w:r>
    </w:p>
    <w:p w:rsidR="004F5DCD" w:rsidRPr="009F1256" w:rsidRDefault="004F5DCD" w:rsidP="004F5DCD">
      <w:pPr>
        <w:widowControl/>
        <w:spacing w:before="120" w:after="120" w:line="360" w:lineRule="auto"/>
        <w:rPr>
          <w:rFonts w:eastAsia="Calibri"/>
          <w:szCs w:val="22"/>
        </w:rPr>
      </w:pPr>
      <w:r w:rsidRPr="009F1256">
        <w:br w:type="page"/>
      </w:r>
      <w:r w:rsidRPr="009F1256">
        <w:lastRenderedPageBreak/>
        <w:t>in Erwägung nachstehender Gründe:</w:t>
      </w:r>
    </w:p>
    <w:p w:rsidR="004F5DCD" w:rsidRPr="009F1256" w:rsidRDefault="004F5DCD" w:rsidP="004F5DCD">
      <w:pPr>
        <w:widowControl/>
        <w:spacing w:before="120" w:after="120" w:line="360" w:lineRule="auto"/>
        <w:ind w:left="850" w:hanging="850"/>
        <w:rPr>
          <w:rFonts w:eastAsia="Calibri"/>
          <w:szCs w:val="22"/>
        </w:rPr>
      </w:pPr>
      <w:r w:rsidRPr="009F1256">
        <w:t>(1)</w:t>
      </w:r>
      <w:r w:rsidRPr="009F1256">
        <w:tab/>
        <w:t>In den ersten Jahren der Durchführung des in der Verordnung (EU, Euratom) Nr. 1311/2013 des Rates</w:t>
      </w:r>
      <w:r w:rsidRPr="009F1256">
        <w:rPr>
          <w:b/>
          <w:vertAlign w:val="superscript"/>
        </w:rPr>
        <w:footnoteReference w:id="5"/>
      </w:r>
      <w:r w:rsidRPr="009F1256">
        <w:t xml:space="preserve"> festgelegten mehrjährigen Finanzrahmens (MFR) 2014-2020 wurden in großem Umfang besondere Instrumente für die Bewältigung der neuen Herausforderungen in den Ländern in der Europäischen Nachbarschaft genutzt; diese Herausforderungen erforderten rasche und umfassende Maßnahmen der Union, um ihren weitreichenden humanitären und sicherheitspolitischen Folgen zu begegnen.</w:t>
      </w:r>
    </w:p>
    <w:p w:rsidR="004F5DCD" w:rsidRPr="009F1256" w:rsidRDefault="004F5DCD" w:rsidP="004F5DCD">
      <w:pPr>
        <w:widowControl/>
        <w:spacing w:before="120" w:after="120" w:line="360" w:lineRule="auto"/>
        <w:ind w:left="850" w:hanging="850"/>
        <w:rPr>
          <w:rFonts w:eastAsia="Calibri"/>
          <w:szCs w:val="22"/>
        </w:rPr>
      </w:pPr>
      <w:r w:rsidRPr="009F1256">
        <w:t>(2)</w:t>
      </w:r>
      <w:r w:rsidRPr="009F1256">
        <w:tab/>
        <w:t>Der erneute Rückgriff auf Spielräume und besondere Instrumente im Haushaltsplan für 2017, durch den sich die verfügbaren Haushaltsmittel zur Bewältigung solcher Situationen im verbleibenden Zeitraum des MFR verringern, zeigt, dass die Umstände, die diese außerordentlichen Maßnahmen ausgelöst haben, andauern und weitere Maßnahmen erforderlich sein werden.</w:t>
      </w:r>
    </w:p>
    <w:p w:rsidR="004F5DCD" w:rsidRPr="009F1256" w:rsidRDefault="004F5DCD" w:rsidP="004F5DCD">
      <w:pPr>
        <w:widowControl/>
        <w:spacing w:before="120" w:after="120" w:line="360" w:lineRule="auto"/>
        <w:ind w:left="850" w:hanging="850"/>
        <w:rPr>
          <w:rFonts w:eastAsia="Calibri"/>
          <w:szCs w:val="22"/>
        </w:rPr>
      </w:pPr>
      <w:r w:rsidRPr="009F1256">
        <w:t>(3)</w:t>
      </w:r>
      <w:r w:rsidRPr="009F1256">
        <w:tab/>
        <w:t>Um für eine spezifische und größtmögliche Flexibilität zu sorgen und sicherzustellen, dass ausreichende Mittel für Zahlungen zur Verfügung stehen, damit die Union ihren Verpflichtungen im Einklang mit Artikel 323 des Vertrags über die Arbeitsweise der Europäischen Union nachkommen kann, müssen die im Rahmen des Gesamtspielraums für Mittel für Zahlungen vorgesehenen Höchstbeträge für die Anpassung der Obergrenzen der Mittel für Zahlungen für die Jahre 2019-2020 angehoben werden.</w:t>
      </w:r>
    </w:p>
    <w:p w:rsidR="004F5DCD" w:rsidRPr="009F1256" w:rsidRDefault="004F5DCD" w:rsidP="004F5DCD">
      <w:pPr>
        <w:widowControl/>
        <w:spacing w:before="120" w:after="120" w:line="360" w:lineRule="auto"/>
        <w:ind w:left="850" w:hanging="850"/>
        <w:rPr>
          <w:rFonts w:eastAsia="Calibri"/>
          <w:szCs w:val="22"/>
        </w:rPr>
      </w:pPr>
      <w:r w:rsidRPr="009F1256">
        <w:br w:type="page"/>
      </w:r>
      <w:r w:rsidRPr="009F1256">
        <w:lastRenderedPageBreak/>
        <w:t>(4)</w:t>
      </w:r>
      <w:r w:rsidRPr="009F1256">
        <w:tab/>
        <w:t>Damit die Union weiterhin über ausreichende Kapazitäten verfügt, um auf unvorhergesehene Umstände, insbesondere auf die neuen Herausforderungen, reagieren zu können, sollten die Reserve für Soforthilfe und das Flexibilitätsinstrument aufgestockt, die zeitlichen Beschränkungen für die Einrichtung des Gesamtspielraums für Mittel für Verpflichtungen aufgehoben und der Anwendungsbereich des Gesamtspielraums für Mittel für Verpflichtungen ausgeweitet werden.</w:t>
      </w:r>
    </w:p>
    <w:p w:rsidR="004F5DCD" w:rsidRPr="009F1256" w:rsidRDefault="004F5DCD" w:rsidP="004F5DCD">
      <w:pPr>
        <w:widowControl/>
        <w:spacing w:before="120" w:after="120" w:line="360" w:lineRule="auto"/>
        <w:ind w:left="850" w:hanging="850"/>
        <w:rPr>
          <w:rFonts w:eastAsia="Calibri"/>
          <w:szCs w:val="22"/>
        </w:rPr>
      </w:pPr>
      <w:r w:rsidRPr="009F1256">
        <w:t>(5)</w:t>
      </w:r>
      <w:r w:rsidRPr="009F1256">
        <w:tab/>
        <w:t>Zur Sicherstellung einer spezifischen und größtmöglichen Flexibilität sollte zudem vorgesehen werden, dass nicht verwendete Mittel aus dem Solidaritätsfonds der Europäischen Union und dem Europäischen Fonds für die Anpassung an die Globalisierung für das Flexibilitätsinstrument bereitgestellt werden.</w:t>
      </w:r>
    </w:p>
    <w:p w:rsidR="004F5DCD" w:rsidRPr="009F1256" w:rsidRDefault="004F5DCD" w:rsidP="004F5DCD">
      <w:pPr>
        <w:widowControl/>
        <w:spacing w:before="120" w:after="120" w:line="360" w:lineRule="auto"/>
        <w:ind w:left="850" w:hanging="850"/>
        <w:rPr>
          <w:rFonts w:eastAsia="Calibri"/>
          <w:szCs w:val="22"/>
        </w:rPr>
      </w:pPr>
      <w:r w:rsidRPr="009F1256">
        <w:t>(6)</w:t>
      </w:r>
      <w:r w:rsidRPr="009F1256">
        <w:tab/>
        <w:t>Die Verordnung (EU, Euratom) Nr. 1311/2013 sollte daher entsprechend geändert werden –</w:t>
      </w:r>
    </w:p>
    <w:p w:rsidR="007F7D8B" w:rsidRPr="009F1256" w:rsidRDefault="006012AB" w:rsidP="007F7D8B">
      <w:pPr>
        <w:keepNext/>
        <w:widowControl/>
        <w:spacing w:before="120" w:after="120" w:line="360" w:lineRule="auto"/>
      </w:pPr>
      <w:r>
        <w:br w:type="page"/>
      </w:r>
      <w:r w:rsidR="004F5DCD" w:rsidRPr="009F1256">
        <w:lastRenderedPageBreak/>
        <w:t>HAT FOLGENDE VERORDNUNG ERLASSEN:</w:t>
      </w:r>
    </w:p>
    <w:p w:rsidR="004F5DCD" w:rsidRPr="009F1256" w:rsidRDefault="004F5DCD" w:rsidP="006012AB">
      <w:pPr>
        <w:keepNext/>
        <w:widowControl/>
        <w:spacing w:before="120" w:after="120" w:line="360" w:lineRule="auto"/>
        <w:jc w:val="center"/>
        <w:rPr>
          <w:rFonts w:eastAsia="Calibri"/>
          <w:i/>
          <w:szCs w:val="22"/>
        </w:rPr>
      </w:pPr>
      <w:r w:rsidRPr="009F1256">
        <w:rPr>
          <w:i/>
        </w:rPr>
        <w:t>Artikel 1</w:t>
      </w:r>
    </w:p>
    <w:p w:rsidR="004F5DCD" w:rsidRPr="009F1256" w:rsidRDefault="004F5DCD" w:rsidP="004F5DCD">
      <w:pPr>
        <w:widowControl/>
        <w:spacing w:before="120" w:after="120"/>
        <w:rPr>
          <w:rFonts w:eastAsia="Calibri"/>
          <w:szCs w:val="22"/>
        </w:rPr>
      </w:pPr>
      <w:r w:rsidRPr="009F1256">
        <w:t>Die Verordnung (EU, Euratom) Nr. 1311/2013 wird wie folgt geändert:</w:t>
      </w:r>
    </w:p>
    <w:p w:rsidR="004F5DCD" w:rsidRPr="009F1256" w:rsidRDefault="004F5DCD" w:rsidP="004F5DCD">
      <w:pPr>
        <w:widowControl/>
        <w:spacing w:before="120" w:after="120" w:line="360" w:lineRule="auto"/>
        <w:ind w:left="850" w:hanging="850"/>
        <w:rPr>
          <w:rFonts w:eastAsia="Calibri"/>
          <w:szCs w:val="22"/>
        </w:rPr>
      </w:pPr>
      <w:r w:rsidRPr="009F1256">
        <w:t>1.</w:t>
      </w:r>
      <w:r w:rsidRPr="009F1256">
        <w:tab/>
        <w:t>Artikel 3 Absatz 2 erhält folgende Fassung:</w:t>
      </w:r>
    </w:p>
    <w:p w:rsidR="004F5DCD" w:rsidRPr="009F1256" w:rsidRDefault="009C4E13" w:rsidP="004F5DCD">
      <w:pPr>
        <w:widowControl/>
        <w:spacing w:before="120" w:after="120" w:line="360" w:lineRule="auto"/>
        <w:ind w:left="1417" w:hanging="567"/>
        <w:rPr>
          <w:rFonts w:eastAsia="Calibri"/>
          <w:szCs w:val="22"/>
        </w:rPr>
      </w:pPr>
      <w:r w:rsidRPr="009F1256">
        <w:t>„(2)</w:t>
      </w:r>
      <w:r w:rsidRPr="009F1256">
        <w:tab/>
        <w:t>Durch die besonderen Instrumente nach den Artikeln 9 bis 15 wird die Flexibilität des MFR sichergestellt; diese Instrumente werden eingeführt, um den reibungslosen Ablauf des Haushaltsverfahrens zu gewährleisten. Wenn die Reserve für Soforthilfe, der Solidaritätsfonds der Europäischen Union, das Flexibilitätsinstrument, der Europäische Fonds für die Anpassung an die Globalisierung, der Spielraum für unvorhergesehene Ausgaben, die spezielle Flexibilität zur Bekämpfung der Jugendarbeitslosigkeit und zur Stärkung der Forschung oder der Gesamtspielraum für Mittel für Verpflichtungen für Wachstum und Beschäftigung, insbesondere Jugendbeschäftigung, und für Migrations- und Sicherheitsmaßnahmen gemäß der Verordnung (EG) Nr. 2012/2002 des Rates*, der Verordnung (EG) Nr. 1309/2013 des Europäischen Parlaments und des Rates** und der Interinstitutionellen Vereinbarung über die Haushaltsdisziplin, die Zusammenarbeit im Haushaltsbereich und die wirtschaftliche Haushaltsführung*** in Anspruch genommen werden muss, können Mittel für Verpflichtungen in den Haushalt eingesetzt werden, die die Obergrenzen der einschlägigen Rubriken des MFR überschreiten.</w:t>
      </w:r>
    </w:p>
    <w:p w:rsidR="004F5DCD" w:rsidRPr="009F1256" w:rsidRDefault="004F5DCD" w:rsidP="004F5DCD">
      <w:pPr>
        <w:widowControl/>
        <w:spacing w:line="360" w:lineRule="auto"/>
        <w:ind w:left="850"/>
        <w:rPr>
          <w:rFonts w:eastAsia="Calibri"/>
          <w:szCs w:val="22"/>
        </w:rPr>
      </w:pPr>
      <w:r w:rsidRPr="009F1256">
        <w:t>________________</w:t>
      </w:r>
    </w:p>
    <w:p w:rsidR="004F5DCD" w:rsidRPr="009F1256" w:rsidRDefault="004F5DCD" w:rsidP="004F5DCD">
      <w:pPr>
        <w:widowControl/>
        <w:ind w:left="1417" w:hanging="567"/>
        <w:rPr>
          <w:rFonts w:eastAsia="Calibri"/>
          <w:szCs w:val="22"/>
        </w:rPr>
      </w:pPr>
      <w:r w:rsidRPr="009F1256">
        <w:t>*</w:t>
      </w:r>
      <w:r w:rsidRPr="009F1256">
        <w:tab/>
        <w:t>Verordnung (EG) Nr. 2012/2002 des Rates vom 11. November 2002 zur Errichtung des Solidaritätsfonds der Europäischen Union (ABl. L 311 vom 14.11.2002, S. 3).</w:t>
      </w:r>
    </w:p>
    <w:p w:rsidR="004F5DCD" w:rsidRPr="009F1256" w:rsidRDefault="004F5DCD" w:rsidP="004F5DCD">
      <w:pPr>
        <w:widowControl/>
        <w:ind w:left="1417" w:hanging="567"/>
        <w:rPr>
          <w:rFonts w:eastAsia="Calibri"/>
          <w:szCs w:val="22"/>
        </w:rPr>
      </w:pPr>
      <w:r w:rsidRPr="009F1256">
        <w:t>**</w:t>
      </w:r>
      <w:r w:rsidRPr="009F1256">
        <w:tab/>
        <w:t>Verordnung (EU) Nr. 1309/2013 des Europäischen Parlaments und des Rates vom 17. Dezember 2013 über den Europäischen Fonds für die Anpassung an die Globalisierung (2014-2020) und zur Aufhebung der Verordnung (EG) Nr. 1927/2006 (ABl. L 347 vom 20.12.2013, S. 855).</w:t>
      </w:r>
    </w:p>
    <w:p w:rsidR="006012AB" w:rsidRDefault="004F5DCD" w:rsidP="007F7D8B">
      <w:pPr>
        <w:widowControl/>
        <w:ind w:left="1417" w:hanging="567"/>
      </w:pPr>
      <w:r w:rsidRPr="009F1256">
        <w:t>***</w:t>
      </w:r>
      <w:r w:rsidRPr="009F1256">
        <w:tab/>
        <w:t>Interinstitutionelle Vereinbarung vom 2. Dezember 2013 zwischen dem Europäischen Parlament, dem Rat und der Kommission über die Haushaltsdisziplin, die Zusammenarbeit im Haushaltsbereich und die wirtschaftliche Haushaltsführung (ABl. C 373 vom 20.12.2013, S. 1).“</w:t>
      </w:r>
    </w:p>
    <w:p w:rsidR="007F7D8B" w:rsidRPr="009F1256" w:rsidRDefault="006012AB" w:rsidP="007F7D8B">
      <w:pPr>
        <w:widowControl/>
        <w:ind w:left="1417" w:hanging="567"/>
      </w:pPr>
      <w:r>
        <w:br w:type="page"/>
      </w:r>
    </w:p>
    <w:p w:rsidR="004F5DCD" w:rsidRPr="009F1256" w:rsidRDefault="004F5DCD" w:rsidP="007F7D8B">
      <w:pPr>
        <w:widowControl/>
        <w:spacing w:before="120" w:after="120" w:line="360" w:lineRule="auto"/>
        <w:ind w:left="850" w:hanging="850"/>
      </w:pPr>
      <w:r w:rsidRPr="009F1256">
        <w:t>2.</w:t>
      </w:r>
      <w:r w:rsidRPr="009F1256">
        <w:tab/>
        <w:t>Artikel 5 Absatz 2 erhält folgende Fassung:</w:t>
      </w:r>
    </w:p>
    <w:p w:rsidR="004F5DCD" w:rsidRPr="009F1256" w:rsidRDefault="009C4E13" w:rsidP="004F5DCD">
      <w:pPr>
        <w:widowControl/>
        <w:spacing w:before="120" w:after="120" w:line="360" w:lineRule="auto"/>
        <w:ind w:left="1417" w:hanging="567"/>
        <w:rPr>
          <w:rFonts w:eastAsia="Calibri"/>
          <w:szCs w:val="22"/>
        </w:rPr>
      </w:pPr>
      <w:r w:rsidRPr="009F1256">
        <w:t>„(2)</w:t>
      </w:r>
      <w:r w:rsidRPr="009F1256">
        <w:tab/>
        <w:t>Diese jährlichen Anpassungen dürfen für die Jahre 2018 bis 2020 folgende Höchstbeträge (zu Preisen von 2011) im Vergleich zur ursprünglichen Obergrenze für Mittel für Zahlungen des jeweiligen Jahres nicht überschreiten:</w:t>
      </w:r>
    </w:p>
    <w:p w:rsidR="004F5DCD" w:rsidRPr="009F1256" w:rsidRDefault="004F5DCD" w:rsidP="004F5DCD">
      <w:pPr>
        <w:widowControl/>
        <w:spacing w:before="120" w:after="120" w:line="360" w:lineRule="auto"/>
        <w:ind w:left="1417"/>
        <w:rPr>
          <w:rFonts w:eastAsia="Calibri"/>
          <w:szCs w:val="22"/>
        </w:rPr>
      </w:pPr>
      <w:r w:rsidRPr="009F1256">
        <w:t>2018 – 7 Mrd. EUR</w:t>
      </w:r>
    </w:p>
    <w:p w:rsidR="004F5DCD" w:rsidRPr="009F1256" w:rsidRDefault="004F5DCD" w:rsidP="004F5DCD">
      <w:pPr>
        <w:widowControl/>
        <w:spacing w:before="120" w:after="120" w:line="360" w:lineRule="auto"/>
        <w:ind w:left="1417"/>
        <w:rPr>
          <w:rFonts w:eastAsia="Calibri"/>
          <w:szCs w:val="22"/>
        </w:rPr>
      </w:pPr>
      <w:r w:rsidRPr="009F1256">
        <w:t>2019 – 11 Mrd. EUR</w:t>
      </w:r>
    </w:p>
    <w:p w:rsidR="004F5DCD" w:rsidRPr="009F1256" w:rsidRDefault="004F5DCD" w:rsidP="004F5DCD">
      <w:pPr>
        <w:widowControl/>
        <w:spacing w:before="120" w:after="120" w:line="360" w:lineRule="auto"/>
        <w:ind w:left="1417"/>
        <w:rPr>
          <w:rFonts w:eastAsia="Calibri"/>
          <w:szCs w:val="22"/>
        </w:rPr>
      </w:pPr>
      <w:r w:rsidRPr="009F1256">
        <w:t>2020 – 13 Mrd. EUR.“</w:t>
      </w:r>
    </w:p>
    <w:p w:rsidR="004F5DCD" w:rsidRPr="009F1256" w:rsidRDefault="004F5DCD" w:rsidP="004F5DCD">
      <w:pPr>
        <w:widowControl/>
        <w:spacing w:before="120" w:after="120" w:line="360" w:lineRule="auto"/>
        <w:ind w:left="850" w:hanging="850"/>
        <w:rPr>
          <w:rFonts w:eastAsia="Calibri"/>
          <w:szCs w:val="22"/>
        </w:rPr>
      </w:pPr>
      <w:r w:rsidRPr="009F1256">
        <w:t>3.</w:t>
      </w:r>
      <w:r w:rsidRPr="009F1256">
        <w:tab/>
        <w:t>In Artikel 6 Absatz 1 wird folgender Buchstabe angefügt:</w:t>
      </w:r>
    </w:p>
    <w:p w:rsidR="004F5DCD" w:rsidRPr="009F1256" w:rsidRDefault="009C4E13" w:rsidP="004F5DCD">
      <w:pPr>
        <w:widowControl/>
        <w:spacing w:before="120" w:after="120" w:line="360" w:lineRule="auto"/>
        <w:ind w:left="1417" w:hanging="567"/>
        <w:rPr>
          <w:rFonts w:eastAsia="Calibri"/>
          <w:szCs w:val="22"/>
        </w:rPr>
      </w:pPr>
      <w:r w:rsidRPr="009F1256">
        <w:t>„f)</w:t>
      </w:r>
      <w:r w:rsidRPr="009F1256">
        <w:tab/>
        <w:t>Berechnung der Beträge, die gemäß Artikel 11 Absatz 1 Unterabsatz 2 für das Flexibilitätsinstrument bereitgestellt werden sollen.“</w:t>
      </w:r>
    </w:p>
    <w:p w:rsidR="004F5DCD" w:rsidRPr="009F1256" w:rsidRDefault="004F5DCD" w:rsidP="004F5DCD">
      <w:pPr>
        <w:widowControl/>
        <w:spacing w:before="120" w:after="120" w:line="360" w:lineRule="auto"/>
        <w:ind w:left="850" w:hanging="850"/>
        <w:rPr>
          <w:rFonts w:eastAsia="Calibri"/>
          <w:szCs w:val="22"/>
        </w:rPr>
      </w:pPr>
      <w:r w:rsidRPr="009F1256">
        <w:t>4.</w:t>
      </w:r>
      <w:r w:rsidRPr="009F1256">
        <w:tab/>
        <w:t>Artikel 9 Absatz 2 erhält folgende Fassung:</w:t>
      </w:r>
    </w:p>
    <w:p w:rsidR="007F7D8B" w:rsidRPr="009F1256" w:rsidRDefault="009C4E13" w:rsidP="007F7D8B">
      <w:pPr>
        <w:widowControl/>
        <w:spacing w:before="120" w:after="120" w:line="360" w:lineRule="auto"/>
        <w:ind w:left="1417" w:hanging="567"/>
      </w:pPr>
      <w:r w:rsidRPr="009F1256">
        <w:t>„(2)</w:t>
      </w:r>
      <w:r w:rsidRPr="009F1256">
        <w:tab/>
        <w:t>Für die Mittelausstattung dieser Reserve wird ein jährlicher Betrag von 300 Mio. EUR (zu Preisen von 2011) zur Verfügung gestellt, der gemäß der Haushaltsordnung bis zum Jahr n+1 verwendet werden kann. Diese Mittel werden als vorläufig eingesetzte Mittel in den Gesamthaushaltsplan der Union eingestellt. Der Teil der jährlichen Mittelausstattung, der bereits im vorangegangenen Haushaltsplan ausgewiesen war, wird zunächst in Anspruch genommen. Der Teil der Mittelausstattung des Jahres n, der im Jahr n+1 nicht in Anspruch genommen wird, verfällt.“</w:t>
      </w:r>
    </w:p>
    <w:p w:rsidR="004F5DCD" w:rsidRPr="009F1256" w:rsidRDefault="004F5DCD" w:rsidP="007F7D8B">
      <w:pPr>
        <w:widowControl/>
        <w:spacing w:before="120" w:after="120" w:line="360" w:lineRule="auto"/>
        <w:ind w:left="850" w:hanging="850"/>
        <w:rPr>
          <w:rFonts w:eastAsia="Calibri"/>
          <w:szCs w:val="22"/>
        </w:rPr>
      </w:pPr>
      <w:r w:rsidRPr="009F1256">
        <w:t>5.</w:t>
      </w:r>
      <w:r w:rsidRPr="009F1256">
        <w:tab/>
        <w:t>Artikel 11 erhält folgende Fassung:</w:t>
      </w:r>
    </w:p>
    <w:p w:rsidR="004F5DCD" w:rsidRPr="009F1256" w:rsidRDefault="009C4E13" w:rsidP="004F5DCD">
      <w:pPr>
        <w:widowControl/>
        <w:spacing w:before="120" w:after="120" w:line="360" w:lineRule="auto"/>
        <w:ind w:left="850"/>
        <w:rPr>
          <w:rFonts w:eastAsia="Calibri"/>
          <w:bCs/>
          <w:i/>
          <w:iCs/>
          <w:szCs w:val="22"/>
        </w:rPr>
      </w:pPr>
      <w:r w:rsidRPr="009F1256">
        <w:t>„</w:t>
      </w:r>
      <w:r w:rsidRPr="009F1256">
        <w:rPr>
          <w:i/>
        </w:rPr>
        <w:t>Artikel 11</w:t>
      </w:r>
      <w:r w:rsidRPr="009F1256">
        <w:rPr>
          <w:i/>
        </w:rPr>
        <w:br/>
        <w:t>Flexibilitätsinstrument</w:t>
      </w:r>
    </w:p>
    <w:p w:rsidR="004F5DCD" w:rsidRPr="009F1256" w:rsidRDefault="004F5DCD" w:rsidP="004F5DCD">
      <w:pPr>
        <w:widowControl/>
        <w:spacing w:before="120" w:after="120" w:line="360" w:lineRule="auto"/>
        <w:ind w:left="1417" w:hanging="567"/>
        <w:rPr>
          <w:rFonts w:eastAsia="Calibri"/>
          <w:szCs w:val="22"/>
        </w:rPr>
      </w:pPr>
      <w:r w:rsidRPr="009F1256">
        <w:t>(1)</w:t>
      </w:r>
      <w:r w:rsidRPr="009F1256">
        <w:tab/>
        <w:t xml:space="preserve">Das Flexibilitätsinstrument dient dazu, in einem gegebenen Haushaltsjahr genau bestimmte Ausgaben zu finanzieren, die innerhalb der Obergrenze einer oder mehrerer anderer Rubriken nicht getätigt werden könnten. Vorbehaltlich </w:t>
      </w:r>
      <w:r w:rsidRPr="009F1256">
        <w:lastRenderedPageBreak/>
        <w:t>des Unterabsatzes 2 wird für den jährlich für das Flexibilitätsinstrument zur Verfügung stehenden Betrag eine Obergrenze von 600 Mio. EUR (zu Preisen von 2011) festgesetzt.</w:t>
      </w:r>
    </w:p>
    <w:p w:rsidR="004F5DCD" w:rsidRPr="009F1256" w:rsidRDefault="004F5DCD" w:rsidP="004F5DCD">
      <w:pPr>
        <w:widowControl/>
        <w:spacing w:before="120" w:after="120" w:line="360" w:lineRule="auto"/>
        <w:ind w:left="1417"/>
        <w:rPr>
          <w:rFonts w:eastAsia="Calibri"/>
          <w:szCs w:val="22"/>
        </w:rPr>
      </w:pPr>
      <w:r w:rsidRPr="009F1256">
        <w:t>Der für das Flexibilitätsinstrument zur Verfügung stehende Betrag wird ab 2017 jedes Jahr um folgende Beträge erhöht:</w:t>
      </w:r>
    </w:p>
    <w:p w:rsidR="004F5DCD" w:rsidRPr="009F1256" w:rsidRDefault="004F5DCD" w:rsidP="004F5DCD">
      <w:pPr>
        <w:widowControl/>
        <w:spacing w:before="120" w:after="120" w:line="360" w:lineRule="auto"/>
        <w:ind w:left="1984" w:hanging="567"/>
        <w:rPr>
          <w:rFonts w:eastAsia="Calibri"/>
          <w:szCs w:val="22"/>
        </w:rPr>
      </w:pPr>
      <w:r w:rsidRPr="009F1256">
        <w:t>a)</w:t>
      </w:r>
      <w:r w:rsidRPr="009F1256">
        <w:tab/>
        <w:t>einen Betrag in Höhe des Teils der jährlichen Mittelausstattung des Solidaritätsfonds der Europäischen Union, der nach Artikel 10 Absatz 1 im vorausgehenden Jahr verfallen ist;</w:t>
      </w:r>
    </w:p>
    <w:p w:rsidR="004F5DCD" w:rsidRPr="009F1256" w:rsidRDefault="004F5DCD" w:rsidP="004F5DCD">
      <w:pPr>
        <w:widowControl/>
        <w:spacing w:before="120" w:after="120" w:line="360" w:lineRule="auto"/>
        <w:ind w:left="1984" w:hanging="567"/>
        <w:rPr>
          <w:rFonts w:eastAsia="Calibri"/>
          <w:szCs w:val="22"/>
        </w:rPr>
      </w:pPr>
      <w:r w:rsidRPr="009F1256">
        <w:t>b)</w:t>
      </w:r>
      <w:r w:rsidRPr="009F1256">
        <w:tab/>
        <w:t>einen Betrag in Höhe des Teils der jährlichen Mittelausstattung des Europäischen Fonds für die Anpassung an die Globalisierung, der im vorausgehenden Jahr verfallen ist.</w:t>
      </w:r>
    </w:p>
    <w:p w:rsidR="004F5DCD" w:rsidRPr="009F1256" w:rsidRDefault="004F5DCD" w:rsidP="004F5DCD">
      <w:pPr>
        <w:widowControl/>
        <w:spacing w:before="120" w:after="120" w:line="360" w:lineRule="auto"/>
        <w:ind w:left="1417"/>
        <w:rPr>
          <w:rFonts w:eastAsia="Calibri"/>
          <w:szCs w:val="22"/>
        </w:rPr>
      </w:pPr>
      <w:r w:rsidRPr="009F1256">
        <w:t>Die Beträge, die gemäß Unterabsatz 2 für das Flexibilitätsinstrument bereitgestellt werden, werden unter den in diesem Artikel festgelegten Bedingungen verwendet.</w:t>
      </w:r>
    </w:p>
    <w:p w:rsidR="007F7D8B" w:rsidRPr="009F1256" w:rsidRDefault="004F5DCD" w:rsidP="007F7D8B">
      <w:pPr>
        <w:widowControl/>
        <w:spacing w:before="120" w:after="120" w:line="360" w:lineRule="auto"/>
        <w:ind w:left="1417" w:hanging="567"/>
      </w:pPr>
      <w:r w:rsidRPr="009F1256">
        <w:t>(2)</w:t>
      </w:r>
      <w:r w:rsidRPr="009F1256">
        <w:tab/>
        <w:t>Der Teil der jährlichen Mittelausstattung des Flexibilitätsinstruments, der nicht in Anspruch genommen wird, kann bis in das Jahr n+3 in Anspruch genommen werden. Der Teil der jährlichen Mittelausstattung, der bereits in früheren Haushaltsplänen ausgewiesen war, wird zunächst in Anspruch genommen, und zwar in chronologischer Reihenfolge. Der Teil der Mittelausstattung des Jahres n, der im Jahr n+3 nicht in Anspruch genommen wird, verfällt.“</w:t>
      </w:r>
    </w:p>
    <w:p w:rsidR="004F5DCD" w:rsidRPr="009F1256" w:rsidRDefault="004F5DCD" w:rsidP="007F7D8B">
      <w:pPr>
        <w:widowControl/>
        <w:spacing w:before="120" w:after="120" w:line="360" w:lineRule="auto"/>
        <w:ind w:left="850" w:hanging="850"/>
        <w:rPr>
          <w:rFonts w:eastAsia="Calibri"/>
          <w:szCs w:val="22"/>
        </w:rPr>
      </w:pPr>
      <w:r w:rsidRPr="009F1256">
        <w:t>6.</w:t>
      </w:r>
      <w:r w:rsidRPr="009F1256">
        <w:tab/>
        <w:t>Artikel 14 erhält folgende Fassung:</w:t>
      </w:r>
    </w:p>
    <w:p w:rsidR="004F5DCD" w:rsidRPr="009F1256" w:rsidRDefault="009C4E13" w:rsidP="004F5DCD">
      <w:pPr>
        <w:widowControl/>
        <w:spacing w:before="120" w:after="120" w:line="360" w:lineRule="auto"/>
        <w:ind w:left="850"/>
        <w:rPr>
          <w:rFonts w:eastAsia="Calibri"/>
          <w:i/>
          <w:iCs/>
          <w:szCs w:val="22"/>
        </w:rPr>
      </w:pPr>
      <w:r w:rsidRPr="009F1256">
        <w:t>„</w:t>
      </w:r>
      <w:r w:rsidRPr="009F1256">
        <w:rPr>
          <w:i/>
        </w:rPr>
        <w:t>Artikel 14</w:t>
      </w:r>
      <w:r w:rsidRPr="009F1256">
        <w:rPr>
          <w:i/>
        </w:rPr>
        <w:br/>
        <w:t>Gesamtspielraum für Mittel für Verpflichtungen für Wachstum und Beschäftigung, insbesondere Jugendbeschäftigung, und für Migrations- und Sicherheitsmaßnahmen</w:t>
      </w:r>
    </w:p>
    <w:p w:rsidR="004F5DCD" w:rsidRPr="009F1256" w:rsidRDefault="004F5DCD" w:rsidP="004F5DCD">
      <w:pPr>
        <w:widowControl/>
        <w:spacing w:before="120" w:after="120" w:line="360" w:lineRule="auto"/>
        <w:ind w:left="1417" w:hanging="567"/>
        <w:rPr>
          <w:rFonts w:eastAsia="Calibri"/>
          <w:szCs w:val="22"/>
        </w:rPr>
      </w:pPr>
      <w:r w:rsidRPr="009F1256">
        <w:t>(1)</w:t>
      </w:r>
      <w:r w:rsidRPr="009F1256">
        <w:tab/>
        <w:t xml:space="preserve">Bleiben Spielräume innerhalb der Obergrenzen für Mittel für Verpflichtungen des MFR verfügbar, so bilden sie einen Gesamtspielraum für Mittel für Verpflichtungen des MFR über die Obergrenzen hinaus, die im MFR für die Jahre 2016 bis 2020 für Politikziele im Zusammenhang mit Wachstum und </w:t>
      </w:r>
      <w:r w:rsidRPr="009F1256">
        <w:lastRenderedPageBreak/>
        <w:t>Beschäftigung – insbesondere Jugendbeschäftigung – und mit Migration und Sicherheit festgelegt sind.</w:t>
      </w:r>
    </w:p>
    <w:p w:rsidR="004F5DCD" w:rsidRPr="009F1256" w:rsidRDefault="004F5DCD" w:rsidP="004F5DCD">
      <w:pPr>
        <w:widowControl/>
        <w:spacing w:before="120" w:after="120" w:line="360" w:lineRule="auto"/>
        <w:ind w:left="1417" w:hanging="567"/>
        <w:rPr>
          <w:rFonts w:eastAsia="Calibri"/>
          <w:szCs w:val="22"/>
        </w:rPr>
      </w:pPr>
      <w:r w:rsidRPr="009F1256">
        <w:t>(2)</w:t>
      </w:r>
      <w:r w:rsidRPr="009F1256">
        <w:tab/>
        <w:t>Im Rahmen der technischen Anpassung nach Artikel 6 berechnet die Kommission jedes Jahr den verfügbaren Betrag. Der MFR-Gesamtspielraum oder Teile davon können vom Europäischen Parlament und vom Rat im Rahmen des Haushaltsverfahrens gemäß Artikel 314 AEUV in Anspruch genommen werden.“</w:t>
      </w:r>
    </w:p>
    <w:p w:rsidR="004F5DCD" w:rsidRPr="009F1256" w:rsidRDefault="004F5DCD" w:rsidP="004F5DCD">
      <w:pPr>
        <w:keepNext/>
        <w:widowControl/>
        <w:spacing w:before="360" w:after="120" w:line="360" w:lineRule="auto"/>
        <w:jc w:val="center"/>
        <w:rPr>
          <w:rFonts w:eastAsia="Calibri"/>
          <w:i/>
          <w:szCs w:val="22"/>
        </w:rPr>
      </w:pPr>
      <w:r w:rsidRPr="009F1256">
        <w:br w:type="page"/>
      </w:r>
      <w:r w:rsidRPr="009F1256">
        <w:rPr>
          <w:i/>
        </w:rPr>
        <w:lastRenderedPageBreak/>
        <w:t>Artikel 2</w:t>
      </w:r>
    </w:p>
    <w:p w:rsidR="004F5DCD" w:rsidRPr="009F1256" w:rsidRDefault="004F5DCD" w:rsidP="004F5DCD">
      <w:pPr>
        <w:widowControl/>
        <w:spacing w:before="120" w:after="120" w:line="360" w:lineRule="auto"/>
        <w:rPr>
          <w:rFonts w:eastAsia="Calibri"/>
          <w:szCs w:val="22"/>
        </w:rPr>
      </w:pPr>
      <w:r w:rsidRPr="009F1256">
        <w:t xml:space="preserve">Diese Verordnung tritt am zwanzigsten Tag nach ihrer Veröffentlichung im </w:t>
      </w:r>
      <w:r w:rsidRPr="009F1256">
        <w:rPr>
          <w:i/>
        </w:rPr>
        <w:t>Amtsblatt der Europäischen Union</w:t>
      </w:r>
      <w:r w:rsidRPr="009F1256">
        <w:t xml:space="preserve"> in Kraft.</w:t>
      </w:r>
    </w:p>
    <w:p w:rsidR="004F5DCD" w:rsidRPr="009F1256" w:rsidRDefault="004F5DCD" w:rsidP="004F5DCD">
      <w:pPr>
        <w:widowControl/>
        <w:spacing w:before="480" w:after="120" w:line="360" w:lineRule="auto"/>
        <w:rPr>
          <w:rFonts w:eastAsia="Calibri"/>
          <w:szCs w:val="22"/>
        </w:rPr>
      </w:pPr>
      <w:r w:rsidRPr="009F1256">
        <w:t>Diese Verordnung ist in allen ihren Teilen verbindlich und gilt unmittelbar in jedem Mitgliedstaat.</w:t>
      </w:r>
    </w:p>
    <w:p w:rsidR="004F5DCD" w:rsidRPr="009F1256" w:rsidRDefault="004F5DCD" w:rsidP="004F5DCD">
      <w:pPr>
        <w:keepNext/>
        <w:widowControl/>
        <w:spacing w:before="120" w:line="360" w:lineRule="auto"/>
        <w:rPr>
          <w:rFonts w:eastAsia="Calibri"/>
          <w:szCs w:val="22"/>
        </w:rPr>
      </w:pPr>
      <w:r w:rsidRPr="009F1256">
        <w:t>Geschehen zu Brüssel am</w:t>
      </w:r>
    </w:p>
    <w:p w:rsidR="004F5DCD" w:rsidRPr="009F1256" w:rsidRDefault="004F5DCD" w:rsidP="004F5DCD">
      <w:pPr>
        <w:keepNext/>
        <w:widowControl/>
        <w:tabs>
          <w:tab w:val="left" w:pos="5669"/>
        </w:tabs>
        <w:spacing w:before="720" w:line="360" w:lineRule="auto"/>
        <w:rPr>
          <w:rFonts w:eastAsia="Calibri"/>
          <w:i/>
          <w:szCs w:val="22"/>
        </w:rPr>
      </w:pPr>
      <w:r w:rsidRPr="009F1256">
        <w:tab/>
      </w:r>
      <w:r w:rsidRPr="009F1256">
        <w:rPr>
          <w:i/>
        </w:rPr>
        <w:t>Im Namen des Rates</w:t>
      </w:r>
    </w:p>
    <w:p w:rsidR="004F5DCD" w:rsidRPr="009F1256" w:rsidRDefault="004F5DCD" w:rsidP="004F5DCD">
      <w:pPr>
        <w:widowControl/>
        <w:tabs>
          <w:tab w:val="left" w:pos="5669"/>
        </w:tabs>
        <w:spacing w:line="360" w:lineRule="auto"/>
        <w:rPr>
          <w:rFonts w:eastAsia="Calibri"/>
          <w:i/>
          <w:szCs w:val="22"/>
        </w:rPr>
      </w:pPr>
      <w:r w:rsidRPr="009F1256">
        <w:tab/>
      </w:r>
      <w:r w:rsidRPr="009F1256">
        <w:rPr>
          <w:i/>
        </w:rPr>
        <w:t>Der Präsident</w:t>
      </w:r>
    </w:p>
    <w:p w:rsidR="004F5DCD" w:rsidRPr="009F1256" w:rsidRDefault="004F5DCD" w:rsidP="004F5DCD">
      <w:pPr>
        <w:widowControl/>
        <w:pBdr>
          <w:bottom w:val="single" w:sz="4" w:space="0" w:color="000000"/>
        </w:pBdr>
        <w:spacing w:before="360" w:after="120" w:line="360" w:lineRule="auto"/>
        <w:ind w:left="3400" w:right="3400"/>
        <w:jc w:val="center"/>
        <w:rPr>
          <w:rFonts w:eastAsia="Calibri"/>
          <w:b/>
          <w:szCs w:val="22"/>
        </w:rPr>
      </w:pPr>
    </w:p>
    <w:p w:rsidR="00B60CD2" w:rsidRPr="009F1256" w:rsidRDefault="004F5DCD" w:rsidP="00B60CD2">
      <w:pPr>
        <w:pStyle w:val="PageHeading"/>
      </w:pPr>
      <w:r w:rsidRPr="009F1256">
        <w:br w:type="page"/>
      </w:r>
      <w:bookmarkStart w:id="10" w:name="ProcPageRR"/>
      <w:bookmarkEnd w:id="9"/>
    </w:p>
    <w:p w:rsidR="0077718F" w:rsidRPr="009F1256" w:rsidRDefault="0077718F" w:rsidP="0077718F">
      <w:pPr>
        <w:pStyle w:val="PageHeading"/>
      </w:pPr>
      <w:bookmarkStart w:id="11" w:name="_Toc478634934"/>
      <w:bookmarkStart w:id="12" w:name="_Toc478716659"/>
      <w:r w:rsidRPr="009F1256">
        <w:t>VERFAHREN DES FEDERFÜHRENDEN AUSSCHUSSES</w:t>
      </w:r>
      <w:bookmarkEnd w:id="11"/>
      <w:bookmarkEnd w:id="12"/>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7718F" w:rsidRPr="009F125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7718F" w:rsidRPr="009F1256" w:rsidRDefault="0077718F">
            <w:pPr>
              <w:autoSpaceDE w:val="0"/>
              <w:autoSpaceDN w:val="0"/>
              <w:adjustRightInd w:val="0"/>
              <w:rPr>
                <w:b/>
                <w:bCs/>
                <w:color w:val="000000"/>
                <w:sz w:val="20"/>
              </w:rPr>
            </w:pPr>
            <w:r w:rsidRPr="009F1256">
              <w:rPr>
                <w:b/>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7718F" w:rsidRPr="009F1256" w:rsidRDefault="0077718F">
            <w:pPr>
              <w:autoSpaceDE w:val="0"/>
              <w:autoSpaceDN w:val="0"/>
              <w:adjustRightInd w:val="0"/>
              <w:rPr>
                <w:color w:val="000000"/>
                <w:sz w:val="20"/>
              </w:rPr>
            </w:pPr>
            <w:r w:rsidRPr="009F1256">
              <w:rPr>
                <w:color w:val="000000"/>
                <w:sz w:val="20"/>
              </w:rPr>
              <w:t>Änderung der Verordnung (EU, Euratom) Nr. 1311/2013 zur Festlegung des mehrjährigen Finanzrahmens für die Jahre 2014-2020</w:t>
            </w:r>
          </w:p>
        </w:tc>
      </w:tr>
      <w:tr w:rsidR="0077718F" w:rsidRPr="009F125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7718F" w:rsidRPr="009F1256" w:rsidRDefault="0077718F">
            <w:pPr>
              <w:autoSpaceDE w:val="0"/>
              <w:autoSpaceDN w:val="0"/>
              <w:adjustRightInd w:val="0"/>
              <w:rPr>
                <w:b/>
                <w:bCs/>
                <w:color w:val="000000"/>
                <w:sz w:val="20"/>
              </w:rPr>
            </w:pPr>
            <w:r w:rsidRPr="009F1256">
              <w:rPr>
                <w:b/>
                <w:color w:val="000000"/>
                <w:sz w:val="20"/>
              </w:rPr>
              <w:t>Bezugsdokumente - Verfahrensnummer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7718F" w:rsidRPr="009F1256" w:rsidRDefault="0077718F">
            <w:pPr>
              <w:autoSpaceDE w:val="0"/>
              <w:autoSpaceDN w:val="0"/>
              <w:adjustRightInd w:val="0"/>
              <w:rPr>
                <w:color w:val="000000"/>
                <w:sz w:val="20"/>
              </w:rPr>
            </w:pPr>
            <w:r w:rsidRPr="009F1256">
              <w:rPr>
                <w:color w:val="000000"/>
                <w:sz w:val="20"/>
              </w:rPr>
              <w:t>14942/2016 – C8-0103/2017 – COM(2016)0604 – 2016/0283(APP)</w:t>
            </w:r>
          </w:p>
        </w:tc>
      </w:tr>
      <w:tr w:rsidR="0077718F" w:rsidRPr="009F125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7718F" w:rsidRPr="009F1256" w:rsidRDefault="0077718F">
            <w:pPr>
              <w:autoSpaceDE w:val="0"/>
              <w:autoSpaceDN w:val="0"/>
              <w:adjustRightInd w:val="0"/>
              <w:rPr>
                <w:b/>
                <w:bCs/>
                <w:color w:val="000000"/>
                <w:sz w:val="20"/>
              </w:rPr>
            </w:pPr>
            <w:r w:rsidRPr="009F1256">
              <w:rPr>
                <w:b/>
                <w:color w:val="000000"/>
                <w:sz w:val="20"/>
              </w:rPr>
              <w:t>Datum der Anhörung / des Ersuchens um Zustimmung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7718F" w:rsidRPr="009F1256" w:rsidRDefault="0077718F">
            <w:pPr>
              <w:autoSpaceDE w:val="0"/>
              <w:autoSpaceDN w:val="0"/>
              <w:adjustRightInd w:val="0"/>
              <w:rPr>
                <w:color w:val="000000"/>
                <w:sz w:val="20"/>
              </w:rPr>
            </w:pPr>
            <w:r w:rsidRPr="009F1256">
              <w:rPr>
                <w:color w:val="000000"/>
                <w:sz w:val="20"/>
              </w:rPr>
              <w:t>8.3.2017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7718F" w:rsidRPr="009F1256" w:rsidRDefault="0077718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7718F" w:rsidRPr="009F1256" w:rsidRDefault="0077718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7718F" w:rsidRPr="009F1256" w:rsidRDefault="0077718F">
            <w:pPr>
              <w:autoSpaceDE w:val="0"/>
              <w:autoSpaceDN w:val="0"/>
              <w:adjustRightInd w:val="0"/>
              <w:rPr>
                <w:rFonts w:ascii="sans-serif" w:hAnsi="sans-serif" w:cs="sans-serif"/>
                <w:color w:val="000000"/>
                <w:szCs w:val="24"/>
              </w:rPr>
            </w:pPr>
          </w:p>
        </w:tc>
      </w:tr>
      <w:tr w:rsidR="0077718F" w:rsidRPr="009F125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7718F" w:rsidRPr="009F1256" w:rsidRDefault="0077718F">
            <w:pPr>
              <w:autoSpaceDE w:val="0"/>
              <w:autoSpaceDN w:val="0"/>
              <w:adjustRightInd w:val="0"/>
              <w:rPr>
                <w:b/>
                <w:bCs/>
                <w:color w:val="000000"/>
                <w:sz w:val="20"/>
              </w:rPr>
            </w:pPr>
            <w:r w:rsidRPr="009F1256">
              <w:rPr>
                <w:b/>
                <w:color w:val="000000"/>
                <w:sz w:val="20"/>
              </w:rPr>
              <w:t>Federführender Ausschuss</w:t>
            </w:r>
          </w:p>
          <w:p w:rsidR="0077718F" w:rsidRPr="009F1256" w:rsidRDefault="00B60CD2">
            <w:pPr>
              <w:autoSpaceDE w:val="0"/>
              <w:autoSpaceDN w:val="0"/>
              <w:adjustRightInd w:val="0"/>
              <w:rPr>
                <w:color w:val="000000"/>
                <w:sz w:val="20"/>
              </w:rPr>
            </w:pPr>
            <w:r w:rsidRPr="009F1256">
              <w:rPr>
                <w:color w:val="000000"/>
                <w:sz w:val="20"/>
              </w:rPr>
              <w:t xml:space="preserve"> Datum der Bekanntgabe im Plenum</w:t>
            </w:r>
          </w:p>
        </w:tc>
        <w:tc>
          <w:tcPr>
            <w:tcW w:w="1530" w:type="dxa"/>
            <w:tcBorders>
              <w:top w:val="nil"/>
              <w:left w:val="nil"/>
              <w:bottom w:val="single" w:sz="8" w:space="0" w:color="000000"/>
              <w:right w:val="nil"/>
            </w:tcBorders>
            <w:tcMar>
              <w:top w:w="79" w:type="dxa"/>
              <w:left w:w="79" w:type="dxa"/>
              <w:bottom w:w="79" w:type="dxa"/>
              <w:right w:w="79" w:type="dxa"/>
            </w:tcMar>
          </w:tcPr>
          <w:p w:rsidR="0077718F" w:rsidRPr="009F1256" w:rsidRDefault="0077718F">
            <w:pPr>
              <w:autoSpaceDE w:val="0"/>
              <w:autoSpaceDN w:val="0"/>
              <w:adjustRightInd w:val="0"/>
              <w:rPr>
                <w:color w:val="000000"/>
                <w:sz w:val="20"/>
              </w:rPr>
            </w:pPr>
            <w:r w:rsidRPr="009F1256">
              <w:rPr>
                <w:color w:val="000000"/>
                <w:sz w:val="20"/>
              </w:rPr>
              <w:t>BUDG</w:t>
            </w:r>
          </w:p>
          <w:p w:rsidR="0077718F" w:rsidRPr="009F1256" w:rsidRDefault="0077718F">
            <w:pPr>
              <w:autoSpaceDE w:val="0"/>
              <w:autoSpaceDN w:val="0"/>
              <w:adjustRightInd w:val="0"/>
              <w:rPr>
                <w:color w:val="000000"/>
                <w:sz w:val="20"/>
              </w:rPr>
            </w:pPr>
            <w:r w:rsidRPr="009F1256">
              <w:rPr>
                <w:color w:val="000000"/>
                <w:sz w:val="20"/>
              </w:rPr>
              <w:t>13.3.2017</w:t>
            </w:r>
          </w:p>
        </w:tc>
        <w:tc>
          <w:tcPr>
            <w:tcW w:w="1474" w:type="dxa"/>
            <w:tcBorders>
              <w:top w:val="nil"/>
              <w:left w:val="nil"/>
              <w:bottom w:val="single" w:sz="8" w:space="0" w:color="000000"/>
              <w:right w:val="nil"/>
            </w:tcBorders>
            <w:tcMar>
              <w:top w:w="79" w:type="dxa"/>
              <w:left w:w="79" w:type="dxa"/>
              <w:bottom w:w="79" w:type="dxa"/>
              <w:right w:w="79" w:type="dxa"/>
            </w:tcMar>
          </w:tcPr>
          <w:p w:rsidR="0077718F" w:rsidRPr="009F1256" w:rsidRDefault="0077718F">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77718F" w:rsidRPr="009F1256" w:rsidRDefault="0077718F">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77718F" w:rsidRPr="009F1256" w:rsidRDefault="0077718F">
            <w:pPr>
              <w:autoSpaceDE w:val="0"/>
              <w:autoSpaceDN w:val="0"/>
              <w:adjustRightInd w:val="0"/>
              <w:rPr>
                <w:rFonts w:ascii="sans-serif" w:hAnsi="sans-serif" w:cs="sans-serif"/>
                <w:color w:val="000000"/>
                <w:szCs w:val="24"/>
              </w:rPr>
            </w:pPr>
          </w:p>
        </w:tc>
      </w:tr>
      <w:tr w:rsidR="0077718F" w:rsidRPr="009F125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7718F" w:rsidRPr="009F1256" w:rsidRDefault="0077718F">
            <w:pPr>
              <w:autoSpaceDE w:val="0"/>
              <w:autoSpaceDN w:val="0"/>
              <w:adjustRightInd w:val="0"/>
              <w:rPr>
                <w:b/>
                <w:bCs/>
                <w:color w:val="000000"/>
                <w:sz w:val="20"/>
              </w:rPr>
            </w:pPr>
            <w:r w:rsidRPr="009F1256">
              <w:rPr>
                <w:b/>
                <w:color w:val="000000"/>
                <w:sz w:val="20"/>
              </w:rPr>
              <w:t>Berichterstatter</w:t>
            </w:r>
          </w:p>
          <w:p w:rsidR="0077718F" w:rsidRPr="009F1256" w:rsidRDefault="00B60CD2">
            <w:pPr>
              <w:autoSpaceDE w:val="0"/>
              <w:autoSpaceDN w:val="0"/>
              <w:adjustRightInd w:val="0"/>
              <w:rPr>
                <w:color w:val="000000"/>
                <w:sz w:val="20"/>
              </w:rPr>
            </w:pPr>
            <w:r w:rsidRPr="009F1256">
              <w:rPr>
                <w:color w:val="000000"/>
                <w:sz w:val="20"/>
              </w:rPr>
              <w:t xml:space="preserve"> Datum der Benennung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7718F" w:rsidRPr="009F1256" w:rsidRDefault="0077718F">
            <w:pPr>
              <w:autoSpaceDE w:val="0"/>
              <w:autoSpaceDN w:val="0"/>
              <w:adjustRightInd w:val="0"/>
              <w:rPr>
                <w:color w:val="000000"/>
                <w:sz w:val="20"/>
              </w:rPr>
            </w:pPr>
            <w:r w:rsidRPr="009F1256">
              <w:rPr>
                <w:color w:val="000000"/>
                <w:sz w:val="20"/>
              </w:rPr>
              <w:t>Jan Olbrycht</w:t>
            </w:r>
          </w:p>
          <w:p w:rsidR="0077718F" w:rsidRPr="009F1256" w:rsidRDefault="0077718F">
            <w:pPr>
              <w:autoSpaceDE w:val="0"/>
              <w:autoSpaceDN w:val="0"/>
              <w:adjustRightInd w:val="0"/>
              <w:rPr>
                <w:color w:val="000000"/>
                <w:sz w:val="20"/>
              </w:rPr>
            </w:pPr>
            <w:r w:rsidRPr="009F1256">
              <w:rPr>
                <w:color w:val="000000"/>
                <w:sz w:val="20"/>
              </w:rPr>
              <w:t>10.10.2016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7718F" w:rsidRPr="009F1256" w:rsidRDefault="0077718F">
            <w:pPr>
              <w:autoSpaceDE w:val="0"/>
              <w:autoSpaceDN w:val="0"/>
              <w:adjustRightInd w:val="0"/>
              <w:rPr>
                <w:color w:val="000000"/>
                <w:sz w:val="20"/>
              </w:rPr>
            </w:pPr>
            <w:r w:rsidRPr="009F1256">
              <w:rPr>
                <w:color w:val="000000"/>
                <w:sz w:val="20"/>
              </w:rPr>
              <w:t>Isabelle Thomas</w:t>
            </w:r>
          </w:p>
          <w:p w:rsidR="0077718F" w:rsidRPr="009F1256" w:rsidRDefault="0077718F">
            <w:pPr>
              <w:autoSpaceDE w:val="0"/>
              <w:autoSpaceDN w:val="0"/>
              <w:adjustRightInd w:val="0"/>
              <w:rPr>
                <w:color w:val="000000"/>
                <w:sz w:val="20"/>
              </w:rPr>
            </w:pPr>
            <w:r w:rsidRPr="009F1256">
              <w:rPr>
                <w:color w:val="000000"/>
                <w:sz w:val="20"/>
              </w:rPr>
              <w:t>10.10.2016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7718F" w:rsidRPr="009F1256" w:rsidRDefault="0077718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7718F" w:rsidRPr="009F1256" w:rsidRDefault="0077718F">
            <w:pPr>
              <w:autoSpaceDE w:val="0"/>
              <w:autoSpaceDN w:val="0"/>
              <w:adjustRightInd w:val="0"/>
              <w:rPr>
                <w:rFonts w:ascii="sans-serif" w:hAnsi="sans-serif" w:cs="sans-serif"/>
                <w:color w:val="000000"/>
                <w:szCs w:val="24"/>
              </w:rPr>
            </w:pPr>
          </w:p>
        </w:tc>
      </w:tr>
      <w:tr w:rsidR="0077718F" w:rsidRPr="009F125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7718F" w:rsidRPr="009F1256" w:rsidRDefault="0077718F">
            <w:pPr>
              <w:autoSpaceDE w:val="0"/>
              <w:autoSpaceDN w:val="0"/>
              <w:adjustRightInd w:val="0"/>
              <w:rPr>
                <w:b/>
                <w:bCs/>
                <w:color w:val="000000"/>
                <w:sz w:val="20"/>
              </w:rPr>
            </w:pPr>
            <w:r w:rsidRPr="009F1256">
              <w:rPr>
                <w:b/>
                <w:color w:val="000000"/>
                <w:sz w:val="20"/>
              </w:rPr>
              <w:t>Datum der Annahme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7718F" w:rsidRPr="009F1256" w:rsidRDefault="0077718F">
            <w:pPr>
              <w:autoSpaceDE w:val="0"/>
              <w:autoSpaceDN w:val="0"/>
              <w:adjustRightInd w:val="0"/>
              <w:rPr>
                <w:color w:val="000000"/>
                <w:sz w:val="20"/>
              </w:rPr>
            </w:pPr>
            <w:r w:rsidRPr="009F1256">
              <w:rPr>
                <w:color w:val="000000"/>
                <w:sz w:val="20"/>
              </w:rPr>
              <w:t>27.3.2017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7718F" w:rsidRPr="009F1256" w:rsidRDefault="0077718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7718F" w:rsidRPr="009F1256" w:rsidRDefault="0077718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7718F" w:rsidRPr="009F1256" w:rsidRDefault="0077718F">
            <w:pPr>
              <w:autoSpaceDE w:val="0"/>
              <w:autoSpaceDN w:val="0"/>
              <w:adjustRightInd w:val="0"/>
              <w:rPr>
                <w:rFonts w:ascii="sans-serif" w:hAnsi="sans-serif" w:cs="sans-serif"/>
                <w:color w:val="000000"/>
                <w:szCs w:val="24"/>
              </w:rPr>
            </w:pPr>
          </w:p>
        </w:tc>
      </w:tr>
      <w:tr w:rsidR="0077718F" w:rsidRPr="009F125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7718F" w:rsidRPr="009F1256" w:rsidRDefault="0077718F">
            <w:pPr>
              <w:autoSpaceDE w:val="0"/>
              <w:autoSpaceDN w:val="0"/>
              <w:adjustRightInd w:val="0"/>
              <w:rPr>
                <w:b/>
                <w:bCs/>
                <w:color w:val="000000"/>
                <w:sz w:val="20"/>
              </w:rPr>
            </w:pPr>
            <w:r w:rsidRPr="009F1256">
              <w:rPr>
                <w:b/>
                <w:color w:val="000000"/>
                <w:sz w:val="20"/>
              </w:rPr>
              <w:t>Ergebnis der Schlussabstimmung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7718F" w:rsidRPr="009F1256" w:rsidRDefault="0077718F">
            <w:pPr>
              <w:autoSpaceDE w:val="0"/>
              <w:autoSpaceDN w:val="0"/>
              <w:adjustRightInd w:val="0"/>
              <w:rPr>
                <w:color w:val="000000"/>
                <w:sz w:val="20"/>
              </w:rPr>
            </w:pPr>
            <w:r w:rsidRPr="009F1256">
              <w:rPr>
                <w:color w:val="000000"/>
                <w:sz w:val="20"/>
              </w:rPr>
              <w:t>+:</w:t>
            </w:r>
          </w:p>
          <w:p w:rsidR="0077718F" w:rsidRPr="009F1256" w:rsidRDefault="0077718F">
            <w:pPr>
              <w:autoSpaceDE w:val="0"/>
              <w:autoSpaceDN w:val="0"/>
              <w:adjustRightInd w:val="0"/>
              <w:rPr>
                <w:color w:val="000000"/>
                <w:sz w:val="20"/>
              </w:rPr>
            </w:pPr>
            <w:r w:rsidRPr="009F1256">
              <w:rPr>
                <w:color w:val="000000"/>
                <w:sz w:val="20"/>
              </w:rPr>
              <w:t>–:</w:t>
            </w:r>
          </w:p>
          <w:p w:rsidR="0077718F" w:rsidRPr="009F1256" w:rsidRDefault="0077718F">
            <w:pPr>
              <w:autoSpaceDE w:val="0"/>
              <w:autoSpaceDN w:val="0"/>
              <w:adjustRightInd w:val="0"/>
              <w:rPr>
                <w:color w:val="000000"/>
                <w:sz w:val="20"/>
              </w:rPr>
            </w:pPr>
            <w:r w:rsidRPr="009F1256">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7718F" w:rsidRPr="009F1256" w:rsidRDefault="0077718F">
            <w:pPr>
              <w:autoSpaceDE w:val="0"/>
              <w:autoSpaceDN w:val="0"/>
              <w:adjustRightInd w:val="0"/>
              <w:rPr>
                <w:color w:val="000000"/>
                <w:sz w:val="20"/>
              </w:rPr>
            </w:pPr>
            <w:r w:rsidRPr="009F1256">
              <w:rPr>
                <w:color w:val="000000"/>
                <w:sz w:val="20"/>
              </w:rPr>
              <w:t>21</w:t>
            </w:r>
          </w:p>
          <w:p w:rsidR="0077718F" w:rsidRPr="009F1256" w:rsidRDefault="0077718F">
            <w:pPr>
              <w:autoSpaceDE w:val="0"/>
              <w:autoSpaceDN w:val="0"/>
              <w:adjustRightInd w:val="0"/>
              <w:rPr>
                <w:color w:val="000000"/>
                <w:sz w:val="20"/>
              </w:rPr>
            </w:pPr>
            <w:r w:rsidRPr="009F1256">
              <w:rPr>
                <w:color w:val="000000"/>
                <w:sz w:val="20"/>
              </w:rPr>
              <w:t>3</w:t>
            </w:r>
          </w:p>
          <w:p w:rsidR="0077718F" w:rsidRPr="009F1256" w:rsidRDefault="0077718F">
            <w:pPr>
              <w:autoSpaceDE w:val="0"/>
              <w:autoSpaceDN w:val="0"/>
              <w:adjustRightInd w:val="0"/>
              <w:rPr>
                <w:color w:val="000000"/>
                <w:sz w:val="20"/>
              </w:rPr>
            </w:pPr>
            <w:r w:rsidRPr="009F1256">
              <w:rPr>
                <w:color w:val="000000"/>
                <w:sz w:val="20"/>
              </w:rPr>
              <w:t>2</w:t>
            </w:r>
          </w:p>
        </w:tc>
      </w:tr>
      <w:tr w:rsidR="0077718F" w:rsidRPr="009F125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7718F" w:rsidRPr="009F1256" w:rsidRDefault="0077718F">
            <w:pPr>
              <w:autoSpaceDE w:val="0"/>
              <w:autoSpaceDN w:val="0"/>
              <w:adjustRightInd w:val="0"/>
              <w:rPr>
                <w:b/>
                <w:bCs/>
                <w:color w:val="000000"/>
                <w:sz w:val="20"/>
              </w:rPr>
            </w:pPr>
            <w:r w:rsidRPr="009F1256">
              <w:rPr>
                <w:b/>
                <w:color w:val="000000"/>
                <w:sz w:val="20"/>
              </w:rPr>
              <w:t>Zum Zeitpunkt der Schlussabstimmung anwesende Mitglieder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7718F" w:rsidRPr="009F1256" w:rsidRDefault="0077718F">
            <w:pPr>
              <w:autoSpaceDE w:val="0"/>
              <w:autoSpaceDN w:val="0"/>
              <w:adjustRightInd w:val="0"/>
              <w:rPr>
                <w:color w:val="000000"/>
                <w:sz w:val="20"/>
              </w:rPr>
            </w:pPr>
            <w:r w:rsidRPr="009F1256">
              <w:rPr>
                <w:color w:val="000000"/>
                <w:sz w:val="20"/>
              </w:rPr>
              <w:t>Nedzhmi Ali, Jean Arthuis, Reimer Böge, Lefteris Christoforou, Eider Gardiazabal Rubial, Iris Hoffmann, Bernd Kölmel, Zbigniew Kuźmiuk, Clare Moody, Siegfried Mureşan, Jan Olbrycht, Paul Rübig, Eleftherios Synadinos, Tiemo Wölken, Stanisław Żółtek</w:t>
            </w:r>
          </w:p>
        </w:tc>
      </w:tr>
      <w:tr w:rsidR="0077718F" w:rsidRPr="009F125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7718F" w:rsidRPr="009F1256" w:rsidRDefault="0077718F">
            <w:pPr>
              <w:autoSpaceDE w:val="0"/>
              <w:autoSpaceDN w:val="0"/>
              <w:adjustRightInd w:val="0"/>
              <w:rPr>
                <w:b/>
                <w:bCs/>
                <w:color w:val="000000"/>
                <w:sz w:val="20"/>
              </w:rPr>
            </w:pPr>
            <w:r w:rsidRPr="009F1256">
              <w:rPr>
                <w:b/>
                <w:color w:val="000000"/>
                <w:sz w:val="20"/>
              </w:rPr>
              <w:t>Zum Zeitpunkt der Schlussabstimmung anwesende Stellvertreter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7718F" w:rsidRPr="009F1256" w:rsidRDefault="0077718F">
            <w:pPr>
              <w:autoSpaceDE w:val="0"/>
              <w:autoSpaceDN w:val="0"/>
              <w:adjustRightInd w:val="0"/>
              <w:rPr>
                <w:color w:val="000000"/>
                <w:sz w:val="20"/>
              </w:rPr>
            </w:pPr>
            <w:r w:rsidRPr="009F1256">
              <w:rPr>
                <w:color w:val="000000"/>
                <w:sz w:val="20"/>
              </w:rPr>
              <w:t>Nicola Caputo, Heidi Hautala, Ivana Maletić, Marco Valli</w:t>
            </w:r>
          </w:p>
        </w:tc>
      </w:tr>
      <w:tr w:rsidR="0077718F" w:rsidRPr="009F125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7718F" w:rsidRPr="009F1256" w:rsidRDefault="0077718F">
            <w:pPr>
              <w:autoSpaceDE w:val="0"/>
              <w:autoSpaceDN w:val="0"/>
              <w:adjustRightInd w:val="0"/>
              <w:rPr>
                <w:b/>
                <w:bCs/>
                <w:color w:val="000000"/>
                <w:sz w:val="20"/>
              </w:rPr>
            </w:pPr>
            <w:r w:rsidRPr="009F1256">
              <w:rPr>
                <w:b/>
                <w:color w:val="000000"/>
                <w:sz w:val="20"/>
              </w:rPr>
              <w:t>Zum Zeitpunkt der Schlussabstimmung anwesende Stellv. (Art. 200 Abs.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7718F" w:rsidRPr="009F1256" w:rsidRDefault="0077718F">
            <w:pPr>
              <w:autoSpaceDE w:val="0"/>
              <w:autoSpaceDN w:val="0"/>
              <w:adjustRightInd w:val="0"/>
              <w:rPr>
                <w:color w:val="000000"/>
                <w:sz w:val="20"/>
              </w:rPr>
            </w:pPr>
            <w:r w:rsidRPr="009F1256">
              <w:rPr>
                <w:color w:val="000000"/>
                <w:sz w:val="20"/>
              </w:rPr>
              <w:t>Iratxe García Pérez, Ramón Jáuregui Atondo, Arndt Kohn, Luigi Morgano, Inmaculada Rodríguez-Piñero Fernández, Fernando Ruas, Ramón Luis Valcárcel Siso</w:t>
            </w:r>
          </w:p>
        </w:tc>
      </w:tr>
      <w:tr w:rsidR="0077718F" w:rsidRPr="009F125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7718F" w:rsidRPr="009F1256" w:rsidRDefault="0077718F">
            <w:pPr>
              <w:autoSpaceDE w:val="0"/>
              <w:autoSpaceDN w:val="0"/>
              <w:adjustRightInd w:val="0"/>
              <w:rPr>
                <w:b/>
                <w:bCs/>
                <w:color w:val="000000"/>
                <w:sz w:val="20"/>
              </w:rPr>
            </w:pPr>
            <w:r w:rsidRPr="009F1256">
              <w:rPr>
                <w:b/>
                <w:color w:val="000000"/>
                <w:sz w:val="20"/>
              </w:rPr>
              <w:t>Datum der Einreichung</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7718F" w:rsidRPr="009F1256" w:rsidRDefault="0077718F">
            <w:pPr>
              <w:autoSpaceDE w:val="0"/>
              <w:autoSpaceDN w:val="0"/>
              <w:adjustRightInd w:val="0"/>
              <w:rPr>
                <w:color w:val="000000"/>
                <w:sz w:val="20"/>
              </w:rPr>
            </w:pPr>
            <w:r w:rsidRPr="009F1256">
              <w:rPr>
                <w:color w:val="000000"/>
                <w:sz w:val="20"/>
              </w:rPr>
              <w:t>29.3.2017</w:t>
            </w:r>
          </w:p>
        </w:tc>
      </w:tr>
    </w:tbl>
    <w:p w:rsidR="0077718F" w:rsidRPr="009F1256" w:rsidRDefault="0077718F">
      <w:pPr>
        <w:autoSpaceDE w:val="0"/>
        <w:autoSpaceDN w:val="0"/>
        <w:adjustRightInd w:val="0"/>
        <w:rPr>
          <w:rFonts w:ascii="Arial" w:hAnsi="Arial" w:cs="Arial"/>
          <w:szCs w:val="24"/>
        </w:rPr>
      </w:pPr>
    </w:p>
    <w:bookmarkEnd w:id="10"/>
    <w:p w:rsidR="00B60CD2" w:rsidRPr="009F1256" w:rsidRDefault="00B60CD2" w:rsidP="00B60CD2">
      <w:pPr>
        <w:pStyle w:val="PageHeading"/>
      </w:pPr>
      <w:r w:rsidRPr="009F1256">
        <w:br w:type="page"/>
      </w:r>
      <w:bookmarkStart w:id="13" w:name="_Toc478570713"/>
      <w:bookmarkStart w:id="14" w:name="_Toc478634935"/>
      <w:bookmarkStart w:id="15" w:name="RollCallPageRR"/>
      <w:bookmarkStart w:id="16" w:name="_Toc478716660"/>
      <w:r w:rsidRPr="009F1256">
        <w:lastRenderedPageBreak/>
        <w:t>NAMENTLICHE SCHLUSSABSTIMMUNG IM FEDERFÜHRENDEN AUSSCHUSS</w:t>
      </w:r>
      <w:bookmarkEnd w:id="13"/>
      <w:bookmarkEnd w:id="14"/>
      <w:bookmarkEnd w:id="16"/>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60CD2" w:rsidRPr="009F1256" w:rsidTr="007C4E2F">
        <w:trPr>
          <w:cantSplit/>
        </w:trPr>
        <w:tc>
          <w:tcPr>
            <w:tcW w:w="1701" w:type="dxa"/>
            <w:shd w:val="pct10" w:color="000000" w:fill="FFFFFF"/>
            <w:vAlign w:val="center"/>
          </w:tcPr>
          <w:p w:rsidR="00B60CD2" w:rsidRPr="009F1256" w:rsidRDefault="00B60CD2" w:rsidP="007C4E2F">
            <w:pPr>
              <w:spacing w:before="120" w:after="120"/>
              <w:jc w:val="center"/>
              <w:rPr>
                <w:b/>
                <w:sz w:val="16"/>
              </w:rPr>
            </w:pPr>
            <w:r w:rsidRPr="009F1256">
              <w:rPr>
                <w:b/>
                <w:sz w:val="16"/>
              </w:rPr>
              <w:t>21</w:t>
            </w:r>
          </w:p>
        </w:tc>
        <w:tc>
          <w:tcPr>
            <w:tcW w:w="7371" w:type="dxa"/>
            <w:shd w:val="pct10" w:color="000000" w:fill="FFFFFF"/>
          </w:tcPr>
          <w:p w:rsidR="00B60CD2" w:rsidRPr="009F1256" w:rsidRDefault="00B60CD2" w:rsidP="007C4E2F">
            <w:pPr>
              <w:spacing w:before="120" w:after="120"/>
              <w:jc w:val="center"/>
              <w:rPr>
                <w:rFonts w:ascii="Arial" w:hAnsi="Arial" w:cs="Arial"/>
                <w:b/>
                <w:sz w:val="28"/>
                <w:szCs w:val="28"/>
              </w:rPr>
            </w:pPr>
            <w:r w:rsidRPr="009F1256">
              <w:rPr>
                <w:rFonts w:ascii="Arial" w:hAnsi="Arial"/>
                <w:b/>
                <w:sz w:val="28"/>
              </w:rPr>
              <w:t>+</w:t>
            </w:r>
          </w:p>
        </w:tc>
      </w:tr>
      <w:tr w:rsidR="00B60CD2" w:rsidRPr="009F1256" w:rsidTr="007C4E2F">
        <w:trPr>
          <w:cantSplit/>
        </w:trPr>
        <w:tc>
          <w:tcPr>
            <w:tcW w:w="1701" w:type="dxa"/>
            <w:shd w:val="clear" w:color="auto" w:fill="FFFFFF"/>
          </w:tcPr>
          <w:p w:rsidR="00B60CD2" w:rsidRPr="009F1256" w:rsidRDefault="00B60CD2" w:rsidP="007C4E2F">
            <w:pPr>
              <w:spacing w:before="120" w:after="120"/>
              <w:rPr>
                <w:sz w:val="16"/>
              </w:rPr>
            </w:pPr>
            <w:r w:rsidRPr="009F1256">
              <w:rPr>
                <w:sz w:val="16"/>
              </w:rPr>
              <w:t>ALDE</w:t>
            </w:r>
          </w:p>
        </w:tc>
        <w:tc>
          <w:tcPr>
            <w:tcW w:w="7371" w:type="dxa"/>
            <w:shd w:val="clear" w:color="auto" w:fill="FFFFFF"/>
          </w:tcPr>
          <w:p w:rsidR="00B60CD2" w:rsidRPr="009F1256" w:rsidRDefault="00B60CD2" w:rsidP="007C4E2F">
            <w:pPr>
              <w:spacing w:before="120" w:after="120"/>
              <w:rPr>
                <w:sz w:val="16"/>
              </w:rPr>
            </w:pPr>
            <w:r w:rsidRPr="009F1256">
              <w:rPr>
                <w:sz w:val="16"/>
              </w:rPr>
              <w:t>Nedzhmi Ali, Jean Arthuis</w:t>
            </w:r>
          </w:p>
        </w:tc>
      </w:tr>
      <w:tr w:rsidR="00B60CD2" w:rsidRPr="009F1256" w:rsidTr="007C4E2F">
        <w:trPr>
          <w:cantSplit/>
        </w:trPr>
        <w:tc>
          <w:tcPr>
            <w:tcW w:w="1701" w:type="dxa"/>
            <w:shd w:val="clear" w:color="auto" w:fill="FFFFFF"/>
          </w:tcPr>
          <w:p w:rsidR="00B60CD2" w:rsidRPr="009F1256" w:rsidRDefault="00B60CD2" w:rsidP="007C4E2F">
            <w:pPr>
              <w:spacing w:before="120" w:after="120"/>
              <w:rPr>
                <w:sz w:val="16"/>
              </w:rPr>
            </w:pPr>
            <w:r w:rsidRPr="009F1256">
              <w:rPr>
                <w:sz w:val="16"/>
              </w:rPr>
              <w:t>ECR</w:t>
            </w:r>
          </w:p>
        </w:tc>
        <w:tc>
          <w:tcPr>
            <w:tcW w:w="7371" w:type="dxa"/>
            <w:shd w:val="clear" w:color="auto" w:fill="FFFFFF"/>
          </w:tcPr>
          <w:p w:rsidR="00B60CD2" w:rsidRPr="009F1256" w:rsidRDefault="00B60CD2" w:rsidP="007C4E2F">
            <w:pPr>
              <w:spacing w:before="120" w:after="120"/>
              <w:rPr>
                <w:sz w:val="16"/>
              </w:rPr>
            </w:pPr>
            <w:r w:rsidRPr="009F1256">
              <w:rPr>
                <w:sz w:val="16"/>
              </w:rPr>
              <w:t>Zbigniew Kuźmiuk</w:t>
            </w:r>
          </w:p>
        </w:tc>
      </w:tr>
      <w:tr w:rsidR="00B60CD2" w:rsidRPr="009F1256" w:rsidTr="007C4E2F">
        <w:trPr>
          <w:cantSplit/>
        </w:trPr>
        <w:tc>
          <w:tcPr>
            <w:tcW w:w="1701" w:type="dxa"/>
            <w:shd w:val="clear" w:color="auto" w:fill="FFFFFF"/>
          </w:tcPr>
          <w:p w:rsidR="00B60CD2" w:rsidRPr="009F1256" w:rsidRDefault="00B60CD2" w:rsidP="007C4E2F">
            <w:pPr>
              <w:spacing w:before="120" w:after="120"/>
              <w:rPr>
                <w:sz w:val="16"/>
              </w:rPr>
            </w:pPr>
            <w:r w:rsidRPr="009F1256">
              <w:rPr>
                <w:sz w:val="16"/>
              </w:rPr>
              <w:t>PPE</w:t>
            </w:r>
          </w:p>
        </w:tc>
        <w:tc>
          <w:tcPr>
            <w:tcW w:w="7371" w:type="dxa"/>
            <w:shd w:val="clear" w:color="auto" w:fill="FFFFFF"/>
          </w:tcPr>
          <w:p w:rsidR="00B60CD2" w:rsidRPr="009F1256" w:rsidRDefault="00B60CD2" w:rsidP="007C4E2F">
            <w:pPr>
              <w:spacing w:before="120" w:after="120"/>
              <w:rPr>
                <w:sz w:val="16"/>
              </w:rPr>
            </w:pPr>
            <w:r w:rsidRPr="009F1256">
              <w:rPr>
                <w:sz w:val="16"/>
              </w:rPr>
              <w:t>Reimer Böge, Lefteris Christoforou, Ivana Maletić, Siegfried Mureşan, Jan Olbrycht, Fernando Ruas, Paul Rübig, Ramón Luis Valcárcel Siso, Arndt Kohn</w:t>
            </w:r>
          </w:p>
        </w:tc>
      </w:tr>
      <w:tr w:rsidR="00B60CD2" w:rsidRPr="009F1256" w:rsidTr="007C4E2F">
        <w:trPr>
          <w:cantSplit/>
        </w:trPr>
        <w:tc>
          <w:tcPr>
            <w:tcW w:w="1701" w:type="dxa"/>
            <w:shd w:val="clear" w:color="auto" w:fill="FFFFFF"/>
          </w:tcPr>
          <w:p w:rsidR="00B60CD2" w:rsidRPr="009F1256" w:rsidRDefault="00B60CD2" w:rsidP="007C4E2F">
            <w:pPr>
              <w:spacing w:before="120" w:after="120"/>
              <w:rPr>
                <w:sz w:val="16"/>
              </w:rPr>
            </w:pPr>
            <w:r w:rsidRPr="009F1256">
              <w:rPr>
                <w:sz w:val="16"/>
              </w:rPr>
              <w:t>S&amp;D</w:t>
            </w:r>
          </w:p>
        </w:tc>
        <w:tc>
          <w:tcPr>
            <w:tcW w:w="7371" w:type="dxa"/>
            <w:shd w:val="clear" w:color="auto" w:fill="FFFFFF"/>
          </w:tcPr>
          <w:p w:rsidR="00B60CD2" w:rsidRPr="009F1256" w:rsidRDefault="00B60CD2" w:rsidP="007C4E2F">
            <w:pPr>
              <w:spacing w:before="120" w:after="120"/>
              <w:rPr>
                <w:sz w:val="16"/>
              </w:rPr>
            </w:pPr>
            <w:r w:rsidRPr="009F1256">
              <w:rPr>
                <w:sz w:val="16"/>
              </w:rPr>
              <w:t>Nicola Caputo, Iratxe García Pérez, Eider Gardiazabal Rubial, Iris Hoffmann, Ramón Jáuregui Atondo, Clare Moody, Luigi Morgano, Inmaculada Rodríguez-Piñero Fernández, Tiemo Wölken</w:t>
            </w:r>
          </w:p>
        </w:tc>
      </w:tr>
    </w:tbl>
    <w:p w:rsidR="00B60CD2" w:rsidRPr="009F1256" w:rsidRDefault="00B60CD2" w:rsidP="00B60CD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60CD2" w:rsidRPr="009F1256" w:rsidTr="007C4E2F">
        <w:trPr>
          <w:cantSplit/>
        </w:trPr>
        <w:tc>
          <w:tcPr>
            <w:tcW w:w="1701" w:type="dxa"/>
            <w:shd w:val="pct10" w:color="000000" w:fill="FFFFFF"/>
            <w:vAlign w:val="center"/>
          </w:tcPr>
          <w:p w:rsidR="00B60CD2" w:rsidRPr="009F1256" w:rsidRDefault="00B60CD2" w:rsidP="007C4E2F">
            <w:pPr>
              <w:spacing w:before="120" w:after="120"/>
              <w:jc w:val="center"/>
              <w:rPr>
                <w:b/>
                <w:sz w:val="16"/>
              </w:rPr>
            </w:pPr>
            <w:r w:rsidRPr="009F1256">
              <w:rPr>
                <w:b/>
                <w:sz w:val="16"/>
              </w:rPr>
              <w:t>3</w:t>
            </w:r>
          </w:p>
        </w:tc>
        <w:tc>
          <w:tcPr>
            <w:tcW w:w="7371" w:type="dxa"/>
            <w:shd w:val="pct10" w:color="000000" w:fill="FFFFFF"/>
          </w:tcPr>
          <w:p w:rsidR="00B60CD2" w:rsidRPr="009F1256" w:rsidRDefault="00B60CD2" w:rsidP="007C4E2F">
            <w:pPr>
              <w:spacing w:before="120" w:after="120"/>
              <w:jc w:val="center"/>
              <w:rPr>
                <w:sz w:val="28"/>
                <w:szCs w:val="28"/>
              </w:rPr>
            </w:pPr>
            <w:r w:rsidRPr="009F1256">
              <w:rPr>
                <w:rFonts w:ascii="Arial" w:hAnsi="Arial"/>
                <w:b/>
                <w:sz w:val="28"/>
              </w:rPr>
              <w:t>-</w:t>
            </w:r>
          </w:p>
        </w:tc>
      </w:tr>
      <w:tr w:rsidR="00B60CD2" w:rsidRPr="009F1256" w:rsidTr="007C4E2F">
        <w:trPr>
          <w:cantSplit/>
        </w:trPr>
        <w:tc>
          <w:tcPr>
            <w:tcW w:w="1701" w:type="dxa"/>
            <w:shd w:val="clear" w:color="auto" w:fill="FFFFFF"/>
          </w:tcPr>
          <w:p w:rsidR="00B60CD2" w:rsidRPr="009F1256" w:rsidRDefault="00B60CD2" w:rsidP="007C4E2F">
            <w:pPr>
              <w:spacing w:before="120" w:after="120"/>
              <w:rPr>
                <w:sz w:val="16"/>
              </w:rPr>
            </w:pPr>
            <w:r w:rsidRPr="009F1256">
              <w:rPr>
                <w:sz w:val="16"/>
              </w:rPr>
              <w:t>ENF</w:t>
            </w:r>
          </w:p>
        </w:tc>
        <w:tc>
          <w:tcPr>
            <w:tcW w:w="7371" w:type="dxa"/>
            <w:shd w:val="clear" w:color="auto" w:fill="FFFFFF"/>
          </w:tcPr>
          <w:p w:rsidR="00B60CD2" w:rsidRPr="009F1256" w:rsidRDefault="00B60CD2" w:rsidP="007C4E2F">
            <w:pPr>
              <w:spacing w:before="120" w:after="120"/>
              <w:rPr>
                <w:sz w:val="16"/>
              </w:rPr>
            </w:pPr>
            <w:r w:rsidRPr="009F1256">
              <w:rPr>
                <w:sz w:val="16"/>
              </w:rPr>
              <w:t>Stanisław Żółtek</w:t>
            </w:r>
          </w:p>
        </w:tc>
      </w:tr>
      <w:tr w:rsidR="00B60CD2" w:rsidRPr="009F1256" w:rsidTr="007C4E2F">
        <w:trPr>
          <w:cantSplit/>
        </w:trPr>
        <w:tc>
          <w:tcPr>
            <w:tcW w:w="1701" w:type="dxa"/>
            <w:shd w:val="clear" w:color="auto" w:fill="FFFFFF"/>
          </w:tcPr>
          <w:p w:rsidR="00B60CD2" w:rsidRPr="009F1256" w:rsidRDefault="00B60CD2" w:rsidP="007C4E2F">
            <w:pPr>
              <w:spacing w:before="120" w:after="120"/>
              <w:rPr>
                <w:sz w:val="16"/>
              </w:rPr>
            </w:pPr>
            <w:r w:rsidRPr="009F1256">
              <w:rPr>
                <w:sz w:val="16"/>
              </w:rPr>
              <w:t>NI</w:t>
            </w:r>
          </w:p>
        </w:tc>
        <w:tc>
          <w:tcPr>
            <w:tcW w:w="7371" w:type="dxa"/>
            <w:shd w:val="clear" w:color="auto" w:fill="FFFFFF"/>
          </w:tcPr>
          <w:p w:rsidR="00B60CD2" w:rsidRPr="009F1256" w:rsidRDefault="00B60CD2" w:rsidP="007C4E2F">
            <w:pPr>
              <w:spacing w:before="120" w:after="120"/>
              <w:rPr>
                <w:sz w:val="16"/>
              </w:rPr>
            </w:pPr>
            <w:r w:rsidRPr="009F1256">
              <w:rPr>
                <w:sz w:val="16"/>
              </w:rPr>
              <w:t>Eleftherios Synadinos</w:t>
            </w:r>
          </w:p>
        </w:tc>
      </w:tr>
      <w:tr w:rsidR="00B60CD2" w:rsidRPr="009F1256" w:rsidTr="007C4E2F">
        <w:trPr>
          <w:cantSplit/>
        </w:trPr>
        <w:tc>
          <w:tcPr>
            <w:tcW w:w="1701" w:type="dxa"/>
            <w:shd w:val="clear" w:color="auto" w:fill="FFFFFF"/>
          </w:tcPr>
          <w:p w:rsidR="00B60CD2" w:rsidRPr="009F1256" w:rsidRDefault="00B60CD2" w:rsidP="007C4E2F">
            <w:pPr>
              <w:spacing w:before="120" w:after="120"/>
              <w:rPr>
                <w:sz w:val="16"/>
              </w:rPr>
            </w:pPr>
            <w:r w:rsidRPr="009F1256">
              <w:rPr>
                <w:sz w:val="16"/>
              </w:rPr>
              <w:t>Verts/ALE</w:t>
            </w:r>
          </w:p>
        </w:tc>
        <w:tc>
          <w:tcPr>
            <w:tcW w:w="7371" w:type="dxa"/>
            <w:shd w:val="clear" w:color="auto" w:fill="FFFFFF"/>
          </w:tcPr>
          <w:p w:rsidR="00B60CD2" w:rsidRPr="009F1256" w:rsidRDefault="00B60CD2" w:rsidP="007C4E2F">
            <w:pPr>
              <w:spacing w:before="120" w:after="120"/>
              <w:rPr>
                <w:sz w:val="16"/>
              </w:rPr>
            </w:pPr>
            <w:r w:rsidRPr="009F1256">
              <w:rPr>
                <w:sz w:val="16"/>
              </w:rPr>
              <w:t>Heidi Hautala</w:t>
            </w:r>
          </w:p>
        </w:tc>
      </w:tr>
    </w:tbl>
    <w:p w:rsidR="00B60CD2" w:rsidRPr="009F1256" w:rsidRDefault="00B60CD2" w:rsidP="00B60CD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60CD2" w:rsidRPr="009F1256" w:rsidTr="007C4E2F">
        <w:trPr>
          <w:cantSplit/>
        </w:trPr>
        <w:tc>
          <w:tcPr>
            <w:tcW w:w="1701" w:type="dxa"/>
            <w:shd w:val="pct10" w:color="000000" w:fill="FFFFFF"/>
            <w:vAlign w:val="center"/>
          </w:tcPr>
          <w:p w:rsidR="00B60CD2" w:rsidRPr="009F1256" w:rsidRDefault="00B60CD2" w:rsidP="007C4E2F">
            <w:pPr>
              <w:spacing w:before="120" w:after="120"/>
              <w:jc w:val="center"/>
              <w:rPr>
                <w:b/>
                <w:sz w:val="16"/>
              </w:rPr>
            </w:pPr>
            <w:r w:rsidRPr="009F1256">
              <w:rPr>
                <w:b/>
                <w:sz w:val="16"/>
              </w:rPr>
              <w:t>2</w:t>
            </w:r>
          </w:p>
        </w:tc>
        <w:tc>
          <w:tcPr>
            <w:tcW w:w="7371" w:type="dxa"/>
            <w:shd w:val="pct10" w:color="000000" w:fill="FFFFFF"/>
          </w:tcPr>
          <w:p w:rsidR="00B60CD2" w:rsidRPr="009F1256" w:rsidRDefault="00B60CD2" w:rsidP="007C4E2F">
            <w:pPr>
              <w:spacing w:before="120" w:after="120"/>
              <w:jc w:val="center"/>
              <w:rPr>
                <w:sz w:val="28"/>
                <w:szCs w:val="28"/>
              </w:rPr>
            </w:pPr>
            <w:r w:rsidRPr="009F1256">
              <w:rPr>
                <w:rFonts w:ascii="Arial" w:hAnsi="Arial"/>
                <w:b/>
                <w:sz w:val="28"/>
              </w:rPr>
              <w:t>0</w:t>
            </w:r>
          </w:p>
        </w:tc>
      </w:tr>
      <w:tr w:rsidR="00B60CD2" w:rsidRPr="009F1256" w:rsidTr="007C4E2F">
        <w:trPr>
          <w:cantSplit/>
        </w:trPr>
        <w:tc>
          <w:tcPr>
            <w:tcW w:w="1701" w:type="dxa"/>
            <w:shd w:val="clear" w:color="auto" w:fill="FFFFFF"/>
          </w:tcPr>
          <w:p w:rsidR="00B60CD2" w:rsidRPr="009F1256" w:rsidRDefault="00B60CD2" w:rsidP="007C4E2F">
            <w:pPr>
              <w:spacing w:before="120" w:after="120"/>
              <w:rPr>
                <w:sz w:val="16"/>
              </w:rPr>
            </w:pPr>
            <w:r w:rsidRPr="009F1256">
              <w:rPr>
                <w:sz w:val="16"/>
              </w:rPr>
              <w:t>ECR</w:t>
            </w:r>
          </w:p>
        </w:tc>
        <w:tc>
          <w:tcPr>
            <w:tcW w:w="7371" w:type="dxa"/>
            <w:shd w:val="clear" w:color="auto" w:fill="FFFFFF"/>
          </w:tcPr>
          <w:p w:rsidR="00B60CD2" w:rsidRPr="009F1256" w:rsidRDefault="00B60CD2" w:rsidP="007C4E2F">
            <w:pPr>
              <w:spacing w:before="120" w:after="120"/>
              <w:rPr>
                <w:sz w:val="16"/>
              </w:rPr>
            </w:pPr>
            <w:r w:rsidRPr="009F1256">
              <w:rPr>
                <w:sz w:val="16"/>
              </w:rPr>
              <w:t>Bernd Kölmel</w:t>
            </w:r>
          </w:p>
        </w:tc>
      </w:tr>
      <w:tr w:rsidR="00B60CD2" w:rsidRPr="009F1256" w:rsidTr="007C4E2F">
        <w:trPr>
          <w:cantSplit/>
        </w:trPr>
        <w:tc>
          <w:tcPr>
            <w:tcW w:w="1701" w:type="dxa"/>
            <w:shd w:val="clear" w:color="auto" w:fill="FFFFFF"/>
          </w:tcPr>
          <w:p w:rsidR="00B60CD2" w:rsidRPr="009F1256" w:rsidRDefault="00B60CD2" w:rsidP="007C4E2F">
            <w:pPr>
              <w:spacing w:before="120" w:after="120"/>
              <w:rPr>
                <w:sz w:val="16"/>
              </w:rPr>
            </w:pPr>
            <w:r w:rsidRPr="009F1256">
              <w:rPr>
                <w:sz w:val="16"/>
              </w:rPr>
              <w:t>EFDD</w:t>
            </w:r>
          </w:p>
        </w:tc>
        <w:tc>
          <w:tcPr>
            <w:tcW w:w="7371" w:type="dxa"/>
            <w:shd w:val="clear" w:color="auto" w:fill="FFFFFF"/>
          </w:tcPr>
          <w:p w:rsidR="00B60CD2" w:rsidRPr="009F1256" w:rsidRDefault="00B60CD2" w:rsidP="007C4E2F">
            <w:pPr>
              <w:spacing w:before="120" w:after="120"/>
              <w:rPr>
                <w:sz w:val="16"/>
              </w:rPr>
            </w:pPr>
            <w:r w:rsidRPr="009F1256">
              <w:rPr>
                <w:sz w:val="16"/>
              </w:rPr>
              <w:t>Marco Valli</w:t>
            </w:r>
          </w:p>
        </w:tc>
      </w:tr>
    </w:tbl>
    <w:p w:rsidR="00B60CD2" w:rsidRPr="009F1256" w:rsidRDefault="00B60CD2" w:rsidP="00B60CD2">
      <w:pPr>
        <w:pStyle w:val="Normal12"/>
      </w:pPr>
    </w:p>
    <w:p w:rsidR="00B60CD2" w:rsidRPr="009F1256" w:rsidRDefault="00B60CD2" w:rsidP="00B60CD2">
      <w:r w:rsidRPr="009F1256">
        <w:t>Erklärung der benutzten Zeichen:</w:t>
      </w:r>
    </w:p>
    <w:p w:rsidR="00B60CD2" w:rsidRPr="009F1256" w:rsidRDefault="00B60CD2" w:rsidP="00B60CD2">
      <w:pPr>
        <w:pStyle w:val="NormalTabs"/>
      </w:pPr>
      <w:r w:rsidRPr="009F1256">
        <w:t>+</w:t>
      </w:r>
      <w:r w:rsidRPr="009F1256">
        <w:tab/>
        <w:t>:</w:t>
      </w:r>
      <w:r w:rsidRPr="009F1256">
        <w:tab/>
        <w:t>dafür</w:t>
      </w:r>
    </w:p>
    <w:p w:rsidR="00B60CD2" w:rsidRPr="009F1256" w:rsidRDefault="00B60CD2" w:rsidP="00B60CD2">
      <w:pPr>
        <w:pStyle w:val="NormalTabs"/>
      </w:pPr>
      <w:r w:rsidRPr="009F1256">
        <w:t>-</w:t>
      </w:r>
      <w:r w:rsidRPr="009F1256">
        <w:tab/>
        <w:t>:</w:t>
      </w:r>
      <w:r w:rsidRPr="009F1256">
        <w:tab/>
        <w:t>dagegen</w:t>
      </w:r>
    </w:p>
    <w:p w:rsidR="00B60CD2" w:rsidRPr="009F1256" w:rsidRDefault="00B60CD2" w:rsidP="00B60CD2">
      <w:pPr>
        <w:pStyle w:val="NormalTabs"/>
      </w:pPr>
      <w:r w:rsidRPr="009F1256">
        <w:t>0</w:t>
      </w:r>
      <w:r w:rsidRPr="009F1256">
        <w:tab/>
        <w:t>:</w:t>
      </w:r>
      <w:r w:rsidRPr="009F1256">
        <w:tab/>
        <w:t>Enthaltung</w:t>
      </w:r>
    </w:p>
    <w:p w:rsidR="00B60CD2" w:rsidRPr="009F1256" w:rsidRDefault="00B60CD2" w:rsidP="00B60CD2"/>
    <w:bookmarkEnd w:id="15"/>
    <w:p w:rsidR="00C30AE5" w:rsidRPr="009F1256" w:rsidRDefault="00C30AE5" w:rsidP="0077718F"/>
    <w:sectPr w:rsidR="00C30AE5" w:rsidRPr="009F1256" w:rsidSect="009F1256">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EBC" w:rsidRPr="009F1256" w:rsidRDefault="006E0EBC">
      <w:r w:rsidRPr="009F1256">
        <w:separator/>
      </w:r>
    </w:p>
  </w:endnote>
  <w:endnote w:type="continuationSeparator" w:id="0">
    <w:p w:rsidR="006E0EBC" w:rsidRPr="009F1256" w:rsidRDefault="006E0EBC">
      <w:r w:rsidRPr="009F125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256" w:rsidRPr="009F1256" w:rsidRDefault="009F1256" w:rsidP="009F1256">
    <w:pPr>
      <w:pStyle w:val="Footer"/>
    </w:pPr>
    <w:r w:rsidRPr="009F1256">
      <w:t>PE</w:t>
    </w:r>
    <w:r w:rsidRPr="009F1256">
      <w:rPr>
        <w:rStyle w:val="HideTWBExt"/>
        <w:noProof w:val="0"/>
      </w:rPr>
      <w:t>&lt;NoPE&gt;</w:t>
    </w:r>
    <w:r w:rsidRPr="009F1256">
      <w:t>595.622</w:t>
    </w:r>
    <w:r w:rsidRPr="009F1256">
      <w:rPr>
        <w:rStyle w:val="HideTWBExt"/>
        <w:noProof w:val="0"/>
      </w:rPr>
      <w:t>&lt;/NoPE&gt;&lt;Version&gt;</w:t>
    </w:r>
    <w:r w:rsidRPr="009F1256">
      <w:t>v03-00</w:t>
    </w:r>
    <w:r w:rsidRPr="009F1256">
      <w:rPr>
        <w:rStyle w:val="HideTWBExt"/>
        <w:noProof w:val="0"/>
      </w:rPr>
      <w:t>&lt;/Version&gt;</w:t>
    </w:r>
    <w:r w:rsidRPr="009F1256">
      <w:tab/>
    </w:r>
    <w:r w:rsidRPr="009F1256">
      <w:fldChar w:fldCharType="begin"/>
    </w:r>
    <w:r w:rsidRPr="009F1256">
      <w:instrText xml:space="preserve"> PAGE  \* MERGEFORMAT </w:instrText>
    </w:r>
    <w:r w:rsidRPr="009F1256">
      <w:fldChar w:fldCharType="separate"/>
    </w:r>
    <w:r w:rsidR="006E313D">
      <w:rPr>
        <w:noProof/>
      </w:rPr>
      <w:t>2</w:t>
    </w:r>
    <w:r w:rsidRPr="009F1256">
      <w:fldChar w:fldCharType="end"/>
    </w:r>
    <w:r w:rsidRPr="009F1256">
      <w:t>/</w:t>
    </w:r>
    <w:r w:rsidR="006E313D">
      <w:fldChar w:fldCharType="begin"/>
    </w:r>
    <w:r w:rsidR="006E313D">
      <w:instrText xml:space="preserve"> NUMPAGES  \* MERGEFORMAT </w:instrText>
    </w:r>
    <w:r w:rsidR="006E313D">
      <w:fldChar w:fldCharType="separate"/>
    </w:r>
    <w:r w:rsidR="006E313D">
      <w:rPr>
        <w:noProof/>
      </w:rPr>
      <w:t>15</w:t>
    </w:r>
    <w:r w:rsidR="006E313D">
      <w:rPr>
        <w:noProof/>
      </w:rPr>
      <w:fldChar w:fldCharType="end"/>
    </w:r>
    <w:r w:rsidRPr="009F1256">
      <w:tab/>
    </w:r>
    <w:r w:rsidRPr="009F1256">
      <w:rPr>
        <w:rStyle w:val="HideTWBExt"/>
        <w:noProof w:val="0"/>
      </w:rPr>
      <w:t>&lt;PathFdR&gt;</w:t>
    </w:r>
    <w:r w:rsidRPr="009F1256">
      <w:t>RR\1121884DE.docx</w:t>
    </w:r>
    <w:r w:rsidRPr="009F1256">
      <w:rPr>
        <w:rStyle w:val="HideTWBExt"/>
        <w:noProof w:val="0"/>
      </w:rPr>
      <w:t>&lt;/PathFdR&gt;</w:t>
    </w:r>
  </w:p>
  <w:p w:rsidR="00557DB9" w:rsidRPr="009F1256" w:rsidRDefault="009F1256" w:rsidP="009F1256">
    <w:pPr>
      <w:pStyle w:val="Footer2"/>
    </w:pPr>
    <w:r w:rsidRPr="009F1256">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256" w:rsidRPr="009F1256" w:rsidRDefault="009F1256" w:rsidP="009F1256">
    <w:pPr>
      <w:pStyle w:val="Footer"/>
    </w:pPr>
    <w:r w:rsidRPr="009F1256">
      <w:rPr>
        <w:rStyle w:val="HideTWBExt"/>
        <w:noProof w:val="0"/>
      </w:rPr>
      <w:t>&lt;PathFdR&gt;</w:t>
    </w:r>
    <w:r w:rsidRPr="009F1256">
      <w:t>RR\1121884DE.docx</w:t>
    </w:r>
    <w:r w:rsidRPr="009F1256">
      <w:rPr>
        <w:rStyle w:val="HideTWBExt"/>
        <w:noProof w:val="0"/>
      </w:rPr>
      <w:t>&lt;/PathFdR&gt;</w:t>
    </w:r>
    <w:r w:rsidRPr="009F1256">
      <w:tab/>
    </w:r>
    <w:r w:rsidRPr="009F1256">
      <w:fldChar w:fldCharType="begin"/>
    </w:r>
    <w:r w:rsidRPr="009F1256">
      <w:instrText xml:space="preserve"> PAGE  \* MERGEFORMAT </w:instrText>
    </w:r>
    <w:r w:rsidRPr="009F1256">
      <w:fldChar w:fldCharType="separate"/>
    </w:r>
    <w:r w:rsidR="006E313D">
      <w:rPr>
        <w:noProof/>
      </w:rPr>
      <w:t>15</w:t>
    </w:r>
    <w:r w:rsidRPr="009F1256">
      <w:fldChar w:fldCharType="end"/>
    </w:r>
    <w:r w:rsidRPr="009F1256">
      <w:t>/</w:t>
    </w:r>
    <w:r w:rsidR="006E313D">
      <w:fldChar w:fldCharType="begin"/>
    </w:r>
    <w:r w:rsidR="006E313D">
      <w:instrText xml:space="preserve"> NUMPAGES  \* MERGEFORMAT </w:instrText>
    </w:r>
    <w:r w:rsidR="006E313D">
      <w:fldChar w:fldCharType="separate"/>
    </w:r>
    <w:r w:rsidR="006E313D">
      <w:rPr>
        <w:noProof/>
      </w:rPr>
      <w:t>15</w:t>
    </w:r>
    <w:r w:rsidR="006E313D">
      <w:fldChar w:fldCharType="end"/>
    </w:r>
    <w:r w:rsidRPr="009F1256">
      <w:tab/>
      <w:t>PE</w:t>
    </w:r>
    <w:r w:rsidRPr="009F1256">
      <w:rPr>
        <w:rStyle w:val="HideTWBExt"/>
        <w:noProof w:val="0"/>
      </w:rPr>
      <w:t>&lt;NoPE&gt;</w:t>
    </w:r>
    <w:r w:rsidRPr="009F1256">
      <w:t>595.622</w:t>
    </w:r>
    <w:r w:rsidRPr="009F1256">
      <w:rPr>
        <w:rStyle w:val="HideTWBExt"/>
        <w:noProof w:val="0"/>
      </w:rPr>
      <w:t>&lt;/NoPE&gt;&lt;Version&gt;</w:t>
    </w:r>
    <w:r w:rsidRPr="009F1256">
      <w:t>v03-00</w:t>
    </w:r>
    <w:r w:rsidRPr="009F1256">
      <w:rPr>
        <w:rStyle w:val="HideTWBExt"/>
        <w:noProof w:val="0"/>
      </w:rPr>
      <w:t>&lt;/Version&gt;</w:t>
    </w:r>
  </w:p>
  <w:p w:rsidR="00557DB9" w:rsidRPr="009F1256" w:rsidRDefault="009F1256" w:rsidP="009F1256">
    <w:pPr>
      <w:pStyle w:val="Footer2"/>
    </w:pPr>
    <w:r w:rsidRPr="009F1256">
      <w:tab/>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256" w:rsidRPr="009F1256" w:rsidRDefault="009F1256" w:rsidP="009F1256">
    <w:pPr>
      <w:pStyle w:val="Footer"/>
    </w:pPr>
    <w:r w:rsidRPr="009F1256">
      <w:rPr>
        <w:rStyle w:val="HideTWBExt"/>
        <w:noProof w:val="0"/>
      </w:rPr>
      <w:t>&lt;PathFdR&gt;</w:t>
    </w:r>
    <w:r w:rsidRPr="009F1256">
      <w:t>RR\1121884DE.docx</w:t>
    </w:r>
    <w:r w:rsidRPr="009F1256">
      <w:rPr>
        <w:rStyle w:val="HideTWBExt"/>
        <w:noProof w:val="0"/>
      </w:rPr>
      <w:t>&lt;/PathFdR&gt;</w:t>
    </w:r>
    <w:r w:rsidRPr="009F1256">
      <w:tab/>
    </w:r>
    <w:r w:rsidRPr="009F1256">
      <w:tab/>
      <w:t>PE</w:t>
    </w:r>
    <w:r w:rsidRPr="009F1256">
      <w:rPr>
        <w:rStyle w:val="HideTWBExt"/>
        <w:noProof w:val="0"/>
      </w:rPr>
      <w:t>&lt;NoPE&gt;</w:t>
    </w:r>
    <w:r w:rsidRPr="009F1256">
      <w:t>595.622</w:t>
    </w:r>
    <w:r w:rsidRPr="009F1256">
      <w:rPr>
        <w:rStyle w:val="HideTWBExt"/>
        <w:noProof w:val="0"/>
      </w:rPr>
      <w:t>&lt;/NoPE&gt;&lt;Version&gt;</w:t>
    </w:r>
    <w:r w:rsidRPr="009F1256">
      <w:t>v03-00</w:t>
    </w:r>
    <w:r w:rsidRPr="009F1256">
      <w:rPr>
        <w:rStyle w:val="HideTWBExt"/>
        <w:noProof w:val="0"/>
      </w:rPr>
      <w:t>&lt;/Version&gt;</w:t>
    </w:r>
  </w:p>
  <w:p w:rsidR="00557DB9" w:rsidRPr="009F1256" w:rsidRDefault="009F1256" w:rsidP="009F1256">
    <w:pPr>
      <w:pStyle w:val="Footer2"/>
      <w:tabs>
        <w:tab w:val="center" w:pos="4535"/>
      </w:tabs>
    </w:pPr>
    <w:r w:rsidRPr="009F1256">
      <w:t>DE</w:t>
    </w:r>
    <w:r w:rsidRPr="009F1256">
      <w:tab/>
    </w:r>
    <w:r w:rsidRPr="009F1256">
      <w:rPr>
        <w:b w:val="0"/>
        <w:i/>
        <w:color w:val="C0C0C0"/>
        <w:sz w:val="22"/>
      </w:rPr>
      <w:t>In Vielfalt geeint</w:t>
    </w:r>
    <w:r w:rsidRPr="009F1256">
      <w:tab/>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EBC" w:rsidRPr="009F1256" w:rsidRDefault="006E0EBC">
      <w:r w:rsidRPr="009F1256">
        <w:separator/>
      </w:r>
    </w:p>
  </w:footnote>
  <w:footnote w:type="continuationSeparator" w:id="0">
    <w:p w:rsidR="006E0EBC" w:rsidRPr="009F1256" w:rsidRDefault="006E0EBC">
      <w:r w:rsidRPr="009F1256">
        <w:continuationSeparator/>
      </w:r>
    </w:p>
  </w:footnote>
  <w:footnote w:id="1">
    <w:p w:rsidR="00B60CD2" w:rsidRPr="00B9538E" w:rsidRDefault="00B60CD2" w:rsidP="00B60CD2">
      <w:pPr>
        <w:tabs>
          <w:tab w:val="left" w:pos="-720"/>
        </w:tabs>
        <w:ind w:left="425" w:hanging="425"/>
        <w:rPr>
          <w:sz w:val="20"/>
        </w:rPr>
      </w:pPr>
      <w:r w:rsidRPr="00B9538E">
        <w:rPr>
          <w:rStyle w:val="FootnoteReference"/>
          <w:sz w:val="20"/>
        </w:rPr>
        <w:footnoteRef/>
      </w:r>
      <w:r w:rsidRPr="00B9538E">
        <w:rPr>
          <w:sz w:val="20"/>
        </w:rPr>
        <w:t xml:space="preserve"> </w:t>
      </w:r>
      <w:hyperlink r:id="rId1">
        <w:r w:rsidRPr="00B9538E">
          <w:rPr>
            <w:sz w:val="20"/>
          </w:rPr>
          <w:t>7030/2017</w:t>
        </w:r>
      </w:hyperlink>
      <w:r w:rsidRPr="00B9538E">
        <w:rPr>
          <w:sz w:val="20"/>
        </w:rPr>
        <w:t xml:space="preserve"> und </w:t>
      </w:r>
      <w:hyperlink r:id="rId2">
        <w:r w:rsidRPr="00B9538E">
          <w:rPr>
            <w:sz w:val="20"/>
          </w:rPr>
          <w:t>7031/2017 COR1</w:t>
        </w:r>
      </w:hyperlink>
      <w:r w:rsidRPr="00B9538E">
        <w:rPr>
          <w:sz w:val="20"/>
        </w:rPr>
        <w:t>.</w:t>
      </w:r>
    </w:p>
  </w:footnote>
  <w:footnote w:id="2">
    <w:p w:rsidR="00B60CD2" w:rsidRPr="00B9538E" w:rsidRDefault="00B60CD2" w:rsidP="00B60CD2">
      <w:pPr>
        <w:rPr>
          <w:sz w:val="20"/>
        </w:rPr>
      </w:pPr>
      <w:r w:rsidRPr="00B9538E">
        <w:rPr>
          <w:rStyle w:val="FootnoteReference"/>
          <w:sz w:val="20"/>
        </w:rPr>
        <w:footnoteRef/>
      </w:r>
      <w:r w:rsidRPr="00B9538E">
        <w:rPr>
          <w:sz w:val="20"/>
        </w:rPr>
        <w:t xml:space="preserve"> Angenommene Texte, P8_TA(2016)0309.</w:t>
      </w:r>
    </w:p>
  </w:footnote>
  <w:footnote w:id="3">
    <w:p w:rsidR="00B60CD2" w:rsidRPr="00B9538E" w:rsidRDefault="00B60CD2" w:rsidP="00B60CD2">
      <w:pPr>
        <w:rPr>
          <w:sz w:val="20"/>
        </w:rPr>
      </w:pPr>
      <w:r w:rsidRPr="00B9538E">
        <w:rPr>
          <w:rStyle w:val="FootnoteReference"/>
          <w:sz w:val="20"/>
        </w:rPr>
        <w:footnoteRef/>
      </w:r>
      <w:r w:rsidRPr="00B9538E">
        <w:rPr>
          <w:sz w:val="20"/>
        </w:rPr>
        <w:t xml:space="preserve"> Angenommene Texte, </w:t>
      </w:r>
      <w:hyperlink r:id="rId3">
        <w:r w:rsidRPr="00B9538E">
          <w:rPr>
            <w:sz w:val="20"/>
          </w:rPr>
          <w:t>P8_TA(2016)0412</w:t>
        </w:r>
      </w:hyperlink>
      <w:r w:rsidRPr="00B9538E">
        <w:rPr>
          <w:sz w:val="20"/>
        </w:rPr>
        <w:t>.</w:t>
      </w:r>
    </w:p>
  </w:footnote>
  <w:footnote w:id="4">
    <w:p w:rsidR="00B60CD2" w:rsidRPr="009F1256" w:rsidRDefault="00B60CD2" w:rsidP="00B60CD2">
      <w:pPr>
        <w:pStyle w:val="FootnoteText"/>
      </w:pPr>
      <w:r w:rsidRPr="00B9538E">
        <w:rPr>
          <w:rStyle w:val="FootnoteReference"/>
        </w:rPr>
        <w:footnoteRef/>
      </w:r>
      <w:r w:rsidRPr="00B9538E">
        <w:t xml:space="preserve"> Angenommene Texte, P8_TA(0000)0000.</w:t>
      </w:r>
    </w:p>
  </w:footnote>
  <w:footnote w:id="5">
    <w:p w:rsidR="004F5DCD" w:rsidRPr="009F1256" w:rsidRDefault="004F5DCD" w:rsidP="006012AB">
      <w:pPr>
        <w:pStyle w:val="FootnoteText"/>
        <w:ind w:left="720" w:hanging="720"/>
      </w:pPr>
      <w:r w:rsidRPr="009F1256">
        <w:rPr>
          <w:rStyle w:val="FootnoteReference"/>
        </w:rPr>
        <w:footnoteRef/>
      </w:r>
      <w:r w:rsidRPr="009F1256">
        <w:tab/>
        <w:t>Verordnung (EU, Euratom) Nr. 1311/2013 des Rates vom 2. Dezember 2013 zur Festlegung des mehrjährigen Finanzrahmens für die Jahre 2014-2020 (ABl. L 347 vom 20.12.2013, S. 884).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38E" w:rsidRDefault="00B953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38E" w:rsidRDefault="00B953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38E" w:rsidRDefault="00B953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HORMNU" w:val=" 1"/>
    <w:docVar w:name="COMKEY" w:val="BUDG"/>
    <w:docVar w:name="CopyToNetwork" w:val="-1"/>
    <w:docVar w:name="DOCMNU" w:val=" 1"/>
    <w:docVar w:name="LastEditedSection" w:val=" 1"/>
    <w:docVar w:name="SHORTJUSTMNU" w:val=" 2"/>
    <w:docVar w:name="strDocTypeID" w:val="CONV"/>
    <w:docVar w:name="strSubDir" w:val="1121"/>
    <w:docVar w:name="TITLEMNU" w:val=" 2"/>
    <w:docVar w:name="TXTAUTHOR" w:val="Jan Olbrycht, Isabelle Thomas"/>
    <w:docVar w:name="TXTLANGUE" w:val="DE"/>
    <w:docVar w:name="TXTLANGUEMIN" w:val="de"/>
    <w:docVar w:name="TXTNRAPP" w:val="2016/0283"/>
    <w:docVar w:name="TXTNRC" w:val="0103/2017"/>
    <w:docVar w:name="TXTNRCOUNC" w:val="14942/2016"/>
    <w:docVar w:name="TXTNRPE" w:val="595.622"/>
    <w:docVar w:name="TXTPEorAP" w:val="PE"/>
    <w:docVar w:name="TXTROUTE" w:val="RR\1121884DE.docx"/>
    <w:docVar w:name="TXTTITLE" w:val="amending Regulation (EU, Euratom) No 1311/2013 laying down the multiannual financial framework for the years 2014-2020"/>
    <w:docVar w:name="TXTVERSION" w:val="03-00"/>
  </w:docVars>
  <w:rsids>
    <w:rsidRoot w:val="006E0EBC"/>
    <w:rsid w:val="0007141E"/>
    <w:rsid w:val="00085F88"/>
    <w:rsid w:val="00127BC4"/>
    <w:rsid w:val="00164E3C"/>
    <w:rsid w:val="001936DC"/>
    <w:rsid w:val="001C23B0"/>
    <w:rsid w:val="00230879"/>
    <w:rsid w:val="002424BA"/>
    <w:rsid w:val="002842A1"/>
    <w:rsid w:val="002E40B4"/>
    <w:rsid w:val="00371D0C"/>
    <w:rsid w:val="003A29AF"/>
    <w:rsid w:val="003A77FC"/>
    <w:rsid w:val="003E7FDF"/>
    <w:rsid w:val="003F5521"/>
    <w:rsid w:val="004D6308"/>
    <w:rsid w:val="004F5DCD"/>
    <w:rsid w:val="00557DB9"/>
    <w:rsid w:val="005678DE"/>
    <w:rsid w:val="005A0304"/>
    <w:rsid w:val="005B6B46"/>
    <w:rsid w:val="006012AB"/>
    <w:rsid w:val="006E0EBC"/>
    <w:rsid w:val="006E313D"/>
    <w:rsid w:val="00753033"/>
    <w:rsid w:val="0077718F"/>
    <w:rsid w:val="007F2133"/>
    <w:rsid w:val="007F3D0F"/>
    <w:rsid w:val="007F7D8B"/>
    <w:rsid w:val="00823EEF"/>
    <w:rsid w:val="00887A0C"/>
    <w:rsid w:val="00890615"/>
    <w:rsid w:val="008B0D92"/>
    <w:rsid w:val="008F7B9A"/>
    <w:rsid w:val="00956307"/>
    <w:rsid w:val="009B72B8"/>
    <w:rsid w:val="009C4E13"/>
    <w:rsid w:val="009E3DA4"/>
    <w:rsid w:val="009F1256"/>
    <w:rsid w:val="00A25880"/>
    <w:rsid w:val="00A42872"/>
    <w:rsid w:val="00A53D3C"/>
    <w:rsid w:val="00B06894"/>
    <w:rsid w:val="00B52E16"/>
    <w:rsid w:val="00B55E46"/>
    <w:rsid w:val="00B60CD2"/>
    <w:rsid w:val="00B9538E"/>
    <w:rsid w:val="00C1545A"/>
    <w:rsid w:val="00C30AE5"/>
    <w:rsid w:val="00C34E8F"/>
    <w:rsid w:val="00D41461"/>
    <w:rsid w:val="00DA199E"/>
    <w:rsid w:val="00E0654E"/>
    <w:rsid w:val="00E17125"/>
    <w:rsid w:val="00E429FB"/>
    <w:rsid w:val="00E83F0D"/>
    <w:rsid w:val="00EE58F8"/>
    <w:rsid w:val="00F62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0D1A2A21-DF54-46C9-AF4B-A536D95EF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uiPriority w:val="99"/>
    <w:rsid w:val="00D41461"/>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PageHeadingCaps">
    <w:name w:val="PageHeadingCaps"/>
    <w:basedOn w:val="PageHeading"/>
    <w:next w:val="Normal"/>
    <w:link w:val="PageHeadingCapsChar"/>
    <w:rsid w:val="00753033"/>
    <w:rPr>
      <w:caps/>
      <w:szCs w:val="24"/>
    </w:rPr>
  </w:style>
  <w:style w:type="character" w:customStyle="1" w:styleId="PageHeadingCapsChar">
    <w:name w:val="PageHeadingCaps Char"/>
    <w:link w:val="PageHeadingCaps"/>
    <w:rsid w:val="00753033"/>
    <w:rPr>
      <w:rFonts w:ascii="Arial" w:hAnsi="Arial"/>
      <w:b/>
      <w:caps/>
      <w:sz w:val="24"/>
      <w:szCs w:val="24"/>
      <w:lang w:val="de-DE" w:eastAsia="de-DE"/>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E429FB"/>
    <w:pPr>
      <w:tabs>
        <w:tab w:val="left" w:pos="567"/>
      </w:tabs>
    </w:pPr>
  </w:style>
  <w:style w:type="paragraph" w:customStyle="1" w:styleId="RefProc">
    <w:name w:val="RefProc"/>
    <w:basedOn w:val="Normal"/>
    <w:rsid w:val="009B72B8"/>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320"/>
        <w:tab w:val="right" w:pos="8640"/>
      </w:tabs>
    </w:pPr>
  </w:style>
  <w:style w:type="table" w:styleId="TableGrid">
    <w:name w:val="Table Grid"/>
    <w:basedOn w:val="TableNormal"/>
    <w:rsid w:val="00F62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F62566"/>
    <w:pPr>
      <w:jc w:val="center"/>
    </w:pPr>
    <w:rPr>
      <w:rFonts w:ascii="Arial" w:hAnsi="Arial" w:cs="Arial"/>
      <w:i/>
      <w:sz w:val="22"/>
      <w:szCs w:val="22"/>
    </w:rPr>
  </w:style>
  <w:style w:type="paragraph" w:customStyle="1" w:styleId="LineTop">
    <w:name w:val="LineTop"/>
    <w:basedOn w:val="Normal"/>
    <w:next w:val="ZCommittee"/>
    <w:rsid w:val="00F62566"/>
    <w:pPr>
      <w:pBdr>
        <w:top w:val="single" w:sz="4" w:space="1" w:color="auto"/>
      </w:pBdr>
      <w:jc w:val="center"/>
    </w:pPr>
    <w:rPr>
      <w:rFonts w:ascii="Arial" w:hAnsi="Arial"/>
      <w:sz w:val="16"/>
      <w:szCs w:val="16"/>
    </w:rPr>
  </w:style>
  <w:style w:type="paragraph" w:customStyle="1" w:styleId="LineBottom">
    <w:name w:val="LineBottom"/>
    <w:basedOn w:val="Normal"/>
    <w:next w:val="Normal"/>
    <w:rsid w:val="00F62566"/>
    <w:pPr>
      <w:pBdr>
        <w:bottom w:val="single" w:sz="4" w:space="1" w:color="auto"/>
      </w:pBdr>
      <w:spacing w:after="840"/>
      <w:jc w:val="center"/>
    </w:pPr>
    <w:rPr>
      <w:rFonts w:ascii="Arial" w:hAnsi="Arial"/>
      <w:sz w:val="16"/>
      <w:szCs w:val="16"/>
    </w:rPr>
  </w:style>
  <w:style w:type="paragraph" w:customStyle="1" w:styleId="EPName">
    <w:name w:val="EPName"/>
    <w:basedOn w:val="Normal"/>
    <w:rsid w:val="00C1545A"/>
    <w:pPr>
      <w:spacing w:before="80" w:after="80"/>
    </w:pPr>
    <w:rPr>
      <w:rFonts w:ascii="Arial Narrow" w:hAnsi="Arial Narrow" w:cs="Arial"/>
      <w:b/>
      <w:color w:val="000000"/>
      <w:sz w:val="32"/>
      <w:szCs w:val="22"/>
    </w:rPr>
  </w:style>
  <w:style w:type="paragraph" w:customStyle="1" w:styleId="EPTerm">
    <w:name w:val="EPTerm"/>
    <w:basedOn w:val="Normal"/>
    <w:next w:val="Normal"/>
    <w:rsid w:val="00C1545A"/>
    <w:pPr>
      <w:spacing w:after="80"/>
    </w:pPr>
    <w:rPr>
      <w:rFonts w:ascii="Arial" w:hAnsi="Arial" w:cs="Arial"/>
      <w:sz w:val="20"/>
      <w:szCs w:val="22"/>
    </w:rPr>
  </w:style>
  <w:style w:type="paragraph" w:customStyle="1" w:styleId="EPLogo">
    <w:name w:val="EPLogo"/>
    <w:basedOn w:val="Normal"/>
    <w:qFormat/>
    <w:rsid w:val="00C1545A"/>
    <w:pPr>
      <w:jc w:val="right"/>
    </w:pPr>
  </w:style>
  <w:style w:type="paragraph" w:customStyle="1" w:styleId="Lgendesigne">
    <w:name w:val="Légende signe"/>
    <w:basedOn w:val="Normal"/>
    <w:rsid w:val="00A42872"/>
    <w:pPr>
      <w:tabs>
        <w:tab w:val="right" w:pos="454"/>
        <w:tab w:val="left" w:pos="737"/>
      </w:tabs>
      <w:ind w:left="737" w:hanging="737"/>
    </w:pPr>
    <w:rPr>
      <w:snapToGrid w:val="0"/>
      <w:sz w:val="18"/>
    </w:rPr>
  </w:style>
  <w:style w:type="paragraph" w:customStyle="1" w:styleId="Lgendetitre">
    <w:name w:val="Légende titre"/>
    <w:basedOn w:val="Normal"/>
    <w:rsid w:val="00A42872"/>
    <w:pPr>
      <w:spacing w:before="240" w:after="240"/>
    </w:pPr>
    <w:rPr>
      <w:b/>
      <w:i/>
      <w:snapToGrid w:val="0"/>
    </w:rPr>
  </w:style>
  <w:style w:type="paragraph" w:customStyle="1" w:styleId="Lgendestandard">
    <w:name w:val="Légende standard"/>
    <w:basedOn w:val="Lgendesigne"/>
    <w:rsid w:val="00A42872"/>
    <w:pPr>
      <w:ind w:left="0" w:firstLine="0"/>
    </w:pPr>
  </w:style>
  <w:style w:type="character" w:styleId="FootnoteReference">
    <w:name w:val="footnote reference"/>
    <w:aliases w:val="Footnote,Footnote number,Footnote symbol,Footnote Reference Number,Footnote reference number,Times 10 Point,Exposant 3 Point,Voetnootverwijzing,fr,o,Footnotemark,FR,Footnotemark1,Footnotemark2,FR1,Footnotemark3,FR2,FR3"/>
    <w:basedOn w:val="DefaultParagraphFont"/>
    <w:link w:val="FootnoteReference1"/>
    <w:uiPriority w:val="99"/>
    <w:qFormat/>
    <w:rsid w:val="00A42872"/>
    <w:rPr>
      <w:vertAlign w:val="superscript"/>
    </w:rPr>
  </w:style>
  <w:style w:type="paragraph" w:customStyle="1" w:styleId="FootnoteReference1">
    <w:name w:val="Footnote Reference1"/>
    <w:basedOn w:val="Normal"/>
    <w:link w:val="FootnoteReference"/>
    <w:uiPriority w:val="99"/>
    <w:qFormat/>
    <w:rsid w:val="00A42872"/>
    <w:pPr>
      <w:widowControl/>
      <w:spacing w:after="160" w:line="240" w:lineRule="exact"/>
    </w:pPr>
    <w:rPr>
      <w:sz w:val="20"/>
      <w:vertAlign w:val="superscript"/>
    </w:rPr>
  </w:style>
  <w:style w:type="paragraph" w:customStyle="1" w:styleId="Text1">
    <w:name w:val="Text 1"/>
    <w:basedOn w:val="Normal"/>
    <w:rsid w:val="00A42872"/>
    <w:pPr>
      <w:widowControl/>
      <w:spacing w:before="120" w:after="120" w:line="360" w:lineRule="auto"/>
      <w:ind w:left="850"/>
    </w:pPr>
    <w:rPr>
      <w:rFonts w:eastAsia="Calibri"/>
      <w:szCs w:val="22"/>
    </w:rPr>
  </w:style>
  <w:style w:type="paragraph" w:customStyle="1" w:styleId="Text2">
    <w:name w:val="Text 2"/>
    <w:basedOn w:val="Normal"/>
    <w:rsid w:val="00A42872"/>
    <w:pPr>
      <w:widowControl/>
      <w:spacing w:before="120" w:after="120" w:line="360" w:lineRule="auto"/>
      <w:ind w:left="1417"/>
    </w:pPr>
    <w:rPr>
      <w:rFonts w:eastAsia="Calibri"/>
      <w:szCs w:val="22"/>
    </w:rPr>
  </w:style>
  <w:style w:type="paragraph" w:customStyle="1" w:styleId="Point0">
    <w:name w:val="Point 0"/>
    <w:basedOn w:val="Normal"/>
    <w:rsid w:val="00A42872"/>
    <w:pPr>
      <w:widowControl/>
      <w:spacing w:before="120" w:after="120" w:line="360" w:lineRule="auto"/>
      <w:ind w:left="850" w:hanging="850"/>
    </w:pPr>
    <w:rPr>
      <w:rFonts w:eastAsia="Calibri"/>
      <w:szCs w:val="22"/>
    </w:rPr>
  </w:style>
  <w:style w:type="paragraph" w:customStyle="1" w:styleId="Point1">
    <w:name w:val="Point 1"/>
    <w:basedOn w:val="Normal"/>
    <w:rsid w:val="00A42872"/>
    <w:pPr>
      <w:widowControl/>
      <w:spacing w:before="120" w:after="120" w:line="360" w:lineRule="auto"/>
      <w:ind w:left="1417" w:hanging="567"/>
    </w:pPr>
    <w:rPr>
      <w:rFonts w:eastAsia="Calibri"/>
      <w:szCs w:val="22"/>
    </w:rPr>
  </w:style>
  <w:style w:type="paragraph" w:customStyle="1" w:styleId="Point2">
    <w:name w:val="Point 2"/>
    <w:basedOn w:val="Normal"/>
    <w:rsid w:val="00A42872"/>
    <w:pPr>
      <w:widowControl/>
      <w:spacing w:before="120" w:after="120" w:line="360" w:lineRule="auto"/>
      <w:ind w:left="1984" w:hanging="567"/>
    </w:pPr>
    <w:rPr>
      <w:rFonts w:eastAsia="Calibri"/>
      <w:szCs w:val="22"/>
    </w:rPr>
  </w:style>
  <w:style w:type="paragraph" w:customStyle="1" w:styleId="Fait">
    <w:name w:val="Fait à"/>
    <w:basedOn w:val="Normal"/>
    <w:next w:val="Institutionquisigne"/>
    <w:rsid w:val="00A42872"/>
    <w:pPr>
      <w:keepNext/>
      <w:widowControl/>
      <w:spacing w:before="120" w:line="360" w:lineRule="auto"/>
    </w:pPr>
    <w:rPr>
      <w:rFonts w:eastAsia="Calibri"/>
      <w:szCs w:val="22"/>
    </w:rPr>
  </w:style>
  <w:style w:type="paragraph" w:customStyle="1" w:styleId="Applicationdirecte">
    <w:name w:val="Application directe"/>
    <w:basedOn w:val="Normal"/>
    <w:next w:val="Fait"/>
    <w:rsid w:val="00A42872"/>
    <w:pPr>
      <w:widowControl/>
      <w:spacing w:before="480" w:after="120" w:line="360" w:lineRule="auto"/>
    </w:pPr>
    <w:rPr>
      <w:rFonts w:eastAsia="Calibri"/>
      <w:szCs w:val="22"/>
    </w:rPr>
  </w:style>
  <w:style w:type="paragraph" w:customStyle="1" w:styleId="Titreobjet">
    <w:name w:val="Titre objet"/>
    <w:basedOn w:val="Normal"/>
    <w:next w:val="Normal"/>
    <w:rsid w:val="00A42872"/>
    <w:pPr>
      <w:widowControl/>
      <w:spacing w:before="360" w:after="360" w:line="360" w:lineRule="auto"/>
      <w:jc w:val="center"/>
    </w:pPr>
    <w:rPr>
      <w:rFonts w:eastAsia="Calibri"/>
      <w:b/>
      <w:szCs w:val="22"/>
    </w:rPr>
  </w:style>
  <w:style w:type="paragraph" w:customStyle="1" w:styleId="Datedadoption">
    <w:name w:val="Date d'adoption"/>
    <w:basedOn w:val="Normal"/>
    <w:next w:val="Titreobjet"/>
    <w:rsid w:val="00A42872"/>
    <w:pPr>
      <w:widowControl/>
      <w:spacing w:before="360" w:line="360" w:lineRule="auto"/>
      <w:jc w:val="center"/>
    </w:pPr>
    <w:rPr>
      <w:rFonts w:eastAsia="Calibri"/>
      <w:b/>
      <w:szCs w:val="22"/>
    </w:rPr>
  </w:style>
  <w:style w:type="paragraph" w:customStyle="1" w:styleId="Institutionquisigne">
    <w:name w:val="Institution qui signe"/>
    <w:basedOn w:val="Normal"/>
    <w:next w:val="Personnequisigne"/>
    <w:rsid w:val="00A42872"/>
    <w:pPr>
      <w:keepNext/>
      <w:widowControl/>
      <w:tabs>
        <w:tab w:val="left" w:pos="5669"/>
      </w:tabs>
      <w:spacing w:before="720" w:line="360" w:lineRule="auto"/>
    </w:pPr>
    <w:rPr>
      <w:rFonts w:eastAsia="Calibri"/>
      <w:i/>
      <w:szCs w:val="22"/>
    </w:rPr>
  </w:style>
  <w:style w:type="paragraph" w:customStyle="1" w:styleId="Formuledadoption">
    <w:name w:val="Formule d'adoption"/>
    <w:basedOn w:val="Normal"/>
    <w:next w:val="Normal"/>
    <w:rsid w:val="00A42872"/>
    <w:pPr>
      <w:keepNext/>
      <w:widowControl/>
      <w:spacing w:before="120" w:after="120" w:line="360" w:lineRule="auto"/>
    </w:pPr>
    <w:rPr>
      <w:rFonts w:eastAsia="Calibri"/>
      <w:szCs w:val="22"/>
    </w:rPr>
  </w:style>
  <w:style w:type="paragraph" w:customStyle="1" w:styleId="Institutionquiagit">
    <w:name w:val="Institution qui agit"/>
    <w:basedOn w:val="Normal"/>
    <w:next w:val="Normal"/>
    <w:rsid w:val="00A42872"/>
    <w:pPr>
      <w:keepNext/>
      <w:widowControl/>
      <w:spacing w:before="600" w:after="120" w:line="360" w:lineRule="auto"/>
    </w:pPr>
    <w:rPr>
      <w:rFonts w:eastAsia="Calibri"/>
      <w:szCs w:val="22"/>
    </w:rPr>
  </w:style>
  <w:style w:type="paragraph" w:customStyle="1" w:styleId="Personnequisigne">
    <w:name w:val="Personne qui signe"/>
    <w:basedOn w:val="Normal"/>
    <w:next w:val="Institutionquisigne"/>
    <w:rsid w:val="00A42872"/>
    <w:pPr>
      <w:widowControl/>
      <w:tabs>
        <w:tab w:val="left" w:pos="5669"/>
      </w:tabs>
      <w:spacing w:line="360" w:lineRule="auto"/>
    </w:pPr>
    <w:rPr>
      <w:rFonts w:eastAsia="Calibri"/>
      <w:i/>
      <w:szCs w:val="22"/>
    </w:rPr>
  </w:style>
  <w:style w:type="paragraph" w:customStyle="1" w:styleId="ManualConsidrant">
    <w:name w:val="Manual Considérant"/>
    <w:basedOn w:val="Normal"/>
    <w:rsid w:val="00A42872"/>
    <w:pPr>
      <w:widowControl/>
      <w:spacing w:before="120" w:after="120" w:line="360" w:lineRule="auto"/>
      <w:ind w:left="850" w:hanging="850"/>
    </w:pPr>
    <w:rPr>
      <w:rFonts w:eastAsia="Calibri"/>
      <w:szCs w:val="22"/>
    </w:rPr>
  </w:style>
  <w:style w:type="paragraph" w:customStyle="1" w:styleId="Typedudocument">
    <w:name w:val="Type du document"/>
    <w:basedOn w:val="Normal"/>
    <w:next w:val="Datedadoption"/>
    <w:rsid w:val="00A42872"/>
    <w:pPr>
      <w:widowControl/>
      <w:spacing w:before="360" w:line="360" w:lineRule="auto"/>
      <w:jc w:val="center"/>
    </w:pPr>
    <w:rPr>
      <w:rFonts w:eastAsia="Calibri"/>
      <w:b/>
      <w:szCs w:val="22"/>
    </w:rPr>
  </w:style>
  <w:style w:type="paragraph" w:customStyle="1" w:styleId="Lignefinal">
    <w:name w:val="Ligne final"/>
    <w:basedOn w:val="Normal"/>
    <w:next w:val="Normal"/>
    <w:rsid w:val="00A42872"/>
    <w:pPr>
      <w:widowControl/>
      <w:pBdr>
        <w:bottom w:val="single" w:sz="4" w:space="0" w:color="000000"/>
      </w:pBdr>
      <w:spacing w:before="360" w:after="120" w:line="360" w:lineRule="auto"/>
      <w:ind w:left="3400" w:right="3400"/>
      <w:jc w:val="center"/>
    </w:pPr>
    <w:rPr>
      <w:rFonts w:eastAsia="Calibri"/>
      <w:b/>
      <w:szCs w:val="22"/>
    </w:rPr>
  </w:style>
  <w:style w:type="character" w:customStyle="1" w:styleId="FooterChar">
    <w:name w:val="Footer Char"/>
    <w:link w:val="Footer"/>
    <w:uiPriority w:val="99"/>
    <w:locked/>
    <w:rsid w:val="00A42872"/>
    <w:rPr>
      <w:sz w:val="22"/>
    </w:rPr>
  </w:style>
  <w:style w:type="paragraph" w:styleId="FootnoteText">
    <w:name w:val="footnote text"/>
    <w:basedOn w:val="Normal"/>
    <w:link w:val="FootnoteTextChar"/>
    <w:uiPriority w:val="99"/>
    <w:qFormat/>
    <w:rsid w:val="004F5DCD"/>
    <w:rPr>
      <w:sz w:val="20"/>
    </w:rPr>
  </w:style>
  <w:style w:type="character" w:customStyle="1" w:styleId="FootnoteTextChar">
    <w:name w:val="Footnote Text Char"/>
    <w:basedOn w:val="DefaultParagraphFont"/>
    <w:link w:val="FootnoteText"/>
    <w:uiPriority w:val="99"/>
    <w:rsid w:val="004F5DCD"/>
    <w:rPr>
      <w:lang w:val="de-DE"/>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 w:type="paragraph" w:customStyle="1" w:styleId="NormalTabs">
    <w:name w:val="NormalTabs"/>
    <w:basedOn w:val="Normal"/>
    <w:qFormat/>
    <w:rsid w:val="00B60CD2"/>
    <w:pPr>
      <w:tabs>
        <w:tab w:val="center" w:pos="284"/>
        <w:tab w:val="left" w:pos="426"/>
      </w:tabs>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europarl.europa.eu/sides/getDoc.do?type=TA&amp;reference=P8-TA-2016-0412&amp;language=DE&amp;ring=B8-2016-1173" TargetMode="External"/><Relationship Id="rId2" Type="http://schemas.openxmlformats.org/officeDocument/2006/relationships/hyperlink" Target="http://www.consilium.europa.eu/register/de/content/out/?&amp;typ=ENTRY&amp;i=ADV&amp;DOC_ID=ST-7031-2017-COR-1" TargetMode="External"/><Relationship Id="rId1" Type="http://schemas.openxmlformats.org/officeDocument/2006/relationships/hyperlink" Target="http://www.consilium.europa.eu/register/de/content/out/?&amp;typ=ENTRY&amp;i=ADV&amp;DOC_ID=ST-7030-2017-I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A5ED9-567D-4C16-B09B-9915864B8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880FC349.dotm</Template>
  <TotalTime>0</TotalTime>
  <Pages>15</Pages>
  <Words>1886</Words>
  <Characters>12317</Characters>
  <Application>Microsoft Office Word</Application>
  <DocSecurity>0</DocSecurity>
  <Lines>351</Lines>
  <Paragraphs>186</Paragraphs>
  <ScaleCrop>false</ScaleCrop>
  <HeadingPairs>
    <vt:vector size="2" baseType="variant">
      <vt:variant>
        <vt:lpstr>Title</vt:lpstr>
      </vt:variant>
      <vt:variant>
        <vt:i4>1</vt:i4>
      </vt:variant>
    </vt:vector>
  </HeadingPairs>
  <TitlesOfParts>
    <vt:vector size="1" baseType="lpstr">
      <vt:lpstr>PR_APP</vt:lpstr>
    </vt:vector>
  </TitlesOfParts>
  <Company/>
  <LinksUpToDate>false</LinksUpToDate>
  <CharactersWithSpaces>14017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PR_APP</dc:title>
  <dc:subject/>
  <dc:creator>ALBRECHT Ansgar</dc:creator>
  <cp:keywords/>
  <dc:description/>
  <cp:lastModifiedBy>HOLBACH Jutta</cp:lastModifiedBy>
  <cp:revision>2</cp:revision>
  <cp:lastPrinted>2002-12-11T09:25:00Z</cp:lastPrinted>
  <dcterms:created xsi:type="dcterms:W3CDTF">2017-03-31T07:42:00Z</dcterms:created>
  <dcterms:modified xsi:type="dcterms:W3CDTF">2017-03-31T07:42:00Z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[20170301]</vt:lpwstr>
  </property>
  <property fmtid="{D5CDD505-2E9C-101B-9397-08002B2CF9AE}" pid="3" name="LastEdited with">
    <vt:lpwstr>9.0.0 Build [20170325]</vt:lpwstr>
  </property>
  <property fmtid="{D5CDD505-2E9C-101B-9397-08002B2CF9AE}" pid="4" name="&lt;FdR&gt;">
    <vt:lpwstr>1121884</vt:lpwstr>
  </property>
  <property fmtid="{D5CDD505-2E9C-101B-9397-08002B2CF9AE}" pid="5" name="&lt;Type&gt;">
    <vt:lpwstr>RR</vt:lpwstr>
  </property>
  <property fmtid="{D5CDD505-2E9C-101B-9397-08002B2CF9AE}" pid="6" name="&lt;ModelCod&gt;">
    <vt:lpwstr>\\eiciLUXpr1\pdocep$\DocEP\DOCS\General\PR\PR_Leg\APP\PR_APP.dot(17/02/2016 10:44:30)</vt:lpwstr>
  </property>
  <property fmtid="{D5CDD505-2E9C-101B-9397-08002B2CF9AE}" pid="7" name="&lt;ModelTra&gt;">
    <vt:lpwstr>\\eiciLUXpr1\pdocep$\DocEP\TRANSFIL\DE\PR_APP.DE(04/06/2015 09:14:40)</vt:lpwstr>
  </property>
  <property fmtid="{D5CDD505-2E9C-101B-9397-08002B2CF9AE}" pid="8" name="&lt;Model&gt;">
    <vt:lpwstr>PR_APP</vt:lpwstr>
  </property>
  <property fmtid="{D5CDD505-2E9C-101B-9397-08002B2CF9AE}" pid="9" name="FooterPath">
    <vt:lpwstr>RR\1121884DE.docx</vt:lpwstr>
  </property>
  <property fmtid="{D5CDD505-2E9C-101B-9397-08002B2CF9AE}" pid="10" name="PE Number">
    <vt:lpwstr>595.622</vt:lpwstr>
  </property>
  <property fmtid="{D5CDD505-2E9C-101B-9397-08002B2CF9AE}" pid="11" name="Bookout">
    <vt:lpwstr>OK - 2017/03/31 09:41</vt:lpwstr>
  </property>
  <property fmtid="{D5CDD505-2E9C-101B-9397-08002B2CF9AE}" pid="12" name="SDLStudio">
    <vt:lpwstr/>
  </property>
  <property fmtid="{D5CDD505-2E9C-101B-9397-08002B2CF9AE}" pid="13" name="&lt;Extension&gt;">
    <vt:lpwstr>DE</vt:lpwstr>
  </property>
</Properties>
</file>