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211A8A" w14:paraId="70913F5B" w14:textId="77777777" w:rsidTr="00947D32">
        <w:trPr>
          <w:trHeight w:hRule="exact" w:val="1418"/>
        </w:trPr>
        <w:tc>
          <w:tcPr>
            <w:tcW w:w="6804" w:type="dxa"/>
            <w:shd w:val="clear" w:color="auto" w:fill="auto"/>
            <w:vAlign w:val="center"/>
          </w:tcPr>
          <w:p w14:paraId="16134E82" w14:textId="77777777" w:rsidR="00D46466" w:rsidRPr="00211A8A" w:rsidRDefault="0034738B" w:rsidP="00947D32">
            <w:pPr>
              <w:pStyle w:val="EPName"/>
            </w:pPr>
            <w:r w:rsidRPr="00211A8A">
              <w:t>Europaparlamentet</w:t>
            </w:r>
          </w:p>
          <w:p w14:paraId="7DB78812" w14:textId="77777777" w:rsidR="00D46466" w:rsidRPr="00211A8A" w:rsidRDefault="0010796E" w:rsidP="0010796E">
            <w:pPr>
              <w:pStyle w:val="EPTerm"/>
              <w:rPr>
                <w:rStyle w:val="HideTWBExt"/>
                <w:noProof w:val="0"/>
                <w:vanish w:val="0"/>
                <w:color w:val="auto"/>
              </w:rPr>
            </w:pPr>
            <w:r w:rsidRPr="00211A8A">
              <w:t>2014-2019</w:t>
            </w:r>
          </w:p>
        </w:tc>
        <w:tc>
          <w:tcPr>
            <w:tcW w:w="2268" w:type="dxa"/>
            <w:shd w:val="clear" w:color="auto" w:fill="auto"/>
          </w:tcPr>
          <w:p w14:paraId="04EC193F" w14:textId="77777777" w:rsidR="00D46466" w:rsidRPr="00211A8A" w:rsidRDefault="009D2B30" w:rsidP="00947D32">
            <w:pPr>
              <w:pStyle w:val="EPLogo"/>
            </w:pPr>
            <w:r>
              <w:pict w14:anchorId="1E547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14:paraId="0F386C1D" w14:textId="77777777" w:rsidR="00390068" w:rsidRPr="00211A8A" w:rsidRDefault="00390068" w:rsidP="00390068">
      <w:pPr>
        <w:pStyle w:val="LineTop"/>
      </w:pPr>
    </w:p>
    <w:p w14:paraId="0298574D" w14:textId="2CE5E80F" w:rsidR="00390068" w:rsidRPr="00211A8A" w:rsidRDefault="00FD7FC6" w:rsidP="00390068">
      <w:pPr>
        <w:pStyle w:val="ZCommittee"/>
      </w:pPr>
      <w:r w:rsidRPr="00211A8A">
        <w:t>Plenarhandling</w:t>
      </w:r>
    </w:p>
    <w:p w14:paraId="2959D262" w14:textId="77777777" w:rsidR="00390068" w:rsidRPr="00211A8A" w:rsidRDefault="00390068" w:rsidP="00390068">
      <w:pPr>
        <w:pStyle w:val="LineBottom"/>
      </w:pPr>
    </w:p>
    <w:p w14:paraId="75E8AFED" w14:textId="716C7002" w:rsidR="00C1531C" w:rsidRPr="00211A8A" w:rsidRDefault="00FD7FC6">
      <w:pPr>
        <w:pStyle w:val="RefProc"/>
      </w:pPr>
      <w:r w:rsidRPr="00211A8A">
        <w:rPr>
          <w:rStyle w:val="HideTWBExt"/>
          <w:noProof w:val="0"/>
        </w:rPr>
        <w:t>&lt;NoDocSe&gt;</w:t>
      </w:r>
      <w:r w:rsidRPr="00211A8A">
        <w:t>A8-0126/2017</w:t>
      </w:r>
      <w:r w:rsidRPr="00211A8A">
        <w:rPr>
          <w:rStyle w:val="HideTWBExt"/>
          <w:noProof w:val="0"/>
        </w:rPr>
        <w:t>&lt;/NoDocSe&gt;</w:t>
      </w:r>
    </w:p>
    <w:p w14:paraId="7AB1FC06" w14:textId="77ECEEE5" w:rsidR="00C1531C" w:rsidRPr="00211A8A" w:rsidRDefault="00C1531C">
      <w:pPr>
        <w:pStyle w:val="ZDate"/>
      </w:pPr>
      <w:r w:rsidRPr="00211A8A">
        <w:rPr>
          <w:rStyle w:val="HideTWBExt"/>
          <w:noProof w:val="0"/>
        </w:rPr>
        <w:t>&lt;Date&gt;</w:t>
      </w:r>
      <w:r w:rsidRPr="00211A8A">
        <w:rPr>
          <w:rStyle w:val="HideTWBInt"/>
        </w:rPr>
        <w:t>{30/03/2017}</w:t>
      </w:r>
      <w:r w:rsidRPr="00211A8A">
        <w:t>30.3.2017</w:t>
      </w:r>
      <w:r w:rsidRPr="00211A8A">
        <w:rPr>
          <w:rStyle w:val="HideTWBExt"/>
          <w:noProof w:val="0"/>
        </w:rPr>
        <w:t>&lt;/Date&gt;</w:t>
      </w:r>
    </w:p>
    <w:p w14:paraId="191E65CC" w14:textId="12D1416C" w:rsidR="00C1531C" w:rsidRPr="00211A8A" w:rsidRDefault="00C1531C">
      <w:pPr>
        <w:pStyle w:val="TypeDoc"/>
      </w:pPr>
      <w:r w:rsidRPr="00211A8A">
        <w:rPr>
          <w:rStyle w:val="HideTWBExt"/>
          <w:b w:val="0"/>
          <w:noProof w:val="0"/>
        </w:rPr>
        <w:t>&lt;TitreType&gt;</w:t>
      </w:r>
      <w:r w:rsidRPr="00211A8A">
        <w:t>BETÄNKANDE</w:t>
      </w:r>
      <w:r w:rsidRPr="00211A8A">
        <w:rPr>
          <w:rStyle w:val="HideTWBExt"/>
          <w:b w:val="0"/>
          <w:noProof w:val="0"/>
        </w:rPr>
        <w:t>&lt;/TitreType&gt;</w:t>
      </w:r>
    </w:p>
    <w:p w14:paraId="3E340113" w14:textId="77777777" w:rsidR="00C1531C" w:rsidRPr="00211A8A" w:rsidRDefault="00C1531C">
      <w:pPr>
        <w:pStyle w:val="CoverNormal"/>
      </w:pPr>
      <w:r w:rsidRPr="00211A8A">
        <w:rPr>
          <w:rStyle w:val="HideTWBExt"/>
          <w:noProof w:val="0"/>
        </w:rPr>
        <w:t>&lt;Titre&gt;</w:t>
      </w:r>
      <w:r w:rsidRPr="00211A8A">
        <w:t>om ansvarsfrihet för genomförandet av budgeten för Euratoms försörjningsbyrå för budgetåret 2015</w:t>
      </w:r>
      <w:r w:rsidRPr="00211A8A">
        <w:rPr>
          <w:rStyle w:val="HideTWBExt"/>
          <w:noProof w:val="0"/>
        </w:rPr>
        <w:t>&lt;/Titre&gt;</w:t>
      </w:r>
    </w:p>
    <w:p w14:paraId="6C1A180E" w14:textId="77777777" w:rsidR="00C1531C" w:rsidRPr="00211A8A" w:rsidRDefault="005C689E">
      <w:pPr>
        <w:pStyle w:val="Cover24"/>
      </w:pPr>
      <w:r w:rsidRPr="00211A8A">
        <w:rPr>
          <w:rStyle w:val="HideTWBExt"/>
          <w:noProof w:val="0"/>
        </w:rPr>
        <w:t>&lt;DocRef&gt;</w:t>
      </w:r>
      <w:r w:rsidRPr="00211A8A">
        <w:t>(2016/2183(DEC))</w:t>
      </w:r>
      <w:r w:rsidRPr="00211A8A">
        <w:rPr>
          <w:rStyle w:val="HideTWBExt"/>
          <w:noProof w:val="0"/>
        </w:rPr>
        <w:t>&lt;/DocRef&gt;</w:t>
      </w:r>
    </w:p>
    <w:p w14:paraId="4019CF57" w14:textId="77777777" w:rsidR="00C1531C" w:rsidRPr="00211A8A" w:rsidRDefault="00C1531C">
      <w:pPr>
        <w:pStyle w:val="Cover24"/>
      </w:pPr>
      <w:r w:rsidRPr="00211A8A">
        <w:rPr>
          <w:rStyle w:val="HideTWBExt"/>
          <w:noProof w:val="0"/>
        </w:rPr>
        <w:t>&lt;Commission&gt;</w:t>
      </w:r>
      <w:r w:rsidRPr="00211A8A">
        <w:rPr>
          <w:rStyle w:val="HideTWBInt"/>
        </w:rPr>
        <w:t>{CONT}</w:t>
      </w:r>
      <w:r w:rsidRPr="00211A8A">
        <w:t>Budgetkontrollutskottet</w:t>
      </w:r>
      <w:r w:rsidRPr="00211A8A">
        <w:rPr>
          <w:rStyle w:val="HideTWBExt"/>
          <w:noProof w:val="0"/>
        </w:rPr>
        <w:t>&lt;/Commission&gt;</w:t>
      </w:r>
    </w:p>
    <w:p w14:paraId="393418FE" w14:textId="77777777" w:rsidR="00C1531C" w:rsidRPr="00211A8A" w:rsidRDefault="0034738B">
      <w:pPr>
        <w:pStyle w:val="Cover24"/>
        <w:rPr>
          <w:rStyle w:val="HideTWBExt"/>
          <w:noProof w:val="0"/>
        </w:rPr>
      </w:pPr>
      <w:r w:rsidRPr="00211A8A">
        <w:t xml:space="preserve">Föredragande: </w:t>
      </w:r>
      <w:r w:rsidRPr="00211A8A">
        <w:rPr>
          <w:rStyle w:val="HideTWBExt"/>
          <w:noProof w:val="0"/>
        </w:rPr>
        <w:t>&lt;Depute&gt;</w:t>
      </w:r>
      <w:r w:rsidRPr="00211A8A">
        <w:t>Inés Ayala Sender</w:t>
      </w:r>
      <w:r w:rsidRPr="00211A8A">
        <w:rPr>
          <w:rStyle w:val="HideTWBExt"/>
          <w:noProof w:val="0"/>
        </w:rPr>
        <w:t>&lt;/Depute&gt;</w:t>
      </w:r>
    </w:p>
    <w:p w14:paraId="52B466AA" w14:textId="28060C57" w:rsidR="00C1531C" w:rsidRPr="00211A8A" w:rsidRDefault="00C1531C" w:rsidP="0070740B">
      <w:pPr>
        <w:pStyle w:val="Cover24"/>
        <w:ind w:left="0"/>
      </w:pPr>
      <w:r w:rsidRPr="00211A8A">
        <w:br w:type="page"/>
      </w:r>
      <w:r w:rsidRPr="00211A8A">
        <w:lastRenderedPageBreak/>
        <w:t>PR_DEC_Agencies</w:t>
      </w:r>
    </w:p>
    <w:p w14:paraId="6DD362B8" w14:textId="77777777" w:rsidR="00C1531C" w:rsidRPr="00211A8A" w:rsidRDefault="0034738B">
      <w:pPr>
        <w:pStyle w:val="TOCHeading"/>
      </w:pPr>
      <w:r w:rsidRPr="00211A8A">
        <w:t>INNEHÅLL</w:t>
      </w:r>
    </w:p>
    <w:p w14:paraId="4C01DA99" w14:textId="77777777" w:rsidR="009D2B30" w:rsidRDefault="0034738B" w:rsidP="000B47E5">
      <w:pPr>
        <w:pStyle w:val="TOCPage"/>
        <w:rPr>
          <w:noProof/>
        </w:rPr>
      </w:pPr>
      <w:r w:rsidRPr="00211A8A">
        <w:t>Sida</w:t>
      </w:r>
      <w:r w:rsidRPr="00211A8A">
        <w:fldChar w:fldCharType="begin"/>
      </w:r>
      <w:r w:rsidR="00C1531C" w:rsidRPr="00211A8A">
        <w:instrText xml:space="preserve"> TOC \t "PageHeading</w:instrText>
      </w:r>
      <w:r w:rsidR="000700E4" w:rsidRPr="00211A8A">
        <w:instrText>;</w:instrText>
      </w:r>
      <w:r w:rsidR="00FD18F9" w:rsidRPr="00211A8A">
        <w:instrText>3</w:instrText>
      </w:r>
      <w:r w:rsidR="00C1531C" w:rsidRPr="00211A8A">
        <w:instrText xml:space="preserve">" </w:instrText>
      </w:r>
      <w:r w:rsidRPr="00211A8A">
        <w:fldChar w:fldCharType="separate"/>
      </w:r>
    </w:p>
    <w:p w14:paraId="7E2C0AE0" w14:textId="77777777" w:rsidR="009D2B30" w:rsidRDefault="009D2B30">
      <w:pPr>
        <w:pStyle w:val="TOC3"/>
        <w:tabs>
          <w:tab w:val="right" w:leader="dot" w:pos="9060"/>
        </w:tabs>
        <w:rPr>
          <w:rFonts w:asciiTheme="minorHAnsi" w:eastAsiaTheme="minorEastAsia" w:hAnsiTheme="minorHAnsi" w:cstheme="minorBidi"/>
          <w:noProof/>
          <w:sz w:val="22"/>
          <w:szCs w:val="22"/>
          <w:lang w:val="en-GB" w:eastAsia="en-GB" w:bidi="ar-SA"/>
        </w:rPr>
      </w:pPr>
      <w:r>
        <w:rPr>
          <w:noProof/>
        </w:rPr>
        <w:t>1. FÖRSLAG TILL EUROPAPARLAMENTETS BESLUT</w:t>
      </w:r>
      <w:r>
        <w:rPr>
          <w:noProof/>
        </w:rPr>
        <w:tab/>
      </w:r>
      <w:r>
        <w:rPr>
          <w:noProof/>
        </w:rPr>
        <w:fldChar w:fldCharType="begin"/>
      </w:r>
      <w:r>
        <w:rPr>
          <w:noProof/>
        </w:rPr>
        <w:instrText xml:space="preserve"> PAGEREF _Toc479171895 \h </w:instrText>
      </w:r>
      <w:r>
        <w:rPr>
          <w:noProof/>
        </w:rPr>
      </w:r>
      <w:r>
        <w:rPr>
          <w:noProof/>
        </w:rPr>
        <w:fldChar w:fldCharType="separate"/>
      </w:r>
      <w:r>
        <w:rPr>
          <w:noProof/>
        </w:rPr>
        <w:t>3</w:t>
      </w:r>
      <w:r>
        <w:rPr>
          <w:noProof/>
        </w:rPr>
        <w:fldChar w:fldCharType="end"/>
      </w:r>
    </w:p>
    <w:p w14:paraId="7AAA37C5" w14:textId="77777777" w:rsidR="009D2B30" w:rsidRDefault="009D2B30">
      <w:pPr>
        <w:pStyle w:val="TOC3"/>
        <w:tabs>
          <w:tab w:val="right" w:leader="dot" w:pos="9060"/>
        </w:tabs>
        <w:rPr>
          <w:rFonts w:asciiTheme="minorHAnsi" w:eastAsiaTheme="minorEastAsia" w:hAnsiTheme="minorHAnsi" w:cstheme="minorBidi"/>
          <w:noProof/>
          <w:sz w:val="22"/>
          <w:szCs w:val="22"/>
          <w:lang w:val="en-GB" w:eastAsia="en-GB" w:bidi="ar-SA"/>
        </w:rPr>
      </w:pPr>
      <w:r>
        <w:rPr>
          <w:noProof/>
        </w:rPr>
        <w:t>2. FÖRSLAG TILL EUROPAPARLAMENTETS BESLUT</w:t>
      </w:r>
      <w:r>
        <w:rPr>
          <w:noProof/>
        </w:rPr>
        <w:tab/>
      </w:r>
      <w:r>
        <w:rPr>
          <w:noProof/>
        </w:rPr>
        <w:fldChar w:fldCharType="begin"/>
      </w:r>
      <w:r>
        <w:rPr>
          <w:noProof/>
        </w:rPr>
        <w:instrText xml:space="preserve"> PAGEREF _Toc479171896 \h </w:instrText>
      </w:r>
      <w:r>
        <w:rPr>
          <w:noProof/>
        </w:rPr>
      </w:r>
      <w:r>
        <w:rPr>
          <w:noProof/>
        </w:rPr>
        <w:fldChar w:fldCharType="separate"/>
      </w:r>
      <w:r>
        <w:rPr>
          <w:noProof/>
        </w:rPr>
        <w:t>5</w:t>
      </w:r>
      <w:r>
        <w:rPr>
          <w:noProof/>
        </w:rPr>
        <w:fldChar w:fldCharType="end"/>
      </w:r>
    </w:p>
    <w:p w14:paraId="6F2A7F45" w14:textId="77777777" w:rsidR="009D2B30" w:rsidRDefault="009D2B30">
      <w:pPr>
        <w:pStyle w:val="TOC3"/>
        <w:tabs>
          <w:tab w:val="right" w:leader="dot" w:pos="9060"/>
        </w:tabs>
        <w:rPr>
          <w:rFonts w:asciiTheme="minorHAnsi" w:eastAsiaTheme="minorEastAsia" w:hAnsiTheme="minorHAnsi" w:cstheme="minorBidi"/>
          <w:noProof/>
          <w:sz w:val="22"/>
          <w:szCs w:val="22"/>
          <w:lang w:val="en-GB" w:eastAsia="en-GB" w:bidi="ar-SA"/>
        </w:rPr>
      </w:pPr>
      <w:r>
        <w:rPr>
          <w:noProof/>
        </w:rPr>
        <w:t>3. FÖRSLAG TILL EUROPAPARLAMENTETS RESOLUTION</w:t>
      </w:r>
      <w:r>
        <w:rPr>
          <w:noProof/>
        </w:rPr>
        <w:tab/>
      </w:r>
      <w:r>
        <w:rPr>
          <w:noProof/>
        </w:rPr>
        <w:fldChar w:fldCharType="begin"/>
      </w:r>
      <w:r>
        <w:rPr>
          <w:noProof/>
        </w:rPr>
        <w:instrText xml:space="preserve"> PAGEREF _Toc479171897 \h </w:instrText>
      </w:r>
      <w:r>
        <w:rPr>
          <w:noProof/>
        </w:rPr>
      </w:r>
      <w:r>
        <w:rPr>
          <w:noProof/>
        </w:rPr>
        <w:fldChar w:fldCharType="separate"/>
      </w:r>
      <w:r>
        <w:rPr>
          <w:noProof/>
        </w:rPr>
        <w:t>6</w:t>
      </w:r>
      <w:r>
        <w:rPr>
          <w:noProof/>
        </w:rPr>
        <w:fldChar w:fldCharType="end"/>
      </w:r>
    </w:p>
    <w:p w14:paraId="4C6159E6" w14:textId="77777777" w:rsidR="009D2B30" w:rsidRDefault="009D2B30">
      <w:pPr>
        <w:pStyle w:val="TOC3"/>
        <w:tabs>
          <w:tab w:val="right" w:leader="dot" w:pos="9060"/>
        </w:tabs>
        <w:rPr>
          <w:rFonts w:asciiTheme="minorHAnsi" w:eastAsiaTheme="minorEastAsia" w:hAnsiTheme="minorHAnsi" w:cstheme="minorBidi"/>
          <w:noProof/>
          <w:sz w:val="22"/>
          <w:szCs w:val="22"/>
          <w:lang w:val="en-GB" w:eastAsia="en-GB" w:bidi="ar-SA"/>
        </w:rPr>
      </w:pPr>
      <w:r>
        <w:rPr>
          <w:noProof/>
        </w:rPr>
        <w:t>INFORMATION OM ANTAGANDET I DET ANSVARIGA UTSKOTTET</w:t>
      </w:r>
      <w:r>
        <w:rPr>
          <w:noProof/>
        </w:rPr>
        <w:tab/>
      </w:r>
      <w:r>
        <w:rPr>
          <w:noProof/>
        </w:rPr>
        <w:fldChar w:fldCharType="begin"/>
      </w:r>
      <w:r>
        <w:rPr>
          <w:noProof/>
        </w:rPr>
        <w:instrText xml:space="preserve"> PAGEREF _Toc479171898 \h </w:instrText>
      </w:r>
      <w:r>
        <w:rPr>
          <w:noProof/>
        </w:rPr>
      </w:r>
      <w:r>
        <w:rPr>
          <w:noProof/>
        </w:rPr>
        <w:fldChar w:fldCharType="separate"/>
      </w:r>
      <w:r>
        <w:rPr>
          <w:noProof/>
        </w:rPr>
        <w:t>8</w:t>
      </w:r>
      <w:r>
        <w:rPr>
          <w:noProof/>
        </w:rPr>
        <w:fldChar w:fldCharType="end"/>
      </w:r>
    </w:p>
    <w:p w14:paraId="4DC2B2AE" w14:textId="77777777" w:rsidR="009D2B30" w:rsidRDefault="009D2B30">
      <w:pPr>
        <w:pStyle w:val="TOC3"/>
        <w:tabs>
          <w:tab w:val="right" w:leader="dot" w:pos="9060"/>
        </w:tabs>
        <w:rPr>
          <w:rFonts w:asciiTheme="minorHAnsi" w:eastAsiaTheme="minorEastAsia" w:hAnsiTheme="minorHAnsi" w:cstheme="minorBidi"/>
          <w:noProof/>
          <w:sz w:val="22"/>
          <w:szCs w:val="22"/>
          <w:lang w:val="en-GB" w:eastAsia="en-GB" w:bidi="ar-SA"/>
        </w:rPr>
      </w:pPr>
      <w:r>
        <w:rPr>
          <w:noProof/>
        </w:rPr>
        <w:t>SLUTOMRÖSTNING MED NAMNUPPROP I DET ANSVARIGA UTSKOTTET</w:t>
      </w:r>
      <w:r>
        <w:rPr>
          <w:noProof/>
        </w:rPr>
        <w:tab/>
      </w:r>
      <w:r>
        <w:rPr>
          <w:noProof/>
        </w:rPr>
        <w:fldChar w:fldCharType="begin"/>
      </w:r>
      <w:r>
        <w:rPr>
          <w:noProof/>
        </w:rPr>
        <w:instrText xml:space="preserve"> PAGEREF _Toc479171899 \h </w:instrText>
      </w:r>
      <w:r>
        <w:rPr>
          <w:noProof/>
        </w:rPr>
      </w:r>
      <w:r>
        <w:rPr>
          <w:noProof/>
        </w:rPr>
        <w:fldChar w:fldCharType="separate"/>
      </w:r>
      <w:r>
        <w:rPr>
          <w:noProof/>
        </w:rPr>
        <w:t>9</w:t>
      </w:r>
      <w:r>
        <w:rPr>
          <w:noProof/>
        </w:rPr>
        <w:fldChar w:fldCharType="end"/>
      </w:r>
    </w:p>
    <w:p w14:paraId="09E5397F" w14:textId="77777777" w:rsidR="00E35EEC" w:rsidRPr="00211A8A" w:rsidRDefault="0034738B" w:rsidP="000B47E5">
      <w:pPr>
        <w:pStyle w:val="TOCPage"/>
      </w:pPr>
      <w:r w:rsidRPr="00211A8A">
        <w:rPr>
          <w:rFonts w:ascii="Times New Roman" w:hAnsi="Times New Roman"/>
        </w:rPr>
        <w:fldChar w:fldCharType="end"/>
      </w:r>
    </w:p>
    <w:p w14:paraId="021BD9D3" w14:textId="77777777" w:rsidR="00C1531C" w:rsidRPr="00211A8A" w:rsidRDefault="00C1531C" w:rsidP="004D13BA">
      <w:pPr>
        <w:pStyle w:val="PageHeading"/>
      </w:pPr>
      <w:r w:rsidRPr="00211A8A">
        <w:br w:type="page"/>
      </w:r>
      <w:bookmarkStart w:id="0" w:name="_Toc478641111"/>
      <w:bookmarkStart w:id="1" w:name="Decision1"/>
      <w:bookmarkStart w:id="2" w:name="_Toc26759888"/>
      <w:bookmarkStart w:id="3" w:name="_Toc86200285"/>
      <w:bookmarkStart w:id="4" w:name="_Toc479171895"/>
      <w:r w:rsidRPr="00211A8A">
        <w:lastRenderedPageBreak/>
        <w:t>1. FÖRSLAG TILL EUROPAPARLAMENTETS BESLUT</w:t>
      </w:r>
      <w:bookmarkEnd w:id="0"/>
      <w:bookmarkEnd w:id="4"/>
    </w:p>
    <w:p w14:paraId="0180147A" w14:textId="77777777" w:rsidR="00E356E7" w:rsidRPr="00211A8A" w:rsidRDefault="00E356E7" w:rsidP="00E356E7">
      <w:pPr>
        <w:pStyle w:val="NormalBold"/>
      </w:pPr>
      <w:bookmarkStart w:id="5" w:name="DecisionTitle1"/>
      <w:bookmarkEnd w:id="1"/>
      <w:bookmarkEnd w:id="2"/>
      <w:bookmarkEnd w:id="3"/>
      <w:r w:rsidRPr="00211A8A">
        <w:t>om ansvarsfrihet för genomförandet av budgeten för Euratoms försörjningsbyrå för budgetåret 2015</w:t>
      </w:r>
    </w:p>
    <w:bookmarkEnd w:id="5"/>
    <w:p w14:paraId="299E2EDE" w14:textId="77777777" w:rsidR="00E356E7" w:rsidRPr="00211A8A" w:rsidRDefault="00E356E7" w:rsidP="00E356E7">
      <w:pPr>
        <w:pStyle w:val="Normal12Bold"/>
      </w:pPr>
      <w:r w:rsidRPr="00211A8A">
        <w:t>(2016/2183(DEC))</w:t>
      </w:r>
    </w:p>
    <w:p w14:paraId="3478BB02" w14:textId="77777777" w:rsidR="00E356E7" w:rsidRPr="00211A8A" w:rsidRDefault="00E356E7" w:rsidP="00E356E7">
      <w:pPr>
        <w:pStyle w:val="Normal12"/>
      </w:pPr>
      <w:r w:rsidRPr="00211A8A">
        <w:rPr>
          <w:i/>
        </w:rPr>
        <w:t>Europaparlamentet fattar detta beslut</w:t>
      </w:r>
    </w:p>
    <w:p w14:paraId="16AB038C" w14:textId="77777777" w:rsidR="00E356E7" w:rsidRPr="00211A8A" w:rsidRDefault="00E356E7" w:rsidP="00E356E7">
      <w:pPr>
        <w:pStyle w:val="Normal12Hanging"/>
      </w:pPr>
      <w:r w:rsidRPr="00211A8A">
        <w:t>–</w:t>
      </w:r>
      <w:r w:rsidRPr="00211A8A">
        <w:tab/>
        <w:t>med beaktande av den slutliga årsredovisningen för Euratoms försörjningsbyrå för budgetåret 2015,</w:t>
      </w:r>
      <w:bookmarkStart w:id="6" w:name="_GoBack"/>
      <w:bookmarkEnd w:id="6"/>
    </w:p>
    <w:p w14:paraId="39B3DC74" w14:textId="77777777" w:rsidR="00E356E7" w:rsidRPr="00211A8A" w:rsidRDefault="00E356E7" w:rsidP="00E356E7">
      <w:pPr>
        <w:pStyle w:val="Normal12Hanging"/>
      </w:pPr>
      <w:r w:rsidRPr="00211A8A">
        <w:t>–</w:t>
      </w:r>
      <w:r w:rsidRPr="00211A8A">
        <w:tab/>
        <w:t>med beaktande av revisionsrättens rapport om den slutliga årsredovisningen för Euratoms försörjningsbyrå för budgetåret 2015, med byråns svar</w:t>
      </w:r>
      <w:r w:rsidRPr="00211A8A">
        <w:rPr>
          <w:rStyle w:val="FootnoteReference"/>
        </w:rPr>
        <w:footnoteReference w:id="1"/>
      </w:r>
      <w:r w:rsidRPr="00211A8A">
        <w:t>,</w:t>
      </w:r>
    </w:p>
    <w:p w14:paraId="441D0E04" w14:textId="77777777" w:rsidR="00E356E7" w:rsidRPr="00211A8A" w:rsidRDefault="00E356E7" w:rsidP="00E356E7">
      <w:pPr>
        <w:pStyle w:val="Normal12Hanging"/>
      </w:pPr>
      <w:r w:rsidRPr="00211A8A">
        <w:t>–</w:t>
      </w:r>
      <w:r w:rsidRPr="00211A8A">
        <w:tab/>
        <w:t>med beaktande av förklaringen om räkenskapernas tillförlitlighet</w:t>
      </w:r>
      <w:r w:rsidRPr="00211A8A">
        <w:rPr>
          <w:rStyle w:val="FootnoteReference"/>
        </w:rPr>
        <w:footnoteReference w:id="2"/>
      </w:r>
      <w:r w:rsidRPr="00211A8A">
        <w:t xml:space="preserve"> och de underliggande transaktionernas laglighet och korrekthet, som avgetts av revisionsrätten för budgetåret 2015 i enlighet med artikel 287 i fördraget om Europeiska unionens funktionssätt,</w:t>
      </w:r>
    </w:p>
    <w:p w14:paraId="29AF96B5" w14:textId="7B2E18EB" w:rsidR="00E356E7" w:rsidRPr="00211A8A" w:rsidRDefault="00E356E7" w:rsidP="00E356E7">
      <w:pPr>
        <w:pStyle w:val="Normal12Hanging"/>
      </w:pPr>
      <w:r w:rsidRPr="00211A8A">
        <w:t>–</w:t>
      </w:r>
      <w:r w:rsidRPr="00211A8A">
        <w:tab/>
        <w:t>med beaktande av rådets rekommendation av den 21 februari 2017 om att bevilja byrån ansvarsfrihet för genomförandet av budgeten för budgetåret 2015 (05873/2017 – C8-0069/2017),</w:t>
      </w:r>
    </w:p>
    <w:p w14:paraId="50355CC5" w14:textId="77777777" w:rsidR="00E356E7" w:rsidRPr="00211A8A" w:rsidRDefault="00E356E7" w:rsidP="00E356E7">
      <w:pPr>
        <w:pStyle w:val="Normal12Hanging"/>
      </w:pPr>
      <w:r w:rsidRPr="00211A8A">
        <w:t>–</w:t>
      </w:r>
      <w:r w:rsidRPr="00211A8A">
        <w:tab/>
        <w:t>med beaktande av artikel 319 i fördraget om Europeiska unionens funktionssätt,</w:t>
      </w:r>
    </w:p>
    <w:p w14:paraId="2A34C231" w14:textId="77777777" w:rsidR="00E356E7" w:rsidRPr="00211A8A" w:rsidRDefault="00E356E7" w:rsidP="00E356E7">
      <w:pPr>
        <w:pStyle w:val="Normal12Hanging"/>
      </w:pPr>
      <w:r w:rsidRPr="00211A8A">
        <w:t>–</w:t>
      </w:r>
      <w:r w:rsidRPr="00211A8A">
        <w:tab/>
        <w:t>med beaktande av artikel 106a i fördraget om upprättandet av Europeiska atomenergigemenskapen,</w:t>
      </w:r>
    </w:p>
    <w:p w14:paraId="450A965C" w14:textId="77777777" w:rsidR="00E356E7" w:rsidRPr="00211A8A" w:rsidRDefault="00E356E7" w:rsidP="00E356E7">
      <w:pPr>
        <w:pStyle w:val="Normal12Hanging"/>
      </w:pPr>
      <w:r w:rsidRPr="00211A8A">
        <w:t>–</w:t>
      </w:r>
      <w:r w:rsidRPr="00211A8A">
        <w:tab/>
        <w:t>med beaktande av Europaparlamentets och rådets förordning (EU, Euratom) nr 966/2012 av den 25 oktober 2012 om finansiella regler för unionens allmänna budget och om upphävande av rådets förordning (EG, Euratom) nr 1605/2002</w:t>
      </w:r>
      <w:r w:rsidRPr="00211A8A">
        <w:rPr>
          <w:rStyle w:val="FootnoteReference"/>
        </w:rPr>
        <w:footnoteReference w:id="3"/>
      </w:r>
      <w:r w:rsidRPr="00211A8A">
        <w:t>, särskilt artikel 1.2,</w:t>
      </w:r>
    </w:p>
    <w:p w14:paraId="423728FB" w14:textId="77777777" w:rsidR="00E356E7" w:rsidRPr="00211A8A" w:rsidRDefault="00E356E7" w:rsidP="00E356E7">
      <w:pPr>
        <w:pStyle w:val="Normal12Hanging"/>
      </w:pPr>
      <w:r w:rsidRPr="00211A8A">
        <w:t>–</w:t>
      </w:r>
      <w:r w:rsidRPr="00211A8A">
        <w:tab/>
        <w:t>med beaktande av rådets beslut 2008/114/EG, Euratom av den 12 februari 2008 om stadgar för Euratoms försörjningsbyrå</w:t>
      </w:r>
      <w:r w:rsidRPr="00211A8A">
        <w:rPr>
          <w:rStyle w:val="FootnoteReference"/>
        </w:rPr>
        <w:footnoteReference w:id="4"/>
      </w:r>
      <w:r w:rsidRPr="00211A8A">
        <w:t>, särskilt artikel 8 i bilagan till detta,</w:t>
      </w:r>
    </w:p>
    <w:p w14:paraId="592BEBB1" w14:textId="77777777" w:rsidR="00E356E7" w:rsidRPr="00211A8A" w:rsidRDefault="00E356E7" w:rsidP="00E356E7">
      <w:pPr>
        <w:pStyle w:val="Normal12Hanging"/>
      </w:pPr>
      <w:r w:rsidRPr="00211A8A">
        <w:t>–</w:t>
      </w:r>
      <w:r w:rsidRPr="00211A8A">
        <w:tab/>
        <w:t>med beaktande av artikel 94 och bilaga IV i arbetsordningen,</w:t>
      </w:r>
    </w:p>
    <w:p w14:paraId="04FDBC39" w14:textId="11D3EE3C" w:rsidR="00E356E7" w:rsidRPr="00211A8A" w:rsidRDefault="00E356E7" w:rsidP="00E356E7">
      <w:pPr>
        <w:pStyle w:val="Normal12Hanging"/>
      </w:pPr>
      <w:r w:rsidRPr="00211A8A">
        <w:t>–</w:t>
      </w:r>
      <w:r w:rsidRPr="00211A8A">
        <w:tab/>
        <w:t>med beaktande av betänkandet från budgetkontrollutskottet (A8-0126/2017).</w:t>
      </w:r>
    </w:p>
    <w:p w14:paraId="548D72BA" w14:textId="77777777" w:rsidR="00BE0360" w:rsidRPr="00211A8A" w:rsidRDefault="00BE0360" w:rsidP="00BE0360">
      <w:pPr>
        <w:pStyle w:val="Normal12Hanging"/>
      </w:pPr>
      <w:r w:rsidRPr="00211A8A">
        <w:t>1.</w:t>
      </w:r>
      <w:r w:rsidRPr="00211A8A">
        <w:tab/>
        <w:t>Europaparlamentet beviljar generaldirektören för Euratoms försörjningsbyrå ansvarsfrihet för genomförandet av byråns budget för budgetåret 2015.</w:t>
      </w:r>
    </w:p>
    <w:p w14:paraId="1A4F1268" w14:textId="77777777" w:rsidR="00E356E7" w:rsidRPr="00211A8A" w:rsidRDefault="00E356E7" w:rsidP="00E356E7">
      <w:pPr>
        <w:pStyle w:val="Normal12Hanging"/>
      </w:pPr>
      <w:r w:rsidRPr="00211A8A">
        <w:t>2.</w:t>
      </w:r>
      <w:r w:rsidRPr="00211A8A">
        <w:tab/>
        <w:t>Europaparlamentet redovisar sina iakttagelser i resolutionen nedan.</w:t>
      </w:r>
    </w:p>
    <w:p w14:paraId="6681DF65" w14:textId="77777777" w:rsidR="00E356E7" w:rsidRPr="00211A8A" w:rsidRDefault="00E356E7" w:rsidP="00E356E7">
      <w:pPr>
        <w:pStyle w:val="Normal12Hanging"/>
      </w:pPr>
      <w:r w:rsidRPr="00211A8A">
        <w:t>3.</w:t>
      </w:r>
      <w:r w:rsidRPr="00211A8A">
        <w:tab/>
        <w:t xml:space="preserve">Europaparlamentet uppdrar åt talmannen att översända detta beslut och den resolution som utgör en del av beslutet till generaldirektören för Euratoms försörjningsbyrå, rådet, </w:t>
      </w:r>
      <w:r w:rsidRPr="00211A8A">
        <w:lastRenderedPageBreak/>
        <w:t xml:space="preserve">kommissionen och revisionsrätten samt att se till att de offentliggörs i </w:t>
      </w:r>
      <w:r w:rsidRPr="00211A8A">
        <w:rPr>
          <w:i/>
        </w:rPr>
        <w:t>Europeiska unionens officiella tidning</w:t>
      </w:r>
      <w:r w:rsidRPr="00211A8A">
        <w:t xml:space="preserve"> (L-serien).</w:t>
      </w:r>
    </w:p>
    <w:p w14:paraId="1F6407B3" w14:textId="77777777" w:rsidR="00E356E7" w:rsidRPr="00211A8A" w:rsidRDefault="00E356E7" w:rsidP="00E356E7">
      <w:pPr>
        <w:pStyle w:val="PageHeading"/>
      </w:pPr>
      <w:r w:rsidRPr="00211A8A">
        <w:br w:type="page"/>
      </w:r>
      <w:bookmarkStart w:id="7" w:name="_Toc478641112"/>
      <w:bookmarkStart w:id="8" w:name="Decision2"/>
      <w:bookmarkStart w:id="9" w:name="_Toc479171896"/>
      <w:r w:rsidRPr="00211A8A">
        <w:lastRenderedPageBreak/>
        <w:t>2. FÖRSLAG TILL EUROPAPARLAMENTETS BESLUT</w:t>
      </w:r>
      <w:bookmarkEnd w:id="7"/>
      <w:bookmarkEnd w:id="9"/>
    </w:p>
    <w:p w14:paraId="5B8827FB" w14:textId="77777777" w:rsidR="00E356E7" w:rsidRPr="00211A8A" w:rsidRDefault="00E356E7" w:rsidP="00E356E7">
      <w:pPr>
        <w:pStyle w:val="NormalBold"/>
      </w:pPr>
      <w:bookmarkStart w:id="10" w:name="DecisionTitle2"/>
      <w:bookmarkEnd w:id="8"/>
      <w:r w:rsidRPr="00211A8A">
        <w:t>om avslutande av räkenskaperna för Euratoms försörjningsbyrå för budgetåret 2015</w:t>
      </w:r>
    </w:p>
    <w:bookmarkEnd w:id="10"/>
    <w:p w14:paraId="1172ACBE" w14:textId="77777777" w:rsidR="00E356E7" w:rsidRPr="00211A8A" w:rsidRDefault="00E356E7" w:rsidP="00E356E7">
      <w:pPr>
        <w:pStyle w:val="Normal12Bold"/>
      </w:pPr>
      <w:r w:rsidRPr="00211A8A">
        <w:t>(2016/2183(DEC))</w:t>
      </w:r>
    </w:p>
    <w:p w14:paraId="77599F5B" w14:textId="77777777" w:rsidR="00E356E7" w:rsidRPr="00211A8A" w:rsidRDefault="00E356E7" w:rsidP="00E356E7">
      <w:pPr>
        <w:pStyle w:val="Normal12"/>
      </w:pPr>
      <w:r w:rsidRPr="00211A8A">
        <w:rPr>
          <w:i/>
        </w:rPr>
        <w:t>Europaparlamentet fattar detta beslut</w:t>
      </w:r>
    </w:p>
    <w:p w14:paraId="444357F3" w14:textId="77777777" w:rsidR="00E356E7" w:rsidRPr="00211A8A" w:rsidRDefault="00E356E7" w:rsidP="00E356E7">
      <w:pPr>
        <w:pStyle w:val="Normal12Hanging"/>
      </w:pPr>
      <w:r w:rsidRPr="00211A8A">
        <w:t>–</w:t>
      </w:r>
      <w:r w:rsidRPr="00211A8A">
        <w:tab/>
        <w:t>med beaktande av den slutliga årsredovisningen för Euratoms försörjningsbyrå för budgetåret 2015,</w:t>
      </w:r>
    </w:p>
    <w:p w14:paraId="6691E2B6" w14:textId="77777777" w:rsidR="00E356E7" w:rsidRPr="00211A8A" w:rsidRDefault="00E356E7" w:rsidP="00E356E7">
      <w:pPr>
        <w:pStyle w:val="Normal12Hanging"/>
      </w:pPr>
      <w:r w:rsidRPr="00211A8A">
        <w:t>–</w:t>
      </w:r>
      <w:r w:rsidRPr="00211A8A">
        <w:tab/>
        <w:t>med beaktande av revisionsrättens rapport om den slutliga årsredovisningen för Euratoms försörjningsbyrå för budgetåret 2015, med byråns svar</w:t>
      </w:r>
      <w:r w:rsidRPr="00211A8A">
        <w:rPr>
          <w:rStyle w:val="FootnoteReference"/>
        </w:rPr>
        <w:footnoteReference w:id="5"/>
      </w:r>
      <w:r w:rsidRPr="00211A8A">
        <w:t>,</w:t>
      </w:r>
    </w:p>
    <w:p w14:paraId="05B34D5E" w14:textId="77777777" w:rsidR="00E356E7" w:rsidRPr="00211A8A" w:rsidRDefault="00E356E7" w:rsidP="00E356E7">
      <w:pPr>
        <w:pStyle w:val="Normal12Hanging"/>
      </w:pPr>
      <w:r w:rsidRPr="00211A8A">
        <w:t>–</w:t>
      </w:r>
      <w:r w:rsidRPr="00211A8A">
        <w:tab/>
        <w:t>med beaktande av förklaringen om räkenskapernas tillförlitlighet</w:t>
      </w:r>
      <w:r w:rsidRPr="00211A8A">
        <w:rPr>
          <w:rStyle w:val="FootnoteReference"/>
        </w:rPr>
        <w:footnoteReference w:id="6"/>
      </w:r>
      <w:r w:rsidRPr="00211A8A">
        <w:t xml:space="preserve"> och de underliggande transaktionernas laglighet och korrekthet, som avgetts av revisionsrätten för budgetåret 2015 i enlighet med artikel 287 i fördraget om Europeiska unionens funktionssätt,</w:t>
      </w:r>
    </w:p>
    <w:p w14:paraId="4AABBC2E" w14:textId="2182B4DF" w:rsidR="00E356E7" w:rsidRPr="00211A8A" w:rsidRDefault="00E356E7" w:rsidP="00E356E7">
      <w:pPr>
        <w:pStyle w:val="Normal12Hanging"/>
      </w:pPr>
      <w:r w:rsidRPr="00211A8A">
        <w:t>–</w:t>
      </w:r>
      <w:r w:rsidRPr="00211A8A">
        <w:tab/>
        <w:t>med beaktande av rådets rekommendation av den 21 februari 2017 om att bevilja byrån ansvarsfrihet för genomförandet av budgeten för budgetåret 2015 (05873/2017 – C8-0069/2017),</w:t>
      </w:r>
    </w:p>
    <w:p w14:paraId="395F10EB" w14:textId="77777777" w:rsidR="00E356E7" w:rsidRPr="00211A8A" w:rsidRDefault="00E356E7" w:rsidP="00E356E7">
      <w:pPr>
        <w:pStyle w:val="Normal12Hanging"/>
      </w:pPr>
      <w:r w:rsidRPr="00211A8A">
        <w:t>–</w:t>
      </w:r>
      <w:r w:rsidRPr="00211A8A">
        <w:tab/>
        <w:t>med beaktande av artikel 319 i fördraget om Europeiska unionens funktionssätt,</w:t>
      </w:r>
    </w:p>
    <w:p w14:paraId="0F18E9E8" w14:textId="77777777" w:rsidR="00E356E7" w:rsidRPr="00211A8A" w:rsidRDefault="00E356E7" w:rsidP="00E356E7">
      <w:pPr>
        <w:pStyle w:val="Normal12Hanging"/>
      </w:pPr>
      <w:r w:rsidRPr="00211A8A">
        <w:t>–</w:t>
      </w:r>
      <w:r w:rsidRPr="00211A8A">
        <w:tab/>
        <w:t>med beaktande av artikel 106a i fördraget om upprättandet av Europeiska atomenergigemenskapen,</w:t>
      </w:r>
    </w:p>
    <w:p w14:paraId="49D21749" w14:textId="77777777" w:rsidR="00E356E7" w:rsidRPr="00211A8A" w:rsidRDefault="00E356E7" w:rsidP="00E356E7">
      <w:pPr>
        <w:pStyle w:val="Normal12Hanging"/>
      </w:pPr>
      <w:r w:rsidRPr="00211A8A">
        <w:t>–</w:t>
      </w:r>
      <w:r w:rsidRPr="00211A8A">
        <w:tab/>
        <w:t>med beaktande av Europaparlamentets och rådets förordning (EU, Euratom) nr 966/2012 av den 25 oktober 2012 om finansiella regler för unionens allmänna budget och om upphävande av rådets förordning (EG, Euratom) nr 1605/2002</w:t>
      </w:r>
      <w:r w:rsidRPr="00211A8A">
        <w:rPr>
          <w:rStyle w:val="FootnoteReference"/>
        </w:rPr>
        <w:footnoteReference w:id="7"/>
      </w:r>
      <w:r w:rsidRPr="00211A8A">
        <w:t>, särskilt artikel 1.2,</w:t>
      </w:r>
    </w:p>
    <w:p w14:paraId="1BD43997" w14:textId="77777777" w:rsidR="00E356E7" w:rsidRPr="00211A8A" w:rsidRDefault="00E356E7" w:rsidP="00E356E7">
      <w:pPr>
        <w:pStyle w:val="Normal12Hanging"/>
      </w:pPr>
      <w:r w:rsidRPr="00211A8A">
        <w:t>–</w:t>
      </w:r>
      <w:r w:rsidRPr="00211A8A">
        <w:tab/>
        <w:t>med beaktande av rådets beslut 2008/114/EG, Euratom av den 12 februari 2008 om stadgar för Euratoms försörjningsbyrå</w:t>
      </w:r>
      <w:r w:rsidRPr="00211A8A">
        <w:rPr>
          <w:rStyle w:val="FootnoteReference"/>
        </w:rPr>
        <w:footnoteReference w:id="8"/>
      </w:r>
      <w:r w:rsidRPr="00211A8A">
        <w:t>, särskilt artikel 8 i bilagan till detta,</w:t>
      </w:r>
    </w:p>
    <w:p w14:paraId="37B2292D" w14:textId="77777777" w:rsidR="00E356E7" w:rsidRPr="00211A8A" w:rsidRDefault="00E356E7" w:rsidP="00E356E7">
      <w:pPr>
        <w:pStyle w:val="Normal12Hanging"/>
      </w:pPr>
      <w:r w:rsidRPr="00211A8A">
        <w:t>–</w:t>
      </w:r>
      <w:r w:rsidRPr="00211A8A">
        <w:tab/>
        <w:t>med beaktande av artikel 94 och bilaga IV i arbetsordningen,</w:t>
      </w:r>
    </w:p>
    <w:p w14:paraId="48E27C96" w14:textId="01DAAFA3" w:rsidR="00E356E7" w:rsidRPr="00211A8A" w:rsidRDefault="00E356E7" w:rsidP="00E356E7">
      <w:pPr>
        <w:pStyle w:val="Normal12Hanging"/>
      </w:pPr>
      <w:r w:rsidRPr="00211A8A">
        <w:t>–</w:t>
      </w:r>
      <w:r w:rsidRPr="00211A8A">
        <w:tab/>
        <w:t>med beaktande av betänkandet från budgetkontrollutskottet (A8-0126/2017).</w:t>
      </w:r>
    </w:p>
    <w:p w14:paraId="068D337C" w14:textId="77777777" w:rsidR="00BE0360" w:rsidRPr="00211A8A" w:rsidRDefault="00BE0360" w:rsidP="00BE0360">
      <w:pPr>
        <w:pStyle w:val="Normal12Hanging"/>
      </w:pPr>
      <w:r w:rsidRPr="00211A8A">
        <w:t>1.</w:t>
      </w:r>
      <w:r w:rsidRPr="00211A8A">
        <w:tab/>
        <w:t>Europaparlamentet godkänner avslutandet av räkenskaperna för Euratoms försörjningsbyrå för budgetåret 2015.</w:t>
      </w:r>
    </w:p>
    <w:p w14:paraId="2AB1F870" w14:textId="77777777" w:rsidR="00E356E7" w:rsidRPr="00211A8A" w:rsidRDefault="00E356E7" w:rsidP="00E356E7">
      <w:pPr>
        <w:pStyle w:val="Normal12Hanging"/>
      </w:pPr>
      <w:r w:rsidRPr="00211A8A">
        <w:t>2.</w:t>
      </w:r>
      <w:r w:rsidRPr="00211A8A">
        <w:tab/>
        <w:t xml:space="preserve">Europaparlamentet uppdrar åt talmannen att översända detta beslut till generaldirektören för Euratoms försörjningsbyrå, rådet, kommissionen och revisionsrätten samt att se till att det offentliggörs i </w:t>
      </w:r>
      <w:r w:rsidRPr="00211A8A">
        <w:rPr>
          <w:i/>
        </w:rPr>
        <w:t>Europeiska unionens officiella tidning</w:t>
      </w:r>
      <w:r w:rsidRPr="00211A8A">
        <w:t xml:space="preserve"> (L serien).</w:t>
      </w:r>
    </w:p>
    <w:p w14:paraId="0894ABEB" w14:textId="77777777" w:rsidR="00E356E7" w:rsidRPr="00211A8A" w:rsidRDefault="00E356E7" w:rsidP="00E356E7">
      <w:pPr>
        <w:pStyle w:val="PageHeading"/>
      </w:pPr>
      <w:r w:rsidRPr="00211A8A">
        <w:br w:type="page"/>
      </w:r>
      <w:bookmarkStart w:id="11" w:name="_Toc478641113"/>
      <w:bookmarkStart w:id="12" w:name="Resolution"/>
      <w:bookmarkStart w:id="13" w:name="_Toc479171897"/>
      <w:r w:rsidRPr="00211A8A">
        <w:lastRenderedPageBreak/>
        <w:t>3. FÖRSLAG TILL EUROPAPARLAMENTETS RESOLUTION</w:t>
      </w:r>
      <w:bookmarkEnd w:id="11"/>
      <w:bookmarkEnd w:id="13"/>
    </w:p>
    <w:p w14:paraId="4A9417EF" w14:textId="77777777" w:rsidR="00E356E7" w:rsidRPr="00211A8A" w:rsidRDefault="00E356E7" w:rsidP="00E356E7">
      <w:pPr>
        <w:pStyle w:val="NormalBold"/>
      </w:pPr>
      <w:bookmarkStart w:id="14" w:name="ResolutionTitle"/>
      <w:bookmarkEnd w:id="12"/>
      <w:r w:rsidRPr="00211A8A">
        <w:t>med de iakttagelser som utgör en del av beslutet om ansvarsfrihet för genomförandet av budgeten för Euratoms försörjningsbyrå för budgetåret 2015</w:t>
      </w:r>
    </w:p>
    <w:bookmarkEnd w:id="14"/>
    <w:p w14:paraId="2E670331" w14:textId="77777777" w:rsidR="00E356E7" w:rsidRPr="00211A8A" w:rsidRDefault="00E356E7" w:rsidP="00E356E7">
      <w:pPr>
        <w:pStyle w:val="Normal12Bold"/>
      </w:pPr>
      <w:r w:rsidRPr="00211A8A">
        <w:t>(2016/2183(DEC))</w:t>
      </w:r>
    </w:p>
    <w:p w14:paraId="057BC808" w14:textId="77777777" w:rsidR="004C3287" w:rsidRPr="00211A8A" w:rsidRDefault="004C3287" w:rsidP="004C3287">
      <w:pPr>
        <w:pStyle w:val="Normal12"/>
      </w:pPr>
      <w:r w:rsidRPr="00211A8A">
        <w:rPr>
          <w:i/>
        </w:rPr>
        <w:t>Europaparlamentet utfärdar denna resolution</w:t>
      </w:r>
    </w:p>
    <w:p w14:paraId="78B58EFA" w14:textId="77777777" w:rsidR="004C3287" w:rsidRPr="00211A8A" w:rsidRDefault="004C3287" w:rsidP="004C3287">
      <w:pPr>
        <w:pStyle w:val="Normal12Hanging"/>
      </w:pPr>
      <w:r w:rsidRPr="00211A8A">
        <w:t>–</w:t>
      </w:r>
      <w:r w:rsidRPr="00211A8A">
        <w:tab/>
        <w:t>med beaktande av sitt beslut om ansvarsfrihet för genomförandet av budgeten för Euratoms försörjningsbyrå</w:t>
      </w:r>
      <w:bookmarkStart w:id="15" w:name="DocEPTmp2"/>
      <w:bookmarkEnd w:id="15"/>
      <w:r w:rsidRPr="00211A8A">
        <w:t xml:space="preserve"> för budgetåret 2015,</w:t>
      </w:r>
    </w:p>
    <w:p w14:paraId="683B163D" w14:textId="77777777" w:rsidR="004C3287" w:rsidRPr="00211A8A" w:rsidRDefault="004C3287" w:rsidP="004C3287">
      <w:pPr>
        <w:pStyle w:val="Normal12Hanging"/>
      </w:pPr>
      <w:r w:rsidRPr="00211A8A">
        <w:t>–</w:t>
      </w:r>
      <w:r w:rsidRPr="00211A8A">
        <w:tab/>
        <w:t>med beaktande av artikel 94 och bilaga IV i arbetsordningen,</w:t>
      </w:r>
    </w:p>
    <w:p w14:paraId="3DD10118" w14:textId="7494F019" w:rsidR="004C3287" w:rsidRPr="00211A8A" w:rsidRDefault="004C3287" w:rsidP="004C3287">
      <w:pPr>
        <w:pStyle w:val="Normal12Hanging"/>
      </w:pPr>
      <w:r w:rsidRPr="00211A8A">
        <w:t>–</w:t>
      </w:r>
      <w:r w:rsidRPr="00211A8A">
        <w:tab/>
        <w:t>med beaktande av betänkandet från budgetkontrollutskottet (A8-0126/2017), och av följande skäl:</w:t>
      </w:r>
    </w:p>
    <w:p w14:paraId="1623D4E1" w14:textId="77777777" w:rsidR="004C3287" w:rsidRPr="00211A8A" w:rsidRDefault="004C3287" w:rsidP="004C3287">
      <w:pPr>
        <w:pStyle w:val="Normal12Hanging"/>
      </w:pPr>
      <w:r w:rsidRPr="00211A8A">
        <w:t>A.</w:t>
      </w:r>
      <w:r w:rsidRPr="00211A8A">
        <w:tab/>
        <w:t xml:space="preserve">Enligt redovisningen för Euratoms försörjningsbyrå (nedan kallad </w:t>
      </w:r>
      <w:r w:rsidRPr="00211A8A">
        <w:rPr>
          <w:i/>
        </w:rPr>
        <w:t>byrån</w:t>
      </w:r>
      <w:r w:rsidRPr="00211A8A">
        <w:t>) uppgick den slutliga budgeten för budgetåret 2015 till 125 000 EUR, vilket utgör en ökning med 20,19 % jämfört med 2014. 119 000 EUR (95,2 %) av byråns budget kommer från unionsbudgeten och 6 000 EUR (4,8 %) från dess egna inkomster (bankräntor på inbetalt kapital).</w:t>
      </w:r>
    </w:p>
    <w:p w14:paraId="77AA8970" w14:textId="19D3988C" w:rsidR="004C3287" w:rsidRPr="00211A8A" w:rsidRDefault="004C3287" w:rsidP="004C3287">
      <w:pPr>
        <w:pStyle w:val="Normal12Hanging"/>
      </w:pPr>
      <w:r w:rsidRPr="00211A8A">
        <w:t>B.</w:t>
      </w:r>
      <w:r w:rsidRPr="00211A8A">
        <w:tab/>
        <w:t>I sin rapport om byråns årsredovisning för budgetåret 2015 förklarade revisionsrätten att man hade uppnått rimlig säkerhet om att byråns årsredovisning för budgetåret 2015 var tillförlitlig och att de underliggande transaktionerna var lagliga och korrekta.</w:t>
      </w:r>
    </w:p>
    <w:p w14:paraId="700F3FC9" w14:textId="42E325D9" w:rsidR="004C3287" w:rsidRPr="00211A8A" w:rsidRDefault="004C3287" w:rsidP="004C3287">
      <w:pPr>
        <w:pStyle w:val="Normal12Hanging"/>
      </w:pPr>
      <w:r w:rsidRPr="00211A8A">
        <w:t>C.</w:t>
      </w:r>
      <w:r w:rsidRPr="00211A8A">
        <w:tab/>
        <w:t>Den ansvarsfrihetsbeviljande myndigheten betonar att det inom ramen för förfarandet för beviljande av ansvarsfrihet är särskilt viktigt att ytterligare stärka EU-institutionernas demokratiska legitimitet genom ökad transparens och ansvarsskyldighet, införandet av begreppet resultatbaserad budgetering och en god förvaltning av personalresurser.</w:t>
      </w:r>
    </w:p>
    <w:p w14:paraId="140F06A5" w14:textId="77777777" w:rsidR="004C3287" w:rsidRPr="00211A8A" w:rsidRDefault="004C3287" w:rsidP="004C3287">
      <w:pPr>
        <w:pStyle w:val="Normal12Hanging"/>
        <w:rPr>
          <w:b/>
          <w:i/>
        </w:rPr>
      </w:pPr>
      <w:r w:rsidRPr="00211A8A">
        <w:rPr>
          <w:b/>
          <w:i/>
        </w:rPr>
        <w:t>Budgetförvaltning och ekonomisk förvaltning</w:t>
      </w:r>
    </w:p>
    <w:p w14:paraId="5A0887EB" w14:textId="62041E2F" w:rsidR="004C3287" w:rsidRPr="00211A8A" w:rsidRDefault="004C3287" w:rsidP="004C3287">
      <w:pPr>
        <w:pStyle w:val="Normal12Hanging"/>
      </w:pPr>
      <w:r w:rsidRPr="00211A8A">
        <w:t>1.</w:t>
      </w:r>
      <w:r w:rsidRPr="00211A8A">
        <w:tab/>
        <w:t>Europaparlamentet noterar att insatser för uppföljning av budgeten under budgetåret 2015 resulterade i ett budgetgenomförande på 98,92 %, vi</w:t>
      </w:r>
      <w:r w:rsidR="00AB316E">
        <w:t>lket innebär en ökning med 7,84</w:t>
      </w:r>
      <w:r w:rsidRPr="00211A8A">
        <w:t xml:space="preserve"> % jämfört med 2014. Parlamentet noterar att genomförandegraden för betalningsbemyndigandena var 62,86 %, vilket </w:t>
      </w:r>
      <w:r w:rsidR="00AB316E">
        <w:t>innebär en minskning med 18,27 </w:t>
      </w:r>
      <w:r w:rsidRPr="00211A8A">
        <w:t>% jämfört med 2014. Parlamentet uppmanar bestämt byrån att i största möjliga utsträckning respektera principen om budgetens ettårighet i framtiden.</w:t>
      </w:r>
    </w:p>
    <w:p w14:paraId="14531E76" w14:textId="4AA85661" w:rsidR="004C3287" w:rsidRPr="00211A8A" w:rsidRDefault="004C3287" w:rsidP="004C3287">
      <w:pPr>
        <w:pStyle w:val="Normal12Hanging"/>
      </w:pPr>
      <w:r w:rsidRPr="00211A8A">
        <w:t>2.</w:t>
      </w:r>
      <w:r w:rsidRPr="00211A8A">
        <w:tab/>
        <w:t>Europaparlamentet noterar i revisionsrättens rapport att andelen överföringar av gjorda åtaganden inom avdelning II (administrativa utgifter) var 41 482 EUR (50,5 %), jämfört med 8 970 EUR år 2014 (14,9 %). Parlamentet noterar på basis av byråns uppgifter att överföringarna gälld</w:t>
      </w:r>
      <w:r w:rsidR="00AB316E">
        <w:t xml:space="preserve">e inköp av hårdvara för it och </w:t>
      </w:r>
      <w:r w:rsidRPr="00211A8A">
        <w:t>konsulttjänster som beställdes fjärde kvartalet 2015 och förlängdes efter kalenderåret, främst på grund av att beslutet om huruvida det var möjligt att använda ramavtalen för GD Informationsteknik eller inte blev försenat.</w:t>
      </w:r>
    </w:p>
    <w:p w14:paraId="53C45169" w14:textId="77777777" w:rsidR="004C3287" w:rsidRPr="00211A8A" w:rsidRDefault="004C3287" w:rsidP="00AB316E">
      <w:pPr>
        <w:pStyle w:val="Normal12Hanging"/>
        <w:keepNext/>
        <w:widowControl/>
        <w:rPr>
          <w:b/>
          <w:i/>
          <w:szCs w:val="24"/>
        </w:rPr>
      </w:pPr>
      <w:r w:rsidRPr="00211A8A">
        <w:rPr>
          <w:b/>
          <w:i/>
        </w:rPr>
        <w:lastRenderedPageBreak/>
        <w:t>Upphandlings- och rekryteringsförfaranden</w:t>
      </w:r>
    </w:p>
    <w:p w14:paraId="2D73F9FE" w14:textId="7B87192A" w:rsidR="004C3287" w:rsidRPr="00211A8A" w:rsidRDefault="004C3287" w:rsidP="00AB316E">
      <w:pPr>
        <w:pStyle w:val="Normal12Hanging"/>
        <w:keepNext/>
        <w:widowControl/>
      </w:pPr>
      <w:r w:rsidRPr="00211A8A">
        <w:t>3.</w:t>
      </w:r>
      <w:r w:rsidRPr="00211A8A">
        <w:tab/>
        <w:t>Europaparlamentet noterar att byrån hade 17 anställda i slutet av 2015, vilka alla var tjänstemän vid kommissionen. Parlamentet noterar vidare att tjänsten som kontraktsanställd inte tillsattes efter det att innehavaren av tjänsten sade upp sig.</w:t>
      </w:r>
    </w:p>
    <w:p w14:paraId="554A5EBD" w14:textId="77777777" w:rsidR="004C3287" w:rsidRPr="00211A8A" w:rsidRDefault="004C3287" w:rsidP="004C3287">
      <w:pPr>
        <w:pStyle w:val="Normal12Hanging"/>
        <w:rPr>
          <w:b/>
          <w:i/>
        </w:rPr>
      </w:pPr>
      <w:r w:rsidRPr="00211A8A">
        <w:rPr>
          <w:b/>
          <w:i/>
        </w:rPr>
        <w:t>Övriga kommentarer</w:t>
      </w:r>
    </w:p>
    <w:p w14:paraId="21214DDB" w14:textId="0FF43792" w:rsidR="004C3287" w:rsidRPr="00211A8A" w:rsidRDefault="004C3287" w:rsidP="004C3287">
      <w:pPr>
        <w:pStyle w:val="Normal12Hanging"/>
      </w:pPr>
      <w:r w:rsidRPr="00211A8A">
        <w:t>4.</w:t>
      </w:r>
      <w:r w:rsidRPr="00211A8A">
        <w:tab/>
        <w:t>Europaparlamentet noterar på basis av byråns uppgifter att den 2015 hanterade 375 transaktioner, däribland kontrakt, ändringar och underrättelser om verksamhet som föregår elproduktion från kärnkraft i syfte att säkerställa försörjningstrygghet i fråga om kärnmaterial.</w:t>
      </w:r>
    </w:p>
    <w:p w14:paraId="15B49231" w14:textId="270494D6" w:rsidR="004C3287" w:rsidRPr="00211A8A" w:rsidRDefault="004C3287" w:rsidP="004C3287">
      <w:pPr>
        <w:pStyle w:val="Normal12Hanging"/>
      </w:pPr>
      <w:r w:rsidRPr="00211A8A">
        <w:t>5.</w:t>
      </w:r>
      <w:r w:rsidRPr="00211A8A">
        <w:tab/>
        <w:t>Europaparlamentet noterar att byrån under 2015 utarbetade och lade fram inför sin rådgivande kommitté ett förslag till ändring av dess förordning i syfte att harmonisera den med aktuell marknadspraxis. Parlamentet noterar dessutom att om den antas blir detta den första omarbetningen av förordningen sedan 1975. Parlamentet uppmanar byrån att informera den ansvarsfrihetsbeviljande myndigheten om ändringen av dess förordning.</w:t>
      </w:r>
    </w:p>
    <w:p w14:paraId="4B592E27" w14:textId="77777777" w:rsidR="004C3287" w:rsidRPr="00211A8A" w:rsidRDefault="004C3287" w:rsidP="004C3287">
      <w:pPr>
        <w:pStyle w:val="Visa"/>
        <w:tabs>
          <w:tab w:val="clear" w:pos="357"/>
          <w:tab w:val="left" w:pos="567"/>
        </w:tabs>
        <w:ind w:left="567" w:hanging="567"/>
        <w:jc w:val="center"/>
      </w:pPr>
      <w:r w:rsidRPr="00211A8A">
        <w:t>°</w:t>
      </w:r>
    </w:p>
    <w:p w14:paraId="374C6B88" w14:textId="77777777" w:rsidR="004C3287" w:rsidRPr="00211A8A" w:rsidRDefault="004C3287" w:rsidP="004C3287">
      <w:pPr>
        <w:pStyle w:val="Visa"/>
        <w:tabs>
          <w:tab w:val="clear" w:pos="357"/>
          <w:tab w:val="left" w:pos="567"/>
        </w:tabs>
        <w:ind w:left="567" w:hanging="567"/>
        <w:jc w:val="center"/>
      </w:pPr>
      <w:r w:rsidRPr="00211A8A">
        <w:t>°</w:t>
      </w:r>
      <w:r w:rsidRPr="00211A8A">
        <w:tab/>
        <w:t>°</w:t>
      </w:r>
    </w:p>
    <w:p w14:paraId="09C60053" w14:textId="77777777" w:rsidR="004C3287" w:rsidRPr="00AB316E" w:rsidRDefault="004C3287" w:rsidP="004C3287">
      <w:pPr>
        <w:pStyle w:val="CM1"/>
        <w:ind w:left="567" w:hanging="567"/>
        <w:rPr>
          <w:rFonts w:ascii="Times New Roman" w:hAnsi="Times New Roman"/>
        </w:rPr>
      </w:pPr>
      <w:r w:rsidRPr="00AB316E">
        <w:rPr>
          <w:rFonts w:ascii="Times New Roman" w:hAnsi="Times New Roman"/>
        </w:rPr>
        <w:t>6.</w:t>
      </w:r>
      <w:r w:rsidRPr="00AB316E">
        <w:rPr>
          <w:rFonts w:ascii="Times New Roman" w:hAnsi="Times New Roman"/>
        </w:rPr>
        <w:tab/>
        <w:t>När det gäller andra övergripande iakttagelser som utgör en del av beslutet om ansvarsfrihet hänvisar Europaparlamentet till sin resolution av den [xx xxxx 2017]</w:t>
      </w:r>
      <w:r w:rsidRPr="00AB316E">
        <w:rPr>
          <w:rStyle w:val="FootnoteReference"/>
          <w:rFonts w:ascii="Times New Roman" w:hAnsi="Times New Roman"/>
        </w:rPr>
        <w:footnoteReference w:id="9"/>
      </w:r>
      <w:r w:rsidRPr="00AB316E">
        <w:rPr>
          <w:rFonts w:ascii="Times New Roman" w:hAnsi="Times New Roman"/>
        </w:rPr>
        <w:t xml:space="preserve"> [om byråernas verksamhetsresultat, ekonomiska förvaltning och kontroll].</w:t>
      </w:r>
    </w:p>
    <w:p w14:paraId="7291DB3E" w14:textId="10CBF847" w:rsidR="006450F5" w:rsidRPr="00211A8A" w:rsidRDefault="006450F5" w:rsidP="00CA44A5">
      <w:pPr>
        <w:pStyle w:val="PageHeading"/>
      </w:pPr>
      <w:r w:rsidRPr="00211A8A">
        <w:br w:type="page"/>
      </w:r>
    </w:p>
    <w:p w14:paraId="079C7269" w14:textId="205A54D4" w:rsidR="00CA44A5" w:rsidRPr="00211A8A" w:rsidRDefault="00CA44A5" w:rsidP="00CA44A5">
      <w:pPr>
        <w:pStyle w:val="PageHeading"/>
      </w:pPr>
      <w:bookmarkStart w:id="16" w:name="_Toc478641114"/>
      <w:bookmarkStart w:id="17" w:name="ProcPageRR"/>
      <w:bookmarkStart w:id="18" w:name="_Toc479171898"/>
      <w:r w:rsidRPr="00211A8A">
        <w:t>INFORMATION OM ANTAGANDET I DET ANSVARIGA UTSKOTTET</w:t>
      </w:r>
      <w:bookmarkEnd w:id="16"/>
      <w:bookmarkEnd w:id="1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A44A5" w:rsidRPr="00211A8A" w14:paraId="6686D96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7DDE7DC" w14:textId="77777777" w:rsidR="00CA44A5" w:rsidRPr="00211A8A" w:rsidRDefault="00CA44A5">
            <w:pPr>
              <w:autoSpaceDE w:val="0"/>
              <w:autoSpaceDN w:val="0"/>
              <w:adjustRightInd w:val="0"/>
              <w:rPr>
                <w:b/>
                <w:bCs/>
                <w:color w:val="000000"/>
                <w:sz w:val="20"/>
              </w:rPr>
            </w:pPr>
            <w:r w:rsidRPr="00211A8A">
              <w:rPr>
                <w:b/>
                <w:color w:val="000000"/>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714A1DD" w14:textId="77777777" w:rsidR="00CA44A5" w:rsidRPr="00211A8A" w:rsidRDefault="00CA44A5">
            <w:pPr>
              <w:autoSpaceDE w:val="0"/>
              <w:autoSpaceDN w:val="0"/>
              <w:adjustRightInd w:val="0"/>
              <w:rPr>
                <w:color w:val="000000"/>
                <w:sz w:val="20"/>
              </w:rPr>
            </w:pPr>
            <w:r w:rsidRPr="00211A8A">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9264F1" w14:textId="77777777" w:rsidR="00CA44A5" w:rsidRPr="00211A8A" w:rsidRDefault="00CA44A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373A3B" w14:textId="77777777" w:rsidR="00CA44A5" w:rsidRPr="00211A8A" w:rsidRDefault="00CA44A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C1CA9E" w14:textId="77777777" w:rsidR="00CA44A5" w:rsidRPr="00211A8A" w:rsidRDefault="00CA44A5">
            <w:pPr>
              <w:autoSpaceDE w:val="0"/>
              <w:autoSpaceDN w:val="0"/>
              <w:adjustRightInd w:val="0"/>
              <w:rPr>
                <w:rFonts w:ascii="sans-serif" w:hAnsi="sans-serif" w:cs="sans-serif"/>
                <w:color w:val="000000"/>
                <w:szCs w:val="24"/>
              </w:rPr>
            </w:pPr>
          </w:p>
        </w:tc>
      </w:tr>
      <w:tr w:rsidR="00CA44A5" w:rsidRPr="00211A8A" w14:paraId="2252847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50161E" w14:textId="77777777" w:rsidR="00CA44A5" w:rsidRPr="00211A8A" w:rsidRDefault="00CA44A5">
            <w:pPr>
              <w:autoSpaceDE w:val="0"/>
              <w:autoSpaceDN w:val="0"/>
              <w:adjustRightInd w:val="0"/>
              <w:rPr>
                <w:b/>
                <w:bCs/>
                <w:color w:val="000000"/>
                <w:sz w:val="20"/>
              </w:rPr>
            </w:pPr>
            <w:r w:rsidRPr="00211A8A">
              <w:rPr>
                <w:b/>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6D6FD7" w14:textId="77777777" w:rsidR="00CA44A5" w:rsidRPr="00211A8A" w:rsidRDefault="00CA44A5">
            <w:pPr>
              <w:autoSpaceDE w:val="0"/>
              <w:autoSpaceDN w:val="0"/>
              <w:adjustRightInd w:val="0"/>
              <w:rPr>
                <w:color w:val="000000"/>
                <w:sz w:val="20"/>
              </w:rPr>
            </w:pPr>
            <w:r w:rsidRPr="00211A8A">
              <w:rPr>
                <w:color w:val="000000"/>
                <w:sz w:val="20"/>
              </w:rPr>
              <w:t>+:</w:t>
            </w:r>
          </w:p>
          <w:p w14:paraId="1E685703" w14:textId="77777777" w:rsidR="00CA44A5" w:rsidRPr="00211A8A" w:rsidRDefault="00CA44A5">
            <w:pPr>
              <w:autoSpaceDE w:val="0"/>
              <w:autoSpaceDN w:val="0"/>
              <w:adjustRightInd w:val="0"/>
              <w:rPr>
                <w:color w:val="000000"/>
                <w:sz w:val="20"/>
              </w:rPr>
            </w:pPr>
            <w:r w:rsidRPr="00211A8A">
              <w:rPr>
                <w:color w:val="000000"/>
                <w:sz w:val="20"/>
              </w:rPr>
              <w:t>–:</w:t>
            </w:r>
          </w:p>
          <w:p w14:paraId="23DEC1A4" w14:textId="77777777" w:rsidR="00CA44A5" w:rsidRPr="00211A8A" w:rsidRDefault="00CA44A5">
            <w:pPr>
              <w:autoSpaceDE w:val="0"/>
              <w:autoSpaceDN w:val="0"/>
              <w:adjustRightInd w:val="0"/>
              <w:rPr>
                <w:color w:val="000000"/>
                <w:sz w:val="20"/>
              </w:rPr>
            </w:pPr>
            <w:r w:rsidRPr="00211A8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B78938" w14:textId="77777777" w:rsidR="00CA44A5" w:rsidRPr="00211A8A" w:rsidRDefault="00CA44A5">
            <w:pPr>
              <w:autoSpaceDE w:val="0"/>
              <w:autoSpaceDN w:val="0"/>
              <w:adjustRightInd w:val="0"/>
              <w:rPr>
                <w:color w:val="000000"/>
                <w:sz w:val="20"/>
              </w:rPr>
            </w:pPr>
            <w:r w:rsidRPr="00211A8A">
              <w:rPr>
                <w:color w:val="000000"/>
                <w:sz w:val="20"/>
              </w:rPr>
              <w:t>24</w:t>
            </w:r>
          </w:p>
          <w:p w14:paraId="2317FE9D" w14:textId="77777777" w:rsidR="00CA44A5" w:rsidRPr="00211A8A" w:rsidRDefault="00CA44A5">
            <w:pPr>
              <w:autoSpaceDE w:val="0"/>
              <w:autoSpaceDN w:val="0"/>
              <w:adjustRightInd w:val="0"/>
              <w:rPr>
                <w:color w:val="000000"/>
                <w:sz w:val="20"/>
              </w:rPr>
            </w:pPr>
            <w:r w:rsidRPr="00211A8A">
              <w:rPr>
                <w:color w:val="000000"/>
                <w:sz w:val="20"/>
              </w:rPr>
              <w:t>5</w:t>
            </w:r>
          </w:p>
          <w:p w14:paraId="6A8F9BA2" w14:textId="77777777" w:rsidR="00CA44A5" w:rsidRPr="00211A8A" w:rsidRDefault="00CA44A5">
            <w:pPr>
              <w:autoSpaceDE w:val="0"/>
              <w:autoSpaceDN w:val="0"/>
              <w:adjustRightInd w:val="0"/>
              <w:rPr>
                <w:color w:val="000000"/>
                <w:sz w:val="20"/>
              </w:rPr>
            </w:pPr>
            <w:r w:rsidRPr="00211A8A">
              <w:rPr>
                <w:color w:val="000000"/>
                <w:sz w:val="20"/>
              </w:rPr>
              <w:t>0</w:t>
            </w:r>
          </w:p>
        </w:tc>
      </w:tr>
      <w:tr w:rsidR="00CA44A5" w:rsidRPr="00211A8A" w14:paraId="55817A3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AFE726" w14:textId="77777777" w:rsidR="00CA44A5" w:rsidRPr="00211A8A" w:rsidRDefault="00CA44A5">
            <w:pPr>
              <w:autoSpaceDE w:val="0"/>
              <w:autoSpaceDN w:val="0"/>
              <w:adjustRightInd w:val="0"/>
              <w:rPr>
                <w:b/>
                <w:bCs/>
                <w:color w:val="000000"/>
                <w:sz w:val="20"/>
              </w:rPr>
            </w:pPr>
            <w:r w:rsidRPr="00211A8A">
              <w:rPr>
                <w:b/>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437F8F" w14:textId="77777777" w:rsidR="00CA44A5" w:rsidRPr="00211A8A" w:rsidRDefault="00CA44A5">
            <w:pPr>
              <w:autoSpaceDE w:val="0"/>
              <w:autoSpaceDN w:val="0"/>
              <w:adjustRightInd w:val="0"/>
              <w:rPr>
                <w:color w:val="000000"/>
                <w:sz w:val="20"/>
              </w:rPr>
            </w:pPr>
            <w:r w:rsidRPr="00211A8A">
              <w:rPr>
                <w:color w:val="000000"/>
                <w:sz w:val="20"/>
              </w:rPr>
              <w:t>Inés Ayala Sender, Dennis de Jong, Tamás Deutsch, Martina Dlabajová, Luke Ming Flanagan, Ingeborg Gräßle, Cătălin Sorin Ivan, Jean-François Jalkh, Bogusław Liberadzki, Monica Macovei, Notis Marias, José Ignacio Salafranca Sánchez-Neyra, Petri Sarvamaa, Claudia Schmidt, Bart Staes, Hannu Takkula, Derek Vaughan, Joachim Zeller</w:t>
            </w:r>
          </w:p>
        </w:tc>
      </w:tr>
      <w:tr w:rsidR="00CA44A5" w:rsidRPr="00211A8A" w14:paraId="4108AB5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33ABE69" w14:textId="77777777" w:rsidR="00CA44A5" w:rsidRPr="00211A8A" w:rsidRDefault="00CA44A5">
            <w:pPr>
              <w:autoSpaceDE w:val="0"/>
              <w:autoSpaceDN w:val="0"/>
              <w:adjustRightInd w:val="0"/>
              <w:rPr>
                <w:b/>
                <w:bCs/>
                <w:color w:val="000000"/>
                <w:sz w:val="20"/>
              </w:rPr>
            </w:pPr>
            <w:r w:rsidRPr="00211A8A">
              <w:rPr>
                <w:b/>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A7BCF3" w14:textId="77777777" w:rsidR="00CA44A5" w:rsidRPr="00211A8A" w:rsidRDefault="00CA44A5">
            <w:pPr>
              <w:autoSpaceDE w:val="0"/>
              <w:autoSpaceDN w:val="0"/>
              <w:adjustRightInd w:val="0"/>
              <w:rPr>
                <w:color w:val="000000"/>
                <w:sz w:val="20"/>
              </w:rPr>
            </w:pPr>
            <w:r w:rsidRPr="00211A8A">
              <w:rPr>
                <w:color w:val="000000"/>
                <w:sz w:val="20"/>
              </w:rPr>
              <w:t>Richard Ashworth, Gerben-Jan Gerbrandy, Benedek Jávor, Karin Kadenbach, Julia Pitera, Patricija Šulin</w:t>
            </w:r>
          </w:p>
        </w:tc>
      </w:tr>
      <w:tr w:rsidR="00CA44A5" w:rsidRPr="00211A8A" w14:paraId="29DF35C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4A111A1" w14:textId="77777777" w:rsidR="00CA44A5" w:rsidRPr="00211A8A" w:rsidRDefault="00CA44A5">
            <w:pPr>
              <w:autoSpaceDE w:val="0"/>
              <w:autoSpaceDN w:val="0"/>
              <w:adjustRightInd w:val="0"/>
              <w:rPr>
                <w:b/>
                <w:bCs/>
                <w:color w:val="000000"/>
                <w:sz w:val="20"/>
              </w:rPr>
            </w:pPr>
            <w:r w:rsidRPr="00211A8A">
              <w:rPr>
                <w:b/>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2E00BE" w14:textId="77777777" w:rsidR="00CA44A5" w:rsidRPr="00211A8A" w:rsidRDefault="00CA44A5">
            <w:pPr>
              <w:autoSpaceDE w:val="0"/>
              <w:autoSpaceDN w:val="0"/>
              <w:adjustRightInd w:val="0"/>
              <w:rPr>
                <w:color w:val="000000"/>
                <w:sz w:val="20"/>
              </w:rPr>
            </w:pPr>
            <w:r w:rsidRPr="00211A8A">
              <w:rPr>
                <w:color w:val="000000"/>
                <w:sz w:val="20"/>
              </w:rPr>
              <w:t>Raymond Finch, Jens Geier, Susanne Melior, Piernicola Pedicini, Janusz Zemke</w:t>
            </w:r>
          </w:p>
        </w:tc>
      </w:tr>
    </w:tbl>
    <w:p w14:paraId="731F6C22" w14:textId="77777777" w:rsidR="00CA44A5" w:rsidRPr="00211A8A" w:rsidRDefault="00CA44A5">
      <w:pPr>
        <w:autoSpaceDE w:val="0"/>
        <w:autoSpaceDN w:val="0"/>
        <w:adjustRightInd w:val="0"/>
        <w:rPr>
          <w:rFonts w:ascii="Arial" w:hAnsi="Arial" w:cs="Arial"/>
          <w:szCs w:val="24"/>
        </w:rPr>
      </w:pPr>
    </w:p>
    <w:bookmarkEnd w:id="17"/>
    <w:p w14:paraId="65A044AF" w14:textId="4BB73825" w:rsidR="000700E4" w:rsidRPr="00211A8A" w:rsidRDefault="000700E4" w:rsidP="00CA44A5">
      <w:pPr>
        <w:pStyle w:val="PageHeading"/>
      </w:pPr>
      <w:r w:rsidRPr="00211A8A">
        <w:br w:type="page"/>
      </w:r>
      <w:bookmarkStart w:id="19" w:name="_Toc478641115"/>
      <w:bookmarkStart w:id="20" w:name="RollCallPageRR"/>
      <w:bookmarkStart w:id="21" w:name="_Toc479171899"/>
      <w:r w:rsidR="00AB316E">
        <w:lastRenderedPageBreak/>
        <w:t>SLUTOMRÖSTNING MED NAMNUPPROP</w:t>
      </w:r>
      <w:r w:rsidRPr="00211A8A">
        <w:br/>
        <w:t>I DET ANSVARIGA UTSKOTTET</w:t>
      </w:r>
      <w:bookmarkEnd w:id="19"/>
      <w:bookmarkEnd w:id="2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700E4" w:rsidRPr="00211A8A" w14:paraId="73321B3B" w14:textId="77777777" w:rsidTr="008920AC">
        <w:trPr>
          <w:cantSplit/>
        </w:trPr>
        <w:tc>
          <w:tcPr>
            <w:tcW w:w="1701" w:type="dxa"/>
            <w:shd w:val="pct10" w:color="000000" w:fill="FFFFFF"/>
            <w:vAlign w:val="center"/>
          </w:tcPr>
          <w:p w14:paraId="5077D666" w14:textId="4C677F9B" w:rsidR="000700E4" w:rsidRPr="00211A8A" w:rsidRDefault="000700E4" w:rsidP="008920AC">
            <w:pPr>
              <w:spacing w:before="120" w:after="120"/>
              <w:jc w:val="center"/>
              <w:rPr>
                <w:b/>
                <w:sz w:val="16"/>
              </w:rPr>
            </w:pPr>
            <w:r w:rsidRPr="00211A8A">
              <w:rPr>
                <w:b/>
                <w:sz w:val="16"/>
              </w:rPr>
              <w:t>24</w:t>
            </w:r>
          </w:p>
        </w:tc>
        <w:tc>
          <w:tcPr>
            <w:tcW w:w="7371" w:type="dxa"/>
            <w:shd w:val="pct10" w:color="000000" w:fill="FFFFFF"/>
          </w:tcPr>
          <w:p w14:paraId="2068E551" w14:textId="77777777" w:rsidR="000700E4" w:rsidRPr="00211A8A" w:rsidRDefault="000700E4" w:rsidP="008920AC">
            <w:pPr>
              <w:spacing w:before="120" w:after="120"/>
              <w:jc w:val="center"/>
              <w:rPr>
                <w:rFonts w:ascii="Arial" w:hAnsi="Arial" w:cs="Arial"/>
                <w:b/>
                <w:sz w:val="28"/>
                <w:szCs w:val="28"/>
              </w:rPr>
            </w:pPr>
            <w:r w:rsidRPr="00211A8A">
              <w:rPr>
                <w:rFonts w:ascii="Arial" w:hAnsi="Arial"/>
                <w:b/>
                <w:sz w:val="28"/>
              </w:rPr>
              <w:t>+</w:t>
            </w:r>
          </w:p>
        </w:tc>
      </w:tr>
      <w:tr w:rsidR="000700E4" w:rsidRPr="00211A8A" w14:paraId="56A1AF6D" w14:textId="77777777" w:rsidTr="008920AC">
        <w:trPr>
          <w:cantSplit/>
        </w:trPr>
        <w:tc>
          <w:tcPr>
            <w:tcW w:w="1701" w:type="dxa"/>
            <w:shd w:val="clear" w:color="auto" w:fill="FFFFFF"/>
          </w:tcPr>
          <w:p w14:paraId="59982C19" w14:textId="77777777" w:rsidR="000700E4" w:rsidRPr="00AB316E" w:rsidRDefault="000700E4" w:rsidP="000700E4">
            <w:pPr>
              <w:spacing w:before="120" w:after="120"/>
              <w:rPr>
                <w:sz w:val="16"/>
                <w:lang w:val="pt-PT"/>
              </w:rPr>
            </w:pPr>
            <w:r w:rsidRPr="00AB316E">
              <w:rPr>
                <w:sz w:val="16"/>
                <w:lang w:val="pt-PT"/>
              </w:rPr>
              <w:t>ALDE</w:t>
            </w:r>
          </w:p>
          <w:p w14:paraId="3DE0A27C" w14:textId="77777777" w:rsidR="000700E4" w:rsidRPr="00AB316E" w:rsidRDefault="000700E4" w:rsidP="000700E4">
            <w:pPr>
              <w:spacing w:before="120" w:after="120"/>
              <w:rPr>
                <w:sz w:val="16"/>
                <w:lang w:val="pt-PT"/>
              </w:rPr>
            </w:pPr>
            <w:r w:rsidRPr="00AB316E">
              <w:rPr>
                <w:sz w:val="16"/>
                <w:lang w:val="pt-PT"/>
              </w:rPr>
              <w:t>ECR</w:t>
            </w:r>
          </w:p>
          <w:p w14:paraId="6DC63BFF" w14:textId="77777777" w:rsidR="000700E4" w:rsidRPr="00AB316E" w:rsidRDefault="000700E4" w:rsidP="000700E4">
            <w:pPr>
              <w:spacing w:before="120" w:after="120"/>
              <w:rPr>
                <w:sz w:val="16"/>
                <w:lang w:val="pt-PT"/>
              </w:rPr>
            </w:pPr>
            <w:r w:rsidRPr="00AB316E">
              <w:rPr>
                <w:sz w:val="16"/>
                <w:lang w:val="pt-PT"/>
              </w:rPr>
              <w:t>GUE/NGL</w:t>
            </w:r>
          </w:p>
          <w:p w14:paraId="68F89461" w14:textId="77777777" w:rsidR="000700E4" w:rsidRPr="00AB316E" w:rsidRDefault="000700E4" w:rsidP="000700E4">
            <w:pPr>
              <w:spacing w:before="120" w:after="120"/>
              <w:rPr>
                <w:sz w:val="16"/>
                <w:lang w:val="pt-PT"/>
              </w:rPr>
            </w:pPr>
            <w:r w:rsidRPr="00AB316E">
              <w:rPr>
                <w:sz w:val="16"/>
                <w:lang w:val="pt-PT"/>
              </w:rPr>
              <w:t>PPE</w:t>
            </w:r>
          </w:p>
          <w:p w14:paraId="23613910" w14:textId="77777777" w:rsidR="000700E4" w:rsidRPr="00AB316E" w:rsidRDefault="000700E4" w:rsidP="000700E4">
            <w:pPr>
              <w:spacing w:before="360" w:after="120"/>
              <w:rPr>
                <w:sz w:val="16"/>
                <w:lang w:val="pt-PT"/>
              </w:rPr>
            </w:pPr>
            <w:r w:rsidRPr="00AB316E">
              <w:rPr>
                <w:sz w:val="16"/>
                <w:lang w:val="pt-PT"/>
              </w:rPr>
              <w:t>S&amp;D</w:t>
            </w:r>
          </w:p>
          <w:p w14:paraId="644B9939" w14:textId="63D6DCE6" w:rsidR="000700E4" w:rsidRPr="00211A8A" w:rsidRDefault="000700E4" w:rsidP="000700E4">
            <w:pPr>
              <w:spacing w:before="120" w:after="120"/>
              <w:rPr>
                <w:sz w:val="16"/>
              </w:rPr>
            </w:pPr>
            <w:r w:rsidRPr="00211A8A">
              <w:rPr>
                <w:sz w:val="16"/>
              </w:rPr>
              <w:t>VERTS/ALE</w:t>
            </w:r>
          </w:p>
        </w:tc>
        <w:tc>
          <w:tcPr>
            <w:tcW w:w="7371" w:type="dxa"/>
            <w:shd w:val="clear" w:color="auto" w:fill="FFFFFF"/>
          </w:tcPr>
          <w:p w14:paraId="195A9AE8" w14:textId="77777777" w:rsidR="000700E4" w:rsidRPr="00211A8A" w:rsidRDefault="000700E4" w:rsidP="000700E4">
            <w:pPr>
              <w:spacing w:before="120" w:after="120"/>
              <w:rPr>
                <w:sz w:val="16"/>
              </w:rPr>
            </w:pPr>
            <w:r w:rsidRPr="00211A8A">
              <w:rPr>
                <w:sz w:val="16"/>
              </w:rPr>
              <w:t>Martina Dlabajová, Gerben-Jan Gerbrandy, Hannu Takkula</w:t>
            </w:r>
          </w:p>
          <w:p w14:paraId="43F56D81" w14:textId="77777777" w:rsidR="000700E4" w:rsidRPr="00211A8A" w:rsidRDefault="000700E4" w:rsidP="000700E4">
            <w:pPr>
              <w:spacing w:before="120" w:after="120"/>
              <w:rPr>
                <w:sz w:val="16"/>
              </w:rPr>
            </w:pPr>
            <w:r w:rsidRPr="00211A8A">
              <w:rPr>
                <w:sz w:val="16"/>
              </w:rPr>
              <w:t>Monica Macovei</w:t>
            </w:r>
          </w:p>
          <w:p w14:paraId="3976C2AF" w14:textId="77777777" w:rsidR="000700E4" w:rsidRPr="00211A8A" w:rsidRDefault="000700E4" w:rsidP="000700E4">
            <w:pPr>
              <w:spacing w:before="120" w:after="120"/>
              <w:rPr>
                <w:sz w:val="16"/>
              </w:rPr>
            </w:pPr>
            <w:r w:rsidRPr="00211A8A">
              <w:rPr>
                <w:sz w:val="16"/>
              </w:rPr>
              <w:t>Luke Ming Flanagan, Dennis de Jong</w:t>
            </w:r>
          </w:p>
          <w:p w14:paraId="1C177EBB" w14:textId="77777777" w:rsidR="000700E4" w:rsidRPr="00211A8A" w:rsidRDefault="000700E4" w:rsidP="000700E4">
            <w:pPr>
              <w:spacing w:before="120" w:after="120"/>
              <w:rPr>
                <w:sz w:val="16"/>
              </w:rPr>
            </w:pPr>
            <w:r w:rsidRPr="00211A8A">
              <w:rPr>
                <w:sz w:val="16"/>
              </w:rPr>
              <w:t>Tamás Deutsch, Ingeborg Gräßle, Julia Pitera, José Ignacio Salafranca Sánchez-Neyra, Petri Sarvamaa, Claudia Schmidt, Joachim Zeller, Patricija Šulin</w:t>
            </w:r>
          </w:p>
          <w:p w14:paraId="4C658687" w14:textId="77777777" w:rsidR="000700E4" w:rsidRPr="00211A8A" w:rsidRDefault="000700E4" w:rsidP="000700E4">
            <w:pPr>
              <w:spacing w:before="120" w:after="120"/>
              <w:rPr>
                <w:sz w:val="16"/>
              </w:rPr>
            </w:pPr>
            <w:r w:rsidRPr="00211A8A">
              <w:rPr>
                <w:sz w:val="16"/>
              </w:rPr>
              <w:t>Inés Ayala Sender, Jens Geier, Cătălin Sorin Ivan, Karin Kadenbach, Bogusław Liberadzki, Susanne Melior, Derek Vaughan, Janusz Zemke</w:t>
            </w:r>
          </w:p>
          <w:p w14:paraId="43420409" w14:textId="6DE6C487" w:rsidR="000700E4" w:rsidRPr="00211A8A" w:rsidRDefault="000700E4" w:rsidP="000700E4">
            <w:pPr>
              <w:spacing w:before="120" w:after="120"/>
              <w:rPr>
                <w:sz w:val="16"/>
              </w:rPr>
            </w:pPr>
            <w:r w:rsidRPr="00211A8A">
              <w:rPr>
                <w:sz w:val="16"/>
              </w:rPr>
              <w:t>Benedek Jávor, Bart Staes</w:t>
            </w:r>
          </w:p>
        </w:tc>
      </w:tr>
    </w:tbl>
    <w:p w14:paraId="13D3C07E" w14:textId="77777777" w:rsidR="000700E4" w:rsidRPr="00211A8A" w:rsidRDefault="000700E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700E4" w:rsidRPr="00211A8A" w14:paraId="55C76284" w14:textId="77777777" w:rsidTr="008920AC">
        <w:trPr>
          <w:cantSplit/>
        </w:trPr>
        <w:tc>
          <w:tcPr>
            <w:tcW w:w="1701" w:type="dxa"/>
            <w:shd w:val="pct10" w:color="000000" w:fill="FFFFFF"/>
            <w:vAlign w:val="center"/>
          </w:tcPr>
          <w:p w14:paraId="3D8C57B9" w14:textId="488F83EA" w:rsidR="000700E4" w:rsidRPr="00211A8A" w:rsidRDefault="000700E4" w:rsidP="008920AC">
            <w:pPr>
              <w:spacing w:before="120" w:after="120"/>
              <w:jc w:val="center"/>
              <w:rPr>
                <w:b/>
                <w:sz w:val="16"/>
              </w:rPr>
            </w:pPr>
            <w:r w:rsidRPr="00211A8A">
              <w:rPr>
                <w:b/>
                <w:sz w:val="16"/>
              </w:rPr>
              <w:t>5</w:t>
            </w:r>
          </w:p>
        </w:tc>
        <w:tc>
          <w:tcPr>
            <w:tcW w:w="7371" w:type="dxa"/>
            <w:shd w:val="pct10" w:color="000000" w:fill="FFFFFF"/>
          </w:tcPr>
          <w:p w14:paraId="4C0E25A7" w14:textId="77777777" w:rsidR="000700E4" w:rsidRPr="00211A8A" w:rsidRDefault="000700E4" w:rsidP="008920AC">
            <w:pPr>
              <w:spacing w:before="120" w:after="120"/>
              <w:jc w:val="center"/>
              <w:rPr>
                <w:sz w:val="28"/>
                <w:szCs w:val="28"/>
              </w:rPr>
            </w:pPr>
            <w:r w:rsidRPr="00211A8A">
              <w:rPr>
                <w:rFonts w:ascii="Arial" w:hAnsi="Arial"/>
                <w:b/>
                <w:sz w:val="28"/>
              </w:rPr>
              <w:t>-</w:t>
            </w:r>
          </w:p>
        </w:tc>
      </w:tr>
      <w:tr w:rsidR="000700E4" w:rsidRPr="00211A8A" w14:paraId="6D90812A" w14:textId="77777777" w:rsidTr="008920AC">
        <w:trPr>
          <w:cantSplit/>
        </w:trPr>
        <w:tc>
          <w:tcPr>
            <w:tcW w:w="1701" w:type="dxa"/>
            <w:shd w:val="clear" w:color="auto" w:fill="FFFFFF"/>
          </w:tcPr>
          <w:p w14:paraId="584EB608" w14:textId="77777777" w:rsidR="000700E4" w:rsidRPr="00211A8A" w:rsidRDefault="000700E4" w:rsidP="000700E4">
            <w:pPr>
              <w:spacing w:before="120" w:after="120"/>
              <w:rPr>
                <w:sz w:val="16"/>
              </w:rPr>
            </w:pPr>
            <w:r w:rsidRPr="00211A8A">
              <w:rPr>
                <w:sz w:val="16"/>
              </w:rPr>
              <w:t>ECR</w:t>
            </w:r>
          </w:p>
          <w:p w14:paraId="5EAA244D" w14:textId="77777777" w:rsidR="000700E4" w:rsidRPr="00211A8A" w:rsidRDefault="000700E4" w:rsidP="000700E4">
            <w:pPr>
              <w:spacing w:before="120" w:after="120"/>
              <w:rPr>
                <w:sz w:val="16"/>
              </w:rPr>
            </w:pPr>
            <w:r w:rsidRPr="00211A8A">
              <w:rPr>
                <w:sz w:val="16"/>
              </w:rPr>
              <w:t>EFDD</w:t>
            </w:r>
          </w:p>
          <w:p w14:paraId="5D1B3C8A" w14:textId="403F7E2E" w:rsidR="000700E4" w:rsidRPr="00211A8A" w:rsidRDefault="000700E4" w:rsidP="000700E4">
            <w:pPr>
              <w:spacing w:before="120" w:after="120"/>
              <w:rPr>
                <w:sz w:val="16"/>
              </w:rPr>
            </w:pPr>
            <w:r w:rsidRPr="00211A8A">
              <w:rPr>
                <w:sz w:val="16"/>
              </w:rPr>
              <w:t>ENF</w:t>
            </w:r>
          </w:p>
        </w:tc>
        <w:tc>
          <w:tcPr>
            <w:tcW w:w="7371" w:type="dxa"/>
            <w:shd w:val="clear" w:color="auto" w:fill="FFFFFF"/>
          </w:tcPr>
          <w:p w14:paraId="4CF26CAC" w14:textId="77777777" w:rsidR="000700E4" w:rsidRPr="00AB316E" w:rsidRDefault="000700E4" w:rsidP="000700E4">
            <w:pPr>
              <w:spacing w:before="120" w:after="120"/>
              <w:rPr>
                <w:sz w:val="16"/>
                <w:lang w:val="en-GB"/>
              </w:rPr>
            </w:pPr>
            <w:r w:rsidRPr="00AB316E">
              <w:rPr>
                <w:sz w:val="16"/>
                <w:lang w:val="en-GB"/>
              </w:rPr>
              <w:t>Richard Ashworth, Notis Marias</w:t>
            </w:r>
          </w:p>
          <w:p w14:paraId="0B3FD489" w14:textId="77777777" w:rsidR="000700E4" w:rsidRPr="00AB316E" w:rsidRDefault="000700E4" w:rsidP="000700E4">
            <w:pPr>
              <w:spacing w:before="120" w:after="120"/>
              <w:rPr>
                <w:sz w:val="16"/>
                <w:lang w:val="en-GB"/>
              </w:rPr>
            </w:pPr>
            <w:r w:rsidRPr="00AB316E">
              <w:rPr>
                <w:sz w:val="16"/>
                <w:lang w:val="en-GB"/>
              </w:rPr>
              <w:t>Raymond Finch, Piernicola Pedicini</w:t>
            </w:r>
          </w:p>
          <w:p w14:paraId="78EE6B1F" w14:textId="2AC93B47" w:rsidR="000700E4" w:rsidRPr="00211A8A" w:rsidRDefault="000700E4" w:rsidP="000700E4">
            <w:pPr>
              <w:spacing w:before="120" w:after="120"/>
              <w:rPr>
                <w:sz w:val="16"/>
              </w:rPr>
            </w:pPr>
            <w:r w:rsidRPr="00211A8A">
              <w:rPr>
                <w:sz w:val="16"/>
              </w:rPr>
              <w:t>Jean-François Jalkh</w:t>
            </w:r>
          </w:p>
        </w:tc>
      </w:tr>
    </w:tbl>
    <w:p w14:paraId="5BB820AB" w14:textId="77777777" w:rsidR="000700E4" w:rsidRPr="00211A8A" w:rsidRDefault="000700E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700E4" w:rsidRPr="00211A8A" w14:paraId="78EA0AB4" w14:textId="77777777" w:rsidTr="008920AC">
        <w:trPr>
          <w:cantSplit/>
        </w:trPr>
        <w:tc>
          <w:tcPr>
            <w:tcW w:w="1701" w:type="dxa"/>
            <w:shd w:val="pct10" w:color="000000" w:fill="FFFFFF"/>
            <w:vAlign w:val="center"/>
          </w:tcPr>
          <w:p w14:paraId="41CA1610" w14:textId="17F5CC23" w:rsidR="000700E4" w:rsidRPr="00211A8A" w:rsidRDefault="000700E4" w:rsidP="008920AC">
            <w:pPr>
              <w:spacing w:before="120" w:after="120"/>
              <w:jc w:val="center"/>
              <w:rPr>
                <w:b/>
                <w:sz w:val="16"/>
              </w:rPr>
            </w:pPr>
            <w:r w:rsidRPr="00211A8A">
              <w:rPr>
                <w:b/>
                <w:sz w:val="16"/>
              </w:rPr>
              <w:t>0</w:t>
            </w:r>
          </w:p>
        </w:tc>
        <w:tc>
          <w:tcPr>
            <w:tcW w:w="7371" w:type="dxa"/>
            <w:shd w:val="pct10" w:color="000000" w:fill="FFFFFF"/>
          </w:tcPr>
          <w:p w14:paraId="00BD4AC5" w14:textId="77777777" w:rsidR="000700E4" w:rsidRPr="00211A8A" w:rsidRDefault="000700E4" w:rsidP="008920AC">
            <w:pPr>
              <w:spacing w:before="120" w:after="120"/>
              <w:jc w:val="center"/>
              <w:rPr>
                <w:sz w:val="28"/>
                <w:szCs w:val="28"/>
              </w:rPr>
            </w:pPr>
            <w:r w:rsidRPr="00211A8A">
              <w:rPr>
                <w:rFonts w:ascii="Arial" w:hAnsi="Arial"/>
                <w:b/>
                <w:sz w:val="28"/>
              </w:rPr>
              <w:t>0</w:t>
            </w:r>
          </w:p>
        </w:tc>
      </w:tr>
      <w:tr w:rsidR="000700E4" w:rsidRPr="00211A8A" w14:paraId="18AFBAB3" w14:textId="77777777" w:rsidTr="008920AC">
        <w:trPr>
          <w:cantSplit/>
        </w:trPr>
        <w:tc>
          <w:tcPr>
            <w:tcW w:w="1701" w:type="dxa"/>
            <w:shd w:val="clear" w:color="auto" w:fill="FFFFFF"/>
          </w:tcPr>
          <w:p w14:paraId="45A9A2DD" w14:textId="29DDDD65" w:rsidR="000700E4" w:rsidRPr="00211A8A" w:rsidRDefault="000700E4" w:rsidP="008920AC">
            <w:pPr>
              <w:spacing w:before="120" w:after="120"/>
              <w:rPr>
                <w:sz w:val="16"/>
              </w:rPr>
            </w:pPr>
            <w:r w:rsidRPr="00211A8A">
              <w:rPr>
                <w:sz w:val="16"/>
              </w:rPr>
              <w:t xml:space="preserve"> </w:t>
            </w:r>
          </w:p>
        </w:tc>
        <w:tc>
          <w:tcPr>
            <w:tcW w:w="7371" w:type="dxa"/>
            <w:shd w:val="clear" w:color="auto" w:fill="FFFFFF"/>
          </w:tcPr>
          <w:p w14:paraId="17D9C6E3" w14:textId="05647EF3" w:rsidR="000700E4" w:rsidRPr="00211A8A" w:rsidRDefault="000700E4" w:rsidP="008920AC">
            <w:pPr>
              <w:spacing w:before="120" w:after="120"/>
              <w:rPr>
                <w:sz w:val="16"/>
              </w:rPr>
            </w:pPr>
            <w:r w:rsidRPr="00211A8A">
              <w:rPr>
                <w:sz w:val="16"/>
              </w:rPr>
              <w:t xml:space="preserve"> </w:t>
            </w:r>
          </w:p>
        </w:tc>
      </w:tr>
    </w:tbl>
    <w:p w14:paraId="289A1C67" w14:textId="77777777" w:rsidR="000700E4" w:rsidRPr="00211A8A" w:rsidRDefault="000700E4" w:rsidP="00147FBF">
      <w:pPr>
        <w:pStyle w:val="Normal12"/>
      </w:pPr>
    </w:p>
    <w:p w14:paraId="3B4057D0" w14:textId="253594CC" w:rsidR="000700E4" w:rsidRPr="00211A8A" w:rsidRDefault="000700E4" w:rsidP="00B735E3">
      <w:r w:rsidRPr="00211A8A">
        <w:t>Key to symbols:</w:t>
      </w:r>
    </w:p>
    <w:p w14:paraId="2E75897A" w14:textId="19403C37" w:rsidR="000700E4" w:rsidRPr="00211A8A" w:rsidRDefault="000700E4" w:rsidP="00B735E3">
      <w:pPr>
        <w:pStyle w:val="NormalTabs"/>
      </w:pPr>
      <w:r w:rsidRPr="00211A8A">
        <w:t>+</w:t>
      </w:r>
      <w:r w:rsidRPr="00211A8A">
        <w:tab/>
        <w:t>:</w:t>
      </w:r>
      <w:r w:rsidRPr="00211A8A">
        <w:tab/>
        <w:t>in favour</w:t>
      </w:r>
    </w:p>
    <w:p w14:paraId="6E27C8A9" w14:textId="14995C62" w:rsidR="000700E4" w:rsidRPr="00211A8A" w:rsidRDefault="000700E4" w:rsidP="00B735E3">
      <w:pPr>
        <w:pStyle w:val="NormalTabs"/>
      </w:pPr>
      <w:r w:rsidRPr="00211A8A">
        <w:t>-</w:t>
      </w:r>
      <w:r w:rsidRPr="00211A8A">
        <w:tab/>
        <w:t>:</w:t>
      </w:r>
      <w:r w:rsidRPr="00211A8A">
        <w:tab/>
        <w:t>against</w:t>
      </w:r>
    </w:p>
    <w:p w14:paraId="0749F635" w14:textId="0CAB53B8" w:rsidR="000700E4" w:rsidRPr="00211A8A" w:rsidRDefault="000700E4" w:rsidP="00B735E3">
      <w:pPr>
        <w:pStyle w:val="NormalTabs"/>
      </w:pPr>
      <w:r w:rsidRPr="00211A8A">
        <w:t>0</w:t>
      </w:r>
      <w:r w:rsidRPr="00211A8A">
        <w:tab/>
        <w:t>:</w:t>
      </w:r>
      <w:r w:rsidRPr="00211A8A">
        <w:tab/>
        <w:t>abstention</w:t>
      </w:r>
    </w:p>
    <w:p w14:paraId="3B76F7A4" w14:textId="77777777" w:rsidR="000700E4" w:rsidRPr="00211A8A" w:rsidRDefault="000700E4" w:rsidP="00AD5932"/>
    <w:bookmarkEnd w:id="20"/>
    <w:p w14:paraId="61569AFB" w14:textId="5795CFC9" w:rsidR="00E356E7" w:rsidRPr="00211A8A" w:rsidRDefault="00E356E7" w:rsidP="006450F5"/>
    <w:sectPr w:rsidR="00E356E7" w:rsidRPr="00211A8A" w:rsidSect="00211A8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3302" w14:textId="77777777" w:rsidR="0034738B" w:rsidRPr="00211A8A" w:rsidRDefault="0034738B">
      <w:r w:rsidRPr="00211A8A">
        <w:separator/>
      </w:r>
    </w:p>
  </w:endnote>
  <w:endnote w:type="continuationSeparator" w:id="0">
    <w:p w14:paraId="087AFEC1" w14:textId="77777777" w:rsidR="0034738B" w:rsidRPr="00211A8A" w:rsidRDefault="0034738B">
      <w:r w:rsidRPr="00211A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C10B6" w14:textId="77777777" w:rsidR="00211A8A" w:rsidRPr="00211A8A" w:rsidRDefault="00211A8A" w:rsidP="00211A8A">
    <w:pPr>
      <w:pStyle w:val="Footer"/>
    </w:pPr>
    <w:r w:rsidRPr="00211A8A">
      <w:t>PE</w:t>
    </w:r>
    <w:r w:rsidRPr="00211A8A">
      <w:rPr>
        <w:rStyle w:val="HideTWBExt"/>
        <w:noProof w:val="0"/>
      </w:rPr>
      <w:t>&lt;NoPE&gt;</w:t>
    </w:r>
    <w:r w:rsidRPr="00211A8A">
      <w:t>593.857</w:t>
    </w:r>
    <w:r w:rsidRPr="00211A8A">
      <w:rPr>
        <w:rStyle w:val="HideTWBExt"/>
        <w:noProof w:val="0"/>
      </w:rPr>
      <w:t>&lt;/NoPE&gt;&lt;Version&gt;</w:t>
    </w:r>
    <w:r w:rsidRPr="00211A8A">
      <w:t>v02-00</w:t>
    </w:r>
    <w:r w:rsidRPr="00211A8A">
      <w:rPr>
        <w:rStyle w:val="HideTWBExt"/>
        <w:noProof w:val="0"/>
      </w:rPr>
      <w:t>&lt;/Version&gt;</w:t>
    </w:r>
    <w:r w:rsidRPr="00211A8A">
      <w:tab/>
    </w:r>
    <w:r w:rsidRPr="00211A8A">
      <w:fldChar w:fldCharType="begin"/>
    </w:r>
    <w:r w:rsidRPr="00211A8A">
      <w:instrText xml:space="preserve"> PAGE  \* MERGEFORMAT </w:instrText>
    </w:r>
    <w:r w:rsidRPr="00211A8A">
      <w:fldChar w:fldCharType="separate"/>
    </w:r>
    <w:r w:rsidR="009D2B30">
      <w:rPr>
        <w:noProof/>
      </w:rPr>
      <w:t>2</w:t>
    </w:r>
    <w:r w:rsidRPr="00211A8A">
      <w:fldChar w:fldCharType="end"/>
    </w:r>
    <w:r w:rsidRPr="00211A8A">
      <w:t>/</w:t>
    </w:r>
    <w:r w:rsidR="009D2B30">
      <w:fldChar w:fldCharType="begin"/>
    </w:r>
    <w:r w:rsidR="009D2B30">
      <w:instrText xml:space="preserve"> NUMPAGES  \* MERGEFORMAT </w:instrText>
    </w:r>
    <w:r w:rsidR="009D2B30">
      <w:fldChar w:fldCharType="separate"/>
    </w:r>
    <w:r w:rsidR="009D2B30">
      <w:rPr>
        <w:noProof/>
      </w:rPr>
      <w:t>9</w:t>
    </w:r>
    <w:r w:rsidR="009D2B30">
      <w:fldChar w:fldCharType="end"/>
    </w:r>
    <w:r w:rsidRPr="00211A8A">
      <w:tab/>
    </w:r>
    <w:r w:rsidRPr="00211A8A">
      <w:rPr>
        <w:rStyle w:val="HideTWBExt"/>
        <w:noProof w:val="0"/>
      </w:rPr>
      <w:t>&lt;PathFdR&gt;</w:t>
    </w:r>
    <w:r w:rsidRPr="00211A8A">
      <w:t>RR\1121999SV.docx</w:t>
    </w:r>
    <w:r w:rsidRPr="00211A8A">
      <w:rPr>
        <w:rStyle w:val="HideTWBExt"/>
        <w:noProof w:val="0"/>
      </w:rPr>
      <w:t>&lt;/PathFdR&gt;</w:t>
    </w:r>
  </w:p>
  <w:p w14:paraId="719F40F8" w14:textId="567AAB6A" w:rsidR="00390068" w:rsidRPr="00211A8A" w:rsidRDefault="00211A8A" w:rsidP="00211A8A">
    <w:pPr>
      <w:pStyle w:val="Footer2"/>
    </w:pPr>
    <w:r w:rsidRPr="00211A8A">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C8F6" w14:textId="77777777" w:rsidR="00211A8A" w:rsidRPr="00211A8A" w:rsidRDefault="00211A8A" w:rsidP="00211A8A">
    <w:pPr>
      <w:pStyle w:val="Footer"/>
    </w:pPr>
    <w:r w:rsidRPr="00211A8A">
      <w:rPr>
        <w:rStyle w:val="HideTWBExt"/>
        <w:noProof w:val="0"/>
      </w:rPr>
      <w:t>&lt;PathFdR&gt;</w:t>
    </w:r>
    <w:r w:rsidRPr="00211A8A">
      <w:t>RR\1121999SV.docx</w:t>
    </w:r>
    <w:r w:rsidRPr="00211A8A">
      <w:rPr>
        <w:rStyle w:val="HideTWBExt"/>
        <w:noProof w:val="0"/>
      </w:rPr>
      <w:t>&lt;/PathFdR&gt;</w:t>
    </w:r>
    <w:r w:rsidRPr="00211A8A">
      <w:tab/>
    </w:r>
    <w:r w:rsidRPr="00211A8A">
      <w:fldChar w:fldCharType="begin"/>
    </w:r>
    <w:r w:rsidRPr="00211A8A">
      <w:instrText xml:space="preserve"> PAGE  \* MERGEFORMAT </w:instrText>
    </w:r>
    <w:r w:rsidRPr="00211A8A">
      <w:fldChar w:fldCharType="separate"/>
    </w:r>
    <w:r w:rsidR="009D2B30">
      <w:rPr>
        <w:noProof/>
      </w:rPr>
      <w:t>3</w:t>
    </w:r>
    <w:r w:rsidRPr="00211A8A">
      <w:fldChar w:fldCharType="end"/>
    </w:r>
    <w:r w:rsidRPr="00211A8A">
      <w:t>/</w:t>
    </w:r>
    <w:r w:rsidR="009D2B30">
      <w:fldChar w:fldCharType="begin"/>
    </w:r>
    <w:r w:rsidR="009D2B30">
      <w:instrText xml:space="preserve"> NUMPAGES  \* MERGEFORMAT </w:instrText>
    </w:r>
    <w:r w:rsidR="009D2B30">
      <w:fldChar w:fldCharType="separate"/>
    </w:r>
    <w:r w:rsidR="009D2B30">
      <w:rPr>
        <w:noProof/>
      </w:rPr>
      <w:t>9</w:t>
    </w:r>
    <w:r w:rsidR="009D2B30">
      <w:fldChar w:fldCharType="end"/>
    </w:r>
    <w:r w:rsidRPr="00211A8A">
      <w:tab/>
      <w:t>PE</w:t>
    </w:r>
    <w:r w:rsidRPr="00211A8A">
      <w:rPr>
        <w:rStyle w:val="HideTWBExt"/>
        <w:noProof w:val="0"/>
      </w:rPr>
      <w:t>&lt;NoPE&gt;</w:t>
    </w:r>
    <w:r w:rsidRPr="00211A8A">
      <w:t>593.857</w:t>
    </w:r>
    <w:r w:rsidRPr="00211A8A">
      <w:rPr>
        <w:rStyle w:val="HideTWBExt"/>
        <w:noProof w:val="0"/>
      </w:rPr>
      <w:t>&lt;/NoPE&gt;&lt;Version&gt;</w:t>
    </w:r>
    <w:r w:rsidRPr="00211A8A">
      <w:t>v02-00</w:t>
    </w:r>
    <w:r w:rsidRPr="00211A8A">
      <w:rPr>
        <w:rStyle w:val="HideTWBExt"/>
        <w:noProof w:val="0"/>
      </w:rPr>
      <w:t>&lt;/Version&gt;</w:t>
    </w:r>
  </w:p>
  <w:p w14:paraId="6FB0AC52" w14:textId="25579F64" w:rsidR="00390068" w:rsidRPr="00211A8A" w:rsidRDefault="00211A8A" w:rsidP="00211A8A">
    <w:pPr>
      <w:pStyle w:val="Footer2"/>
    </w:pPr>
    <w:r w:rsidRPr="00211A8A">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2D9E" w14:textId="77777777" w:rsidR="00211A8A" w:rsidRPr="00211A8A" w:rsidRDefault="00211A8A" w:rsidP="00211A8A">
    <w:pPr>
      <w:pStyle w:val="Footer"/>
    </w:pPr>
    <w:r w:rsidRPr="00211A8A">
      <w:rPr>
        <w:rStyle w:val="HideTWBExt"/>
        <w:noProof w:val="0"/>
      </w:rPr>
      <w:t>&lt;PathFdR&gt;</w:t>
    </w:r>
    <w:r w:rsidRPr="00211A8A">
      <w:t>RR\1121999SV.docx</w:t>
    </w:r>
    <w:r w:rsidRPr="00211A8A">
      <w:rPr>
        <w:rStyle w:val="HideTWBExt"/>
        <w:noProof w:val="0"/>
      </w:rPr>
      <w:t>&lt;/PathFdR&gt;</w:t>
    </w:r>
    <w:r w:rsidRPr="00211A8A">
      <w:tab/>
    </w:r>
    <w:r w:rsidRPr="00211A8A">
      <w:tab/>
      <w:t>PE</w:t>
    </w:r>
    <w:r w:rsidRPr="00211A8A">
      <w:rPr>
        <w:rStyle w:val="HideTWBExt"/>
        <w:noProof w:val="0"/>
      </w:rPr>
      <w:t>&lt;NoPE&gt;</w:t>
    </w:r>
    <w:r w:rsidRPr="00211A8A">
      <w:t>593.857</w:t>
    </w:r>
    <w:r w:rsidRPr="00211A8A">
      <w:rPr>
        <w:rStyle w:val="HideTWBExt"/>
        <w:noProof w:val="0"/>
      </w:rPr>
      <w:t>&lt;/NoPE&gt;&lt;Version&gt;</w:t>
    </w:r>
    <w:r w:rsidRPr="00211A8A">
      <w:t>v02-00</w:t>
    </w:r>
    <w:r w:rsidRPr="00211A8A">
      <w:rPr>
        <w:rStyle w:val="HideTWBExt"/>
        <w:noProof w:val="0"/>
      </w:rPr>
      <w:t>&lt;/Version&gt;</w:t>
    </w:r>
  </w:p>
  <w:p w14:paraId="36D8FC2B" w14:textId="38241898" w:rsidR="00390068" w:rsidRPr="00211A8A" w:rsidRDefault="00211A8A" w:rsidP="00211A8A">
    <w:pPr>
      <w:pStyle w:val="Footer2"/>
      <w:tabs>
        <w:tab w:val="center" w:pos="4535"/>
      </w:tabs>
    </w:pPr>
    <w:r w:rsidRPr="00211A8A">
      <w:t>SV</w:t>
    </w:r>
    <w:r w:rsidRPr="00211A8A">
      <w:tab/>
    </w:r>
    <w:r w:rsidRPr="00211A8A">
      <w:rPr>
        <w:b w:val="0"/>
        <w:i/>
        <w:color w:val="C0C0C0"/>
        <w:sz w:val="22"/>
      </w:rPr>
      <w:t>Förenade i mångfalden</w:t>
    </w:r>
    <w:r w:rsidRPr="00211A8A">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4398C" w14:textId="77777777" w:rsidR="0034738B" w:rsidRPr="00211A8A" w:rsidRDefault="0034738B">
      <w:r w:rsidRPr="00211A8A">
        <w:separator/>
      </w:r>
    </w:p>
  </w:footnote>
  <w:footnote w:type="continuationSeparator" w:id="0">
    <w:p w14:paraId="5224B336" w14:textId="77777777" w:rsidR="0034738B" w:rsidRPr="00211A8A" w:rsidRDefault="0034738B">
      <w:r w:rsidRPr="00211A8A">
        <w:continuationSeparator/>
      </w:r>
    </w:p>
  </w:footnote>
  <w:footnote w:id="1">
    <w:p w14:paraId="58AF727C" w14:textId="77777777" w:rsidR="00E356E7" w:rsidRPr="00AB316E" w:rsidRDefault="00E356E7" w:rsidP="00E356E7">
      <w:pPr>
        <w:pStyle w:val="FootnoteText"/>
        <w:rPr>
          <w:lang w:val="fr-FR"/>
        </w:rPr>
      </w:pPr>
      <w:r w:rsidRPr="00211A8A">
        <w:rPr>
          <w:rStyle w:val="FootnoteReference"/>
        </w:rPr>
        <w:footnoteRef/>
      </w:r>
      <w:r w:rsidRPr="00AB316E">
        <w:rPr>
          <w:lang w:val="fr-FR"/>
        </w:rPr>
        <w:t xml:space="preserve"> EUT C 449, 1.12.2016, s. 184.</w:t>
      </w:r>
    </w:p>
  </w:footnote>
  <w:footnote w:id="2">
    <w:p w14:paraId="5DC7E34D" w14:textId="77777777" w:rsidR="00E356E7" w:rsidRPr="00AB316E" w:rsidRDefault="00E356E7" w:rsidP="00E356E7">
      <w:pPr>
        <w:pStyle w:val="FootnoteText"/>
        <w:rPr>
          <w:lang w:val="fr-FR"/>
        </w:rPr>
      </w:pPr>
      <w:r w:rsidRPr="00211A8A">
        <w:rPr>
          <w:rStyle w:val="FootnoteReference"/>
        </w:rPr>
        <w:footnoteRef/>
      </w:r>
      <w:r w:rsidRPr="00AB316E">
        <w:rPr>
          <w:lang w:val="fr-FR"/>
        </w:rPr>
        <w:t xml:space="preserve"> EUT C 449, 1.12.2016, s. 184.</w:t>
      </w:r>
    </w:p>
  </w:footnote>
  <w:footnote w:id="3">
    <w:p w14:paraId="5867DC29" w14:textId="77777777" w:rsidR="00E356E7" w:rsidRPr="00AB316E" w:rsidRDefault="00E356E7" w:rsidP="00E356E7">
      <w:pPr>
        <w:pStyle w:val="FootnoteText"/>
        <w:rPr>
          <w:lang w:val="de-DE"/>
        </w:rPr>
      </w:pPr>
      <w:r w:rsidRPr="00211A8A">
        <w:rPr>
          <w:rStyle w:val="FootnoteReference"/>
        </w:rPr>
        <w:footnoteRef/>
      </w:r>
      <w:r w:rsidRPr="00AB316E">
        <w:rPr>
          <w:lang w:val="de-DE"/>
        </w:rPr>
        <w:t xml:space="preserve"> EGT L 298, 26.10.2012, s. 1.</w:t>
      </w:r>
    </w:p>
  </w:footnote>
  <w:footnote w:id="4">
    <w:p w14:paraId="2375ECE9" w14:textId="77777777" w:rsidR="00E356E7" w:rsidRPr="00AB316E" w:rsidRDefault="00E356E7" w:rsidP="00E356E7">
      <w:pPr>
        <w:pStyle w:val="FootnoteText"/>
        <w:rPr>
          <w:lang w:val="de-DE"/>
        </w:rPr>
      </w:pPr>
      <w:r w:rsidRPr="00211A8A">
        <w:rPr>
          <w:rStyle w:val="FootnoteReference"/>
        </w:rPr>
        <w:footnoteRef/>
      </w:r>
      <w:r w:rsidRPr="00AB316E">
        <w:rPr>
          <w:lang w:val="de-DE"/>
        </w:rPr>
        <w:t xml:space="preserve"> EGT L 41, 15.2.2008, s. 15.</w:t>
      </w:r>
    </w:p>
  </w:footnote>
  <w:footnote w:id="5">
    <w:p w14:paraId="7E0E5C37" w14:textId="77777777" w:rsidR="00E356E7" w:rsidRPr="00AB316E" w:rsidRDefault="00E356E7" w:rsidP="00E356E7">
      <w:pPr>
        <w:pStyle w:val="FootnoteText"/>
        <w:rPr>
          <w:lang w:val="fr-FR"/>
        </w:rPr>
      </w:pPr>
      <w:r w:rsidRPr="00211A8A">
        <w:rPr>
          <w:rStyle w:val="FootnoteReference"/>
        </w:rPr>
        <w:footnoteRef/>
      </w:r>
      <w:r w:rsidRPr="00AB316E">
        <w:rPr>
          <w:lang w:val="fr-FR"/>
        </w:rPr>
        <w:t xml:space="preserve"> EUT C 449, 1.12.2016, s. 184.</w:t>
      </w:r>
    </w:p>
  </w:footnote>
  <w:footnote w:id="6">
    <w:p w14:paraId="07F4A551" w14:textId="77777777" w:rsidR="00E356E7" w:rsidRPr="00AB316E" w:rsidRDefault="00E356E7" w:rsidP="00E356E7">
      <w:pPr>
        <w:pStyle w:val="FootnoteText"/>
        <w:rPr>
          <w:lang w:val="fr-FR"/>
        </w:rPr>
      </w:pPr>
      <w:r w:rsidRPr="00211A8A">
        <w:rPr>
          <w:rStyle w:val="FootnoteReference"/>
        </w:rPr>
        <w:footnoteRef/>
      </w:r>
      <w:r w:rsidRPr="00AB316E">
        <w:rPr>
          <w:lang w:val="fr-FR"/>
        </w:rPr>
        <w:t xml:space="preserve"> EUT C 449, 1.12.2016, s. 184.</w:t>
      </w:r>
    </w:p>
  </w:footnote>
  <w:footnote w:id="7">
    <w:p w14:paraId="4F76C74D" w14:textId="44641CC1" w:rsidR="00E356E7" w:rsidRPr="00AB316E" w:rsidRDefault="00E356E7" w:rsidP="00E356E7">
      <w:pPr>
        <w:pStyle w:val="FootnoteText"/>
        <w:rPr>
          <w:lang w:val="fr-FR"/>
        </w:rPr>
      </w:pPr>
      <w:r w:rsidRPr="00211A8A">
        <w:rPr>
          <w:rStyle w:val="FootnoteReference"/>
        </w:rPr>
        <w:footnoteRef/>
      </w:r>
      <w:r w:rsidR="00AB316E" w:rsidRPr="00AB316E">
        <w:rPr>
          <w:lang w:val="fr-FR"/>
        </w:rPr>
        <w:t xml:space="preserve"> EU</w:t>
      </w:r>
      <w:r w:rsidRPr="00AB316E">
        <w:rPr>
          <w:lang w:val="fr-FR"/>
        </w:rPr>
        <w:t>T L 298, 26.10.2012, s. 1.</w:t>
      </w:r>
    </w:p>
  </w:footnote>
  <w:footnote w:id="8">
    <w:p w14:paraId="1AC8BBA1" w14:textId="2AAB7D48" w:rsidR="00E356E7" w:rsidRPr="00AB316E" w:rsidRDefault="00E356E7" w:rsidP="00E356E7">
      <w:pPr>
        <w:pStyle w:val="FootnoteText"/>
        <w:rPr>
          <w:lang w:val="fr-FR"/>
        </w:rPr>
      </w:pPr>
      <w:r w:rsidRPr="00211A8A">
        <w:rPr>
          <w:rStyle w:val="FootnoteReference"/>
        </w:rPr>
        <w:footnoteRef/>
      </w:r>
      <w:r w:rsidR="00AB316E" w:rsidRPr="00AB316E">
        <w:rPr>
          <w:lang w:val="fr-FR"/>
        </w:rPr>
        <w:t xml:space="preserve"> EU</w:t>
      </w:r>
      <w:r w:rsidRPr="00AB316E">
        <w:rPr>
          <w:lang w:val="fr-FR"/>
        </w:rPr>
        <w:t>T L 41, 15.2.2008, s. 15.</w:t>
      </w:r>
    </w:p>
  </w:footnote>
  <w:footnote w:id="9">
    <w:p w14:paraId="08958D2C" w14:textId="77777777" w:rsidR="004C3287" w:rsidRPr="00211A8A" w:rsidRDefault="004C3287" w:rsidP="004C3287">
      <w:pPr>
        <w:pStyle w:val="FootnoteText"/>
      </w:pPr>
      <w:r w:rsidRPr="00211A8A">
        <w:rPr>
          <w:rStyle w:val="FootnoteReference"/>
        </w:rPr>
        <w:footnoteRef/>
      </w:r>
      <w:r w:rsidRPr="00211A8A">
        <w:t xml:space="preserve"> Antagna texter, P8_TA-PROV(2017)0000.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26FE" w14:textId="77777777" w:rsidR="00AB316E" w:rsidRDefault="00AB3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419E" w14:textId="77777777" w:rsidR="00AB316E" w:rsidRDefault="00AB3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B8B71" w14:textId="77777777" w:rsidR="00AB316E" w:rsidRDefault="00AB3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D6F1E"/>
    <w:multiLevelType w:val="hybridMultilevel"/>
    <w:tmpl w:val="73D636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9091318"/>
    <w:multiLevelType w:val="hybridMultilevel"/>
    <w:tmpl w:val="143224D2"/>
    <w:lvl w:ilvl="0" w:tplc="59FA21A4">
      <w:start w:val="1"/>
      <w:numFmt w:val="upperLetter"/>
      <w:lvlText w:val="%1."/>
      <w:lvlJc w:val="left"/>
      <w:pPr>
        <w:tabs>
          <w:tab w:val="num" w:pos="360"/>
        </w:tabs>
        <w:ind w:left="360" w:hanging="360"/>
      </w:pPr>
      <w:rPr>
        <w:rFonts w:hint="default"/>
      </w:rPr>
    </w:lvl>
    <w:lvl w:ilvl="1" w:tplc="EF5E8190" w:tentative="1">
      <w:start w:val="1"/>
      <w:numFmt w:val="lowerLetter"/>
      <w:lvlText w:val="%2."/>
      <w:lvlJc w:val="left"/>
      <w:pPr>
        <w:tabs>
          <w:tab w:val="num" w:pos="1080"/>
        </w:tabs>
        <w:ind w:left="1080" w:hanging="360"/>
      </w:pPr>
    </w:lvl>
    <w:lvl w:ilvl="2" w:tplc="DAA0CE72" w:tentative="1">
      <w:start w:val="1"/>
      <w:numFmt w:val="lowerRoman"/>
      <w:lvlText w:val="%3."/>
      <w:lvlJc w:val="right"/>
      <w:pPr>
        <w:tabs>
          <w:tab w:val="num" w:pos="1800"/>
        </w:tabs>
        <w:ind w:left="1800" w:hanging="180"/>
      </w:pPr>
    </w:lvl>
    <w:lvl w:ilvl="3" w:tplc="83A48A68" w:tentative="1">
      <w:start w:val="1"/>
      <w:numFmt w:val="decimal"/>
      <w:lvlText w:val="%4."/>
      <w:lvlJc w:val="left"/>
      <w:pPr>
        <w:tabs>
          <w:tab w:val="num" w:pos="2520"/>
        </w:tabs>
        <w:ind w:left="2520" w:hanging="360"/>
      </w:pPr>
    </w:lvl>
    <w:lvl w:ilvl="4" w:tplc="2182FDC2" w:tentative="1">
      <w:start w:val="1"/>
      <w:numFmt w:val="lowerLetter"/>
      <w:lvlText w:val="%5."/>
      <w:lvlJc w:val="left"/>
      <w:pPr>
        <w:tabs>
          <w:tab w:val="num" w:pos="3240"/>
        </w:tabs>
        <w:ind w:left="3240" w:hanging="360"/>
      </w:pPr>
    </w:lvl>
    <w:lvl w:ilvl="5" w:tplc="B3E869D6" w:tentative="1">
      <w:start w:val="1"/>
      <w:numFmt w:val="lowerRoman"/>
      <w:lvlText w:val="%6."/>
      <w:lvlJc w:val="right"/>
      <w:pPr>
        <w:tabs>
          <w:tab w:val="num" w:pos="3960"/>
        </w:tabs>
        <w:ind w:left="3960" w:hanging="180"/>
      </w:pPr>
    </w:lvl>
    <w:lvl w:ilvl="6" w:tplc="C9A0A5DC" w:tentative="1">
      <w:start w:val="1"/>
      <w:numFmt w:val="decimal"/>
      <w:lvlText w:val="%7."/>
      <w:lvlJc w:val="left"/>
      <w:pPr>
        <w:tabs>
          <w:tab w:val="num" w:pos="4680"/>
        </w:tabs>
        <w:ind w:left="4680" w:hanging="360"/>
      </w:pPr>
    </w:lvl>
    <w:lvl w:ilvl="7" w:tplc="81808C40" w:tentative="1">
      <w:start w:val="1"/>
      <w:numFmt w:val="lowerLetter"/>
      <w:lvlText w:val="%8."/>
      <w:lvlJc w:val="left"/>
      <w:pPr>
        <w:tabs>
          <w:tab w:val="num" w:pos="5400"/>
        </w:tabs>
        <w:ind w:left="5400" w:hanging="360"/>
      </w:pPr>
    </w:lvl>
    <w:lvl w:ilvl="8" w:tplc="DA42C8EA" w:tentative="1">
      <w:start w:val="1"/>
      <w:numFmt w:val="lowerRoman"/>
      <w:lvlText w:val="%9."/>
      <w:lvlJc w:val="right"/>
      <w:pPr>
        <w:tabs>
          <w:tab w:val="num" w:pos="6120"/>
        </w:tabs>
        <w:ind w:left="6120" w:hanging="180"/>
      </w:pPr>
    </w:lvl>
  </w:abstractNum>
  <w:abstractNum w:abstractNumId="12" w15:restartNumberingAfterBreak="0">
    <w:nsid w:val="462D6E49"/>
    <w:multiLevelType w:val="hybridMultilevel"/>
    <w:tmpl w:val="78B8CEFC"/>
    <w:lvl w:ilvl="0" w:tplc="501217B0">
      <w:start w:val="1"/>
      <w:numFmt w:val="decimal"/>
      <w:lvlText w:val="%1."/>
      <w:lvlJc w:val="left"/>
      <w:pPr>
        <w:tabs>
          <w:tab w:val="num" w:pos="720"/>
        </w:tabs>
        <w:ind w:left="720" w:hanging="360"/>
      </w:pPr>
    </w:lvl>
    <w:lvl w:ilvl="1" w:tplc="1EC0368E" w:tentative="1">
      <w:start w:val="1"/>
      <w:numFmt w:val="lowerLetter"/>
      <w:lvlText w:val="%2."/>
      <w:lvlJc w:val="left"/>
      <w:pPr>
        <w:tabs>
          <w:tab w:val="num" w:pos="1440"/>
        </w:tabs>
        <w:ind w:left="1440" w:hanging="360"/>
      </w:pPr>
    </w:lvl>
    <w:lvl w:ilvl="2" w:tplc="4E3A6BF2" w:tentative="1">
      <w:start w:val="1"/>
      <w:numFmt w:val="lowerRoman"/>
      <w:lvlText w:val="%3."/>
      <w:lvlJc w:val="right"/>
      <w:pPr>
        <w:tabs>
          <w:tab w:val="num" w:pos="2160"/>
        </w:tabs>
        <w:ind w:left="2160" w:hanging="180"/>
      </w:pPr>
    </w:lvl>
    <w:lvl w:ilvl="3" w:tplc="86CE1CFC" w:tentative="1">
      <w:start w:val="1"/>
      <w:numFmt w:val="decimal"/>
      <w:lvlText w:val="%4."/>
      <w:lvlJc w:val="left"/>
      <w:pPr>
        <w:tabs>
          <w:tab w:val="num" w:pos="2880"/>
        </w:tabs>
        <w:ind w:left="2880" w:hanging="360"/>
      </w:pPr>
    </w:lvl>
    <w:lvl w:ilvl="4" w:tplc="61603B68" w:tentative="1">
      <w:start w:val="1"/>
      <w:numFmt w:val="lowerLetter"/>
      <w:lvlText w:val="%5."/>
      <w:lvlJc w:val="left"/>
      <w:pPr>
        <w:tabs>
          <w:tab w:val="num" w:pos="3600"/>
        </w:tabs>
        <w:ind w:left="3600" w:hanging="360"/>
      </w:pPr>
    </w:lvl>
    <w:lvl w:ilvl="5" w:tplc="8F08955C" w:tentative="1">
      <w:start w:val="1"/>
      <w:numFmt w:val="lowerRoman"/>
      <w:lvlText w:val="%6."/>
      <w:lvlJc w:val="right"/>
      <w:pPr>
        <w:tabs>
          <w:tab w:val="num" w:pos="4320"/>
        </w:tabs>
        <w:ind w:left="4320" w:hanging="180"/>
      </w:pPr>
    </w:lvl>
    <w:lvl w:ilvl="6" w:tplc="8A2AF630" w:tentative="1">
      <w:start w:val="1"/>
      <w:numFmt w:val="decimal"/>
      <w:lvlText w:val="%7."/>
      <w:lvlJc w:val="left"/>
      <w:pPr>
        <w:tabs>
          <w:tab w:val="num" w:pos="5040"/>
        </w:tabs>
        <w:ind w:left="5040" w:hanging="360"/>
      </w:pPr>
    </w:lvl>
    <w:lvl w:ilvl="7" w:tplc="2C68E836" w:tentative="1">
      <w:start w:val="1"/>
      <w:numFmt w:val="lowerLetter"/>
      <w:lvlText w:val="%8."/>
      <w:lvlJc w:val="left"/>
      <w:pPr>
        <w:tabs>
          <w:tab w:val="num" w:pos="5760"/>
        </w:tabs>
        <w:ind w:left="5760" w:hanging="360"/>
      </w:pPr>
    </w:lvl>
    <w:lvl w:ilvl="8" w:tplc="DF04491A"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ECISIONMNU" w:val=" 3"/>
    <w:docVar w:name="DOCDT" w:val="30/03/2017"/>
    <w:docVar w:name="FN1DT" w:val="11/11/2016"/>
    <w:docVar w:name="FN2DT" w:val="11/11/2016"/>
    <w:docVar w:name="LastEditedSection" w:val=" 1"/>
    <w:docVar w:name="OPINMNU" w:val=" 1"/>
    <w:docVar w:name="STOREDT" w:val="11/11/2016"/>
    <w:docVar w:name="strSubDir" w:val="593"/>
    <w:docVar w:name="TITLEMNU" w:val=" 3"/>
    <w:docVar w:name="TXTBUDYEAR" w:val="2015"/>
    <w:docVar w:name="TXTFN1" w:val=" "/>
    <w:docVar w:name="TXTFN2" w:val=" "/>
    <w:docVar w:name="TXTLANGUE" w:val="EN"/>
    <w:docVar w:name="TXTLANGUEMIN" w:val="en"/>
    <w:docVar w:name="TXTNRC" w:val=" "/>
    <w:docVar w:name="TXTNRCOUNC" w:val=" "/>
    <w:docVar w:name="TXTNRDEC" w:val="2016/2183"/>
    <w:docVar w:name="TXTNRPE" w:val="593.857"/>
    <w:docVar w:name="TXTPEorAP" w:val="PE"/>
    <w:docVar w:name="TXTPG1" w:val=" "/>
    <w:docVar w:name="TXTPG2" w:val=" "/>
    <w:docVar w:name="TXTROUTE" w:val="RR\593857EN.docx"/>
    <w:docVar w:name="TXTVERSION" w:val="02-00"/>
  </w:docVars>
  <w:rsids>
    <w:rsidRoot w:val="0034738B"/>
    <w:rsid w:val="00002C51"/>
    <w:rsid w:val="0005552C"/>
    <w:rsid w:val="000700E4"/>
    <w:rsid w:val="00074082"/>
    <w:rsid w:val="00090E0B"/>
    <w:rsid w:val="00095843"/>
    <w:rsid w:val="000A05D5"/>
    <w:rsid w:val="000B47E5"/>
    <w:rsid w:val="00104CB9"/>
    <w:rsid w:val="0010796E"/>
    <w:rsid w:val="00116CB4"/>
    <w:rsid w:val="00137941"/>
    <w:rsid w:val="00150EC1"/>
    <w:rsid w:val="00172C60"/>
    <w:rsid w:val="0017746B"/>
    <w:rsid w:val="001930E8"/>
    <w:rsid w:val="001B4494"/>
    <w:rsid w:val="001C1646"/>
    <w:rsid w:val="001E1032"/>
    <w:rsid w:val="00202D84"/>
    <w:rsid w:val="00211A8A"/>
    <w:rsid w:val="00253648"/>
    <w:rsid w:val="00262FB6"/>
    <w:rsid w:val="00276092"/>
    <w:rsid w:val="00277E04"/>
    <w:rsid w:val="002A07DD"/>
    <w:rsid w:val="002C6449"/>
    <w:rsid w:val="002D6EA9"/>
    <w:rsid w:val="0034738B"/>
    <w:rsid w:val="00381864"/>
    <w:rsid w:val="00390068"/>
    <w:rsid w:val="003A05DF"/>
    <w:rsid w:val="003A1053"/>
    <w:rsid w:val="003C6DA8"/>
    <w:rsid w:val="003D353C"/>
    <w:rsid w:val="003E25A9"/>
    <w:rsid w:val="003E735B"/>
    <w:rsid w:val="003F0E64"/>
    <w:rsid w:val="00413713"/>
    <w:rsid w:val="004367AB"/>
    <w:rsid w:val="004651E1"/>
    <w:rsid w:val="004A34BF"/>
    <w:rsid w:val="004A480C"/>
    <w:rsid w:val="004B5AF9"/>
    <w:rsid w:val="004C3287"/>
    <w:rsid w:val="004D13BA"/>
    <w:rsid w:val="00564DB0"/>
    <w:rsid w:val="00596D92"/>
    <w:rsid w:val="005A3D7F"/>
    <w:rsid w:val="005A6CAE"/>
    <w:rsid w:val="005B2950"/>
    <w:rsid w:val="005C689E"/>
    <w:rsid w:val="005D3E9F"/>
    <w:rsid w:val="005D4018"/>
    <w:rsid w:val="0063324A"/>
    <w:rsid w:val="00643EBE"/>
    <w:rsid w:val="006450F5"/>
    <w:rsid w:val="0066045F"/>
    <w:rsid w:val="006835EB"/>
    <w:rsid w:val="006B0ED0"/>
    <w:rsid w:val="006D37D7"/>
    <w:rsid w:val="006D5743"/>
    <w:rsid w:val="0070740B"/>
    <w:rsid w:val="007369AC"/>
    <w:rsid w:val="0074734C"/>
    <w:rsid w:val="00754EEA"/>
    <w:rsid w:val="007C3B7E"/>
    <w:rsid w:val="007D1E61"/>
    <w:rsid w:val="007E2834"/>
    <w:rsid w:val="0081446A"/>
    <w:rsid w:val="00841D8C"/>
    <w:rsid w:val="00895F7F"/>
    <w:rsid w:val="008A23A3"/>
    <w:rsid w:val="008D2063"/>
    <w:rsid w:val="008E3486"/>
    <w:rsid w:val="00916826"/>
    <w:rsid w:val="00947D32"/>
    <w:rsid w:val="009569BB"/>
    <w:rsid w:val="0096221F"/>
    <w:rsid w:val="00970EFE"/>
    <w:rsid w:val="009807D1"/>
    <w:rsid w:val="00984F05"/>
    <w:rsid w:val="009A1AE4"/>
    <w:rsid w:val="009B566F"/>
    <w:rsid w:val="009D2B30"/>
    <w:rsid w:val="00A273FA"/>
    <w:rsid w:val="00A35902"/>
    <w:rsid w:val="00A84FF1"/>
    <w:rsid w:val="00A95064"/>
    <w:rsid w:val="00AB316E"/>
    <w:rsid w:val="00AB4789"/>
    <w:rsid w:val="00B04898"/>
    <w:rsid w:val="00B24F0B"/>
    <w:rsid w:val="00B6540D"/>
    <w:rsid w:val="00B75AA6"/>
    <w:rsid w:val="00BA46FB"/>
    <w:rsid w:val="00BB710D"/>
    <w:rsid w:val="00BD13C4"/>
    <w:rsid w:val="00BE0360"/>
    <w:rsid w:val="00BE0DC4"/>
    <w:rsid w:val="00BF0771"/>
    <w:rsid w:val="00C1531C"/>
    <w:rsid w:val="00C56953"/>
    <w:rsid w:val="00C607B5"/>
    <w:rsid w:val="00C63401"/>
    <w:rsid w:val="00CA44A5"/>
    <w:rsid w:val="00CB0CB3"/>
    <w:rsid w:val="00CB6B29"/>
    <w:rsid w:val="00CE4330"/>
    <w:rsid w:val="00CF07EC"/>
    <w:rsid w:val="00D05CBA"/>
    <w:rsid w:val="00D248C7"/>
    <w:rsid w:val="00D3194D"/>
    <w:rsid w:val="00D46466"/>
    <w:rsid w:val="00D73EC1"/>
    <w:rsid w:val="00D74CC3"/>
    <w:rsid w:val="00DB009D"/>
    <w:rsid w:val="00DB13D9"/>
    <w:rsid w:val="00DE588D"/>
    <w:rsid w:val="00DF3E3E"/>
    <w:rsid w:val="00DF7BA5"/>
    <w:rsid w:val="00E356E7"/>
    <w:rsid w:val="00E35EEC"/>
    <w:rsid w:val="00E44A07"/>
    <w:rsid w:val="00E50576"/>
    <w:rsid w:val="00EE3A01"/>
    <w:rsid w:val="00F0381D"/>
    <w:rsid w:val="00F21C7F"/>
    <w:rsid w:val="00F31B44"/>
    <w:rsid w:val="00F71101"/>
    <w:rsid w:val="00F9531F"/>
    <w:rsid w:val="00FB45F2"/>
    <w:rsid w:val="00FD07C8"/>
    <w:rsid w:val="00FD18F9"/>
    <w:rsid w:val="00FD7FC6"/>
    <w:rsid w:val="00FF42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353C93"/>
  <w15:chartTrackingRefBased/>
  <w15:docId w15:val="{85719B0D-25C7-4B08-B5B3-86ACDCF2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10796E"/>
    <w:rPr>
      <w:sz w:val="20"/>
    </w:rPr>
  </w:style>
  <w:style w:type="character" w:customStyle="1" w:styleId="FootnoteTextChar">
    <w:name w:val="Footnote Text Char"/>
    <w:basedOn w:val="DefaultParagraphFont"/>
    <w:link w:val="FootnoteText"/>
    <w:rsid w:val="0010796E"/>
  </w:style>
  <w:style w:type="character" w:styleId="FootnoteReference">
    <w:name w:val="footnote reference"/>
    <w:basedOn w:val="DefaultParagraphFont"/>
    <w:rsid w:val="0010796E"/>
    <w:rPr>
      <w:vertAlign w:val="superscript"/>
    </w:rPr>
  </w:style>
  <w:style w:type="paragraph" w:customStyle="1" w:styleId="Visa">
    <w:name w:val="Visa"/>
    <w:basedOn w:val="Normal"/>
    <w:rsid w:val="00E356E7"/>
    <w:pPr>
      <w:tabs>
        <w:tab w:val="left" w:pos="357"/>
      </w:tabs>
      <w:spacing w:after="240"/>
      <w:ind w:left="357" w:hanging="357"/>
    </w:pPr>
  </w:style>
  <w:style w:type="paragraph" w:customStyle="1" w:styleId="CM1">
    <w:name w:val="CM1"/>
    <w:basedOn w:val="Normal"/>
    <w:next w:val="Normal"/>
    <w:uiPriority w:val="99"/>
    <w:rsid w:val="00E356E7"/>
    <w:pPr>
      <w:widowControl/>
      <w:autoSpaceDE w:val="0"/>
      <w:autoSpaceDN w:val="0"/>
      <w:adjustRightInd w:val="0"/>
    </w:pPr>
    <w:rPr>
      <w:rFonts w:ascii="EUAlbertina" w:hAnsi="EUAlbertina"/>
      <w:szCs w:val="24"/>
    </w:rPr>
  </w:style>
  <w:style w:type="character" w:customStyle="1" w:styleId="cwcot">
    <w:name w:val="cwcot"/>
    <w:rsid w:val="00E356E7"/>
  </w:style>
  <w:style w:type="paragraph" w:styleId="BalloonText">
    <w:name w:val="Balloon Text"/>
    <w:basedOn w:val="Normal"/>
    <w:link w:val="BalloonTextChar"/>
    <w:rsid w:val="007369AC"/>
    <w:rPr>
      <w:rFonts w:ascii="Segoe UI" w:hAnsi="Segoe UI" w:cs="Segoe UI"/>
      <w:sz w:val="18"/>
      <w:szCs w:val="18"/>
    </w:rPr>
  </w:style>
  <w:style w:type="character" w:customStyle="1" w:styleId="BalloonTextChar">
    <w:name w:val="Balloon Text Char"/>
    <w:basedOn w:val="DefaultParagraphFont"/>
    <w:link w:val="BalloonText"/>
    <w:rsid w:val="007369AC"/>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BB710D"/>
  </w:style>
  <w:style w:type="paragraph" w:styleId="CommentSubject">
    <w:name w:val="annotation subject"/>
    <w:basedOn w:val="CommentText"/>
    <w:next w:val="CommentText"/>
    <w:link w:val="CommentSubjectChar"/>
    <w:rsid w:val="00BB710D"/>
    <w:rPr>
      <w:b/>
      <w:bCs/>
    </w:rPr>
  </w:style>
  <w:style w:type="character" w:customStyle="1" w:styleId="CommentSubjectChar">
    <w:name w:val="Comment Subject Char"/>
    <w:basedOn w:val="CommentTextChar"/>
    <w:link w:val="CommentSubject"/>
    <w:rsid w:val="00BB710D"/>
    <w:rPr>
      <w:b/>
      <w:bCs/>
    </w:rPr>
  </w:style>
  <w:style w:type="character" w:customStyle="1" w:styleId="Normal12HangingChar">
    <w:name w:val="Normal12Hanging Char"/>
    <w:link w:val="Normal12Hanging"/>
    <w:rsid w:val="00BE0360"/>
    <w:rPr>
      <w:sz w:val="24"/>
    </w:rPr>
  </w:style>
  <w:style w:type="paragraph" w:customStyle="1" w:styleId="NormalTabs">
    <w:name w:val="NormalTabs"/>
    <w:basedOn w:val="Normal"/>
    <w:qFormat/>
    <w:rsid w:val="006450F5"/>
    <w:pPr>
      <w:tabs>
        <w:tab w:val="center" w:pos="284"/>
        <w:tab w:val="left" w:pos="42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7910">
      <w:bodyDiv w:val="1"/>
      <w:marLeft w:val="0"/>
      <w:marRight w:val="0"/>
      <w:marTop w:val="0"/>
      <w:marBottom w:val="0"/>
      <w:divBdr>
        <w:top w:val="none" w:sz="0" w:space="0" w:color="auto"/>
        <w:left w:val="none" w:sz="0" w:space="0" w:color="auto"/>
        <w:bottom w:val="none" w:sz="0" w:space="0" w:color="auto"/>
        <w:right w:val="none" w:sz="0" w:space="0" w:color="auto"/>
      </w:divBdr>
    </w:div>
    <w:div w:id="934288738">
      <w:bodyDiv w:val="1"/>
      <w:marLeft w:val="0"/>
      <w:marRight w:val="0"/>
      <w:marTop w:val="0"/>
      <w:marBottom w:val="0"/>
      <w:divBdr>
        <w:top w:val="none" w:sz="0" w:space="0" w:color="auto"/>
        <w:left w:val="none" w:sz="0" w:space="0" w:color="auto"/>
        <w:bottom w:val="none" w:sz="0" w:space="0" w:color="auto"/>
        <w:right w:val="none" w:sz="0" w:space="0" w:color="auto"/>
      </w:divBdr>
    </w:div>
    <w:div w:id="1170944705">
      <w:bodyDiv w:val="1"/>
      <w:marLeft w:val="0"/>
      <w:marRight w:val="0"/>
      <w:marTop w:val="0"/>
      <w:marBottom w:val="0"/>
      <w:divBdr>
        <w:top w:val="none" w:sz="0" w:space="0" w:color="auto"/>
        <w:left w:val="none" w:sz="0" w:space="0" w:color="auto"/>
        <w:bottom w:val="none" w:sz="0" w:space="0" w:color="auto"/>
        <w:right w:val="none" w:sz="0" w:space="0" w:color="auto"/>
      </w:divBdr>
    </w:div>
    <w:div w:id="1178040962">
      <w:bodyDiv w:val="1"/>
      <w:marLeft w:val="0"/>
      <w:marRight w:val="0"/>
      <w:marTop w:val="0"/>
      <w:marBottom w:val="0"/>
      <w:divBdr>
        <w:top w:val="none" w:sz="0" w:space="0" w:color="auto"/>
        <w:left w:val="none" w:sz="0" w:space="0" w:color="auto"/>
        <w:bottom w:val="none" w:sz="0" w:space="0" w:color="auto"/>
        <w:right w:val="none" w:sz="0" w:space="0" w:color="auto"/>
      </w:divBdr>
    </w:div>
    <w:div w:id="1544975562">
      <w:bodyDiv w:val="1"/>
      <w:marLeft w:val="0"/>
      <w:marRight w:val="0"/>
      <w:marTop w:val="0"/>
      <w:marBottom w:val="0"/>
      <w:divBdr>
        <w:top w:val="none" w:sz="0" w:space="0" w:color="auto"/>
        <w:left w:val="none" w:sz="0" w:space="0" w:color="auto"/>
        <w:bottom w:val="none" w:sz="0" w:space="0" w:color="auto"/>
        <w:right w:val="none" w:sz="0" w:space="0" w:color="auto"/>
      </w:divBdr>
    </w:div>
    <w:div w:id="1851336970">
      <w:bodyDiv w:val="1"/>
      <w:marLeft w:val="0"/>
      <w:marRight w:val="0"/>
      <w:marTop w:val="0"/>
      <w:marBottom w:val="0"/>
      <w:divBdr>
        <w:top w:val="none" w:sz="0" w:space="0" w:color="auto"/>
        <w:left w:val="none" w:sz="0" w:space="0" w:color="auto"/>
        <w:bottom w:val="none" w:sz="0" w:space="0" w:color="auto"/>
        <w:right w:val="none" w:sz="0" w:space="0" w:color="auto"/>
      </w:divBdr>
    </w:div>
    <w:div w:id="19367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1346</Words>
  <Characters>8847</Characters>
  <Application>Microsoft Office Word</Application>
  <DocSecurity>0</DocSecurity>
  <Lines>226</Lines>
  <Paragraphs>135</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DULHAUSTE Karelle</dc:creator>
  <cp:keywords/>
  <dc:description/>
  <cp:lastModifiedBy>BONNEVIER Lotta</cp:lastModifiedBy>
  <cp:revision>2</cp:revision>
  <cp:lastPrinted>2017-03-30T10:29:00Z</cp:lastPrinted>
  <dcterms:created xsi:type="dcterms:W3CDTF">2017-04-05T14:09:00Z</dcterms:created>
  <dcterms:modified xsi:type="dcterms:W3CDTF">2017-04-05T14:09:00Z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[20170325]</vt:lpwstr>
  </property>
  <property fmtid="{D5CDD505-2E9C-101B-9397-08002B2CF9AE}" pid="4" name="&lt;FdR&gt;">
    <vt:lpwstr>1121999</vt:lpwstr>
  </property>
  <property fmtid="{D5CDD505-2E9C-101B-9397-08002B2CF9AE}" pid="5" name="&lt;Type&gt;">
    <vt:lpwstr>RR</vt:lpwstr>
  </property>
  <property fmtid="{D5CDD505-2E9C-101B-9397-08002B2CF9AE}" pid="6" name="&lt;ModelCod&gt;">
    <vt:lpwstr>\\eiciBRUpr1\pdocep$\DocEP\DOCS\General\PR\PR_BUD\DEC\PR_DEC_Agencies.dot(17/02/2016 10:44:27)</vt:lpwstr>
  </property>
  <property fmtid="{D5CDD505-2E9C-101B-9397-08002B2CF9AE}" pid="7" name="&lt;ModelTra&gt;">
    <vt:lpwstr>\\eiciBRUpr1\pdocep$\DocEP\TRANSFIL\EN\PR_DEC_Agencies.EN(22/09/2016 14:22:19)</vt:lpwstr>
  </property>
  <property fmtid="{D5CDD505-2E9C-101B-9397-08002B2CF9AE}" pid="8" name="&lt;Model&gt;">
    <vt:lpwstr>PR_DEC_Agencies</vt:lpwstr>
  </property>
  <property fmtid="{D5CDD505-2E9C-101B-9397-08002B2CF9AE}" pid="9" name="FooterPath">
    <vt:lpwstr>RR\1121999SV.docx</vt:lpwstr>
  </property>
  <property fmtid="{D5CDD505-2E9C-101B-9397-08002B2CF9AE}" pid="10" name="PE Number">
    <vt:lpwstr>593.857</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- 2017/04/05 16:09</vt:lpwstr>
  </property>
</Properties>
</file>