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4457CB" w:rsidTr="006F7907">
        <w:trPr>
          <w:trHeight w:hRule="exact" w:val="1418"/>
        </w:trPr>
        <w:tc>
          <w:tcPr>
            <w:tcW w:w="6804" w:type="dxa"/>
            <w:shd w:val="clear" w:color="auto" w:fill="auto"/>
            <w:vAlign w:val="center"/>
          </w:tcPr>
          <w:p w:rsidR="006F7907" w:rsidRPr="004457CB" w:rsidRDefault="001D30A3" w:rsidP="00FD1DEF">
            <w:pPr>
              <w:pStyle w:val="EPName"/>
              <w:rPr>
                <w:noProof/>
                <w:color w:val="auto"/>
              </w:rPr>
            </w:pPr>
            <w:r w:rsidRPr="004457CB">
              <w:rPr>
                <w:color w:val="auto"/>
              </w:rPr>
              <w:t>Parlamento europeo</w:t>
            </w:r>
          </w:p>
          <w:p w:rsidR="006F7907" w:rsidRPr="004457CB" w:rsidRDefault="005D63E6" w:rsidP="005D63E6">
            <w:pPr>
              <w:pStyle w:val="EPTerm"/>
              <w:rPr>
                <w:rStyle w:val="HideTWBExt"/>
                <w:color w:val="auto"/>
              </w:rPr>
            </w:pPr>
            <w:r w:rsidRPr="004457CB">
              <w:t>2014-2019</w:t>
            </w:r>
          </w:p>
        </w:tc>
        <w:tc>
          <w:tcPr>
            <w:tcW w:w="2268" w:type="dxa"/>
            <w:shd w:val="clear" w:color="auto" w:fill="auto"/>
          </w:tcPr>
          <w:p w:rsidR="006F7907" w:rsidRPr="004457CB" w:rsidRDefault="004457CB" w:rsidP="00896BB4">
            <w:pPr>
              <w:pStyle w:val="EPLogo"/>
              <w:rPr>
                <w:noProof/>
              </w:rPr>
            </w:pPr>
            <w:r w:rsidRPr="004457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0.4pt">
                  <v:imagedata r:id="rId8" o:title="EP logo RGB_Mute"/>
                </v:shape>
              </w:pict>
            </w:r>
          </w:p>
        </w:tc>
      </w:tr>
    </w:tbl>
    <w:p w:rsidR="00461601" w:rsidRPr="004457CB" w:rsidRDefault="00461601" w:rsidP="00461601">
      <w:pPr>
        <w:pStyle w:val="LineTop"/>
        <w:rPr>
          <w:noProof/>
        </w:rPr>
      </w:pPr>
    </w:p>
    <w:p w:rsidR="00461601" w:rsidRPr="004457CB" w:rsidRDefault="00DF5D8D" w:rsidP="00461601">
      <w:pPr>
        <w:pStyle w:val="ZCommittee"/>
        <w:rPr>
          <w:noProof/>
        </w:rPr>
      </w:pPr>
      <w:r w:rsidRPr="004457CB">
        <w:t>Documento di seduta</w:t>
      </w:r>
    </w:p>
    <w:p w:rsidR="00461601" w:rsidRPr="004457CB" w:rsidRDefault="00461601" w:rsidP="00461601">
      <w:pPr>
        <w:pStyle w:val="LineBottom"/>
        <w:rPr>
          <w:noProof/>
        </w:rPr>
      </w:pPr>
    </w:p>
    <w:p w:rsidR="00793EA9" w:rsidRPr="004457CB" w:rsidRDefault="00DF5D8D">
      <w:pPr>
        <w:pStyle w:val="RefProc"/>
        <w:rPr>
          <w:noProof/>
        </w:rPr>
      </w:pPr>
      <w:r w:rsidRPr="004457CB">
        <w:rPr>
          <w:rStyle w:val="HideTWBExt"/>
          <w:color w:val="auto"/>
        </w:rPr>
        <w:t>&lt;NoDocSe&gt;</w:t>
      </w:r>
      <w:r w:rsidRPr="004457CB">
        <w:t>A8-0394/2018</w:t>
      </w:r>
      <w:r w:rsidRPr="004457CB">
        <w:rPr>
          <w:rStyle w:val="HideTWBExt"/>
          <w:color w:val="auto"/>
        </w:rPr>
        <w:t>&lt;/NoDocSe&gt;</w:t>
      </w:r>
    </w:p>
    <w:p w:rsidR="00793EA9" w:rsidRPr="004457CB" w:rsidRDefault="00793EA9">
      <w:pPr>
        <w:pStyle w:val="ZDate"/>
        <w:rPr>
          <w:noProof/>
        </w:rPr>
      </w:pPr>
      <w:r w:rsidRPr="004457CB">
        <w:rPr>
          <w:rStyle w:val="HideTWBExt"/>
          <w:color w:val="auto"/>
        </w:rPr>
        <w:t>&lt;Date&gt;</w:t>
      </w:r>
      <w:r w:rsidRPr="004457CB">
        <w:rPr>
          <w:rStyle w:val="HideTWBInt"/>
          <w:color w:val="auto"/>
        </w:rPr>
        <w:t>{26/11/2018}</w:t>
      </w:r>
      <w:r w:rsidRPr="004457CB">
        <w:t>26.11.2018</w:t>
      </w:r>
      <w:r w:rsidRPr="004457CB">
        <w:rPr>
          <w:rStyle w:val="HideTWBExt"/>
          <w:color w:val="auto"/>
        </w:rPr>
        <w:t>&lt;/Date&gt;</w:t>
      </w:r>
    </w:p>
    <w:p w:rsidR="00793EA9" w:rsidRPr="004457CB" w:rsidRDefault="00793EA9">
      <w:pPr>
        <w:pStyle w:val="StarsAndIs"/>
        <w:rPr>
          <w:noProof/>
        </w:rPr>
      </w:pPr>
      <w:r w:rsidRPr="004457CB">
        <w:rPr>
          <w:rStyle w:val="HideTWBExt"/>
          <w:b w:val="0"/>
          <w:color w:val="auto"/>
        </w:rPr>
        <w:t>&lt;RefProcLect&gt;</w:t>
      </w:r>
      <w:r w:rsidRPr="004457CB">
        <w:t>***I</w:t>
      </w:r>
      <w:r w:rsidRPr="004457CB">
        <w:rPr>
          <w:rStyle w:val="HideTWBExt"/>
          <w:b w:val="0"/>
          <w:color w:val="auto"/>
        </w:rPr>
        <w:t>&lt;/RefProcLect&gt;</w:t>
      </w:r>
    </w:p>
    <w:p w:rsidR="00793EA9" w:rsidRPr="004457CB" w:rsidRDefault="00793EA9">
      <w:pPr>
        <w:pStyle w:val="TypeDoc"/>
        <w:rPr>
          <w:noProof/>
        </w:rPr>
      </w:pPr>
      <w:r w:rsidRPr="004457CB">
        <w:rPr>
          <w:rStyle w:val="HideTWBExt"/>
          <w:b w:val="0"/>
          <w:color w:val="auto"/>
        </w:rPr>
        <w:t>&lt;TitreType&gt;</w:t>
      </w:r>
      <w:r w:rsidRPr="004457CB">
        <w:t>RELAZIONE</w:t>
      </w:r>
      <w:r w:rsidRPr="004457CB">
        <w:rPr>
          <w:rStyle w:val="HideTWBExt"/>
          <w:b w:val="0"/>
          <w:color w:val="auto"/>
        </w:rPr>
        <w:t>&lt;/TitreType&gt;</w:t>
      </w:r>
    </w:p>
    <w:p w:rsidR="00793EA9" w:rsidRPr="004457CB" w:rsidRDefault="00793EA9">
      <w:pPr>
        <w:pStyle w:val="CoverNormal"/>
        <w:rPr>
          <w:noProof/>
        </w:rPr>
      </w:pPr>
      <w:r w:rsidRPr="004457CB">
        <w:rPr>
          <w:rStyle w:val="HideTWBExt"/>
          <w:color w:val="auto"/>
        </w:rPr>
        <w:t>&lt;Titre&gt;</w:t>
      </w:r>
      <w:r w:rsidRPr="004457CB">
        <w:t>sulla proposta di regolamento del Parlamento europeo e del Consiglio relativo alla messa in opera e al funzionamento del nome di dominio di primo livello .eu e che abroga il regolamento (CE) n. 733/2002 e il regolamento (CE) n. 874/2004 della Commissione</w:t>
      </w:r>
      <w:r w:rsidRPr="004457CB">
        <w:rPr>
          <w:rStyle w:val="HideTWBExt"/>
          <w:color w:val="auto"/>
        </w:rPr>
        <w:t>&lt;/Titre&gt;</w:t>
      </w:r>
    </w:p>
    <w:p w:rsidR="00793EA9" w:rsidRPr="004457CB" w:rsidRDefault="00793EA9">
      <w:pPr>
        <w:pStyle w:val="Cover24"/>
        <w:rPr>
          <w:noProof/>
        </w:rPr>
      </w:pPr>
      <w:r w:rsidRPr="004457CB">
        <w:rPr>
          <w:rStyle w:val="HideTWBExt"/>
          <w:color w:val="auto"/>
        </w:rPr>
        <w:t>&lt;DocRef&gt;</w:t>
      </w:r>
      <w:r w:rsidRPr="004457CB">
        <w:t>(COM(2018)0231 – C8-0170/2018 – 2018/0110(COD))</w:t>
      </w:r>
      <w:r w:rsidRPr="004457CB">
        <w:rPr>
          <w:rStyle w:val="HideTWBExt"/>
          <w:color w:val="auto"/>
        </w:rPr>
        <w:t>&lt;/DocRef&gt;</w:t>
      </w:r>
    </w:p>
    <w:p w:rsidR="00793EA9" w:rsidRPr="004457CB" w:rsidRDefault="00793EA9">
      <w:pPr>
        <w:pStyle w:val="Cover24"/>
        <w:rPr>
          <w:noProof/>
        </w:rPr>
      </w:pPr>
      <w:r w:rsidRPr="004457CB">
        <w:rPr>
          <w:rStyle w:val="HideTWBExt"/>
          <w:color w:val="auto"/>
        </w:rPr>
        <w:t>&lt;Commission&gt;</w:t>
      </w:r>
      <w:r w:rsidRPr="004457CB">
        <w:rPr>
          <w:rStyle w:val="HideTWBInt"/>
          <w:color w:val="auto"/>
        </w:rPr>
        <w:t>{ITRE}</w:t>
      </w:r>
      <w:r w:rsidRPr="004457CB">
        <w:t>Commissione per l'industria, la ricerca e l'energia</w:t>
      </w:r>
      <w:r w:rsidRPr="004457CB">
        <w:rPr>
          <w:rStyle w:val="HideTWBExt"/>
          <w:color w:val="auto"/>
        </w:rPr>
        <w:t>&lt;/Commission&gt;</w:t>
      </w:r>
    </w:p>
    <w:p w:rsidR="00793EA9" w:rsidRPr="004457CB" w:rsidRDefault="001D30A3">
      <w:pPr>
        <w:pStyle w:val="Cover24"/>
        <w:rPr>
          <w:noProof/>
        </w:rPr>
      </w:pPr>
      <w:r w:rsidRPr="004457CB">
        <w:t xml:space="preserve">Relatore: </w:t>
      </w:r>
      <w:r w:rsidRPr="004457CB">
        <w:rPr>
          <w:rStyle w:val="HideTWBExt"/>
          <w:color w:val="auto"/>
        </w:rPr>
        <w:t>&lt;Depute&gt;</w:t>
      </w:r>
      <w:r w:rsidRPr="004457CB">
        <w:t>Fredrick Federley</w:t>
      </w:r>
      <w:r w:rsidRPr="004457CB">
        <w:rPr>
          <w:rStyle w:val="HideTWBExt"/>
          <w:color w:val="auto"/>
        </w:rPr>
        <w:t>&lt;/Depute&gt;</w:t>
      </w:r>
    </w:p>
    <w:p w:rsidR="001C5B44" w:rsidRPr="004457CB" w:rsidRDefault="001C5B44" w:rsidP="001C5B44">
      <w:pPr>
        <w:pStyle w:val="CoverNormal"/>
        <w:rPr>
          <w:noProof/>
        </w:rPr>
      </w:pPr>
    </w:p>
    <w:p w:rsidR="00793EA9" w:rsidRPr="004457CB" w:rsidRDefault="00793EA9" w:rsidP="00187008">
      <w:pPr>
        <w:widowControl/>
        <w:tabs>
          <w:tab w:val="center" w:pos="4677"/>
        </w:tabs>
        <w:rPr>
          <w:noProof/>
        </w:rPr>
      </w:pPr>
      <w:r w:rsidRPr="004457CB">
        <w:br w:type="page"/>
      </w:r>
    </w:p>
    <w:p w:rsidR="005D63E6" w:rsidRPr="004457CB" w:rsidRDefault="004457CB">
      <w:pPr>
        <w:rPr>
          <w:noProof/>
        </w:rPr>
      </w:pPr>
      <w:r w:rsidRPr="004457CB">
        <w:rPr>
          <w:noProof/>
        </w:rPr>
        <w:fldChar w:fldCharType="begin"/>
      </w:r>
      <w:r w:rsidRPr="004457CB">
        <w:rPr>
          <w:noProof/>
        </w:rPr>
        <w:instrText xml:space="preserve"> TITLE  \* MERGEFORMAT </w:instrText>
      </w:r>
      <w:r w:rsidRPr="004457CB">
        <w:rPr>
          <w:noProof/>
        </w:rPr>
        <w:fldChar w:fldCharType="separate"/>
      </w:r>
      <w:r>
        <w:rPr>
          <w:noProof/>
        </w:rPr>
        <w:t>PR_COD_1amCom</w:t>
      </w:r>
      <w:r w:rsidRPr="004457CB">
        <w:rPr>
          <w:noProof/>
        </w:rPr>
        <w:fldChar w:fldCharType="end"/>
      </w:r>
    </w:p>
    <w:p w:rsidR="005D63E6" w:rsidRPr="004457CB" w:rsidRDefault="005D63E6">
      <w:pPr>
        <w:rPr>
          <w:noProof/>
        </w:rPr>
      </w:pPr>
    </w:p>
    <w:p w:rsidR="005D63E6" w:rsidRPr="004457CB" w:rsidRDefault="005D63E6">
      <w:pPr>
        <w:rPr>
          <w:noProof/>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4457CB" w:rsidRPr="004457CB">
        <w:tc>
          <w:tcPr>
            <w:tcW w:w="5811" w:type="dxa"/>
          </w:tcPr>
          <w:p w:rsidR="005D63E6" w:rsidRPr="004457CB" w:rsidRDefault="005D63E6">
            <w:pPr>
              <w:pStyle w:val="Lgendetitre"/>
              <w:rPr>
                <w:noProof/>
              </w:rPr>
            </w:pPr>
            <w:r w:rsidRPr="004457CB">
              <w:t>Significato dei simboli utilizzati</w:t>
            </w:r>
          </w:p>
        </w:tc>
      </w:tr>
      <w:tr w:rsidR="005D63E6" w:rsidRPr="004457CB" w:rsidTr="00C50C36">
        <w:trPr>
          <w:cantSplit/>
          <w:trHeight w:val="1944"/>
        </w:trPr>
        <w:tc>
          <w:tcPr>
            <w:tcW w:w="5811" w:type="dxa"/>
            <w:tcBorders>
              <w:bottom w:val="single" w:sz="4" w:space="0" w:color="auto"/>
            </w:tcBorders>
          </w:tcPr>
          <w:p w:rsidR="005D63E6" w:rsidRPr="004457CB" w:rsidRDefault="005D63E6">
            <w:pPr>
              <w:pStyle w:val="Lgendesigne"/>
              <w:rPr>
                <w:noProof/>
              </w:rPr>
            </w:pPr>
            <w:r w:rsidRPr="004457CB">
              <w:tab/>
              <w:t>*</w:t>
            </w:r>
            <w:r w:rsidRPr="004457CB">
              <w:tab/>
              <w:t>Procedura di consultazione</w:t>
            </w:r>
          </w:p>
          <w:p w:rsidR="005D63E6" w:rsidRPr="004457CB" w:rsidRDefault="005D63E6">
            <w:pPr>
              <w:pStyle w:val="Lgendesigne"/>
              <w:rPr>
                <w:noProof/>
              </w:rPr>
            </w:pPr>
            <w:r w:rsidRPr="004457CB">
              <w:tab/>
              <w:t>***</w:t>
            </w:r>
            <w:r w:rsidRPr="004457CB">
              <w:tab/>
              <w:t>Procedura di approvazione</w:t>
            </w:r>
          </w:p>
          <w:p w:rsidR="005D63E6" w:rsidRPr="004457CB" w:rsidRDefault="005D63E6">
            <w:pPr>
              <w:pStyle w:val="Lgendesigne"/>
              <w:rPr>
                <w:noProof/>
              </w:rPr>
            </w:pPr>
            <w:r w:rsidRPr="004457CB">
              <w:tab/>
              <w:t>***I</w:t>
            </w:r>
            <w:r w:rsidRPr="004457CB">
              <w:tab/>
              <w:t>Procedura legislativa ordinaria (prima lettura)</w:t>
            </w:r>
          </w:p>
          <w:p w:rsidR="005D63E6" w:rsidRPr="004457CB" w:rsidRDefault="005D63E6">
            <w:pPr>
              <w:pStyle w:val="Lgendesigne"/>
              <w:rPr>
                <w:noProof/>
              </w:rPr>
            </w:pPr>
            <w:r w:rsidRPr="004457CB">
              <w:tab/>
              <w:t>***II</w:t>
            </w:r>
            <w:r w:rsidRPr="004457CB">
              <w:tab/>
              <w:t>Procedura legislativa ordinaria (seconda lettura)</w:t>
            </w:r>
          </w:p>
          <w:p w:rsidR="005D63E6" w:rsidRPr="004457CB" w:rsidRDefault="005D63E6">
            <w:pPr>
              <w:pStyle w:val="Lgendesigne"/>
              <w:rPr>
                <w:noProof/>
              </w:rPr>
            </w:pPr>
            <w:r w:rsidRPr="004457CB">
              <w:tab/>
              <w:t>***III</w:t>
            </w:r>
            <w:r w:rsidRPr="004457CB">
              <w:tab/>
              <w:t>Procedura legislativa ordinaria (terza lettura)</w:t>
            </w:r>
          </w:p>
          <w:p w:rsidR="005D63E6" w:rsidRPr="004457CB" w:rsidRDefault="005D63E6">
            <w:pPr>
              <w:pStyle w:val="Lgendesigne"/>
              <w:ind w:left="0" w:firstLine="0"/>
              <w:rPr>
                <w:noProof/>
              </w:rPr>
            </w:pPr>
          </w:p>
          <w:p w:rsidR="005D63E6" w:rsidRPr="004457CB" w:rsidRDefault="005D63E6">
            <w:pPr>
              <w:pStyle w:val="Lgendestandard"/>
              <w:rPr>
                <w:noProof/>
              </w:rPr>
            </w:pPr>
            <w:r w:rsidRPr="004457CB">
              <w:t>(La procedura indicata dipende dalla base giuridica proposta nel progetto di atto.)</w:t>
            </w:r>
          </w:p>
          <w:p w:rsidR="005D63E6" w:rsidRPr="004457CB" w:rsidRDefault="005D63E6">
            <w:pPr>
              <w:pStyle w:val="Lgendesigne"/>
              <w:ind w:left="0" w:firstLine="0"/>
              <w:rPr>
                <w:noProof/>
              </w:rPr>
            </w:pPr>
          </w:p>
        </w:tc>
      </w:tr>
    </w:tbl>
    <w:p w:rsidR="005D63E6" w:rsidRPr="004457CB" w:rsidRDefault="005D63E6">
      <w:pPr>
        <w:rPr>
          <w:noProof/>
        </w:rPr>
      </w:pPr>
    </w:p>
    <w:p w:rsidR="005D63E6" w:rsidRPr="004457CB" w:rsidRDefault="005D63E6">
      <w:pPr>
        <w:rPr>
          <w:noProof/>
        </w:rPr>
      </w:pPr>
    </w:p>
    <w:p w:rsidR="005D63E6" w:rsidRPr="004457CB" w:rsidRDefault="005D63E6">
      <w:pPr>
        <w:rPr>
          <w:noProof/>
        </w:rPr>
      </w:pPr>
    </w:p>
    <w:p w:rsidR="005D63E6" w:rsidRPr="004457CB" w:rsidRDefault="005D63E6">
      <w:pPr>
        <w:rPr>
          <w:noProof/>
        </w:rPr>
      </w:pPr>
    </w:p>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4457CB" w:rsidRPr="004457CB">
        <w:tc>
          <w:tcPr>
            <w:tcW w:w="5811" w:type="dxa"/>
          </w:tcPr>
          <w:p w:rsidR="005D63E6" w:rsidRPr="004457CB" w:rsidRDefault="005D63E6">
            <w:pPr>
              <w:pStyle w:val="Lgendetitre"/>
              <w:rPr>
                <w:noProof/>
              </w:rPr>
            </w:pPr>
            <w:r w:rsidRPr="004457CB">
              <w:t>Emendamenti a un progetto di atto</w:t>
            </w:r>
          </w:p>
        </w:tc>
      </w:tr>
      <w:tr w:rsidR="005D63E6" w:rsidRPr="004457CB">
        <w:tc>
          <w:tcPr>
            <w:tcW w:w="5811" w:type="dxa"/>
          </w:tcPr>
          <w:p w:rsidR="005D63E6" w:rsidRPr="004457CB" w:rsidRDefault="005D63E6" w:rsidP="00C119BA">
            <w:pPr>
              <w:pStyle w:val="Lgendestandard"/>
              <w:rPr>
                <w:b/>
                <w:noProof/>
              </w:rPr>
            </w:pPr>
            <w:r w:rsidRPr="004457CB">
              <w:rPr>
                <w:b/>
              </w:rPr>
              <w:t>Emendamenti del Parlamento presentati su due colonne</w:t>
            </w:r>
          </w:p>
          <w:p w:rsidR="005D63E6" w:rsidRPr="004457CB" w:rsidRDefault="005D63E6" w:rsidP="00C119BA">
            <w:pPr>
              <w:pStyle w:val="Lgendestandard"/>
              <w:rPr>
                <w:b/>
                <w:noProof/>
              </w:rPr>
            </w:pPr>
          </w:p>
          <w:p w:rsidR="005D63E6" w:rsidRPr="004457CB" w:rsidRDefault="005D63E6" w:rsidP="00350CA0">
            <w:pPr>
              <w:pStyle w:val="Lgendestandard"/>
              <w:rPr>
                <w:noProof/>
              </w:rPr>
            </w:pPr>
            <w:r w:rsidRPr="004457CB">
              <w:t xml:space="preserve">Le soppressioni sono evidenziate in </w:t>
            </w:r>
            <w:r w:rsidRPr="004457CB">
              <w:rPr>
                <w:b/>
                <w:i/>
              </w:rPr>
              <w:t xml:space="preserve">corsivo grassetto </w:t>
            </w:r>
            <w:r w:rsidRPr="004457CB">
              <w:t>nella colonna di sinistra.</w:t>
            </w:r>
            <w:r w:rsidRPr="004457CB">
              <w:rPr>
                <w:i/>
              </w:rPr>
              <w:t xml:space="preserve"> </w:t>
            </w:r>
            <w:r w:rsidRPr="004457CB">
              <w:t xml:space="preserve">Le sostituzioni sono evidenziate in </w:t>
            </w:r>
            <w:r w:rsidRPr="004457CB">
              <w:rPr>
                <w:b/>
                <w:i/>
              </w:rPr>
              <w:t xml:space="preserve">corsivo grassetto </w:t>
            </w:r>
            <w:r w:rsidRPr="004457CB">
              <w:t xml:space="preserve">nelle due colonne. Il testo nuovo è evidenziato in </w:t>
            </w:r>
            <w:r w:rsidRPr="004457CB">
              <w:rPr>
                <w:b/>
                <w:i/>
              </w:rPr>
              <w:t xml:space="preserve">corsivo grassetto </w:t>
            </w:r>
            <w:r w:rsidRPr="004457CB">
              <w:t>nella colonna di destra.</w:t>
            </w:r>
          </w:p>
          <w:p w:rsidR="005D63E6" w:rsidRPr="004457CB" w:rsidRDefault="005D63E6" w:rsidP="00350CA0">
            <w:pPr>
              <w:pStyle w:val="Lgendestandard"/>
              <w:rPr>
                <w:noProof/>
              </w:rPr>
            </w:pPr>
          </w:p>
          <w:p w:rsidR="005D63E6" w:rsidRPr="004457CB" w:rsidRDefault="005D63E6" w:rsidP="00350CA0">
            <w:pPr>
              <w:pStyle w:val="Lgendestandard"/>
              <w:rPr>
                <w:noProof/>
              </w:rPr>
            </w:pPr>
            <w:r w:rsidRPr="004457CB">
              <w:t xml:space="preserve">La prima e la seconda riga del blocco d'informazione di ogni emendamento identificano la parte di testo interessata del progetto di atto in esame. Se un emendamento verte su un atto esistente che il progetto di atto intende modificare, il blocco d'informazione comprende anche una terza e una quarta riga che identificano rispettivamente l'atto esistente e la disposizione interessata di quest'ultimo. </w:t>
            </w:r>
          </w:p>
          <w:p w:rsidR="005D63E6" w:rsidRPr="004457CB" w:rsidRDefault="005D63E6" w:rsidP="00350CA0">
            <w:pPr>
              <w:pStyle w:val="Lgendestandard"/>
              <w:rPr>
                <w:noProof/>
              </w:rPr>
            </w:pPr>
          </w:p>
          <w:p w:rsidR="005D63E6" w:rsidRPr="004457CB" w:rsidRDefault="005D63E6" w:rsidP="00C119BA">
            <w:pPr>
              <w:pStyle w:val="Lgendestandard"/>
              <w:rPr>
                <w:b/>
                <w:noProof/>
              </w:rPr>
            </w:pPr>
            <w:r w:rsidRPr="004457CB">
              <w:rPr>
                <w:b/>
              </w:rPr>
              <w:t>Emendamenti del Parlamento presentati in forma di testo consolidato</w:t>
            </w:r>
          </w:p>
          <w:p w:rsidR="005D63E6" w:rsidRPr="004457CB" w:rsidRDefault="005D63E6" w:rsidP="00C119BA">
            <w:pPr>
              <w:pStyle w:val="Lgendestandard"/>
              <w:rPr>
                <w:b/>
                <w:noProof/>
              </w:rPr>
            </w:pPr>
          </w:p>
          <w:p w:rsidR="005D63E6" w:rsidRPr="004457CB" w:rsidRDefault="005D63E6" w:rsidP="00C119BA">
            <w:pPr>
              <w:pStyle w:val="Lgendestandard"/>
              <w:rPr>
                <w:noProof/>
                <w:szCs w:val="18"/>
              </w:rPr>
            </w:pPr>
            <w:r w:rsidRPr="004457CB">
              <w:t xml:space="preserve">Le parti di testo nuove sono evidenziate in </w:t>
            </w:r>
            <w:r w:rsidRPr="004457CB">
              <w:rPr>
                <w:b/>
                <w:i/>
              </w:rPr>
              <w:t>corsivo grassetto</w:t>
            </w:r>
            <w:r w:rsidRPr="004457CB">
              <w:t xml:space="preserve">. Le parti di testo soppresse sono indicate con il simbolo ▌ o sono barrate. Le sostituzioni sono segnalate evidenziando in </w:t>
            </w:r>
            <w:r w:rsidRPr="004457CB">
              <w:rPr>
                <w:b/>
                <w:i/>
                <w:szCs w:val="18"/>
              </w:rPr>
              <w:t xml:space="preserve">corsivo grassetto </w:t>
            </w:r>
            <w:r w:rsidRPr="004457CB">
              <w:t>il testo nuovo ed eliminando o barrando il testo sostituito.</w:t>
            </w:r>
          </w:p>
          <w:p w:rsidR="005D63E6" w:rsidRPr="004457CB" w:rsidRDefault="005D63E6" w:rsidP="00350CA0">
            <w:pPr>
              <w:pStyle w:val="Lgendestandard"/>
              <w:rPr>
                <w:noProof/>
                <w:szCs w:val="18"/>
              </w:rPr>
            </w:pPr>
            <w:r w:rsidRPr="004457CB">
              <w:t>A titolo di eccezione, le modifiche di carattere strettamente tecnico apportate dai servizi in vista dell'elaborazione del testo finale non sono evidenziate.</w:t>
            </w:r>
          </w:p>
          <w:p w:rsidR="005D63E6" w:rsidRPr="004457CB" w:rsidRDefault="005D63E6">
            <w:pPr>
              <w:pStyle w:val="Lgendestandard"/>
              <w:rPr>
                <w:noProof/>
              </w:rPr>
            </w:pPr>
          </w:p>
        </w:tc>
      </w:tr>
    </w:tbl>
    <w:p w:rsidR="005D63E6" w:rsidRPr="004457CB" w:rsidRDefault="005D63E6">
      <w:pPr>
        <w:rPr>
          <w:noProof/>
        </w:rPr>
      </w:pPr>
    </w:p>
    <w:p w:rsidR="00793EA9" w:rsidRPr="004457CB" w:rsidRDefault="00793EA9" w:rsidP="00012351">
      <w:pPr>
        <w:widowControl/>
        <w:tabs>
          <w:tab w:val="center" w:pos="4677"/>
        </w:tabs>
        <w:rPr>
          <w:noProof/>
        </w:rPr>
      </w:pPr>
    </w:p>
    <w:p w:rsidR="00793EA9" w:rsidRPr="004457CB" w:rsidRDefault="00793EA9">
      <w:pPr>
        <w:pStyle w:val="TOCHeading"/>
        <w:rPr>
          <w:noProof/>
        </w:rPr>
      </w:pPr>
      <w:r w:rsidRPr="004457CB">
        <w:br w:type="page"/>
      </w:r>
      <w:r w:rsidRPr="004457CB">
        <w:lastRenderedPageBreak/>
        <w:t>INDICE</w:t>
      </w:r>
    </w:p>
    <w:p w:rsidR="00793EA9" w:rsidRPr="004457CB" w:rsidRDefault="001D30A3">
      <w:pPr>
        <w:pStyle w:val="TOCPage"/>
        <w:rPr>
          <w:noProof/>
        </w:rPr>
      </w:pPr>
      <w:r w:rsidRPr="004457CB">
        <w:t>Pagina</w:t>
      </w:r>
    </w:p>
    <w:p w:rsidR="004457CB" w:rsidRDefault="001767E2">
      <w:pPr>
        <w:pStyle w:val="TOC1"/>
        <w:tabs>
          <w:tab w:val="right" w:leader="dot" w:pos="9060"/>
        </w:tabs>
        <w:rPr>
          <w:rFonts w:asciiTheme="minorHAnsi" w:eastAsiaTheme="minorEastAsia" w:hAnsiTheme="minorHAnsi" w:cstheme="minorBidi"/>
          <w:noProof/>
          <w:sz w:val="22"/>
          <w:szCs w:val="22"/>
          <w:lang w:val="en-GB"/>
        </w:rPr>
      </w:pPr>
      <w:r w:rsidRPr="004457CB">
        <w:rPr>
          <w:b/>
        </w:rPr>
        <w:fldChar w:fldCharType="begin"/>
      </w:r>
      <w:r w:rsidRPr="004457CB">
        <w:rPr>
          <w:b/>
        </w:rPr>
        <w:instrText xml:space="preserve"> TOC \t "PageHeading</w:instrText>
      </w:r>
      <w:r w:rsidR="002F00D5" w:rsidRPr="004457CB">
        <w:rPr>
          <w:b/>
        </w:rPr>
        <w:instrText>;</w:instrText>
      </w:r>
      <w:r w:rsidRPr="004457CB">
        <w:rPr>
          <w:b/>
        </w:rPr>
        <w:instrText xml:space="preserve">1" </w:instrText>
      </w:r>
      <w:r w:rsidRPr="004457CB">
        <w:rPr>
          <w:b/>
        </w:rPr>
        <w:fldChar w:fldCharType="separate"/>
      </w:r>
      <w:r w:rsidR="004457CB">
        <w:rPr>
          <w:noProof/>
        </w:rPr>
        <w:t>PROGETTO DI RISOLUZIONE LEGISLATIVA DEL PARLAMENTO EUROPEO</w:t>
      </w:r>
      <w:r w:rsidR="004457CB">
        <w:rPr>
          <w:noProof/>
        </w:rPr>
        <w:tab/>
      </w:r>
      <w:r w:rsidR="004457CB">
        <w:rPr>
          <w:noProof/>
        </w:rPr>
        <w:fldChar w:fldCharType="begin"/>
      </w:r>
      <w:r w:rsidR="004457CB">
        <w:rPr>
          <w:noProof/>
        </w:rPr>
        <w:instrText xml:space="preserve"> PAGEREF _Toc532206027 \h </w:instrText>
      </w:r>
      <w:r w:rsidR="004457CB">
        <w:rPr>
          <w:noProof/>
        </w:rPr>
      </w:r>
      <w:r w:rsidR="004457CB">
        <w:rPr>
          <w:noProof/>
        </w:rPr>
        <w:fldChar w:fldCharType="separate"/>
      </w:r>
      <w:r w:rsidR="004457CB">
        <w:rPr>
          <w:noProof/>
        </w:rPr>
        <w:t>5</w:t>
      </w:r>
      <w:r w:rsidR="004457CB">
        <w:rPr>
          <w:noProof/>
        </w:rPr>
        <w:fldChar w:fldCharType="end"/>
      </w:r>
    </w:p>
    <w:p w:rsidR="004457CB" w:rsidRDefault="004457CB">
      <w:pPr>
        <w:pStyle w:val="TOC1"/>
        <w:tabs>
          <w:tab w:val="right" w:leader="dot" w:pos="9060"/>
        </w:tabs>
        <w:rPr>
          <w:rFonts w:asciiTheme="minorHAnsi" w:eastAsiaTheme="minorEastAsia" w:hAnsiTheme="minorHAnsi" w:cstheme="minorBidi"/>
          <w:noProof/>
          <w:sz w:val="22"/>
          <w:szCs w:val="22"/>
          <w:lang w:val="en-GB"/>
        </w:rPr>
      </w:pPr>
      <w:r>
        <w:rPr>
          <w:noProof/>
        </w:rPr>
        <w:t>MOTIVAZIONE</w:t>
      </w:r>
      <w:r>
        <w:rPr>
          <w:noProof/>
        </w:rPr>
        <w:tab/>
      </w:r>
      <w:r>
        <w:rPr>
          <w:noProof/>
        </w:rPr>
        <w:fldChar w:fldCharType="begin"/>
      </w:r>
      <w:r>
        <w:rPr>
          <w:noProof/>
        </w:rPr>
        <w:instrText xml:space="preserve"> PAGEREF _Toc532206028 \h </w:instrText>
      </w:r>
      <w:r>
        <w:rPr>
          <w:noProof/>
        </w:rPr>
      </w:r>
      <w:r>
        <w:rPr>
          <w:noProof/>
        </w:rPr>
        <w:fldChar w:fldCharType="separate"/>
      </w:r>
      <w:r>
        <w:rPr>
          <w:noProof/>
        </w:rPr>
        <w:t>26</w:t>
      </w:r>
      <w:r>
        <w:rPr>
          <w:noProof/>
        </w:rPr>
        <w:fldChar w:fldCharType="end"/>
      </w:r>
    </w:p>
    <w:p w:rsidR="004457CB" w:rsidRDefault="004457CB">
      <w:pPr>
        <w:pStyle w:val="TOC1"/>
        <w:tabs>
          <w:tab w:val="right" w:leader="dot" w:pos="9060"/>
        </w:tabs>
        <w:rPr>
          <w:rFonts w:asciiTheme="minorHAnsi" w:eastAsiaTheme="minorEastAsia" w:hAnsiTheme="minorHAnsi" w:cstheme="minorBidi"/>
          <w:noProof/>
          <w:sz w:val="22"/>
          <w:szCs w:val="22"/>
          <w:lang w:val="en-GB"/>
        </w:rPr>
      </w:pPr>
      <w:r>
        <w:rPr>
          <w:noProof/>
        </w:rPr>
        <w:t>ALLEGATO: ELENCO DELLE ENTITÀ O DELLE PERSONE  DA CUI IL RELATORE HA RICEVUTO CONTRIBUTI</w:t>
      </w:r>
      <w:r>
        <w:rPr>
          <w:noProof/>
        </w:rPr>
        <w:tab/>
      </w:r>
      <w:r>
        <w:rPr>
          <w:noProof/>
        </w:rPr>
        <w:fldChar w:fldCharType="begin"/>
      </w:r>
      <w:r>
        <w:rPr>
          <w:noProof/>
        </w:rPr>
        <w:instrText xml:space="preserve"> PAGEREF _Toc532206029 \h </w:instrText>
      </w:r>
      <w:r>
        <w:rPr>
          <w:noProof/>
        </w:rPr>
      </w:r>
      <w:r>
        <w:rPr>
          <w:noProof/>
        </w:rPr>
        <w:fldChar w:fldCharType="separate"/>
      </w:r>
      <w:r>
        <w:rPr>
          <w:noProof/>
        </w:rPr>
        <w:t>27</w:t>
      </w:r>
      <w:r>
        <w:rPr>
          <w:noProof/>
        </w:rPr>
        <w:fldChar w:fldCharType="end"/>
      </w:r>
    </w:p>
    <w:p w:rsidR="004457CB" w:rsidRDefault="004457CB">
      <w:pPr>
        <w:pStyle w:val="TOC1"/>
        <w:tabs>
          <w:tab w:val="right" w:leader="dot" w:pos="9060"/>
        </w:tabs>
        <w:rPr>
          <w:rFonts w:asciiTheme="minorHAnsi" w:eastAsiaTheme="minorEastAsia" w:hAnsiTheme="minorHAnsi" w:cstheme="minorBidi"/>
          <w:noProof/>
          <w:sz w:val="22"/>
          <w:szCs w:val="22"/>
          <w:lang w:val="en-GB"/>
        </w:rPr>
      </w:pPr>
      <w:r>
        <w:rPr>
          <w:noProof/>
        </w:rPr>
        <w:t>PROCEDURA DELLA COMMISSIONE COMPETENTE PER IL MERITO</w:t>
      </w:r>
      <w:r>
        <w:rPr>
          <w:noProof/>
        </w:rPr>
        <w:tab/>
      </w:r>
      <w:r>
        <w:rPr>
          <w:noProof/>
        </w:rPr>
        <w:fldChar w:fldCharType="begin"/>
      </w:r>
      <w:r>
        <w:rPr>
          <w:noProof/>
        </w:rPr>
        <w:instrText xml:space="preserve"> PAGEREF _Toc532206030 \h </w:instrText>
      </w:r>
      <w:r>
        <w:rPr>
          <w:noProof/>
        </w:rPr>
      </w:r>
      <w:r>
        <w:rPr>
          <w:noProof/>
        </w:rPr>
        <w:fldChar w:fldCharType="separate"/>
      </w:r>
      <w:r>
        <w:rPr>
          <w:noProof/>
        </w:rPr>
        <w:t>28</w:t>
      </w:r>
      <w:r>
        <w:rPr>
          <w:noProof/>
        </w:rPr>
        <w:fldChar w:fldCharType="end"/>
      </w:r>
    </w:p>
    <w:p w:rsidR="004457CB" w:rsidRDefault="004457CB">
      <w:pPr>
        <w:pStyle w:val="TOC1"/>
        <w:tabs>
          <w:tab w:val="right" w:leader="dot" w:pos="9060"/>
        </w:tabs>
        <w:rPr>
          <w:rFonts w:asciiTheme="minorHAnsi" w:eastAsiaTheme="minorEastAsia" w:hAnsiTheme="minorHAnsi" w:cstheme="minorBidi"/>
          <w:noProof/>
          <w:sz w:val="22"/>
          <w:szCs w:val="22"/>
          <w:lang w:val="en-GB"/>
        </w:rPr>
      </w:pPr>
      <w:r>
        <w:rPr>
          <w:noProof/>
        </w:rPr>
        <w:t>VOTAZIONE FINALE PER APPELLO NOMINALE IN SEDE DI COMMISSIONE COMPETENTE PER IL MERITO</w:t>
      </w:r>
      <w:r>
        <w:rPr>
          <w:noProof/>
        </w:rPr>
        <w:tab/>
      </w:r>
      <w:r>
        <w:rPr>
          <w:noProof/>
        </w:rPr>
        <w:fldChar w:fldCharType="begin"/>
      </w:r>
      <w:r>
        <w:rPr>
          <w:noProof/>
        </w:rPr>
        <w:instrText xml:space="preserve"> PAGEREF _Toc532206031 \h </w:instrText>
      </w:r>
      <w:r>
        <w:rPr>
          <w:noProof/>
        </w:rPr>
      </w:r>
      <w:r>
        <w:rPr>
          <w:noProof/>
        </w:rPr>
        <w:fldChar w:fldCharType="separate"/>
      </w:r>
      <w:r>
        <w:rPr>
          <w:noProof/>
        </w:rPr>
        <w:t>29</w:t>
      </w:r>
      <w:r>
        <w:rPr>
          <w:noProof/>
        </w:rPr>
        <w:fldChar w:fldCharType="end"/>
      </w:r>
    </w:p>
    <w:p w:rsidR="00793EA9" w:rsidRPr="004457CB" w:rsidRDefault="001767E2" w:rsidP="002346B0">
      <w:r w:rsidRPr="004457CB">
        <w:rPr>
          <w:b/>
        </w:rPr>
        <w:fldChar w:fldCharType="end"/>
      </w:r>
    </w:p>
    <w:p w:rsidR="002346B0" w:rsidRPr="004457CB" w:rsidRDefault="002346B0" w:rsidP="002346B0">
      <w:pPr>
        <w:rPr>
          <w:noProof/>
        </w:rPr>
      </w:pPr>
    </w:p>
    <w:p w:rsidR="002346B0" w:rsidRPr="004457CB" w:rsidRDefault="002346B0">
      <w:pPr>
        <w:pStyle w:val="PageHeading"/>
        <w:rPr>
          <w:noProof/>
        </w:rPr>
      </w:pPr>
      <w:bookmarkStart w:id="0" w:name="_GoBack"/>
      <w:bookmarkEnd w:id="0"/>
    </w:p>
    <w:p w:rsidR="00793EA9" w:rsidRPr="004457CB" w:rsidRDefault="00793EA9">
      <w:pPr>
        <w:pStyle w:val="PageHeading"/>
        <w:rPr>
          <w:noProof/>
        </w:rPr>
      </w:pPr>
      <w:r w:rsidRPr="004457CB">
        <w:br w:type="page"/>
      </w:r>
      <w:r w:rsidRPr="004457CB">
        <w:lastRenderedPageBreak/>
        <w:br w:type="page"/>
      </w:r>
      <w:bookmarkStart w:id="1" w:name="_Toc532206027"/>
      <w:r w:rsidRPr="004457CB">
        <w:lastRenderedPageBreak/>
        <w:t>PROGETTO DI RISOLUZIONE LEGISLATIVA DEL PARLAMENTO EUROPEO</w:t>
      </w:r>
      <w:bookmarkEnd w:id="1"/>
    </w:p>
    <w:p w:rsidR="00793EA9" w:rsidRPr="004457CB" w:rsidRDefault="001D30A3">
      <w:pPr>
        <w:pStyle w:val="NormalBold"/>
        <w:rPr>
          <w:noProof/>
        </w:rPr>
      </w:pPr>
      <w:r w:rsidRPr="004457CB">
        <w:t>sulla proposta di regolamento del Parlamento europeo e del Consiglio relativo alla messa in opera e al funzionamento del nome di dominio di primo livello .eu e che abroga il regolamento (CE) n. 733/2002 e il regolamento (CE) n. 874/2004 della Commissione</w:t>
      </w:r>
    </w:p>
    <w:p w:rsidR="00793EA9" w:rsidRPr="004457CB" w:rsidRDefault="001D30A3">
      <w:pPr>
        <w:pStyle w:val="Normal12Bold"/>
        <w:rPr>
          <w:noProof/>
        </w:rPr>
      </w:pPr>
      <w:r w:rsidRPr="004457CB">
        <w:t>(COM(2018)0231 – C8-0170/2018 – 2018/0110(COD))</w:t>
      </w:r>
    </w:p>
    <w:p w:rsidR="00793EA9" w:rsidRPr="004457CB" w:rsidRDefault="001D30A3">
      <w:pPr>
        <w:pStyle w:val="Normal12Bold"/>
        <w:rPr>
          <w:noProof/>
        </w:rPr>
      </w:pPr>
      <w:r w:rsidRPr="004457CB">
        <w:t>(Procedura legislativa ordinaria: prima lettura)</w:t>
      </w:r>
    </w:p>
    <w:p w:rsidR="00793EA9" w:rsidRPr="004457CB" w:rsidRDefault="001D30A3">
      <w:pPr>
        <w:pStyle w:val="Normal12"/>
        <w:rPr>
          <w:noProof/>
        </w:rPr>
      </w:pPr>
      <w:r w:rsidRPr="004457CB">
        <w:rPr>
          <w:i/>
        </w:rPr>
        <w:t>Il Parlamento europeo</w:t>
      </w:r>
      <w:r w:rsidRPr="004457CB">
        <w:t>,</w:t>
      </w:r>
    </w:p>
    <w:p w:rsidR="00146421" w:rsidRPr="004457CB" w:rsidRDefault="00146421" w:rsidP="00146421">
      <w:pPr>
        <w:pStyle w:val="Normal12Hanging"/>
        <w:rPr>
          <w:noProof/>
        </w:rPr>
      </w:pPr>
      <w:r w:rsidRPr="004457CB">
        <w:t>–</w:t>
      </w:r>
      <w:r w:rsidRPr="004457CB">
        <w:tab/>
        <w:t>vista la proposta della Commissione al Parlamento europeo e al Consiglio (COM(2018)0231),</w:t>
      </w:r>
    </w:p>
    <w:p w:rsidR="00146421" w:rsidRPr="004457CB" w:rsidRDefault="00146421" w:rsidP="00146421">
      <w:pPr>
        <w:pStyle w:val="Normal12Hanging"/>
        <w:rPr>
          <w:noProof/>
        </w:rPr>
      </w:pPr>
      <w:r w:rsidRPr="004457CB">
        <w:t>–</w:t>
      </w:r>
      <w:r w:rsidRPr="004457CB">
        <w:tab/>
        <w:t>visti l'articolo 294, paragrafo 2, e l'articolo 172 del trattato sul funzionamento dell'Unione europea, a norma dei quali la proposta gli è stata presentata dalla Commissione (C8-0170/2018),</w:t>
      </w:r>
    </w:p>
    <w:p w:rsidR="00146421" w:rsidRPr="004457CB" w:rsidRDefault="00146421" w:rsidP="00146421">
      <w:pPr>
        <w:pStyle w:val="Normal12Hanging"/>
        <w:rPr>
          <w:noProof/>
        </w:rPr>
      </w:pPr>
      <w:r w:rsidRPr="004457CB">
        <w:t>–</w:t>
      </w:r>
      <w:r w:rsidRPr="004457CB">
        <w:tab/>
        <w:t>visto l'articolo 294, paragrafo 3, del trattato sul funzionamento dell'Unione europea,</w:t>
      </w:r>
    </w:p>
    <w:p w:rsidR="00146421" w:rsidRPr="004457CB" w:rsidRDefault="00146421" w:rsidP="00146421">
      <w:pPr>
        <w:pStyle w:val="Normal12Hanging"/>
        <w:rPr>
          <w:noProof/>
        </w:rPr>
      </w:pPr>
      <w:r w:rsidRPr="004457CB">
        <w:t>–</w:t>
      </w:r>
      <w:r w:rsidRPr="004457CB">
        <w:tab/>
        <w:t>visto il parere del Comitato economico e sociale europeo dell'11 luglio 2018</w:t>
      </w:r>
      <w:r w:rsidRPr="004457CB">
        <w:rPr>
          <w:rStyle w:val="FootnoteReference"/>
          <w:noProof/>
        </w:rPr>
        <w:footnoteReference w:id="1"/>
      </w:r>
      <w:r w:rsidRPr="004457CB">
        <w:t>,</w:t>
      </w:r>
    </w:p>
    <w:p w:rsidR="00146421" w:rsidRPr="004457CB" w:rsidRDefault="00146421" w:rsidP="00146421">
      <w:pPr>
        <w:pStyle w:val="Normal12Hanging"/>
        <w:rPr>
          <w:noProof/>
        </w:rPr>
      </w:pPr>
      <w:r w:rsidRPr="004457CB">
        <w:t>–</w:t>
      </w:r>
      <w:r w:rsidRPr="004457CB">
        <w:tab/>
        <w:t>visto il parere del Comitato delle regioni del ...,</w:t>
      </w:r>
    </w:p>
    <w:p w:rsidR="00146421" w:rsidRPr="004457CB" w:rsidRDefault="00146421" w:rsidP="00146421">
      <w:pPr>
        <w:pStyle w:val="Normal12Hanging"/>
        <w:rPr>
          <w:noProof/>
        </w:rPr>
      </w:pPr>
      <w:r w:rsidRPr="004457CB">
        <w:t>–</w:t>
      </w:r>
      <w:r w:rsidRPr="004457CB">
        <w:tab/>
        <w:t>visto l'articolo 59 del suo regolamento,</w:t>
      </w:r>
    </w:p>
    <w:p w:rsidR="00146421" w:rsidRPr="004457CB" w:rsidRDefault="00146421" w:rsidP="00146421">
      <w:pPr>
        <w:pStyle w:val="Normal12Hanging"/>
        <w:rPr>
          <w:noProof/>
        </w:rPr>
      </w:pPr>
      <w:r w:rsidRPr="004457CB">
        <w:t>–</w:t>
      </w:r>
      <w:r w:rsidRPr="004457CB">
        <w:tab/>
        <w:t>vista la relazione della commissione per l'industria, la ricerca e l'energia (A8-0394/2018),</w:t>
      </w:r>
    </w:p>
    <w:p w:rsidR="00146421" w:rsidRPr="004457CB" w:rsidRDefault="00146421" w:rsidP="00146421">
      <w:pPr>
        <w:pStyle w:val="Normal12Hanging"/>
        <w:rPr>
          <w:noProof/>
        </w:rPr>
      </w:pPr>
      <w:r w:rsidRPr="004457CB">
        <w:t>1.</w:t>
      </w:r>
      <w:r w:rsidRPr="004457CB">
        <w:tab/>
        <w:t>adotta la posizione in prima lettura figurante in appresso;</w:t>
      </w:r>
    </w:p>
    <w:p w:rsidR="00146421" w:rsidRPr="004457CB" w:rsidRDefault="00146421" w:rsidP="00146421">
      <w:pPr>
        <w:pStyle w:val="Normal12Hanging"/>
        <w:rPr>
          <w:noProof/>
        </w:rPr>
      </w:pPr>
      <w:r w:rsidRPr="004457CB">
        <w:t>2.</w:t>
      </w:r>
      <w:r w:rsidRPr="004457CB">
        <w:tab/>
        <w:t>chiede alla Commissione di presentargli nuovamente la proposta qualora la sostituisca, la modifichi sostanzialmente o intenda modificarla sostanzialmente;</w:t>
      </w:r>
    </w:p>
    <w:p w:rsidR="00146421" w:rsidRPr="004457CB" w:rsidRDefault="00146421" w:rsidP="00146421">
      <w:pPr>
        <w:pStyle w:val="Normal12Hanging"/>
        <w:rPr>
          <w:noProof/>
        </w:rPr>
      </w:pPr>
      <w:r w:rsidRPr="004457CB">
        <w:t>3.</w:t>
      </w:r>
      <w:r w:rsidRPr="004457CB">
        <w:tab/>
        <w:t>incarica il suo Presidente di trasmettere la posizione del Parlamento al Consiglio e alla Commissione nonché ai parlamenti nazionali.</w:t>
      </w:r>
    </w:p>
    <w:p w:rsidR="00146421" w:rsidRPr="004457CB" w:rsidRDefault="00146421" w:rsidP="00146421">
      <w:pPr>
        <w:rPr>
          <w:noProof/>
        </w:rPr>
      </w:pPr>
      <w:bookmarkStart w:id="2" w:name="PasteOldAMStart"/>
      <w:bookmarkStart w:id="3" w:name="PasteOldAMEnd"/>
      <w:bookmarkEnd w:id="2"/>
      <w:bookmarkEnd w:id="3"/>
      <w:r w:rsidRPr="004457CB">
        <w:rPr>
          <w:rStyle w:val="HideTWBExt"/>
          <w:color w:val="auto"/>
        </w:rPr>
        <w:t>&lt;RepeatBlock-Amend&gt;</w:t>
      </w:r>
      <w:bookmarkStart w:id="4" w:name="AM0"/>
      <w:bookmarkEnd w:id="4"/>
    </w:p>
    <w:p w:rsidR="00146421" w:rsidRPr="004457CB" w:rsidRDefault="00146421" w:rsidP="00146421">
      <w:pPr>
        <w:pStyle w:val="AMNumberTabs"/>
        <w:keepNext/>
        <w:rPr>
          <w:noProof/>
        </w:rPr>
      </w:pPr>
      <w:r w:rsidRPr="004457CB">
        <w:rPr>
          <w:rStyle w:val="HideTWBExt"/>
          <w:b w:val="0"/>
          <w:color w:val="auto"/>
        </w:rPr>
        <w:t>&lt;Amend&gt;</w:t>
      </w:r>
      <w:r w:rsidRPr="004457CB">
        <w:t>Emendamento</w:t>
      </w:r>
      <w:r w:rsidRPr="004457CB">
        <w:tab/>
      </w:r>
      <w:r w:rsidRPr="004457CB">
        <w:tab/>
      </w:r>
      <w:r w:rsidRPr="004457CB">
        <w:rPr>
          <w:rStyle w:val="HideTWBExt"/>
          <w:b w:val="0"/>
          <w:color w:val="auto"/>
        </w:rPr>
        <w:t>&lt;NumAm&gt;</w:t>
      </w:r>
      <w:r w:rsidRPr="004457CB">
        <w:t>1</w:t>
      </w:r>
      <w:r w:rsidRPr="004457CB">
        <w:rPr>
          <w:rStyle w:val="HideTWBExt"/>
          <w:b w:val="0"/>
          <w:color w:val="auto"/>
        </w:rPr>
        <w:t>&lt;/NumAm&gt;</w:t>
      </w:r>
    </w:p>
    <w:p w:rsidR="00146421" w:rsidRPr="004457CB" w:rsidRDefault="00146421" w:rsidP="00146421">
      <w:pPr>
        <w:rPr>
          <w:noProof/>
        </w:rPr>
      </w:pPr>
    </w:p>
    <w:p w:rsidR="00146421" w:rsidRPr="004457CB" w:rsidRDefault="00146421" w:rsidP="00146421">
      <w:pPr>
        <w:pStyle w:val="NormalBold"/>
        <w:keepNext/>
        <w:rPr>
          <w:noProof/>
        </w:rPr>
      </w:pPr>
      <w:r w:rsidRPr="004457CB">
        <w:rPr>
          <w:rStyle w:val="HideTWBExt"/>
          <w:b w:val="0"/>
          <w:color w:val="auto"/>
        </w:rPr>
        <w:t>&lt;DocAmend&gt;</w:t>
      </w:r>
      <w:r w:rsidRPr="004457CB">
        <w:t>Proposta di regolamento</w:t>
      </w:r>
      <w:r w:rsidRPr="004457CB">
        <w:rPr>
          <w:rStyle w:val="HideTWBExt"/>
          <w:b w:val="0"/>
          <w:color w:val="auto"/>
        </w:rPr>
        <w:t>&lt;/DocAmend&gt;</w:t>
      </w:r>
    </w:p>
    <w:p w:rsidR="00146421" w:rsidRPr="004457CB" w:rsidRDefault="00146421" w:rsidP="00146421">
      <w:pPr>
        <w:pStyle w:val="NormalBold"/>
        <w:rPr>
          <w:noProof/>
        </w:rPr>
      </w:pPr>
      <w:r w:rsidRPr="004457CB">
        <w:rPr>
          <w:rStyle w:val="HideTWBExt"/>
          <w:b w:val="0"/>
          <w:color w:val="auto"/>
        </w:rPr>
        <w:t>&lt;Article&gt;</w:t>
      </w:r>
      <w:r w:rsidRPr="004457CB">
        <w:t>Considerando 1 bis (nuovo)</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tcPr>
          <w:p w:rsidR="00146421" w:rsidRPr="004457CB" w:rsidRDefault="00146421" w:rsidP="00084A45">
            <w:pPr>
              <w:pStyle w:val="Normal6"/>
              <w:rPr>
                <w:noProof/>
              </w:rPr>
            </w:pPr>
          </w:p>
        </w:tc>
        <w:tc>
          <w:tcPr>
            <w:tcW w:w="4876" w:type="dxa"/>
            <w:hideMark/>
          </w:tcPr>
          <w:p w:rsidR="00146421" w:rsidRPr="004457CB" w:rsidRDefault="00146421" w:rsidP="00084A45">
            <w:pPr>
              <w:pStyle w:val="Normal6"/>
              <w:rPr>
                <w:noProof/>
                <w:szCs w:val="24"/>
              </w:rPr>
            </w:pPr>
            <w:r w:rsidRPr="004457CB">
              <w:rPr>
                <w:b/>
                <w:i/>
              </w:rPr>
              <w:t>(1 bis)</w:t>
            </w:r>
            <w:r w:rsidRPr="004457CB">
              <w:rPr>
                <w:b/>
                <w:i/>
              </w:rPr>
              <w:tab/>
              <w:t xml:space="preserve">La rapida evoluzione del mercato dei domini di primo livello (TLD) e il </w:t>
            </w:r>
            <w:r w:rsidRPr="004457CB">
              <w:rPr>
                <w:b/>
                <w:i/>
              </w:rPr>
              <w:lastRenderedPageBreak/>
              <w:t>panorama digitale dinamico necessitano di un ambiente normativo flessibile e adeguato alle esigenze future. Lo scopo del dominio TLD .eu è, attraverso la buona gestione, di contribuire a rafforzare l'identità dell'Unione e promuovere i valori dell'Unione quali il multilinguismo, il rispetto della riservatezza e della sicurezza degli utenti, il rispetto dei diritti umani nonché le priorità online.</w:t>
            </w:r>
          </w:p>
        </w:tc>
      </w:tr>
    </w:tbl>
    <w:p w:rsidR="00146421" w:rsidRPr="004457CB" w:rsidRDefault="00146421" w:rsidP="00146421">
      <w:pPr>
        <w:rPr>
          <w:noProof/>
        </w:rPr>
      </w:pPr>
      <w:r w:rsidRPr="004457CB">
        <w:rPr>
          <w:rStyle w:val="HideTWBExt"/>
          <w:color w:val="auto"/>
        </w:rPr>
        <w:lastRenderedPageBreak/>
        <w:t>&lt;/Amend&gt;</w:t>
      </w:r>
    </w:p>
    <w:p w:rsidR="00146421" w:rsidRPr="004457CB" w:rsidRDefault="00146421" w:rsidP="00146421">
      <w:pPr>
        <w:pStyle w:val="AMNumberTabs"/>
        <w:keepNext/>
        <w:rPr>
          <w:noProof/>
        </w:rPr>
      </w:pPr>
      <w:r w:rsidRPr="004457CB">
        <w:rPr>
          <w:rStyle w:val="HideTWBExt"/>
          <w:b w:val="0"/>
          <w:color w:val="auto"/>
        </w:rPr>
        <w:t>&lt;Amend&gt;</w:t>
      </w:r>
      <w:r w:rsidRPr="004457CB">
        <w:t>Emendamento</w:t>
      </w:r>
      <w:r w:rsidRPr="004457CB">
        <w:tab/>
      </w:r>
      <w:r w:rsidRPr="004457CB">
        <w:tab/>
      </w:r>
      <w:r w:rsidRPr="004457CB">
        <w:rPr>
          <w:rStyle w:val="HideTWBExt"/>
          <w:b w:val="0"/>
          <w:color w:val="auto"/>
        </w:rPr>
        <w:t>&lt;NumAm&gt;</w:t>
      </w:r>
      <w:r w:rsidRPr="004457CB">
        <w:t>2</w:t>
      </w:r>
      <w:r w:rsidRPr="004457CB">
        <w:rPr>
          <w:rStyle w:val="HideTWBExt"/>
          <w:b w:val="0"/>
          <w:color w:val="auto"/>
        </w:rPr>
        <w:t>&lt;/NumAm&gt;</w:t>
      </w:r>
    </w:p>
    <w:p w:rsidR="00146421" w:rsidRPr="004457CB" w:rsidRDefault="00146421" w:rsidP="00146421">
      <w:pPr>
        <w:rPr>
          <w:noProof/>
        </w:rPr>
      </w:pPr>
    </w:p>
    <w:p w:rsidR="00146421" w:rsidRPr="004457CB" w:rsidRDefault="00146421" w:rsidP="00146421">
      <w:pPr>
        <w:pStyle w:val="NormalBold"/>
        <w:keepNext/>
        <w:rPr>
          <w:noProof/>
        </w:rPr>
      </w:pPr>
      <w:r w:rsidRPr="004457CB">
        <w:rPr>
          <w:rStyle w:val="HideTWBExt"/>
          <w:b w:val="0"/>
          <w:color w:val="auto"/>
        </w:rPr>
        <w:t>&lt;DocAmend&gt;</w:t>
      </w:r>
      <w:r w:rsidRPr="004457CB">
        <w:t>Proposta di regolamento</w:t>
      </w:r>
      <w:r w:rsidRPr="004457CB">
        <w:rPr>
          <w:rStyle w:val="HideTWBExt"/>
          <w:b w:val="0"/>
          <w:color w:val="auto"/>
        </w:rPr>
        <w:t>&lt;/DocAmend&gt;</w:t>
      </w:r>
    </w:p>
    <w:p w:rsidR="00146421" w:rsidRPr="004457CB" w:rsidRDefault="00146421" w:rsidP="00146421">
      <w:pPr>
        <w:pStyle w:val="NormalBold"/>
        <w:rPr>
          <w:noProof/>
        </w:rPr>
      </w:pPr>
      <w:r w:rsidRPr="004457CB">
        <w:rPr>
          <w:rStyle w:val="HideTWBExt"/>
          <w:b w:val="0"/>
          <w:color w:val="auto"/>
        </w:rPr>
        <w:t>&lt;Article&gt;</w:t>
      </w:r>
      <w:r w:rsidRPr="004457CB">
        <w:t>Considerando 2 bis (nuovo)</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tcPr>
          <w:p w:rsidR="00146421" w:rsidRPr="004457CB" w:rsidRDefault="00146421" w:rsidP="00084A45">
            <w:pPr>
              <w:pStyle w:val="Normal6"/>
              <w:rPr>
                <w:noProof/>
              </w:rPr>
            </w:pPr>
          </w:p>
        </w:tc>
        <w:tc>
          <w:tcPr>
            <w:tcW w:w="4876" w:type="dxa"/>
            <w:hideMark/>
          </w:tcPr>
          <w:p w:rsidR="00146421" w:rsidRPr="004457CB" w:rsidRDefault="00146421" w:rsidP="00084A45">
            <w:pPr>
              <w:pStyle w:val="Normal6"/>
              <w:rPr>
                <w:noProof/>
                <w:szCs w:val="24"/>
              </w:rPr>
            </w:pPr>
            <w:r w:rsidRPr="004457CB">
              <w:rPr>
                <w:b/>
                <w:i/>
              </w:rPr>
              <w:t>(2 bis)</w:t>
            </w:r>
            <w:r w:rsidRPr="004457CB">
              <w:rPr>
                <w:b/>
                <w:i/>
              </w:rPr>
              <w:tab/>
              <w:t>Il TLD .eu è l'ottavo principale dominio di primo livello geografico (ccTLD) del mondo con oltre 3,8 milioni di registrazioni nel 2017. Il TLD .eu è utilizzato dalle istituzioni, agenzie e organismi dell'Unione, anche per i loro progetti e iniziative.</w:t>
            </w:r>
          </w:p>
        </w:tc>
      </w:tr>
    </w:tbl>
    <w:p w:rsidR="00146421" w:rsidRPr="004457CB" w:rsidRDefault="00146421" w:rsidP="00146421">
      <w:pPr>
        <w:rPr>
          <w:noProof/>
        </w:rPr>
      </w:pPr>
      <w:r w:rsidRPr="004457CB">
        <w:rPr>
          <w:rStyle w:val="HideTWBExt"/>
          <w:color w:val="auto"/>
        </w:rPr>
        <w:t>&lt;/Amend&gt;</w:t>
      </w:r>
    </w:p>
    <w:p w:rsidR="00146421" w:rsidRPr="004457CB" w:rsidRDefault="00146421" w:rsidP="00146421">
      <w:pPr>
        <w:pStyle w:val="NormalBold"/>
        <w:keepNext/>
        <w:rPr>
          <w:noProof/>
        </w:rPr>
      </w:pPr>
    </w:p>
    <w:p w:rsidR="00146421" w:rsidRPr="004457CB" w:rsidRDefault="00146421" w:rsidP="00146421">
      <w:pPr>
        <w:pStyle w:val="AMNumberTabs"/>
        <w:keepNext/>
        <w:rPr>
          <w:noProof/>
        </w:rPr>
      </w:pPr>
      <w:r w:rsidRPr="004457CB">
        <w:rPr>
          <w:rStyle w:val="HideTWBExt"/>
          <w:b w:val="0"/>
          <w:color w:val="auto"/>
        </w:rPr>
        <w:t>&lt;Amend&gt;</w:t>
      </w:r>
      <w:r w:rsidRPr="004457CB">
        <w:t>Emendamento</w:t>
      </w:r>
      <w:r w:rsidRPr="004457CB">
        <w:tab/>
      </w:r>
      <w:r w:rsidRPr="004457CB">
        <w:tab/>
      </w:r>
      <w:r w:rsidRPr="004457CB">
        <w:rPr>
          <w:rStyle w:val="HideTWBExt"/>
          <w:b w:val="0"/>
          <w:color w:val="auto"/>
        </w:rPr>
        <w:t>&lt;NumAm&gt;</w:t>
      </w:r>
      <w:r w:rsidRPr="004457CB">
        <w:t>3</w:t>
      </w:r>
      <w:r w:rsidRPr="004457CB">
        <w:rPr>
          <w:rStyle w:val="HideTWBExt"/>
          <w:b w:val="0"/>
          <w:color w:val="auto"/>
        </w:rPr>
        <w:t>&lt;/NumAm&gt;</w:t>
      </w:r>
    </w:p>
    <w:p w:rsidR="00146421" w:rsidRPr="004457CB" w:rsidRDefault="00146421" w:rsidP="00146421">
      <w:pPr>
        <w:rPr>
          <w:noProof/>
        </w:rPr>
      </w:pPr>
    </w:p>
    <w:p w:rsidR="00146421" w:rsidRPr="004457CB" w:rsidRDefault="00146421" w:rsidP="00146421">
      <w:pPr>
        <w:pStyle w:val="NormalBold"/>
        <w:keepNext/>
        <w:rPr>
          <w:noProof/>
        </w:rPr>
      </w:pPr>
      <w:r w:rsidRPr="004457CB">
        <w:rPr>
          <w:rStyle w:val="HideTWBExt"/>
          <w:b w:val="0"/>
          <w:color w:val="auto"/>
        </w:rPr>
        <w:t>&lt;DocAmend&gt;</w:t>
      </w:r>
      <w:r w:rsidRPr="004457CB">
        <w:t>Proposta di regolamento</w:t>
      </w:r>
      <w:r w:rsidRPr="004457CB">
        <w:rPr>
          <w:rStyle w:val="HideTWBExt"/>
          <w:b w:val="0"/>
          <w:color w:val="auto"/>
        </w:rPr>
        <w:t>&lt;/DocAmend&gt;</w:t>
      </w:r>
    </w:p>
    <w:p w:rsidR="00146421" w:rsidRPr="004457CB" w:rsidRDefault="00146421" w:rsidP="00146421">
      <w:pPr>
        <w:pStyle w:val="NormalBold"/>
        <w:rPr>
          <w:noProof/>
        </w:rPr>
      </w:pPr>
      <w:r w:rsidRPr="004457CB">
        <w:rPr>
          <w:rStyle w:val="HideTWBExt"/>
          <w:b w:val="0"/>
          <w:color w:val="auto"/>
        </w:rPr>
        <w:t>&lt;Article&gt;</w:t>
      </w:r>
      <w:r w:rsidRPr="004457CB">
        <w:t>Considerando 4</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t>(4)</w:t>
            </w:r>
            <w:r w:rsidRPr="004457CB">
              <w:tab/>
              <w:t>Il TLD .eu dovrebbe offrire un nesso chiaramente identificabile con l'Unione e con il mercato europeo. Esso dovrebbe inoltre consentire alle imprese</w:t>
            </w:r>
            <w:r w:rsidRPr="004457CB">
              <w:rPr>
                <w:b/>
                <w:i/>
              </w:rPr>
              <w:t>,</w:t>
            </w:r>
            <w:r w:rsidRPr="004457CB">
              <w:t xml:space="preserve"> alle organizzazioni e alle persone fisiche </w:t>
            </w:r>
            <w:r w:rsidRPr="004457CB">
              <w:rPr>
                <w:b/>
                <w:i/>
              </w:rPr>
              <w:t>dell'Unione</w:t>
            </w:r>
            <w:r w:rsidRPr="004457CB">
              <w:t xml:space="preserve"> di registrare un nome di dominio sotto il TLD .eu. Ai cittadini dell'Unione dovrebbe essere consentito di registrare un nome di dominio .eu, a prescindere dal loro luogo di residenza.</w:t>
            </w:r>
          </w:p>
        </w:tc>
        <w:tc>
          <w:tcPr>
            <w:tcW w:w="4876" w:type="dxa"/>
            <w:hideMark/>
          </w:tcPr>
          <w:p w:rsidR="00146421" w:rsidRPr="004457CB" w:rsidRDefault="00146421" w:rsidP="00084A45">
            <w:pPr>
              <w:pStyle w:val="Normal6"/>
              <w:rPr>
                <w:noProof/>
                <w:szCs w:val="24"/>
              </w:rPr>
            </w:pPr>
            <w:r w:rsidRPr="004457CB">
              <w:t>(4)</w:t>
            </w:r>
            <w:r w:rsidRPr="004457CB">
              <w:tab/>
              <w:t>Il TLD .eu</w:t>
            </w:r>
            <w:r w:rsidRPr="004457CB">
              <w:rPr>
                <w:b/>
                <w:i/>
              </w:rPr>
              <w:t>, in quanto nome di dominio specifico per l'Unione costituito da un'etichetta chiara e facilmente riconoscibile,</w:t>
            </w:r>
            <w:r w:rsidRPr="004457CB">
              <w:t xml:space="preserve"> dovrebbe offrire un nesso chiaramente identificabile con l'Unione e con il mercato europeo</w:t>
            </w:r>
            <w:r w:rsidRPr="004457CB">
              <w:rPr>
                <w:b/>
                <w:i/>
              </w:rPr>
              <w:t>, nonché un'identità online dell'Unione, creando una forte identità per il mercato unico digitale, nel rispetto del diritto e delle norme commerciali dell'Unione</w:t>
            </w:r>
            <w:r w:rsidRPr="004457CB">
              <w:t>. Esso dovrebbe inoltre consentire alle imprese</w:t>
            </w:r>
            <w:r w:rsidRPr="004457CB">
              <w:rPr>
                <w:b/>
                <w:i/>
              </w:rPr>
              <w:t xml:space="preserve"> e</w:t>
            </w:r>
            <w:r w:rsidRPr="004457CB">
              <w:t xml:space="preserve"> </w:t>
            </w:r>
            <w:r w:rsidRPr="004457CB">
              <w:lastRenderedPageBreak/>
              <w:t xml:space="preserve">alle organizzazioni </w:t>
            </w:r>
            <w:r w:rsidRPr="004457CB">
              <w:rPr>
                <w:b/>
                <w:i/>
              </w:rPr>
              <w:t xml:space="preserve">stabilite all'interno dell'Unione o all'interno dello Spazio economico europeo (SEE), </w:t>
            </w:r>
            <w:r w:rsidRPr="004457CB">
              <w:t xml:space="preserve">e alle persone fisiche </w:t>
            </w:r>
            <w:r w:rsidRPr="004457CB">
              <w:rPr>
                <w:b/>
                <w:i/>
              </w:rPr>
              <w:t>che sono residenti di uno Stato membro o di un paese terzo membro del SEE</w:t>
            </w:r>
            <w:r w:rsidRPr="004457CB">
              <w:t xml:space="preserve"> di registrare un nome di dominio sotto il TLD .eu. Ai cittadini dell'Unione dovrebbe essere consentito di registrare un nome di dominio </w:t>
            </w:r>
            <w:r w:rsidRPr="004457CB">
              <w:rPr>
                <w:b/>
                <w:i/>
              </w:rPr>
              <w:t xml:space="preserve">TLD </w:t>
            </w:r>
            <w:r w:rsidRPr="004457CB">
              <w:t xml:space="preserve">.eu, a prescindere dal loro luogo di residenza. </w:t>
            </w:r>
            <w:r w:rsidRPr="004457CB">
              <w:rPr>
                <w:b/>
                <w:i/>
              </w:rPr>
              <w:t>L'esistenza di tale dominio è un elemento importante dell'identità europea e i suoi utenti sono responsabili del suo uso corretto.</w:t>
            </w:r>
          </w:p>
        </w:tc>
      </w:tr>
    </w:tbl>
    <w:p w:rsidR="00146421" w:rsidRPr="004457CB" w:rsidRDefault="00146421" w:rsidP="00146421">
      <w:pPr>
        <w:rPr>
          <w:noProof/>
        </w:rPr>
      </w:pPr>
      <w:r w:rsidRPr="004457CB">
        <w:rPr>
          <w:rStyle w:val="HideTWBExt"/>
          <w:color w:val="auto"/>
        </w:rPr>
        <w:lastRenderedPageBreak/>
        <w:t>&lt;/Amend&gt;</w:t>
      </w:r>
    </w:p>
    <w:p w:rsidR="00146421" w:rsidRPr="004457CB" w:rsidRDefault="00146421" w:rsidP="00146421">
      <w:pPr>
        <w:pStyle w:val="AMNumberTabs"/>
        <w:keepNext/>
        <w:rPr>
          <w:noProof/>
        </w:rPr>
      </w:pPr>
      <w:r w:rsidRPr="004457CB">
        <w:rPr>
          <w:rStyle w:val="HideTWBExt"/>
          <w:b w:val="0"/>
          <w:color w:val="auto"/>
        </w:rPr>
        <w:t>&lt;Amend&gt;</w:t>
      </w:r>
      <w:r w:rsidRPr="004457CB">
        <w:t>Emendamento</w:t>
      </w:r>
      <w:r w:rsidRPr="004457CB">
        <w:tab/>
      </w:r>
      <w:r w:rsidRPr="004457CB">
        <w:tab/>
      </w:r>
      <w:r w:rsidRPr="004457CB">
        <w:rPr>
          <w:rStyle w:val="HideTWBExt"/>
          <w:b w:val="0"/>
          <w:color w:val="auto"/>
        </w:rPr>
        <w:t>&lt;NumAm&gt;</w:t>
      </w:r>
      <w:r w:rsidRPr="004457CB">
        <w:t>4</w:t>
      </w:r>
      <w:r w:rsidRPr="004457CB">
        <w:rPr>
          <w:rStyle w:val="HideTWBExt"/>
          <w:b w:val="0"/>
          <w:color w:val="auto"/>
        </w:rPr>
        <w:t>&lt;/NumAm&gt;</w:t>
      </w:r>
    </w:p>
    <w:p w:rsidR="00146421" w:rsidRPr="004457CB" w:rsidRDefault="00146421" w:rsidP="00146421">
      <w:pPr>
        <w:rPr>
          <w:noProof/>
        </w:rPr>
      </w:pPr>
    </w:p>
    <w:p w:rsidR="00146421" w:rsidRPr="004457CB" w:rsidRDefault="00146421" w:rsidP="00146421">
      <w:pPr>
        <w:pStyle w:val="NormalBold"/>
        <w:keepNext/>
        <w:rPr>
          <w:noProof/>
        </w:rPr>
      </w:pPr>
      <w:r w:rsidRPr="004457CB">
        <w:rPr>
          <w:rStyle w:val="HideTWBExt"/>
          <w:b w:val="0"/>
          <w:color w:val="auto"/>
        </w:rPr>
        <w:t>&lt;DocAmend&gt;</w:t>
      </w:r>
      <w:r w:rsidRPr="004457CB">
        <w:t>Proposta di regolamento</w:t>
      </w:r>
      <w:r w:rsidRPr="004457CB">
        <w:rPr>
          <w:rStyle w:val="HideTWBExt"/>
          <w:b w:val="0"/>
          <w:color w:val="auto"/>
        </w:rPr>
        <w:t>&lt;/DocAmend&gt;</w:t>
      </w:r>
    </w:p>
    <w:p w:rsidR="00146421" w:rsidRPr="004457CB" w:rsidRDefault="00146421" w:rsidP="00146421">
      <w:pPr>
        <w:pStyle w:val="NormalBold"/>
        <w:rPr>
          <w:noProof/>
        </w:rPr>
      </w:pPr>
      <w:r w:rsidRPr="004457CB">
        <w:rPr>
          <w:rStyle w:val="HideTWBExt"/>
          <w:b w:val="0"/>
          <w:color w:val="auto"/>
        </w:rPr>
        <w:t>&lt;Article&gt;</w:t>
      </w:r>
      <w:r w:rsidRPr="004457CB">
        <w:t>Considerando 5</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t>(5)</w:t>
            </w:r>
            <w:r w:rsidRPr="004457CB">
              <w:tab/>
              <w:t>I nomi di dominio nel TLD .eu dovrebbero essere assegnati alle parti ammesse in funzione della disponibilità.</w:t>
            </w:r>
          </w:p>
        </w:tc>
        <w:tc>
          <w:tcPr>
            <w:tcW w:w="4876" w:type="dxa"/>
            <w:hideMark/>
          </w:tcPr>
          <w:p w:rsidR="00146421" w:rsidRPr="004457CB" w:rsidRDefault="00146421" w:rsidP="00084A45">
            <w:pPr>
              <w:pStyle w:val="Normal6"/>
              <w:rPr>
                <w:noProof/>
                <w:szCs w:val="24"/>
              </w:rPr>
            </w:pPr>
            <w:r w:rsidRPr="004457CB">
              <w:t>(5)</w:t>
            </w:r>
            <w:r w:rsidRPr="004457CB">
              <w:tab/>
              <w:t xml:space="preserve">I nomi di dominio nel TLD .eu dovrebbero essere assegnati </w:t>
            </w:r>
            <w:r w:rsidRPr="004457CB">
              <w:rPr>
                <w:b/>
                <w:i/>
              </w:rPr>
              <w:t xml:space="preserve">a un prezzo ragionevole </w:t>
            </w:r>
            <w:r w:rsidRPr="004457CB">
              <w:t>alle parti ammesse in funzione della disponibilità.</w:t>
            </w:r>
          </w:p>
        </w:tc>
      </w:tr>
    </w:tbl>
    <w:p w:rsidR="00146421" w:rsidRPr="004457CB" w:rsidRDefault="00146421" w:rsidP="00146421">
      <w:pPr>
        <w:rPr>
          <w:rStyle w:val="HideTWBExt"/>
          <w:color w:val="auto"/>
        </w:rPr>
      </w:pPr>
      <w:r w:rsidRPr="004457CB">
        <w:rPr>
          <w:rStyle w:val="HideTWBExt"/>
          <w:color w:val="auto"/>
        </w:rPr>
        <w:t>&lt;/Amend&gt;</w:t>
      </w:r>
    </w:p>
    <w:p w:rsidR="00146421" w:rsidRPr="004457CB" w:rsidRDefault="00146421" w:rsidP="00146421">
      <w:pPr>
        <w:pStyle w:val="AMNumberTabs"/>
        <w:keepNext/>
        <w:rPr>
          <w:noProof/>
        </w:rPr>
      </w:pPr>
      <w:r w:rsidRPr="004457CB">
        <w:rPr>
          <w:rStyle w:val="HideTWBExt"/>
          <w:b w:val="0"/>
          <w:color w:val="auto"/>
        </w:rPr>
        <w:t>&lt;Amend&gt;</w:t>
      </w:r>
      <w:r w:rsidRPr="004457CB">
        <w:t>Emendamento</w:t>
      </w:r>
      <w:r w:rsidRPr="004457CB">
        <w:tab/>
      </w:r>
      <w:r w:rsidRPr="004457CB">
        <w:tab/>
      </w:r>
      <w:r w:rsidRPr="004457CB">
        <w:rPr>
          <w:rStyle w:val="HideTWBExt"/>
          <w:b w:val="0"/>
          <w:color w:val="auto"/>
        </w:rPr>
        <w:t>&lt;NumAm&gt;</w:t>
      </w:r>
      <w:r w:rsidRPr="004457CB">
        <w:t>5</w:t>
      </w:r>
      <w:r w:rsidRPr="004457CB">
        <w:rPr>
          <w:rStyle w:val="HideTWBExt"/>
          <w:b w:val="0"/>
          <w:color w:val="auto"/>
        </w:rPr>
        <w:t>&lt;/NumAm&gt;</w:t>
      </w:r>
    </w:p>
    <w:p w:rsidR="00146421" w:rsidRPr="004457CB" w:rsidRDefault="00146421" w:rsidP="00146421">
      <w:pPr>
        <w:rPr>
          <w:noProof/>
        </w:rPr>
      </w:pPr>
    </w:p>
    <w:p w:rsidR="00146421" w:rsidRPr="004457CB" w:rsidRDefault="00146421" w:rsidP="00146421">
      <w:pPr>
        <w:pStyle w:val="NormalBold"/>
        <w:keepNext/>
        <w:rPr>
          <w:noProof/>
        </w:rPr>
      </w:pPr>
      <w:r w:rsidRPr="004457CB">
        <w:rPr>
          <w:rStyle w:val="HideTWBExt"/>
          <w:b w:val="0"/>
          <w:color w:val="auto"/>
        </w:rPr>
        <w:t>&lt;DocAmend&gt;</w:t>
      </w:r>
      <w:r w:rsidRPr="004457CB">
        <w:t>Proposta di regolamento</w:t>
      </w:r>
      <w:r w:rsidRPr="004457CB">
        <w:rPr>
          <w:rStyle w:val="HideTWBExt"/>
          <w:b w:val="0"/>
          <w:color w:val="auto"/>
        </w:rPr>
        <w:t>&lt;/DocAmend&gt;</w:t>
      </w:r>
    </w:p>
    <w:p w:rsidR="00146421" w:rsidRPr="004457CB" w:rsidRDefault="00146421" w:rsidP="00146421">
      <w:pPr>
        <w:pStyle w:val="NormalBold"/>
        <w:rPr>
          <w:noProof/>
        </w:rPr>
      </w:pPr>
      <w:r w:rsidRPr="004457CB">
        <w:rPr>
          <w:rStyle w:val="HideTWBExt"/>
          <w:b w:val="0"/>
          <w:color w:val="auto"/>
        </w:rPr>
        <w:t>&lt;Article&gt;</w:t>
      </w:r>
      <w:r w:rsidRPr="004457CB">
        <w:t>Considerando 5 bis (nuovo)</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tcPr>
          <w:p w:rsidR="00146421" w:rsidRPr="004457CB" w:rsidRDefault="00146421" w:rsidP="00084A45">
            <w:pPr>
              <w:pStyle w:val="Normal6"/>
              <w:rPr>
                <w:noProof/>
              </w:rPr>
            </w:pPr>
          </w:p>
        </w:tc>
        <w:tc>
          <w:tcPr>
            <w:tcW w:w="4876" w:type="dxa"/>
            <w:hideMark/>
          </w:tcPr>
          <w:p w:rsidR="00146421" w:rsidRPr="004457CB" w:rsidRDefault="00146421" w:rsidP="00084A45">
            <w:pPr>
              <w:pStyle w:val="Normal6"/>
              <w:rPr>
                <w:noProof/>
                <w:szCs w:val="24"/>
              </w:rPr>
            </w:pPr>
            <w:r w:rsidRPr="004457CB">
              <w:rPr>
                <w:b/>
                <w:i/>
              </w:rPr>
              <w:t>(5 bis)</w:t>
            </w:r>
            <w:r w:rsidRPr="004457CB">
              <w:rPr>
                <w:b/>
                <w:i/>
              </w:rPr>
              <w:tab/>
              <w:t xml:space="preserve">La Commissione dovrebbe valutare il ruolo potenziale dell'Ufficio dell'Unione europea per la proprietà intellettuale (EUIPO) nella registrazione dei nomi di dominio TLD .eu, al fine di fornire ai richiedenti di un marchio dell'Unione europea o di un disegno e modello comunitario registrato (DMC) l'assegnazione dei TLD .eu applicabili ai loro marchi o modelli, in funzione delle disponibilità. Tale valutazione dovrebbe altresì includere altre misure o agenzie che potrebbero intervenire per evitare registrazioni speculative e abusive </w:t>
            </w:r>
            <w:r w:rsidRPr="004457CB">
              <w:rPr>
                <w:b/>
                <w:i/>
              </w:rPr>
              <w:lastRenderedPageBreak/>
              <w:t>(cybersquatting) e facilitare procedure amministrative semplici, in particolare per le piccole e medie imprese (PMI).</w:t>
            </w:r>
          </w:p>
        </w:tc>
      </w:tr>
    </w:tbl>
    <w:p w:rsidR="00146421" w:rsidRPr="004457CB" w:rsidRDefault="00146421" w:rsidP="00146421">
      <w:pPr>
        <w:rPr>
          <w:noProof/>
        </w:rPr>
      </w:pPr>
      <w:r w:rsidRPr="004457CB">
        <w:rPr>
          <w:rStyle w:val="HideTWBExt"/>
          <w:color w:val="auto"/>
        </w:rPr>
        <w:lastRenderedPageBreak/>
        <w:t>&lt;/Amend&gt;</w:t>
      </w:r>
    </w:p>
    <w:p w:rsidR="00146421" w:rsidRPr="004457CB" w:rsidRDefault="00146421" w:rsidP="00146421">
      <w:pPr>
        <w:pStyle w:val="AMNumberTabs"/>
        <w:keepNext/>
        <w:rPr>
          <w:noProof/>
        </w:rPr>
      </w:pPr>
      <w:r w:rsidRPr="004457CB">
        <w:rPr>
          <w:rStyle w:val="HideTWBExt"/>
          <w:b w:val="0"/>
          <w:color w:val="auto"/>
        </w:rPr>
        <w:t>&lt;Amend&gt;</w:t>
      </w:r>
      <w:r w:rsidRPr="004457CB">
        <w:t>Emendamento</w:t>
      </w:r>
      <w:r w:rsidRPr="004457CB">
        <w:tab/>
      </w:r>
      <w:r w:rsidRPr="004457CB">
        <w:tab/>
      </w:r>
      <w:r w:rsidRPr="004457CB">
        <w:rPr>
          <w:rStyle w:val="HideTWBExt"/>
          <w:b w:val="0"/>
          <w:color w:val="auto"/>
        </w:rPr>
        <w:t>&lt;NumAm&gt;</w:t>
      </w:r>
      <w:r w:rsidRPr="004457CB">
        <w:t>6</w:t>
      </w:r>
      <w:r w:rsidRPr="004457CB">
        <w:rPr>
          <w:rStyle w:val="HideTWBExt"/>
          <w:b w:val="0"/>
          <w:color w:val="auto"/>
        </w:rPr>
        <w:t>&lt;/NumAm&gt;</w:t>
      </w:r>
    </w:p>
    <w:p w:rsidR="00146421" w:rsidRPr="004457CB" w:rsidRDefault="00146421" w:rsidP="00146421">
      <w:pPr>
        <w:rPr>
          <w:noProof/>
        </w:rPr>
      </w:pPr>
    </w:p>
    <w:p w:rsidR="00146421" w:rsidRPr="004457CB" w:rsidRDefault="00146421" w:rsidP="00146421">
      <w:pPr>
        <w:pStyle w:val="NormalBold"/>
        <w:keepNext/>
        <w:rPr>
          <w:noProof/>
        </w:rPr>
      </w:pPr>
      <w:r w:rsidRPr="004457CB">
        <w:rPr>
          <w:rStyle w:val="HideTWBExt"/>
          <w:b w:val="0"/>
          <w:color w:val="auto"/>
        </w:rPr>
        <w:t>&lt;DocAmend&gt;</w:t>
      </w:r>
      <w:r w:rsidRPr="004457CB">
        <w:t>Proposta di regolamento</w:t>
      </w:r>
      <w:r w:rsidRPr="004457CB">
        <w:rPr>
          <w:rStyle w:val="HideTWBExt"/>
          <w:b w:val="0"/>
          <w:color w:val="auto"/>
        </w:rPr>
        <w:t>&lt;/DocAmend&gt;</w:t>
      </w:r>
    </w:p>
    <w:p w:rsidR="00146421" w:rsidRPr="004457CB" w:rsidRDefault="00146421" w:rsidP="00146421">
      <w:pPr>
        <w:pStyle w:val="NormalBold"/>
        <w:rPr>
          <w:noProof/>
        </w:rPr>
      </w:pPr>
      <w:r w:rsidRPr="004457CB">
        <w:rPr>
          <w:rStyle w:val="HideTWBExt"/>
          <w:b w:val="0"/>
          <w:color w:val="auto"/>
        </w:rPr>
        <w:t>&lt;Article&gt;</w:t>
      </w:r>
      <w:r w:rsidRPr="004457CB">
        <w:t>Considerando 9</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t>(9)</w:t>
            </w:r>
            <w:r w:rsidRPr="004457CB">
              <w:tab/>
              <w:t xml:space="preserve">La Commissione dovrebbe, sulla base di una procedura di selezione aperta, trasparente e non discriminatoria, designare un registro per il TLD .eu. È </w:t>
            </w:r>
            <w:r w:rsidRPr="004457CB">
              <w:rPr>
                <w:b/>
                <w:i/>
              </w:rPr>
              <w:t>opportuno</w:t>
            </w:r>
            <w:r w:rsidRPr="004457CB">
              <w:t xml:space="preserve"> che la Commissione </w:t>
            </w:r>
            <w:r w:rsidRPr="004457CB">
              <w:rPr>
                <w:b/>
                <w:i/>
              </w:rPr>
              <w:t>stipuli con il Registro selezionato un contratto</w:t>
            </w:r>
            <w:r w:rsidRPr="004457CB">
              <w:t xml:space="preserve"> che </w:t>
            </w:r>
            <w:r w:rsidRPr="004457CB">
              <w:rPr>
                <w:b/>
                <w:i/>
              </w:rPr>
              <w:t>dovrebbe comprendere i</w:t>
            </w:r>
            <w:r w:rsidRPr="004457CB">
              <w:t xml:space="preserve"> principi </w:t>
            </w:r>
            <w:r w:rsidRPr="004457CB">
              <w:rPr>
                <w:b/>
                <w:i/>
              </w:rPr>
              <w:t>e le procedure dettagliati applicabili</w:t>
            </w:r>
            <w:r w:rsidRPr="004457CB">
              <w:t xml:space="preserve"> al </w:t>
            </w:r>
            <w:r w:rsidRPr="004457CB">
              <w:rPr>
                <w:b/>
                <w:i/>
              </w:rPr>
              <w:t>Registro per l'organizzazione</w:t>
            </w:r>
            <w:r w:rsidRPr="004457CB">
              <w:t xml:space="preserve">, </w:t>
            </w:r>
            <w:r w:rsidRPr="004457CB">
              <w:rPr>
                <w:b/>
                <w:i/>
              </w:rPr>
              <w:t>l'amministrazione</w:t>
            </w:r>
            <w:r w:rsidRPr="004457CB">
              <w:t xml:space="preserve"> e </w:t>
            </w:r>
            <w:r w:rsidRPr="004457CB">
              <w:rPr>
                <w:b/>
                <w:i/>
              </w:rPr>
              <w:t>la gestione del TLD .eu.</w:t>
            </w:r>
            <w:r w:rsidRPr="004457CB">
              <w:t xml:space="preserve"> </w:t>
            </w:r>
            <w:r w:rsidRPr="004457CB">
              <w:rPr>
                <w:b/>
                <w:i/>
              </w:rPr>
              <w:t>Tale contratto dovrebbe avere una validità limitata nel tempo ed essere rinnovabile</w:t>
            </w:r>
            <w:r w:rsidRPr="004457CB">
              <w:t>.</w:t>
            </w:r>
          </w:p>
        </w:tc>
        <w:tc>
          <w:tcPr>
            <w:tcW w:w="4876" w:type="dxa"/>
            <w:hideMark/>
          </w:tcPr>
          <w:p w:rsidR="00146421" w:rsidRPr="004457CB" w:rsidRDefault="00146421" w:rsidP="00084A45">
            <w:pPr>
              <w:pStyle w:val="Normal6"/>
              <w:rPr>
                <w:noProof/>
                <w:szCs w:val="24"/>
              </w:rPr>
            </w:pPr>
            <w:r w:rsidRPr="004457CB">
              <w:t>(9)</w:t>
            </w:r>
            <w:r w:rsidRPr="004457CB">
              <w:tab/>
              <w:t xml:space="preserve">La Commissione dovrebbe, sulla base di una procedura di selezione aperta, trasparente e non discriminatoria, </w:t>
            </w:r>
            <w:r w:rsidRPr="004457CB">
              <w:rPr>
                <w:b/>
                <w:i/>
              </w:rPr>
              <w:t xml:space="preserve">tenendo conto dell'efficienza sotto il profilo dei costi e della semplicità amministrativa, </w:t>
            </w:r>
            <w:r w:rsidRPr="004457CB">
              <w:t xml:space="preserve">designare un registro per il TLD .eu. </w:t>
            </w:r>
            <w:r w:rsidRPr="004457CB">
              <w:rPr>
                <w:b/>
                <w:i/>
              </w:rPr>
              <w:t xml:space="preserve">Al fine di stabilire i criteri per la designazione di un registro e una procedura di selezione aperta, trasparente e non discriminatoria per tale designazione, alla Commissione dovrebbe essere delegato il potere di adottare atti conformemente all'articolo 290 del trattato sul funzionamento dell'Unione europea. </w:t>
            </w:r>
            <w:r w:rsidRPr="004457CB">
              <w:t xml:space="preserve">È </w:t>
            </w:r>
            <w:r w:rsidRPr="004457CB">
              <w:rPr>
                <w:b/>
                <w:i/>
              </w:rPr>
              <w:t>di particolare importanza</w:t>
            </w:r>
            <w:r w:rsidRPr="004457CB">
              <w:t xml:space="preserve"> che </w:t>
            </w:r>
            <w:r w:rsidRPr="004457CB">
              <w:rPr>
                <w:b/>
                <w:i/>
              </w:rPr>
              <w:t xml:space="preserve">durante i lavori preparatori </w:t>
            </w:r>
            <w:r w:rsidRPr="004457CB">
              <w:t xml:space="preserve">la Commissione </w:t>
            </w:r>
            <w:r w:rsidRPr="004457CB">
              <w:rPr>
                <w:b/>
                <w:i/>
              </w:rPr>
              <w:t>svolga adeguate consultazioni, anche a livello di esperti, e</w:t>
            </w:r>
            <w:r w:rsidRPr="004457CB">
              <w:t xml:space="preserve"> che </w:t>
            </w:r>
            <w:r w:rsidRPr="004457CB">
              <w:rPr>
                <w:b/>
                <w:i/>
              </w:rPr>
              <w:t>tali consultazioni siano condotte nel rispetto dei</w:t>
            </w:r>
            <w:r w:rsidRPr="004457CB">
              <w:t xml:space="preserve"> principi </w:t>
            </w:r>
            <w:r w:rsidRPr="004457CB">
              <w:rPr>
                <w:b/>
                <w:i/>
              </w:rPr>
              <w:t>stabiliti nell'accordo interistituzionale "Legiferare meglio" del 13 aprile 2016</w:t>
            </w:r>
            <w:r w:rsidRPr="004457CB">
              <w:rPr>
                <w:b/>
                <w:i/>
                <w:vertAlign w:val="superscript"/>
              </w:rPr>
              <w:t>1 bis</w:t>
            </w:r>
            <w:r w:rsidRPr="004457CB">
              <w:rPr>
                <w:b/>
                <w:i/>
              </w:rPr>
              <w:t>.</w:t>
            </w:r>
            <w:r w:rsidRPr="004457CB">
              <w:t xml:space="preserve"> </w:t>
            </w:r>
            <w:r w:rsidRPr="004457CB">
              <w:rPr>
                <w:b/>
                <w:i/>
              </w:rPr>
              <w:t>In particolare,</w:t>
            </w:r>
            <w:r w:rsidRPr="004457CB">
              <w:t xml:space="preserve"> al </w:t>
            </w:r>
            <w:r w:rsidRPr="004457CB">
              <w:rPr>
                <w:b/>
                <w:i/>
              </w:rPr>
              <w:t>fine di garantire una partecipazione paritaria alla preparazione degli atti delegati</w:t>
            </w:r>
            <w:r w:rsidRPr="004457CB">
              <w:t xml:space="preserve">, </w:t>
            </w:r>
            <w:r w:rsidRPr="004457CB">
              <w:rPr>
                <w:b/>
                <w:i/>
              </w:rPr>
              <w:t>il Parlamento europeo</w:t>
            </w:r>
            <w:r w:rsidRPr="004457CB">
              <w:t xml:space="preserve"> e </w:t>
            </w:r>
            <w:r w:rsidRPr="004457CB">
              <w:rPr>
                <w:b/>
                <w:i/>
              </w:rPr>
              <w:t>il Consiglio ricevono tutti i documenti contemporaneamente agli esperti degli Stati membri, e i loro esperti hanno sistematicamente accesso alle riunioni dei gruppi di esperti della Commissione incaricati della preparazione degli atti delegati</w:t>
            </w:r>
            <w:r w:rsidRPr="004457CB">
              <w:t>.</w:t>
            </w:r>
          </w:p>
        </w:tc>
      </w:tr>
    </w:tbl>
    <w:p w:rsidR="00146421" w:rsidRPr="004457CB" w:rsidRDefault="00146421" w:rsidP="00146421">
      <w:pPr>
        <w:rPr>
          <w:noProof/>
        </w:rPr>
      </w:pPr>
      <w:r w:rsidRPr="004457CB">
        <w:rPr>
          <w:rStyle w:val="HideTWBExt"/>
          <w:color w:val="auto"/>
        </w:rPr>
        <w:t>&lt;/Amend&gt;</w:t>
      </w:r>
    </w:p>
    <w:p w:rsidR="00146421" w:rsidRPr="004457CB" w:rsidRDefault="00146421" w:rsidP="00146421">
      <w:pPr>
        <w:pStyle w:val="AMNumberTabs"/>
        <w:keepNext/>
        <w:rPr>
          <w:noProof/>
        </w:rPr>
      </w:pPr>
      <w:r w:rsidRPr="004457CB">
        <w:rPr>
          <w:rStyle w:val="HideTWBExt"/>
          <w:b w:val="0"/>
          <w:color w:val="auto"/>
        </w:rPr>
        <w:t>&lt;Amend&gt;</w:t>
      </w:r>
      <w:r w:rsidRPr="004457CB">
        <w:t>Emendamento</w:t>
      </w:r>
      <w:r w:rsidRPr="004457CB">
        <w:tab/>
      </w:r>
      <w:r w:rsidRPr="004457CB">
        <w:tab/>
      </w:r>
      <w:r w:rsidRPr="004457CB">
        <w:rPr>
          <w:rStyle w:val="HideTWBExt"/>
          <w:b w:val="0"/>
          <w:color w:val="auto"/>
        </w:rPr>
        <w:t>&lt;NumAm&gt;</w:t>
      </w:r>
      <w:r w:rsidRPr="004457CB">
        <w:t>7</w:t>
      </w:r>
      <w:r w:rsidRPr="004457CB">
        <w:rPr>
          <w:rStyle w:val="HideTWBExt"/>
          <w:b w:val="0"/>
          <w:color w:val="auto"/>
        </w:rPr>
        <w:t>&lt;/NumAm&gt;</w:t>
      </w:r>
    </w:p>
    <w:p w:rsidR="00146421" w:rsidRPr="004457CB" w:rsidRDefault="00146421" w:rsidP="00146421">
      <w:pPr>
        <w:rPr>
          <w:noProof/>
        </w:rPr>
      </w:pPr>
    </w:p>
    <w:p w:rsidR="00146421" w:rsidRPr="004457CB" w:rsidRDefault="00146421" w:rsidP="00146421">
      <w:pPr>
        <w:pStyle w:val="NormalBold"/>
        <w:keepNext/>
        <w:rPr>
          <w:noProof/>
        </w:rPr>
      </w:pPr>
      <w:r w:rsidRPr="004457CB">
        <w:rPr>
          <w:rStyle w:val="HideTWBExt"/>
          <w:b w:val="0"/>
          <w:color w:val="auto"/>
        </w:rPr>
        <w:lastRenderedPageBreak/>
        <w:t>&lt;DocAmend&gt;</w:t>
      </w:r>
      <w:r w:rsidRPr="004457CB">
        <w:t>Proposta di regolamento</w:t>
      </w:r>
      <w:r w:rsidRPr="004457CB">
        <w:rPr>
          <w:rStyle w:val="HideTWBExt"/>
          <w:b w:val="0"/>
          <w:color w:val="auto"/>
        </w:rPr>
        <w:t>&lt;/DocAmend&gt;</w:t>
      </w:r>
    </w:p>
    <w:p w:rsidR="00146421" w:rsidRPr="004457CB" w:rsidRDefault="00146421" w:rsidP="00146421">
      <w:pPr>
        <w:pStyle w:val="NormalBold"/>
        <w:rPr>
          <w:noProof/>
        </w:rPr>
      </w:pPr>
      <w:r w:rsidRPr="004457CB">
        <w:rPr>
          <w:rStyle w:val="HideTWBExt"/>
          <w:b w:val="0"/>
          <w:color w:val="auto"/>
        </w:rPr>
        <w:t>&lt;Article&gt;</w:t>
      </w:r>
      <w:r w:rsidRPr="004457CB">
        <w:t>Considerando 9 bis (nuovo)</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tcPr>
          <w:p w:rsidR="00146421" w:rsidRPr="004457CB" w:rsidRDefault="00146421" w:rsidP="00084A45">
            <w:pPr>
              <w:pStyle w:val="Normal6"/>
              <w:rPr>
                <w:noProof/>
              </w:rPr>
            </w:pPr>
          </w:p>
        </w:tc>
        <w:tc>
          <w:tcPr>
            <w:tcW w:w="4876" w:type="dxa"/>
            <w:hideMark/>
          </w:tcPr>
          <w:p w:rsidR="00146421" w:rsidRPr="004457CB" w:rsidRDefault="00146421" w:rsidP="00084A45">
            <w:pPr>
              <w:pStyle w:val="Normal6"/>
              <w:rPr>
                <w:noProof/>
                <w:szCs w:val="24"/>
              </w:rPr>
            </w:pPr>
            <w:r w:rsidRPr="004457CB">
              <w:rPr>
                <w:b/>
                <w:i/>
              </w:rPr>
              <w:t>(9 bis)</w:t>
            </w:r>
            <w:r w:rsidRPr="004457CB">
              <w:rPr>
                <w:b/>
                <w:i/>
              </w:rPr>
              <w:tab/>
              <w:t>È opportuno che la Commissione stipuli con il registro selezionato un contratto che dovrebbe comprendere i principi e le procedure dettagliati applicabili al registro per l'organizzazione, l'amministrazione e la gestione del TLD .eu. Tale contratto dovrebbe avere una durata stabilita ed essere rinnovabile.</w:t>
            </w:r>
          </w:p>
        </w:tc>
      </w:tr>
    </w:tbl>
    <w:p w:rsidR="00146421" w:rsidRPr="004457CB" w:rsidRDefault="00146421" w:rsidP="00146421">
      <w:pPr>
        <w:rPr>
          <w:noProof/>
        </w:rPr>
      </w:pPr>
      <w:r w:rsidRPr="004457CB">
        <w:rPr>
          <w:rStyle w:val="HideTWBExt"/>
          <w:color w:val="auto"/>
        </w:rPr>
        <w:t>&lt;/Amend&gt;</w:t>
      </w:r>
    </w:p>
    <w:p w:rsidR="00146421" w:rsidRPr="004457CB" w:rsidRDefault="00146421" w:rsidP="00146421">
      <w:pPr>
        <w:pStyle w:val="AMNumberTabs"/>
        <w:keepNext/>
        <w:rPr>
          <w:noProof/>
        </w:rPr>
      </w:pPr>
      <w:r w:rsidRPr="004457CB">
        <w:rPr>
          <w:rStyle w:val="HideTWBExt"/>
          <w:b w:val="0"/>
          <w:color w:val="auto"/>
        </w:rPr>
        <w:t>&lt;Amend&gt;</w:t>
      </w:r>
      <w:r w:rsidRPr="004457CB">
        <w:t>Emendamento</w:t>
      </w:r>
      <w:r w:rsidRPr="004457CB">
        <w:tab/>
      </w:r>
      <w:r w:rsidRPr="004457CB">
        <w:tab/>
      </w:r>
      <w:r w:rsidRPr="004457CB">
        <w:rPr>
          <w:rStyle w:val="HideTWBExt"/>
          <w:b w:val="0"/>
          <w:color w:val="auto"/>
        </w:rPr>
        <w:t>&lt;NumAm&gt;</w:t>
      </w:r>
      <w:r w:rsidRPr="004457CB">
        <w:t>8</w:t>
      </w:r>
      <w:r w:rsidRPr="004457CB">
        <w:rPr>
          <w:rStyle w:val="HideTWBExt"/>
          <w:b w:val="0"/>
          <w:color w:val="auto"/>
        </w:rPr>
        <w:t>&lt;/NumAm&gt;</w:t>
      </w:r>
    </w:p>
    <w:p w:rsidR="00146421" w:rsidRPr="004457CB" w:rsidRDefault="00146421" w:rsidP="00146421">
      <w:pPr>
        <w:rPr>
          <w:noProof/>
        </w:rPr>
      </w:pPr>
    </w:p>
    <w:p w:rsidR="00146421" w:rsidRPr="004457CB" w:rsidRDefault="00146421" w:rsidP="00146421">
      <w:pPr>
        <w:pStyle w:val="NormalBold"/>
        <w:keepNext/>
        <w:rPr>
          <w:noProof/>
        </w:rPr>
      </w:pPr>
      <w:r w:rsidRPr="004457CB">
        <w:rPr>
          <w:rStyle w:val="HideTWBExt"/>
          <w:b w:val="0"/>
          <w:color w:val="auto"/>
        </w:rPr>
        <w:t>&lt;DocAmend&gt;</w:t>
      </w:r>
      <w:r w:rsidRPr="004457CB">
        <w:t>Proposta di regolamento</w:t>
      </w:r>
      <w:r w:rsidRPr="004457CB">
        <w:rPr>
          <w:rStyle w:val="HideTWBExt"/>
          <w:b w:val="0"/>
          <w:color w:val="auto"/>
        </w:rPr>
        <w:t>&lt;/DocAmend&gt;</w:t>
      </w:r>
    </w:p>
    <w:p w:rsidR="00146421" w:rsidRPr="004457CB" w:rsidRDefault="00146421" w:rsidP="00146421">
      <w:pPr>
        <w:pStyle w:val="NormalBold"/>
        <w:rPr>
          <w:noProof/>
        </w:rPr>
      </w:pPr>
      <w:r w:rsidRPr="004457CB">
        <w:rPr>
          <w:rStyle w:val="HideTWBExt"/>
          <w:b w:val="0"/>
          <w:color w:val="auto"/>
        </w:rPr>
        <w:t>&lt;Article&gt;</w:t>
      </w:r>
      <w:r w:rsidRPr="004457CB">
        <w:t>Considerando 22</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t>(22)</w:t>
            </w:r>
            <w:r w:rsidRPr="004457CB">
              <w:tab/>
              <w:t>La Commissione dovrebbe effettuare una valutazione dell'efficacia e del funzionamento del TLD .eu. Tale valutazione dovrebbe tenere conto delle pratiche di lavoro del registro designato e della pertinenza dei suoi compiti.</w:t>
            </w:r>
          </w:p>
        </w:tc>
        <w:tc>
          <w:tcPr>
            <w:tcW w:w="4876" w:type="dxa"/>
            <w:hideMark/>
          </w:tcPr>
          <w:p w:rsidR="00146421" w:rsidRPr="004457CB" w:rsidRDefault="00146421" w:rsidP="00084A45">
            <w:pPr>
              <w:pStyle w:val="Normal6"/>
              <w:rPr>
                <w:noProof/>
                <w:szCs w:val="24"/>
              </w:rPr>
            </w:pPr>
            <w:r w:rsidRPr="004457CB">
              <w:t>(22)</w:t>
            </w:r>
            <w:r w:rsidRPr="004457CB">
              <w:tab/>
              <w:t xml:space="preserve">La Commissione dovrebbe effettuare una valutazione dell'efficacia e del funzionamento del TLD .eu. Tale valutazione dovrebbe tenere conto delle pratiche di lavoro del registro designato e della pertinenza dei suoi compiti. </w:t>
            </w:r>
            <w:r w:rsidRPr="004457CB">
              <w:rPr>
                <w:b/>
                <w:i/>
              </w:rPr>
              <w:t>La Commissione dovrebbe inoltre presentare, ogni tre anni, una relazione sul funzionamento del nome TLD .eu.</w:t>
            </w:r>
          </w:p>
        </w:tc>
      </w:tr>
    </w:tbl>
    <w:p w:rsidR="00146421" w:rsidRPr="004457CB" w:rsidRDefault="00146421" w:rsidP="00146421">
      <w:pPr>
        <w:rPr>
          <w:noProof/>
        </w:rPr>
      </w:pPr>
      <w:r w:rsidRPr="004457CB">
        <w:rPr>
          <w:rStyle w:val="HideTWBExt"/>
          <w:color w:val="auto"/>
        </w:rPr>
        <w:t>&lt;/Amend&gt;</w:t>
      </w:r>
    </w:p>
    <w:p w:rsidR="00146421" w:rsidRPr="004457CB" w:rsidRDefault="00146421" w:rsidP="00146421">
      <w:pPr>
        <w:pStyle w:val="AMNumberTabs"/>
        <w:keepNext/>
        <w:rPr>
          <w:noProof/>
        </w:rPr>
      </w:pPr>
      <w:r w:rsidRPr="004457CB">
        <w:rPr>
          <w:rStyle w:val="HideTWBExt"/>
          <w:b w:val="0"/>
          <w:color w:val="auto"/>
        </w:rPr>
        <w:t>&lt;Amend&gt;</w:t>
      </w:r>
      <w:r w:rsidRPr="004457CB">
        <w:t>Emendamento</w:t>
      </w:r>
      <w:r w:rsidRPr="004457CB">
        <w:tab/>
      </w:r>
      <w:r w:rsidRPr="004457CB">
        <w:tab/>
      </w:r>
      <w:r w:rsidRPr="004457CB">
        <w:rPr>
          <w:rStyle w:val="HideTWBExt"/>
          <w:b w:val="0"/>
          <w:color w:val="auto"/>
        </w:rPr>
        <w:t>&lt;NumAm&gt;</w:t>
      </w:r>
      <w:r w:rsidRPr="004457CB">
        <w:t>9</w:t>
      </w:r>
      <w:r w:rsidRPr="004457CB">
        <w:rPr>
          <w:rStyle w:val="HideTWBExt"/>
          <w:b w:val="0"/>
          <w:color w:val="auto"/>
        </w:rPr>
        <w:t>&lt;/NumAm&gt;</w:t>
      </w:r>
    </w:p>
    <w:p w:rsidR="00146421" w:rsidRPr="004457CB" w:rsidRDefault="00146421" w:rsidP="00146421">
      <w:pPr>
        <w:rPr>
          <w:noProof/>
        </w:rPr>
      </w:pPr>
    </w:p>
    <w:p w:rsidR="00146421" w:rsidRPr="004457CB" w:rsidRDefault="00146421" w:rsidP="00146421">
      <w:pPr>
        <w:pStyle w:val="NormalBold"/>
        <w:keepNext/>
        <w:rPr>
          <w:noProof/>
        </w:rPr>
      </w:pPr>
      <w:r w:rsidRPr="004457CB">
        <w:rPr>
          <w:rStyle w:val="HideTWBExt"/>
          <w:b w:val="0"/>
          <w:color w:val="auto"/>
        </w:rPr>
        <w:t>&lt;DocAmend&gt;</w:t>
      </w:r>
      <w:r w:rsidRPr="004457CB">
        <w:t>Proposta di regolamento</w:t>
      </w:r>
      <w:r w:rsidRPr="004457CB">
        <w:rPr>
          <w:rStyle w:val="HideTWBExt"/>
          <w:b w:val="0"/>
          <w:color w:val="auto"/>
        </w:rPr>
        <w:t>&lt;/DocAmend&gt;</w:t>
      </w:r>
    </w:p>
    <w:p w:rsidR="00146421" w:rsidRPr="004457CB" w:rsidRDefault="00146421" w:rsidP="00146421">
      <w:pPr>
        <w:pStyle w:val="NormalBold"/>
        <w:rPr>
          <w:noProof/>
        </w:rPr>
      </w:pPr>
      <w:r w:rsidRPr="004457CB">
        <w:rPr>
          <w:rStyle w:val="HideTWBExt"/>
          <w:b w:val="0"/>
          <w:color w:val="auto"/>
        </w:rPr>
        <w:t>&lt;Article&gt;</w:t>
      </w:r>
      <w:r w:rsidRPr="004457CB">
        <w:t>Articolo 1 – paragrafo -1 (nuovo)</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tcPr>
          <w:p w:rsidR="00146421" w:rsidRPr="004457CB" w:rsidRDefault="00146421" w:rsidP="00084A45">
            <w:pPr>
              <w:pStyle w:val="Normal6"/>
              <w:rPr>
                <w:noProof/>
              </w:rPr>
            </w:pPr>
          </w:p>
        </w:tc>
        <w:tc>
          <w:tcPr>
            <w:tcW w:w="4876" w:type="dxa"/>
            <w:hideMark/>
          </w:tcPr>
          <w:p w:rsidR="00146421" w:rsidRPr="004457CB" w:rsidRDefault="00146421" w:rsidP="00084A45">
            <w:pPr>
              <w:pStyle w:val="Normal6"/>
              <w:rPr>
                <w:noProof/>
                <w:szCs w:val="24"/>
              </w:rPr>
            </w:pPr>
            <w:r w:rsidRPr="004457CB">
              <w:rPr>
                <w:b/>
                <w:i/>
              </w:rPr>
              <w:t>-1.</w:t>
            </w:r>
            <w:r w:rsidRPr="004457CB">
              <w:rPr>
                <w:b/>
                <w:i/>
              </w:rPr>
              <w:tab/>
              <w:t>Il presente regolamento è inteso a sostenere il mercato unico digitale, costruendo un'identità europea online e incoraggiando le attività transfrontaliere online, promuovendo la competitività del nome TLD .eu.</w:t>
            </w:r>
          </w:p>
        </w:tc>
      </w:tr>
    </w:tbl>
    <w:p w:rsidR="00146421" w:rsidRPr="004457CB" w:rsidRDefault="00146421" w:rsidP="00146421">
      <w:pPr>
        <w:rPr>
          <w:noProof/>
        </w:rPr>
      </w:pPr>
      <w:r w:rsidRPr="004457CB">
        <w:rPr>
          <w:rStyle w:val="HideTWBExt"/>
          <w:color w:val="auto"/>
        </w:rPr>
        <w:t>&lt;/Amend&gt;</w:t>
      </w:r>
    </w:p>
    <w:p w:rsidR="00146421" w:rsidRPr="004457CB" w:rsidRDefault="00146421" w:rsidP="00146421">
      <w:pPr>
        <w:pStyle w:val="AMNumberTabs"/>
        <w:rPr>
          <w:noProof/>
        </w:rPr>
      </w:pPr>
      <w:r w:rsidRPr="004457CB">
        <w:rPr>
          <w:rStyle w:val="HideTWBExt"/>
          <w:color w:val="auto"/>
        </w:rPr>
        <w:lastRenderedPageBreak/>
        <w:t>&lt;Amend&gt;</w:t>
      </w:r>
      <w:r w:rsidRPr="004457CB">
        <w:t>Emendamento</w:t>
      </w:r>
      <w:r w:rsidRPr="004457CB">
        <w:tab/>
      </w:r>
      <w:r w:rsidRPr="004457CB">
        <w:tab/>
      </w:r>
      <w:r w:rsidRPr="004457CB">
        <w:rPr>
          <w:rStyle w:val="HideTWBExt"/>
          <w:color w:val="auto"/>
        </w:rPr>
        <w:t>&lt;NumAm&gt;</w:t>
      </w:r>
      <w:r w:rsidRPr="004457CB">
        <w:t>10</w:t>
      </w:r>
      <w:r w:rsidRPr="004457CB">
        <w:rPr>
          <w:rStyle w:val="HideTWBExt"/>
          <w:color w:val="auto"/>
        </w:rPr>
        <w:t>&lt;/NumAm&gt;</w:t>
      </w:r>
    </w:p>
    <w:p w:rsidR="00146421" w:rsidRPr="004457CB" w:rsidRDefault="00146421" w:rsidP="00146421">
      <w:pPr>
        <w:pStyle w:val="NormalBold12b"/>
        <w:rPr>
          <w:noProof/>
        </w:rPr>
      </w:pPr>
      <w:r w:rsidRPr="004457CB">
        <w:rPr>
          <w:rStyle w:val="HideTWBExt"/>
          <w:color w:val="auto"/>
        </w:rPr>
        <w:t>&lt;DocAmend&gt;</w:t>
      </w:r>
      <w:r w:rsidRPr="004457CB">
        <w:t>Proposta di regolamento</w:t>
      </w:r>
      <w:r w:rsidRPr="004457CB">
        <w:rPr>
          <w:rStyle w:val="HideTWBExt"/>
          <w:color w:val="auto"/>
        </w:rPr>
        <w:t>&lt;/DocAmend&gt;</w:t>
      </w:r>
    </w:p>
    <w:p w:rsidR="00146421" w:rsidRPr="004457CB" w:rsidRDefault="00146421" w:rsidP="00146421">
      <w:pPr>
        <w:pStyle w:val="NormalBold"/>
        <w:rPr>
          <w:noProof/>
        </w:rPr>
      </w:pPr>
      <w:r w:rsidRPr="004457CB">
        <w:rPr>
          <w:rStyle w:val="HideTWBExt"/>
          <w:color w:val="auto"/>
        </w:rPr>
        <w:t>&lt;Article&gt;</w:t>
      </w:r>
      <w:r w:rsidRPr="004457CB">
        <w:t>Articolo 2 – comma 1 – lettera a</w:t>
      </w:r>
      <w:r w:rsidRPr="004457CB">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trHeight w:hRule="exact" w:val="240"/>
          <w:jc w:val="center"/>
        </w:trPr>
        <w:tc>
          <w:tcPr>
            <w:tcW w:w="9752" w:type="dxa"/>
            <w:gridSpan w:val="2"/>
          </w:tcPr>
          <w:p w:rsidR="00146421" w:rsidRPr="004457CB" w:rsidRDefault="00146421" w:rsidP="00084A45">
            <w:pPr>
              <w:rPr>
                <w:noProof/>
              </w:rPr>
            </w:pPr>
          </w:p>
        </w:tc>
      </w:tr>
      <w:tr w:rsidR="004457CB" w:rsidRPr="004457CB" w:rsidTr="00084A45">
        <w:trPr>
          <w:trHeight w:val="240"/>
          <w:jc w:val="center"/>
        </w:trPr>
        <w:tc>
          <w:tcPr>
            <w:tcW w:w="4876" w:type="dxa"/>
          </w:tcPr>
          <w:p w:rsidR="00146421" w:rsidRPr="004457CB" w:rsidRDefault="00146421" w:rsidP="00084A45">
            <w:pPr>
              <w:pStyle w:val="ColumnHeading"/>
              <w:rPr>
                <w:noProof/>
              </w:rPr>
            </w:pPr>
            <w:r w:rsidRPr="004457CB">
              <w:t>Testo della Commissione</w:t>
            </w:r>
          </w:p>
        </w:tc>
        <w:tc>
          <w:tcPr>
            <w:tcW w:w="4876" w:type="dxa"/>
          </w:tcPr>
          <w:p w:rsidR="00146421" w:rsidRPr="004457CB" w:rsidRDefault="00146421" w:rsidP="00084A45">
            <w:pPr>
              <w:pStyle w:val="ColumnHeading"/>
              <w:rPr>
                <w:noProof/>
              </w:rPr>
            </w:pPr>
            <w:r w:rsidRPr="004457CB">
              <w:t>Emendamento</w:t>
            </w:r>
          </w:p>
        </w:tc>
      </w:tr>
      <w:tr w:rsidR="004457CB" w:rsidRPr="004457CB" w:rsidTr="00084A45">
        <w:trPr>
          <w:jc w:val="center"/>
        </w:trPr>
        <w:tc>
          <w:tcPr>
            <w:tcW w:w="4876" w:type="dxa"/>
          </w:tcPr>
          <w:p w:rsidR="00146421" w:rsidRPr="004457CB" w:rsidRDefault="00146421" w:rsidP="00084A45">
            <w:pPr>
              <w:pStyle w:val="Normal6"/>
              <w:rPr>
                <w:noProof/>
              </w:rPr>
            </w:pPr>
            <w:r w:rsidRPr="004457CB">
              <w:t>a)</w:t>
            </w:r>
            <w:r w:rsidRPr="004457CB">
              <w:tab/>
              <w:t>"registro": l'entità alla quale sono affidate l'organizzazione, l'amministrazione e la gestione del TLD .eu, compresa la manutenzione dei corrispondenti database e dei servizi di interrogazione pubblici (public query services) ad essi associati, la registrazione dei nomi di dominio, il funzionamento del registro dei nomi di dominio, il funzionamento dei server del registro nomi di dominio di primo livello e la distribuzione dei file di zona relativi ai domini di primo livello;</w:t>
            </w:r>
          </w:p>
        </w:tc>
        <w:tc>
          <w:tcPr>
            <w:tcW w:w="4876" w:type="dxa"/>
          </w:tcPr>
          <w:p w:rsidR="00146421" w:rsidRPr="004457CB" w:rsidRDefault="00146421" w:rsidP="00084A45">
            <w:pPr>
              <w:pStyle w:val="Normal6"/>
              <w:rPr>
                <w:noProof/>
              </w:rPr>
            </w:pPr>
            <w:r w:rsidRPr="004457CB">
              <w:t>a)</w:t>
            </w:r>
            <w:r w:rsidRPr="004457CB">
              <w:tab/>
              <w:t>"registro": l'entità alla quale sono affidate l'organizzazione, l'amministrazione e la gestione del TLD .eu, compresa la manutenzione dei corrispondenti database e dei servizi di interrogazione pubblici (public query services) ad essi associati, la registrazione dei nomi di dominio, il funzionamento del registro dei nomi di dominio, il funzionamento dei server del registro nomi di dominio di primo livello e la distribuzione dei file di zona relativi ai domini di primo livello</w:t>
            </w:r>
            <w:r w:rsidRPr="004457CB">
              <w:rPr>
                <w:b/>
                <w:i/>
              </w:rPr>
              <w:t>, se del caso</w:t>
            </w:r>
            <w:r w:rsidRPr="004457CB">
              <w:t>;</w:t>
            </w:r>
          </w:p>
        </w:tc>
      </w:tr>
    </w:tbl>
    <w:p w:rsidR="00146421" w:rsidRPr="004457CB" w:rsidRDefault="00146421" w:rsidP="00146421">
      <w:pPr>
        <w:pStyle w:val="JustificationTitle"/>
        <w:rPr>
          <w:noProof/>
        </w:rPr>
      </w:pPr>
      <w:r w:rsidRPr="004457CB">
        <w:rPr>
          <w:rStyle w:val="HideTWBExt"/>
          <w:color w:val="auto"/>
        </w:rPr>
        <w:t>&lt;TitreJust&gt;</w:t>
      </w:r>
      <w:r w:rsidRPr="004457CB">
        <w:t>Motivazione</w:t>
      </w:r>
      <w:r w:rsidRPr="004457CB">
        <w:rPr>
          <w:rStyle w:val="HideTWBExt"/>
          <w:color w:val="auto"/>
        </w:rPr>
        <w:t>&lt;/TitreJust&gt;</w:t>
      </w:r>
    </w:p>
    <w:p w:rsidR="00146421" w:rsidRPr="004457CB" w:rsidRDefault="00146421" w:rsidP="00146421">
      <w:pPr>
        <w:pStyle w:val="Normal12Italic"/>
        <w:rPr>
          <w:noProof/>
        </w:rPr>
      </w:pPr>
      <w:r w:rsidRPr="004457CB">
        <w:t>I TLD hanno fatto ricorso a restrizioni della distribuzione dei file di zona relativi ai domini di primo livello come misura di sicurezza e tale flessibilità deve essere mantenuta evitando di imporre un obbligo.</w:t>
      </w:r>
    </w:p>
    <w:p w:rsidR="00146421" w:rsidRPr="004457CB" w:rsidRDefault="00146421" w:rsidP="00146421">
      <w:pPr>
        <w:rPr>
          <w:noProof/>
        </w:rPr>
      </w:pPr>
      <w:r w:rsidRPr="004457CB">
        <w:rPr>
          <w:rStyle w:val="HideTWBExt"/>
          <w:color w:val="auto"/>
        </w:rPr>
        <w:t>&lt;/Amend&gt;</w:t>
      </w:r>
    </w:p>
    <w:p w:rsidR="00146421" w:rsidRPr="004457CB" w:rsidRDefault="00146421" w:rsidP="00146421">
      <w:pPr>
        <w:pStyle w:val="AMNumberTabs"/>
        <w:keepNext/>
        <w:rPr>
          <w:noProof/>
        </w:rPr>
      </w:pPr>
      <w:r w:rsidRPr="004457CB">
        <w:rPr>
          <w:rStyle w:val="HideTWBExt"/>
          <w:b w:val="0"/>
          <w:color w:val="auto"/>
        </w:rPr>
        <w:t>&lt;Amend&gt;</w:t>
      </w:r>
      <w:r w:rsidRPr="004457CB">
        <w:t>Emendamento</w:t>
      </w:r>
      <w:r w:rsidRPr="004457CB">
        <w:tab/>
      </w:r>
      <w:r w:rsidRPr="004457CB">
        <w:tab/>
      </w:r>
      <w:r w:rsidRPr="004457CB">
        <w:rPr>
          <w:rStyle w:val="HideTWBExt"/>
          <w:b w:val="0"/>
          <w:color w:val="auto"/>
        </w:rPr>
        <w:t>&lt;NumAm&gt;</w:t>
      </w:r>
      <w:r w:rsidRPr="004457CB">
        <w:t>11</w:t>
      </w:r>
      <w:r w:rsidRPr="004457CB">
        <w:rPr>
          <w:rStyle w:val="HideTWBExt"/>
          <w:b w:val="0"/>
          <w:color w:val="auto"/>
        </w:rPr>
        <w:t>&lt;/NumAm&gt;</w:t>
      </w:r>
    </w:p>
    <w:p w:rsidR="00146421" w:rsidRPr="004457CB" w:rsidRDefault="00146421" w:rsidP="00146421">
      <w:pPr>
        <w:rPr>
          <w:noProof/>
        </w:rPr>
      </w:pPr>
    </w:p>
    <w:p w:rsidR="00146421" w:rsidRPr="004457CB" w:rsidRDefault="00146421" w:rsidP="00146421">
      <w:pPr>
        <w:pStyle w:val="NormalBold"/>
        <w:keepNext/>
        <w:rPr>
          <w:noProof/>
        </w:rPr>
      </w:pPr>
      <w:r w:rsidRPr="004457CB">
        <w:rPr>
          <w:rStyle w:val="HideTWBExt"/>
          <w:b w:val="0"/>
          <w:color w:val="auto"/>
        </w:rPr>
        <w:t>&lt;DocAmend&gt;</w:t>
      </w:r>
      <w:r w:rsidRPr="004457CB">
        <w:t>Proposta di regolamento</w:t>
      </w:r>
      <w:r w:rsidRPr="004457CB">
        <w:rPr>
          <w:rStyle w:val="HideTWBExt"/>
          <w:b w:val="0"/>
          <w:color w:val="auto"/>
        </w:rPr>
        <w:t>&lt;/DocAmend&gt;</w:t>
      </w:r>
    </w:p>
    <w:p w:rsidR="00146421" w:rsidRPr="004457CB" w:rsidRDefault="00146421" w:rsidP="00146421">
      <w:pPr>
        <w:pStyle w:val="NormalBold"/>
        <w:rPr>
          <w:noProof/>
        </w:rPr>
      </w:pPr>
      <w:r w:rsidRPr="004457CB">
        <w:rPr>
          <w:rStyle w:val="HideTWBExt"/>
          <w:b w:val="0"/>
          <w:color w:val="auto"/>
        </w:rPr>
        <w:t>&lt;Article&gt;</w:t>
      </w:r>
      <w:r w:rsidRPr="004457CB">
        <w:t>Articolo 3 – comma 1 – punto ii</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t>ii)</w:t>
            </w:r>
            <w:r w:rsidRPr="004457CB">
              <w:tab/>
            </w:r>
            <w:r w:rsidRPr="004457CB">
              <w:rPr>
                <w:b/>
                <w:i/>
              </w:rPr>
              <w:t>una persona fisica</w:t>
            </w:r>
            <w:r w:rsidRPr="004457CB">
              <w:t xml:space="preserve"> residente in uno Stato membro </w:t>
            </w:r>
            <w:r w:rsidRPr="004457CB">
              <w:rPr>
                <w:b/>
                <w:i/>
              </w:rPr>
              <w:t>che non sia cittadino dell'Unione</w:t>
            </w:r>
            <w:r w:rsidRPr="004457CB">
              <w:t xml:space="preserve">; </w:t>
            </w:r>
            <w:r w:rsidRPr="004457CB">
              <w:rPr>
                <w:b/>
                <w:i/>
              </w:rPr>
              <w:t>o</w:t>
            </w:r>
          </w:p>
        </w:tc>
        <w:tc>
          <w:tcPr>
            <w:tcW w:w="4876" w:type="dxa"/>
            <w:hideMark/>
          </w:tcPr>
          <w:p w:rsidR="00146421" w:rsidRPr="004457CB" w:rsidRDefault="00146421" w:rsidP="00084A45">
            <w:pPr>
              <w:pStyle w:val="Normal6"/>
              <w:rPr>
                <w:noProof/>
                <w:szCs w:val="24"/>
              </w:rPr>
            </w:pPr>
            <w:r w:rsidRPr="004457CB">
              <w:t>ii)</w:t>
            </w:r>
            <w:r w:rsidRPr="004457CB">
              <w:tab/>
            </w:r>
            <w:r w:rsidRPr="004457CB">
              <w:rPr>
                <w:b/>
                <w:i/>
              </w:rPr>
              <w:t>un cittadino di un paese terzo,</w:t>
            </w:r>
            <w:r w:rsidRPr="004457CB">
              <w:t xml:space="preserve"> residente in uno Stato membro </w:t>
            </w:r>
            <w:r w:rsidRPr="004457CB">
              <w:rPr>
                <w:b/>
                <w:i/>
              </w:rPr>
              <w:t>o in un paese terzo membro del SEE</w:t>
            </w:r>
            <w:r w:rsidRPr="004457CB">
              <w:t xml:space="preserve">; </w:t>
            </w:r>
          </w:p>
        </w:tc>
      </w:tr>
    </w:tbl>
    <w:p w:rsidR="00146421" w:rsidRPr="004457CB" w:rsidRDefault="00146421" w:rsidP="00146421">
      <w:pPr>
        <w:rPr>
          <w:noProof/>
        </w:rPr>
      </w:pPr>
      <w:r w:rsidRPr="004457CB">
        <w:rPr>
          <w:rStyle w:val="HideTWBExt"/>
          <w:color w:val="auto"/>
        </w:rPr>
        <w:t>&lt;/Amend&gt;</w:t>
      </w:r>
    </w:p>
    <w:p w:rsidR="00146421" w:rsidRPr="004457CB" w:rsidRDefault="00146421" w:rsidP="00146421">
      <w:pPr>
        <w:pStyle w:val="AMNumberTabs"/>
        <w:keepNext/>
        <w:rPr>
          <w:noProof/>
        </w:rPr>
      </w:pPr>
      <w:r w:rsidRPr="004457CB">
        <w:rPr>
          <w:rStyle w:val="HideTWBExt"/>
          <w:b w:val="0"/>
          <w:color w:val="auto"/>
        </w:rPr>
        <w:t>&lt;Amend&gt;</w:t>
      </w:r>
      <w:r w:rsidRPr="004457CB">
        <w:t>Emendamento</w:t>
      </w:r>
      <w:r w:rsidRPr="004457CB">
        <w:tab/>
      </w:r>
      <w:r w:rsidRPr="004457CB">
        <w:tab/>
      </w:r>
      <w:r w:rsidRPr="004457CB">
        <w:rPr>
          <w:rStyle w:val="HideTWBExt"/>
          <w:b w:val="0"/>
          <w:color w:val="auto"/>
        </w:rPr>
        <w:t>&lt;NumAm&gt;</w:t>
      </w:r>
      <w:r w:rsidRPr="004457CB">
        <w:t>12</w:t>
      </w:r>
      <w:r w:rsidRPr="004457CB">
        <w:rPr>
          <w:rStyle w:val="HideTWBExt"/>
          <w:b w:val="0"/>
          <w:color w:val="auto"/>
        </w:rPr>
        <w:t>&lt;/NumAm&gt;</w:t>
      </w:r>
    </w:p>
    <w:p w:rsidR="00146421" w:rsidRPr="004457CB" w:rsidRDefault="00146421" w:rsidP="00146421">
      <w:pPr>
        <w:rPr>
          <w:noProof/>
        </w:rPr>
      </w:pPr>
    </w:p>
    <w:p w:rsidR="00146421" w:rsidRPr="004457CB" w:rsidRDefault="00146421" w:rsidP="00146421">
      <w:pPr>
        <w:pStyle w:val="NormalBold"/>
        <w:keepNext/>
        <w:rPr>
          <w:noProof/>
        </w:rPr>
      </w:pPr>
      <w:r w:rsidRPr="004457CB">
        <w:rPr>
          <w:rStyle w:val="HideTWBExt"/>
          <w:b w:val="0"/>
          <w:color w:val="auto"/>
        </w:rPr>
        <w:t>&lt;DocAmend&gt;</w:t>
      </w:r>
      <w:r w:rsidRPr="004457CB">
        <w:t>Proposta di regolamento</w:t>
      </w:r>
      <w:r w:rsidRPr="004457CB">
        <w:rPr>
          <w:rStyle w:val="HideTWBExt"/>
          <w:b w:val="0"/>
          <w:color w:val="auto"/>
        </w:rPr>
        <w:t>&lt;/DocAmend&gt;</w:t>
      </w:r>
    </w:p>
    <w:p w:rsidR="00146421" w:rsidRPr="004457CB" w:rsidRDefault="00146421" w:rsidP="00146421">
      <w:pPr>
        <w:pStyle w:val="NormalBold"/>
        <w:rPr>
          <w:noProof/>
        </w:rPr>
      </w:pPr>
      <w:r w:rsidRPr="004457CB">
        <w:rPr>
          <w:rStyle w:val="HideTWBExt"/>
          <w:b w:val="0"/>
          <w:color w:val="auto"/>
        </w:rPr>
        <w:t>&lt;Article&gt;</w:t>
      </w:r>
      <w:r w:rsidRPr="004457CB">
        <w:t>Articolo 3 – comma 1 – punto iii</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t>iii)</w:t>
            </w:r>
            <w:r w:rsidRPr="004457CB">
              <w:tab/>
              <w:t xml:space="preserve">un'impresa stabilita </w:t>
            </w:r>
            <w:r w:rsidRPr="004457CB">
              <w:rPr>
                <w:b/>
                <w:i/>
              </w:rPr>
              <w:t>all'interno dell'Unione</w:t>
            </w:r>
            <w:r w:rsidRPr="004457CB">
              <w:t xml:space="preserve">; </w:t>
            </w:r>
            <w:r w:rsidRPr="004457CB">
              <w:rPr>
                <w:b/>
                <w:i/>
              </w:rPr>
              <w:t>o</w:t>
            </w:r>
          </w:p>
        </w:tc>
        <w:tc>
          <w:tcPr>
            <w:tcW w:w="4876" w:type="dxa"/>
            <w:hideMark/>
          </w:tcPr>
          <w:p w:rsidR="00146421" w:rsidRPr="004457CB" w:rsidRDefault="00146421" w:rsidP="00084A45">
            <w:pPr>
              <w:pStyle w:val="Normal6"/>
              <w:rPr>
                <w:noProof/>
                <w:szCs w:val="24"/>
              </w:rPr>
            </w:pPr>
            <w:r w:rsidRPr="004457CB">
              <w:t>iii)</w:t>
            </w:r>
            <w:r w:rsidRPr="004457CB">
              <w:tab/>
              <w:t xml:space="preserve">un'impresa stabilita </w:t>
            </w:r>
            <w:r w:rsidRPr="004457CB">
              <w:rPr>
                <w:b/>
                <w:i/>
              </w:rPr>
              <w:t>in uno Stato membro o in un paese terzo membro del SEE</w:t>
            </w:r>
            <w:r w:rsidRPr="004457CB">
              <w:t xml:space="preserve">; </w:t>
            </w:r>
          </w:p>
        </w:tc>
      </w:tr>
    </w:tbl>
    <w:p w:rsidR="00146421" w:rsidRPr="004457CB" w:rsidRDefault="00146421" w:rsidP="00146421">
      <w:pPr>
        <w:rPr>
          <w:noProof/>
        </w:rPr>
      </w:pPr>
      <w:r w:rsidRPr="004457CB">
        <w:rPr>
          <w:rStyle w:val="HideTWBExt"/>
          <w:color w:val="auto"/>
        </w:rPr>
        <w:lastRenderedPageBreak/>
        <w:t>&lt;/Amend&gt;</w:t>
      </w:r>
    </w:p>
    <w:p w:rsidR="00146421" w:rsidRPr="004457CB" w:rsidRDefault="00146421" w:rsidP="00146421">
      <w:pPr>
        <w:pStyle w:val="AMNumberTabs"/>
        <w:keepNext/>
        <w:rPr>
          <w:noProof/>
        </w:rPr>
      </w:pPr>
      <w:r w:rsidRPr="004457CB">
        <w:rPr>
          <w:rStyle w:val="HideTWBExt"/>
          <w:b w:val="0"/>
          <w:color w:val="auto"/>
        </w:rPr>
        <w:t>&lt;Amend&gt;</w:t>
      </w:r>
      <w:r w:rsidRPr="004457CB">
        <w:t>Emendamento</w:t>
      </w:r>
      <w:r w:rsidRPr="004457CB">
        <w:tab/>
      </w:r>
      <w:r w:rsidRPr="004457CB">
        <w:tab/>
      </w:r>
      <w:r w:rsidRPr="004457CB">
        <w:rPr>
          <w:rStyle w:val="HideTWBExt"/>
          <w:b w:val="0"/>
          <w:color w:val="auto"/>
        </w:rPr>
        <w:t>&lt;NumAm&gt;</w:t>
      </w:r>
      <w:r w:rsidRPr="004457CB">
        <w:t>13</w:t>
      </w:r>
      <w:r w:rsidRPr="004457CB">
        <w:rPr>
          <w:rStyle w:val="HideTWBExt"/>
          <w:b w:val="0"/>
          <w:color w:val="auto"/>
        </w:rPr>
        <w:t>&lt;/NumAm&gt;</w:t>
      </w:r>
    </w:p>
    <w:p w:rsidR="00146421" w:rsidRPr="004457CB" w:rsidRDefault="00146421" w:rsidP="00146421">
      <w:pPr>
        <w:rPr>
          <w:noProof/>
        </w:rPr>
      </w:pPr>
    </w:p>
    <w:p w:rsidR="00146421" w:rsidRPr="004457CB" w:rsidRDefault="00146421" w:rsidP="00146421">
      <w:pPr>
        <w:pStyle w:val="NormalBold"/>
        <w:keepNext/>
        <w:rPr>
          <w:noProof/>
        </w:rPr>
      </w:pPr>
      <w:r w:rsidRPr="004457CB">
        <w:rPr>
          <w:rStyle w:val="HideTWBExt"/>
          <w:b w:val="0"/>
          <w:color w:val="auto"/>
        </w:rPr>
        <w:t>&lt;DocAmend&gt;</w:t>
      </w:r>
      <w:r w:rsidRPr="004457CB">
        <w:t>Proposta di regolamento</w:t>
      </w:r>
      <w:r w:rsidRPr="004457CB">
        <w:rPr>
          <w:rStyle w:val="HideTWBExt"/>
          <w:b w:val="0"/>
          <w:color w:val="auto"/>
        </w:rPr>
        <w:t>&lt;/DocAmend&gt;</w:t>
      </w:r>
    </w:p>
    <w:p w:rsidR="00146421" w:rsidRPr="004457CB" w:rsidRDefault="00146421" w:rsidP="00146421">
      <w:pPr>
        <w:pStyle w:val="NormalBold"/>
        <w:rPr>
          <w:noProof/>
        </w:rPr>
      </w:pPr>
      <w:r w:rsidRPr="004457CB">
        <w:rPr>
          <w:rStyle w:val="HideTWBExt"/>
          <w:b w:val="0"/>
          <w:color w:val="auto"/>
        </w:rPr>
        <w:t>&lt;Article&gt;</w:t>
      </w:r>
      <w:r w:rsidRPr="004457CB">
        <w:t>Articolo 3 – comma 1 – punto iv</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t>iv)</w:t>
            </w:r>
            <w:r w:rsidRPr="004457CB">
              <w:tab/>
              <w:t xml:space="preserve">un'organizzazione stabilita </w:t>
            </w:r>
            <w:r w:rsidRPr="004457CB">
              <w:rPr>
                <w:b/>
                <w:i/>
              </w:rPr>
              <w:t>all'interno dell'Unione</w:t>
            </w:r>
            <w:r w:rsidRPr="004457CB">
              <w:t>, fatta salva l'applicazione del diritto nazionale.</w:t>
            </w:r>
          </w:p>
        </w:tc>
        <w:tc>
          <w:tcPr>
            <w:tcW w:w="4876" w:type="dxa"/>
            <w:hideMark/>
          </w:tcPr>
          <w:p w:rsidR="00146421" w:rsidRPr="004457CB" w:rsidRDefault="00146421" w:rsidP="00084A45">
            <w:pPr>
              <w:pStyle w:val="Normal6"/>
              <w:rPr>
                <w:noProof/>
                <w:szCs w:val="24"/>
              </w:rPr>
            </w:pPr>
            <w:r w:rsidRPr="004457CB">
              <w:t>iv)</w:t>
            </w:r>
            <w:r w:rsidRPr="004457CB">
              <w:tab/>
              <w:t xml:space="preserve">un'organizzazione stabilita </w:t>
            </w:r>
            <w:r w:rsidRPr="004457CB">
              <w:rPr>
                <w:b/>
                <w:i/>
              </w:rPr>
              <w:t>in uno Stato membro o in un paese terzo membro del SEE</w:t>
            </w:r>
            <w:r w:rsidRPr="004457CB">
              <w:t>, fatta salva l'applicazione del diritto nazionale.</w:t>
            </w:r>
          </w:p>
        </w:tc>
      </w:tr>
    </w:tbl>
    <w:p w:rsidR="00146421" w:rsidRPr="004457CB" w:rsidRDefault="00146421" w:rsidP="00146421">
      <w:pPr>
        <w:rPr>
          <w:noProof/>
        </w:rPr>
      </w:pPr>
      <w:r w:rsidRPr="004457CB">
        <w:rPr>
          <w:rStyle w:val="HideTWBExt"/>
          <w:color w:val="auto"/>
        </w:rPr>
        <w:t>&lt;/Amend&gt;</w:t>
      </w:r>
    </w:p>
    <w:p w:rsidR="00146421" w:rsidRPr="004457CB" w:rsidRDefault="00146421" w:rsidP="00146421">
      <w:pPr>
        <w:pStyle w:val="AMNumberTabs"/>
        <w:keepNext/>
        <w:rPr>
          <w:noProof/>
        </w:rPr>
      </w:pPr>
      <w:r w:rsidRPr="004457CB">
        <w:rPr>
          <w:rStyle w:val="HideTWBExt"/>
          <w:b w:val="0"/>
          <w:color w:val="auto"/>
        </w:rPr>
        <w:t>&lt;Amend&gt;</w:t>
      </w:r>
      <w:r w:rsidRPr="004457CB">
        <w:t>Emendamento</w:t>
      </w:r>
      <w:r w:rsidRPr="004457CB">
        <w:tab/>
      </w:r>
      <w:r w:rsidRPr="004457CB">
        <w:tab/>
      </w:r>
      <w:r w:rsidRPr="004457CB">
        <w:rPr>
          <w:rStyle w:val="HideTWBExt"/>
          <w:b w:val="0"/>
          <w:color w:val="auto"/>
        </w:rPr>
        <w:t>&lt;NumAm&gt;</w:t>
      </w:r>
      <w:r w:rsidRPr="004457CB">
        <w:t>14</w:t>
      </w:r>
      <w:r w:rsidRPr="004457CB">
        <w:rPr>
          <w:rStyle w:val="HideTWBExt"/>
          <w:b w:val="0"/>
          <w:color w:val="auto"/>
        </w:rPr>
        <w:t>&lt;/NumAm&gt;</w:t>
      </w:r>
    </w:p>
    <w:p w:rsidR="00146421" w:rsidRPr="004457CB" w:rsidRDefault="00146421" w:rsidP="00146421">
      <w:pPr>
        <w:rPr>
          <w:noProof/>
        </w:rPr>
      </w:pPr>
    </w:p>
    <w:p w:rsidR="00146421" w:rsidRPr="004457CB" w:rsidRDefault="00146421" w:rsidP="00146421">
      <w:pPr>
        <w:pStyle w:val="NormalBold"/>
        <w:keepNext/>
        <w:rPr>
          <w:noProof/>
        </w:rPr>
      </w:pPr>
      <w:r w:rsidRPr="004457CB">
        <w:rPr>
          <w:rStyle w:val="HideTWBExt"/>
          <w:b w:val="0"/>
          <w:color w:val="auto"/>
        </w:rPr>
        <w:t>&lt;DocAmend&gt;</w:t>
      </w:r>
      <w:r w:rsidRPr="004457CB">
        <w:t>Proposta di regolamento</w:t>
      </w:r>
      <w:r w:rsidRPr="004457CB">
        <w:rPr>
          <w:rStyle w:val="HideTWBExt"/>
          <w:b w:val="0"/>
          <w:color w:val="auto"/>
        </w:rPr>
        <w:t>&lt;/DocAmend&gt;</w:t>
      </w:r>
    </w:p>
    <w:p w:rsidR="00146421" w:rsidRPr="004457CB" w:rsidRDefault="00146421" w:rsidP="00146421">
      <w:pPr>
        <w:pStyle w:val="NormalBold"/>
        <w:rPr>
          <w:noProof/>
        </w:rPr>
      </w:pPr>
      <w:r w:rsidRPr="004457CB">
        <w:rPr>
          <w:rStyle w:val="HideTWBExt"/>
          <w:b w:val="0"/>
          <w:color w:val="auto"/>
        </w:rPr>
        <w:t>&lt;Article&gt;</w:t>
      </w:r>
      <w:r w:rsidRPr="004457CB">
        <w:t>Articolo 4 – paragrafo 3 – parte introduttiva</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t>3.</w:t>
            </w:r>
            <w:r w:rsidRPr="004457CB">
              <w:tab/>
              <w:t>Il registro può revocare un nome di dominio di propria iniziativa, e senza ricorrere ad una procedura di risoluzione extragiudiziale delle controversie, per i seguenti motivi:</w:t>
            </w:r>
          </w:p>
        </w:tc>
        <w:tc>
          <w:tcPr>
            <w:tcW w:w="4876" w:type="dxa"/>
            <w:hideMark/>
          </w:tcPr>
          <w:p w:rsidR="00146421" w:rsidRPr="004457CB" w:rsidRDefault="00146421" w:rsidP="00084A45">
            <w:pPr>
              <w:pStyle w:val="Normal6"/>
              <w:rPr>
                <w:noProof/>
                <w:szCs w:val="24"/>
              </w:rPr>
            </w:pPr>
            <w:r w:rsidRPr="004457CB">
              <w:t>3.</w:t>
            </w:r>
            <w:r w:rsidRPr="004457CB">
              <w:tab/>
              <w:t xml:space="preserve">Il registro può revocare </w:t>
            </w:r>
            <w:r w:rsidRPr="004457CB">
              <w:rPr>
                <w:b/>
                <w:i/>
              </w:rPr>
              <w:t xml:space="preserve">o sospendere </w:t>
            </w:r>
            <w:r w:rsidRPr="004457CB">
              <w:t>un nome di dominio di propria iniziativa, e senza ricorrere ad una procedura di risoluzione extragiudiziale delle controversie, per i seguenti motivi:</w:t>
            </w:r>
          </w:p>
        </w:tc>
      </w:tr>
    </w:tbl>
    <w:p w:rsidR="00146421" w:rsidRPr="004457CB" w:rsidRDefault="00146421" w:rsidP="00146421">
      <w:pPr>
        <w:rPr>
          <w:noProof/>
        </w:rPr>
      </w:pPr>
      <w:r w:rsidRPr="004457CB">
        <w:rPr>
          <w:rStyle w:val="HideTWBExt"/>
          <w:color w:val="auto"/>
        </w:rPr>
        <w:t>&lt;/Amend&gt;</w:t>
      </w:r>
    </w:p>
    <w:p w:rsidR="00146421" w:rsidRPr="004457CB" w:rsidRDefault="00146421" w:rsidP="00146421">
      <w:pPr>
        <w:pStyle w:val="AMNumberTabs"/>
        <w:keepNext/>
        <w:rPr>
          <w:noProof/>
        </w:rPr>
      </w:pPr>
      <w:r w:rsidRPr="004457CB">
        <w:rPr>
          <w:rStyle w:val="HideTWBExt"/>
          <w:b w:val="0"/>
          <w:color w:val="auto"/>
        </w:rPr>
        <w:t>&lt;Amend&gt;</w:t>
      </w:r>
      <w:r w:rsidRPr="004457CB">
        <w:t>Emendamento</w:t>
      </w:r>
      <w:r w:rsidRPr="004457CB">
        <w:tab/>
      </w:r>
      <w:r w:rsidRPr="004457CB">
        <w:tab/>
      </w:r>
      <w:r w:rsidRPr="004457CB">
        <w:rPr>
          <w:rStyle w:val="HideTWBExt"/>
          <w:b w:val="0"/>
          <w:color w:val="auto"/>
        </w:rPr>
        <w:t>&lt;NumAm&gt;</w:t>
      </w:r>
      <w:r w:rsidRPr="004457CB">
        <w:t>15</w:t>
      </w:r>
      <w:r w:rsidRPr="004457CB">
        <w:rPr>
          <w:rStyle w:val="HideTWBExt"/>
          <w:b w:val="0"/>
          <w:color w:val="auto"/>
        </w:rPr>
        <w:t>&lt;/NumAm&gt;</w:t>
      </w:r>
    </w:p>
    <w:p w:rsidR="00146421" w:rsidRPr="004457CB" w:rsidRDefault="00146421" w:rsidP="00146421">
      <w:pPr>
        <w:rPr>
          <w:noProof/>
        </w:rPr>
      </w:pPr>
    </w:p>
    <w:p w:rsidR="00146421" w:rsidRPr="004457CB" w:rsidRDefault="00146421" w:rsidP="00146421">
      <w:pPr>
        <w:pStyle w:val="NormalBold"/>
        <w:keepNext/>
        <w:rPr>
          <w:noProof/>
        </w:rPr>
      </w:pPr>
      <w:r w:rsidRPr="004457CB">
        <w:rPr>
          <w:rStyle w:val="HideTWBExt"/>
          <w:b w:val="0"/>
          <w:color w:val="auto"/>
        </w:rPr>
        <w:t>&lt;DocAmend&gt;</w:t>
      </w:r>
      <w:r w:rsidRPr="004457CB">
        <w:t>Proposta di regolamento</w:t>
      </w:r>
      <w:r w:rsidRPr="004457CB">
        <w:rPr>
          <w:rStyle w:val="HideTWBExt"/>
          <w:b w:val="0"/>
          <w:color w:val="auto"/>
        </w:rPr>
        <w:t>&lt;/DocAmend&gt;</w:t>
      </w:r>
    </w:p>
    <w:p w:rsidR="00146421" w:rsidRPr="004457CB" w:rsidRDefault="00146421" w:rsidP="00146421">
      <w:pPr>
        <w:pStyle w:val="NormalBold"/>
        <w:rPr>
          <w:noProof/>
        </w:rPr>
      </w:pPr>
      <w:r w:rsidRPr="004457CB">
        <w:rPr>
          <w:rStyle w:val="HideTWBExt"/>
          <w:b w:val="0"/>
          <w:color w:val="auto"/>
        </w:rPr>
        <w:t>&lt;Article&gt;</w:t>
      </w:r>
      <w:r w:rsidRPr="004457CB">
        <w:t>Articolo 4 – paragrafo 4 – parte introduttiva</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t>4.</w:t>
            </w:r>
            <w:r w:rsidRPr="004457CB">
              <w:tab/>
              <w:t>Un nome di dominio può anche essere revocato e, ove necessario, trasferito successivamente ad un'altra parte, a seguito di una procedura giudiziaria o di un'opportuna risoluzione extragiudiziale delle controversie, qualora tale nome sia identico o presenti analogie tali da poter essere confuso con un nome oggetto di un diritto stabilito dal diritto internazionale o dell'Unione</w:t>
            </w:r>
            <w:r w:rsidRPr="004457CB">
              <w:rPr>
                <w:b/>
                <w:i/>
              </w:rPr>
              <w:t>, e</w:t>
            </w:r>
            <w:r w:rsidRPr="004457CB">
              <w:t xml:space="preserve"> qualora:</w:t>
            </w:r>
          </w:p>
        </w:tc>
        <w:tc>
          <w:tcPr>
            <w:tcW w:w="4876" w:type="dxa"/>
            <w:hideMark/>
          </w:tcPr>
          <w:p w:rsidR="00146421" w:rsidRPr="004457CB" w:rsidRDefault="00146421" w:rsidP="00084A45">
            <w:pPr>
              <w:pStyle w:val="Normal6"/>
              <w:rPr>
                <w:noProof/>
                <w:szCs w:val="24"/>
              </w:rPr>
            </w:pPr>
            <w:r w:rsidRPr="004457CB">
              <w:t>4.</w:t>
            </w:r>
            <w:r w:rsidRPr="004457CB">
              <w:tab/>
              <w:t>Un nome di dominio può anche essere revocato e, ove necessario, trasferito successivamente ad un'altra parte, a seguito di una procedura giudiziaria o di un'opportuna risoluzione extragiudiziale delle controversie, qualora tale nome sia identico o presenti analogie tali da poter essere confuso con un nome oggetto di un diritto stabilito dal diritto internazionale o dell'Unione</w:t>
            </w:r>
            <w:r w:rsidRPr="004457CB">
              <w:rPr>
                <w:b/>
                <w:i/>
              </w:rPr>
              <w:t>. Un nome di dominio può essere revocato</w:t>
            </w:r>
            <w:r w:rsidRPr="004457CB">
              <w:t xml:space="preserve"> qualora:</w:t>
            </w:r>
          </w:p>
        </w:tc>
      </w:tr>
    </w:tbl>
    <w:p w:rsidR="00146421" w:rsidRPr="004457CB" w:rsidRDefault="00146421" w:rsidP="00146421">
      <w:pPr>
        <w:rPr>
          <w:noProof/>
        </w:rPr>
      </w:pPr>
      <w:r w:rsidRPr="004457CB">
        <w:rPr>
          <w:rStyle w:val="HideTWBExt"/>
          <w:color w:val="auto"/>
        </w:rPr>
        <w:t>&lt;/Amend&gt;</w:t>
      </w:r>
    </w:p>
    <w:p w:rsidR="00146421" w:rsidRPr="004457CB" w:rsidRDefault="00146421" w:rsidP="00146421">
      <w:pPr>
        <w:pStyle w:val="AMNumberTabs"/>
        <w:keepNext/>
        <w:rPr>
          <w:noProof/>
        </w:rPr>
      </w:pPr>
      <w:r w:rsidRPr="004457CB">
        <w:rPr>
          <w:rStyle w:val="HideTWBExt"/>
          <w:b w:val="0"/>
          <w:color w:val="auto"/>
        </w:rPr>
        <w:lastRenderedPageBreak/>
        <w:t>&lt;Amend&gt;</w:t>
      </w:r>
      <w:r w:rsidRPr="004457CB">
        <w:t>Emendamento</w:t>
      </w:r>
      <w:r w:rsidRPr="004457CB">
        <w:tab/>
      </w:r>
      <w:r w:rsidRPr="004457CB">
        <w:tab/>
      </w:r>
      <w:r w:rsidRPr="004457CB">
        <w:rPr>
          <w:rStyle w:val="HideTWBExt"/>
          <w:b w:val="0"/>
          <w:color w:val="auto"/>
        </w:rPr>
        <w:t>&lt;NumAm&gt;</w:t>
      </w:r>
      <w:r w:rsidRPr="004457CB">
        <w:t>16</w:t>
      </w:r>
      <w:r w:rsidRPr="004457CB">
        <w:rPr>
          <w:rStyle w:val="HideTWBExt"/>
          <w:b w:val="0"/>
          <w:color w:val="auto"/>
        </w:rPr>
        <w:t>&lt;/NumAm&gt;</w:t>
      </w:r>
    </w:p>
    <w:p w:rsidR="00146421" w:rsidRPr="004457CB" w:rsidRDefault="00146421" w:rsidP="00146421">
      <w:pPr>
        <w:rPr>
          <w:noProof/>
        </w:rPr>
      </w:pPr>
    </w:p>
    <w:p w:rsidR="00146421" w:rsidRPr="004457CB" w:rsidRDefault="00146421" w:rsidP="00146421">
      <w:pPr>
        <w:pStyle w:val="NormalBold"/>
        <w:keepNext/>
        <w:rPr>
          <w:noProof/>
        </w:rPr>
      </w:pPr>
      <w:r w:rsidRPr="004457CB">
        <w:rPr>
          <w:rStyle w:val="HideTWBExt"/>
          <w:b w:val="0"/>
          <w:color w:val="auto"/>
        </w:rPr>
        <w:t>&lt;DocAmend&gt;</w:t>
      </w:r>
      <w:r w:rsidRPr="004457CB">
        <w:t>Proposta di regolamento</w:t>
      </w:r>
      <w:r w:rsidRPr="004457CB">
        <w:rPr>
          <w:rStyle w:val="HideTWBExt"/>
          <w:b w:val="0"/>
          <w:color w:val="auto"/>
        </w:rPr>
        <w:t>&lt;/DocAmend&gt;</w:t>
      </w:r>
    </w:p>
    <w:p w:rsidR="00146421" w:rsidRPr="004457CB" w:rsidRDefault="00146421" w:rsidP="00146421">
      <w:pPr>
        <w:pStyle w:val="NormalBold"/>
        <w:rPr>
          <w:noProof/>
        </w:rPr>
      </w:pPr>
      <w:r w:rsidRPr="004457CB">
        <w:rPr>
          <w:rStyle w:val="HideTWBExt"/>
          <w:b w:val="0"/>
          <w:color w:val="auto"/>
        </w:rPr>
        <w:t>&lt;Article&gt;</w:t>
      </w:r>
      <w:r w:rsidRPr="004457CB">
        <w:t>Articolo 4 – paragrafo 4 – comma 1 bis (nuovo)</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tcPr>
          <w:p w:rsidR="00146421" w:rsidRPr="004457CB" w:rsidRDefault="00146421" w:rsidP="00084A45">
            <w:pPr>
              <w:pStyle w:val="Normal6"/>
              <w:rPr>
                <w:noProof/>
              </w:rPr>
            </w:pPr>
          </w:p>
        </w:tc>
        <w:tc>
          <w:tcPr>
            <w:tcW w:w="4876" w:type="dxa"/>
            <w:hideMark/>
          </w:tcPr>
          <w:p w:rsidR="00146421" w:rsidRPr="004457CB" w:rsidRDefault="00146421" w:rsidP="00084A45">
            <w:pPr>
              <w:pStyle w:val="Normal6"/>
              <w:rPr>
                <w:noProof/>
                <w:szCs w:val="24"/>
              </w:rPr>
            </w:pPr>
            <w:r w:rsidRPr="004457CB">
              <w:rPr>
                <w:b/>
                <w:i/>
              </w:rPr>
              <w:t>Previa consultazione con la Commissione e il Gruppo consultivo multipartecipativo .eu a norma dell'articolo 14, paragrafo 3, lettera c bis), il registro adotta politiche trasparenti e prevedibili per garantire la pronta identificazioni di eventuali registrazioni di cui al presente paragrafo, primo comma, lettere a) o b). A tal fine il registro coopera, se del caso, con le autorità di contrasto e le squadre nazionali di pronto intervento informatico (CERT).</w:t>
            </w:r>
          </w:p>
        </w:tc>
      </w:tr>
    </w:tbl>
    <w:p w:rsidR="00146421" w:rsidRPr="004457CB" w:rsidRDefault="00146421" w:rsidP="00146421">
      <w:pPr>
        <w:rPr>
          <w:noProof/>
        </w:rPr>
      </w:pPr>
      <w:r w:rsidRPr="004457CB">
        <w:rPr>
          <w:rStyle w:val="HideTWBExt"/>
          <w:color w:val="auto"/>
        </w:rPr>
        <w:t>&lt;/Amend&gt;</w:t>
      </w:r>
    </w:p>
    <w:p w:rsidR="00146421" w:rsidRPr="004457CB" w:rsidRDefault="00146421" w:rsidP="00146421">
      <w:pPr>
        <w:pStyle w:val="AMNumberTabs"/>
        <w:keepNext/>
        <w:rPr>
          <w:noProof/>
        </w:rPr>
      </w:pPr>
      <w:r w:rsidRPr="004457CB">
        <w:rPr>
          <w:rStyle w:val="HideTWBExt"/>
          <w:b w:val="0"/>
          <w:color w:val="auto"/>
        </w:rPr>
        <w:t>&lt;Amend&gt;</w:t>
      </w:r>
      <w:r w:rsidRPr="004457CB">
        <w:t>Emendamento</w:t>
      </w:r>
      <w:r w:rsidRPr="004457CB">
        <w:tab/>
      </w:r>
      <w:r w:rsidRPr="004457CB">
        <w:tab/>
      </w:r>
      <w:r w:rsidRPr="004457CB">
        <w:rPr>
          <w:rStyle w:val="HideTWBExt"/>
          <w:b w:val="0"/>
          <w:color w:val="auto"/>
        </w:rPr>
        <w:t>&lt;NumAm&gt;</w:t>
      </w:r>
      <w:r w:rsidRPr="004457CB">
        <w:t>17</w:t>
      </w:r>
      <w:r w:rsidRPr="004457CB">
        <w:rPr>
          <w:rStyle w:val="HideTWBExt"/>
          <w:b w:val="0"/>
          <w:color w:val="auto"/>
        </w:rPr>
        <w:t>&lt;/NumAm&gt;</w:t>
      </w:r>
    </w:p>
    <w:p w:rsidR="00146421" w:rsidRPr="004457CB" w:rsidRDefault="00146421" w:rsidP="00146421">
      <w:pPr>
        <w:rPr>
          <w:noProof/>
        </w:rPr>
      </w:pPr>
    </w:p>
    <w:p w:rsidR="00146421" w:rsidRPr="004457CB" w:rsidRDefault="00146421" w:rsidP="00146421">
      <w:pPr>
        <w:pStyle w:val="NormalBold"/>
        <w:keepNext/>
        <w:rPr>
          <w:noProof/>
        </w:rPr>
      </w:pPr>
      <w:r w:rsidRPr="004457CB">
        <w:rPr>
          <w:rStyle w:val="HideTWBExt"/>
          <w:b w:val="0"/>
          <w:color w:val="auto"/>
        </w:rPr>
        <w:t>&lt;DocAmend&gt;</w:t>
      </w:r>
      <w:r w:rsidRPr="004457CB">
        <w:t>Proposta di regolamento</w:t>
      </w:r>
      <w:r w:rsidRPr="004457CB">
        <w:rPr>
          <w:rStyle w:val="HideTWBExt"/>
          <w:b w:val="0"/>
          <w:color w:val="auto"/>
        </w:rPr>
        <w:t>&lt;/DocAmend&gt;</w:t>
      </w:r>
    </w:p>
    <w:p w:rsidR="00146421" w:rsidRPr="004457CB" w:rsidRDefault="00146421" w:rsidP="00146421">
      <w:pPr>
        <w:pStyle w:val="NormalBold"/>
        <w:rPr>
          <w:noProof/>
        </w:rPr>
      </w:pPr>
      <w:r w:rsidRPr="004457CB">
        <w:rPr>
          <w:rStyle w:val="HideTWBExt"/>
          <w:b w:val="0"/>
          <w:color w:val="auto"/>
        </w:rPr>
        <w:t>&lt;Article&gt;</w:t>
      </w:r>
      <w:r w:rsidRPr="004457CB">
        <w:t>Articolo 4 – paragrafo 5</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t>5.</w:t>
            </w:r>
            <w:r w:rsidRPr="004457CB">
              <w:tab/>
              <w:t>Qualora il tribunale di uno Stato membro giudichi un nome di dominio diffamatorio, razzista o contrario all'ordine pubblico, il registro lo blocca non appena gli viene notificata la decisione del tribunale</w:t>
            </w:r>
            <w:r w:rsidRPr="004457CB">
              <w:rPr>
                <w:b/>
                <w:i/>
              </w:rPr>
              <w:t xml:space="preserve"> e tale nome di dominio è revocato previa notifica della</w:t>
            </w:r>
            <w:r w:rsidRPr="004457CB">
              <w:t xml:space="preserve"> decisione </w:t>
            </w:r>
            <w:r w:rsidRPr="004457CB">
              <w:rPr>
                <w:b/>
                <w:i/>
              </w:rPr>
              <w:t xml:space="preserve">definitiva </w:t>
            </w:r>
            <w:r w:rsidRPr="004457CB">
              <w:t>del tribunale</w:t>
            </w:r>
            <w:r w:rsidRPr="004457CB">
              <w:rPr>
                <w:b/>
                <w:i/>
              </w:rPr>
              <w:t>.</w:t>
            </w:r>
            <w:r w:rsidRPr="004457CB">
              <w:t xml:space="preserve"> Il registro blocca qualsiasi futura registrazione dei nomi oggetto di tale ordinanza del tribunale per l'intero periodo di validità della stessa.</w:t>
            </w:r>
          </w:p>
        </w:tc>
        <w:tc>
          <w:tcPr>
            <w:tcW w:w="4876" w:type="dxa"/>
            <w:hideMark/>
          </w:tcPr>
          <w:p w:rsidR="00146421" w:rsidRPr="004457CB" w:rsidRDefault="00146421" w:rsidP="00084A45">
            <w:pPr>
              <w:pStyle w:val="Normal6"/>
              <w:rPr>
                <w:noProof/>
                <w:szCs w:val="24"/>
              </w:rPr>
            </w:pPr>
            <w:r w:rsidRPr="004457CB">
              <w:t>5.</w:t>
            </w:r>
            <w:r w:rsidRPr="004457CB">
              <w:tab/>
              <w:t>Qualora il tribunale di uno Stato membro giudichi un nome di dominio diffamatorio, razzista o contrario all'ordine pubblico</w:t>
            </w:r>
            <w:r w:rsidRPr="004457CB">
              <w:rPr>
                <w:b/>
                <w:i/>
              </w:rPr>
              <w:t xml:space="preserve"> o alla pubblica sicurezza, o esso risulti tale in base al diritto unionale o nazionale</w:t>
            </w:r>
            <w:r w:rsidRPr="004457CB">
              <w:t>, il registro lo blocca non appena gli viene notificata la decisione del tribunale</w:t>
            </w:r>
            <w:r w:rsidRPr="004457CB">
              <w:rPr>
                <w:b/>
                <w:i/>
              </w:rPr>
              <w:t>. Non appena gli viene notificata la decisione del tribunale, il registro revoca il nome di dominio.</w:t>
            </w:r>
          </w:p>
        </w:tc>
      </w:tr>
      <w:tr w:rsidR="004457CB" w:rsidRPr="004457CB" w:rsidTr="00084A45">
        <w:trPr>
          <w:jc w:val="center"/>
        </w:trPr>
        <w:tc>
          <w:tcPr>
            <w:tcW w:w="4876" w:type="dxa"/>
          </w:tcPr>
          <w:p w:rsidR="00146421" w:rsidRPr="004457CB" w:rsidRDefault="00146421" w:rsidP="00084A45">
            <w:pPr>
              <w:pStyle w:val="Normal6"/>
              <w:rPr>
                <w:noProof/>
                <w:lang w:val="en-GB"/>
              </w:rPr>
            </w:pPr>
          </w:p>
        </w:tc>
        <w:tc>
          <w:tcPr>
            <w:tcW w:w="4876" w:type="dxa"/>
            <w:hideMark/>
          </w:tcPr>
          <w:p w:rsidR="00146421" w:rsidRPr="004457CB" w:rsidRDefault="00146421" w:rsidP="00084A45">
            <w:pPr>
              <w:pStyle w:val="Normal6"/>
              <w:rPr>
                <w:noProof/>
                <w:szCs w:val="24"/>
              </w:rPr>
            </w:pPr>
            <w:r w:rsidRPr="004457CB">
              <w:rPr>
                <w:b/>
                <w:i/>
              </w:rPr>
              <w:t xml:space="preserve">In deroga al primo paragrafo, il nome di dominio non è bloccato dal registro se la decisione del tribunale è rilevante ai fini dell'esecuzione di un atto di esecuzione o una decisione del Consiglio adottata a norma dell'articolo 5 del regolamento .../... [sulla tutela del bilancio dell'Unione in caso di carenze generalizzate riguardanti lo Stato di diritto negli Stati </w:t>
            </w:r>
            <w:r w:rsidRPr="004457CB">
              <w:rPr>
                <w:b/>
                <w:i/>
              </w:rPr>
              <w:lastRenderedPageBreak/>
              <w:t>membri, 2018/0136 (COD)]. Il nome di dominio è revocato dal registro previa notifica della decisione definitiva del tribunale.</w:t>
            </w:r>
          </w:p>
        </w:tc>
      </w:tr>
      <w:tr w:rsidR="004457CB" w:rsidRPr="004457CB" w:rsidTr="00084A45">
        <w:trPr>
          <w:jc w:val="center"/>
        </w:trPr>
        <w:tc>
          <w:tcPr>
            <w:tcW w:w="4876" w:type="dxa"/>
          </w:tcPr>
          <w:p w:rsidR="00146421" w:rsidRPr="004457CB" w:rsidRDefault="00146421" w:rsidP="00084A45">
            <w:pPr>
              <w:pStyle w:val="Normal6"/>
              <w:rPr>
                <w:noProof/>
                <w:lang w:val="en-GB"/>
              </w:rPr>
            </w:pPr>
          </w:p>
        </w:tc>
        <w:tc>
          <w:tcPr>
            <w:tcW w:w="4876" w:type="dxa"/>
            <w:hideMark/>
          </w:tcPr>
          <w:p w:rsidR="00146421" w:rsidRPr="004457CB" w:rsidRDefault="00146421" w:rsidP="00084A45">
            <w:pPr>
              <w:pStyle w:val="Normal6"/>
              <w:rPr>
                <w:noProof/>
                <w:szCs w:val="24"/>
              </w:rPr>
            </w:pPr>
            <w:r w:rsidRPr="004457CB">
              <w:t xml:space="preserve">Il registro blocca qualsiasi futura registrazione dei nomi </w:t>
            </w:r>
            <w:r w:rsidRPr="004457CB">
              <w:rPr>
                <w:b/>
                <w:i/>
              </w:rPr>
              <w:t>di dominio</w:t>
            </w:r>
            <w:r w:rsidRPr="004457CB">
              <w:t xml:space="preserve"> oggetto di tale ordinanza del tribunale per l'intero periodo di validità della stessa.</w:t>
            </w:r>
          </w:p>
        </w:tc>
      </w:tr>
    </w:tbl>
    <w:p w:rsidR="00146421" w:rsidRPr="004457CB" w:rsidRDefault="00146421" w:rsidP="00146421">
      <w:pPr>
        <w:rPr>
          <w:noProof/>
        </w:rPr>
      </w:pPr>
      <w:r w:rsidRPr="004457CB">
        <w:rPr>
          <w:rStyle w:val="HideTWBExt"/>
          <w:color w:val="auto"/>
          <w:lang w:val="en-GB"/>
        </w:rPr>
        <w:t>&lt;/Amend&gt;</w:t>
      </w:r>
    </w:p>
    <w:p w:rsidR="00146421" w:rsidRPr="004457CB" w:rsidRDefault="00146421" w:rsidP="00146421">
      <w:pPr>
        <w:pStyle w:val="AMNumberTabs"/>
        <w:keepNext/>
        <w:rPr>
          <w:noProof/>
        </w:rPr>
      </w:pPr>
      <w:r w:rsidRPr="004457CB">
        <w:rPr>
          <w:rStyle w:val="HideTWBExt"/>
          <w:b w:val="0"/>
          <w:color w:val="auto"/>
        </w:rPr>
        <w:t>&lt;Amend&gt;</w:t>
      </w:r>
      <w:r w:rsidRPr="004457CB">
        <w:t>Emendamento</w:t>
      </w:r>
      <w:r w:rsidRPr="004457CB">
        <w:tab/>
      </w:r>
      <w:r w:rsidRPr="004457CB">
        <w:tab/>
      </w:r>
      <w:r w:rsidRPr="004457CB">
        <w:rPr>
          <w:rStyle w:val="HideTWBExt"/>
          <w:b w:val="0"/>
          <w:color w:val="auto"/>
        </w:rPr>
        <w:t>&lt;NumAm&gt;</w:t>
      </w:r>
      <w:r w:rsidRPr="004457CB">
        <w:t>18</w:t>
      </w:r>
      <w:r w:rsidRPr="004457CB">
        <w:rPr>
          <w:rStyle w:val="HideTWBExt"/>
          <w:b w:val="0"/>
          <w:color w:val="auto"/>
        </w:rPr>
        <w:t>&lt;/NumAm&gt;</w:t>
      </w:r>
    </w:p>
    <w:p w:rsidR="00146421" w:rsidRPr="004457CB" w:rsidRDefault="00146421" w:rsidP="00146421">
      <w:pPr>
        <w:rPr>
          <w:noProof/>
        </w:rPr>
      </w:pPr>
    </w:p>
    <w:p w:rsidR="00146421" w:rsidRPr="004457CB" w:rsidRDefault="00146421" w:rsidP="00146421">
      <w:pPr>
        <w:pStyle w:val="NormalBold"/>
        <w:keepNext/>
        <w:rPr>
          <w:noProof/>
        </w:rPr>
      </w:pPr>
      <w:r w:rsidRPr="004457CB">
        <w:rPr>
          <w:rStyle w:val="HideTWBExt"/>
          <w:b w:val="0"/>
          <w:color w:val="auto"/>
        </w:rPr>
        <w:t>&lt;DocAmend&gt;</w:t>
      </w:r>
      <w:r w:rsidRPr="004457CB">
        <w:t>Proposta di regolamento</w:t>
      </w:r>
      <w:r w:rsidRPr="004457CB">
        <w:rPr>
          <w:rStyle w:val="HideTWBExt"/>
          <w:b w:val="0"/>
          <w:color w:val="auto"/>
        </w:rPr>
        <w:t>&lt;/DocAmend&gt;</w:t>
      </w:r>
    </w:p>
    <w:p w:rsidR="00146421" w:rsidRPr="004457CB" w:rsidRDefault="00146421" w:rsidP="00146421">
      <w:pPr>
        <w:pStyle w:val="NormalBold"/>
        <w:rPr>
          <w:noProof/>
        </w:rPr>
      </w:pPr>
      <w:r w:rsidRPr="004457CB">
        <w:rPr>
          <w:rStyle w:val="HideTWBExt"/>
          <w:b w:val="0"/>
          <w:color w:val="auto"/>
        </w:rPr>
        <w:t>&lt;Article&gt;</w:t>
      </w:r>
      <w:r w:rsidRPr="004457CB">
        <w:t>Articolo 4 – paragrafo 5 bis (nuovo)</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tcPr>
          <w:p w:rsidR="00146421" w:rsidRPr="004457CB" w:rsidRDefault="00146421" w:rsidP="00084A45">
            <w:pPr>
              <w:pStyle w:val="Normal6"/>
              <w:rPr>
                <w:noProof/>
              </w:rPr>
            </w:pPr>
          </w:p>
        </w:tc>
        <w:tc>
          <w:tcPr>
            <w:tcW w:w="4876" w:type="dxa"/>
            <w:hideMark/>
          </w:tcPr>
          <w:p w:rsidR="00146421" w:rsidRPr="004457CB" w:rsidRDefault="00146421" w:rsidP="00084A45">
            <w:pPr>
              <w:pStyle w:val="Normal6"/>
              <w:rPr>
                <w:noProof/>
                <w:szCs w:val="24"/>
              </w:rPr>
            </w:pPr>
            <w:r w:rsidRPr="004457CB">
              <w:rPr>
                <w:b/>
                <w:i/>
              </w:rPr>
              <w:t>5 bis.</w:t>
            </w:r>
            <w:r w:rsidRPr="004457CB">
              <w:rPr>
                <w:b/>
                <w:i/>
              </w:rPr>
              <w:tab/>
              <w:t>I nomi di dominio registrati nel dominio TLD .eu possono essere trasferiti esclusivamente a soggetti legittimati a registrare nomi di dominio TLD .eu.</w:t>
            </w:r>
          </w:p>
        </w:tc>
      </w:tr>
    </w:tbl>
    <w:p w:rsidR="00146421" w:rsidRPr="004457CB" w:rsidRDefault="00146421" w:rsidP="00146421">
      <w:pPr>
        <w:rPr>
          <w:noProof/>
        </w:rPr>
      </w:pPr>
      <w:r w:rsidRPr="004457CB">
        <w:rPr>
          <w:rStyle w:val="HideTWBExt"/>
          <w:color w:val="auto"/>
          <w:lang w:val="en-GB"/>
        </w:rPr>
        <w:t>&lt;/Amend&gt;</w:t>
      </w:r>
    </w:p>
    <w:p w:rsidR="00146421" w:rsidRPr="004457CB" w:rsidRDefault="00146421" w:rsidP="00146421">
      <w:pPr>
        <w:pStyle w:val="AMNumberTabs"/>
        <w:keepNext/>
        <w:rPr>
          <w:noProof/>
        </w:rPr>
      </w:pPr>
      <w:r w:rsidRPr="004457CB">
        <w:rPr>
          <w:rStyle w:val="HideTWBExt"/>
          <w:b w:val="0"/>
          <w:color w:val="auto"/>
          <w:lang w:val="en-GB"/>
        </w:rPr>
        <w:t>&lt;Amend&gt;</w:t>
      </w:r>
      <w:r w:rsidRPr="004457CB">
        <w:t>Emendamento</w:t>
      </w:r>
      <w:r w:rsidRPr="004457CB">
        <w:tab/>
      </w:r>
      <w:r w:rsidRPr="004457CB">
        <w:tab/>
      </w:r>
      <w:r w:rsidRPr="004457CB">
        <w:rPr>
          <w:rStyle w:val="HideTWBExt"/>
          <w:b w:val="0"/>
          <w:color w:val="auto"/>
          <w:lang w:val="en-GB"/>
        </w:rPr>
        <w:t>&lt;NumAm&gt;</w:t>
      </w:r>
      <w:r w:rsidRPr="004457CB">
        <w:t>19</w:t>
      </w:r>
      <w:r w:rsidRPr="004457CB">
        <w:rPr>
          <w:rStyle w:val="HideTWBExt"/>
          <w:b w:val="0"/>
          <w:color w:val="auto"/>
          <w:lang w:val="en-GB"/>
        </w:rPr>
        <w:t>&lt;/NumAm&gt;</w:t>
      </w:r>
    </w:p>
    <w:p w:rsidR="00146421" w:rsidRPr="004457CB" w:rsidRDefault="00146421" w:rsidP="00146421">
      <w:pPr>
        <w:rPr>
          <w:noProof/>
          <w:lang w:val="en-GB"/>
        </w:rPr>
      </w:pPr>
    </w:p>
    <w:p w:rsidR="00146421" w:rsidRPr="004457CB" w:rsidRDefault="00146421" w:rsidP="00146421">
      <w:pPr>
        <w:pStyle w:val="NormalBold"/>
        <w:keepNext/>
        <w:rPr>
          <w:noProof/>
        </w:rPr>
      </w:pPr>
      <w:r w:rsidRPr="004457CB">
        <w:rPr>
          <w:rStyle w:val="HideTWBExt"/>
          <w:b w:val="0"/>
          <w:color w:val="auto"/>
          <w:lang w:val="en-GB"/>
        </w:rPr>
        <w:t>&lt;DocAmend&gt;</w:t>
      </w:r>
      <w:r w:rsidRPr="004457CB">
        <w:t>Proposta di regolamento</w:t>
      </w:r>
      <w:r w:rsidRPr="004457CB">
        <w:rPr>
          <w:rStyle w:val="HideTWBExt"/>
          <w:b w:val="0"/>
          <w:color w:val="auto"/>
          <w:lang w:val="en-GB"/>
        </w:rPr>
        <w:t>&lt;/DocAmend&gt;</w:t>
      </w:r>
    </w:p>
    <w:p w:rsidR="00146421" w:rsidRPr="004457CB" w:rsidRDefault="00146421" w:rsidP="00146421">
      <w:pPr>
        <w:pStyle w:val="NormalBold"/>
        <w:rPr>
          <w:noProof/>
        </w:rPr>
      </w:pPr>
      <w:r w:rsidRPr="004457CB">
        <w:rPr>
          <w:rStyle w:val="HideTWBExt"/>
          <w:b w:val="0"/>
          <w:color w:val="auto"/>
        </w:rPr>
        <w:t>&lt;Article&gt;</w:t>
      </w:r>
      <w:r w:rsidRPr="004457CB">
        <w:t>Articolo 5 – paragrafo 1</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t>1.</w:t>
            </w:r>
            <w:r w:rsidRPr="004457CB">
              <w:tab/>
              <w:t xml:space="preserve">La registrazione dei nomi di dominio è effettuata utilizzando tutti i caratteri </w:t>
            </w:r>
            <w:r w:rsidRPr="004457CB">
              <w:rPr>
                <w:b/>
                <w:i/>
              </w:rPr>
              <w:t xml:space="preserve">alfabetici </w:t>
            </w:r>
            <w:r w:rsidRPr="004457CB">
              <w:t>delle lingue ufficiali dell'Unione, in conformità alle norme internazionali disponibili, come consentito dai pertinenti protocolli dei nomi di dominio internazionalizzati (IDN).</w:t>
            </w:r>
          </w:p>
        </w:tc>
        <w:tc>
          <w:tcPr>
            <w:tcW w:w="4876" w:type="dxa"/>
            <w:hideMark/>
          </w:tcPr>
          <w:p w:rsidR="00146421" w:rsidRPr="004457CB" w:rsidRDefault="00146421" w:rsidP="00084A45">
            <w:pPr>
              <w:pStyle w:val="Normal6"/>
              <w:rPr>
                <w:noProof/>
                <w:szCs w:val="24"/>
              </w:rPr>
            </w:pPr>
            <w:r w:rsidRPr="004457CB">
              <w:t>1.</w:t>
            </w:r>
            <w:r w:rsidRPr="004457CB">
              <w:tab/>
              <w:t>La registrazione dei nomi di dominio è effettuata utilizzando tutti i caratteri delle lingue ufficiali dell'Unione, in conformità alle norme internazionali disponibili, come consentito dai pertinenti protocolli dei nomi di dominio internazionalizzati (IDN).</w:t>
            </w:r>
          </w:p>
        </w:tc>
      </w:tr>
    </w:tbl>
    <w:p w:rsidR="00146421" w:rsidRPr="004457CB" w:rsidRDefault="00146421" w:rsidP="00146421">
      <w:pPr>
        <w:rPr>
          <w:noProof/>
        </w:rPr>
      </w:pPr>
      <w:r w:rsidRPr="004457CB">
        <w:rPr>
          <w:rStyle w:val="HideTWBExt"/>
          <w:color w:val="auto"/>
        </w:rPr>
        <w:t>&lt;/Amend&gt;</w:t>
      </w:r>
    </w:p>
    <w:p w:rsidR="00146421" w:rsidRPr="004457CB" w:rsidRDefault="00146421" w:rsidP="00146421">
      <w:pPr>
        <w:pStyle w:val="AMNumberTabs"/>
        <w:keepNext/>
        <w:rPr>
          <w:noProof/>
        </w:rPr>
      </w:pPr>
      <w:r w:rsidRPr="004457CB">
        <w:rPr>
          <w:rStyle w:val="HideTWBExt"/>
          <w:b w:val="0"/>
          <w:color w:val="auto"/>
          <w:lang w:val="en-GB"/>
        </w:rPr>
        <w:t>&lt;Amend&gt;</w:t>
      </w:r>
      <w:r w:rsidRPr="004457CB">
        <w:t>Emendamento</w:t>
      </w:r>
      <w:r w:rsidRPr="004457CB">
        <w:tab/>
      </w:r>
      <w:r w:rsidRPr="004457CB">
        <w:tab/>
      </w:r>
      <w:r w:rsidRPr="004457CB">
        <w:rPr>
          <w:rStyle w:val="HideTWBExt"/>
          <w:b w:val="0"/>
          <w:color w:val="auto"/>
          <w:lang w:val="en-GB"/>
        </w:rPr>
        <w:t>&lt;NumAm&gt;</w:t>
      </w:r>
      <w:r w:rsidRPr="004457CB">
        <w:t>20</w:t>
      </w:r>
      <w:r w:rsidRPr="004457CB">
        <w:rPr>
          <w:rStyle w:val="HideTWBExt"/>
          <w:b w:val="0"/>
          <w:color w:val="auto"/>
          <w:lang w:val="en-GB"/>
        </w:rPr>
        <w:t>&lt;/NumAm&gt;</w:t>
      </w:r>
    </w:p>
    <w:p w:rsidR="00146421" w:rsidRPr="004457CB" w:rsidRDefault="00146421" w:rsidP="00146421">
      <w:pPr>
        <w:rPr>
          <w:noProof/>
          <w:lang w:val="en-GB"/>
        </w:rPr>
      </w:pPr>
    </w:p>
    <w:p w:rsidR="00146421" w:rsidRPr="004457CB" w:rsidRDefault="00146421" w:rsidP="00146421">
      <w:pPr>
        <w:pStyle w:val="NormalBold"/>
        <w:keepNext/>
        <w:rPr>
          <w:noProof/>
        </w:rPr>
      </w:pPr>
      <w:r w:rsidRPr="004457CB">
        <w:rPr>
          <w:rStyle w:val="HideTWBExt"/>
          <w:b w:val="0"/>
          <w:color w:val="auto"/>
          <w:lang w:val="en-GB"/>
        </w:rPr>
        <w:t>&lt;DocAmend&gt;</w:t>
      </w:r>
      <w:r w:rsidRPr="004457CB">
        <w:t>Proposta di regolamento</w:t>
      </w:r>
      <w:r w:rsidRPr="004457CB">
        <w:rPr>
          <w:rStyle w:val="HideTWBExt"/>
          <w:b w:val="0"/>
          <w:color w:val="auto"/>
          <w:lang w:val="en-GB"/>
        </w:rPr>
        <w:t>&lt;/DocAmend&gt;</w:t>
      </w:r>
    </w:p>
    <w:p w:rsidR="00146421" w:rsidRPr="004457CB" w:rsidRDefault="00146421" w:rsidP="00146421">
      <w:pPr>
        <w:pStyle w:val="NormalBold"/>
        <w:rPr>
          <w:noProof/>
        </w:rPr>
      </w:pPr>
      <w:r w:rsidRPr="004457CB">
        <w:rPr>
          <w:rStyle w:val="HideTWBExt"/>
          <w:b w:val="0"/>
          <w:color w:val="auto"/>
          <w:lang w:val="fr-FR"/>
        </w:rPr>
        <w:t>&lt;Article&gt;</w:t>
      </w:r>
      <w:r w:rsidRPr="004457CB">
        <w:t>Articolo 6 – paragrafo 3 – lettera b</w:t>
      </w:r>
      <w:r w:rsidRPr="004457CB">
        <w:rPr>
          <w:rStyle w:val="HideTWBExt"/>
          <w:b w:val="0"/>
          <w:color w:val="auto"/>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lang w:val="fr-FR"/>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t>b)</w:t>
            </w:r>
            <w:r w:rsidRPr="004457CB">
              <w:tab/>
              <w:t xml:space="preserve">possono essere registrati o riservati solo </w:t>
            </w:r>
            <w:r w:rsidRPr="004457CB">
              <w:rPr>
                <w:b/>
                <w:i/>
              </w:rPr>
              <w:t>sotto</w:t>
            </w:r>
            <w:r w:rsidRPr="004457CB">
              <w:t xml:space="preserve"> un dominio di secondo livello </w:t>
            </w:r>
            <w:r w:rsidRPr="004457CB">
              <w:lastRenderedPageBreak/>
              <w:t xml:space="preserve">dagli Stati membri. Tali nomi di dominio </w:t>
            </w:r>
            <w:r w:rsidRPr="004457CB">
              <w:rPr>
                <w:b/>
                <w:i/>
              </w:rPr>
              <w:t>devono essere</w:t>
            </w:r>
            <w:r w:rsidRPr="004457CB">
              <w:t xml:space="preserve"> limitati a termini relativi a concetti geografici e/o geopolitici generalmente riconosciuti che interessano l'organizzazione politica o territoriale degli Stati membri.</w:t>
            </w:r>
          </w:p>
        </w:tc>
        <w:tc>
          <w:tcPr>
            <w:tcW w:w="4876" w:type="dxa"/>
            <w:hideMark/>
          </w:tcPr>
          <w:p w:rsidR="00146421" w:rsidRPr="004457CB" w:rsidRDefault="00146421" w:rsidP="00084A45">
            <w:pPr>
              <w:pStyle w:val="Normal6"/>
              <w:rPr>
                <w:noProof/>
                <w:szCs w:val="24"/>
              </w:rPr>
            </w:pPr>
            <w:r w:rsidRPr="004457CB">
              <w:lastRenderedPageBreak/>
              <w:t>b)</w:t>
            </w:r>
            <w:r w:rsidRPr="004457CB">
              <w:tab/>
              <w:t xml:space="preserve">possono essere registrati o riservati solo </w:t>
            </w:r>
            <w:r w:rsidRPr="004457CB">
              <w:rPr>
                <w:b/>
                <w:i/>
              </w:rPr>
              <w:t>a</w:t>
            </w:r>
            <w:r w:rsidRPr="004457CB">
              <w:t xml:space="preserve"> un dominio di secondo livello dagli </w:t>
            </w:r>
            <w:r w:rsidRPr="004457CB">
              <w:lastRenderedPageBreak/>
              <w:t xml:space="preserve">Stati membri. Tali nomi di dominio </w:t>
            </w:r>
            <w:r w:rsidRPr="004457CB">
              <w:rPr>
                <w:b/>
                <w:i/>
              </w:rPr>
              <w:t>sono</w:t>
            </w:r>
            <w:r w:rsidRPr="004457CB">
              <w:t xml:space="preserve"> limitati a termini relativi a concetti geografici e/o geopolitici generalmente riconosciuti che interessano l'organizzazione politica o territoriale degli Stati membri.</w:t>
            </w:r>
          </w:p>
        </w:tc>
      </w:tr>
    </w:tbl>
    <w:p w:rsidR="00146421" w:rsidRPr="004457CB" w:rsidRDefault="00146421" w:rsidP="00146421">
      <w:pPr>
        <w:rPr>
          <w:noProof/>
        </w:rPr>
      </w:pPr>
      <w:r w:rsidRPr="004457CB">
        <w:rPr>
          <w:rStyle w:val="HideTWBExt"/>
          <w:color w:val="auto"/>
          <w:lang w:val="en-GB"/>
        </w:rPr>
        <w:lastRenderedPageBreak/>
        <w:t>&lt;/Amend&gt;</w:t>
      </w:r>
    </w:p>
    <w:p w:rsidR="00146421" w:rsidRPr="004457CB" w:rsidRDefault="00146421" w:rsidP="00146421">
      <w:pPr>
        <w:pStyle w:val="AMNumberTabs"/>
        <w:keepNext/>
        <w:rPr>
          <w:noProof/>
        </w:rPr>
      </w:pPr>
      <w:r w:rsidRPr="004457CB">
        <w:rPr>
          <w:rStyle w:val="HideTWBExt"/>
          <w:b w:val="0"/>
          <w:color w:val="auto"/>
          <w:lang w:val="en-GB"/>
        </w:rPr>
        <w:t>&lt;Amend&gt;</w:t>
      </w:r>
      <w:r w:rsidRPr="004457CB">
        <w:t>Emendamento</w:t>
      </w:r>
      <w:r w:rsidRPr="004457CB">
        <w:tab/>
      </w:r>
      <w:r w:rsidRPr="004457CB">
        <w:tab/>
      </w:r>
      <w:r w:rsidRPr="004457CB">
        <w:rPr>
          <w:rStyle w:val="HideTWBExt"/>
          <w:b w:val="0"/>
          <w:color w:val="auto"/>
          <w:lang w:val="en-GB"/>
        </w:rPr>
        <w:t>&lt;NumAm&gt;</w:t>
      </w:r>
      <w:r w:rsidRPr="004457CB">
        <w:t>21</w:t>
      </w:r>
      <w:r w:rsidRPr="004457CB">
        <w:rPr>
          <w:rStyle w:val="HideTWBExt"/>
          <w:b w:val="0"/>
          <w:color w:val="auto"/>
          <w:lang w:val="en-GB"/>
        </w:rPr>
        <w:t>&lt;/NumAm&gt;</w:t>
      </w:r>
    </w:p>
    <w:p w:rsidR="00146421" w:rsidRPr="004457CB" w:rsidRDefault="00146421" w:rsidP="00146421">
      <w:pPr>
        <w:rPr>
          <w:noProof/>
          <w:lang w:val="en-GB"/>
        </w:rPr>
      </w:pPr>
    </w:p>
    <w:p w:rsidR="00146421" w:rsidRPr="004457CB" w:rsidRDefault="00146421" w:rsidP="00146421">
      <w:pPr>
        <w:pStyle w:val="NormalBold"/>
        <w:keepNext/>
        <w:rPr>
          <w:noProof/>
        </w:rPr>
      </w:pPr>
      <w:r w:rsidRPr="004457CB">
        <w:rPr>
          <w:rStyle w:val="HideTWBExt"/>
          <w:b w:val="0"/>
          <w:color w:val="auto"/>
          <w:lang w:val="en-GB"/>
        </w:rPr>
        <w:t>&lt;DocAmend&gt;</w:t>
      </w:r>
      <w:r w:rsidRPr="004457CB">
        <w:t>Proposta di regolamento</w:t>
      </w:r>
      <w:r w:rsidRPr="004457CB">
        <w:rPr>
          <w:rStyle w:val="HideTWBExt"/>
          <w:b w:val="0"/>
          <w:color w:val="auto"/>
          <w:lang w:val="en-GB"/>
        </w:rPr>
        <w:t>&lt;/DocAmend&gt;</w:t>
      </w:r>
    </w:p>
    <w:p w:rsidR="00146421" w:rsidRPr="004457CB" w:rsidRDefault="00146421" w:rsidP="00146421">
      <w:pPr>
        <w:pStyle w:val="NormalBold"/>
        <w:rPr>
          <w:noProof/>
        </w:rPr>
      </w:pPr>
      <w:r w:rsidRPr="004457CB">
        <w:rPr>
          <w:rStyle w:val="HideTWBExt"/>
          <w:b w:val="0"/>
          <w:color w:val="auto"/>
        </w:rPr>
        <w:t>&lt;Article&gt;</w:t>
      </w:r>
      <w:r w:rsidRPr="004457CB">
        <w:t>Articolo 8 – paragrafo 1</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t>1.</w:t>
            </w:r>
            <w:r w:rsidRPr="004457CB">
              <w:tab/>
              <w:t xml:space="preserve">La Commissione </w:t>
            </w:r>
            <w:r w:rsidRPr="004457CB">
              <w:rPr>
                <w:b/>
                <w:i/>
              </w:rPr>
              <w:t>stabilisce</w:t>
            </w:r>
            <w:r w:rsidRPr="004457CB">
              <w:t xml:space="preserve"> i criteri e la procedura per la designazione del registro</w:t>
            </w:r>
            <w:r w:rsidRPr="004457CB">
              <w:rPr>
                <w:b/>
                <w:i/>
              </w:rPr>
              <w:t xml:space="preserve"> mediante atti di esecuzione.</w:t>
            </w:r>
            <w:r w:rsidRPr="004457CB">
              <w:t xml:space="preserve"> </w:t>
            </w:r>
            <w:r w:rsidRPr="004457CB">
              <w:rPr>
                <w:b/>
                <w:i/>
              </w:rPr>
              <w:t>Tali atti di esecuzione sono adottati secondo la procedura</w:t>
            </w:r>
            <w:r w:rsidRPr="004457CB">
              <w:t xml:space="preserve"> di </w:t>
            </w:r>
            <w:r w:rsidRPr="004457CB">
              <w:rPr>
                <w:b/>
                <w:i/>
              </w:rPr>
              <w:t>esame</w:t>
            </w:r>
            <w:r w:rsidRPr="004457CB">
              <w:t xml:space="preserve"> di </w:t>
            </w:r>
            <w:r w:rsidRPr="004457CB">
              <w:rPr>
                <w:b/>
                <w:i/>
              </w:rPr>
              <w:t>cui all'articolo 17</w:t>
            </w:r>
            <w:r w:rsidRPr="004457CB">
              <w:t xml:space="preserve">, </w:t>
            </w:r>
            <w:r w:rsidRPr="004457CB">
              <w:rPr>
                <w:b/>
                <w:i/>
              </w:rPr>
              <w:t>paragrafo 2</w:t>
            </w:r>
            <w:r w:rsidRPr="004457CB">
              <w:t>.</w:t>
            </w:r>
          </w:p>
        </w:tc>
        <w:tc>
          <w:tcPr>
            <w:tcW w:w="4876" w:type="dxa"/>
            <w:hideMark/>
          </w:tcPr>
          <w:p w:rsidR="00146421" w:rsidRPr="004457CB" w:rsidRDefault="00146421" w:rsidP="00084A45">
            <w:pPr>
              <w:pStyle w:val="Normal6"/>
              <w:rPr>
                <w:noProof/>
                <w:szCs w:val="24"/>
              </w:rPr>
            </w:pPr>
            <w:r w:rsidRPr="004457CB">
              <w:t>1.</w:t>
            </w:r>
            <w:r w:rsidRPr="004457CB">
              <w:tab/>
              <w:t xml:space="preserve">La Commissione </w:t>
            </w:r>
            <w:r w:rsidRPr="004457CB">
              <w:rPr>
                <w:b/>
                <w:i/>
              </w:rPr>
              <w:t>adotta atti delegati a norma dell'articolo 17 bis, a integrazione del presente regolamento, che definiscono</w:t>
            </w:r>
            <w:r w:rsidRPr="004457CB">
              <w:t xml:space="preserve"> i criteri e la procedura per la designazione del registro</w:t>
            </w:r>
            <w:r w:rsidRPr="004457CB">
              <w:rPr>
                <w:b/>
                <w:i/>
              </w:rPr>
              <w:t>, e criteri che stabiliscono i requisiti minimi per circostanze diverse da quelle definite all'articolo 4, in cui il registro blocca, sospende o revoca un nome</w:t>
            </w:r>
            <w:r w:rsidRPr="004457CB">
              <w:t xml:space="preserve"> di </w:t>
            </w:r>
            <w:r w:rsidRPr="004457CB">
              <w:rPr>
                <w:b/>
                <w:i/>
              </w:rPr>
              <w:t>dominio, al fine</w:t>
            </w:r>
            <w:r w:rsidRPr="004457CB">
              <w:t xml:space="preserve"> di </w:t>
            </w:r>
            <w:r w:rsidRPr="004457CB">
              <w:rPr>
                <w:b/>
                <w:i/>
              </w:rPr>
              <w:t>tutelare i valori dell'Unione, quali il multilinguismo</w:t>
            </w:r>
            <w:r w:rsidRPr="004457CB">
              <w:t xml:space="preserve">, </w:t>
            </w:r>
            <w:r w:rsidRPr="004457CB">
              <w:rPr>
                <w:b/>
                <w:i/>
              </w:rPr>
              <w:t>il rispetto della riservatezza e della sicurezza degli utenti e il rispetto dei diritti umani</w:t>
            </w:r>
            <w:r w:rsidRPr="004457CB">
              <w:t>.</w:t>
            </w:r>
          </w:p>
        </w:tc>
      </w:tr>
    </w:tbl>
    <w:p w:rsidR="00146421" w:rsidRPr="004457CB" w:rsidRDefault="00146421" w:rsidP="00146421">
      <w:pPr>
        <w:rPr>
          <w:noProof/>
        </w:rPr>
      </w:pPr>
      <w:r w:rsidRPr="004457CB">
        <w:rPr>
          <w:rStyle w:val="HideTWBExt"/>
          <w:color w:val="auto"/>
          <w:lang w:val="en-GB"/>
        </w:rPr>
        <w:t>&lt;/Amend&gt;</w:t>
      </w:r>
    </w:p>
    <w:p w:rsidR="00146421" w:rsidRPr="004457CB" w:rsidRDefault="00146421" w:rsidP="00146421">
      <w:pPr>
        <w:pStyle w:val="AMNumberTabs"/>
        <w:keepNext/>
        <w:rPr>
          <w:noProof/>
        </w:rPr>
      </w:pPr>
      <w:r w:rsidRPr="004457CB">
        <w:rPr>
          <w:rStyle w:val="HideTWBExt"/>
          <w:b w:val="0"/>
          <w:color w:val="auto"/>
          <w:lang w:val="en-GB"/>
        </w:rPr>
        <w:t>&lt;Amend&gt;</w:t>
      </w:r>
      <w:r w:rsidRPr="004457CB">
        <w:t>Emendamento</w:t>
      </w:r>
      <w:r w:rsidRPr="004457CB">
        <w:tab/>
      </w:r>
      <w:r w:rsidRPr="004457CB">
        <w:tab/>
      </w:r>
      <w:r w:rsidRPr="004457CB">
        <w:rPr>
          <w:rStyle w:val="HideTWBExt"/>
          <w:b w:val="0"/>
          <w:color w:val="auto"/>
          <w:lang w:val="en-GB"/>
        </w:rPr>
        <w:t>&lt;NumAm&gt;</w:t>
      </w:r>
      <w:r w:rsidRPr="004457CB">
        <w:t>22</w:t>
      </w:r>
      <w:r w:rsidRPr="004457CB">
        <w:rPr>
          <w:rStyle w:val="HideTWBExt"/>
          <w:b w:val="0"/>
          <w:color w:val="auto"/>
          <w:lang w:val="en-GB"/>
        </w:rPr>
        <w:t>&lt;/NumAm&gt;</w:t>
      </w:r>
    </w:p>
    <w:p w:rsidR="00146421" w:rsidRPr="004457CB" w:rsidRDefault="00146421" w:rsidP="00146421">
      <w:pPr>
        <w:rPr>
          <w:noProof/>
          <w:lang w:val="en-GB"/>
        </w:rPr>
      </w:pPr>
    </w:p>
    <w:p w:rsidR="00146421" w:rsidRPr="004457CB" w:rsidRDefault="00146421" w:rsidP="00146421">
      <w:pPr>
        <w:pStyle w:val="NormalBold"/>
        <w:keepNext/>
        <w:rPr>
          <w:noProof/>
        </w:rPr>
      </w:pPr>
      <w:r w:rsidRPr="004457CB">
        <w:rPr>
          <w:rStyle w:val="HideTWBExt"/>
          <w:b w:val="0"/>
          <w:color w:val="auto"/>
          <w:lang w:val="en-GB"/>
        </w:rPr>
        <w:t>&lt;DocAmend&gt;</w:t>
      </w:r>
      <w:r w:rsidRPr="004457CB">
        <w:t>Proposta di regolamento</w:t>
      </w:r>
      <w:r w:rsidRPr="004457CB">
        <w:rPr>
          <w:rStyle w:val="HideTWBExt"/>
          <w:b w:val="0"/>
          <w:color w:val="auto"/>
          <w:lang w:val="en-GB"/>
        </w:rPr>
        <w:t>&lt;/DocAmend&gt;</w:t>
      </w:r>
    </w:p>
    <w:p w:rsidR="00146421" w:rsidRPr="004457CB" w:rsidRDefault="00146421" w:rsidP="00146421">
      <w:pPr>
        <w:pStyle w:val="NormalBold"/>
        <w:rPr>
          <w:noProof/>
        </w:rPr>
      </w:pPr>
      <w:r w:rsidRPr="004457CB">
        <w:rPr>
          <w:rStyle w:val="HideTWBExt"/>
          <w:b w:val="0"/>
          <w:color w:val="auto"/>
        </w:rPr>
        <w:t>&lt;Article&gt;</w:t>
      </w:r>
      <w:r w:rsidRPr="004457CB">
        <w:t>Articolo 8 – paragrafo 3</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t>3.</w:t>
            </w:r>
            <w:r w:rsidRPr="004457CB">
              <w:tab/>
              <w:t xml:space="preserve">La Commissione stipula un contratto con il registro designato. Tale contratto specifica le regole, le politiche e le procedure per la prestazione dei servizi da parte del registro e le condizioni secondo cui la Commissione supervisiona l'organizzazione, l'amministrazione e la gestione del TLD .eu da parte del registro. Il contratto è limitato nel tempo e rinnovabile e comprende i principi e le procedure relativi al funzionamento del </w:t>
            </w:r>
            <w:r w:rsidRPr="004457CB">
              <w:lastRenderedPageBreak/>
              <w:t xml:space="preserve">TLD .eu stabiliti in base </w:t>
            </w:r>
            <w:r w:rsidRPr="004457CB">
              <w:rPr>
                <w:b/>
                <w:i/>
              </w:rPr>
              <w:t>all'articolo </w:t>
            </w:r>
            <w:r w:rsidRPr="004457CB">
              <w:t>11.</w:t>
            </w:r>
          </w:p>
        </w:tc>
        <w:tc>
          <w:tcPr>
            <w:tcW w:w="4876" w:type="dxa"/>
            <w:hideMark/>
          </w:tcPr>
          <w:p w:rsidR="00146421" w:rsidRPr="004457CB" w:rsidRDefault="00146421" w:rsidP="00084A45">
            <w:pPr>
              <w:pStyle w:val="Normal6"/>
              <w:rPr>
                <w:noProof/>
                <w:szCs w:val="24"/>
              </w:rPr>
            </w:pPr>
            <w:r w:rsidRPr="004457CB">
              <w:lastRenderedPageBreak/>
              <w:t>3.</w:t>
            </w:r>
            <w:r w:rsidRPr="004457CB">
              <w:tab/>
              <w:t xml:space="preserve">La Commissione stipula un contratto con il registro designato. Tale contratto specifica le regole, le politiche e le procedure per la prestazione dei servizi da parte del registro e le condizioni secondo cui la Commissione supervisiona l'organizzazione, l'amministrazione e la gestione del TLD .eu da parte del registro. Il contratto è limitato nel tempo e rinnovabile e comprende i principi e le procedure relativi al funzionamento del </w:t>
            </w:r>
            <w:r w:rsidRPr="004457CB">
              <w:lastRenderedPageBreak/>
              <w:t xml:space="preserve">TLD .eu stabiliti in base </w:t>
            </w:r>
            <w:r w:rsidRPr="004457CB">
              <w:rPr>
                <w:b/>
                <w:i/>
              </w:rPr>
              <w:t xml:space="preserve">agli articoli 10 e </w:t>
            </w:r>
            <w:r w:rsidRPr="004457CB">
              <w:t>11</w:t>
            </w:r>
            <w:r w:rsidRPr="004457CB">
              <w:rPr>
                <w:b/>
                <w:i/>
              </w:rPr>
              <w:t xml:space="preserve"> del presente regolamento</w:t>
            </w:r>
            <w:r w:rsidRPr="004457CB">
              <w:t>.</w:t>
            </w:r>
          </w:p>
        </w:tc>
      </w:tr>
    </w:tbl>
    <w:p w:rsidR="00146421" w:rsidRPr="004457CB" w:rsidRDefault="00146421" w:rsidP="00146421">
      <w:pPr>
        <w:rPr>
          <w:noProof/>
        </w:rPr>
      </w:pPr>
      <w:r w:rsidRPr="004457CB">
        <w:rPr>
          <w:rStyle w:val="HideTWBExt"/>
          <w:color w:val="auto"/>
          <w:lang w:val="en-GB"/>
        </w:rPr>
        <w:lastRenderedPageBreak/>
        <w:t>&lt;/Amend&gt;</w:t>
      </w:r>
    </w:p>
    <w:p w:rsidR="00146421" w:rsidRPr="004457CB" w:rsidRDefault="00146421" w:rsidP="00146421">
      <w:pPr>
        <w:pStyle w:val="AMNumberTabs"/>
        <w:keepNext/>
        <w:rPr>
          <w:noProof/>
        </w:rPr>
      </w:pPr>
      <w:r w:rsidRPr="004457CB">
        <w:rPr>
          <w:rStyle w:val="HideTWBExt"/>
          <w:b w:val="0"/>
          <w:color w:val="auto"/>
        </w:rPr>
        <w:t>&lt;Amend&gt;</w:t>
      </w:r>
      <w:r w:rsidRPr="004457CB">
        <w:t>Emendamento</w:t>
      </w:r>
      <w:r w:rsidRPr="004457CB">
        <w:tab/>
      </w:r>
      <w:r w:rsidRPr="004457CB">
        <w:tab/>
      </w:r>
      <w:r w:rsidRPr="004457CB">
        <w:rPr>
          <w:rStyle w:val="HideTWBExt"/>
          <w:b w:val="0"/>
          <w:color w:val="auto"/>
        </w:rPr>
        <w:t>&lt;NumAm&gt;</w:t>
      </w:r>
      <w:r w:rsidRPr="004457CB">
        <w:t>23</w:t>
      </w:r>
      <w:r w:rsidRPr="004457CB">
        <w:rPr>
          <w:rStyle w:val="HideTWBExt"/>
          <w:b w:val="0"/>
          <w:color w:val="auto"/>
        </w:rPr>
        <w:t>&lt;/NumAm&gt;</w:t>
      </w:r>
    </w:p>
    <w:p w:rsidR="00146421" w:rsidRPr="004457CB" w:rsidRDefault="00146421" w:rsidP="00146421">
      <w:pPr>
        <w:rPr>
          <w:noProof/>
        </w:rPr>
      </w:pPr>
    </w:p>
    <w:p w:rsidR="00146421" w:rsidRPr="004457CB" w:rsidRDefault="00146421" w:rsidP="00146421">
      <w:pPr>
        <w:pStyle w:val="NormalBold"/>
        <w:keepNext/>
        <w:rPr>
          <w:noProof/>
        </w:rPr>
      </w:pPr>
      <w:r w:rsidRPr="004457CB">
        <w:rPr>
          <w:rStyle w:val="HideTWBExt"/>
          <w:b w:val="0"/>
          <w:color w:val="auto"/>
        </w:rPr>
        <w:t>&lt;DocAmend&gt;</w:t>
      </w:r>
      <w:r w:rsidRPr="004457CB">
        <w:t>Proposta di regolamento</w:t>
      </w:r>
      <w:r w:rsidRPr="004457CB">
        <w:rPr>
          <w:rStyle w:val="HideTWBExt"/>
          <w:b w:val="0"/>
          <w:color w:val="auto"/>
        </w:rPr>
        <w:t>&lt;/DocAmend&gt;</w:t>
      </w:r>
    </w:p>
    <w:p w:rsidR="00146421" w:rsidRPr="004457CB" w:rsidRDefault="00146421" w:rsidP="00146421">
      <w:pPr>
        <w:pStyle w:val="NormalBold"/>
        <w:rPr>
          <w:noProof/>
        </w:rPr>
      </w:pPr>
      <w:r w:rsidRPr="004457CB">
        <w:rPr>
          <w:rStyle w:val="HideTWBExt"/>
          <w:b w:val="0"/>
          <w:color w:val="auto"/>
        </w:rPr>
        <w:t>&lt;Article&gt;</w:t>
      </w:r>
      <w:r w:rsidRPr="004457CB">
        <w:t>Articolo 10 – comma 1 – lettera -a (nuova)</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tcPr>
          <w:p w:rsidR="00146421" w:rsidRPr="004457CB" w:rsidRDefault="00146421" w:rsidP="00084A45">
            <w:pPr>
              <w:pStyle w:val="Normal6"/>
              <w:rPr>
                <w:noProof/>
              </w:rPr>
            </w:pPr>
          </w:p>
        </w:tc>
        <w:tc>
          <w:tcPr>
            <w:tcW w:w="4876" w:type="dxa"/>
            <w:hideMark/>
          </w:tcPr>
          <w:p w:rsidR="00146421" w:rsidRPr="004457CB" w:rsidRDefault="00146421" w:rsidP="00084A45">
            <w:pPr>
              <w:pStyle w:val="Normal6"/>
              <w:rPr>
                <w:noProof/>
                <w:szCs w:val="24"/>
              </w:rPr>
            </w:pPr>
            <w:r w:rsidRPr="004457CB">
              <w:rPr>
                <w:b/>
                <w:i/>
              </w:rPr>
              <w:t>-a)</w:t>
            </w:r>
            <w:r w:rsidRPr="004457CB">
              <w:rPr>
                <w:b/>
                <w:i/>
              </w:rPr>
              <w:tab/>
              <w:t>promuove il TLD .eu in tutta l'Unione e nei paesi terzi al fine di garantire la sua competitività;</w:t>
            </w:r>
          </w:p>
        </w:tc>
      </w:tr>
    </w:tbl>
    <w:p w:rsidR="00146421" w:rsidRPr="004457CB" w:rsidRDefault="00146421" w:rsidP="00146421">
      <w:pPr>
        <w:rPr>
          <w:noProof/>
        </w:rPr>
      </w:pPr>
      <w:r w:rsidRPr="004457CB">
        <w:rPr>
          <w:rStyle w:val="HideTWBExt"/>
          <w:color w:val="auto"/>
          <w:lang w:val="en-GB"/>
        </w:rPr>
        <w:t>&lt;/Amend&gt;</w:t>
      </w:r>
    </w:p>
    <w:p w:rsidR="00146421" w:rsidRPr="004457CB" w:rsidRDefault="00146421" w:rsidP="00146421">
      <w:pPr>
        <w:pStyle w:val="AMNumberTabs"/>
        <w:keepNext/>
        <w:rPr>
          <w:noProof/>
        </w:rPr>
      </w:pPr>
      <w:r w:rsidRPr="004457CB">
        <w:rPr>
          <w:rStyle w:val="HideTWBExt"/>
          <w:b w:val="0"/>
          <w:color w:val="auto"/>
          <w:lang w:val="en-GB"/>
        </w:rPr>
        <w:t>&lt;Amend&gt;</w:t>
      </w:r>
      <w:r w:rsidRPr="004457CB">
        <w:t>Emendamento</w:t>
      </w:r>
      <w:r w:rsidRPr="004457CB">
        <w:tab/>
      </w:r>
      <w:r w:rsidRPr="004457CB">
        <w:tab/>
      </w:r>
      <w:r w:rsidRPr="004457CB">
        <w:rPr>
          <w:rStyle w:val="HideTWBExt"/>
          <w:b w:val="0"/>
          <w:color w:val="auto"/>
          <w:lang w:val="en-GB"/>
        </w:rPr>
        <w:t>&lt;NumAm&gt;</w:t>
      </w:r>
      <w:r w:rsidRPr="004457CB">
        <w:t>24</w:t>
      </w:r>
      <w:r w:rsidRPr="004457CB">
        <w:rPr>
          <w:rStyle w:val="HideTWBExt"/>
          <w:b w:val="0"/>
          <w:color w:val="auto"/>
          <w:lang w:val="en-GB"/>
        </w:rPr>
        <w:t>&lt;/NumAm&gt;</w:t>
      </w:r>
    </w:p>
    <w:p w:rsidR="00146421" w:rsidRPr="004457CB" w:rsidRDefault="00146421" w:rsidP="00146421">
      <w:pPr>
        <w:rPr>
          <w:noProof/>
          <w:lang w:val="en-GB"/>
        </w:rPr>
      </w:pPr>
    </w:p>
    <w:p w:rsidR="00146421" w:rsidRPr="004457CB" w:rsidRDefault="00146421" w:rsidP="00146421">
      <w:pPr>
        <w:pStyle w:val="NormalBold"/>
        <w:keepNext/>
        <w:rPr>
          <w:noProof/>
        </w:rPr>
      </w:pPr>
      <w:r w:rsidRPr="004457CB">
        <w:rPr>
          <w:rStyle w:val="HideTWBExt"/>
          <w:b w:val="0"/>
          <w:color w:val="auto"/>
          <w:lang w:val="en-GB"/>
        </w:rPr>
        <w:t>&lt;DocAmend&gt;</w:t>
      </w:r>
      <w:r w:rsidRPr="004457CB">
        <w:t>Proposta di regolamento</w:t>
      </w:r>
      <w:r w:rsidRPr="004457CB">
        <w:rPr>
          <w:rStyle w:val="HideTWBExt"/>
          <w:b w:val="0"/>
          <w:color w:val="auto"/>
          <w:lang w:val="en-GB"/>
        </w:rPr>
        <w:t>&lt;/DocAmend&gt;</w:t>
      </w:r>
    </w:p>
    <w:p w:rsidR="00146421" w:rsidRPr="004457CB" w:rsidRDefault="00146421" w:rsidP="00146421">
      <w:pPr>
        <w:pStyle w:val="NormalBold"/>
        <w:rPr>
          <w:noProof/>
        </w:rPr>
      </w:pPr>
      <w:r w:rsidRPr="004457CB">
        <w:rPr>
          <w:rStyle w:val="HideTWBExt"/>
          <w:b w:val="0"/>
          <w:color w:val="auto"/>
          <w:lang w:val="fr-FR"/>
        </w:rPr>
        <w:t>&lt;Article&gt;</w:t>
      </w:r>
      <w:r w:rsidRPr="004457CB">
        <w:t>Articolo 10 – comma 1 – lettera a</w:t>
      </w:r>
      <w:r w:rsidRPr="004457CB">
        <w:rPr>
          <w:rStyle w:val="HideTWBExt"/>
          <w:b w:val="0"/>
          <w:color w:val="auto"/>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lang w:val="fr-FR"/>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t>a)</w:t>
            </w:r>
            <w:r w:rsidRPr="004457CB">
              <w:tab/>
              <w:t>rispetta le regole, le politiche e le procedure stabilite nel presente regolamento e il contratto di cui all'articolo 8, paragrafo 3;</w:t>
            </w:r>
          </w:p>
        </w:tc>
        <w:tc>
          <w:tcPr>
            <w:tcW w:w="4876" w:type="dxa"/>
            <w:hideMark/>
          </w:tcPr>
          <w:p w:rsidR="00146421" w:rsidRPr="004457CB" w:rsidRDefault="00146421" w:rsidP="00084A45">
            <w:pPr>
              <w:pStyle w:val="Normal6"/>
              <w:rPr>
                <w:noProof/>
                <w:szCs w:val="24"/>
              </w:rPr>
            </w:pPr>
            <w:r w:rsidRPr="004457CB">
              <w:t>a)</w:t>
            </w:r>
            <w:r w:rsidRPr="004457CB">
              <w:tab/>
              <w:t>rispetta le regole, le politiche e le procedure stabilite nel presente regolamento e il contratto di cui all'articolo 8, paragrafo 3</w:t>
            </w:r>
            <w:r w:rsidRPr="004457CB">
              <w:rPr>
                <w:b/>
                <w:i/>
              </w:rPr>
              <w:t>, e in particolare il diritto dell'Unione in materia di protezione dei dati</w:t>
            </w:r>
            <w:r w:rsidRPr="004457CB">
              <w:t>;</w:t>
            </w:r>
          </w:p>
        </w:tc>
      </w:tr>
    </w:tbl>
    <w:p w:rsidR="00146421" w:rsidRPr="004457CB" w:rsidRDefault="00146421" w:rsidP="00146421">
      <w:pPr>
        <w:rPr>
          <w:noProof/>
        </w:rPr>
      </w:pPr>
      <w:r w:rsidRPr="004457CB">
        <w:rPr>
          <w:rStyle w:val="HideTWBExt"/>
          <w:color w:val="auto"/>
          <w:lang w:val="en-GB"/>
        </w:rPr>
        <w:t>&lt;/Amend&gt;</w:t>
      </w:r>
    </w:p>
    <w:p w:rsidR="00146421" w:rsidRPr="004457CB" w:rsidRDefault="00146421" w:rsidP="00146421">
      <w:pPr>
        <w:pStyle w:val="AMNumberTabs"/>
        <w:keepNext/>
        <w:rPr>
          <w:noProof/>
        </w:rPr>
      </w:pPr>
      <w:r w:rsidRPr="004457CB">
        <w:rPr>
          <w:rStyle w:val="HideTWBExt"/>
          <w:b w:val="0"/>
          <w:color w:val="auto"/>
        </w:rPr>
        <w:t>&lt;Amend&gt;</w:t>
      </w:r>
      <w:r w:rsidRPr="004457CB">
        <w:t>Emendamento</w:t>
      </w:r>
      <w:r w:rsidRPr="004457CB">
        <w:tab/>
      </w:r>
      <w:r w:rsidRPr="004457CB">
        <w:tab/>
      </w:r>
      <w:r w:rsidRPr="004457CB">
        <w:rPr>
          <w:rStyle w:val="HideTWBExt"/>
          <w:b w:val="0"/>
          <w:color w:val="auto"/>
        </w:rPr>
        <w:t>&lt;NumAm&gt;</w:t>
      </w:r>
      <w:r w:rsidRPr="004457CB">
        <w:t>25</w:t>
      </w:r>
      <w:r w:rsidRPr="004457CB">
        <w:rPr>
          <w:rStyle w:val="HideTWBExt"/>
          <w:b w:val="0"/>
          <w:color w:val="auto"/>
        </w:rPr>
        <w:t>&lt;/NumAm&gt;</w:t>
      </w:r>
    </w:p>
    <w:p w:rsidR="00146421" w:rsidRPr="004457CB" w:rsidRDefault="00146421" w:rsidP="00146421">
      <w:pPr>
        <w:rPr>
          <w:noProof/>
        </w:rPr>
      </w:pPr>
    </w:p>
    <w:p w:rsidR="00146421" w:rsidRPr="004457CB" w:rsidRDefault="00146421" w:rsidP="00146421">
      <w:pPr>
        <w:pStyle w:val="NormalBold"/>
        <w:keepNext/>
        <w:rPr>
          <w:noProof/>
        </w:rPr>
      </w:pPr>
      <w:r w:rsidRPr="004457CB">
        <w:rPr>
          <w:rStyle w:val="HideTWBExt"/>
          <w:b w:val="0"/>
          <w:color w:val="auto"/>
        </w:rPr>
        <w:t>&lt;DocAmend&gt;</w:t>
      </w:r>
      <w:r w:rsidRPr="004457CB">
        <w:t>Proposta di regolamento</w:t>
      </w:r>
      <w:r w:rsidRPr="004457CB">
        <w:rPr>
          <w:rStyle w:val="HideTWBExt"/>
          <w:b w:val="0"/>
          <w:color w:val="auto"/>
        </w:rPr>
        <w:t>&lt;/DocAmend&gt;</w:t>
      </w:r>
    </w:p>
    <w:p w:rsidR="00146421" w:rsidRPr="004457CB" w:rsidRDefault="00146421" w:rsidP="00146421">
      <w:pPr>
        <w:pStyle w:val="NormalBold"/>
        <w:rPr>
          <w:noProof/>
        </w:rPr>
      </w:pPr>
      <w:r w:rsidRPr="004457CB">
        <w:rPr>
          <w:rStyle w:val="HideTWBExt"/>
          <w:b w:val="0"/>
          <w:color w:val="auto"/>
        </w:rPr>
        <w:t>&lt;Article&gt;</w:t>
      </w:r>
      <w:r w:rsidRPr="004457CB">
        <w:t>Articolo 10 – comma 1 – lettera b</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t>b)</w:t>
            </w:r>
            <w:r w:rsidRPr="004457CB">
              <w:tab/>
              <w:t>organizza, amministra e gestisce il TLD .eu secondo criteri di interesse pubblico</w:t>
            </w:r>
            <w:r w:rsidRPr="004457CB">
              <w:rPr>
                <w:b/>
                <w:i/>
              </w:rPr>
              <w:t xml:space="preserve"> e conformemente ai principi di qualità, efficienza, affidabilità, trasparenza, accessibilità e non discriminazione e garantendo condizioni di concorrenza leale</w:t>
            </w:r>
            <w:r w:rsidRPr="004457CB">
              <w:t>;</w:t>
            </w:r>
          </w:p>
        </w:tc>
        <w:tc>
          <w:tcPr>
            <w:tcW w:w="4876" w:type="dxa"/>
            <w:hideMark/>
          </w:tcPr>
          <w:p w:rsidR="00146421" w:rsidRPr="004457CB" w:rsidRDefault="00146421" w:rsidP="00084A45">
            <w:pPr>
              <w:pStyle w:val="Normal6"/>
              <w:rPr>
                <w:noProof/>
                <w:szCs w:val="24"/>
              </w:rPr>
            </w:pPr>
            <w:r w:rsidRPr="004457CB">
              <w:t>b)</w:t>
            </w:r>
            <w:r w:rsidRPr="004457CB">
              <w:tab/>
              <w:t>organizza, amministra e gestisce il TLD .eu secondo criteri di interesse pubblico;</w:t>
            </w:r>
          </w:p>
        </w:tc>
      </w:tr>
    </w:tbl>
    <w:p w:rsidR="00146421" w:rsidRPr="004457CB" w:rsidRDefault="00146421" w:rsidP="00146421">
      <w:pPr>
        <w:rPr>
          <w:noProof/>
        </w:rPr>
      </w:pPr>
      <w:r w:rsidRPr="004457CB">
        <w:rPr>
          <w:rStyle w:val="HideTWBExt"/>
          <w:color w:val="auto"/>
          <w:lang w:val="en-GB"/>
        </w:rPr>
        <w:t>&lt;/Amend&gt;</w:t>
      </w:r>
    </w:p>
    <w:p w:rsidR="00146421" w:rsidRPr="004457CB" w:rsidRDefault="00146421" w:rsidP="00146421">
      <w:pPr>
        <w:pStyle w:val="AMNumberTabs"/>
        <w:keepNext/>
        <w:rPr>
          <w:noProof/>
        </w:rPr>
      </w:pPr>
      <w:r w:rsidRPr="004457CB">
        <w:rPr>
          <w:rStyle w:val="HideTWBExt"/>
          <w:b w:val="0"/>
          <w:color w:val="auto"/>
        </w:rPr>
        <w:lastRenderedPageBreak/>
        <w:t>&lt;Amend&gt;</w:t>
      </w:r>
      <w:r w:rsidRPr="004457CB">
        <w:t>Emendamento</w:t>
      </w:r>
      <w:r w:rsidRPr="004457CB">
        <w:tab/>
      </w:r>
      <w:r w:rsidRPr="004457CB">
        <w:tab/>
      </w:r>
      <w:r w:rsidRPr="004457CB">
        <w:rPr>
          <w:rStyle w:val="HideTWBExt"/>
          <w:b w:val="0"/>
          <w:color w:val="auto"/>
        </w:rPr>
        <w:t>&lt;NumAm&gt;</w:t>
      </w:r>
      <w:r w:rsidRPr="004457CB">
        <w:t>26</w:t>
      </w:r>
      <w:r w:rsidRPr="004457CB">
        <w:rPr>
          <w:rStyle w:val="HideTWBExt"/>
          <w:b w:val="0"/>
          <w:color w:val="auto"/>
        </w:rPr>
        <w:t>&lt;/NumAm&gt;</w:t>
      </w:r>
    </w:p>
    <w:p w:rsidR="00146421" w:rsidRPr="004457CB" w:rsidRDefault="00146421" w:rsidP="00146421">
      <w:pPr>
        <w:rPr>
          <w:noProof/>
        </w:rPr>
      </w:pPr>
    </w:p>
    <w:p w:rsidR="00146421" w:rsidRPr="004457CB" w:rsidRDefault="00146421" w:rsidP="00146421">
      <w:pPr>
        <w:pStyle w:val="NormalBold"/>
        <w:keepNext/>
        <w:rPr>
          <w:noProof/>
        </w:rPr>
      </w:pPr>
      <w:r w:rsidRPr="004457CB">
        <w:rPr>
          <w:rStyle w:val="HideTWBExt"/>
          <w:b w:val="0"/>
          <w:color w:val="auto"/>
        </w:rPr>
        <w:t>&lt;DocAmend&gt;</w:t>
      </w:r>
      <w:r w:rsidRPr="004457CB">
        <w:t>Proposta di regolamento</w:t>
      </w:r>
      <w:r w:rsidRPr="004457CB">
        <w:rPr>
          <w:rStyle w:val="HideTWBExt"/>
          <w:b w:val="0"/>
          <w:color w:val="auto"/>
        </w:rPr>
        <w:t>&lt;/DocAmend&gt;</w:t>
      </w:r>
    </w:p>
    <w:p w:rsidR="00146421" w:rsidRPr="004457CB" w:rsidRDefault="00146421" w:rsidP="00146421">
      <w:pPr>
        <w:pStyle w:val="NormalBold"/>
        <w:rPr>
          <w:noProof/>
        </w:rPr>
      </w:pPr>
      <w:r w:rsidRPr="004457CB">
        <w:rPr>
          <w:rStyle w:val="HideTWBExt"/>
          <w:b w:val="0"/>
          <w:color w:val="auto"/>
        </w:rPr>
        <w:t>&lt;Article&gt;</w:t>
      </w:r>
      <w:r w:rsidRPr="004457CB">
        <w:t>Articolo 10 – comma 1 – lettera b bis (nuova)</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tcPr>
          <w:p w:rsidR="00146421" w:rsidRPr="004457CB" w:rsidRDefault="00146421" w:rsidP="00084A45">
            <w:pPr>
              <w:pStyle w:val="Normal6"/>
              <w:rPr>
                <w:noProof/>
              </w:rPr>
            </w:pPr>
          </w:p>
        </w:tc>
        <w:tc>
          <w:tcPr>
            <w:tcW w:w="4876" w:type="dxa"/>
            <w:hideMark/>
          </w:tcPr>
          <w:p w:rsidR="00146421" w:rsidRPr="004457CB" w:rsidRDefault="00146421" w:rsidP="00084A45">
            <w:pPr>
              <w:pStyle w:val="Normal6"/>
              <w:rPr>
                <w:noProof/>
                <w:szCs w:val="24"/>
              </w:rPr>
            </w:pPr>
            <w:r w:rsidRPr="004457CB">
              <w:rPr>
                <w:b/>
                <w:i/>
              </w:rPr>
              <w:t>b bis)</w:t>
            </w:r>
            <w:r w:rsidRPr="004457CB">
              <w:rPr>
                <w:b/>
                <w:i/>
              </w:rPr>
              <w:tab/>
              <w:t>in tutti gli aspetti dell'amministrazione e della gestione del TLD .eu, garantisce qualità elevata, trasparenza, prevedibilità, affidabilità, accessibilità, efficienza, non discriminazione, condizioni di concorrenza leale e l'applicazione di misure di tutela dei consumatori per un nome di dominio TLD .eu;</w:t>
            </w:r>
          </w:p>
        </w:tc>
      </w:tr>
    </w:tbl>
    <w:p w:rsidR="00146421" w:rsidRPr="004457CB" w:rsidRDefault="00146421" w:rsidP="00146421">
      <w:pPr>
        <w:rPr>
          <w:noProof/>
        </w:rPr>
      </w:pPr>
      <w:r w:rsidRPr="004457CB">
        <w:rPr>
          <w:rStyle w:val="HideTWBExt"/>
          <w:color w:val="auto"/>
          <w:lang w:val="en-GB"/>
        </w:rPr>
        <w:t>&lt;/Amend&gt;</w:t>
      </w:r>
    </w:p>
    <w:p w:rsidR="00146421" w:rsidRPr="004457CB" w:rsidRDefault="00146421" w:rsidP="00146421">
      <w:pPr>
        <w:pStyle w:val="AMNumberTabs"/>
        <w:keepNext/>
        <w:rPr>
          <w:noProof/>
        </w:rPr>
      </w:pPr>
      <w:r w:rsidRPr="004457CB">
        <w:rPr>
          <w:rStyle w:val="HideTWBExt"/>
          <w:b w:val="0"/>
          <w:color w:val="auto"/>
          <w:lang w:val="en-GB"/>
        </w:rPr>
        <w:t>&lt;Amend&gt;</w:t>
      </w:r>
      <w:r w:rsidRPr="004457CB">
        <w:t>Emendamento</w:t>
      </w:r>
      <w:r w:rsidRPr="004457CB">
        <w:tab/>
      </w:r>
      <w:r w:rsidRPr="004457CB">
        <w:tab/>
      </w:r>
      <w:r w:rsidRPr="004457CB">
        <w:rPr>
          <w:rStyle w:val="HideTWBExt"/>
          <w:b w:val="0"/>
          <w:color w:val="auto"/>
          <w:lang w:val="en-GB"/>
        </w:rPr>
        <w:t>&lt;NumAm&gt;</w:t>
      </w:r>
      <w:r w:rsidRPr="004457CB">
        <w:t>27</w:t>
      </w:r>
      <w:r w:rsidRPr="004457CB">
        <w:rPr>
          <w:rStyle w:val="HideTWBExt"/>
          <w:b w:val="0"/>
          <w:color w:val="auto"/>
          <w:lang w:val="en-GB"/>
        </w:rPr>
        <w:t>&lt;/NumAm&gt;</w:t>
      </w:r>
    </w:p>
    <w:p w:rsidR="00146421" w:rsidRPr="004457CB" w:rsidRDefault="00146421" w:rsidP="00146421">
      <w:pPr>
        <w:rPr>
          <w:noProof/>
          <w:lang w:val="en-GB"/>
        </w:rPr>
      </w:pPr>
    </w:p>
    <w:p w:rsidR="00146421" w:rsidRPr="004457CB" w:rsidRDefault="00146421" w:rsidP="00146421">
      <w:pPr>
        <w:pStyle w:val="NormalBold"/>
        <w:keepNext/>
        <w:rPr>
          <w:noProof/>
        </w:rPr>
      </w:pPr>
      <w:r w:rsidRPr="004457CB">
        <w:rPr>
          <w:rStyle w:val="HideTWBExt"/>
          <w:b w:val="0"/>
          <w:color w:val="auto"/>
          <w:lang w:val="en-GB"/>
        </w:rPr>
        <w:t>&lt;DocAmend&gt;</w:t>
      </w:r>
      <w:r w:rsidRPr="004457CB">
        <w:t>Proposta di regolamento</w:t>
      </w:r>
      <w:r w:rsidRPr="004457CB">
        <w:rPr>
          <w:rStyle w:val="HideTWBExt"/>
          <w:b w:val="0"/>
          <w:color w:val="auto"/>
          <w:lang w:val="en-GB"/>
        </w:rPr>
        <w:t>&lt;/DocAmend&gt;</w:t>
      </w:r>
    </w:p>
    <w:p w:rsidR="00146421" w:rsidRPr="004457CB" w:rsidRDefault="00146421" w:rsidP="00146421">
      <w:pPr>
        <w:pStyle w:val="NormalBold"/>
        <w:rPr>
          <w:noProof/>
        </w:rPr>
      </w:pPr>
      <w:r w:rsidRPr="004457CB">
        <w:rPr>
          <w:rStyle w:val="HideTWBExt"/>
          <w:b w:val="0"/>
          <w:color w:val="auto"/>
          <w:lang w:val="fr-FR"/>
        </w:rPr>
        <w:t>&lt;Article&gt;</w:t>
      </w:r>
      <w:r w:rsidRPr="004457CB">
        <w:t>Articolo 10 – comma 1 – lettera i</w:t>
      </w:r>
      <w:r w:rsidRPr="004457CB">
        <w:rPr>
          <w:rStyle w:val="HideTWBExt"/>
          <w:b w:val="0"/>
          <w:color w:val="auto"/>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lang w:val="fr-FR"/>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t>i)</w:t>
            </w:r>
            <w:r w:rsidRPr="004457CB">
              <w:tab/>
              <w:t>promuove gli obiettivi dell'Unione in materia di governance di internet;</w:t>
            </w:r>
          </w:p>
        </w:tc>
        <w:tc>
          <w:tcPr>
            <w:tcW w:w="4876" w:type="dxa"/>
            <w:hideMark/>
          </w:tcPr>
          <w:p w:rsidR="00146421" w:rsidRPr="004457CB" w:rsidRDefault="00146421" w:rsidP="00084A45">
            <w:pPr>
              <w:pStyle w:val="Normal6"/>
              <w:rPr>
                <w:noProof/>
                <w:szCs w:val="24"/>
              </w:rPr>
            </w:pPr>
            <w:r w:rsidRPr="004457CB">
              <w:t>i)</w:t>
            </w:r>
            <w:r w:rsidRPr="004457CB">
              <w:tab/>
              <w:t>promuove gli obiettivi dell'Unione in materia di governance di internet</w:t>
            </w:r>
            <w:r w:rsidRPr="004457CB">
              <w:rPr>
                <w:b/>
                <w:i/>
              </w:rPr>
              <w:t>, tra l'altro partecipando a forum internazionali</w:t>
            </w:r>
            <w:r w:rsidRPr="004457CB">
              <w:t>;</w:t>
            </w:r>
          </w:p>
        </w:tc>
      </w:tr>
    </w:tbl>
    <w:p w:rsidR="00146421" w:rsidRPr="004457CB" w:rsidRDefault="00146421" w:rsidP="00146421">
      <w:pPr>
        <w:rPr>
          <w:noProof/>
        </w:rPr>
      </w:pPr>
      <w:r w:rsidRPr="004457CB">
        <w:rPr>
          <w:rStyle w:val="HideTWBExt"/>
          <w:color w:val="auto"/>
          <w:lang w:val="en-GB"/>
        </w:rPr>
        <w:t>&lt;/Amend&gt;</w:t>
      </w:r>
    </w:p>
    <w:p w:rsidR="00146421" w:rsidRPr="004457CB" w:rsidRDefault="00146421" w:rsidP="00146421">
      <w:pPr>
        <w:pStyle w:val="AMNumberTabs"/>
        <w:keepNext/>
        <w:rPr>
          <w:noProof/>
        </w:rPr>
      </w:pPr>
      <w:r w:rsidRPr="004457CB">
        <w:rPr>
          <w:rStyle w:val="HideTWBExt"/>
          <w:b w:val="0"/>
          <w:color w:val="auto"/>
          <w:lang w:val="en-GB"/>
        </w:rPr>
        <w:t>&lt;Amend&gt;</w:t>
      </w:r>
      <w:r w:rsidRPr="004457CB">
        <w:t>Emendamento</w:t>
      </w:r>
      <w:r w:rsidRPr="004457CB">
        <w:tab/>
      </w:r>
      <w:r w:rsidRPr="004457CB">
        <w:tab/>
      </w:r>
      <w:r w:rsidRPr="004457CB">
        <w:rPr>
          <w:rStyle w:val="HideTWBExt"/>
          <w:b w:val="0"/>
          <w:color w:val="auto"/>
          <w:lang w:val="en-GB"/>
        </w:rPr>
        <w:t>&lt;NumAm&gt;</w:t>
      </w:r>
      <w:r w:rsidRPr="004457CB">
        <w:t>28</w:t>
      </w:r>
      <w:r w:rsidRPr="004457CB">
        <w:rPr>
          <w:rStyle w:val="HideTWBExt"/>
          <w:b w:val="0"/>
          <w:color w:val="auto"/>
          <w:lang w:val="en-GB"/>
        </w:rPr>
        <w:t>&lt;/NumAm&gt;</w:t>
      </w:r>
    </w:p>
    <w:p w:rsidR="00146421" w:rsidRPr="004457CB" w:rsidRDefault="00146421" w:rsidP="00146421">
      <w:pPr>
        <w:rPr>
          <w:noProof/>
          <w:lang w:val="en-GB"/>
        </w:rPr>
      </w:pPr>
    </w:p>
    <w:p w:rsidR="00146421" w:rsidRPr="004457CB" w:rsidRDefault="00146421" w:rsidP="00146421">
      <w:pPr>
        <w:pStyle w:val="NormalBold"/>
        <w:keepNext/>
        <w:rPr>
          <w:noProof/>
        </w:rPr>
      </w:pPr>
      <w:r w:rsidRPr="004457CB">
        <w:rPr>
          <w:rStyle w:val="HideTWBExt"/>
          <w:b w:val="0"/>
          <w:color w:val="auto"/>
          <w:lang w:val="en-GB"/>
        </w:rPr>
        <w:t>&lt;DocAmend&gt;</w:t>
      </w:r>
      <w:r w:rsidRPr="004457CB">
        <w:t>Proposta di regolamento</w:t>
      </w:r>
      <w:r w:rsidRPr="004457CB">
        <w:rPr>
          <w:rStyle w:val="HideTWBExt"/>
          <w:b w:val="0"/>
          <w:color w:val="auto"/>
          <w:lang w:val="en-GB"/>
        </w:rPr>
        <w:t>&lt;/DocAmend&gt;</w:t>
      </w:r>
    </w:p>
    <w:p w:rsidR="00146421" w:rsidRPr="004457CB" w:rsidRDefault="00146421" w:rsidP="00146421">
      <w:pPr>
        <w:pStyle w:val="NormalBold"/>
        <w:rPr>
          <w:noProof/>
        </w:rPr>
      </w:pPr>
      <w:r w:rsidRPr="004457CB">
        <w:rPr>
          <w:rStyle w:val="HideTWBExt"/>
          <w:b w:val="0"/>
          <w:color w:val="auto"/>
          <w:lang w:val="fr-FR"/>
        </w:rPr>
        <w:t>&lt;Article&gt;</w:t>
      </w:r>
      <w:r w:rsidRPr="004457CB">
        <w:t>Articolo 10 – comma 1 – lettera k</w:t>
      </w:r>
      <w:r w:rsidRPr="004457CB">
        <w:rPr>
          <w:rStyle w:val="HideTWBExt"/>
          <w:b w:val="0"/>
          <w:color w:val="auto"/>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lang w:val="fr-FR"/>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t>k)</w:t>
            </w:r>
            <w:r w:rsidRPr="004457CB">
              <w:tab/>
              <w:t>si sottopone a sue spese a una verifica da parte di un organismo indipendente almeno ogni due anni, al fine di certificare la conformità alle disposizioni del presente regolamento, e ne invia i risultati alla Commissione;</w:t>
            </w:r>
          </w:p>
        </w:tc>
        <w:tc>
          <w:tcPr>
            <w:tcW w:w="4876" w:type="dxa"/>
            <w:hideMark/>
          </w:tcPr>
          <w:p w:rsidR="00146421" w:rsidRPr="004457CB" w:rsidRDefault="00146421" w:rsidP="00084A45">
            <w:pPr>
              <w:pStyle w:val="Normal6"/>
              <w:rPr>
                <w:noProof/>
                <w:szCs w:val="24"/>
              </w:rPr>
            </w:pPr>
            <w:r w:rsidRPr="004457CB">
              <w:rPr>
                <w:i/>
              </w:rPr>
              <w:t>(Non concerne la versione italiana)</w:t>
            </w:r>
            <w:r w:rsidRPr="004457CB">
              <w:tab/>
              <w:t xml:space="preserve"> </w:t>
            </w:r>
          </w:p>
        </w:tc>
      </w:tr>
    </w:tbl>
    <w:p w:rsidR="00146421" w:rsidRPr="004457CB" w:rsidRDefault="00146421" w:rsidP="00146421">
      <w:pPr>
        <w:rPr>
          <w:noProof/>
        </w:rPr>
      </w:pPr>
      <w:r w:rsidRPr="004457CB">
        <w:rPr>
          <w:rStyle w:val="HideTWBExt"/>
          <w:color w:val="auto"/>
          <w:lang w:val="en-GB"/>
        </w:rPr>
        <w:t>&lt;/Amend&gt;</w:t>
      </w:r>
    </w:p>
    <w:p w:rsidR="00146421" w:rsidRPr="004457CB" w:rsidRDefault="00146421" w:rsidP="00146421">
      <w:pPr>
        <w:pStyle w:val="AMNumberTabs"/>
        <w:keepNext/>
        <w:rPr>
          <w:noProof/>
        </w:rPr>
      </w:pPr>
      <w:r w:rsidRPr="004457CB">
        <w:rPr>
          <w:rStyle w:val="HideTWBExt"/>
          <w:b w:val="0"/>
          <w:color w:val="auto"/>
          <w:lang w:val="en-GB"/>
        </w:rPr>
        <w:t>&lt;Amend&gt;</w:t>
      </w:r>
      <w:r w:rsidRPr="004457CB">
        <w:t>Emendamento</w:t>
      </w:r>
      <w:r w:rsidRPr="004457CB">
        <w:tab/>
      </w:r>
      <w:r w:rsidRPr="004457CB">
        <w:tab/>
      </w:r>
      <w:r w:rsidRPr="004457CB">
        <w:rPr>
          <w:rStyle w:val="HideTWBExt"/>
          <w:b w:val="0"/>
          <w:color w:val="auto"/>
          <w:lang w:val="en-GB"/>
        </w:rPr>
        <w:t>&lt;NumAm&gt;</w:t>
      </w:r>
      <w:r w:rsidRPr="004457CB">
        <w:t>29</w:t>
      </w:r>
      <w:r w:rsidRPr="004457CB">
        <w:rPr>
          <w:rStyle w:val="HideTWBExt"/>
          <w:b w:val="0"/>
          <w:color w:val="auto"/>
          <w:lang w:val="en-GB"/>
        </w:rPr>
        <w:t>&lt;/NumAm&gt;</w:t>
      </w:r>
    </w:p>
    <w:p w:rsidR="00146421" w:rsidRPr="004457CB" w:rsidRDefault="00146421" w:rsidP="00146421">
      <w:pPr>
        <w:rPr>
          <w:noProof/>
          <w:lang w:val="en-GB"/>
        </w:rPr>
      </w:pPr>
    </w:p>
    <w:p w:rsidR="00146421" w:rsidRPr="004457CB" w:rsidRDefault="00146421" w:rsidP="00146421">
      <w:pPr>
        <w:pStyle w:val="NormalBold"/>
        <w:keepNext/>
        <w:rPr>
          <w:noProof/>
        </w:rPr>
      </w:pPr>
      <w:r w:rsidRPr="004457CB">
        <w:rPr>
          <w:rStyle w:val="HideTWBExt"/>
          <w:b w:val="0"/>
          <w:color w:val="auto"/>
          <w:lang w:val="en-GB"/>
        </w:rPr>
        <w:lastRenderedPageBreak/>
        <w:t>&lt;DocAmend&gt;</w:t>
      </w:r>
      <w:r w:rsidRPr="004457CB">
        <w:t>Proposta di regolamento</w:t>
      </w:r>
      <w:r w:rsidRPr="004457CB">
        <w:rPr>
          <w:rStyle w:val="HideTWBExt"/>
          <w:b w:val="0"/>
          <w:color w:val="auto"/>
          <w:lang w:val="en-GB"/>
        </w:rPr>
        <w:t>&lt;/DocAmend&gt;</w:t>
      </w:r>
    </w:p>
    <w:p w:rsidR="00146421" w:rsidRPr="004457CB" w:rsidRDefault="00146421" w:rsidP="00146421">
      <w:pPr>
        <w:pStyle w:val="NormalBold"/>
        <w:rPr>
          <w:noProof/>
        </w:rPr>
      </w:pPr>
      <w:r w:rsidRPr="004457CB">
        <w:rPr>
          <w:rStyle w:val="HideTWBExt"/>
          <w:b w:val="0"/>
          <w:color w:val="auto"/>
          <w:lang w:val="fr-FR"/>
        </w:rPr>
        <w:t>&lt;Article&gt;</w:t>
      </w:r>
      <w:r w:rsidRPr="004457CB">
        <w:t>Articolo 11 – comma 1 – parte introduttiva</w:t>
      </w:r>
      <w:r w:rsidRPr="004457CB">
        <w:rPr>
          <w:rStyle w:val="HideTWBExt"/>
          <w:b w:val="0"/>
          <w:color w:val="auto"/>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lang w:val="fr-FR"/>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rPr>
                <w:b/>
                <w:i/>
              </w:rPr>
              <w:t>Il</w:t>
            </w:r>
            <w:r w:rsidRPr="004457CB">
              <w:t xml:space="preserve"> contratto, stipulato tra la Commissione e il registro designato in conformità all'articolo 8, paragrafo 3, contiene i principi e le procedure riguardanti il funzionamento del TLD .eu, in conformità al presente regolamento, compresi i seguenti elementi:</w:t>
            </w:r>
          </w:p>
        </w:tc>
        <w:tc>
          <w:tcPr>
            <w:tcW w:w="4876" w:type="dxa"/>
            <w:hideMark/>
          </w:tcPr>
          <w:p w:rsidR="00146421" w:rsidRPr="004457CB" w:rsidRDefault="00146421" w:rsidP="00084A45">
            <w:pPr>
              <w:pStyle w:val="Normal6"/>
              <w:rPr>
                <w:noProof/>
                <w:szCs w:val="24"/>
              </w:rPr>
            </w:pPr>
            <w:r w:rsidRPr="004457CB">
              <w:rPr>
                <w:b/>
                <w:i/>
              </w:rPr>
              <w:t>1.</w:t>
            </w:r>
            <w:r w:rsidRPr="004457CB">
              <w:t xml:space="preserve"> </w:t>
            </w:r>
            <w:r w:rsidRPr="004457CB">
              <w:tab/>
            </w:r>
            <w:r w:rsidRPr="004457CB">
              <w:rPr>
                <w:b/>
                <w:i/>
              </w:rPr>
              <w:t>Il</w:t>
            </w:r>
            <w:r w:rsidRPr="004457CB">
              <w:t xml:space="preserve"> contratto, stipulato tra la Commissione e il registro designato in conformità all'articolo 8, paragrafo 3, contiene i principi e le procedure riguardanti il funzionamento del TLD .eu, in conformità al presente regolamento, compresi i seguenti elementi:</w:t>
            </w:r>
          </w:p>
        </w:tc>
      </w:tr>
    </w:tbl>
    <w:p w:rsidR="00146421" w:rsidRPr="004457CB" w:rsidRDefault="00146421" w:rsidP="00146421">
      <w:pPr>
        <w:rPr>
          <w:noProof/>
        </w:rPr>
      </w:pPr>
      <w:r w:rsidRPr="004457CB">
        <w:rPr>
          <w:rStyle w:val="HideTWBExt"/>
          <w:color w:val="auto"/>
          <w:lang w:val="en-GB"/>
        </w:rPr>
        <w:t>&lt;/Amend&gt;</w:t>
      </w:r>
    </w:p>
    <w:p w:rsidR="00146421" w:rsidRPr="004457CB" w:rsidRDefault="00146421" w:rsidP="00146421">
      <w:pPr>
        <w:pStyle w:val="AMNumberTabs"/>
        <w:keepNext/>
        <w:rPr>
          <w:noProof/>
        </w:rPr>
      </w:pPr>
      <w:r w:rsidRPr="004457CB">
        <w:rPr>
          <w:rStyle w:val="HideTWBExt"/>
          <w:b w:val="0"/>
          <w:color w:val="auto"/>
          <w:lang w:val="en-GB"/>
        </w:rPr>
        <w:t>&lt;Amend&gt;</w:t>
      </w:r>
      <w:r w:rsidRPr="004457CB">
        <w:t>Emendamento</w:t>
      </w:r>
      <w:r w:rsidRPr="004457CB">
        <w:tab/>
      </w:r>
      <w:r w:rsidRPr="004457CB">
        <w:tab/>
      </w:r>
      <w:r w:rsidRPr="004457CB">
        <w:rPr>
          <w:rStyle w:val="HideTWBExt"/>
          <w:b w:val="0"/>
          <w:color w:val="auto"/>
          <w:lang w:val="en-GB"/>
        </w:rPr>
        <w:t>&lt;NumAm&gt;</w:t>
      </w:r>
      <w:r w:rsidRPr="004457CB">
        <w:t>30</w:t>
      </w:r>
      <w:r w:rsidRPr="004457CB">
        <w:rPr>
          <w:rStyle w:val="HideTWBExt"/>
          <w:b w:val="0"/>
          <w:color w:val="auto"/>
          <w:lang w:val="en-GB"/>
        </w:rPr>
        <w:t>&lt;/NumAm&gt;</w:t>
      </w:r>
    </w:p>
    <w:p w:rsidR="00146421" w:rsidRPr="004457CB" w:rsidRDefault="00146421" w:rsidP="00146421">
      <w:pPr>
        <w:rPr>
          <w:noProof/>
          <w:lang w:val="en-GB"/>
        </w:rPr>
      </w:pPr>
    </w:p>
    <w:p w:rsidR="00146421" w:rsidRPr="004457CB" w:rsidRDefault="00146421" w:rsidP="00146421">
      <w:pPr>
        <w:pStyle w:val="NormalBold"/>
        <w:keepNext/>
        <w:rPr>
          <w:noProof/>
        </w:rPr>
      </w:pPr>
      <w:r w:rsidRPr="004457CB">
        <w:rPr>
          <w:rStyle w:val="HideTWBExt"/>
          <w:b w:val="0"/>
          <w:color w:val="auto"/>
          <w:lang w:val="en-GB"/>
        </w:rPr>
        <w:t>&lt;DocAmend&gt;</w:t>
      </w:r>
      <w:r w:rsidRPr="004457CB">
        <w:t>Proposta di regolamento</w:t>
      </w:r>
      <w:r w:rsidRPr="004457CB">
        <w:rPr>
          <w:rStyle w:val="HideTWBExt"/>
          <w:b w:val="0"/>
          <w:color w:val="auto"/>
          <w:lang w:val="en-GB"/>
        </w:rPr>
        <w:t>&lt;/DocAmend&gt;</w:t>
      </w:r>
    </w:p>
    <w:p w:rsidR="00146421" w:rsidRPr="004457CB" w:rsidRDefault="00146421" w:rsidP="00146421">
      <w:pPr>
        <w:pStyle w:val="NormalBold"/>
        <w:rPr>
          <w:noProof/>
        </w:rPr>
      </w:pPr>
      <w:r w:rsidRPr="004457CB">
        <w:rPr>
          <w:rStyle w:val="HideTWBExt"/>
          <w:b w:val="0"/>
          <w:color w:val="auto"/>
          <w:lang w:val="fr-FR"/>
        </w:rPr>
        <w:t>&lt;Article&gt;</w:t>
      </w:r>
      <w:r w:rsidRPr="004457CB">
        <w:t>Articolo 11 – comma 1 – lettera b</w:t>
      </w:r>
      <w:r w:rsidRPr="004457CB">
        <w:rPr>
          <w:rStyle w:val="HideTWBExt"/>
          <w:b w:val="0"/>
          <w:color w:val="auto"/>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lang w:val="fr-FR"/>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t>b)</w:t>
            </w:r>
            <w:r w:rsidRPr="004457CB">
              <w:tab/>
              <w:t>i requisiti e le procedure per le richieste di registrazione</w:t>
            </w:r>
            <w:r w:rsidRPr="004457CB">
              <w:rPr>
                <w:b/>
                <w:i/>
              </w:rPr>
              <w:t xml:space="preserve"> e</w:t>
            </w:r>
            <w:r w:rsidRPr="004457CB">
              <w:t xml:space="preserve"> la </w:t>
            </w:r>
            <w:r w:rsidRPr="004457CB">
              <w:rPr>
                <w:b/>
                <w:i/>
              </w:rPr>
              <w:t>politica in materia di</w:t>
            </w:r>
            <w:r w:rsidRPr="004457CB">
              <w:t xml:space="preserve"> verifica dei </w:t>
            </w:r>
            <w:r w:rsidRPr="004457CB">
              <w:rPr>
                <w:b/>
                <w:i/>
              </w:rPr>
              <w:t>dati</w:t>
            </w:r>
            <w:r w:rsidRPr="004457CB">
              <w:t xml:space="preserve"> dei </w:t>
            </w:r>
            <w:r w:rsidRPr="004457CB">
              <w:rPr>
                <w:b/>
                <w:i/>
              </w:rPr>
              <w:t>registranti</w:t>
            </w:r>
            <w:r w:rsidRPr="004457CB">
              <w:t xml:space="preserve"> e delle registrazioni speculative dei nomi di dominio;</w:t>
            </w:r>
          </w:p>
        </w:tc>
        <w:tc>
          <w:tcPr>
            <w:tcW w:w="4876" w:type="dxa"/>
            <w:hideMark/>
          </w:tcPr>
          <w:p w:rsidR="00146421" w:rsidRPr="004457CB" w:rsidRDefault="00146421" w:rsidP="00084A45">
            <w:pPr>
              <w:pStyle w:val="Normal6"/>
              <w:rPr>
                <w:noProof/>
                <w:szCs w:val="24"/>
              </w:rPr>
            </w:pPr>
            <w:r w:rsidRPr="004457CB">
              <w:t>b)</w:t>
            </w:r>
            <w:r w:rsidRPr="004457CB">
              <w:tab/>
              <w:t>i requisiti e le procedure per le richieste di registrazione</w:t>
            </w:r>
            <w:r w:rsidRPr="004457CB">
              <w:rPr>
                <w:b/>
                <w:i/>
              </w:rPr>
              <w:t>, i sistemi per verificare che i criteri per</w:t>
            </w:r>
            <w:r w:rsidRPr="004457CB">
              <w:t xml:space="preserve"> la </w:t>
            </w:r>
            <w:r w:rsidRPr="004457CB">
              <w:rPr>
                <w:b/>
                <w:i/>
              </w:rPr>
              <w:t>registrazione siano rispettati, inclusa la</w:t>
            </w:r>
            <w:r w:rsidRPr="004457CB">
              <w:t xml:space="preserve"> verifica </w:t>
            </w:r>
            <w:r w:rsidRPr="004457CB">
              <w:rPr>
                <w:b/>
                <w:i/>
              </w:rPr>
              <w:t xml:space="preserve">dell'identità </w:t>
            </w:r>
            <w:r w:rsidRPr="004457CB">
              <w:t xml:space="preserve">dei </w:t>
            </w:r>
            <w:r w:rsidRPr="004457CB">
              <w:rPr>
                <w:b/>
                <w:i/>
              </w:rPr>
              <w:t>registranti,</w:t>
            </w:r>
            <w:r w:rsidRPr="004457CB">
              <w:t xml:space="preserve"> dei </w:t>
            </w:r>
            <w:r w:rsidRPr="004457CB">
              <w:rPr>
                <w:b/>
                <w:i/>
              </w:rPr>
              <w:t>dati</w:t>
            </w:r>
            <w:r w:rsidRPr="004457CB">
              <w:t xml:space="preserve"> e delle registrazioni speculative dei nomi di dominio;</w:t>
            </w:r>
          </w:p>
        </w:tc>
      </w:tr>
    </w:tbl>
    <w:p w:rsidR="00146421" w:rsidRPr="004457CB" w:rsidRDefault="00146421" w:rsidP="00146421">
      <w:pPr>
        <w:rPr>
          <w:noProof/>
        </w:rPr>
      </w:pPr>
      <w:r w:rsidRPr="004457CB">
        <w:rPr>
          <w:rStyle w:val="HideTWBExt"/>
          <w:color w:val="auto"/>
          <w:lang w:val="en-GB"/>
        </w:rPr>
        <w:t>&lt;/Amend&gt;</w:t>
      </w:r>
    </w:p>
    <w:p w:rsidR="00146421" w:rsidRPr="004457CB" w:rsidRDefault="00146421" w:rsidP="00146421">
      <w:pPr>
        <w:pStyle w:val="AMNumberTabs"/>
        <w:keepNext/>
        <w:rPr>
          <w:noProof/>
        </w:rPr>
      </w:pPr>
      <w:r w:rsidRPr="004457CB">
        <w:rPr>
          <w:rStyle w:val="HideTWBExt"/>
          <w:b w:val="0"/>
          <w:color w:val="auto"/>
        </w:rPr>
        <w:t>&lt;Amend&gt;</w:t>
      </w:r>
      <w:r w:rsidRPr="004457CB">
        <w:t>Emendamento</w:t>
      </w:r>
      <w:r w:rsidRPr="004457CB">
        <w:tab/>
      </w:r>
      <w:r w:rsidRPr="004457CB">
        <w:tab/>
      </w:r>
      <w:r w:rsidRPr="004457CB">
        <w:rPr>
          <w:rStyle w:val="HideTWBExt"/>
          <w:b w:val="0"/>
          <w:color w:val="auto"/>
        </w:rPr>
        <w:t>&lt;NumAm&gt;</w:t>
      </w:r>
      <w:r w:rsidRPr="004457CB">
        <w:t>31</w:t>
      </w:r>
      <w:r w:rsidRPr="004457CB">
        <w:rPr>
          <w:rStyle w:val="HideTWBExt"/>
          <w:b w:val="0"/>
          <w:color w:val="auto"/>
        </w:rPr>
        <w:t>&lt;/NumAm&gt;</w:t>
      </w:r>
    </w:p>
    <w:p w:rsidR="00146421" w:rsidRPr="004457CB" w:rsidRDefault="00146421" w:rsidP="00146421">
      <w:pPr>
        <w:rPr>
          <w:noProof/>
        </w:rPr>
      </w:pPr>
    </w:p>
    <w:p w:rsidR="00146421" w:rsidRPr="004457CB" w:rsidRDefault="00146421" w:rsidP="00146421">
      <w:pPr>
        <w:pStyle w:val="NormalBold"/>
        <w:keepNext/>
        <w:rPr>
          <w:noProof/>
        </w:rPr>
      </w:pPr>
      <w:r w:rsidRPr="004457CB">
        <w:rPr>
          <w:rStyle w:val="HideTWBExt"/>
          <w:b w:val="0"/>
          <w:color w:val="auto"/>
        </w:rPr>
        <w:t>&lt;DocAmend&gt;</w:t>
      </w:r>
      <w:r w:rsidRPr="004457CB">
        <w:t>Proposta di regolamento</w:t>
      </w:r>
      <w:r w:rsidRPr="004457CB">
        <w:rPr>
          <w:rStyle w:val="HideTWBExt"/>
          <w:b w:val="0"/>
          <w:color w:val="auto"/>
        </w:rPr>
        <w:t>&lt;/DocAmend&gt;</w:t>
      </w:r>
    </w:p>
    <w:p w:rsidR="00146421" w:rsidRPr="004457CB" w:rsidRDefault="00146421" w:rsidP="00146421">
      <w:pPr>
        <w:pStyle w:val="NormalBold"/>
        <w:rPr>
          <w:noProof/>
        </w:rPr>
      </w:pPr>
      <w:r w:rsidRPr="004457CB">
        <w:rPr>
          <w:rStyle w:val="HideTWBExt"/>
          <w:b w:val="0"/>
          <w:color w:val="auto"/>
        </w:rPr>
        <w:t>&lt;Article&gt;</w:t>
      </w:r>
      <w:r w:rsidRPr="004457CB">
        <w:t>Articolo 11 – comma 1 – lettera f</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t>f)</w:t>
            </w:r>
            <w:r w:rsidRPr="004457CB">
              <w:tab/>
              <w:t>le misure tecniche e organizzative volte a consentire alle autorità competenti di accedere ai dati nel registro ai fini della prevenzione, dell'accertamento, dell'indagine e del perseguimento di reati, come stabilito dal diritto nazionale o dell'UE;</w:t>
            </w:r>
          </w:p>
        </w:tc>
        <w:tc>
          <w:tcPr>
            <w:tcW w:w="4876" w:type="dxa"/>
            <w:hideMark/>
          </w:tcPr>
          <w:p w:rsidR="00146421" w:rsidRPr="004457CB" w:rsidRDefault="00146421" w:rsidP="00084A45">
            <w:pPr>
              <w:pStyle w:val="Normal6"/>
              <w:rPr>
                <w:noProof/>
                <w:szCs w:val="24"/>
              </w:rPr>
            </w:pPr>
            <w:r w:rsidRPr="004457CB">
              <w:t>f)</w:t>
            </w:r>
            <w:r w:rsidRPr="004457CB">
              <w:tab/>
              <w:t>le misure tecniche e organizzative volte a consentire alle autorità competenti di accedere ai dati nel registro ai fini della prevenzione, dell'accertamento, dell'indagine e del perseguimento di reati, come stabilito dal diritto nazionale o dell'UE</w:t>
            </w:r>
            <w:r w:rsidRPr="004457CB">
              <w:rPr>
                <w:b/>
                <w:i/>
              </w:rPr>
              <w:t xml:space="preserve"> secondo i controlli e gli equilibri adeguati</w:t>
            </w:r>
            <w:r w:rsidRPr="004457CB">
              <w:t>;</w:t>
            </w:r>
          </w:p>
        </w:tc>
      </w:tr>
    </w:tbl>
    <w:p w:rsidR="00146421" w:rsidRPr="004457CB" w:rsidRDefault="00146421" w:rsidP="00146421">
      <w:pPr>
        <w:rPr>
          <w:noProof/>
        </w:rPr>
      </w:pPr>
      <w:r w:rsidRPr="004457CB">
        <w:rPr>
          <w:rStyle w:val="HideTWBExt"/>
          <w:color w:val="auto"/>
          <w:lang w:val="en-GB"/>
        </w:rPr>
        <w:t>&lt;/Amend&gt;</w:t>
      </w:r>
    </w:p>
    <w:p w:rsidR="00146421" w:rsidRPr="004457CB" w:rsidRDefault="00146421" w:rsidP="00146421">
      <w:pPr>
        <w:pStyle w:val="AMNumberTabs"/>
        <w:keepNext/>
        <w:rPr>
          <w:noProof/>
        </w:rPr>
      </w:pPr>
      <w:r w:rsidRPr="004457CB">
        <w:rPr>
          <w:rStyle w:val="HideTWBExt"/>
          <w:b w:val="0"/>
          <w:color w:val="auto"/>
        </w:rPr>
        <w:lastRenderedPageBreak/>
        <w:t>&lt;Amend&gt;</w:t>
      </w:r>
      <w:r w:rsidRPr="004457CB">
        <w:t>Emendamento</w:t>
      </w:r>
      <w:r w:rsidRPr="004457CB">
        <w:tab/>
      </w:r>
      <w:r w:rsidRPr="004457CB">
        <w:tab/>
      </w:r>
      <w:r w:rsidRPr="004457CB">
        <w:rPr>
          <w:rStyle w:val="HideTWBExt"/>
          <w:b w:val="0"/>
          <w:color w:val="auto"/>
        </w:rPr>
        <w:t>&lt;NumAm&gt;</w:t>
      </w:r>
      <w:r w:rsidRPr="004457CB">
        <w:t>32</w:t>
      </w:r>
      <w:r w:rsidRPr="004457CB">
        <w:rPr>
          <w:rStyle w:val="HideTWBExt"/>
          <w:b w:val="0"/>
          <w:color w:val="auto"/>
        </w:rPr>
        <w:t>&lt;/NumAm&gt;</w:t>
      </w:r>
    </w:p>
    <w:p w:rsidR="00146421" w:rsidRPr="004457CB" w:rsidRDefault="00146421" w:rsidP="00146421">
      <w:pPr>
        <w:rPr>
          <w:noProof/>
        </w:rPr>
      </w:pPr>
    </w:p>
    <w:p w:rsidR="00146421" w:rsidRPr="004457CB" w:rsidRDefault="00146421" w:rsidP="00146421">
      <w:pPr>
        <w:pStyle w:val="NormalBold"/>
        <w:keepNext/>
        <w:rPr>
          <w:noProof/>
        </w:rPr>
      </w:pPr>
      <w:r w:rsidRPr="004457CB">
        <w:rPr>
          <w:rStyle w:val="HideTWBExt"/>
          <w:b w:val="0"/>
          <w:color w:val="auto"/>
        </w:rPr>
        <w:t>&lt;DocAmend&gt;</w:t>
      </w:r>
      <w:r w:rsidRPr="004457CB">
        <w:t>Proposta di regolamento</w:t>
      </w:r>
      <w:r w:rsidRPr="004457CB">
        <w:rPr>
          <w:rStyle w:val="HideTWBExt"/>
          <w:b w:val="0"/>
          <w:color w:val="auto"/>
        </w:rPr>
        <w:t>&lt;/DocAmend&gt;</w:t>
      </w:r>
    </w:p>
    <w:p w:rsidR="00146421" w:rsidRPr="004457CB" w:rsidRDefault="00146421" w:rsidP="00146421">
      <w:pPr>
        <w:pStyle w:val="NormalBold"/>
        <w:rPr>
          <w:noProof/>
        </w:rPr>
      </w:pPr>
      <w:r w:rsidRPr="004457CB">
        <w:rPr>
          <w:rStyle w:val="HideTWBExt"/>
          <w:b w:val="0"/>
          <w:color w:val="auto"/>
        </w:rPr>
        <w:t>&lt;Article&gt;</w:t>
      </w:r>
      <w:r w:rsidRPr="004457CB">
        <w:t>Articolo 11 – paragrafo 1 bis (nuovo)</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tcPr>
          <w:p w:rsidR="00146421" w:rsidRPr="004457CB" w:rsidRDefault="00146421" w:rsidP="00084A45">
            <w:pPr>
              <w:pStyle w:val="Normal6"/>
              <w:rPr>
                <w:noProof/>
              </w:rPr>
            </w:pPr>
          </w:p>
        </w:tc>
        <w:tc>
          <w:tcPr>
            <w:tcW w:w="4876" w:type="dxa"/>
            <w:hideMark/>
          </w:tcPr>
          <w:p w:rsidR="00146421" w:rsidRPr="004457CB" w:rsidRDefault="00146421" w:rsidP="00084A45">
            <w:pPr>
              <w:pStyle w:val="Normal6"/>
              <w:rPr>
                <w:noProof/>
                <w:szCs w:val="24"/>
              </w:rPr>
            </w:pPr>
            <w:r w:rsidRPr="004457CB">
              <w:rPr>
                <w:b/>
                <w:i/>
              </w:rPr>
              <w:t xml:space="preserve">1 bis. </w:t>
            </w:r>
            <w:r w:rsidRPr="004457CB">
              <w:rPr>
                <w:b/>
                <w:i/>
              </w:rPr>
              <w:tab/>
              <w:t>Tuttavia, le misure di cui al paragrafo 1, lettera f), previste dal diritto nazionale, non sono applicate se sono pertinenti ai fini di un atto di esecuzione o una decisione del Consiglio adottata a norma dell'articolo 5 del regolamento .../... [sulla tutela del bilancio dell'Unione in caso di carenze generalizzate riguardanti lo Stato di diritto negli Stati membri, 2018/0136 (COD)]. Tale misura può essere utilizzata sulla base di una decisione definitiva di un tribunale o altra azione amministrativa definitiva.</w:t>
            </w:r>
          </w:p>
        </w:tc>
      </w:tr>
    </w:tbl>
    <w:p w:rsidR="00146421" w:rsidRPr="004457CB" w:rsidRDefault="00146421" w:rsidP="00146421">
      <w:pPr>
        <w:rPr>
          <w:noProof/>
        </w:rPr>
      </w:pPr>
      <w:r w:rsidRPr="004457CB">
        <w:rPr>
          <w:rStyle w:val="HideTWBExt"/>
          <w:color w:val="auto"/>
          <w:lang w:val="en-GB"/>
        </w:rPr>
        <w:t>&lt;/Amend&gt;</w:t>
      </w:r>
    </w:p>
    <w:p w:rsidR="00146421" w:rsidRPr="004457CB" w:rsidRDefault="00146421" w:rsidP="00146421">
      <w:pPr>
        <w:pStyle w:val="AMNumberTabs"/>
        <w:keepNext/>
        <w:rPr>
          <w:noProof/>
        </w:rPr>
      </w:pPr>
      <w:r w:rsidRPr="004457CB">
        <w:rPr>
          <w:rStyle w:val="HideTWBExt"/>
          <w:b w:val="0"/>
          <w:color w:val="auto"/>
          <w:lang w:val="en-GB"/>
        </w:rPr>
        <w:t>&lt;Amend&gt;</w:t>
      </w:r>
      <w:r w:rsidRPr="004457CB">
        <w:t>Emendamento</w:t>
      </w:r>
      <w:r w:rsidRPr="004457CB">
        <w:tab/>
      </w:r>
      <w:r w:rsidRPr="004457CB">
        <w:tab/>
      </w:r>
      <w:r w:rsidRPr="004457CB">
        <w:rPr>
          <w:rStyle w:val="HideTWBExt"/>
          <w:b w:val="0"/>
          <w:color w:val="auto"/>
          <w:lang w:val="en-GB"/>
        </w:rPr>
        <w:t>&lt;NumAm&gt;</w:t>
      </w:r>
      <w:r w:rsidRPr="004457CB">
        <w:t>33</w:t>
      </w:r>
      <w:r w:rsidRPr="004457CB">
        <w:rPr>
          <w:rStyle w:val="HideTWBExt"/>
          <w:b w:val="0"/>
          <w:color w:val="auto"/>
          <w:lang w:val="en-GB"/>
        </w:rPr>
        <w:t>&lt;/NumAm&gt;</w:t>
      </w:r>
    </w:p>
    <w:p w:rsidR="00146421" w:rsidRPr="004457CB" w:rsidRDefault="00146421" w:rsidP="00146421">
      <w:pPr>
        <w:rPr>
          <w:noProof/>
          <w:lang w:val="en-GB"/>
        </w:rPr>
      </w:pPr>
    </w:p>
    <w:p w:rsidR="00146421" w:rsidRPr="004457CB" w:rsidRDefault="00146421" w:rsidP="00146421">
      <w:pPr>
        <w:pStyle w:val="NormalBold"/>
        <w:keepNext/>
        <w:rPr>
          <w:noProof/>
        </w:rPr>
      </w:pPr>
      <w:r w:rsidRPr="004457CB">
        <w:rPr>
          <w:rStyle w:val="HideTWBExt"/>
          <w:b w:val="0"/>
          <w:color w:val="auto"/>
          <w:lang w:val="en-GB"/>
        </w:rPr>
        <w:t>&lt;DocAmend&gt;</w:t>
      </w:r>
      <w:r w:rsidRPr="004457CB">
        <w:t>Proposta di regolamento</w:t>
      </w:r>
      <w:r w:rsidRPr="004457CB">
        <w:rPr>
          <w:rStyle w:val="HideTWBExt"/>
          <w:b w:val="0"/>
          <w:color w:val="auto"/>
          <w:lang w:val="en-GB"/>
        </w:rPr>
        <w:t>&lt;/DocAmend&gt;</w:t>
      </w:r>
    </w:p>
    <w:p w:rsidR="00146421" w:rsidRPr="004457CB" w:rsidRDefault="00146421" w:rsidP="00146421">
      <w:pPr>
        <w:pStyle w:val="NormalBold"/>
        <w:rPr>
          <w:noProof/>
        </w:rPr>
      </w:pPr>
      <w:r w:rsidRPr="004457CB">
        <w:rPr>
          <w:rStyle w:val="HideTWBExt"/>
          <w:b w:val="0"/>
          <w:color w:val="auto"/>
        </w:rPr>
        <w:t>&lt;Article&gt;</w:t>
      </w:r>
      <w:r w:rsidRPr="004457CB">
        <w:t>Articolo 12 – paragrafo 1</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t>1.</w:t>
            </w:r>
            <w:r w:rsidRPr="004457CB">
              <w:tab/>
              <w:t>Il registro istituisce e gestisce un database WHOIS al fine di fornire informazioni di registrazione precise e aggiornate circa i nomi di dominio sotto il TLD .eu.</w:t>
            </w:r>
          </w:p>
        </w:tc>
        <w:tc>
          <w:tcPr>
            <w:tcW w:w="4876" w:type="dxa"/>
            <w:hideMark/>
          </w:tcPr>
          <w:p w:rsidR="00146421" w:rsidRPr="004457CB" w:rsidRDefault="00146421" w:rsidP="00084A45">
            <w:pPr>
              <w:pStyle w:val="Normal6"/>
              <w:rPr>
                <w:noProof/>
                <w:szCs w:val="24"/>
              </w:rPr>
            </w:pPr>
            <w:r w:rsidRPr="004457CB">
              <w:t>1.</w:t>
            </w:r>
            <w:r w:rsidRPr="004457CB">
              <w:tab/>
              <w:t>Il registro istituisce e gestisce</w:t>
            </w:r>
            <w:r w:rsidRPr="004457CB">
              <w:rPr>
                <w:b/>
                <w:i/>
              </w:rPr>
              <w:t>, con dovuta diligenza,</w:t>
            </w:r>
            <w:r w:rsidRPr="004457CB">
              <w:t xml:space="preserve"> un database WHOIS al fine di fornire informazioni di registrazione precise e aggiornate circa i nomi di dominio sotto il TLD .eu.</w:t>
            </w:r>
          </w:p>
        </w:tc>
      </w:tr>
    </w:tbl>
    <w:p w:rsidR="00146421" w:rsidRPr="004457CB" w:rsidRDefault="00146421" w:rsidP="00146421">
      <w:pPr>
        <w:rPr>
          <w:noProof/>
        </w:rPr>
      </w:pPr>
      <w:r w:rsidRPr="004457CB">
        <w:rPr>
          <w:rStyle w:val="HideTWBExt"/>
          <w:color w:val="auto"/>
          <w:lang w:val="en-GB"/>
        </w:rPr>
        <w:t>&lt;/Amend&gt;</w:t>
      </w:r>
    </w:p>
    <w:p w:rsidR="00146421" w:rsidRPr="004457CB" w:rsidRDefault="00146421" w:rsidP="00146421">
      <w:pPr>
        <w:pStyle w:val="AMNumberTabs"/>
        <w:keepNext/>
        <w:rPr>
          <w:noProof/>
        </w:rPr>
      </w:pPr>
      <w:r w:rsidRPr="004457CB">
        <w:rPr>
          <w:rStyle w:val="HideTWBExt"/>
          <w:b w:val="0"/>
          <w:color w:val="auto"/>
          <w:lang w:val="en-GB"/>
        </w:rPr>
        <w:t>&lt;Amend&gt;</w:t>
      </w:r>
      <w:r w:rsidRPr="004457CB">
        <w:t>Emendamento</w:t>
      </w:r>
      <w:r w:rsidRPr="004457CB">
        <w:tab/>
      </w:r>
      <w:r w:rsidRPr="004457CB">
        <w:tab/>
      </w:r>
      <w:r w:rsidRPr="004457CB">
        <w:rPr>
          <w:rStyle w:val="HideTWBExt"/>
          <w:b w:val="0"/>
          <w:color w:val="auto"/>
          <w:lang w:val="en-GB"/>
        </w:rPr>
        <w:t>&lt;NumAm&gt;</w:t>
      </w:r>
      <w:r w:rsidRPr="004457CB">
        <w:t>34</w:t>
      </w:r>
      <w:r w:rsidRPr="004457CB">
        <w:rPr>
          <w:rStyle w:val="HideTWBExt"/>
          <w:b w:val="0"/>
          <w:color w:val="auto"/>
          <w:lang w:val="en-GB"/>
        </w:rPr>
        <w:t>&lt;/NumAm&gt;</w:t>
      </w:r>
    </w:p>
    <w:p w:rsidR="00146421" w:rsidRPr="004457CB" w:rsidRDefault="00146421" w:rsidP="00146421">
      <w:pPr>
        <w:rPr>
          <w:noProof/>
          <w:lang w:val="en-GB"/>
        </w:rPr>
      </w:pPr>
    </w:p>
    <w:p w:rsidR="00146421" w:rsidRPr="004457CB" w:rsidRDefault="00146421" w:rsidP="00146421">
      <w:pPr>
        <w:pStyle w:val="NormalBold"/>
        <w:keepNext/>
        <w:rPr>
          <w:noProof/>
        </w:rPr>
      </w:pPr>
      <w:r w:rsidRPr="004457CB">
        <w:rPr>
          <w:rStyle w:val="HideTWBExt"/>
          <w:b w:val="0"/>
          <w:color w:val="auto"/>
          <w:lang w:val="en-GB"/>
        </w:rPr>
        <w:t>&lt;DocAmend&gt;</w:t>
      </w:r>
      <w:r w:rsidRPr="004457CB">
        <w:t>Proposta di regolamento</w:t>
      </w:r>
      <w:r w:rsidRPr="004457CB">
        <w:rPr>
          <w:rStyle w:val="HideTWBExt"/>
          <w:b w:val="0"/>
          <w:color w:val="auto"/>
          <w:lang w:val="en-GB"/>
        </w:rPr>
        <w:t>&lt;/DocAmend&gt;</w:t>
      </w:r>
    </w:p>
    <w:p w:rsidR="00146421" w:rsidRPr="004457CB" w:rsidRDefault="00146421" w:rsidP="00146421">
      <w:pPr>
        <w:pStyle w:val="NormalBold"/>
        <w:rPr>
          <w:noProof/>
        </w:rPr>
      </w:pPr>
      <w:r w:rsidRPr="004457CB">
        <w:rPr>
          <w:rStyle w:val="HideTWBExt"/>
          <w:b w:val="0"/>
          <w:color w:val="auto"/>
        </w:rPr>
        <w:t>&lt;Article&gt;</w:t>
      </w:r>
      <w:r w:rsidRPr="004457CB">
        <w:t>Articolo 12 – paragrafo 2</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t>2.</w:t>
            </w:r>
            <w:r w:rsidRPr="004457CB">
              <w:tab/>
              <w:t xml:space="preserve">Il database WHOIS contiene informazioni </w:t>
            </w:r>
            <w:r w:rsidRPr="004457CB">
              <w:rPr>
                <w:b/>
                <w:i/>
              </w:rPr>
              <w:t>- pertinenti e</w:t>
            </w:r>
            <w:r w:rsidRPr="004457CB">
              <w:t xml:space="preserve"> non eccessive rispetto alla finalità del database - circa i punti di contatto che amministrano i nomi di dominio sotto il TLD .eu e i titolari dei nomi di dominio. Qualora il titolare di un </w:t>
            </w:r>
            <w:r w:rsidRPr="004457CB">
              <w:lastRenderedPageBreak/>
              <w:t>nome di dominio sia una persona fisica, le informazioni da rendere accessibili al pubblico sono soggette al consenso del titolare del nome di dominio ai sensi del regolamento 2016/679.</w:t>
            </w:r>
          </w:p>
        </w:tc>
        <w:tc>
          <w:tcPr>
            <w:tcW w:w="4876" w:type="dxa"/>
            <w:hideMark/>
          </w:tcPr>
          <w:p w:rsidR="00146421" w:rsidRPr="004457CB" w:rsidRDefault="00146421" w:rsidP="00084A45">
            <w:pPr>
              <w:pStyle w:val="Normal6"/>
              <w:rPr>
                <w:noProof/>
                <w:szCs w:val="24"/>
              </w:rPr>
            </w:pPr>
            <w:r w:rsidRPr="004457CB">
              <w:lastRenderedPageBreak/>
              <w:t>2.</w:t>
            </w:r>
            <w:r w:rsidRPr="004457CB">
              <w:tab/>
              <w:t xml:space="preserve">Il database WHOIS contiene informazioni </w:t>
            </w:r>
            <w:r w:rsidRPr="004457CB">
              <w:rPr>
                <w:b/>
                <w:i/>
              </w:rPr>
              <w:t>pertinenti, in conformità del regolamento (UE) 2016/679. In particolare, le informazioni raccolte</w:t>
            </w:r>
            <w:r w:rsidRPr="004457CB">
              <w:t xml:space="preserve"> non</w:t>
            </w:r>
            <w:r w:rsidRPr="004457CB">
              <w:rPr>
                <w:b/>
                <w:i/>
              </w:rPr>
              <w:t xml:space="preserve"> sono</w:t>
            </w:r>
            <w:r w:rsidRPr="004457CB">
              <w:t xml:space="preserve"> eccessive rispetto alla finalità del database - circa i punti di contatto che </w:t>
            </w:r>
            <w:r w:rsidRPr="004457CB">
              <w:lastRenderedPageBreak/>
              <w:t>amministrano i nomi di dominio sotto il TLD .eu e i titolari dei nomi di dominio. Qualora il titolare di un nome di dominio sia una persona fisica, le informazioni da rendere accessibili al pubblico sono soggette al consenso del titolare del nome di dominio ai sensi del regolamento 2016/679.</w:t>
            </w:r>
          </w:p>
        </w:tc>
      </w:tr>
    </w:tbl>
    <w:p w:rsidR="00146421" w:rsidRPr="004457CB" w:rsidRDefault="00146421" w:rsidP="00146421">
      <w:pPr>
        <w:rPr>
          <w:noProof/>
        </w:rPr>
      </w:pPr>
      <w:r w:rsidRPr="004457CB">
        <w:rPr>
          <w:rStyle w:val="HideTWBExt"/>
          <w:color w:val="auto"/>
        </w:rPr>
        <w:lastRenderedPageBreak/>
        <w:t>&lt;/Amend&gt;</w:t>
      </w:r>
    </w:p>
    <w:p w:rsidR="00146421" w:rsidRPr="004457CB" w:rsidRDefault="00146421" w:rsidP="00146421">
      <w:pPr>
        <w:pStyle w:val="AMNumberTabs"/>
        <w:keepNext/>
        <w:rPr>
          <w:noProof/>
        </w:rPr>
      </w:pPr>
      <w:r w:rsidRPr="004457CB">
        <w:rPr>
          <w:rStyle w:val="HideTWBExt"/>
          <w:b w:val="0"/>
          <w:color w:val="auto"/>
          <w:lang w:val="en-GB"/>
        </w:rPr>
        <w:t>&lt;Amend&gt;</w:t>
      </w:r>
      <w:r w:rsidRPr="004457CB">
        <w:t>Emendamento</w:t>
      </w:r>
      <w:r w:rsidRPr="004457CB">
        <w:tab/>
      </w:r>
      <w:r w:rsidRPr="004457CB">
        <w:tab/>
      </w:r>
      <w:r w:rsidRPr="004457CB">
        <w:rPr>
          <w:rStyle w:val="HideTWBExt"/>
          <w:b w:val="0"/>
          <w:color w:val="auto"/>
          <w:lang w:val="en-GB"/>
        </w:rPr>
        <w:t>&lt;NumAm&gt;</w:t>
      </w:r>
      <w:r w:rsidRPr="004457CB">
        <w:t>35</w:t>
      </w:r>
      <w:r w:rsidRPr="004457CB">
        <w:rPr>
          <w:rStyle w:val="HideTWBExt"/>
          <w:b w:val="0"/>
          <w:color w:val="auto"/>
          <w:lang w:val="en-GB"/>
        </w:rPr>
        <w:t>&lt;/NumAm&gt;</w:t>
      </w:r>
    </w:p>
    <w:p w:rsidR="00146421" w:rsidRPr="004457CB" w:rsidRDefault="00146421" w:rsidP="00146421">
      <w:pPr>
        <w:rPr>
          <w:noProof/>
          <w:lang w:val="en-GB"/>
        </w:rPr>
      </w:pPr>
    </w:p>
    <w:p w:rsidR="00146421" w:rsidRPr="004457CB" w:rsidRDefault="00146421" w:rsidP="00146421">
      <w:pPr>
        <w:pStyle w:val="NormalBold"/>
        <w:keepNext/>
        <w:rPr>
          <w:noProof/>
        </w:rPr>
      </w:pPr>
      <w:r w:rsidRPr="004457CB">
        <w:rPr>
          <w:rStyle w:val="HideTWBExt"/>
          <w:b w:val="0"/>
          <w:color w:val="auto"/>
          <w:lang w:val="en-GB"/>
        </w:rPr>
        <w:t>&lt;DocAmend&gt;</w:t>
      </w:r>
      <w:r w:rsidRPr="004457CB">
        <w:t>Proposta di regolamento</w:t>
      </w:r>
      <w:r w:rsidRPr="004457CB">
        <w:rPr>
          <w:rStyle w:val="HideTWBExt"/>
          <w:b w:val="0"/>
          <w:color w:val="auto"/>
          <w:lang w:val="en-GB"/>
        </w:rPr>
        <w:t>&lt;/DocAmend&gt;</w:t>
      </w:r>
    </w:p>
    <w:p w:rsidR="00146421" w:rsidRPr="004457CB" w:rsidRDefault="00146421" w:rsidP="00146421">
      <w:pPr>
        <w:pStyle w:val="NormalBold"/>
        <w:rPr>
          <w:noProof/>
        </w:rPr>
      </w:pPr>
      <w:r w:rsidRPr="004457CB">
        <w:rPr>
          <w:rStyle w:val="HideTWBExt"/>
          <w:b w:val="0"/>
          <w:color w:val="auto"/>
        </w:rPr>
        <w:t>&lt;Article&gt;</w:t>
      </w:r>
      <w:r w:rsidRPr="004457CB">
        <w:t>Articolo 13 – paragrafo 4</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t>4.</w:t>
            </w:r>
            <w:r w:rsidRPr="004457CB">
              <w:tab/>
              <w:t xml:space="preserve">La Commissione può, se del caso, consultare </w:t>
            </w:r>
            <w:r w:rsidRPr="004457CB">
              <w:rPr>
                <w:b/>
                <w:i/>
              </w:rPr>
              <w:t>i</w:t>
            </w:r>
            <w:r w:rsidRPr="004457CB">
              <w:t xml:space="preserve"> portatori di interessi e richiedere la consulenza di esperti in merito ai risultati delle attività di supervisione di cui al presente articolo e alle modalità per migliorare l'organizzazione, l'amministrazione e la gestione del TLD .eu da parte del registro.</w:t>
            </w:r>
          </w:p>
        </w:tc>
        <w:tc>
          <w:tcPr>
            <w:tcW w:w="4876" w:type="dxa"/>
            <w:hideMark/>
          </w:tcPr>
          <w:p w:rsidR="00146421" w:rsidRPr="004457CB" w:rsidRDefault="00146421" w:rsidP="00084A45">
            <w:pPr>
              <w:pStyle w:val="Normal6"/>
              <w:rPr>
                <w:noProof/>
                <w:szCs w:val="24"/>
              </w:rPr>
            </w:pPr>
            <w:r w:rsidRPr="004457CB">
              <w:t>4.</w:t>
            </w:r>
            <w:r w:rsidRPr="004457CB">
              <w:tab/>
              <w:t xml:space="preserve">La Commissione può, se del caso, consultare </w:t>
            </w:r>
            <w:r w:rsidRPr="004457CB">
              <w:rPr>
                <w:b/>
                <w:i/>
              </w:rPr>
              <w:t>il Gruppo consultivo multipartecipativo .eu e altri</w:t>
            </w:r>
            <w:r w:rsidRPr="004457CB">
              <w:t xml:space="preserve"> portatori di interessi e richiedere la consulenza di esperti in merito ai risultati delle attività di supervisione di cui al presente articolo e alle modalità per migliorare l'organizzazione, l'amministrazione e la gestione del TLD .eu da parte del registro.</w:t>
            </w:r>
          </w:p>
        </w:tc>
      </w:tr>
    </w:tbl>
    <w:p w:rsidR="00146421" w:rsidRPr="004457CB" w:rsidRDefault="00146421" w:rsidP="00146421">
      <w:pPr>
        <w:rPr>
          <w:noProof/>
        </w:rPr>
      </w:pPr>
      <w:r w:rsidRPr="004457CB">
        <w:rPr>
          <w:rStyle w:val="HideTWBExt"/>
          <w:color w:val="auto"/>
          <w:lang w:val="en-GB"/>
        </w:rPr>
        <w:t>&lt;/Amend&gt;</w:t>
      </w:r>
    </w:p>
    <w:p w:rsidR="00146421" w:rsidRPr="004457CB" w:rsidRDefault="00146421" w:rsidP="00146421">
      <w:pPr>
        <w:pStyle w:val="AMNumberTabs"/>
        <w:keepNext/>
        <w:rPr>
          <w:noProof/>
        </w:rPr>
      </w:pPr>
      <w:r w:rsidRPr="004457CB">
        <w:rPr>
          <w:rStyle w:val="HideTWBExt"/>
          <w:b w:val="0"/>
          <w:color w:val="auto"/>
        </w:rPr>
        <w:t>&lt;Amend&gt;</w:t>
      </w:r>
      <w:r w:rsidRPr="004457CB">
        <w:t>Emendamento</w:t>
      </w:r>
      <w:r w:rsidRPr="004457CB">
        <w:tab/>
      </w:r>
      <w:r w:rsidRPr="004457CB">
        <w:tab/>
      </w:r>
      <w:r w:rsidRPr="004457CB">
        <w:rPr>
          <w:rStyle w:val="HideTWBExt"/>
          <w:b w:val="0"/>
          <w:color w:val="auto"/>
        </w:rPr>
        <w:t>&lt;NumAm&gt;</w:t>
      </w:r>
      <w:r w:rsidRPr="004457CB">
        <w:t>36</w:t>
      </w:r>
      <w:r w:rsidRPr="004457CB">
        <w:rPr>
          <w:rStyle w:val="HideTWBExt"/>
          <w:b w:val="0"/>
          <w:color w:val="auto"/>
        </w:rPr>
        <w:t>&lt;/NumAm&gt;</w:t>
      </w:r>
    </w:p>
    <w:p w:rsidR="00146421" w:rsidRPr="004457CB" w:rsidRDefault="00146421" w:rsidP="00146421">
      <w:pPr>
        <w:rPr>
          <w:noProof/>
        </w:rPr>
      </w:pPr>
    </w:p>
    <w:p w:rsidR="00146421" w:rsidRPr="004457CB" w:rsidRDefault="00146421" w:rsidP="00146421">
      <w:pPr>
        <w:pStyle w:val="NormalBold"/>
        <w:keepNext/>
        <w:rPr>
          <w:noProof/>
        </w:rPr>
      </w:pPr>
      <w:r w:rsidRPr="004457CB">
        <w:rPr>
          <w:rStyle w:val="HideTWBExt"/>
          <w:b w:val="0"/>
          <w:color w:val="auto"/>
        </w:rPr>
        <w:t>&lt;DocAmend&gt;</w:t>
      </w:r>
      <w:r w:rsidRPr="004457CB">
        <w:t>Proposta di regolamento</w:t>
      </w:r>
      <w:r w:rsidRPr="004457CB">
        <w:rPr>
          <w:rStyle w:val="HideTWBExt"/>
          <w:b w:val="0"/>
          <w:color w:val="auto"/>
        </w:rPr>
        <w:t>&lt;/DocAmend&gt;</w:t>
      </w:r>
    </w:p>
    <w:p w:rsidR="00146421" w:rsidRPr="004457CB" w:rsidRDefault="00146421" w:rsidP="00146421">
      <w:pPr>
        <w:pStyle w:val="NormalBold"/>
        <w:rPr>
          <w:noProof/>
        </w:rPr>
      </w:pPr>
      <w:r w:rsidRPr="004457CB">
        <w:rPr>
          <w:rStyle w:val="HideTWBExt"/>
          <w:b w:val="0"/>
          <w:color w:val="auto"/>
        </w:rPr>
        <w:t>&lt;Article&gt;</w:t>
      </w:r>
      <w:r w:rsidRPr="004457CB">
        <w:t>Articolo 14 – paragrafo 1</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t>1.</w:t>
            </w:r>
            <w:r w:rsidRPr="004457CB">
              <w:tab/>
              <w:t>Si istituisce un Consiglio multipartecipativo .eu al fine di fornire consulenza alla Commissione in merito all'attuazione del presente regolamento.</w:t>
            </w:r>
          </w:p>
        </w:tc>
        <w:tc>
          <w:tcPr>
            <w:tcW w:w="4876" w:type="dxa"/>
            <w:hideMark/>
          </w:tcPr>
          <w:p w:rsidR="00146421" w:rsidRPr="004457CB" w:rsidRDefault="00146421" w:rsidP="00084A45">
            <w:pPr>
              <w:pStyle w:val="Normal6"/>
              <w:rPr>
                <w:noProof/>
                <w:szCs w:val="24"/>
              </w:rPr>
            </w:pPr>
            <w:r w:rsidRPr="004457CB">
              <w:t>1.</w:t>
            </w:r>
            <w:r w:rsidRPr="004457CB">
              <w:tab/>
              <w:t xml:space="preserve">Si istituisce un Gruppo consultivo multipartecipativo .eu al fine di fornire consulenza alla Commissione in merito all'attuazione del presente regolamento. </w:t>
            </w:r>
            <w:r w:rsidRPr="004457CB">
              <w:rPr>
                <w:b/>
                <w:i/>
              </w:rPr>
              <w:t>La Commissione tiene in debita considerazione qualsiasi raccomandazione o suggerimento fornito dal Gruppo consultivo multipartecipativo .eu nell'attuazione di tutti gli aspetti del presente regolamento.</w:t>
            </w:r>
          </w:p>
        </w:tc>
      </w:tr>
    </w:tbl>
    <w:p w:rsidR="00146421" w:rsidRPr="004457CB" w:rsidRDefault="00146421" w:rsidP="00146421">
      <w:pPr>
        <w:rPr>
          <w:noProof/>
        </w:rPr>
      </w:pPr>
      <w:r w:rsidRPr="004457CB">
        <w:rPr>
          <w:rStyle w:val="HideTWBExt"/>
          <w:color w:val="auto"/>
          <w:lang w:val="en-GB"/>
        </w:rPr>
        <w:t>&lt;/Amend&gt;</w:t>
      </w:r>
    </w:p>
    <w:p w:rsidR="00146421" w:rsidRPr="004457CB" w:rsidRDefault="00146421" w:rsidP="00146421">
      <w:pPr>
        <w:pStyle w:val="AMNumberTabs"/>
        <w:keepNext/>
        <w:rPr>
          <w:noProof/>
        </w:rPr>
      </w:pPr>
      <w:r w:rsidRPr="004457CB">
        <w:rPr>
          <w:rStyle w:val="HideTWBExt"/>
          <w:b w:val="0"/>
          <w:color w:val="auto"/>
        </w:rPr>
        <w:lastRenderedPageBreak/>
        <w:t>&lt;Amend&gt;</w:t>
      </w:r>
      <w:r w:rsidRPr="004457CB">
        <w:t>Emendamento</w:t>
      </w:r>
      <w:r w:rsidRPr="004457CB">
        <w:tab/>
      </w:r>
      <w:r w:rsidRPr="004457CB">
        <w:tab/>
      </w:r>
      <w:r w:rsidRPr="004457CB">
        <w:rPr>
          <w:rStyle w:val="HideTWBExt"/>
          <w:b w:val="0"/>
          <w:color w:val="auto"/>
        </w:rPr>
        <w:t>&lt;NumAm&gt;</w:t>
      </w:r>
      <w:r w:rsidRPr="004457CB">
        <w:t>37</w:t>
      </w:r>
      <w:r w:rsidRPr="004457CB">
        <w:rPr>
          <w:rStyle w:val="HideTWBExt"/>
          <w:b w:val="0"/>
          <w:color w:val="auto"/>
        </w:rPr>
        <w:t>&lt;/NumAm&gt;</w:t>
      </w:r>
    </w:p>
    <w:p w:rsidR="00146421" w:rsidRPr="004457CB" w:rsidRDefault="00146421" w:rsidP="00146421">
      <w:pPr>
        <w:rPr>
          <w:noProof/>
        </w:rPr>
      </w:pPr>
    </w:p>
    <w:p w:rsidR="00146421" w:rsidRPr="004457CB" w:rsidRDefault="00146421" w:rsidP="00146421">
      <w:pPr>
        <w:pStyle w:val="NormalBold"/>
        <w:keepNext/>
        <w:rPr>
          <w:noProof/>
        </w:rPr>
      </w:pPr>
      <w:r w:rsidRPr="004457CB">
        <w:rPr>
          <w:rStyle w:val="HideTWBExt"/>
          <w:b w:val="0"/>
          <w:color w:val="auto"/>
        </w:rPr>
        <w:t>&lt;DocAmend&gt;</w:t>
      </w:r>
      <w:r w:rsidRPr="004457CB">
        <w:t>Proposta di regolamento</w:t>
      </w:r>
      <w:r w:rsidRPr="004457CB">
        <w:rPr>
          <w:rStyle w:val="HideTWBExt"/>
          <w:b w:val="0"/>
          <w:color w:val="auto"/>
        </w:rPr>
        <w:t>&lt;/DocAmend&gt;</w:t>
      </w:r>
    </w:p>
    <w:p w:rsidR="00146421" w:rsidRPr="004457CB" w:rsidRDefault="00146421" w:rsidP="00146421">
      <w:pPr>
        <w:pStyle w:val="NormalBold"/>
        <w:rPr>
          <w:noProof/>
        </w:rPr>
      </w:pPr>
      <w:r w:rsidRPr="004457CB">
        <w:rPr>
          <w:rStyle w:val="HideTWBExt"/>
          <w:b w:val="0"/>
          <w:color w:val="auto"/>
        </w:rPr>
        <w:t>&lt;Article&gt;</w:t>
      </w:r>
      <w:r w:rsidRPr="004457CB">
        <w:t>Articolo 14 – paragrafo 2</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t>2.</w:t>
            </w:r>
            <w:r w:rsidRPr="004457CB">
              <w:tab/>
              <w:t xml:space="preserve">Il </w:t>
            </w:r>
            <w:r w:rsidRPr="004457CB">
              <w:rPr>
                <w:b/>
                <w:i/>
              </w:rPr>
              <w:t>Consiglio</w:t>
            </w:r>
            <w:r w:rsidRPr="004457CB">
              <w:t xml:space="preserve"> multipartecipativo .eu è costituito da rappresentanti del settore privato, della comunità tecnica, degli Stati membri e delle organizzazioni internazionali, della società civile e del mondo accademico ed è nominato dalla Commissione in base a una procedura aperta e trasparente.</w:t>
            </w:r>
          </w:p>
        </w:tc>
        <w:tc>
          <w:tcPr>
            <w:tcW w:w="4876" w:type="dxa"/>
            <w:hideMark/>
          </w:tcPr>
          <w:p w:rsidR="00146421" w:rsidRPr="004457CB" w:rsidRDefault="00146421" w:rsidP="00084A45">
            <w:pPr>
              <w:pStyle w:val="Normal6"/>
              <w:rPr>
                <w:noProof/>
                <w:szCs w:val="24"/>
              </w:rPr>
            </w:pPr>
            <w:r w:rsidRPr="004457CB">
              <w:t>2.</w:t>
            </w:r>
            <w:r w:rsidRPr="004457CB">
              <w:tab/>
              <w:t xml:space="preserve">Il </w:t>
            </w:r>
            <w:r w:rsidRPr="004457CB">
              <w:rPr>
                <w:b/>
                <w:i/>
              </w:rPr>
              <w:t>Gruppo consultivo</w:t>
            </w:r>
            <w:r w:rsidRPr="004457CB">
              <w:t xml:space="preserve"> multipartecipativo .eu è costituito da rappresentanti del settore privato, della comunità tecnica, degli Stati membri e delle organizzazioni internazionali, della società civile e del mondo accademico ed è nominato dalla Commissione in base a una procedura aperta e trasparente</w:t>
            </w:r>
            <w:r w:rsidRPr="004457CB">
              <w:rPr>
                <w:b/>
                <w:i/>
              </w:rPr>
              <w:t>, tenendo in massimo conto il principio di parità di genere</w:t>
            </w:r>
            <w:r w:rsidRPr="004457CB">
              <w:t>.</w:t>
            </w:r>
          </w:p>
        </w:tc>
      </w:tr>
    </w:tbl>
    <w:p w:rsidR="00146421" w:rsidRPr="004457CB" w:rsidRDefault="00146421" w:rsidP="00146421">
      <w:pPr>
        <w:rPr>
          <w:noProof/>
        </w:rPr>
      </w:pPr>
      <w:r w:rsidRPr="004457CB">
        <w:rPr>
          <w:rStyle w:val="HideTWBExt"/>
          <w:color w:val="auto"/>
          <w:lang w:val="en-GB"/>
        </w:rPr>
        <w:t>&lt;/Amend&gt;</w:t>
      </w:r>
    </w:p>
    <w:p w:rsidR="00146421" w:rsidRPr="004457CB" w:rsidRDefault="00146421" w:rsidP="00146421">
      <w:pPr>
        <w:pStyle w:val="AMNumberTabs"/>
        <w:keepNext/>
        <w:rPr>
          <w:noProof/>
        </w:rPr>
      </w:pPr>
      <w:r w:rsidRPr="004457CB">
        <w:rPr>
          <w:rStyle w:val="HideTWBExt"/>
          <w:b w:val="0"/>
          <w:color w:val="auto"/>
          <w:lang w:val="en-GB"/>
        </w:rPr>
        <w:t>&lt;Amend&gt;</w:t>
      </w:r>
      <w:r w:rsidRPr="004457CB">
        <w:t>Emendamento</w:t>
      </w:r>
      <w:r w:rsidRPr="004457CB">
        <w:tab/>
      </w:r>
      <w:r w:rsidRPr="004457CB">
        <w:tab/>
      </w:r>
      <w:r w:rsidRPr="004457CB">
        <w:rPr>
          <w:rStyle w:val="HideTWBExt"/>
          <w:b w:val="0"/>
          <w:color w:val="auto"/>
          <w:lang w:val="en-GB"/>
        </w:rPr>
        <w:t>&lt;NumAm&gt;</w:t>
      </w:r>
      <w:r w:rsidRPr="004457CB">
        <w:t>38</w:t>
      </w:r>
      <w:r w:rsidRPr="004457CB">
        <w:rPr>
          <w:rStyle w:val="HideTWBExt"/>
          <w:b w:val="0"/>
          <w:color w:val="auto"/>
          <w:lang w:val="en-GB"/>
        </w:rPr>
        <w:t>&lt;/NumAm&gt;</w:t>
      </w:r>
    </w:p>
    <w:p w:rsidR="00146421" w:rsidRPr="004457CB" w:rsidRDefault="00146421" w:rsidP="00146421">
      <w:pPr>
        <w:rPr>
          <w:noProof/>
          <w:lang w:val="en-GB"/>
        </w:rPr>
      </w:pPr>
    </w:p>
    <w:p w:rsidR="00146421" w:rsidRPr="004457CB" w:rsidRDefault="00146421" w:rsidP="00146421">
      <w:pPr>
        <w:pStyle w:val="NormalBold"/>
        <w:keepNext/>
        <w:rPr>
          <w:noProof/>
        </w:rPr>
      </w:pPr>
      <w:r w:rsidRPr="004457CB">
        <w:rPr>
          <w:rStyle w:val="HideTWBExt"/>
          <w:b w:val="0"/>
          <w:color w:val="auto"/>
          <w:lang w:val="en-GB"/>
        </w:rPr>
        <w:t>&lt;DocAmend&gt;</w:t>
      </w:r>
      <w:r w:rsidRPr="004457CB">
        <w:t>Proposta di regolamento</w:t>
      </w:r>
      <w:r w:rsidRPr="004457CB">
        <w:rPr>
          <w:rStyle w:val="HideTWBExt"/>
          <w:b w:val="0"/>
          <w:color w:val="auto"/>
          <w:lang w:val="en-GB"/>
        </w:rPr>
        <w:t>&lt;/DocAmend&gt;</w:t>
      </w:r>
    </w:p>
    <w:p w:rsidR="00146421" w:rsidRPr="004457CB" w:rsidRDefault="00146421" w:rsidP="00146421">
      <w:pPr>
        <w:pStyle w:val="NormalBold"/>
        <w:rPr>
          <w:noProof/>
        </w:rPr>
      </w:pPr>
      <w:r w:rsidRPr="004457CB">
        <w:rPr>
          <w:rStyle w:val="HideTWBExt"/>
          <w:b w:val="0"/>
          <w:color w:val="auto"/>
          <w:lang w:val="fr-FR"/>
        </w:rPr>
        <w:t>&lt;Article&gt;</w:t>
      </w:r>
      <w:r w:rsidRPr="004457CB">
        <w:t>Articolo 14 – paragrafo 3 – parte introduttiva</w:t>
      </w:r>
      <w:r w:rsidRPr="004457CB">
        <w:rPr>
          <w:rStyle w:val="HideTWBExt"/>
          <w:b w:val="0"/>
          <w:color w:val="auto"/>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lang w:val="fr-FR"/>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t>3.</w:t>
            </w:r>
            <w:r w:rsidRPr="004457CB">
              <w:tab/>
              <w:t xml:space="preserve">Il </w:t>
            </w:r>
            <w:r w:rsidRPr="004457CB">
              <w:rPr>
                <w:b/>
                <w:i/>
              </w:rPr>
              <w:t>Consiglio</w:t>
            </w:r>
            <w:r w:rsidRPr="004457CB">
              <w:t xml:space="preserve"> multipartecipativo .eu svolge i seguenti compiti:</w:t>
            </w:r>
          </w:p>
        </w:tc>
        <w:tc>
          <w:tcPr>
            <w:tcW w:w="4876" w:type="dxa"/>
            <w:hideMark/>
          </w:tcPr>
          <w:p w:rsidR="00146421" w:rsidRPr="004457CB" w:rsidRDefault="00146421" w:rsidP="00084A45">
            <w:pPr>
              <w:pStyle w:val="Normal6"/>
              <w:rPr>
                <w:noProof/>
                <w:szCs w:val="24"/>
              </w:rPr>
            </w:pPr>
            <w:r w:rsidRPr="004457CB">
              <w:t>3.</w:t>
            </w:r>
            <w:r w:rsidRPr="004457CB">
              <w:tab/>
              <w:t xml:space="preserve">Il </w:t>
            </w:r>
            <w:r w:rsidRPr="004457CB">
              <w:rPr>
                <w:b/>
                <w:i/>
              </w:rPr>
              <w:t>Gruppo consultivo</w:t>
            </w:r>
            <w:r w:rsidRPr="004457CB">
              <w:t xml:space="preserve"> multipartecipativo .eu svolge i seguenti compiti:</w:t>
            </w:r>
          </w:p>
        </w:tc>
      </w:tr>
    </w:tbl>
    <w:p w:rsidR="00146421" w:rsidRPr="004457CB" w:rsidRDefault="00146421" w:rsidP="00146421">
      <w:pPr>
        <w:rPr>
          <w:noProof/>
        </w:rPr>
      </w:pPr>
      <w:r w:rsidRPr="004457CB">
        <w:rPr>
          <w:rStyle w:val="HideTWBExt"/>
          <w:color w:val="auto"/>
          <w:lang w:val="en-GB"/>
        </w:rPr>
        <w:t>&lt;/Amend&gt;</w:t>
      </w:r>
    </w:p>
    <w:p w:rsidR="00146421" w:rsidRPr="004457CB" w:rsidRDefault="00146421" w:rsidP="00146421">
      <w:pPr>
        <w:pStyle w:val="AMNumberTabs"/>
        <w:keepNext/>
        <w:rPr>
          <w:noProof/>
        </w:rPr>
      </w:pPr>
      <w:r w:rsidRPr="004457CB">
        <w:rPr>
          <w:rStyle w:val="HideTWBExt"/>
          <w:b w:val="0"/>
          <w:color w:val="auto"/>
          <w:lang w:val="en-GB"/>
        </w:rPr>
        <w:t>&lt;Amend&gt;</w:t>
      </w:r>
      <w:r w:rsidRPr="004457CB">
        <w:t>Emendamento</w:t>
      </w:r>
      <w:r w:rsidRPr="004457CB">
        <w:tab/>
      </w:r>
      <w:r w:rsidRPr="004457CB">
        <w:tab/>
      </w:r>
      <w:r w:rsidRPr="004457CB">
        <w:rPr>
          <w:rStyle w:val="HideTWBExt"/>
          <w:b w:val="0"/>
          <w:color w:val="auto"/>
          <w:lang w:val="en-GB"/>
        </w:rPr>
        <w:t>&lt;NumAm&gt;</w:t>
      </w:r>
      <w:r w:rsidRPr="004457CB">
        <w:t>39</w:t>
      </w:r>
      <w:r w:rsidRPr="004457CB">
        <w:rPr>
          <w:rStyle w:val="HideTWBExt"/>
          <w:b w:val="0"/>
          <w:color w:val="auto"/>
          <w:lang w:val="en-GB"/>
        </w:rPr>
        <w:t>&lt;/NumAm&gt;</w:t>
      </w:r>
    </w:p>
    <w:p w:rsidR="00146421" w:rsidRPr="004457CB" w:rsidRDefault="00146421" w:rsidP="00146421">
      <w:pPr>
        <w:rPr>
          <w:noProof/>
          <w:lang w:val="en-GB"/>
        </w:rPr>
      </w:pPr>
    </w:p>
    <w:p w:rsidR="00146421" w:rsidRPr="004457CB" w:rsidRDefault="00146421" w:rsidP="00146421">
      <w:pPr>
        <w:pStyle w:val="NormalBold"/>
        <w:keepNext/>
        <w:rPr>
          <w:noProof/>
        </w:rPr>
      </w:pPr>
      <w:r w:rsidRPr="004457CB">
        <w:rPr>
          <w:rStyle w:val="HideTWBExt"/>
          <w:b w:val="0"/>
          <w:color w:val="auto"/>
          <w:lang w:val="en-GB"/>
        </w:rPr>
        <w:t>&lt;DocAmend&gt;</w:t>
      </w:r>
      <w:r w:rsidRPr="004457CB">
        <w:t>Proposta di regolamento</w:t>
      </w:r>
      <w:r w:rsidRPr="004457CB">
        <w:rPr>
          <w:rStyle w:val="HideTWBExt"/>
          <w:b w:val="0"/>
          <w:color w:val="auto"/>
          <w:lang w:val="en-GB"/>
        </w:rPr>
        <w:t>&lt;/DocAmend&gt;</w:t>
      </w:r>
    </w:p>
    <w:p w:rsidR="00146421" w:rsidRPr="004457CB" w:rsidRDefault="00146421" w:rsidP="00146421">
      <w:pPr>
        <w:pStyle w:val="NormalBold"/>
        <w:rPr>
          <w:noProof/>
        </w:rPr>
      </w:pPr>
      <w:r w:rsidRPr="004457CB">
        <w:rPr>
          <w:rStyle w:val="HideTWBExt"/>
          <w:b w:val="0"/>
          <w:color w:val="auto"/>
          <w:lang w:val="fr-FR"/>
        </w:rPr>
        <w:t>&lt;Article&gt;</w:t>
      </w:r>
      <w:r w:rsidRPr="004457CB">
        <w:t>Articolo 14 – paragrafo 3 – lettera b</w:t>
      </w:r>
      <w:r w:rsidRPr="004457CB">
        <w:rPr>
          <w:rStyle w:val="HideTWBExt"/>
          <w:b w:val="0"/>
          <w:color w:val="auto"/>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lang w:val="fr-FR"/>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t>b)</w:t>
            </w:r>
            <w:r w:rsidRPr="004457CB">
              <w:tab/>
              <w:t>fornisce pareri in materia di gestione, organizzazione e amministrazione del TLD .eu;</w:t>
            </w:r>
          </w:p>
        </w:tc>
        <w:tc>
          <w:tcPr>
            <w:tcW w:w="4876" w:type="dxa"/>
            <w:hideMark/>
          </w:tcPr>
          <w:p w:rsidR="00146421" w:rsidRPr="004457CB" w:rsidRDefault="00146421" w:rsidP="00084A45">
            <w:pPr>
              <w:pStyle w:val="Normal6"/>
              <w:rPr>
                <w:noProof/>
                <w:szCs w:val="24"/>
              </w:rPr>
            </w:pPr>
            <w:r w:rsidRPr="004457CB">
              <w:t>b)</w:t>
            </w:r>
            <w:r w:rsidRPr="004457CB">
              <w:tab/>
              <w:t>fornisce pareri in materia di gestione, organizzazione e amministrazione del TLD .eu</w:t>
            </w:r>
            <w:r w:rsidRPr="004457CB">
              <w:rPr>
                <w:b/>
                <w:i/>
              </w:rPr>
              <w:t>, comprese le questioni relative alla cibersicurezza e alla protezione dei dati</w:t>
            </w:r>
            <w:r w:rsidRPr="004457CB">
              <w:t>;</w:t>
            </w:r>
          </w:p>
        </w:tc>
      </w:tr>
    </w:tbl>
    <w:p w:rsidR="00146421" w:rsidRPr="004457CB" w:rsidRDefault="00146421" w:rsidP="00146421">
      <w:pPr>
        <w:rPr>
          <w:noProof/>
        </w:rPr>
      </w:pPr>
      <w:r w:rsidRPr="004457CB">
        <w:rPr>
          <w:rStyle w:val="HideTWBExt"/>
          <w:color w:val="auto"/>
          <w:lang w:val="en-GB"/>
        </w:rPr>
        <w:t>&lt;/Amend&gt;</w:t>
      </w:r>
    </w:p>
    <w:p w:rsidR="00146421" w:rsidRPr="004457CB" w:rsidRDefault="00146421" w:rsidP="00146421">
      <w:pPr>
        <w:pStyle w:val="AMNumberTabs"/>
        <w:keepNext/>
        <w:rPr>
          <w:noProof/>
        </w:rPr>
      </w:pPr>
      <w:r w:rsidRPr="004457CB">
        <w:rPr>
          <w:rStyle w:val="HideTWBExt"/>
          <w:b w:val="0"/>
          <w:color w:val="auto"/>
          <w:lang w:val="en-GB"/>
        </w:rPr>
        <w:t>&lt;Amend&gt;</w:t>
      </w:r>
      <w:r w:rsidRPr="004457CB">
        <w:t>Emendamento</w:t>
      </w:r>
      <w:r w:rsidRPr="004457CB">
        <w:tab/>
      </w:r>
      <w:r w:rsidRPr="004457CB">
        <w:tab/>
      </w:r>
      <w:r w:rsidRPr="004457CB">
        <w:rPr>
          <w:rStyle w:val="HideTWBExt"/>
          <w:b w:val="0"/>
          <w:color w:val="auto"/>
          <w:lang w:val="en-GB"/>
        </w:rPr>
        <w:t>&lt;NumAm&gt;</w:t>
      </w:r>
      <w:r w:rsidRPr="004457CB">
        <w:t>40</w:t>
      </w:r>
      <w:r w:rsidRPr="004457CB">
        <w:rPr>
          <w:rStyle w:val="HideTWBExt"/>
          <w:b w:val="0"/>
          <w:color w:val="auto"/>
          <w:lang w:val="en-GB"/>
        </w:rPr>
        <w:t>&lt;/NumAm&gt;</w:t>
      </w:r>
    </w:p>
    <w:p w:rsidR="00146421" w:rsidRPr="004457CB" w:rsidRDefault="00146421" w:rsidP="00146421">
      <w:pPr>
        <w:rPr>
          <w:noProof/>
          <w:lang w:val="en-GB"/>
        </w:rPr>
      </w:pPr>
    </w:p>
    <w:p w:rsidR="00146421" w:rsidRPr="004457CB" w:rsidRDefault="00146421" w:rsidP="00146421">
      <w:pPr>
        <w:pStyle w:val="NormalBold"/>
        <w:keepNext/>
        <w:rPr>
          <w:noProof/>
        </w:rPr>
      </w:pPr>
      <w:r w:rsidRPr="004457CB">
        <w:rPr>
          <w:rStyle w:val="HideTWBExt"/>
          <w:b w:val="0"/>
          <w:color w:val="auto"/>
        </w:rPr>
        <w:lastRenderedPageBreak/>
        <w:t>&lt;DocAmend&gt;</w:t>
      </w:r>
      <w:r w:rsidRPr="004457CB">
        <w:t>Proposta di regolamento</w:t>
      </w:r>
      <w:r w:rsidRPr="004457CB">
        <w:rPr>
          <w:rStyle w:val="HideTWBExt"/>
          <w:b w:val="0"/>
          <w:color w:val="auto"/>
        </w:rPr>
        <w:t>&lt;/DocAmend&gt;</w:t>
      </w:r>
    </w:p>
    <w:p w:rsidR="00146421" w:rsidRPr="004457CB" w:rsidRDefault="00146421" w:rsidP="00146421">
      <w:pPr>
        <w:pStyle w:val="NormalBold"/>
        <w:rPr>
          <w:noProof/>
        </w:rPr>
      </w:pPr>
      <w:r w:rsidRPr="004457CB">
        <w:rPr>
          <w:rStyle w:val="HideTWBExt"/>
          <w:b w:val="0"/>
          <w:color w:val="auto"/>
        </w:rPr>
        <w:t>&lt;Article&gt;</w:t>
      </w:r>
      <w:r w:rsidRPr="004457CB">
        <w:t>Articolo 14 – paragrafo 3 – lettera c</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t>c)</w:t>
            </w:r>
            <w:r w:rsidRPr="004457CB">
              <w:tab/>
              <w:t>fornisce consulenza alla Commissione in materia di monitoraggio e supervisione del registro.</w:t>
            </w:r>
          </w:p>
        </w:tc>
        <w:tc>
          <w:tcPr>
            <w:tcW w:w="4876" w:type="dxa"/>
            <w:hideMark/>
          </w:tcPr>
          <w:p w:rsidR="00146421" w:rsidRPr="004457CB" w:rsidRDefault="00146421" w:rsidP="00084A45">
            <w:pPr>
              <w:pStyle w:val="Normal6"/>
              <w:rPr>
                <w:noProof/>
                <w:szCs w:val="24"/>
              </w:rPr>
            </w:pPr>
            <w:r w:rsidRPr="004457CB">
              <w:t>c)</w:t>
            </w:r>
            <w:r w:rsidRPr="004457CB">
              <w:tab/>
              <w:t>fornisce consulenza alla Commissione in materia di monitoraggio e supervisione del registro</w:t>
            </w:r>
            <w:r w:rsidRPr="004457CB">
              <w:rPr>
                <w:b/>
                <w:i/>
              </w:rPr>
              <w:t>, in particolare per quanto riguarda la verifica di cui all'articolo 10, lettera k)</w:t>
            </w:r>
            <w:r w:rsidRPr="004457CB">
              <w:t>.</w:t>
            </w:r>
          </w:p>
        </w:tc>
      </w:tr>
    </w:tbl>
    <w:p w:rsidR="00146421" w:rsidRPr="004457CB" w:rsidRDefault="00146421" w:rsidP="00146421">
      <w:pPr>
        <w:rPr>
          <w:noProof/>
        </w:rPr>
      </w:pPr>
      <w:r w:rsidRPr="004457CB">
        <w:rPr>
          <w:rStyle w:val="HideTWBExt"/>
          <w:color w:val="auto"/>
          <w:lang w:val="en-GB"/>
        </w:rPr>
        <w:t>&lt;/Amend&gt;</w:t>
      </w:r>
    </w:p>
    <w:p w:rsidR="00146421" w:rsidRPr="004457CB" w:rsidRDefault="00146421" w:rsidP="00146421">
      <w:pPr>
        <w:pStyle w:val="AMNumberTabs"/>
        <w:keepNext/>
        <w:rPr>
          <w:noProof/>
        </w:rPr>
      </w:pPr>
      <w:r w:rsidRPr="004457CB">
        <w:rPr>
          <w:rStyle w:val="HideTWBExt"/>
          <w:b w:val="0"/>
          <w:color w:val="auto"/>
          <w:lang w:val="en-GB"/>
        </w:rPr>
        <w:t>&lt;Amend&gt;</w:t>
      </w:r>
      <w:r w:rsidRPr="004457CB">
        <w:t>Emendamento</w:t>
      </w:r>
      <w:r w:rsidRPr="004457CB">
        <w:tab/>
      </w:r>
      <w:r w:rsidRPr="004457CB">
        <w:tab/>
      </w:r>
      <w:r w:rsidRPr="004457CB">
        <w:rPr>
          <w:rStyle w:val="HideTWBExt"/>
          <w:b w:val="0"/>
          <w:color w:val="auto"/>
          <w:lang w:val="en-GB"/>
        </w:rPr>
        <w:t>&lt;NumAm&gt;</w:t>
      </w:r>
      <w:r w:rsidRPr="004457CB">
        <w:t>41</w:t>
      </w:r>
      <w:r w:rsidRPr="004457CB">
        <w:rPr>
          <w:rStyle w:val="HideTWBExt"/>
          <w:b w:val="0"/>
          <w:color w:val="auto"/>
          <w:lang w:val="en-GB"/>
        </w:rPr>
        <w:t>&lt;/NumAm&gt;</w:t>
      </w:r>
    </w:p>
    <w:p w:rsidR="00146421" w:rsidRPr="004457CB" w:rsidRDefault="00146421" w:rsidP="00146421">
      <w:pPr>
        <w:rPr>
          <w:noProof/>
          <w:lang w:val="en-GB"/>
        </w:rPr>
      </w:pPr>
    </w:p>
    <w:p w:rsidR="00146421" w:rsidRPr="004457CB" w:rsidRDefault="00146421" w:rsidP="00146421">
      <w:pPr>
        <w:pStyle w:val="NormalBold"/>
        <w:keepNext/>
        <w:rPr>
          <w:noProof/>
        </w:rPr>
      </w:pPr>
      <w:r w:rsidRPr="004457CB">
        <w:rPr>
          <w:rStyle w:val="HideTWBExt"/>
          <w:b w:val="0"/>
          <w:color w:val="auto"/>
          <w:lang w:val="en-GB"/>
        </w:rPr>
        <w:t>&lt;DocAmend&gt;</w:t>
      </w:r>
      <w:r w:rsidRPr="004457CB">
        <w:t>Proposta di regolamento</w:t>
      </w:r>
      <w:r w:rsidRPr="004457CB">
        <w:rPr>
          <w:rStyle w:val="HideTWBExt"/>
          <w:b w:val="0"/>
          <w:color w:val="auto"/>
          <w:lang w:val="en-GB"/>
        </w:rPr>
        <w:t>&lt;/DocAmend&gt;</w:t>
      </w:r>
    </w:p>
    <w:p w:rsidR="00146421" w:rsidRPr="004457CB" w:rsidRDefault="00146421" w:rsidP="00146421">
      <w:pPr>
        <w:pStyle w:val="NormalBold"/>
        <w:rPr>
          <w:noProof/>
        </w:rPr>
      </w:pPr>
      <w:r w:rsidRPr="004457CB">
        <w:rPr>
          <w:rStyle w:val="HideTWBExt"/>
          <w:b w:val="0"/>
          <w:color w:val="auto"/>
          <w:lang w:val="fr-FR"/>
        </w:rPr>
        <w:t>&lt;Article&gt;</w:t>
      </w:r>
      <w:r w:rsidRPr="004457CB">
        <w:t>Articolo 14 – paragrafo 3 – lettera c bis (nuova)</w:t>
      </w:r>
      <w:r w:rsidRPr="004457CB">
        <w:rPr>
          <w:rStyle w:val="HideTWBExt"/>
          <w:b w:val="0"/>
          <w:color w:val="auto"/>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lang w:val="fr-FR"/>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tcPr>
          <w:p w:rsidR="00146421" w:rsidRPr="004457CB" w:rsidRDefault="00146421" w:rsidP="00084A45">
            <w:pPr>
              <w:pStyle w:val="Normal6"/>
              <w:rPr>
                <w:noProof/>
              </w:rPr>
            </w:pPr>
          </w:p>
        </w:tc>
        <w:tc>
          <w:tcPr>
            <w:tcW w:w="4876" w:type="dxa"/>
            <w:hideMark/>
          </w:tcPr>
          <w:p w:rsidR="00146421" w:rsidRPr="004457CB" w:rsidRDefault="00146421" w:rsidP="00084A45">
            <w:pPr>
              <w:pStyle w:val="Normal6"/>
              <w:rPr>
                <w:noProof/>
                <w:szCs w:val="24"/>
              </w:rPr>
            </w:pPr>
            <w:r w:rsidRPr="004457CB">
              <w:rPr>
                <w:b/>
                <w:i/>
              </w:rPr>
              <w:t>c bis)</w:t>
            </w:r>
            <w:r w:rsidRPr="004457CB">
              <w:rPr>
                <w:b/>
                <w:i/>
              </w:rPr>
              <w:tab/>
              <w:t>fornisce consulenza alla Commissione in merito alle migliori prassi per quanto concerne le politiche e le misure che le consentono di individuare nomi di dominio registrati dal titolare senza averne il diritto o un interesse legittimo nel nome e nomi di dominio utilizzati in cattiva fede, nonché ove necessario prendere adeguati provvedimenti al riguardo, anche in cooperazione con agenzie di contrasto e le CERT.</w:t>
            </w:r>
          </w:p>
        </w:tc>
      </w:tr>
    </w:tbl>
    <w:p w:rsidR="00146421" w:rsidRPr="004457CB" w:rsidRDefault="00146421" w:rsidP="00146421">
      <w:pPr>
        <w:rPr>
          <w:noProof/>
        </w:rPr>
      </w:pPr>
      <w:r w:rsidRPr="004457CB">
        <w:rPr>
          <w:rStyle w:val="HideTWBExt"/>
          <w:color w:val="auto"/>
        </w:rPr>
        <w:t>&lt;/Amend&gt;</w:t>
      </w:r>
    </w:p>
    <w:p w:rsidR="00146421" w:rsidRPr="004457CB" w:rsidRDefault="00146421" w:rsidP="00146421">
      <w:pPr>
        <w:pStyle w:val="AMNumberTabs"/>
        <w:keepNext/>
        <w:rPr>
          <w:noProof/>
        </w:rPr>
      </w:pPr>
      <w:r w:rsidRPr="004457CB">
        <w:rPr>
          <w:rStyle w:val="HideTWBExt"/>
          <w:b w:val="0"/>
          <w:color w:val="auto"/>
          <w:lang w:val="en-GB"/>
        </w:rPr>
        <w:t>&lt;Amend&gt;</w:t>
      </w:r>
      <w:r w:rsidRPr="004457CB">
        <w:t>Emendamento</w:t>
      </w:r>
      <w:r w:rsidRPr="004457CB">
        <w:tab/>
      </w:r>
      <w:r w:rsidRPr="004457CB">
        <w:tab/>
      </w:r>
      <w:r w:rsidRPr="004457CB">
        <w:rPr>
          <w:rStyle w:val="HideTWBExt"/>
          <w:b w:val="0"/>
          <w:color w:val="auto"/>
          <w:lang w:val="en-GB"/>
        </w:rPr>
        <w:t>&lt;NumAm&gt;</w:t>
      </w:r>
      <w:r w:rsidRPr="004457CB">
        <w:t>42</w:t>
      </w:r>
      <w:r w:rsidRPr="004457CB">
        <w:rPr>
          <w:rStyle w:val="HideTWBExt"/>
          <w:b w:val="0"/>
          <w:color w:val="auto"/>
          <w:lang w:val="en-GB"/>
        </w:rPr>
        <w:t>&lt;/NumAm&gt;</w:t>
      </w:r>
    </w:p>
    <w:p w:rsidR="00146421" w:rsidRPr="004457CB" w:rsidRDefault="00146421" w:rsidP="00146421">
      <w:pPr>
        <w:rPr>
          <w:noProof/>
          <w:lang w:val="en-GB"/>
        </w:rPr>
      </w:pPr>
    </w:p>
    <w:p w:rsidR="00146421" w:rsidRPr="004457CB" w:rsidRDefault="00146421" w:rsidP="00146421">
      <w:pPr>
        <w:pStyle w:val="NormalBold"/>
        <w:keepNext/>
        <w:rPr>
          <w:noProof/>
        </w:rPr>
      </w:pPr>
      <w:r w:rsidRPr="004457CB">
        <w:rPr>
          <w:rStyle w:val="HideTWBExt"/>
          <w:b w:val="0"/>
          <w:color w:val="auto"/>
          <w:lang w:val="en-GB"/>
        </w:rPr>
        <w:t>&lt;DocAmend&gt;</w:t>
      </w:r>
      <w:r w:rsidRPr="004457CB">
        <w:t>Proposta di regolamento</w:t>
      </w:r>
      <w:r w:rsidRPr="004457CB">
        <w:rPr>
          <w:rStyle w:val="HideTWBExt"/>
          <w:b w:val="0"/>
          <w:color w:val="auto"/>
          <w:lang w:val="en-GB"/>
        </w:rPr>
        <w:t>&lt;/DocAmend&gt;</w:t>
      </w:r>
    </w:p>
    <w:p w:rsidR="00146421" w:rsidRPr="004457CB" w:rsidRDefault="00146421" w:rsidP="00146421">
      <w:pPr>
        <w:pStyle w:val="NormalBold"/>
        <w:rPr>
          <w:noProof/>
        </w:rPr>
      </w:pPr>
      <w:r w:rsidRPr="004457CB">
        <w:rPr>
          <w:rStyle w:val="HideTWBExt"/>
          <w:b w:val="0"/>
          <w:color w:val="auto"/>
        </w:rPr>
        <w:t>&lt;Article&gt;</w:t>
      </w:r>
      <w:r w:rsidRPr="004457CB">
        <w:t>Articolo 16 – paragrafo 1</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t>1.</w:t>
            </w:r>
            <w:r w:rsidRPr="004457CB">
              <w:tab/>
              <w:t xml:space="preserve">Entro </w:t>
            </w:r>
            <w:r w:rsidRPr="004457CB">
              <w:rPr>
                <w:b/>
                <w:i/>
              </w:rPr>
              <w:t>cinque</w:t>
            </w:r>
            <w:r w:rsidRPr="004457CB">
              <w:t xml:space="preserve"> anni dalla data di applicazione del presente regolamento, e successivamente ogni tre anni, la Commissione valuta l'attuazione, l'efficacia e il funzionamento del TLD .eu.</w:t>
            </w:r>
          </w:p>
        </w:tc>
        <w:tc>
          <w:tcPr>
            <w:tcW w:w="4876" w:type="dxa"/>
            <w:hideMark/>
          </w:tcPr>
          <w:p w:rsidR="00146421" w:rsidRPr="004457CB" w:rsidRDefault="00146421" w:rsidP="00084A45">
            <w:pPr>
              <w:pStyle w:val="Normal6"/>
              <w:rPr>
                <w:noProof/>
                <w:szCs w:val="24"/>
              </w:rPr>
            </w:pPr>
            <w:r w:rsidRPr="004457CB">
              <w:t>1.</w:t>
            </w:r>
            <w:r w:rsidRPr="004457CB">
              <w:tab/>
              <w:t xml:space="preserve">Entro </w:t>
            </w:r>
            <w:r w:rsidRPr="004457CB">
              <w:rPr>
                <w:b/>
                <w:i/>
              </w:rPr>
              <w:t>tre</w:t>
            </w:r>
            <w:r w:rsidRPr="004457CB">
              <w:t xml:space="preserve"> anni dalla data di applicazione del presente regolamento, e successivamente ogni tre anni, la Commissione valuta l'attuazione, l'efficacia e il funzionamento del TLD .eu</w:t>
            </w:r>
            <w:r w:rsidRPr="004457CB">
              <w:rPr>
                <w:b/>
                <w:i/>
              </w:rPr>
              <w:t>, sulla base in particolare delle informazioni fornite dal registro a norma dell'articolo 10, lettera k)</w:t>
            </w:r>
            <w:r w:rsidRPr="004457CB">
              <w:t>.</w:t>
            </w:r>
          </w:p>
        </w:tc>
      </w:tr>
    </w:tbl>
    <w:p w:rsidR="00146421" w:rsidRPr="004457CB" w:rsidRDefault="00146421" w:rsidP="00146421">
      <w:pPr>
        <w:rPr>
          <w:noProof/>
        </w:rPr>
      </w:pPr>
      <w:r w:rsidRPr="004457CB">
        <w:rPr>
          <w:rStyle w:val="HideTWBExt"/>
          <w:color w:val="auto"/>
        </w:rPr>
        <w:lastRenderedPageBreak/>
        <w:t>&lt;/Amend&gt;</w:t>
      </w:r>
    </w:p>
    <w:p w:rsidR="00146421" w:rsidRPr="004457CB" w:rsidRDefault="00146421" w:rsidP="00146421">
      <w:pPr>
        <w:pStyle w:val="AMNumberTabs"/>
        <w:keepNext/>
        <w:rPr>
          <w:noProof/>
        </w:rPr>
      </w:pPr>
      <w:r w:rsidRPr="004457CB">
        <w:rPr>
          <w:rStyle w:val="HideTWBExt"/>
          <w:b w:val="0"/>
          <w:color w:val="auto"/>
          <w:lang w:val="en-GB"/>
        </w:rPr>
        <w:t>&lt;Amend&gt;</w:t>
      </w:r>
      <w:r w:rsidRPr="004457CB">
        <w:t>Emendamento</w:t>
      </w:r>
      <w:r w:rsidRPr="004457CB">
        <w:tab/>
      </w:r>
      <w:r w:rsidRPr="004457CB">
        <w:tab/>
      </w:r>
      <w:r w:rsidRPr="004457CB">
        <w:rPr>
          <w:rStyle w:val="HideTWBExt"/>
          <w:b w:val="0"/>
          <w:color w:val="auto"/>
          <w:lang w:val="en-GB"/>
        </w:rPr>
        <w:t>&lt;NumAm&gt;</w:t>
      </w:r>
      <w:r w:rsidRPr="004457CB">
        <w:t>43</w:t>
      </w:r>
      <w:r w:rsidRPr="004457CB">
        <w:rPr>
          <w:rStyle w:val="HideTWBExt"/>
          <w:b w:val="0"/>
          <w:color w:val="auto"/>
          <w:lang w:val="en-GB"/>
        </w:rPr>
        <w:t>&lt;/NumAm&gt;</w:t>
      </w:r>
    </w:p>
    <w:p w:rsidR="00146421" w:rsidRPr="004457CB" w:rsidRDefault="00146421" w:rsidP="00146421">
      <w:pPr>
        <w:rPr>
          <w:noProof/>
          <w:lang w:val="en-GB"/>
        </w:rPr>
      </w:pPr>
    </w:p>
    <w:p w:rsidR="00146421" w:rsidRPr="004457CB" w:rsidRDefault="00146421" w:rsidP="00146421">
      <w:pPr>
        <w:pStyle w:val="NormalBold"/>
        <w:keepNext/>
        <w:rPr>
          <w:noProof/>
        </w:rPr>
      </w:pPr>
      <w:r w:rsidRPr="004457CB">
        <w:rPr>
          <w:rStyle w:val="HideTWBExt"/>
          <w:b w:val="0"/>
          <w:color w:val="auto"/>
          <w:lang w:val="en-GB"/>
        </w:rPr>
        <w:t>&lt;DocAmend&gt;</w:t>
      </w:r>
      <w:r w:rsidRPr="004457CB">
        <w:t>Proposta di regolamento</w:t>
      </w:r>
      <w:r w:rsidRPr="004457CB">
        <w:rPr>
          <w:rStyle w:val="HideTWBExt"/>
          <w:b w:val="0"/>
          <w:color w:val="auto"/>
          <w:lang w:val="en-GB"/>
        </w:rPr>
        <w:t>&lt;/DocAmend&gt;</w:t>
      </w:r>
    </w:p>
    <w:p w:rsidR="00146421" w:rsidRPr="004457CB" w:rsidRDefault="00146421" w:rsidP="00146421">
      <w:pPr>
        <w:pStyle w:val="NormalBold"/>
        <w:rPr>
          <w:noProof/>
        </w:rPr>
      </w:pPr>
      <w:r w:rsidRPr="004457CB">
        <w:rPr>
          <w:rStyle w:val="HideTWBExt"/>
          <w:b w:val="0"/>
          <w:color w:val="auto"/>
          <w:lang w:val="fr-FR"/>
        </w:rPr>
        <w:t>&lt;Article&gt;</w:t>
      </w:r>
      <w:r w:rsidRPr="004457CB">
        <w:t>Articolo 16 – paragrafo 1 bis (nuovo)</w:t>
      </w:r>
      <w:r w:rsidRPr="004457CB">
        <w:rPr>
          <w:rStyle w:val="HideTWBExt"/>
          <w:b w:val="0"/>
          <w:color w:val="auto"/>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lang w:val="fr-FR"/>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tcPr>
          <w:p w:rsidR="00146421" w:rsidRPr="004457CB" w:rsidRDefault="00146421" w:rsidP="00084A45">
            <w:pPr>
              <w:pStyle w:val="Normal6"/>
              <w:rPr>
                <w:noProof/>
              </w:rPr>
            </w:pPr>
          </w:p>
        </w:tc>
        <w:tc>
          <w:tcPr>
            <w:tcW w:w="4876" w:type="dxa"/>
            <w:hideMark/>
          </w:tcPr>
          <w:p w:rsidR="00146421" w:rsidRPr="004457CB" w:rsidRDefault="00146421" w:rsidP="00084A45">
            <w:pPr>
              <w:pStyle w:val="Normal6"/>
              <w:rPr>
                <w:noProof/>
                <w:szCs w:val="24"/>
              </w:rPr>
            </w:pPr>
            <w:r w:rsidRPr="004457CB">
              <w:rPr>
                <w:b/>
                <w:i/>
              </w:rPr>
              <w:t>1 bis.</w:t>
            </w:r>
            <w:r w:rsidRPr="004457CB">
              <w:rPr>
                <w:b/>
                <w:i/>
              </w:rPr>
              <w:tab/>
              <w:t>La Commissione valuta, entro ... [inserire la data: tre anni a partire dalla data di applicazione del presente regolamento], il ruolo del presente regolamento nel prevenire l'accaparramento dei nomi di dominio (cybersquatting) e nel fornire procedure amministrative semplici, in particolare per le PMI. Valuta altresì l'eventuale ruolo dell'EUIPO e di altre agenzie dell'Unione nella registrazione di nomi TLD .eu e, se del caso, intraprende azioni appropriate, ad esempio proponendo misure legislative adeguate.</w:t>
            </w:r>
          </w:p>
        </w:tc>
      </w:tr>
    </w:tbl>
    <w:p w:rsidR="00146421" w:rsidRPr="004457CB" w:rsidRDefault="00146421" w:rsidP="00146421">
      <w:pPr>
        <w:rPr>
          <w:noProof/>
        </w:rPr>
      </w:pPr>
      <w:r w:rsidRPr="004457CB">
        <w:rPr>
          <w:rStyle w:val="HideTWBExt"/>
          <w:color w:val="auto"/>
          <w:lang w:val="en-GB"/>
        </w:rPr>
        <w:t>&lt;/Amend&gt;</w:t>
      </w:r>
    </w:p>
    <w:p w:rsidR="00146421" w:rsidRPr="004457CB" w:rsidRDefault="00146421" w:rsidP="00146421">
      <w:pPr>
        <w:pStyle w:val="AMNumberTabs"/>
        <w:keepNext/>
        <w:rPr>
          <w:noProof/>
        </w:rPr>
      </w:pPr>
      <w:r w:rsidRPr="004457CB">
        <w:rPr>
          <w:rStyle w:val="HideTWBExt"/>
          <w:b w:val="0"/>
          <w:color w:val="auto"/>
          <w:lang w:val="en-GB"/>
        </w:rPr>
        <w:t>&lt;Amend&gt;</w:t>
      </w:r>
      <w:r w:rsidRPr="004457CB">
        <w:t>Emendamento</w:t>
      </w:r>
      <w:r w:rsidRPr="004457CB">
        <w:tab/>
      </w:r>
      <w:r w:rsidRPr="004457CB">
        <w:tab/>
      </w:r>
      <w:r w:rsidRPr="004457CB">
        <w:rPr>
          <w:rStyle w:val="HideTWBExt"/>
          <w:b w:val="0"/>
          <w:color w:val="auto"/>
          <w:lang w:val="en-GB"/>
        </w:rPr>
        <w:t>&lt;NumAm&gt;</w:t>
      </w:r>
      <w:r w:rsidRPr="004457CB">
        <w:t>44</w:t>
      </w:r>
      <w:r w:rsidRPr="004457CB">
        <w:rPr>
          <w:rStyle w:val="HideTWBExt"/>
          <w:b w:val="0"/>
          <w:color w:val="auto"/>
          <w:lang w:val="en-GB"/>
        </w:rPr>
        <w:t>&lt;/NumAm&gt;</w:t>
      </w:r>
    </w:p>
    <w:p w:rsidR="00146421" w:rsidRPr="004457CB" w:rsidRDefault="00146421" w:rsidP="00146421">
      <w:pPr>
        <w:rPr>
          <w:noProof/>
          <w:lang w:val="en-GB"/>
        </w:rPr>
      </w:pPr>
    </w:p>
    <w:p w:rsidR="00146421" w:rsidRPr="004457CB" w:rsidRDefault="00146421" w:rsidP="00146421">
      <w:pPr>
        <w:pStyle w:val="NormalBold"/>
        <w:keepNext/>
        <w:rPr>
          <w:noProof/>
        </w:rPr>
      </w:pPr>
      <w:r w:rsidRPr="004457CB">
        <w:rPr>
          <w:rStyle w:val="HideTWBExt"/>
          <w:b w:val="0"/>
          <w:color w:val="auto"/>
          <w:lang w:val="en-GB"/>
        </w:rPr>
        <w:t>&lt;DocAmend&gt;</w:t>
      </w:r>
      <w:r w:rsidRPr="004457CB">
        <w:t>Proposta di regolamento</w:t>
      </w:r>
      <w:r w:rsidRPr="004457CB">
        <w:rPr>
          <w:rStyle w:val="HideTWBExt"/>
          <w:b w:val="0"/>
          <w:color w:val="auto"/>
          <w:lang w:val="en-GB"/>
        </w:rPr>
        <w:t>&lt;/DocAmend&gt;</w:t>
      </w:r>
    </w:p>
    <w:p w:rsidR="00146421" w:rsidRPr="004457CB" w:rsidRDefault="00146421" w:rsidP="00146421">
      <w:pPr>
        <w:pStyle w:val="NormalBold"/>
        <w:rPr>
          <w:noProof/>
        </w:rPr>
      </w:pPr>
      <w:r w:rsidRPr="004457CB">
        <w:rPr>
          <w:rStyle w:val="HideTWBExt"/>
          <w:b w:val="0"/>
          <w:color w:val="auto"/>
        </w:rPr>
        <w:t>&lt;Article&gt;</w:t>
      </w:r>
      <w:r w:rsidRPr="004457CB">
        <w:t>Articolo 16 – paragrafo 2</w:t>
      </w:r>
      <w:r w:rsidRPr="004457CB">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hideMark/>
          </w:tcPr>
          <w:p w:rsidR="00146421" w:rsidRPr="004457CB" w:rsidRDefault="00146421" w:rsidP="00084A45">
            <w:pPr>
              <w:pStyle w:val="Normal6"/>
              <w:rPr>
                <w:noProof/>
              </w:rPr>
            </w:pPr>
            <w:r w:rsidRPr="004457CB">
              <w:t>2.</w:t>
            </w:r>
            <w:r w:rsidRPr="004457CB">
              <w:tab/>
              <w:t xml:space="preserve">La Commissione presenta al Parlamento europeo e al Consiglio una relazione contenente i risultati della valutazione di cui </w:t>
            </w:r>
            <w:r w:rsidRPr="004457CB">
              <w:rPr>
                <w:b/>
                <w:i/>
              </w:rPr>
              <w:t>al paragrafo</w:t>
            </w:r>
            <w:r w:rsidRPr="004457CB">
              <w:t xml:space="preserve"> 1.</w:t>
            </w:r>
          </w:p>
        </w:tc>
        <w:tc>
          <w:tcPr>
            <w:tcW w:w="4876" w:type="dxa"/>
            <w:hideMark/>
          </w:tcPr>
          <w:p w:rsidR="00146421" w:rsidRPr="004457CB" w:rsidRDefault="00146421" w:rsidP="00084A45">
            <w:pPr>
              <w:pStyle w:val="Normal6"/>
              <w:rPr>
                <w:noProof/>
                <w:szCs w:val="24"/>
              </w:rPr>
            </w:pPr>
            <w:r w:rsidRPr="004457CB">
              <w:t>2.</w:t>
            </w:r>
            <w:r w:rsidRPr="004457CB">
              <w:tab/>
              <w:t xml:space="preserve">La Commissione presenta al Parlamento europeo e al Consiglio una relazione contenente i risultati della valutazione di cui </w:t>
            </w:r>
            <w:r w:rsidRPr="004457CB">
              <w:rPr>
                <w:b/>
                <w:i/>
              </w:rPr>
              <w:t>ai paragrafi</w:t>
            </w:r>
            <w:r w:rsidRPr="004457CB">
              <w:t xml:space="preserve"> 1</w:t>
            </w:r>
            <w:r w:rsidRPr="004457CB">
              <w:rPr>
                <w:b/>
                <w:i/>
              </w:rPr>
              <w:t xml:space="preserve"> e 1 bis corredandoli, se del caso, di opportune proposte legislative</w:t>
            </w:r>
            <w:r w:rsidRPr="004457CB">
              <w:t>.</w:t>
            </w:r>
          </w:p>
        </w:tc>
      </w:tr>
    </w:tbl>
    <w:p w:rsidR="00146421" w:rsidRPr="004457CB" w:rsidRDefault="00146421" w:rsidP="00146421">
      <w:pPr>
        <w:rPr>
          <w:noProof/>
        </w:rPr>
      </w:pPr>
      <w:r w:rsidRPr="004457CB">
        <w:rPr>
          <w:rStyle w:val="HideTWBExt"/>
          <w:color w:val="auto"/>
          <w:lang w:val="en-GB"/>
        </w:rPr>
        <w:t>&lt;/Amend&gt;</w:t>
      </w:r>
    </w:p>
    <w:p w:rsidR="00146421" w:rsidRPr="004457CB" w:rsidRDefault="00146421" w:rsidP="00146421">
      <w:pPr>
        <w:pStyle w:val="AMNumberTabs"/>
        <w:keepNext/>
        <w:rPr>
          <w:noProof/>
        </w:rPr>
      </w:pPr>
      <w:r w:rsidRPr="004457CB">
        <w:rPr>
          <w:rStyle w:val="HideTWBExt"/>
          <w:b w:val="0"/>
          <w:color w:val="auto"/>
          <w:lang w:val="en-GB"/>
        </w:rPr>
        <w:t>&lt;Amend&gt;</w:t>
      </w:r>
      <w:r w:rsidRPr="004457CB">
        <w:t>Emendamento</w:t>
      </w:r>
      <w:r w:rsidRPr="004457CB">
        <w:tab/>
      </w:r>
      <w:r w:rsidRPr="004457CB">
        <w:tab/>
      </w:r>
      <w:r w:rsidRPr="004457CB">
        <w:rPr>
          <w:rStyle w:val="HideTWBExt"/>
          <w:b w:val="0"/>
          <w:color w:val="auto"/>
          <w:lang w:val="en-GB"/>
        </w:rPr>
        <w:t>&lt;NumAm&gt;</w:t>
      </w:r>
      <w:r w:rsidRPr="004457CB">
        <w:t>45</w:t>
      </w:r>
      <w:r w:rsidRPr="004457CB">
        <w:rPr>
          <w:rStyle w:val="HideTWBExt"/>
          <w:b w:val="0"/>
          <w:color w:val="auto"/>
          <w:lang w:val="en-GB"/>
        </w:rPr>
        <w:t>&lt;/NumAm&gt;</w:t>
      </w:r>
    </w:p>
    <w:p w:rsidR="00146421" w:rsidRPr="004457CB" w:rsidRDefault="00146421" w:rsidP="00146421">
      <w:pPr>
        <w:rPr>
          <w:noProof/>
          <w:lang w:val="en-GB"/>
        </w:rPr>
      </w:pPr>
    </w:p>
    <w:p w:rsidR="00146421" w:rsidRPr="004457CB" w:rsidRDefault="00146421" w:rsidP="00146421">
      <w:pPr>
        <w:pStyle w:val="NormalBold"/>
        <w:keepNext/>
        <w:rPr>
          <w:noProof/>
        </w:rPr>
      </w:pPr>
      <w:r w:rsidRPr="004457CB">
        <w:rPr>
          <w:rStyle w:val="HideTWBExt"/>
          <w:b w:val="0"/>
          <w:color w:val="auto"/>
          <w:lang w:val="en-GB"/>
        </w:rPr>
        <w:t>&lt;DocAmend&gt;</w:t>
      </w:r>
      <w:r w:rsidRPr="004457CB">
        <w:t>Proposta di regolamento</w:t>
      </w:r>
      <w:r w:rsidRPr="004457CB">
        <w:rPr>
          <w:rStyle w:val="HideTWBExt"/>
          <w:b w:val="0"/>
          <w:color w:val="auto"/>
          <w:lang w:val="en-GB"/>
        </w:rPr>
        <w:t>&lt;/DocAmend&gt;</w:t>
      </w:r>
    </w:p>
    <w:p w:rsidR="00146421" w:rsidRPr="004457CB" w:rsidRDefault="00146421" w:rsidP="00146421">
      <w:pPr>
        <w:pStyle w:val="NormalBold"/>
        <w:rPr>
          <w:noProof/>
        </w:rPr>
      </w:pPr>
      <w:r w:rsidRPr="004457CB">
        <w:rPr>
          <w:rStyle w:val="HideTWBExt"/>
          <w:b w:val="0"/>
          <w:color w:val="auto"/>
          <w:lang w:val="fr-FR"/>
        </w:rPr>
        <w:t>&lt;Article&gt;</w:t>
      </w:r>
      <w:r w:rsidRPr="004457CB">
        <w:t>Articolo 17 bis (nuovo)</w:t>
      </w:r>
      <w:r w:rsidRPr="004457CB">
        <w:rPr>
          <w:rStyle w:val="HideTWBExt"/>
          <w:b w:val="0"/>
          <w:color w:val="auto"/>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457CB" w:rsidRPr="004457CB" w:rsidTr="00084A45">
        <w:trPr>
          <w:jc w:val="center"/>
        </w:trPr>
        <w:tc>
          <w:tcPr>
            <w:tcW w:w="9752" w:type="dxa"/>
            <w:gridSpan w:val="2"/>
          </w:tcPr>
          <w:p w:rsidR="00146421" w:rsidRPr="004457CB" w:rsidRDefault="00146421" w:rsidP="00084A45">
            <w:pPr>
              <w:keepNext/>
              <w:rPr>
                <w:noProof/>
                <w:lang w:val="fr-FR"/>
              </w:rPr>
            </w:pPr>
          </w:p>
        </w:tc>
      </w:tr>
      <w:tr w:rsidR="004457CB" w:rsidRPr="004457CB" w:rsidTr="00084A45">
        <w:trPr>
          <w:jc w:val="center"/>
        </w:trPr>
        <w:tc>
          <w:tcPr>
            <w:tcW w:w="4876" w:type="dxa"/>
            <w:hideMark/>
          </w:tcPr>
          <w:p w:rsidR="00146421" w:rsidRPr="004457CB" w:rsidRDefault="00146421" w:rsidP="00084A45">
            <w:pPr>
              <w:pStyle w:val="ColumnHeading"/>
              <w:keepNext/>
              <w:rPr>
                <w:noProof/>
              </w:rPr>
            </w:pPr>
            <w:r w:rsidRPr="004457CB">
              <w:t>Testo della Commissione</w:t>
            </w:r>
          </w:p>
        </w:tc>
        <w:tc>
          <w:tcPr>
            <w:tcW w:w="4876" w:type="dxa"/>
            <w:hideMark/>
          </w:tcPr>
          <w:p w:rsidR="00146421" w:rsidRPr="004457CB" w:rsidRDefault="00146421" w:rsidP="00084A45">
            <w:pPr>
              <w:pStyle w:val="ColumnHeading"/>
              <w:keepNext/>
              <w:rPr>
                <w:noProof/>
              </w:rPr>
            </w:pPr>
            <w:r w:rsidRPr="004457CB">
              <w:t>Emendamento</w:t>
            </w:r>
          </w:p>
        </w:tc>
      </w:tr>
      <w:tr w:rsidR="004457CB" w:rsidRPr="004457CB" w:rsidTr="00084A45">
        <w:trPr>
          <w:jc w:val="center"/>
        </w:trPr>
        <w:tc>
          <w:tcPr>
            <w:tcW w:w="4876" w:type="dxa"/>
          </w:tcPr>
          <w:p w:rsidR="00146421" w:rsidRPr="004457CB" w:rsidRDefault="00146421" w:rsidP="00084A45">
            <w:pPr>
              <w:pStyle w:val="Normal6"/>
              <w:rPr>
                <w:noProof/>
              </w:rPr>
            </w:pPr>
          </w:p>
        </w:tc>
        <w:tc>
          <w:tcPr>
            <w:tcW w:w="4876" w:type="dxa"/>
            <w:hideMark/>
          </w:tcPr>
          <w:p w:rsidR="00146421" w:rsidRPr="004457CB" w:rsidRDefault="00146421" w:rsidP="00084A45">
            <w:pPr>
              <w:pStyle w:val="Normal6"/>
              <w:jc w:val="center"/>
              <w:rPr>
                <w:noProof/>
                <w:szCs w:val="24"/>
              </w:rPr>
            </w:pPr>
            <w:r w:rsidRPr="004457CB">
              <w:rPr>
                <w:b/>
                <w:i/>
              </w:rPr>
              <w:t>Articolo 17 bis</w:t>
            </w:r>
          </w:p>
        </w:tc>
      </w:tr>
      <w:tr w:rsidR="004457CB" w:rsidRPr="004457CB" w:rsidTr="00084A45">
        <w:trPr>
          <w:jc w:val="center"/>
        </w:trPr>
        <w:tc>
          <w:tcPr>
            <w:tcW w:w="4876" w:type="dxa"/>
          </w:tcPr>
          <w:p w:rsidR="00146421" w:rsidRPr="004457CB" w:rsidRDefault="00146421" w:rsidP="00084A45">
            <w:pPr>
              <w:pStyle w:val="Normal6"/>
              <w:rPr>
                <w:noProof/>
              </w:rPr>
            </w:pPr>
          </w:p>
        </w:tc>
        <w:tc>
          <w:tcPr>
            <w:tcW w:w="4876" w:type="dxa"/>
            <w:hideMark/>
          </w:tcPr>
          <w:p w:rsidR="00146421" w:rsidRPr="004457CB" w:rsidRDefault="00146421" w:rsidP="00084A45">
            <w:pPr>
              <w:pStyle w:val="Normal6"/>
              <w:jc w:val="center"/>
              <w:rPr>
                <w:noProof/>
                <w:szCs w:val="24"/>
              </w:rPr>
            </w:pPr>
            <w:r w:rsidRPr="004457CB">
              <w:rPr>
                <w:b/>
                <w:i/>
              </w:rPr>
              <w:t>Esercizio della delega</w:t>
            </w:r>
          </w:p>
        </w:tc>
      </w:tr>
      <w:tr w:rsidR="004457CB" w:rsidRPr="004457CB" w:rsidTr="00084A45">
        <w:trPr>
          <w:jc w:val="center"/>
        </w:trPr>
        <w:tc>
          <w:tcPr>
            <w:tcW w:w="4876" w:type="dxa"/>
          </w:tcPr>
          <w:p w:rsidR="00146421" w:rsidRPr="004457CB" w:rsidRDefault="00146421" w:rsidP="00084A45">
            <w:pPr>
              <w:pStyle w:val="Normal6"/>
              <w:rPr>
                <w:noProof/>
              </w:rPr>
            </w:pPr>
          </w:p>
        </w:tc>
        <w:tc>
          <w:tcPr>
            <w:tcW w:w="4876" w:type="dxa"/>
            <w:hideMark/>
          </w:tcPr>
          <w:p w:rsidR="00146421" w:rsidRPr="004457CB" w:rsidRDefault="00146421" w:rsidP="00084A45">
            <w:pPr>
              <w:pStyle w:val="Normal6"/>
              <w:rPr>
                <w:noProof/>
                <w:szCs w:val="24"/>
              </w:rPr>
            </w:pPr>
            <w:r w:rsidRPr="004457CB">
              <w:rPr>
                <w:b/>
                <w:i/>
              </w:rPr>
              <w:t xml:space="preserve">1. </w:t>
            </w:r>
            <w:r w:rsidRPr="004457CB">
              <w:tab/>
            </w:r>
            <w:r w:rsidRPr="004457CB">
              <w:rPr>
                <w:b/>
                <w:i/>
              </w:rPr>
              <w:t xml:space="preserve">Il potere di adottare atti delegati di cui all'articolo 8, paragrafo 1, è conferito alla Commissione alle condizioni stabilite nel presente articolo. </w:t>
            </w:r>
          </w:p>
        </w:tc>
      </w:tr>
      <w:tr w:rsidR="004457CB" w:rsidRPr="004457CB" w:rsidTr="00084A45">
        <w:trPr>
          <w:jc w:val="center"/>
        </w:trPr>
        <w:tc>
          <w:tcPr>
            <w:tcW w:w="4876" w:type="dxa"/>
          </w:tcPr>
          <w:p w:rsidR="00146421" w:rsidRPr="004457CB" w:rsidRDefault="00146421" w:rsidP="00084A45">
            <w:pPr>
              <w:pStyle w:val="Normal6"/>
              <w:rPr>
                <w:noProof/>
              </w:rPr>
            </w:pPr>
          </w:p>
        </w:tc>
        <w:tc>
          <w:tcPr>
            <w:tcW w:w="4876" w:type="dxa"/>
            <w:hideMark/>
          </w:tcPr>
          <w:p w:rsidR="00146421" w:rsidRPr="004457CB" w:rsidRDefault="00146421" w:rsidP="00084A45">
            <w:pPr>
              <w:pStyle w:val="Normal6"/>
              <w:rPr>
                <w:noProof/>
                <w:szCs w:val="24"/>
              </w:rPr>
            </w:pPr>
            <w:r w:rsidRPr="004457CB">
              <w:rPr>
                <w:b/>
                <w:i/>
              </w:rPr>
              <w:t xml:space="preserve">2. </w:t>
            </w:r>
            <w:r w:rsidRPr="004457CB">
              <w:tab/>
            </w:r>
            <w:r w:rsidRPr="004457CB">
              <w:rPr>
                <w:b/>
                <w:i/>
              </w:rPr>
              <w:t>Il potere di adottare atti delegati di cui all'articolo 8, paragrafo 1, è conferito alla Commissione per un periodo di cinque anni a decorrere da ... [data di entrata in vigore del presente regolamento]. La Commissione elabora una relazione sulla delega di potere al più tardi nove mesi prima della scadenza del periodo di cinque anni. La delega di potere è tacitamente prorogata per periodi di identica durata, a meno che il Parlamento europeo o il Consiglio non si oppongano a tale proroga al più tardi tre mesi prima della scadenza di ciascun periodo.</w:t>
            </w:r>
          </w:p>
        </w:tc>
      </w:tr>
      <w:tr w:rsidR="004457CB" w:rsidRPr="004457CB" w:rsidTr="00084A45">
        <w:trPr>
          <w:jc w:val="center"/>
        </w:trPr>
        <w:tc>
          <w:tcPr>
            <w:tcW w:w="4876" w:type="dxa"/>
          </w:tcPr>
          <w:p w:rsidR="00146421" w:rsidRPr="004457CB" w:rsidRDefault="00146421" w:rsidP="00084A45">
            <w:pPr>
              <w:pStyle w:val="Normal6"/>
              <w:rPr>
                <w:noProof/>
                <w:lang w:val="en-GB"/>
              </w:rPr>
            </w:pPr>
          </w:p>
        </w:tc>
        <w:tc>
          <w:tcPr>
            <w:tcW w:w="4876" w:type="dxa"/>
            <w:hideMark/>
          </w:tcPr>
          <w:p w:rsidR="00146421" w:rsidRPr="004457CB" w:rsidRDefault="00146421" w:rsidP="00084A45">
            <w:pPr>
              <w:pStyle w:val="Normal6"/>
              <w:rPr>
                <w:noProof/>
                <w:szCs w:val="24"/>
              </w:rPr>
            </w:pPr>
            <w:r w:rsidRPr="004457CB">
              <w:rPr>
                <w:b/>
                <w:i/>
              </w:rPr>
              <w:t xml:space="preserve">3. </w:t>
            </w:r>
            <w:r w:rsidRPr="004457CB">
              <w:tab/>
            </w:r>
            <w:r w:rsidRPr="004457CB">
              <w:rPr>
                <w:b/>
                <w:i/>
              </w:rPr>
              <w:t>La delega di potere di cui all'articolo 8, paragrafo 1, può essere revocata in qualsiasi momento dal Parlamento europeo o dal Consiglio. La decisione di revoca pone fine alla delega di potere ivi specificata. Gli effetti della decisione decorrono dal giorno successivo alla pubblicazione della decisione nella Gazzetta ufficiale dell'Unione europea o da una data successiva ivi specificata. Essa non pregiudica la validità degli atti delegati già in vigore.</w:t>
            </w:r>
          </w:p>
        </w:tc>
      </w:tr>
      <w:tr w:rsidR="004457CB" w:rsidRPr="004457CB" w:rsidTr="00084A45">
        <w:trPr>
          <w:jc w:val="center"/>
        </w:trPr>
        <w:tc>
          <w:tcPr>
            <w:tcW w:w="4876" w:type="dxa"/>
          </w:tcPr>
          <w:p w:rsidR="00146421" w:rsidRPr="004457CB" w:rsidRDefault="00146421" w:rsidP="00084A45">
            <w:pPr>
              <w:pStyle w:val="Normal6"/>
              <w:rPr>
                <w:noProof/>
              </w:rPr>
            </w:pPr>
          </w:p>
        </w:tc>
        <w:tc>
          <w:tcPr>
            <w:tcW w:w="4876" w:type="dxa"/>
            <w:hideMark/>
          </w:tcPr>
          <w:p w:rsidR="00146421" w:rsidRPr="004457CB" w:rsidRDefault="00146421" w:rsidP="00084A45">
            <w:pPr>
              <w:pStyle w:val="Normal6"/>
              <w:rPr>
                <w:noProof/>
                <w:szCs w:val="24"/>
              </w:rPr>
            </w:pPr>
            <w:r w:rsidRPr="004457CB">
              <w:rPr>
                <w:b/>
                <w:i/>
              </w:rPr>
              <w:t xml:space="preserve">4. </w:t>
            </w:r>
            <w:r w:rsidRPr="004457CB">
              <w:tab/>
            </w:r>
            <w:r w:rsidRPr="004457CB">
              <w:rPr>
                <w:b/>
                <w:i/>
              </w:rPr>
              <w:t>Prima dell'adozione dell'atto delegato, la Commissione consulta gli esperti designati da ciascuno Stato membro nel rispetto dei principi stabiliti nell'accordo interistituzionale "Legiferare meglio" del 13 aprile 2016.</w:t>
            </w:r>
          </w:p>
        </w:tc>
      </w:tr>
      <w:tr w:rsidR="004457CB" w:rsidRPr="004457CB" w:rsidTr="00084A45">
        <w:trPr>
          <w:jc w:val="center"/>
        </w:trPr>
        <w:tc>
          <w:tcPr>
            <w:tcW w:w="4876" w:type="dxa"/>
          </w:tcPr>
          <w:p w:rsidR="00146421" w:rsidRPr="004457CB" w:rsidRDefault="00146421" w:rsidP="00084A45">
            <w:pPr>
              <w:pStyle w:val="Normal6"/>
              <w:rPr>
                <w:noProof/>
                <w:lang w:val="en-GB"/>
              </w:rPr>
            </w:pPr>
          </w:p>
        </w:tc>
        <w:tc>
          <w:tcPr>
            <w:tcW w:w="4876" w:type="dxa"/>
            <w:hideMark/>
          </w:tcPr>
          <w:p w:rsidR="00146421" w:rsidRPr="004457CB" w:rsidRDefault="00146421" w:rsidP="00084A45">
            <w:pPr>
              <w:pStyle w:val="Normal6"/>
              <w:rPr>
                <w:noProof/>
                <w:szCs w:val="24"/>
              </w:rPr>
            </w:pPr>
            <w:r w:rsidRPr="004457CB">
              <w:rPr>
                <w:b/>
                <w:i/>
              </w:rPr>
              <w:t xml:space="preserve">5. </w:t>
            </w:r>
            <w:r w:rsidRPr="004457CB">
              <w:tab/>
            </w:r>
            <w:r w:rsidRPr="004457CB">
              <w:rPr>
                <w:b/>
                <w:i/>
              </w:rPr>
              <w:t>Non appena adotta un atto delegato, la Commissione ne dà contestualmente notifica al Parlamento europeo e al Consiglio.</w:t>
            </w:r>
          </w:p>
        </w:tc>
      </w:tr>
      <w:tr w:rsidR="004457CB" w:rsidRPr="004457CB" w:rsidTr="00084A45">
        <w:trPr>
          <w:jc w:val="center"/>
        </w:trPr>
        <w:tc>
          <w:tcPr>
            <w:tcW w:w="4876" w:type="dxa"/>
          </w:tcPr>
          <w:p w:rsidR="00146421" w:rsidRPr="004457CB" w:rsidRDefault="00146421" w:rsidP="00084A45">
            <w:pPr>
              <w:pStyle w:val="Normal6"/>
              <w:rPr>
                <w:noProof/>
              </w:rPr>
            </w:pPr>
          </w:p>
        </w:tc>
        <w:tc>
          <w:tcPr>
            <w:tcW w:w="4876" w:type="dxa"/>
            <w:hideMark/>
          </w:tcPr>
          <w:p w:rsidR="00146421" w:rsidRPr="004457CB" w:rsidRDefault="00146421" w:rsidP="00084A45">
            <w:pPr>
              <w:pStyle w:val="Normal6"/>
              <w:rPr>
                <w:noProof/>
                <w:szCs w:val="24"/>
              </w:rPr>
            </w:pPr>
            <w:r w:rsidRPr="004457CB">
              <w:rPr>
                <w:b/>
                <w:i/>
              </w:rPr>
              <w:t xml:space="preserve">6. </w:t>
            </w:r>
            <w:r w:rsidRPr="004457CB">
              <w:tab/>
            </w:r>
            <w:r w:rsidRPr="004457CB">
              <w:rPr>
                <w:b/>
                <w:i/>
              </w:rPr>
              <w:t xml:space="preserve">L'atto delegato adottato ai sensi dell'articolo 8, paragrafo 1, entra in vigore solo se né il Parlamento europeo né il Consiglio hanno sollevato obiezioni </w:t>
            </w:r>
            <w:r w:rsidRPr="004457CB">
              <w:rPr>
                <w:b/>
                <w:i/>
              </w:rPr>
              <w:lastRenderedPageBreak/>
              <w:t>entro il termine di due mesi dalla data in cui esso è stato loro notificato o se, prima della scadenza di tale termine, sia il Parlamento europeo sia il Consiglio hanno informato la Commissione che non intendono sollevare obiezioni. Tale termine è prorogato di due mesi su iniziativa del Parlamento europeo o del Consiglio.</w:t>
            </w:r>
          </w:p>
        </w:tc>
      </w:tr>
    </w:tbl>
    <w:p w:rsidR="00146421" w:rsidRPr="004457CB" w:rsidRDefault="00146421" w:rsidP="00146421">
      <w:pPr>
        <w:rPr>
          <w:noProof/>
        </w:rPr>
      </w:pPr>
      <w:r w:rsidRPr="004457CB">
        <w:rPr>
          <w:rStyle w:val="HideTWBExt"/>
          <w:color w:val="auto"/>
          <w:lang w:val="en-GB"/>
        </w:rPr>
        <w:lastRenderedPageBreak/>
        <w:t>&lt;/Amend&gt;</w:t>
      </w:r>
    </w:p>
    <w:p w:rsidR="00146421" w:rsidRPr="004457CB" w:rsidRDefault="00146421" w:rsidP="00146421">
      <w:pPr>
        <w:rPr>
          <w:noProof/>
          <w:lang w:val="en-GB"/>
        </w:rPr>
      </w:pPr>
    </w:p>
    <w:p w:rsidR="00146421" w:rsidRPr="004457CB" w:rsidRDefault="00146421" w:rsidP="00146421">
      <w:pPr>
        <w:pStyle w:val="AMNumberTabs"/>
        <w:rPr>
          <w:rStyle w:val="HideTWBExt"/>
          <w:color w:val="auto"/>
        </w:rPr>
      </w:pPr>
      <w:r w:rsidRPr="004457CB">
        <w:br w:type="page"/>
      </w:r>
      <w:r w:rsidRPr="004457CB">
        <w:rPr>
          <w:rStyle w:val="HideTWBExt"/>
          <w:color w:val="auto"/>
        </w:rPr>
        <w:lastRenderedPageBreak/>
        <w:t>&lt;/RepeatBlock-Amend&gt;</w:t>
      </w:r>
    </w:p>
    <w:p w:rsidR="00146421" w:rsidRPr="004457CB" w:rsidRDefault="00146421" w:rsidP="00146421">
      <w:pPr>
        <w:pStyle w:val="PageHeading"/>
        <w:rPr>
          <w:noProof/>
        </w:rPr>
      </w:pPr>
      <w:r w:rsidRPr="004457CB">
        <w:br w:type="page"/>
      </w:r>
      <w:bookmarkStart w:id="5" w:name="_Toc520969856"/>
      <w:bookmarkStart w:id="6" w:name="_Toc531011663"/>
      <w:bookmarkStart w:id="7" w:name="_Toc532206028"/>
      <w:r w:rsidRPr="004457CB">
        <w:lastRenderedPageBreak/>
        <w:t>MOTIVAZIONE</w:t>
      </w:r>
      <w:bookmarkEnd w:id="5"/>
      <w:bookmarkEnd w:id="6"/>
      <w:bookmarkEnd w:id="7"/>
    </w:p>
    <w:p w:rsidR="00146421" w:rsidRPr="004457CB" w:rsidRDefault="00146421" w:rsidP="00146421">
      <w:pPr>
        <w:rPr>
          <w:noProof/>
        </w:rPr>
      </w:pPr>
      <w:r w:rsidRPr="004457CB">
        <w:t>La nuova proposta sul dominio di primo livello .eu (TLD .eu) pubblicata dalla Commissione il 24 aprile 2018 è intesa ad abrogare le normative in vigore. Nonostante il dominio TLD .eu continui a funzionare correttamente, il quadro giuridico che lo disciplina deve essere adeguato ad un contesto e un mercato online in evoluzione.</w:t>
      </w:r>
    </w:p>
    <w:p w:rsidR="00146421" w:rsidRPr="004457CB" w:rsidRDefault="00146421" w:rsidP="00146421">
      <w:pPr>
        <w:rPr>
          <w:noProof/>
        </w:rPr>
      </w:pPr>
    </w:p>
    <w:p w:rsidR="00146421" w:rsidRPr="004457CB" w:rsidRDefault="00146421" w:rsidP="00146421">
      <w:pPr>
        <w:rPr>
          <w:noProof/>
        </w:rPr>
      </w:pPr>
      <w:r w:rsidRPr="004457CB">
        <w:t>In linea con gli obiettivi della strategia per il mercato unico digitale, la presente iniziativa è volta a garantire che un TLD che ha funzionato relativamente bene continui a farlo in futuro, onde garantire che i benefici ad esso collegati possano raggiungere il maggior numero possibile di cittadini nel prossimo futuro.</w:t>
      </w:r>
    </w:p>
    <w:p w:rsidR="00146421" w:rsidRPr="004457CB" w:rsidRDefault="00146421" w:rsidP="00146421">
      <w:pPr>
        <w:rPr>
          <w:noProof/>
        </w:rPr>
      </w:pPr>
    </w:p>
    <w:p w:rsidR="00146421" w:rsidRPr="004457CB" w:rsidRDefault="00146421" w:rsidP="00146421">
      <w:pPr>
        <w:rPr>
          <w:noProof/>
        </w:rPr>
      </w:pPr>
      <w:r w:rsidRPr="004457CB">
        <w:t xml:space="preserve">Il relatore accoglie con favore la proposta e condivide l'obiettivo di stare al passo con la rapida evoluzione del mercato TLD e con un panorama digitale dinamico, che necessitano di un ambiente normativo flessibile e adeguato alle esigenze future. </w:t>
      </w:r>
    </w:p>
    <w:p w:rsidR="00146421" w:rsidRPr="004457CB" w:rsidRDefault="00146421" w:rsidP="00146421">
      <w:pPr>
        <w:rPr>
          <w:noProof/>
          <w:lang w:val="en-GB"/>
        </w:rPr>
      </w:pPr>
    </w:p>
    <w:p w:rsidR="00146421" w:rsidRPr="004457CB" w:rsidRDefault="00146421" w:rsidP="00146421">
      <w:pPr>
        <w:rPr>
          <w:noProof/>
        </w:rPr>
      </w:pPr>
      <w:r w:rsidRPr="004457CB">
        <w:t xml:space="preserve">L'esistenza di un nome di dominio specifico per l'Unione è molto importante per l'identità online dell'UE. Il relatore è del parere che si tratti di un'opportunità per le istituzioni, le imprese e i cittadini di avere la possibilità di accedere a un TLD .eu. Essi potranno infatti essere facilmente identificati come parte della comunità dell'UE che condivide lo stesso insieme di norme e valori. </w:t>
      </w:r>
    </w:p>
    <w:p w:rsidR="00146421" w:rsidRPr="004457CB" w:rsidRDefault="00146421" w:rsidP="00146421">
      <w:pPr>
        <w:rPr>
          <w:noProof/>
          <w:lang w:val="en-GB"/>
        </w:rPr>
      </w:pPr>
    </w:p>
    <w:p w:rsidR="00146421" w:rsidRPr="004457CB" w:rsidRDefault="00146421" w:rsidP="00146421">
      <w:pPr>
        <w:rPr>
          <w:noProof/>
        </w:rPr>
      </w:pPr>
      <w:r w:rsidRPr="004457CB">
        <w:t xml:space="preserve">La proposta stabilisce i principi generali della registrazione del nome di dominio di primo livello .eu. Ne definisce i criteri di ammissibilità, le condizioni generali di registrazione e di revoca dei nomi di dominio, le lingue, il diritto applicabile e la giurisdizione competente, le procedure per la riserva dei nomi di dominio da parte del registro, della Commissione e degli Stati membri e le procedure di accreditamento per i registrar. </w:t>
      </w:r>
    </w:p>
    <w:p w:rsidR="00146421" w:rsidRPr="004457CB" w:rsidRDefault="00146421" w:rsidP="00146421">
      <w:pPr>
        <w:rPr>
          <w:noProof/>
          <w:lang w:val="en-GB"/>
        </w:rPr>
      </w:pPr>
    </w:p>
    <w:p w:rsidR="00146421" w:rsidRPr="004457CB" w:rsidRDefault="00146421" w:rsidP="00146421">
      <w:pPr>
        <w:rPr>
          <w:noProof/>
        </w:rPr>
      </w:pPr>
      <w:r w:rsidRPr="004457CB">
        <w:t>Registro: le disposizioni riguardano la designazione del registro da parte della Commissione, le sue caratteristiche e i suoi obblighi fondamentali. La proposta stabilisce inoltre un elenco di principi e procedure relativi al funzionamento del TLD .eu da includere nel contratto con il registro.</w:t>
      </w:r>
    </w:p>
    <w:p w:rsidR="00146421" w:rsidRPr="004457CB" w:rsidRDefault="00146421" w:rsidP="00146421">
      <w:pPr>
        <w:rPr>
          <w:noProof/>
        </w:rPr>
      </w:pPr>
    </w:p>
    <w:p w:rsidR="00146421" w:rsidRPr="004457CB" w:rsidRDefault="00146421" w:rsidP="00146421">
      <w:pPr>
        <w:rPr>
          <w:noProof/>
        </w:rPr>
      </w:pPr>
      <w:r w:rsidRPr="004457CB">
        <w:t xml:space="preserve">Pur sostenendo i principi generali, il relatore intende sostenere la promozione di valori dell'UE quali il multilinguismo, il rispetto della riservatezza e della sicurezza degli utenti, la tutela dei consumatori e i diritti umani. Specie per quanto riguarda la questione della tutela dello Stato di diritto, il relatore suggerisce salvaguardie aggiuntive. </w:t>
      </w:r>
    </w:p>
    <w:p w:rsidR="00146421" w:rsidRPr="004457CB" w:rsidRDefault="00146421" w:rsidP="00146421">
      <w:pPr>
        <w:rPr>
          <w:noProof/>
          <w:lang w:val="en-GB"/>
        </w:rPr>
      </w:pPr>
    </w:p>
    <w:p w:rsidR="00146421" w:rsidRPr="004457CB" w:rsidRDefault="00146421" w:rsidP="00146421">
      <w:pPr>
        <w:rPr>
          <w:noProof/>
        </w:rPr>
      </w:pPr>
      <w:r w:rsidRPr="004457CB">
        <w:t xml:space="preserve">Il relatore auspica inoltre un migliore controllo da parte del Parlamento europeo sulla definizione dei criteri e della procedura per la designazione del registro mediante atti delegati. </w:t>
      </w:r>
    </w:p>
    <w:p w:rsidR="00146421" w:rsidRPr="004457CB" w:rsidRDefault="00146421" w:rsidP="00146421">
      <w:pPr>
        <w:pStyle w:val="PageHeading"/>
        <w:rPr>
          <w:noProof/>
          <w:szCs w:val="24"/>
        </w:rPr>
      </w:pPr>
      <w:r w:rsidRPr="004457CB">
        <w:br w:type="page"/>
      </w:r>
      <w:bookmarkStart w:id="8" w:name="_Toc531011664"/>
      <w:bookmarkStart w:id="9" w:name="FootprintPageRR"/>
      <w:bookmarkStart w:id="10" w:name="_Toc532206029"/>
      <w:r w:rsidRPr="004457CB">
        <w:t>ALLEGATO: ELENCO DELLE ENTITÀ O DELLE PERSONE</w:t>
      </w:r>
      <w:r w:rsidRPr="004457CB">
        <w:cr/>
      </w:r>
      <w:r w:rsidRPr="004457CB">
        <w:br/>
        <w:t>DA CUI IL RELATORE HA RICEVUTO CONTRIBUTI</w:t>
      </w:r>
      <w:bookmarkEnd w:id="10"/>
      <w:r w:rsidRPr="004457CB">
        <w:cr/>
      </w:r>
      <w:r w:rsidRPr="004457CB">
        <w:br/>
      </w:r>
      <w:bookmarkEnd w:id="8"/>
    </w:p>
    <w:p w:rsidR="00146421" w:rsidRPr="004457CB" w:rsidRDefault="00146421" w:rsidP="00146421">
      <w:pPr>
        <w:pStyle w:val="Normal24a12b"/>
        <w:rPr>
          <w:noProof/>
        </w:rPr>
      </w:pPr>
      <w:r w:rsidRPr="004457CB">
        <w:rPr>
          <w:rStyle w:val="HideTWBExt"/>
          <w:color w:val="auto"/>
        </w:rPr>
        <w:t>&lt;FootprintIntro&gt;</w:t>
      </w:r>
      <w:r w:rsidRPr="004457CB">
        <w:t>L'elenco in appresso è compilato su base puramente volontaria, sotto l'esclusiva responsabilità del relatore. Nel corso dell'elaborazione del progetto di relazione, il relatore ha ricevuto contributi dalle seguenti entità o persone:</w:t>
      </w:r>
      <w:r w:rsidRPr="004457CB">
        <w:rPr>
          <w:rStyle w:val="HideTWBExt"/>
          <w:color w:val="auto"/>
        </w:rPr>
        <w:t>&lt;/FootprintIntro&gt;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457CB" w:rsidRPr="004457CB" w:rsidTr="00084A45">
        <w:tc>
          <w:tcPr>
            <w:tcW w:w="9286" w:type="dxa"/>
            <w:shd w:val="clear" w:color="auto" w:fill="auto"/>
          </w:tcPr>
          <w:p w:rsidR="00146421" w:rsidRPr="004457CB" w:rsidRDefault="00146421" w:rsidP="00084A45">
            <w:pPr>
              <w:pStyle w:val="NormalBoldCentre"/>
              <w:rPr>
                <w:noProof/>
              </w:rPr>
            </w:pPr>
            <w:r w:rsidRPr="004457CB">
              <w:t>Entità e/o persona</w:t>
            </w:r>
          </w:p>
        </w:tc>
      </w:tr>
      <w:tr w:rsidR="004457CB" w:rsidRPr="004457CB" w:rsidTr="00084A45">
        <w:tc>
          <w:tcPr>
            <w:tcW w:w="9286" w:type="dxa"/>
            <w:shd w:val="clear" w:color="auto" w:fill="auto"/>
          </w:tcPr>
          <w:p w:rsidR="00146421" w:rsidRPr="004457CB" w:rsidRDefault="00146421" w:rsidP="00084A45">
            <w:pPr>
              <w:rPr>
                <w:noProof/>
              </w:rPr>
            </w:pPr>
            <w:r w:rsidRPr="004457CB">
              <w:t>Commissione europea</w:t>
            </w:r>
          </w:p>
        </w:tc>
      </w:tr>
      <w:tr w:rsidR="004457CB" w:rsidRPr="004457CB" w:rsidTr="00084A45">
        <w:tc>
          <w:tcPr>
            <w:tcW w:w="9286" w:type="dxa"/>
            <w:shd w:val="clear" w:color="auto" w:fill="auto"/>
          </w:tcPr>
          <w:p w:rsidR="00146421" w:rsidRPr="004457CB" w:rsidRDefault="00146421" w:rsidP="00084A45">
            <w:pPr>
              <w:rPr>
                <w:noProof/>
              </w:rPr>
            </w:pPr>
            <w:r w:rsidRPr="004457CB">
              <w:t>EUrid</w:t>
            </w:r>
          </w:p>
        </w:tc>
      </w:tr>
      <w:tr w:rsidR="004457CB" w:rsidRPr="004457CB" w:rsidTr="00084A45">
        <w:tc>
          <w:tcPr>
            <w:tcW w:w="9286" w:type="dxa"/>
            <w:shd w:val="clear" w:color="auto" w:fill="auto"/>
          </w:tcPr>
          <w:p w:rsidR="00146421" w:rsidRPr="004457CB" w:rsidRDefault="00146421" w:rsidP="00084A45">
            <w:pPr>
              <w:rPr>
                <w:noProof/>
              </w:rPr>
            </w:pPr>
            <w:r w:rsidRPr="004457CB">
              <w:t>EDRI</w:t>
            </w:r>
          </w:p>
        </w:tc>
      </w:tr>
      <w:tr w:rsidR="004457CB" w:rsidRPr="004457CB" w:rsidTr="00084A45">
        <w:tc>
          <w:tcPr>
            <w:tcW w:w="9286" w:type="dxa"/>
            <w:shd w:val="clear" w:color="auto" w:fill="auto"/>
          </w:tcPr>
          <w:p w:rsidR="00146421" w:rsidRPr="004457CB" w:rsidRDefault="00146421" w:rsidP="00084A45">
            <w:pPr>
              <w:rPr>
                <w:noProof/>
              </w:rPr>
            </w:pPr>
            <w:r w:rsidRPr="004457CB">
              <w:t>EUIPO</w:t>
            </w:r>
          </w:p>
        </w:tc>
      </w:tr>
      <w:tr w:rsidR="00146421" w:rsidRPr="004457CB" w:rsidTr="00084A45">
        <w:tc>
          <w:tcPr>
            <w:tcW w:w="9286" w:type="dxa"/>
            <w:shd w:val="clear" w:color="auto" w:fill="auto"/>
          </w:tcPr>
          <w:p w:rsidR="00146421" w:rsidRPr="004457CB" w:rsidRDefault="00146421" w:rsidP="00084A45">
            <w:pPr>
              <w:rPr>
                <w:noProof/>
              </w:rPr>
            </w:pPr>
            <w:r w:rsidRPr="004457CB">
              <w:t>Business Europe</w:t>
            </w:r>
          </w:p>
        </w:tc>
      </w:tr>
      <w:bookmarkEnd w:id="9"/>
    </w:tbl>
    <w:p w:rsidR="00146421" w:rsidRPr="004457CB" w:rsidRDefault="00146421" w:rsidP="00146421">
      <w:pPr>
        <w:pStyle w:val="AMNumberTabs"/>
        <w:rPr>
          <w:noProof/>
        </w:rPr>
      </w:pPr>
    </w:p>
    <w:p w:rsidR="00DF5D8D" w:rsidRPr="004457CB" w:rsidRDefault="00DF5D8D" w:rsidP="00DF5D8D">
      <w:pPr>
        <w:pStyle w:val="PageHeading"/>
        <w:rPr>
          <w:noProof/>
        </w:rPr>
      </w:pPr>
      <w:r w:rsidRPr="004457CB">
        <w:br w:type="page"/>
      </w:r>
      <w:bookmarkStart w:id="11" w:name="ProcPageRR"/>
      <w:bookmarkStart w:id="12" w:name="_Toc532206030"/>
      <w:r w:rsidRPr="004457CB">
        <w:t>PROCEDURA DELLA COMMISSIONE COMPETENTE PER IL MERITO</w:t>
      </w:r>
      <w:bookmarkEnd w:id="12"/>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457CB" w:rsidRPr="004457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F5D8D" w:rsidRPr="004457CB" w:rsidRDefault="00DF5D8D">
            <w:pPr>
              <w:autoSpaceDE w:val="0"/>
              <w:autoSpaceDN w:val="0"/>
              <w:adjustRightInd w:val="0"/>
              <w:rPr>
                <w:b/>
                <w:bCs/>
                <w:noProof/>
                <w:sz w:val="20"/>
              </w:rPr>
            </w:pPr>
            <w:r w:rsidRPr="004457CB">
              <w:rPr>
                <w:b/>
                <w:bCs/>
                <w:sz w:val="20"/>
              </w:rPr>
              <w:t>Titolo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F5D8D" w:rsidRPr="004457CB" w:rsidRDefault="00DF5D8D">
            <w:pPr>
              <w:autoSpaceDE w:val="0"/>
              <w:autoSpaceDN w:val="0"/>
              <w:adjustRightInd w:val="0"/>
              <w:rPr>
                <w:noProof/>
                <w:sz w:val="20"/>
              </w:rPr>
            </w:pPr>
            <w:r w:rsidRPr="004457CB">
              <w:rPr>
                <w:sz w:val="20"/>
              </w:rPr>
              <w:t>Attuazione e funzionamento del nome di dominio di primo livello “.eu”</w:t>
            </w:r>
          </w:p>
        </w:tc>
      </w:tr>
      <w:tr w:rsidR="004457CB" w:rsidRPr="004457C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F5D8D" w:rsidRPr="004457CB" w:rsidRDefault="00DF5D8D">
            <w:pPr>
              <w:autoSpaceDE w:val="0"/>
              <w:autoSpaceDN w:val="0"/>
              <w:adjustRightInd w:val="0"/>
              <w:rPr>
                <w:b/>
                <w:bCs/>
                <w:noProof/>
                <w:sz w:val="20"/>
              </w:rPr>
            </w:pPr>
            <w:r w:rsidRPr="004457CB">
              <w:rPr>
                <w:b/>
                <w:bCs/>
                <w:sz w:val="20"/>
              </w:rPr>
              <w:t>Riferimenti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F5D8D" w:rsidRPr="004457CB" w:rsidRDefault="00DF5D8D">
            <w:pPr>
              <w:autoSpaceDE w:val="0"/>
              <w:autoSpaceDN w:val="0"/>
              <w:adjustRightInd w:val="0"/>
              <w:rPr>
                <w:noProof/>
                <w:sz w:val="20"/>
              </w:rPr>
            </w:pPr>
            <w:r w:rsidRPr="004457CB">
              <w:rPr>
                <w:sz w:val="20"/>
              </w:rPr>
              <w:t>COM(2018)0231 – C8-0170/2018 – 2018/0110(COD)</w:t>
            </w:r>
          </w:p>
        </w:tc>
      </w:tr>
      <w:tr w:rsidR="004457CB" w:rsidRPr="004457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F5D8D" w:rsidRPr="004457CB" w:rsidRDefault="00DF5D8D">
            <w:pPr>
              <w:autoSpaceDE w:val="0"/>
              <w:autoSpaceDN w:val="0"/>
              <w:adjustRightInd w:val="0"/>
              <w:rPr>
                <w:b/>
                <w:bCs/>
                <w:noProof/>
                <w:sz w:val="20"/>
              </w:rPr>
            </w:pPr>
            <w:r w:rsidRPr="004457CB">
              <w:rPr>
                <w:b/>
                <w:bCs/>
                <w:sz w:val="20"/>
              </w:rPr>
              <w:t>Presentazione della proposta al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F5D8D" w:rsidRPr="004457CB" w:rsidRDefault="00DF5D8D">
            <w:pPr>
              <w:autoSpaceDE w:val="0"/>
              <w:autoSpaceDN w:val="0"/>
              <w:adjustRightInd w:val="0"/>
              <w:rPr>
                <w:noProof/>
                <w:sz w:val="20"/>
              </w:rPr>
            </w:pPr>
            <w:r w:rsidRPr="004457CB">
              <w:rPr>
                <w:sz w:val="20"/>
              </w:rPr>
              <w:t>25.4.2018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F5D8D" w:rsidRPr="004457CB" w:rsidRDefault="00DF5D8D">
            <w:pPr>
              <w:autoSpaceDE w:val="0"/>
              <w:autoSpaceDN w:val="0"/>
              <w:adjustRightInd w:val="0"/>
              <w:rPr>
                <w:rFonts w:ascii="sans-serif" w:hAnsi="sans-serif" w:cs="sans-serif"/>
                <w:noProo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F5D8D" w:rsidRPr="004457CB" w:rsidRDefault="00DF5D8D">
            <w:pPr>
              <w:autoSpaceDE w:val="0"/>
              <w:autoSpaceDN w:val="0"/>
              <w:adjustRightInd w:val="0"/>
              <w:rPr>
                <w:rFonts w:ascii="sans-serif" w:hAnsi="sans-serif" w:cs="sans-serif"/>
                <w:noProo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F5D8D" w:rsidRPr="004457CB" w:rsidRDefault="00DF5D8D">
            <w:pPr>
              <w:autoSpaceDE w:val="0"/>
              <w:autoSpaceDN w:val="0"/>
              <w:adjustRightInd w:val="0"/>
              <w:rPr>
                <w:rFonts w:ascii="sans-serif" w:hAnsi="sans-serif" w:cs="sans-serif"/>
                <w:noProof/>
                <w:szCs w:val="24"/>
              </w:rPr>
            </w:pPr>
          </w:p>
        </w:tc>
      </w:tr>
      <w:tr w:rsidR="004457CB" w:rsidRPr="004457C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F5D8D" w:rsidRPr="004457CB" w:rsidRDefault="00DF5D8D">
            <w:pPr>
              <w:autoSpaceDE w:val="0"/>
              <w:autoSpaceDN w:val="0"/>
              <w:adjustRightInd w:val="0"/>
              <w:rPr>
                <w:b/>
                <w:bCs/>
                <w:noProof/>
                <w:sz w:val="20"/>
              </w:rPr>
            </w:pPr>
            <w:r w:rsidRPr="004457CB">
              <w:rPr>
                <w:b/>
                <w:bCs/>
                <w:sz w:val="20"/>
              </w:rPr>
              <w:t>Commissione competente per il merito</w:t>
            </w:r>
          </w:p>
          <w:p w:rsidR="00DF5D8D" w:rsidRPr="004457CB" w:rsidRDefault="00DF5D8D">
            <w:pPr>
              <w:autoSpaceDE w:val="0"/>
              <w:autoSpaceDN w:val="0"/>
              <w:adjustRightInd w:val="0"/>
              <w:rPr>
                <w:noProof/>
                <w:sz w:val="20"/>
              </w:rPr>
            </w:pPr>
            <w:r w:rsidRPr="004457CB">
              <w:rPr>
                <w:sz w:val="20"/>
              </w:rPr>
              <w:t>       Annuncio in Aula</w:t>
            </w:r>
          </w:p>
        </w:tc>
        <w:tc>
          <w:tcPr>
            <w:tcW w:w="1530" w:type="dxa"/>
            <w:tcBorders>
              <w:top w:val="nil"/>
              <w:left w:val="nil"/>
              <w:bottom w:val="single" w:sz="8" w:space="0" w:color="000000"/>
              <w:right w:val="nil"/>
            </w:tcBorders>
            <w:tcMar>
              <w:top w:w="79" w:type="dxa"/>
              <w:left w:w="79" w:type="dxa"/>
              <w:bottom w:w="79" w:type="dxa"/>
              <w:right w:w="79" w:type="dxa"/>
            </w:tcMar>
          </w:tcPr>
          <w:p w:rsidR="00DF5D8D" w:rsidRPr="004457CB" w:rsidRDefault="00DF5D8D">
            <w:pPr>
              <w:autoSpaceDE w:val="0"/>
              <w:autoSpaceDN w:val="0"/>
              <w:adjustRightInd w:val="0"/>
              <w:rPr>
                <w:noProof/>
                <w:sz w:val="20"/>
              </w:rPr>
            </w:pPr>
            <w:r w:rsidRPr="004457CB">
              <w:rPr>
                <w:sz w:val="20"/>
              </w:rPr>
              <w:t>ITRE</w:t>
            </w:r>
          </w:p>
          <w:p w:rsidR="00DF5D8D" w:rsidRPr="004457CB" w:rsidRDefault="00DF5D8D">
            <w:pPr>
              <w:autoSpaceDE w:val="0"/>
              <w:autoSpaceDN w:val="0"/>
              <w:adjustRightInd w:val="0"/>
              <w:rPr>
                <w:noProof/>
                <w:sz w:val="20"/>
              </w:rPr>
            </w:pPr>
            <w:r w:rsidRPr="004457CB">
              <w:rPr>
                <w:sz w:val="20"/>
              </w:rPr>
              <w:t>28.5.2018</w:t>
            </w:r>
          </w:p>
        </w:tc>
        <w:tc>
          <w:tcPr>
            <w:tcW w:w="1474" w:type="dxa"/>
            <w:tcBorders>
              <w:top w:val="nil"/>
              <w:left w:val="nil"/>
              <w:bottom w:val="single" w:sz="8" w:space="0" w:color="000000"/>
              <w:right w:val="nil"/>
            </w:tcBorders>
            <w:tcMar>
              <w:top w:w="79" w:type="dxa"/>
              <w:left w:w="79" w:type="dxa"/>
              <w:bottom w:w="79" w:type="dxa"/>
              <w:right w:w="79" w:type="dxa"/>
            </w:tcMar>
          </w:tcPr>
          <w:p w:rsidR="00DF5D8D" w:rsidRPr="004457CB" w:rsidRDefault="00DF5D8D">
            <w:pPr>
              <w:autoSpaceDE w:val="0"/>
              <w:autoSpaceDN w:val="0"/>
              <w:adjustRightInd w:val="0"/>
              <w:rPr>
                <w:rFonts w:ascii="sans-serif" w:hAnsi="sans-serif" w:cs="sans-serif"/>
                <w:noProo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DF5D8D" w:rsidRPr="004457CB" w:rsidRDefault="00DF5D8D">
            <w:pPr>
              <w:autoSpaceDE w:val="0"/>
              <w:autoSpaceDN w:val="0"/>
              <w:adjustRightInd w:val="0"/>
              <w:rPr>
                <w:rFonts w:ascii="sans-serif" w:hAnsi="sans-serif" w:cs="sans-serif"/>
                <w:noProo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F5D8D" w:rsidRPr="004457CB" w:rsidRDefault="00DF5D8D">
            <w:pPr>
              <w:autoSpaceDE w:val="0"/>
              <w:autoSpaceDN w:val="0"/>
              <w:adjustRightInd w:val="0"/>
              <w:rPr>
                <w:rFonts w:ascii="sans-serif" w:hAnsi="sans-serif" w:cs="sans-serif"/>
                <w:noProof/>
                <w:szCs w:val="24"/>
              </w:rPr>
            </w:pPr>
          </w:p>
        </w:tc>
      </w:tr>
      <w:tr w:rsidR="004457CB" w:rsidRPr="004457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F5D8D" w:rsidRPr="004457CB" w:rsidRDefault="00DF5D8D">
            <w:pPr>
              <w:autoSpaceDE w:val="0"/>
              <w:autoSpaceDN w:val="0"/>
              <w:adjustRightInd w:val="0"/>
              <w:rPr>
                <w:b/>
                <w:bCs/>
                <w:noProof/>
                <w:sz w:val="20"/>
              </w:rPr>
            </w:pPr>
            <w:r w:rsidRPr="004457CB">
              <w:rPr>
                <w:b/>
                <w:bCs/>
                <w:sz w:val="20"/>
              </w:rPr>
              <w:t>Commissioni competenti per parere</w:t>
            </w:r>
          </w:p>
          <w:p w:rsidR="00DF5D8D" w:rsidRPr="004457CB" w:rsidRDefault="00DF5D8D">
            <w:pPr>
              <w:autoSpaceDE w:val="0"/>
              <w:autoSpaceDN w:val="0"/>
              <w:adjustRightInd w:val="0"/>
              <w:rPr>
                <w:noProof/>
                <w:sz w:val="20"/>
              </w:rPr>
            </w:pPr>
            <w:r w:rsidRPr="004457CB">
              <w:rPr>
                <w:sz w:val="20"/>
              </w:rPr>
              <w:t>       Annuncio in Aula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F5D8D" w:rsidRPr="004457CB" w:rsidRDefault="00DF5D8D">
            <w:pPr>
              <w:autoSpaceDE w:val="0"/>
              <w:autoSpaceDN w:val="0"/>
              <w:adjustRightInd w:val="0"/>
              <w:rPr>
                <w:noProof/>
                <w:sz w:val="20"/>
              </w:rPr>
            </w:pPr>
            <w:r w:rsidRPr="004457CB">
              <w:rPr>
                <w:sz w:val="20"/>
              </w:rPr>
              <w:t>BUDG</w:t>
            </w:r>
          </w:p>
          <w:p w:rsidR="00DF5D8D" w:rsidRPr="004457CB" w:rsidRDefault="00DF5D8D">
            <w:pPr>
              <w:autoSpaceDE w:val="0"/>
              <w:autoSpaceDN w:val="0"/>
              <w:adjustRightInd w:val="0"/>
              <w:rPr>
                <w:noProof/>
                <w:sz w:val="20"/>
              </w:rPr>
            </w:pPr>
            <w:r w:rsidRPr="004457CB">
              <w:rPr>
                <w:sz w:val="20"/>
              </w:rPr>
              <w:t>28.5.2018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F5D8D" w:rsidRPr="004457CB" w:rsidRDefault="00DF5D8D">
            <w:pPr>
              <w:autoSpaceDE w:val="0"/>
              <w:autoSpaceDN w:val="0"/>
              <w:adjustRightInd w:val="0"/>
              <w:rPr>
                <w:noProof/>
                <w:sz w:val="20"/>
              </w:rPr>
            </w:pPr>
            <w:r w:rsidRPr="004457CB">
              <w:rPr>
                <w:sz w:val="20"/>
              </w:rPr>
              <w:t>IMCO</w:t>
            </w:r>
          </w:p>
          <w:p w:rsidR="00DF5D8D" w:rsidRPr="004457CB" w:rsidRDefault="00DF5D8D">
            <w:pPr>
              <w:autoSpaceDE w:val="0"/>
              <w:autoSpaceDN w:val="0"/>
              <w:adjustRightInd w:val="0"/>
              <w:rPr>
                <w:noProof/>
                <w:sz w:val="20"/>
              </w:rPr>
            </w:pPr>
            <w:r w:rsidRPr="004457CB">
              <w:rPr>
                <w:sz w:val="20"/>
              </w:rPr>
              <w:t>28.5.2018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F5D8D" w:rsidRPr="004457CB" w:rsidRDefault="00DF5D8D">
            <w:pPr>
              <w:autoSpaceDE w:val="0"/>
              <w:autoSpaceDN w:val="0"/>
              <w:adjustRightInd w:val="0"/>
              <w:rPr>
                <w:noProof/>
                <w:sz w:val="20"/>
              </w:rPr>
            </w:pPr>
            <w:r w:rsidRPr="004457CB">
              <w:rPr>
                <w:sz w:val="20"/>
              </w:rPr>
              <w:t>JURI</w:t>
            </w:r>
          </w:p>
          <w:p w:rsidR="00DF5D8D" w:rsidRPr="004457CB" w:rsidRDefault="00DF5D8D">
            <w:pPr>
              <w:autoSpaceDE w:val="0"/>
              <w:autoSpaceDN w:val="0"/>
              <w:adjustRightInd w:val="0"/>
              <w:rPr>
                <w:noProof/>
                <w:sz w:val="20"/>
              </w:rPr>
            </w:pPr>
            <w:r w:rsidRPr="004457CB">
              <w:rPr>
                <w:sz w:val="20"/>
              </w:rPr>
              <w:t>28.5.2018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F5D8D" w:rsidRPr="004457CB" w:rsidRDefault="00DF5D8D">
            <w:pPr>
              <w:autoSpaceDE w:val="0"/>
              <w:autoSpaceDN w:val="0"/>
              <w:adjustRightInd w:val="0"/>
              <w:rPr>
                <w:rFonts w:ascii="sans-serif" w:hAnsi="sans-serif" w:cs="sans-serif"/>
                <w:noProof/>
                <w:szCs w:val="24"/>
              </w:rPr>
            </w:pPr>
          </w:p>
        </w:tc>
      </w:tr>
      <w:tr w:rsidR="004457CB" w:rsidRPr="004457C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F5D8D" w:rsidRPr="004457CB" w:rsidRDefault="00DF5D8D">
            <w:pPr>
              <w:autoSpaceDE w:val="0"/>
              <w:autoSpaceDN w:val="0"/>
              <w:adjustRightInd w:val="0"/>
              <w:rPr>
                <w:b/>
                <w:bCs/>
                <w:noProof/>
                <w:sz w:val="20"/>
              </w:rPr>
            </w:pPr>
            <w:r w:rsidRPr="004457CB">
              <w:rPr>
                <w:b/>
                <w:bCs/>
                <w:sz w:val="20"/>
              </w:rPr>
              <w:t>Pareri non espressi</w:t>
            </w:r>
          </w:p>
          <w:p w:rsidR="00DF5D8D" w:rsidRPr="004457CB" w:rsidRDefault="00DF5D8D">
            <w:pPr>
              <w:autoSpaceDE w:val="0"/>
              <w:autoSpaceDN w:val="0"/>
              <w:adjustRightInd w:val="0"/>
              <w:rPr>
                <w:noProof/>
                <w:sz w:val="20"/>
              </w:rPr>
            </w:pPr>
            <w:r w:rsidRPr="004457CB">
              <w:rPr>
                <w:sz w:val="20"/>
              </w:rPr>
              <w:t>       Decisione</w:t>
            </w:r>
          </w:p>
        </w:tc>
        <w:tc>
          <w:tcPr>
            <w:tcW w:w="1530" w:type="dxa"/>
            <w:tcBorders>
              <w:top w:val="nil"/>
              <w:left w:val="nil"/>
              <w:bottom w:val="single" w:sz="8" w:space="0" w:color="000000"/>
              <w:right w:val="nil"/>
            </w:tcBorders>
            <w:tcMar>
              <w:top w:w="79" w:type="dxa"/>
              <w:left w:w="79" w:type="dxa"/>
              <w:bottom w:w="79" w:type="dxa"/>
              <w:right w:w="79" w:type="dxa"/>
            </w:tcMar>
          </w:tcPr>
          <w:p w:rsidR="00DF5D8D" w:rsidRPr="004457CB" w:rsidRDefault="00DF5D8D">
            <w:pPr>
              <w:autoSpaceDE w:val="0"/>
              <w:autoSpaceDN w:val="0"/>
              <w:adjustRightInd w:val="0"/>
              <w:rPr>
                <w:noProof/>
                <w:sz w:val="20"/>
              </w:rPr>
            </w:pPr>
            <w:r w:rsidRPr="004457CB">
              <w:rPr>
                <w:sz w:val="20"/>
              </w:rPr>
              <w:t>BUDG</w:t>
            </w:r>
          </w:p>
          <w:p w:rsidR="00DF5D8D" w:rsidRPr="004457CB" w:rsidRDefault="00DF5D8D">
            <w:pPr>
              <w:autoSpaceDE w:val="0"/>
              <w:autoSpaceDN w:val="0"/>
              <w:adjustRightInd w:val="0"/>
              <w:rPr>
                <w:noProof/>
                <w:sz w:val="20"/>
              </w:rPr>
            </w:pPr>
            <w:r w:rsidRPr="004457CB">
              <w:rPr>
                <w:sz w:val="20"/>
              </w:rPr>
              <w:t>16.5.2018</w:t>
            </w:r>
          </w:p>
        </w:tc>
        <w:tc>
          <w:tcPr>
            <w:tcW w:w="1474" w:type="dxa"/>
            <w:tcBorders>
              <w:top w:val="nil"/>
              <w:left w:val="nil"/>
              <w:bottom w:val="single" w:sz="8" w:space="0" w:color="000000"/>
              <w:right w:val="nil"/>
            </w:tcBorders>
            <w:tcMar>
              <w:top w:w="79" w:type="dxa"/>
              <w:left w:w="79" w:type="dxa"/>
              <w:bottom w:w="79" w:type="dxa"/>
              <w:right w:w="79" w:type="dxa"/>
            </w:tcMar>
          </w:tcPr>
          <w:p w:rsidR="00DF5D8D" w:rsidRPr="004457CB" w:rsidRDefault="00DF5D8D">
            <w:pPr>
              <w:autoSpaceDE w:val="0"/>
              <w:autoSpaceDN w:val="0"/>
              <w:adjustRightInd w:val="0"/>
              <w:rPr>
                <w:noProof/>
                <w:sz w:val="20"/>
              </w:rPr>
            </w:pPr>
            <w:r w:rsidRPr="004457CB">
              <w:rPr>
                <w:sz w:val="20"/>
              </w:rPr>
              <w:t>IMCO</w:t>
            </w:r>
          </w:p>
          <w:p w:rsidR="00DF5D8D" w:rsidRPr="004457CB" w:rsidRDefault="00DF5D8D">
            <w:pPr>
              <w:autoSpaceDE w:val="0"/>
              <w:autoSpaceDN w:val="0"/>
              <w:adjustRightInd w:val="0"/>
              <w:rPr>
                <w:noProof/>
                <w:sz w:val="20"/>
              </w:rPr>
            </w:pPr>
            <w:r w:rsidRPr="004457CB">
              <w:rPr>
                <w:sz w:val="20"/>
              </w:rPr>
              <w:t>19.6.2018</w:t>
            </w:r>
          </w:p>
        </w:tc>
        <w:tc>
          <w:tcPr>
            <w:tcW w:w="1474" w:type="dxa"/>
            <w:tcBorders>
              <w:top w:val="nil"/>
              <w:left w:val="nil"/>
              <w:bottom w:val="single" w:sz="8" w:space="0" w:color="000000"/>
              <w:right w:val="nil"/>
            </w:tcBorders>
            <w:tcMar>
              <w:top w:w="79" w:type="dxa"/>
              <w:left w:w="79" w:type="dxa"/>
              <w:bottom w:w="79" w:type="dxa"/>
              <w:right w:w="79" w:type="dxa"/>
            </w:tcMar>
          </w:tcPr>
          <w:p w:rsidR="00DF5D8D" w:rsidRPr="004457CB" w:rsidRDefault="00DF5D8D">
            <w:pPr>
              <w:autoSpaceDE w:val="0"/>
              <w:autoSpaceDN w:val="0"/>
              <w:adjustRightInd w:val="0"/>
              <w:rPr>
                <w:noProof/>
                <w:sz w:val="20"/>
              </w:rPr>
            </w:pPr>
            <w:r w:rsidRPr="004457CB">
              <w:rPr>
                <w:sz w:val="20"/>
              </w:rPr>
              <w:t>JURI</w:t>
            </w:r>
          </w:p>
          <w:p w:rsidR="00DF5D8D" w:rsidRPr="004457CB" w:rsidRDefault="00DF5D8D">
            <w:pPr>
              <w:autoSpaceDE w:val="0"/>
              <w:autoSpaceDN w:val="0"/>
              <w:adjustRightInd w:val="0"/>
              <w:rPr>
                <w:noProof/>
                <w:sz w:val="20"/>
              </w:rPr>
            </w:pPr>
            <w:r w:rsidRPr="004457CB">
              <w:rPr>
                <w:sz w:val="20"/>
              </w:rPr>
              <w:t>15.5.2018</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F5D8D" w:rsidRPr="004457CB" w:rsidRDefault="00DF5D8D">
            <w:pPr>
              <w:autoSpaceDE w:val="0"/>
              <w:autoSpaceDN w:val="0"/>
              <w:adjustRightInd w:val="0"/>
              <w:rPr>
                <w:rFonts w:ascii="sans-serif" w:hAnsi="sans-serif" w:cs="sans-serif"/>
                <w:noProof/>
                <w:szCs w:val="24"/>
              </w:rPr>
            </w:pPr>
          </w:p>
        </w:tc>
      </w:tr>
      <w:tr w:rsidR="004457CB" w:rsidRPr="004457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F5D8D" w:rsidRPr="004457CB" w:rsidRDefault="00DF5D8D">
            <w:pPr>
              <w:autoSpaceDE w:val="0"/>
              <w:autoSpaceDN w:val="0"/>
              <w:adjustRightInd w:val="0"/>
              <w:rPr>
                <w:b/>
                <w:bCs/>
                <w:noProof/>
                <w:sz w:val="20"/>
              </w:rPr>
            </w:pPr>
            <w:r w:rsidRPr="004457CB">
              <w:rPr>
                <w:b/>
                <w:bCs/>
                <w:sz w:val="20"/>
              </w:rPr>
              <w:t>Relatori</w:t>
            </w:r>
          </w:p>
          <w:p w:rsidR="00DF5D8D" w:rsidRPr="004457CB" w:rsidRDefault="00DF5D8D">
            <w:pPr>
              <w:autoSpaceDE w:val="0"/>
              <w:autoSpaceDN w:val="0"/>
              <w:adjustRightInd w:val="0"/>
              <w:rPr>
                <w:noProof/>
                <w:sz w:val="20"/>
              </w:rPr>
            </w:pPr>
            <w:r w:rsidRPr="004457CB">
              <w:rPr>
                <w:sz w:val="20"/>
              </w:rPr>
              <w:t>       Nomina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F5D8D" w:rsidRPr="004457CB" w:rsidRDefault="00DF5D8D">
            <w:pPr>
              <w:autoSpaceDE w:val="0"/>
              <w:autoSpaceDN w:val="0"/>
              <w:adjustRightInd w:val="0"/>
              <w:rPr>
                <w:noProof/>
                <w:sz w:val="20"/>
              </w:rPr>
            </w:pPr>
            <w:r w:rsidRPr="004457CB">
              <w:rPr>
                <w:sz w:val="20"/>
              </w:rPr>
              <w:t>Fredrick Federley</w:t>
            </w:r>
          </w:p>
          <w:p w:rsidR="00DF5D8D" w:rsidRPr="004457CB" w:rsidRDefault="00DF5D8D">
            <w:pPr>
              <w:autoSpaceDE w:val="0"/>
              <w:autoSpaceDN w:val="0"/>
              <w:adjustRightInd w:val="0"/>
              <w:rPr>
                <w:noProof/>
                <w:sz w:val="20"/>
              </w:rPr>
            </w:pPr>
            <w:r w:rsidRPr="004457CB">
              <w:rPr>
                <w:sz w:val="20"/>
              </w:rPr>
              <w:t>30.5.2018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F5D8D" w:rsidRPr="004457CB" w:rsidRDefault="00DF5D8D">
            <w:pPr>
              <w:autoSpaceDE w:val="0"/>
              <w:autoSpaceDN w:val="0"/>
              <w:adjustRightInd w:val="0"/>
              <w:rPr>
                <w:rFonts w:ascii="sans-serif" w:hAnsi="sans-serif" w:cs="sans-serif"/>
                <w:noProo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F5D8D" w:rsidRPr="004457CB" w:rsidRDefault="00DF5D8D">
            <w:pPr>
              <w:autoSpaceDE w:val="0"/>
              <w:autoSpaceDN w:val="0"/>
              <w:adjustRightInd w:val="0"/>
              <w:rPr>
                <w:rFonts w:ascii="sans-serif" w:hAnsi="sans-serif" w:cs="sans-serif"/>
                <w:noProo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F5D8D" w:rsidRPr="004457CB" w:rsidRDefault="00DF5D8D">
            <w:pPr>
              <w:autoSpaceDE w:val="0"/>
              <w:autoSpaceDN w:val="0"/>
              <w:adjustRightInd w:val="0"/>
              <w:rPr>
                <w:rFonts w:ascii="sans-serif" w:hAnsi="sans-serif" w:cs="sans-serif"/>
                <w:noProof/>
                <w:szCs w:val="24"/>
              </w:rPr>
            </w:pPr>
          </w:p>
        </w:tc>
      </w:tr>
      <w:tr w:rsidR="004457CB" w:rsidRPr="004457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F5D8D" w:rsidRPr="004457CB" w:rsidRDefault="00DF5D8D">
            <w:pPr>
              <w:autoSpaceDE w:val="0"/>
              <w:autoSpaceDN w:val="0"/>
              <w:adjustRightInd w:val="0"/>
              <w:rPr>
                <w:b/>
                <w:bCs/>
                <w:noProof/>
                <w:sz w:val="20"/>
              </w:rPr>
            </w:pPr>
            <w:r w:rsidRPr="004457CB">
              <w:rPr>
                <w:b/>
                <w:bCs/>
                <w:sz w:val="20"/>
              </w:rPr>
              <w:t>Esame in commissione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F5D8D" w:rsidRPr="004457CB" w:rsidRDefault="00DF5D8D">
            <w:pPr>
              <w:autoSpaceDE w:val="0"/>
              <w:autoSpaceDN w:val="0"/>
              <w:adjustRightInd w:val="0"/>
              <w:rPr>
                <w:noProof/>
                <w:sz w:val="20"/>
              </w:rPr>
            </w:pPr>
            <w:r w:rsidRPr="004457CB">
              <w:rPr>
                <w:sz w:val="20"/>
              </w:rPr>
              <w:t>24.9.2018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F5D8D" w:rsidRPr="004457CB" w:rsidRDefault="00DF5D8D">
            <w:pPr>
              <w:autoSpaceDE w:val="0"/>
              <w:autoSpaceDN w:val="0"/>
              <w:adjustRightInd w:val="0"/>
              <w:rPr>
                <w:rFonts w:ascii="sans-serif" w:hAnsi="sans-serif" w:cs="sans-serif"/>
                <w:noProo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F5D8D" w:rsidRPr="004457CB" w:rsidRDefault="00DF5D8D">
            <w:pPr>
              <w:autoSpaceDE w:val="0"/>
              <w:autoSpaceDN w:val="0"/>
              <w:adjustRightInd w:val="0"/>
              <w:rPr>
                <w:rFonts w:ascii="sans-serif" w:hAnsi="sans-serif" w:cs="sans-serif"/>
                <w:noProo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F5D8D" w:rsidRPr="004457CB" w:rsidRDefault="00DF5D8D">
            <w:pPr>
              <w:autoSpaceDE w:val="0"/>
              <w:autoSpaceDN w:val="0"/>
              <w:adjustRightInd w:val="0"/>
              <w:rPr>
                <w:rFonts w:ascii="sans-serif" w:hAnsi="sans-serif" w:cs="sans-serif"/>
                <w:noProof/>
                <w:szCs w:val="24"/>
              </w:rPr>
            </w:pPr>
          </w:p>
        </w:tc>
      </w:tr>
      <w:tr w:rsidR="004457CB" w:rsidRPr="004457C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F5D8D" w:rsidRPr="004457CB" w:rsidRDefault="00DF5D8D">
            <w:pPr>
              <w:autoSpaceDE w:val="0"/>
              <w:autoSpaceDN w:val="0"/>
              <w:adjustRightInd w:val="0"/>
              <w:rPr>
                <w:b/>
                <w:bCs/>
                <w:noProof/>
                <w:sz w:val="20"/>
              </w:rPr>
            </w:pPr>
            <w:r w:rsidRPr="004457CB">
              <w:rPr>
                <w:b/>
                <w:bCs/>
                <w:sz w:val="20"/>
              </w:rPr>
              <w:t>Approvazione</w:t>
            </w:r>
          </w:p>
        </w:tc>
        <w:tc>
          <w:tcPr>
            <w:tcW w:w="1530" w:type="dxa"/>
            <w:tcBorders>
              <w:top w:val="nil"/>
              <w:left w:val="nil"/>
              <w:bottom w:val="single" w:sz="8" w:space="0" w:color="000000"/>
              <w:right w:val="nil"/>
            </w:tcBorders>
            <w:tcMar>
              <w:top w:w="79" w:type="dxa"/>
              <w:left w:w="79" w:type="dxa"/>
              <w:bottom w:w="79" w:type="dxa"/>
              <w:right w:w="79" w:type="dxa"/>
            </w:tcMar>
          </w:tcPr>
          <w:p w:rsidR="00DF5D8D" w:rsidRPr="004457CB" w:rsidRDefault="00DF5D8D">
            <w:pPr>
              <w:autoSpaceDE w:val="0"/>
              <w:autoSpaceDN w:val="0"/>
              <w:adjustRightInd w:val="0"/>
              <w:rPr>
                <w:noProof/>
                <w:sz w:val="20"/>
              </w:rPr>
            </w:pPr>
            <w:r w:rsidRPr="004457CB">
              <w:rPr>
                <w:sz w:val="20"/>
              </w:rPr>
              <w:t>21.11.2018</w:t>
            </w:r>
          </w:p>
        </w:tc>
        <w:tc>
          <w:tcPr>
            <w:tcW w:w="1474" w:type="dxa"/>
            <w:tcBorders>
              <w:top w:val="nil"/>
              <w:left w:val="nil"/>
              <w:bottom w:val="single" w:sz="8" w:space="0" w:color="000000"/>
              <w:right w:val="nil"/>
            </w:tcBorders>
            <w:tcMar>
              <w:top w:w="79" w:type="dxa"/>
              <w:left w:w="79" w:type="dxa"/>
              <w:bottom w:w="79" w:type="dxa"/>
              <w:right w:w="79" w:type="dxa"/>
            </w:tcMar>
          </w:tcPr>
          <w:p w:rsidR="00DF5D8D" w:rsidRPr="004457CB" w:rsidRDefault="00DF5D8D">
            <w:pPr>
              <w:autoSpaceDE w:val="0"/>
              <w:autoSpaceDN w:val="0"/>
              <w:adjustRightInd w:val="0"/>
              <w:rPr>
                <w:rFonts w:ascii="sans-serif" w:hAnsi="sans-serif" w:cs="sans-serif"/>
                <w:noProo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DF5D8D" w:rsidRPr="004457CB" w:rsidRDefault="00DF5D8D">
            <w:pPr>
              <w:autoSpaceDE w:val="0"/>
              <w:autoSpaceDN w:val="0"/>
              <w:adjustRightInd w:val="0"/>
              <w:rPr>
                <w:rFonts w:ascii="sans-serif" w:hAnsi="sans-serif" w:cs="sans-serif"/>
                <w:noProo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F5D8D" w:rsidRPr="004457CB" w:rsidRDefault="00DF5D8D">
            <w:pPr>
              <w:autoSpaceDE w:val="0"/>
              <w:autoSpaceDN w:val="0"/>
              <w:adjustRightInd w:val="0"/>
              <w:rPr>
                <w:rFonts w:ascii="sans-serif" w:hAnsi="sans-serif" w:cs="sans-serif"/>
                <w:noProof/>
                <w:szCs w:val="24"/>
              </w:rPr>
            </w:pPr>
          </w:p>
        </w:tc>
      </w:tr>
      <w:tr w:rsidR="004457CB" w:rsidRPr="004457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F5D8D" w:rsidRPr="004457CB" w:rsidRDefault="00DF5D8D">
            <w:pPr>
              <w:autoSpaceDE w:val="0"/>
              <w:autoSpaceDN w:val="0"/>
              <w:adjustRightInd w:val="0"/>
              <w:rPr>
                <w:b/>
                <w:bCs/>
                <w:noProof/>
                <w:sz w:val="20"/>
              </w:rPr>
            </w:pPr>
            <w:r w:rsidRPr="004457CB">
              <w:rPr>
                <w:b/>
                <w:bCs/>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F5D8D" w:rsidRPr="004457CB" w:rsidRDefault="00DF5D8D">
            <w:pPr>
              <w:autoSpaceDE w:val="0"/>
              <w:autoSpaceDN w:val="0"/>
              <w:adjustRightInd w:val="0"/>
              <w:rPr>
                <w:noProof/>
                <w:sz w:val="20"/>
              </w:rPr>
            </w:pPr>
            <w:r w:rsidRPr="004457CB">
              <w:rPr>
                <w:sz w:val="20"/>
              </w:rPr>
              <w:t>+:</w:t>
            </w:r>
          </w:p>
          <w:p w:rsidR="00DF5D8D" w:rsidRPr="004457CB" w:rsidRDefault="00DF5D8D">
            <w:pPr>
              <w:autoSpaceDE w:val="0"/>
              <w:autoSpaceDN w:val="0"/>
              <w:adjustRightInd w:val="0"/>
              <w:rPr>
                <w:noProof/>
                <w:sz w:val="20"/>
              </w:rPr>
            </w:pPr>
            <w:r w:rsidRPr="004457CB">
              <w:rPr>
                <w:sz w:val="20"/>
              </w:rPr>
              <w:t>–:</w:t>
            </w:r>
          </w:p>
          <w:p w:rsidR="00DF5D8D" w:rsidRPr="004457CB" w:rsidRDefault="00DF5D8D">
            <w:pPr>
              <w:autoSpaceDE w:val="0"/>
              <w:autoSpaceDN w:val="0"/>
              <w:adjustRightInd w:val="0"/>
              <w:rPr>
                <w:noProof/>
                <w:sz w:val="20"/>
              </w:rPr>
            </w:pPr>
            <w:r w:rsidRPr="004457CB">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F5D8D" w:rsidRPr="004457CB" w:rsidRDefault="00DF5D8D">
            <w:pPr>
              <w:autoSpaceDE w:val="0"/>
              <w:autoSpaceDN w:val="0"/>
              <w:adjustRightInd w:val="0"/>
              <w:rPr>
                <w:noProof/>
                <w:sz w:val="20"/>
              </w:rPr>
            </w:pPr>
            <w:r w:rsidRPr="004457CB">
              <w:rPr>
                <w:sz w:val="20"/>
              </w:rPr>
              <w:t>53</w:t>
            </w:r>
          </w:p>
          <w:p w:rsidR="00DF5D8D" w:rsidRPr="004457CB" w:rsidRDefault="00DF5D8D">
            <w:pPr>
              <w:autoSpaceDE w:val="0"/>
              <w:autoSpaceDN w:val="0"/>
              <w:adjustRightInd w:val="0"/>
              <w:rPr>
                <w:noProof/>
                <w:sz w:val="20"/>
              </w:rPr>
            </w:pPr>
            <w:r w:rsidRPr="004457CB">
              <w:rPr>
                <w:sz w:val="20"/>
              </w:rPr>
              <w:t>2</w:t>
            </w:r>
          </w:p>
          <w:p w:rsidR="00DF5D8D" w:rsidRPr="004457CB" w:rsidRDefault="00DF5D8D">
            <w:pPr>
              <w:autoSpaceDE w:val="0"/>
              <w:autoSpaceDN w:val="0"/>
              <w:adjustRightInd w:val="0"/>
              <w:rPr>
                <w:noProof/>
                <w:sz w:val="20"/>
              </w:rPr>
            </w:pPr>
            <w:r w:rsidRPr="004457CB">
              <w:rPr>
                <w:sz w:val="20"/>
              </w:rPr>
              <w:t>0</w:t>
            </w:r>
          </w:p>
        </w:tc>
      </w:tr>
      <w:tr w:rsidR="004457CB" w:rsidRPr="004457C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F5D8D" w:rsidRPr="004457CB" w:rsidRDefault="00DF5D8D">
            <w:pPr>
              <w:autoSpaceDE w:val="0"/>
              <w:autoSpaceDN w:val="0"/>
              <w:adjustRightInd w:val="0"/>
              <w:rPr>
                <w:b/>
                <w:bCs/>
                <w:noProof/>
                <w:sz w:val="20"/>
              </w:rPr>
            </w:pPr>
            <w:r w:rsidRPr="004457CB">
              <w:rPr>
                <w:b/>
                <w:bCs/>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F5D8D" w:rsidRPr="004457CB" w:rsidRDefault="00DF5D8D">
            <w:pPr>
              <w:autoSpaceDE w:val="0"/>
              <w:autoSpaceDN w:val="0"/>
              <w:adjustRightInd w:val="0"/>
              <w:rPr>
                <w:noProof/>
                <w:sz w:val="20"/>
              </w:rPr>
            </w:pPr>
            <w:r w:rsidRPr="004457CB">
              <w:rPr>
                <w:sz w:val="20"/>
              </w:rPr>
              <w:t>Zigmantas Balčytis, Xabier Benito Ziluaga, David Borrelli, Jonathan Bullock, Jerzy Buzek, Edward Czesak, Jakop Dalunde, Pilar del Castillo Vera, Christian Ehler, Fredrick Federley, Adam Gierek, Igor Gräzin, Theresa Griffin, András Gyürk, Eva Kaili, Krišjānis Kariņš, Jeppe Kofod, Jaromír Kohlíček, Peter Kouroumbashev, Zdzisław Krasnodębski, Miapetra Kumpula-Natri, Christelle Lechevalier, Janusz Lewandowski, Paloma López Bermejo, Edouard Martin, Tilly Metz, Nadine Morano, Dan Nica, Angelika Niebler, Morten Helveg Petersen, Carolina Punset, Julia Reda, Massimiliano Salini, Algirdas Saudargas, Sven Schulze, Neoklis Sylikiotis, Dario Tamburrano, Patrizia Toia, Evžen Tošenovský, Vladimir Urutchev, Kathleen Van Brempt, Henna Virkkunen, Martina Werner, Lieve Wierinck, Hermann Winkler, Anna Záborská, Flavio Zanonato, Carlos Zorrinho</w:t>
            </w:r>
          </w:p>
        </w:tc>
      </w:tr>
      <w:tr w:rsidR="004457CB" w:rsidRPr="004457C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F5D8D" w:rsidRPr="004457CB" w:rsidRDefault="00DF5D8D">
            <w:pPr>
              <w:autoSpaceDE w:val="0"/>
              <w:autoSpaceDN w:val="0"/>
              <w:adjustRightInd w:val="0"/>
              <w:rPr>
                <w:b/>
                <w:bCs/>
                <w:noProof/>
                <w:sz w:val="20"/>
              </w:rPr>
            </w:pPr>
            <w:r w:rsidRPr="004457CB">
              <w:rPr>
                <w:b/>
                <w:bCs/>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F5D8D" w:rsidRPr="004457CB" w:rsidRDefault="00DF5D8D">
            <w:pPr>
              <w:autoSpaceDE w:val="0"/>
              <w:autoSpaceDN w:val="0"/>
              <w:adjustRightInd w:val="0"/>
              <w:rPr>
                <w:noProof/>
                <w:sz w:val="20"/>
              </w:rPr>
            </w:pPr>
            <w:r w:rsidRPr="004457CB">
              <w:rPr>
                <w:sz w:val="20"/>
              </w:rPr>
              <w:t>Pilar Ayuso, Amjad Bashir, Gunnar Hökmark, Luděk Niedermayer, Davor Škrlec, Pavel Telička</w:t>
            </w:r>
          </w:p>
        </w:tc>
      </w:tr>
      <w:tr w:rsidR="004457CB" w:rsidRPr="004457C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F5D8D" w:rsidRPr="004457CB" w:rsidRDefault="00DF5D8D">
            <w:pPr>
              <w:autoSpaceDE w:val="0"/>
              <w:autoSpaceDN w:val="0"/>
              <w:adjustRightInd w:val="0"/>
              <w:rPr>
                <w:b/>
                <w:bCs/>
                <w:noProof/>
                <w:sz w:val="20"/>
              </w:rPr>
            </w:pPr>
            <w:r w:rsidRPr="004457CB">
              <w:rPr>
                <w:b/>
                <w:bCs/>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F5D8D" w:rsidRPr="004457CB" w:rsidRDefault="00DF5D8D">
            <w:pPr>
              <w:autoSpaceDE w:val="0"/>
              <w:autoSpaceDN w:val="0"/>
              <w:adjustRightInd w:val="0"/>
              <w:rPr>
                <w:noProof/>
                <w:sz w:val="20"/>
              </w:rPr>
            </w:pPr>
            <w:r w:rsidRPr="004457CB">
              <w:rPr>
                <w:sz w:val="20"/>
              </w:rPr>
              <w:t>John Flack</w:t>
            </w:r>
          </w:p>
        </w:tc>
      </w:tr>
      <w:tr w:rsidR="00DF5D8D" w:rsidRPr="004457C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F5D8D" w:rsidRPr="004457CB" w:rsidRDefault="00DF5D8D">
            <w:pPr>
              <w:autoSpaceDE w:val="0"/>
              <w:autoSpaceDN w:val="0"/>
              <w:adjustRightInd w:val="0"/>
              <w:rPr>
                <w:b/>
                <w:bCs/>
                <w:noProof/>
                <w:sz w:val="20"/>
              </w:rPr>
            </w:pPr>
            <w:r w:rsidRPr="004457CB">
              <w:rPr>
                <w:b/>
                <w:bCs/>
                <w:sz w:val="20"/>
              </w:rPr>
              <w:t>Deposito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F5D8D" w:rsidRPr="004457CB" w:rsidRDefault="00DF5D8D">
            <w:pPr>
              <w:autoSpaceDE w:val="0"/>
              <w:autoSpaceDN w:val="0"/>
              <w:adjustRightInd w:val="0"/>
              <w:rPr>
                <w:noProof/>
                <w:sz w:val="20"/>
              </w:rPr>
            </w:pPr>
            <w:r w:rsidRPr="004457CB">
              <w:rPr>
                <w:sz w:val="20"/>
              </w:rPr>
              <w:t>26.11.2018</w:t>
            </w:r>
          </w:p>
        </w:tc>
      </w:tr>
    </w:tbl>
    <w:p w:rsidR="00DF5D8D" w:rsidRPr="004457CB" w:rsidRDefault="00DF5D8D" w:rsidP="00146421">
      <w:pPr>
        <w:rPr>
          <w:noProof/>
        </w:rPr>
      </w:pPr>
    </w:p>
    <w:bookmarkEnd w:id="11"/>
    <w:p w:rsidR="00146421" w:rsidRPr="004457CB" w:rsidRDefault="00146421" w:rsidP="00AD5932">
      <w:pPr>
        <w:pStyle w:val="PageHeading"/>
        <w:rPr>
          <w:noProof/>
          <w:szCs w:val="24"/>
        </w:rPr>
      </w:pPr>
      <w:r w:rsidRPr="004457CB">
        <w:br w:type="page"/>
      </w:r>
      <w:bookmarkStart w:id="13" w:name="RollCallPageRR"/>
      <w:bookmarkStart w:id="14" w:name="_Toc532206031"/>
      <w:r w:rsidRPr="004457CB">
        <w:t>VOTAZIONE FINALE PER APPELLO NOMINALE</w:t>
      </w:r>
      <w:r w:rsidRPr="004457CB">
        <w:br/>
        <w:t>IN SEDE DI COMMISSIONE COMPETENTE PER IL MERITO</w:t>
      </w:r>
      <w:bookmarkEnd w:id="1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457CB" w:rsidRPr="004457CB" w:rsidTr="00084A45">
        <w:trPr>
          <w:cantSplit/>
        </w:trPr>
        <w:tc>
          <w:tcPr>
            <w:tcW w:w="1701" w:type="dxa"/>
            <w:shd w:val="pct10" w:color="000000" w:fill="FFFFFF"/>
            <w:vAlign w:val="center"/>
          </w:tcPr>
          <w:p w:rsidR="00146421" w:rsidRPr="004457CB" w:rsidRDefault="00146421" w:rsidP="00084A45">
            <w:pPr>
              <w:spacing w:before="120" w:after="120"/>
              <w:jc w:val="center"/>
              <w:rPr>
                <w:b/>
                <w:noProof/>
                <w:sz w:val="20"/>
              </w:rPr>
            </w:pPr>
            <w:r w:rsidRPr="004457CB">
              <w:rPr>
                <w:b/>
                <w:sz w:val="20"/>
              </w:rPr>
              <w:t>53</w:t>
            </w:r>
          </w:p>
        </w:tc>
        <w:tc>
          <w:tcPr>
            <w:tcW w:w="7371" w:type="dxa"/>
            <w:shd w:val="pct10" w:color="000000" w:fill="FFFFFF"/>
          </w:tcPr>
          <w:p w:rsidR="00146421" w:rsidRPr="004457CB" w:rsidRDefault="00146421" w:rsidP="00084A45">
            <w:pPr>
              <w:spacing w:before="120" w:after="120"/>
              <w:jc w:val="center"/>
              <w:rPr>
                <w:rFonts w:ascii="Arial" w:hAnsi="Arial" w:cs="Arial"/>
                <w:b/>
                <w:noProof/>
                <w:sz w:val="28"/>
                <w:szCs w:val="28"/>
              </w:rPr>
            </w:pPr>
            <w:r w:rsidRPr="004457CB">
              <w:rPr>
                <w:rFonts w:ascii="Arial" w:hAnsi="Arial"/>
                <w:b/>
                <w:sz w:val="28"/>
                <w:szCs w:val="28"/>
              </w:rPr>
              <w:t>+</w:t>
            </w:r>
          </w:p>
        </w:tc>
      </w:tr>
      <w:tr w:rsidR="004457CB" w:rsidRPr="004457CB" w:rsidTr="00084A45">
        <w:trPr>
          <w:cantSplit/>
        </w:trPr>
        <w:tc>
          <w:tcPr>
            <w:tcW w:w="1701" w:type="dxa"/>
            <w:shd w:val="clear" w:color="auto" w:fill="FFFFFF"/>
          </w:tcPr>
          <w:p w:rsidR="00146421" w:rsidRPr="004457CB" w:rsidRDefault="00146421" w:rsidP="00084A45">
            <w:pPr>
              <w:spacing w:before="120" w:after="120"/>
              <w:rPr>
                <w:noProof/>
                <w:sz w:val="20"/>
              </w:rPr>
            </w:pPr>
            <w:r w:rsidRPr="004457CB">
              <w:rPr>
                <w:sz w:val="20"/>
              </w:rPr>
              <w:t>ALDE</w:t>
            </w:r>
          </w:p>
        </w:tc>
        <w:tc>
          <w:tcPr>
            <w:tcW w:w="7371" w:type="dxa"/>
            <w:shd w:val="clear" w:color="auto" w:fill="FFFFFF"/>
          </w:tcPr>
          <w:p w:rsidR="00146421" w:rsidRPr="004457CB" w:rsidRDefault="00146421" w:rsidP="00084A45">
            <w:pPr>
              <w:spacing w:before="120" w:after="120"/>
              <w:rPr>
                <w:noProof/>
                <w:sz w:val="20"/>
              </w:rPr>
            </w:pPr>
            <w:r w:rsidRPr="004457CB">
              <w:rPr>
                <w:sz w:val="20"/>
              </w:rPr>
              <w:t>Fredrick Federley, Igor Gräzin, Morten Helveg Petersen, Carolina Punset, Pavel Telička, Lieve Wierinck</w:t>
            </w:r>
          </w:p>
        </w:tc>
      </w:tr>
      <w:tr w:rsidR="004457CB" w:rsidRPr="004457CB" w:rsidTr="00084A45">
        <w:trPr>
          <w:cantSplit/>
        </w:trPr>
        <w:tc>
          <w:tcPr>
            <w:tcW w:w="1701" w:type="dxa"/>
            <w:shd w:val="clear" w:color="auto" w:fill="FFFFFF"/>
          </w:tcPr>
          <w:p w:rsidR="00146421" w:rsidRPr="004457CB" w:rsidRDefault="00146421" w:rsidP="00084A45">
            <w:pPr>
              <w:spacing w:before="120" w:after="120"/>
              <w:rPr>
                <w:noProof/>
                <w:sz w:val="20"/>
              </w:rPr>
            </w:pPr>
            <w:r w:rsidRPr="004457CB">
              <w:rPr>
                <w:sz w:val="20"/>
              </w:rPr>
              <w:t>ECR</w:t>
            </w:r>
          </w:p>
        </w:tc>
        <w:tc>
          <w:tcPr>
            <w:tcW w:w="7371" w:type="dxa"/>
            <w:shd w:val="clear" w:color="auto" w:fill="FFFFFF"/>
          </w:tcPr>
          <w:p w:rsidR="00146421" w:rsidRPr="004457CB" w:rsidRDefault="00146421" w:rsidP="00084A45">
            <w:pPr>
              <w:spacing w:before="120" w:after="120"/>
              <w:rPr>
                <w:noProof/>
                <w:sz w:val="20"/>
              </w:rPr>
            </w:pPr>
            <w:r w:rsidRPr="004457CB">
              <w:rPr>
                <w:sz w:val="20"/>
              </w:rPr>
              <w:t>Amjad Bashir, Edward Czesak, John Flack, Zdzisław Krasnodębski, Evžen Tošenovský</w:t>
            </w:r>
          </w:p>
        </w:tc>
      </w:tr>
      <w:tr w:rsidR="004457CB" w:rsidRPr="004457CB" w:rsidTr="00084A45">
        <w:trPr>
          <w:cantSplit/>
        </w:trPr>
        <w:tc>
          <w:tcPr>
            <w:tcW w:w="1701" w:type="dxa"/>
            <w:shd w:val="clear" w:color="auto" w:fill="FFFFFF"/>
          </w:tcPr>
          <w:p w:rsidR="00146421" w:rsidRPr="004457CB" w:rsidRDefault="00146421" w:rsidP="00084A45">
            <w:pPr>
              <w:spacing w:before="120" w:after="120"/>
              <w:rPr>
                <w:noProof/>
                <w:sz w:val="20"/>
              </w:rPr>
            </w:pPr>
            <w:r w:rsidRPr="004457CB">
              <w:rPr>
                <w:sz w:val="20"/>
              </w:rPr>
              <w:t>EFDD</w:t>
            </w:r>
          </w:p>
        </w:tc>
        <w:tc>
          <w:tcPr>
            <w:tcW w:w="7371" w:type="dxa"/>
            <w:shd w:val="clear" w:color="auto" w:fill="FFFFFF"/>
          </w:tcPr>
          <w:p w:rsidR="00146421" w:rsidRPr="004457CB" w:rsidRDefault="00146421" w:rsidP="00084A45">
            <w:pPr>
              <w:spacing w:before="120" w:after="120"/>
              <w:rPr>
                <w:noProof/>
                <w:sz w:val="20"/>
              </w:rPr>
            </w:pPr>
            <w:r w:rsidRPr="004457CB">
              <w:rPr>
                <w:sz w:val="20"/>
              </w:rPr>
              <w:t>Dario Tamburrano</w:t>
            </w:r>
          </w:p>
        </w:tc>
      </w:tr>
      <w:tr w:rsidR="004457CB" w:rsidRPr="004457CB" w:rsidTr="00084A45">
        <w:trPr>
          <w:cantSplit/>
        </w:trPr>
        <w:tc>
          <w:tcPr>
            <w:tcW w:w="1701" w:type="dxa"/>
            <w:shd w:val="clear" w:color="auto" w:fill="FFFFFF"/>
          </w:tcPr>
          <w:p w:rsidR="00146421" w:rsidRPr="004457CB" w:rsidRDefault="00146421" w:rsidP="00084A45">
            <w:pPr>
              <w:spacing w:before="120" w:after="120"/>
              <w:rPr>
                <w:noProof/>
                <w:sz w:val="20"/>
              </w:rPr>
            </w:pPr>
            <w:r w:rsidRPr="004457CB">
              <w:rPr>
                <w:sz w:val="20"/>
              </w:rPr>
              <w:t>GUE/NGL</w:t>
            </w:r>
          </w:p>
        </w:tc>
        <w:tc>
          <w:tcPr>
            <w:tcW w:w="7371" w:type="dxa"/>
            <w:shd w:val="clear" w:color="auto" w:fill="FFFFFF"/>
          </w:tcPr>
          <w:p w:rsidR="00146421" w:rsidRPr="004457CB" w:rsidRDefault="00146421" w:rsidP="00084A45">
            <w:pPr>
              <w:spacing w:before="120" w:after="120"/>
              <w:rPr>
                <w:noProof/>
                <w:sz w:val="20"/>
              </w:rPr>
            </w:pPr>
            <w:r w:rsidRPr="004457CB">
              <w:rPr>
                <w:sz w:val="20"/>
              </w:rPr>
              <w:t>Xabier Benito Ziluaga, Jaromír Kohlíček, Paloma López Bermejo, Neoklis Sylikiotis</w:t>
            </w:r>
          </w:p>
        </w:tc>
      </w:tr>
      <w:tr w:rsidR="004457CB" w:rsidRPr="004457CB" w:rsidTr="00084A45">
        <w:trPr>
          <w:cantSplit/>
        </w:trPr>
        <w:tc>
          <w:tcPr>
            <w:tcW w:w="1701" w:type="dxa"/>
            <w:shd w:val="clear" w:color="auto" w:fill="FFFFFF"/>
          </w:tcPr>
          <w:p w:rsidR="00146421" w:rsidRPr="004457CB" w:rsidRDefault="00146421" w:rsidP="00084A45">
            <w:pPr>
              <w:spacing w:before="120" w:after="120"/>
              <w:rPr>
                <w:noProof/>
                <w:sz w:val="20"/>
              </w:rPr>
            </w:pPr>
            <w:r w:rsidRPr="004457CB">
              <w:rPr>
                <w:sz w:val="20"/>
              </w:rPr>
              <w:t>NI</w:t>
            </w:r>
          </w:p>
        </w:tc>
        <w:tc>
          <w:tcPr>
            <w:tcW w:w="7371" w:type="dxa"/>
            <w:shd w:val="clear" w:color="auto" w:fill="FFFFFF"/>
          </w:tcPr>
          <w:p w:rsidR="00146421" w:rsidRPr="004457CB" w:rsidRDefault="00146421" w:rsidP="00084A45">
            <w:pPr>
              <w:spacing w:before="120" w:after="120"/>
              <w:rPr>
                <w:noProof/>
                <w:sz w:val="20"/>
              </w:rPr>
            </w:pPr>
            <w:r w:rsidRPr="004457CB">
              <w:rPr>
                <w:sz w:val="20"/>
              </w:rPr>
              <w:t>David Borrelli</w:t>
            </w:r>
          </w:p>
        </w:tc>
      </w:tr>
      <w:tr w:rsidR="004457CB" w:rsidRPr="004457CB" w:rsidTr="00084A45">
        <w:trPr>
          <w:cantSplit/>
        </w:trPr>
        <w:tc>
          <w:tcPr>
            <w:tcW w:w="1701" w:type="dxa"/>
            <w:shd w:val="clear" w:color="auto" w:fill="FFFFFF"/>
          </w:tcPr>
          <w:p w:rsidR="00146421" w:rsidRPr="004457CB" w:rsidRDefault="00146421" w:rsidP="00084A45">
            <w:pPr>
              <w:spacing w:before="120" w:after="120"/>
              <w:rPr>
                <w:noProof/>
                <w:sz w:val="20"/>
              </w:rPr>
            </w:pPr>
            <w:r w:rsidRPr="004457CB">
              <w:rPr>
                <w:sz w:val="20"/>
              </w:rPr>
              <w:t>PPE</w:t>
            </w:r>
          </w:p>
        </w:tc>
        <w:tc>
          <w:tcPr>
            <w:tcW w:w="7371" w:type="dxa"/>
            <w:shd w:val="clear" w:color="auto" w:fill="FFFFFF"/>
          </w:tcPr>
          <w:p w:rsidR="00146421" w:rsidRPr="004457CB" w:rsidRDefault="00146421" w:rsidP="00084A45">
            <w:pPr>
              <w:spacing w:before="120" w:after="120"/>
              <w:rPr>
                <w:noProof/>
                <w:sz w:val="20"/>
              </w:rPr>
            </w:pPr>
            <w:r w:rsidRPr="004457CB">
              <w:rPr>
                <w:sz w:val="20"/>
              </w:rPr>
              <w:t>Pilar Ayuso, Jerzy Buzek, Pilar del Castillo Vera, Christian Ehler, András Gyürk, Gunnar Hökmark, Krišjānis Kariņš, Janusz Lewandowski, Nadine Morano, Angelika Niebler, Luděk Niedermayer, Massimiliano Salini, Algirdas Saudargas, Sven Schulze, Vladimir Urutchev, Henna Virkkunen, Hermann Winkler, Anna Záborská</w:t>
            </w:r>
          </w:p>
        </w:tc>
      </w:tr>
      <w:tr w:rsidR="004457CB" w:rsidRPr="004457CB" w:rsidTr="00084A45">
        <w:trPr>
          <w:cantSplit/>
        </w:trPr>
        <w:tc>
          <w:tcPr>
            <w:tcW w:w="1701" w:type="dxa"/>
            <w:shd w:val="clear" w:color="auto" w:fill="FFFFFF"/>
          </w:tcPr>
          <w:p w:rsidR="00146421" w:rsidRPr="004457CB" w:rsidRDefault="00146421" w:rsidP="00084A45">
            <w:pPr>
              <w:spacing w:before="120" w:after="120"/>
              <w:rPr>
                <w:noProof/>
                <w:sz w:val="20"/>
              </w:rPr>
            </w:pPr>
            <w:r w:rsidRPr="004457CB">
              <w:rPr>
                <w:sz w:val="20"/>
              </w:rPr>
              <w:t>S&amp;D</w:t>
            </w:r>
          </w:p>
        </w:tc>
        <w:tc>
          <w:tcPr>
            <w:tcW w:w="7371" w:type="dxa"/>
            <w:shd w:val="clear" w:color="auto" w:fill="FFFFFF"/>
          </w:tcPr>
          <w:p w:rsidR="00146421" w:rsidRPr="004457CB" w:rsidRDefault="00146421" w:rsidP="00084A45">
            <w:pPr>
              <w:spacing w:before="120" w:after="120"/>
              <w:rPr>
                <w:noProof/>
                <w:sz w:val="20"/>
              </w:rPr>
            </w:pPr>
            <w:r w:rsidRPr="004457CB">
              <w:rPr>
                <w:sz w:val="20"/>
              </w:rPr>
              <w:t>Zigmantas Balčytis, Adam Gierek, Theresa Griffin, Eva Kaili, Jeppe Kofod, Peter Kouroumbashev, Miapetra Kumpula-Natri, Edouard Martin, Dan Nica, Patrizia Toia, Kathleen Van Brempt, Martina Werner, Flavio Zanonato, Carlos Zorrinho</w:t>
            </w:r>
          </w:p>
        </w:tc>
      </w:tr>
      <w:tr w:rsidR="004457CB" w:rsidRPr="004457CB" w:rsidTr="00084A45">
        <w:trPr>
          <w:cantSplit/>
        </w:trPr>
        <w:tc>
          <w:tcPr>
            <w:tcW w:w="1701" w:type="dxa"/>
            <w:shd w:val="clear" w:color="auto" w:fill="FFFFFF"/>
          </w:tcPr>
          <w:p w:rsidR="00146421" w:rsidRPr="004457CB" w:rsidRDefault="00146421" w:rsidP="00084A45">
            <w:pPr>
              <w:spacing w:before="120" w:after="120"/>
              <w:rPr>
                <w:noProof/>
                <w:sz w:val="20"/>
              </w:rPr>
            </w:pPr>
            <w:r w:rsidRPr="004457CB">
              <w:rPr>
                <w:sz w:val="20"/>
              </w:rPr>
              <w:t>VERTS/ALE</w:t>
            </w:r>
          </w:p>
        </w:tc>
        <w:tc>
          <w:tcPr>
            <w:tcW w:w="7371" w:type="dxa"/>
            <w:shd w:val="clear" w:color="auto" w:fill="FFFFFF"/>
          </w:tcPr>
          <w:p w:rsidR="00146421" w:rsidRPr="004457CB" w:rsidRDefault="00146421" w:rsidP="00084A45">
            <w:pPr>
              <w:spacing w:before="120" w:after="120"/>
              <w:rPr>
                <w:noProof/>
                <w:sz w:val="20"/>
              </w:rPr>
            </w:pPr>
            <w:r w:rsidRPr="004457CB">
              <w:rPr>
                <w:sz w:val="20"/>
              </w:rPr>
              <w:t>Jakop Dalunde, Tilly Metz, Julia Reda, Davor Škrlec</w:t>
            </w:r>
          </w:p>
        </w:tc>
      </w:tr>
    </w:tbl>
    <w:p w:rsidR="00146421" w:rsidRPr="004457CB" w:rsidRDefault="00146421" w:rsidP="00146421">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457CB" w:rsidRPr="004457CB" w:rsidTr="00084A45">
        <w:trPr>
          <w:cantSplit/>
        </w:trPr>
        <w:tc>
          <w:tcPr>
            <w:tcW w:w="1701" w:type="dxa"/>
            <w:shd w:val="pct10" w:color="000000" w:fill="FFFFFF"/>
            <w:vAlign w:val="center"/>
          </w:tcPr>
          <w:p w:rsidR="00146421" w:rsidRPr="004457CB" w:rsidRDefault="00146421" w:rsidP="00084A45">
            <w:pPr>
              <w:spacing w:before="120" w:after="120"/>
              <w:jc w:val="center"/>
              <w:rPr>
                <w:b/>
                <w:noProof/>
                <w:sz w:val="20"/>
              </w:rPr>
            </w:pPr>
            <w:r w:rsidRPr="004457CB">
              <w:rPr>
                <w:b/>
                <w:sz w:val="20"/>
              </w:rPr>
              <w:t>2</w:t>
            </w:r>
          </w:p>
        </w:tc>
        <w:tc>
          <w:tcPr>
            <w:tcW w:w="7371" w:type="dxa"/>
            <w:shd w:val="pct10" w:color="000000" w:fill="FFFFFF"/>
          </w:tcPr>
          <w:p w:rsidR="00146421" w:rsidRPr="004457CB" w:rsidRDefault="00146421" w:rsidP="00084A45">
            <w:pPr>
              <w:spacing w:before="120" w:after="120"/>
              <w:jc w:val="center"/>
              <w:rPr>
                <w:noProof/>
                <w:sz w:val="28"/>
                <w:szCs w:val="28"/>
              </w:rPr>
            </w:pPr>
            <w:r w:rsidRPr="004457CB">
              <w:rPr>
                <w:rFonts w:ascii="Arial" w:hAnsi="Arial"/>
                <w:b/>
                <w:sz w:val="28"/>
                <w:szCs w:val="28"/>
              </w:rPr>
              <w:t>-</w:t>
            </w:r>
          </w:p>
        </w:tc>
      </w:tr>
      <w:tr w:rsidR="004457CB" w:rsidRPr="004457CB" w:rsidTr="00084A45">
        <w:trPr>
          <w:cantSplit/>
        </w:trPr>
        <w:tc>
          <w:tcPr>
            <w:tcW w:w="1701" w:type="dxa"/>
            <w:shd w:val="clear" w:color="auto" w:fill="FFFFFF"/>
          </w:tcPr>
          <w:p w:rsidR="00146421" w:rsidRPr="004457CB" w:rsidRDefault="00146421" w:rsidP="00084A45">
            <w:pPr>
              <w:spacing w:before="120" w:after="120"/>
              <w:rPr>
                <w:noProof/>
                <w:sz w:val="20"/>
              </w:rPr>
            </w:pPr>
            <w:r w:rsidRPr="004457CB">
              <w:rPr>
                <w:sz w:val="20"/>
              </w:rPr>
              <w:t>EFDD</w:t>
            </w:r>
          </w:p>
        </w:tc>
        <w:tc>
          <w:tcPr>
            <w:tcW w:w="7371" w:type="dxa"/>
            <w:shd w:val="clear" w:color="auto" w:fill="FFFFFF"/>
          </w:tcPr>
          <w:p w:rsidR="00146421" w:rsidRPr="004457CB" w:rsidRDefault="00146421" w:rsidP="00084A45">
            <w:pPr>
              <w:spacing w:before="120" w:after="120"/>
              <w:rPr>
                <w:noProof/>
                <w:sz w:val="20"/>
              </w:rPr>
            </w:pPr>
            <w:r w:rsidRPr="004457CB">
              <w:rPr>
                <w:sz w:val="20"/>
              </w:rPr>
              <w:t>Jonathan Bullock</w:t>
            </w:r>
          </w:p>
        </w:tc>
      </w:tr>
      <w:tr w:rsidR="004457CB" w:rsidRPr="004457CB" w:rsidTr="00084A45">
        <w:trPr>
          <w:cantSplit/>
        </w:trPr>
        <w:tc>
          <w:tcPr>
            <w:tcW w:w="1701" w:type="dxa"/>
            <w:shd w:val="clear" w:color="auto" w:fill="FFFFFF"/>
          </w:tcPr>
          <w:p w:rsidR="00146421" w:rsidRPr="004457CB" w:rsidRDefault="00146421" w:rsidP="00084A45">
            <w:pPr>
              <w:spacing w:before="120" w:after="120"/>
              <w:rPr>
                <w:noProof/>
                <w:sz w:val="20"/>
              </w:rPr>
            </w:pPr>
            <w:r w:rsidRPr="004457CB">
              <w:rPr>
                <w:sz w:val="20"/>
              </w:rPr>
              <w:t>ENF</w:t>
            </w:r>
          </w:p>
        </w:tc>
        <w:tc>
          <w:tcPr>
            <w:tcW w:w="7371" w:type="dxa"/>
            <w:shd w:val="clear" w:color="auto" w:fill="FFFFFF"/>
          </w:tcPr>
          <w:p w:rsidR="00146421" w:rsidRPr="004457CB" w:rsidRDefault="00146421" w:rsidP="00084A45">
            <w:pPr>
              <w:spacing w:before="120" w:after="120"/>
              <w:rPr>
                <w:noProof/>
                <w:sz w:val="20"/>
              </w:rPr>
            </w:pPr>
            <w:r w:rsidRPr="004457CB">
              <w:rPr>
                <w:sz w:val="20"/>
              </w:rPr>
              <w:t>Christelle Lechevalier</w:t>
            </w:r>
          </w:p>
        </w:tc>
      </w:tr>
    </w:tbl>
    <w:p w:rsidR="00146421" w:rsidRPr="004457CB" w:rsidRDefault="00146421" w:rsidP="00146421">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457CB" w:rsidRPr="004457CB" w:rsidTr="00084A45">
        <w:trPr>
          <w:cantSplit/>
        </w:trPr>
        <w:tc>
          <w:tcPr>
            <w:tcW w:w="1701" w:type="dxa"/>
            <w:shd w:val="pct10" w:color="000000" w:fill="FFFFFF"/>
            <w:vAlign w:val="center"/>
          </w:tcPr>
          <w:p w:rsidR="00146421" w:rsidRPr="004457CB" w:rsidRDefault="00146421" w:rsidP="00084A45">
            <w:pPr>
              <w:spacing w:before="120" w:after="120"/>
              <w:jc w:val="center"/>
              <w:rPr>
                <w:b/>
                <w:noProof/>
                <w:sz w:val="20"/>
              </w:rPr>
            </w:pPr>
            <w:r w:rsidRPr="004457CB">
              <w:rPr>
                <w:b/>
                <w:sz w:val="20"/>
              </w:rPr>
              <w:t>0</w:t>
            </w:r>
          </w:p>
        </w:tc>
        <w:tc>
          <w:tcPr>
            <w:tcW w:w="7371" w:type="dxa"/>
            <w:shd w:val="pct10" w:color="000000" w:fill="FFFFFF"/>
          </w:tcPr>
          <w:p w:rsidR="00146421" w:rsidRPr="004457CB" w:rsidRDefault="00146421" w:rsidP="00084A45">
            <w:pPr>
              <w:spacing w:before="120" w:after="120"/>
              <w:jc w:val="center"/>
              <w:rPr>
                <w:noProof/>
                <w:sz w:val="28"/>
                <w:szCs w:val="28"/>
              </w:rPr>
            </w:pPr>
            <w:r w:rsidRPr="004457CB">
              <w:rPr>
                <w:rFonts w:ascii="Arial" w:hAnsi="Arial"/>
                <w:b/>
                <w:sz w:val="28"/>
                <w:szCs w:val="28"/>
              </w:rPr>
              <w:t>0</w:t>
            </w:r>
          </w:p>
        </w:tc>
      </w:tr>
      <w:tr w:rsidR="004457CB" w:rsidRPr="004457CB" w:rsidTr="00084A45">
        <w:trPr>
          <w:cantSplit/>
        </w:trPr>
        <w:tc>
          <w:tcPr>
            <w:tcW w:w="1701" w:type="dxa"/>
            <w:shd w:val="clear" w:color="auto" w:fill="FFFFFF"/>
          </w:tcPr>
          <w:p w:rsidR="00146421" w:rsidRPr="004457CB" w:rsidRDefault="00146421" w:rsidP="00084A45">
            <w:pPr>
              <w:spacing w:before="120" w:after="120"/>
              <w:rPr>
                <w:noProof/>
                <w:sz w:val="20"/>
              </w:rPr>
            </w:pPr>
          </w:p>
        </w:tc>
        <w:tc>
          <w:tcPr>
            <w:tcW w:w="7371" w:type="dxa"/>
            <w:shd w:val="clear" w:color="auto" w:fill="FFFFFF"/>
          </w:tcPr>
          <w:p w:rsidR="00146421" w:rsidRPr="004457CB" w:rsidRDefault="00146421" w:rsidP="00084A45">
            <w:pPr>
              <w:spacing w:before="120" w:after="120"/>
              <w:rPr>
                <w:noProof/>
                <w:sz w:val="20"/>
              </w:rPr>
            </w:pPr>
          </w:p>
        </w:tc>
      </w:tr>
    </w:tbl>
    <w:p w:rsidR="00146421" w:rsidRPr="004457CB" w:rsidRDefault="00146421" w:rsidP="00147FBF">
      <w:pPr>
        <w:pStyle w:val="Normal12"/>
        <w:rPr>
          <w:noProof/>
        </w:rPr>
      </w:pPr>
    </w:p>
    <w:p w:rsidR="00146421" w:rsidRPr="004457CB" w:rsidRDefault="00146421" w:rsidP="00B735E3">
      <w:pPr>
        <w:rPr>
          <w:noProof/>
        </w:rPr>
      </w:pPr>
      <w:r w:rsidRPr="004457CB">
        <w:t>Significato dei simboli utilizzati:</w:t>
      </w:r>
    </w:p>
    <w:p w:rsidR="00146421" w:rsidRPr="004457CB" w:rsidRDefault="00146421" w:rsidP="00B735E3">
      <w:pPr>
        <w:pStyle w:val="NormalTabs"/>
        <w:rPr>
          <w:noProof/>
        </w:rPr>
      </w:pPr>
      <w:r w:rsidRPr="004457CB">
        <w:t>+</w:t>
      </w:r>
      <w:r w:rsidRPr="004457CB">
        <w:tab/>
        <w:t>:</w:t>
      </w:r>
      <w:r w:rsidRPr="004457CB">
        <w:tab/>
        <w:t>favorevoli</w:t>
      </w:r>
    </w:p>
    <w:p w:rsidR="00146421" w:rsidRPr="004457CB" w:rsidRDefault="00146421" w:rsidP="00B735E3">
      <w:pPr>
        <w:pStyle w:val="NormalTabs"/>
        <w:rPr>
          <w:noProof/>
        </w:rPr>
      </w:pPr>
      <w:r w:rsidRPr="004457CB">
        <w:t>-</w:t>
      </w:r>
      <w:r w:rsidRPr="004457CB">
        <w:tab/>
        <w:t>:</w:t>
      </w:r>
      <w:r w:rsidRPr="004457CB">
        <w:tab/>
        <w:t>contrari</w:t>
      </w:r>
    </w:p>
    <w:p w:rsidR="00146421" w:rsidRPr="004457CB" w:rsidRDefault="00146421" w:rsidP="00B735E3">
      <w:pPr>
        <w:pStyle w:val="NormalTabs"/>
        <w:rPr>
          <w:noProof/>
        </w:rPr>
      </w:pPr>
      <w:r w:rsidRPr="004457CB">
        <w:t>0</w:t>
      </w:r>
      <w:r w:rsidRPr="004457CB">
        <w:tab/>
        <w:t>:</w:t>
      </w:r>
      <w:r w:rsidRPr="004457CB">
        <w:tab/>
        <w:t>astenuti</w:t>
      </w:r>
    </w:p>
    <w:p w:rsidR="00146421" w:rsidRPr="004457CB" w:rsidRDefault="00146421" w:rsidP="00AD5932">
      <w:pPr>
        <w:rPr>
          <w:noProof/>
        </w:rPr>
      </w:pPr>
    </w:p>
    <w:bookmarkEnd w:id="13"/>
    <w:p w:rsidR="005C2B42" w:rsidRPr="004457CB" w:rsidRDefault="005C2B42" w:rsidP="00146421">
      <w:pPr>
        <w:rPr>
          <w:noProof/>
        </w:rPr>
      </w:pPr>
    </w:p>
    <w:sectPr w:rsidR="005C2B42" w:rsidRPr="004457CB" w:rsidSect="001767E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0A3" w:rsidRPr="001D30A3" w:rsidRDefault="001D30A3">
      <w:r w:rsidRPr="001D30A3">
        <w:separator/>
      </w:r>
    </w:p>
  </w:endnote>
  <w:endnote w:type="continuationSeparator" w:id="0">
    <w:p w:rsidR="001D30A3" w:rsidRPr="001D30A3" w:rsidRDefault="001D30A3">
      <w:r w:rsidRPr="001D30A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D8D" w:rsidRDefault="00DF5D8D" w:rsidP="00DF5D8D">
    <w:pPr>
      <w:pStyle w:val="Footer"/>
      <w:rPr>
        <w:lang w:val="fr-FR"/>
      </w:rPr>
    </w:pPr>
    <w:r>
      <w:rPr>
        <w:lang w:val="fr-FR"/>
      </w:rPr>
      <w:t>PE</w:t>
    </w:r>
    <w:r w:rsidRPr="00DF5D8D">
      <w:rPr>
        <w:rStyle w:val="HideTWBExt"/>
      </w:rPr>
      <w:t>&lt;NoPE&gt;</w:t>
    </w:r>
    <w:r>
      <w:rPr>
        <w:lang w:val="fr-FR"/>
      </w:rPr>
      <w:t>626.994</w:t>
    </w:r>
    <w:r w:rsidRPr="00DF5D8D">
      <w:rPr>
        <w:rStyle w:val="HideTWBExt"/>
      </w:rPr>
      <w:t>&lt;/NoPE&gt;&lt;Version&gt;</w:t>
    </w:r>
    <w:r>
      <w:rPr>
        <w:lang w:val="fr-FR"/>
      </w:rPr>
      <w:t>v02-00</w:t>
    </w:r>
    <w:r w:rsidRPr="00DF5D8D">
      <w:rPr>
        <w:rStyle w:val="HideTWBExt"/>
      </w:rPr>
      <w:t>&lt;/Version&gt;</w:t>
    </w:r>
    <w:r>
      <w:rPr>
        <w:lang w:val="fr-FR"/>
      </w:rPr>
      <w:tab/>
    </w:r>
    <w:r>
      <w:rPr>
        <w:lang w:val="fr-FR"/>
      </w:rPr>
      <w:fldChar w:fldCharType="begin"/>
    </w:r>
    <w:r>
      <w:rPr>
        <w:lang w:val="fr-FR"/>
      </w:rPr>
      <w:instrText xml:space="preserve"> PAGE  \* MERGEFORMAT </w:instrText>
    </w:r>
    <w:r>
      <w:rPr>
        <w:lang w:val="fr-FR"/>
      </w:rPr>
      <w:fldChar w:fldCharType="separate"/>
    </w:r>
    <w:r w:rsidR="004457CB">
      <w:rPr>
        <w:noProof/>
        <w:lang w:val="fr-FR"/>
      </w:rPr>
      <w:t>6</w:t>
    </w:r>
    <w:r>
      <w:rPr>
        <w:lang w:val="fr-FR"/>
      </w:rPr>
      <w:fldChar w:fldCharType="end"/>
    </w:r>
    <w:r>
      <w:rPr>
        <w:lang w:val="fr-FR"/>
      </w:rPr>
      <w:t>/</w:t>
    </w:r>
    <w:r>
      <w:rPr>
        <w:lang w:val="fr-FR"/>
      </w:rPr>
      <w:fldChar w:fldCharType="begin"/>
    </w:r>
    <w:r>
      <w:rPr>
        <w:lang w:val="fr-FR"/>
      </w:rPr>
      <w:instrText xml:space="preserve"> NUMPAGES  \* MERGEFORMAT </w:instrText>
    </w:r>
    <w:r>
      <w:rPr>
        <w:lang w:val="fr-FR"/>
      </w:rPr>
      <w:fldChar w:fldCharType="separate"/>
    </w:r>
    <w:r w:rsidR="004457CB">
      <w:rPr>
        <w:noProof/>
        <w:lang w:val="fr-FR"/>
      </w:rPr>
      <w:t>29</w:t>
    </w:r>
    <w:r>
      <w:rPr>
        <w:lang w:val="fr-FR"/>
      </w:rPr>
      <w:fldChar w:fldCharType="end"/>
    </w:r>
    <w:r>
      <w:rPr>
        <w:lang w:val="fr-FR"/>
      </w:rPr>
      <w:tab/>
    </w:r>
    <w:r w:rsidRPr="00DF5D8D">
      <w:rPr>
        <w:rStyle w:val="HideTWBExt"/>
      </w:rPr>
      <w:t>&lt;PathFdR&gt;</w:t>
    </w:r>
    <w:r>
      <w:rPr>
        <w:lang w:val="fr-FR"/>
      </w:rPr>
      <w:t>RR\1170176IT.docx</w:t>
    </w:r>
    <w:r w:rsidRPr="00DF5D8D">
      <w:rPr>
        <w:rStyle w:val="HideTWBExt"/>
      </w:rPr>
      <w:t>&lt;/PathFdR&gt;</w:t>
    </w:r>
  </w:p>
  <w:p w:rsidR="00FB52FE" w:rsidRPr="00E52298" w:rsidRDefault="00DF5D8D" w:rsidP="00DF5D8D">
    <w:pPr>
      <w:pStyle w:val="Footer2"/>
      <w:rPr>
        <w:lang w:val="fr-FR"/>
      </w:rPr>
    </w:pPr>
    <w:r>
      <w:rPr>
        <w:lang w:val="fr-FR"/>
      </w:rPr>
      <w:t>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D8D" w:rsidRDefault="00DF5D8D" w:rsidP="00DF5D8D">
    <w:pPr>
      <w:pStyle w:val="Footer"/>
      <w:rPr>
        <w:lang w:val="en-GB"/>
      </w:rPr>
    </w:pPr>
    <w:r w:rsidRPr="00DF5D8D">
      <w:rPr>
        <w:rStyle w:val="HideTWBExt"/>
      </w:rPr>
      <w:t>&lt;PathFdR&gt;</w:t>
    </w:r>
    <w:r>
      <w:rPr>
        <w:lang w:val="en-GB"/>
      </w:rPr>
      <w:t>RR\1170176IT.docx</w:t>
    </w:r>
    <w:r w:rsidRPr="00DF5D8D">
      <w:rPr>
        <w:rStyle w:val="HideTWBExt"/>
      </w:rPr>
      <w:t>&lt;/PathFdR&gt;</w:t>
    </w:r>
    <w:r>
      <w:rPr>
        <w:lang w:val="en-GB"/>
      </w:rPr>
      <w:tab/>
    </w:r>
    <w:r>
      <w:rPr>
        <w:lang w:val="en-GB"/>
      </w:rPr>
      <w:fldChar w:fldCharType="begin"/>
    </w:r>
    <w:r>
      <w:rPr>
        <w:lang w:val="en-GB"/>
      </w:rPr>
      <w:instrText xml:space="preserve"> PAGE  \* MERGEFORMAT </w:instrText>
    </w:r>
    <w:r>
      <w:rPr>
        <w:lang w:val="en-GB"/>
      </w:rPr>
      <w:fldChar w:fldCharType="separate"/>
    </w:r>
    <w:r w:rsidR="004457CB">
      <w:rPr>
        <w:noProof/>
        <w:lang w:val="en-GB"/>
      </w:rPr>
      <w:t>5</w:t>
    </w:r>
    <w:r>
      <w:rPr>
        <w:lang w:val="en-GB"/>
      </w:rPr>
      <w:fldChar w:fldCharType="end"/>
    </w:r>
    <w:r>
      <w:rPr>
        <w:lang w:val="en-GB"/>
      </w:rPr>
      <w:t>/</w:t>
    </w:r>
    <w:r>
      <w:rPr>
        <w:lang w:val="en-GB"/>
      </w:rPr>
      <w:fldChar w:fldCharType="begin"/>
    </w:r>
    <w:r>
      <w:rPr>
        <w:lang w:val="en-GB"/>
      </w:rPr>
      <w:instrText xml:space="preserve"> NUMPAGES  \* MERGEFORMAT </w:instrText>
    </w:r>
    <w:r>
      <w:rPr>
        <w:lang w:val="en-GB"/>
      </w:rPr>
      <w:fldChar w:fldCharType="separate"/>
    </w:r>
    <w:r w:rsidR="004457CB">
      <w:rPr>
        <w:noProof/>
        <w:lang w:val="en-GB"/>
      </w:rPr>
      <w:t>29</w:t>
    </w:r>
    <w:r>
      <w:rPr>
        <w:lang w:val="en-GB"/>
      </w:rPr>
      <w:fldChar w:fldCharType="end"/>
    </w:r>
    <w:r>
      <w:rPr>
        <w:lang w:val="en-GB"/>
      </w:rPr>
      <w:tab/>
      <w:t>PE</w:t>
    </w:r>
    <w:r w:rsidRPr="00DF5D8D">
      <w:rPr>
        <w:rStyle w:val="HideTWBExt"/>
      </w:rPr>
      <w:t>&lt;NoPE&gt;</w:t>
    </w:r>
    <w:r>
      <w:rPr>
        <w:lang w:val="en-GB"/>
      </w:rPr>
      <w:t>626.994</w:t>
    </w:r>
    <w:r w:rsidRPr="00DF5D8D">
      <w:rPr>
        <w:rStyle w:val="HideTWBExt"/>
      </w:rPr>
      <w:t>&lt;/NoPE&gt;&lt;Version&gt;</w:t>
    </w:r>
    <w:r>
      <w:rPr>
        <w:lang w:val="en-GB"/>
      </w:rPr>
      <w:t>v02-00</w:t>
    </w:r>
    <w:r w:rsidRPr="00DF5D8D">
      <w:rPr>
        <w:rStyle w:val="HideTWBExt"/>
      </w:rPr>
      <w:t>&lt;/Version&gt;</w:t>
    </w:r>
  </w:p>
  <w:p w:rsidR="00FB52FE" w:rsidRPr="00E52298" w:rsidRDefault="00DF5D8D" w:rsidP="00DF5D8D">
    <w:pPr>
      <w:pStyle w:val="Footer2"/>
      <w:rPr>
        <w:lang w:val="en-GB"/>
      </w:rPr>
    </w:pPr>
    <w:r>
      <w:rPr>
        <w:lang w:val="en-GB"/>
      </w:rPr>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D8D" w:rsidRDefault="00DF5D8D" w:rsidP="00DF5D8D">
    <w:pPr>
      <w:pStyle w:val="Footer"/>
    </w:pPr>
    <w:r w:rsidRPr="00DF5D8D">
      <w:rPr>
        <w:rStyle w:val="HideTWBExt"/>
      </w:rPr>
      <w:t>&lt;PathFdR&gt;</w:t>
    </w:r>
    <w:r>
      <w:t>RR\1170176IT.docx</w:t>
    </w:r>
    <w:r w:rsidRPr="00DF5D8D">
      <w:rPr>
        <w:rStyle w:val="HideTWBExt"/>
      </w:rPr>
      <w:t>&lt;/PathFdR&gt;</w:t>
    </w:r>
    <w:r>
      <w:tab/>
    </w:r>
    <w:r>
      <w:tab/>
      <w:t>PE</w:t>
    </w:r>
    <w:r w:rsidRPr="00DF5D8D">
      <w:rPr>
        <w:rStyle w:val="HideTWBExt"/>
      </w:rPr>
      <w:t>&lt;NoPE&gt;</w:t>
    </w:r>
    <w:r>
      <w:t>626.994</w:t>
    </w:r>
    <w:r w:rsidRPr="00DF5D8D">
      <w:rPr>
        <w:rStyle w:val="HideTWBExt"/>
      </w:rPr>
      <w:t>&lt;/NoPE&gt;&lt;Version&gt;</w:t>
    </w:r>
    <w:r>
      <w:t>v02-00</w:t>
    </w:r>
    <w:r w:rsidRPr="00DF5D8D">
      <w:rPr>
        <w:rStyle w:val="HideTWBExt"/>
      </w:rPr>
      <w:t>&lt;/Version&gt;</w:t>
    </w:r>
  </w:p>
  <w:p w:rsidR="00FB52FE" w:rsidRPr="001D30A3" w:rsidRDefault="00DF5D8D" w:rsidP="00DF5D8D">
    <w:pPr>
      <w:pStyle w:val="Footer2"/>
      <w:tabs>
        <w:tab w:val="center" w:pos="4535"/>
      </w:tabs>
    </w:pPr>
    <w:r>
      <w:t>IT</w:t>
    </w:r>
    <w:r>
      <w:tab/>
    </w:r>
    <w:r w:rsidRPr="00DF5D8D">
      <w:rPr>
        <w:b w:val="0"/>
        <w:i/>
        <w:color w:val="C0C0C0"/>
        <w:sz w:val="22"/>
      </w:rPr>
      <w:t>Unita nella diversità</w:t>
    </w:r>
    <w:r>
      <w:tab/>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0A3" w:rsidRPr="001D30A3" w:rsidRDefault="001D30A3">
      <w:r w:rsidRPr="001D30A3">
        <w:separator/>
      </w:r>
    </w:p>
  </w:footnote>
  <w:footnote w:type="continuationSeparator" w:id="0">
    <w:p w:rsidR="001D30A3" w:rsidRPr="001D30A3" w:rsidRDefault="001D30A3">
      <w:r w:rsidRPr="001D30A3">
        <w:continuationSeparator/>
      </w:r>
    </w:p>
  </w:footnote>
  <w:footnote w:id="1">
    <w:p w:rsidR="00146421" w:rsidRPr="00146421" w:rsidRDefault="00146421" w:rsidP="00146421">
      <w:pPr>
        <w:pStyle w:val="FootnoteText"/>
      </w:pPr>
      <w:r>
        <w:rPr>
          <w:rStyle w:val="FootnoteReference"/>
        </w:rPr>
        <w:footnoteRef/>
      </w:r>
      <w:r>
        <w:t xml:space="preserve"> Non ancora pubblicato nella Gazzetta ufficiale.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19" w:rsidRDefault="003C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19" w:rsidRDefault="003C0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19" w:rsidRDefault="003C0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KEY" w:val="ITRE"/>
    <w:docVar w:name="DOCMNU" w:val=" 1"/>
    <w:docVar w:name="EPSTATMNU" w:val=" 5"/>
    <w:docVar w:name="INSTITUTIONSMNU" w:val=" 1"/>
    <w:docVar w:name="JURI1MNU" w:val=" 2"/>
    <w:docVar w:name="JURI2MNU" w:val=" 2"/>
    <w:docVar w:name="LastEditedSection" w:val=" 1"/>
    <w:docVar w:name="OTHERSTATMNU" w:val=" 4"/>
    <w:docVar w:name="PARLIAMENTSMNU" w:val=" 2"/>
    <w:docVar w:name="RepeatBlock-AmendI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163141 HideTWBExt;}{\*\cs16 \additive \v\cf15 \spriority0 \styrsid2163141 HideTWBInt;}{\s17\ql \li0\ri0\sa120\nowidctlpar\wrapdefault\aspalpha\aspnum\faauto\adjustright\rin0\lin0\itap0 _x000d__x000a_\rtlch\fcs1 \af0\afs20\alang1025 \ltrch\fcs0 \fs24\lang1040\langfe2057\cgrid\langnp1040\langfenp2057 \sbasedon0 \snext17 \slink18 \spriority0 \styrsid2163141 Normal6;}{\*\cs18 \additive \fs24\lang1040\langfe0\langnp1040 _x000d__x000a_\slink17 \slocked \spriority0 \styrsid2163141 Normal6 Char;}{\s19\ql \li0\ri0\nowidctlpar\wrapdefault\aspalpha\aspnum\faauto\adjustright\rin0\lin0\itap0 \rtlch\fcs1 \af0\afs20\alang1025 \ltrch\fcs0 _x000d__x000a_\b\fs24\lang1040\langfe2057\cgrid\langnp1040\langfenp2057 \sbasedon0 \snext19 \slink20 \spriority0 \styrsid2163141 NormalBold;}{\*\cs20 \additive \b\fs24\lang1040\langfe0\langnp1040 \slink19 \slocked \spriority0 \styrsid2163141 NormalBold Char;}{_x000d__x000a_\s21\ql \li0\ri0\sb240\nowidctlpar\wrapdefault\aspalpha\aspnum\faauto\adjustright\rin0\lin0\itap0 \rtlch\fcs1 \af0\afs20\alang1025 \ltrch\fcs0 \i\fs24\lang1040\langfe2057\cgrid\langnp1040\langfenp2057 \sbasedon0 \snext21 \spriority0 \styrsid2163141 _x000d__x000a_Normal12Italic;}{\s22\qc \li0\ri0\sb240\nowidctlpar\wrapdefault\aspalpha\aspnum\faauto\adjustright\rin0\lin0\itap0 \rtlch\fcs1 \af0\afs20\alang1025 \ltrch\fcs0 \i\fs24\lang1040\langfe2057\cgrid\langnp1040\langfenp2057 _x000d__x000a_\sbasedon0 \snext22 \spriority0 \styrsid2163141 CrossRef;}{\s23\qc \li0\ri0\sb240\keepn\nowidctlpar\wrapdefault\aspalpha\aspnum\faauto\adjustright\rin0\lin0\itap0 \rtlch\fcs1 \af0\afs20\alang1025 \ltrch\fcs0 _x000d__x000a_\i\fs24\lang1040\langfe2057\cgrid\langnp1040\langfenp2057 \sbasedon0 \snext0 \spriority0 \styrsid2163141 JustificationTitle;}{\s24\qc \li0\ri0\sa240\nowidctlpar\wrapdefault\aspalpha\aspnum\faauto\adjustright\rin0\lin0\itap0 \rtlch\fcs1 _x000d__x000a_\af0\afs20\alang1025 \ltrch\fcs0 \i\fs24\lang1040\langfe2057\cgrid\langnp1040\langfenp2057 \sbasedon0 \snext24 \spriority0 \styrsid2163141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0\langfe2057\cgrid\langnp1040\langfenp2057 \sbasedon0 \snext25 \spriority0 \styrsid2163141 AMNumberTabs;}{\s26\ql \li0\ri0\sb240\nowidctlpar\wrapdefault\aspalpha\aspnum\faauto\adjustright\rin0\lin0\itap0 \rtlch\fcs1 _x000d__x000a_\af0\afs20\alang1025 \ltrch\fcs0 \b\fs24\lang1040\langfe2057\cgrid\langnp1040\langfenp2057 \sbasedon0 \snext26 \spriority0 \styrsid2163141 NormalBold12b;}}{\*\rsidtbl \rsid24658\rsid735077\rsid2163141\rsid2892074\rsid4666813\rsid6641733\rsid9636012_x000d__x000a_\rsid10433445\rsid11215221\rsid12154954\rsid14424199\rsid15204470\rsid15285974\rsid15950462\rsid16324206\rsid16662270}{\mmathPr\mmathFont34\mbrkBin0\mbrkBinSub0\msmallFrac0\mdispDef1\mlMargin0\mrMargin0\mdefJc1\mwrapIndent1440\mintLim0\mnaryLim1}{\info_x000d__x000a_{\author TOCCARIELLO Domenico}{\operator TOCCARIELLO Domenico}{\creatim\yr2018\mo11\dy27\hr11\min54}{\revtim\yr2018\mo11\dy27\hr11\min54}{\version1}{\edmins0}{\nofpages1}{\nofwords89}{\nofchars550}{\*\company European Parliament}{\nofcharsws628}{\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2163141\utinl \fet0{\*\wgrffmtfilter 013f}\ilfomacatclnup0{\*\template C:\\Users\\DTOCCA~1\\AppData\\Local\\Temp\\Blank1.dot}{\*\ftnsep \ltrpar \pard\plain \ltrpar_x000d__x000a_\ql \li0\ri0\widctlpar\wrapdefault\aspalpha\aspnum\faauto\adjustright\rin0\lin0\itap0 \rtlch\fcs1 \af0\afs20\alang1025 \ltrch\fcs0 \fs24\lang2057\langfe2057\cgrid\langnp2057\langfenp2057 {\rtlch\fcs1 \af0 \ltrch\fcs0 \insrsid10433445 \chftnsep _x000d__x000a_\par }}{\*\ftnsepc \ltrpar \pard\plain \ltrpar\ql \li0\ri0\widctlpar\wrapdefault\aspalpha\aspnum\faauto\adjustright\rin0\lin0\itap0 \rtlch\fcs1 \af0\afs20\alang1025 \ltrch\fcs0 \fs24\lang2057\langfe2057\cgrid\langnp2057\langfenp2057 {\rtlch\fcs1 \af0 _x000d__x000a_\ltrch\fcs0 \insrsid10433445 \chftnsepc _x000d__x000a_\par }}{\*\aftnsep \ltrpar \pard\plain \ltrpar\ql \li0\ri0\widctlpar\wrapdefault\aspalpha\aspnum\faauto\adjustright\rin0\lin0\itap0 \rtlch\fcs1 \af0\afs20\alang1025 \ltrch\fcs0 \fs24\lang2057\langfe2057\cgrid\langnp2057\langfenp2057 {\rtlch\fcs1 \af0 _x000d__x000a_\ltrch\fcs0 \insrsid10433445 \chftnsep _x000d__x000a_\par }}{\*\aftnsepc \ltrpar \pard\plain \ltrpar\ql \li0\ri0\widctlpar\wrapdefault\aspalpha\aspnum\faauto\adjustright\rin0\lin0\itap0 \rtlch\fcs1 \af0\afs20\alang1025 \ltrch\fcs0 \fs24\lang2057\langfe2057\cgrid\langnp2057\langfenp2057 {\rtlch\fcs1 \af0 _x000d__x000a_\ltrch\fcs0 \insrsid104334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63141 \rtlch\fcs1 \af0\afs20\alang1025 \ltrch\fcs0 \b\fs24\lang1040\langfe2057\cgrid\langnp1040\langfenp2057 {\rtlch\fcs1 \af0 \ltrch\fcs0 \cs15\b0\v\f1\fs20\cf9\insrsid2163141\charrsid1912995 {\*\bkmkstart restart}&lt;Amend&gt;}{_x000d__x000a_\rtlch\fcs1 \af0 \ltrch\fcs0 \insrsid2163141\charrsid1912995 Emendamento\tab \tab }{\rtlch\fcs1 \af0 \ltrch\fcs0 \cs15\b0\v\f1\fs20\cf9\insrsid2163141\charrsid1912995 &lt;NumAm&gt;}{\rtlch\fcs1 \af0 \ltrch\fcs0 \insrsid2163141\charrsid1912995 #}{\rtlch\fcs1 _x000d__x000a_\af0 \ltrch\fcs0 \cs16\v\cf15\insrsid2163141\charrsid1912995 ENMIENDA@NRAM@}{\rtlch\fcs1 \af0 \ltrch\fcs0 \insrsid2163141\charrsid1912995 #}{\rtlch\fcs1 \af0 \ltrch\fcs0 \cs15\b0\v\f1\fs20\cf9\insrsid2163141\charrsid1912995 &lt;/NumAm&gt;}{\rtlch\fcs1 \af0 _x000d__x000a_\ltrch\fcs0 \insrsid2163141\charrsid1912995 _x000d__x000a_\par }\pard\plain \ltrpar\s26\ql \li0\ri0\sb240\keepn\nowidctlpar\wrapdefault\aspalpha\aspnum\faauto\adjustright\rin0\lin0\itap0\pararsid2163141 \rtlch\fcs1 \af0\afs20\alang1025 \ltrch\fcs0 \b\fs24\lang1040\langfe2057\cgrid\langnp1040\langfenp2057 {_x000d__x000a_\rtlch\fcs1 \af0 \ltrch\fcs0 \cs15\b0\v\f1\fs20\cf9\insrsid2163141\charrsid1912995 &lt;DocAmend&gt;}{\rtlch\fcs1 \af0 \ltrch\fcs0 \insrsid2163141\charrsid1912995 Proposta di #}{\rtlch\fcs1 \af0 \ltrch\fcs0 \cs16\v\cf15\insrsid2163141\charrsid1912995 _x000d__x000a_MNU[DOC1][DOC2][DOC3]@DOCMSG@DOCMNU}{\rtlch\fcs1 \af0 \ltrch\fcs0 \insrsid2163141\charrsid1912995 ##}{\rtlch\fcs1 \af0 \ltrch\fcs0 \cs16\v\cf15\insrsid2163141\charrsid1912995 MNU[AMACTYES][NOTAPP]@CHOICE@AMACTMNU}{\rtlch\fcs1 \af0 \ltrch\fcs0 _x000d__x000a_\insrsid2163141\charrsid1912995 #}{\rtlch\fcs1 \af0 \ltrch\fcs0 \cs15\b0\v\f1\fs20\cf9\insrsid2163141\charrsid1912995 &lt;/DocAmend&gt;}{\rtlch\fcs1 \af0 \ltrch\fcs0 \insrsid2163141\charrsid1912995 _x000d__x000a_\par }\pard\plain \ltrpar\s19\ql \li0\ri0\keepn\nowidctlpar\wrapdefault\aspalpha\aspnum\faauto\adjustright\rin0\lin0\itap0\pararsid2163141 \rtlch\fcs1 \af0\afs20\alang1025 \ltrch\fcs0 \b\fs24\lang1040\langfe2057\cgrid\langnp1040\langfenp2057 {\rtlch\fcs1 \af0 _x000d__x000a_\ltrch\fcs0 \cs15\b0\v\f1\fs20\cf9\insrsid2163141\charrsid1912995 &lt;Article&gt;}{\rtlch\fcs1 \af0 \ltrch\fcs0 \insrsid2163141\charrsid1912995 #}{\rtlch\fcs1 \af0 \ltrch\fcs0 \cs16\v\cf15\insrsid2163141\charrsid1912995 _x000d__x000a_MNU[AMACTPARTYES][AMACTPARTNO]@CHOICE@AMACTMNU}{\rtlch\fcs1 \af0 \ltrch\fcs0 \insrsid2163141\charrsid1912995 #}{\rtlch\fcs1 \af0 \ltrch\fcs0 \cs15\b0\v\f1\fs20\cf9\insrsid2163141\charrsid1912995 &lt;/Article&gt;}{\rtlch\fcs1 \af0 \ltrch\fcs0 _x000d__x000a_\insrsid2163141\charrsid1912995 _x000d__x000a_\par }\pard\plain \ltrpar\ql \li0\ri0\keepn\widctlpar\wrapdefault\aspalpha\aspnum\faauto\adjustright\rin0\lin0\itap0\pararsid2163141 \rtlch\fcs1 \af0\afs20\alang1025 \ltrch\fcs0 \fs24\lang2057\langfe2057\cgrid\langnp2057\langfenp2057 {\rtlch\fcs1 \af0 _x000d__x000a_\ltrch\fcs0 \cs15\v\f1\fs20\cf9\lang1040\langfe2057\langnp1040\insrsid2163141\charrsid1912995 &lt;DocAmend2&gt;&lt;OptDel&gt;}{\rtlch\fcs1 \af0 \ltrch\fcs0 \lang1040\langfe2057\langnp1040\insrsid2163141\charrsid1912995 #}{\rtlch\fcs1 \af0 \ltrch\fcs0 _x000d__x000a_\cs16\v\cf15\lang1040\langfe2057\langnp1040\insrsid2163141\charrsid1912995 MNU[OPTNRACTYES][NOTAPP]@CHOICE@AMACTMNU}{\rtlch\fcs1 \af0 \ltrch\fcs0 \lang1040\langfe2057\langnp1040\insrsid2163141\charrsid1912995 #}{\rtlch\fcs1 \af0 \ltrch\fcs0 _x000d__x000a_\cs15\v\f1\fs20\cf9\lang1040\langfe2057\langnp1040\insrsid2163141\charrsid1912995 &lt;/OptDel&gt;&lt;/DocAmend2&gt;}{\rtlch\fcs1 \af0 \ltrch\fcs0 \lang1040\langfe2057\langnp1040\insrsid2163141\charrsid1912995 _x000d__x000a_\par }\pard \ltrpar\ql \li0\ri0\widctlpar\wrapdefault\aspalpha\aspnum\faauto\adjustright\rin0\lin0\itap0\pararsid2163141 {\rtlch\fcs1 \af0 \ltrch\fcs0 \cs15\v\f1\fs20\cf9\lang1040\langfe2057\langnp1040\insrsid2163141\charrsid1912995 &lt;Article2&gt;&lt;OptDel&gt;}{_x000d__x000a_\rtlch\fcs1 \af0 \ltrch\fcs0 \lang1040\langfe2057\langnp1040\insrsid2163141\charrsid1912995 #}{\rtlch\fcs1 \af0 \ltrch\fcs0 \cs16\v\cf15\lang1040\langfe2057\langnp1040\insrsid2163141\charrsid1912995 MNU[OPTACTPARTYES][NOTAPP]@CHOICE@AMACTMNU}{\rtlch\fcs1 _x000d__x000a_\af0 \ltrch\fcs0 \lang1040\langfe2057\langnp1040\insrsid2163141\charrsid1912995 #}{\rtlch\fcs1 \af0 \ltrch\fcs0 \cs15\v\f1\fs20\cf9\lang1040\langfe2057\langnp1040\insrsid2163141\charrsid1912995 &lt;/OptDel&gt;&lt;/Article2&gt;}{\rtlch\fcs1 \af0 \ltrch\fcs0 _x000d__x000a_\lang1040\langfe2057\langnp1040\insrsid2163141\charrsid1912995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lang1040\langfe2057\langnp1040\insrsid2163141\charrsid1912995 \cell }\pard \ltrpar\ql \li0\ri0\widctlpar\intbl\wrapdefault\aspalpha\aspnum\faauto\adjustright\rin0\lin0 {\rtlch\fcs1 \af0 \ltrch\fcs0 _x000d__x000a_\lang1040\langfe2057\langnp1040\insrsid2163141\charrsid1912995 \trowd \irow0\irowband0\ltrrow\ts11\trqc\trgaph340\trleft-340\trftsWidth3\trwWidth9752\trftsWidthB3\trftsWidthA3\trpaddl340\trpaddr340\trpaddfl3\trpaddfr3\tblrsid2517430\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40\langfe2057\cgrid\langnp1040\langfenp2057 {\rtlch\fcs1 \af0 \ltrch\fcs0 _x000d__x000a_\insrsid2163141\charrsid1912995 #}{\rtlch\fcs1 \af0 \ltrch\fcs0 \cs16\v\cf15\insrsid2163141\charrsid1912995 MNU[OPTLEFTAMACT][LEFTPROP]@CHOICE@AMACTMNU}{\rtlch\fcs1 \af0 \ltrch\fcs0 \insrsid2163141\charrsid1912995 #\cell Emendamento\cell _x000d__x000a_}\pard\plain \ltrpar\ql \li0\ri0\widctlpar\intbl\wrapdefault\aspalpha\aspnum\faauto\adjustright\rin0\lin0 \rtlch\fcs1 \af0\afs20\alang1025 \ltrch\fcs0 \fs24\lang2057\langfe2057\cgrid\langnp2057\langfenp2057 {\rtlch\fcs1 \af0 \ltrch\fcs0 _x000d__x000a_\lang1040\langfe2057\langnp1040\insrsid2163141\charrsid1912995 \trowd \irow1\irowband1\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7\ql \li0\ri0\sa120\nowidctlpar\intbl\wrapdefault\aspalpha\aspnum\faauto\adjustright\rin0\lin0\pararsid2517430 \rtlch\fcs1 \af0\afs20\alang1025 \ltrch\fcs0 _x000d__x000a_\fs24\lang1040\langfe2057\cgrid\langnp1040\langfenp2057 {\rtlch\fcs1 \af0 \ltrch\fcs0 \insrsid2163141\charrsid1912995 #}{\rtlch\fcs1 \af0 \ltrch\fcs0 \cs16\v\cf15\insrsid2163141\charrsid1912995 TESTO}{\rtlch\fcs1 \af0 \ltrch\fcs0 _x000d__x000a_\insrsid2163141\charrsid1912995 #\cell #}{\rtlch\fcs1 \af0 \ltrch\fcs0 \cs16\v\cf15\insrsid2163141\charrsid1912995 TESTO}{\rtlch\fcs1 \af0 \ltrch\fcs0 \insrsid2163141\charrsid1912995 #}{\rtlch\fcs1 \af0\afs24 \ltrch\fcs0 \insrsid2163141\charrsid1912995 _x000d__x000a_\cell }\pard\plain \ltrpar\ql \li0\ri0\widctlpar\intbl\wrapdefault\aspalpha\aspnum\faauto\adjustright\rin0\lin0 \rtlch\fcs1 \af0\afs20\alang1025 \ltrch\fcs0 \fs24\lang2057\langfe2057\cgrid\langnp2057\langfenp2057 {\rtlch\fcs1 \af0 \ltrch\fcs0 _x000d__x000a_\lang1040\langfe2057\langnp1040\insrsid2163141\charrsid1912995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2163141 \rtlch\fcs1 \af0\afs20\alang1025 \ltrch\fcs0 \i\fs24\lang1040\langfe2057\cgrid\langnp1040\langfenp2057 {\rtlch\fcs1 \af0 \ltrch\fcs0 _x000d__x000a_\cs15\i0\v\f1\fs20\cf9\insrsid2163141\charrsid1912995 &lt;OptDel&gt;}{\rtlch\fcs1 \af0 \ltrch\fcs0 \insrsid2163141\charrsid1912995 #}{\rtlch\fcs1 \af0 \ltrch\fcs0 \cs16\v\cf15\insrsid2163141\charrsid1912995 MNU[CROSSREFNO][CROSSREFYES]@CHOICE@}{\rtlch\fcs1 _x000d__x000a_\af0 \ltrch\fcs0 \insrsid2163141\charrsid1912995 #}{\rtlch\fcs1 \af0 \ltrch\fcs0 \cs15\i0\v\f1\fs20\cf9\insrsid2163141\charrsid1912995 &lt;/OptDel&gt;}{\rtlch\fcs1 \af0 \ltrch\fcs0 \insrsid2163141\charrsid1912995 _x000d__x000a_\par }\pard\plain \ltrpar\s23\qc \li0\ri0\sb240\keepn\nowidctlpar\wrapdefault\aspalpha\aspnum\faauto\adjustright\rin0\lin0\itap0\pararsid2163141 \rtlch\fcs1 \af0\afs20\alang1025 \ltrch\fcs0 \i\fs24\lang1040\langfe2057\cgrid\langnp1040\langfenp2057 {_x000d__x000a_\rtlch\fcs1 \af0 \ltrch\fcs0 \cs15\i0\v\f1\fs20\cf9\insrsid2163141\charrsid1912995 &lt;TitreJust&gt;}{\rtlch\fcs1 \af0 \ltrch\fcs0 \insrsid2163141\charrsid1912995 Motivazione}{\rtlch\fcs1 \af0 \ltrch\fcs0 \cs15\i0\v\f1\fs20\cf9\insrsid2163141\charrsid1912995 _x000d__x000a_&lt;/TitreJust&gt;}{\rtlch\fcs1 \af0 \ltrch\fcs0 \insrsid2163141\charrsid1912995 _x000d__x000a_\par }\pard\plain \ltrpar\s21\ql \li0\ri0\sb240\nowidctlpar\wrapdefault\aspalpha\aspnum\faauto\adjustright\rin0\lin0\itap0\pararsid2163141 \rtlch\fcs1 \af0\afs20\alang1025 \ltrch\fcs0 \i\fs24\lang1040\langfe2057\cgrid\langnp1040\langfenp2057 {\rtlch\fcs1 \af0 _x000d__x000a_\ltrch\fcs0 \cs15\i0\v\f1\fs20\cf9\insrsid2163141\charrsid1912995 &lt;OptDelPrev&gt;}{\rtlch\fcs1 \af0 \ltrch\fcs0 \insrsid2163141\charrsid1912995 #}{\rtlch\fcs1 \af0 \ltrch\fcs0 \cs16\v\cf15\insrsid2163141\charrsid1912995 MNU[TEXTJUSTYES][TEXTJUSTNO]@CHOICE@}{_x000d__x000a_\rtlch\fcs1 \af0 \ltrch\fcs0 \insrsid2163141\charrsid1912995 #}{\rtlch\fcs1 \af0 \ltrch\fcs0 \cs15\i0\v\f1\fs20\cf9\insrsid2163141\charrsid1912995 &lt;/OptDelPrev&gt;}{\rtlch\fcs1 \af0 \ltrch\fcs0 \insrsid2163141\charrsid1912995 _x000d__x000a_\par }\pard\plain \ltrpar\ql \li0\ri0\widctlpar\wrapdefault\aspalpha\aspnum\faauto\adjustright\rin0\lin0\itap0\pararsid2163141 \rtlch\fcs1 \af0\afs20\alang1025 \ltrch\fcs0 \fs24\lang2057\langfe2057\cgrid\langnp2057\langfenp2057 {\rtlch\fcs1 \af0 \ltrch\fcs0 _x000d__x000a_\cs15\v\f1\fs20\cf9\lang1040\langfe2057\langnp1040\insrsid2163141\charrsid1912995 &lt;/Amend&gt;}{\rtlch\fcs1 \af0 \ltrch\fcs0 \insrsid2163141\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5c_x000d__x000a_e7a23f8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649459 HideTWBExt;}{\s16\ql \li0\ri0\sa120\nowidctlpar\wrapdefault\aspalpha\aspnum\faauto\adjustright\rin0\lin0\itap0 \rtlch\fcs1 \af0\afs20\alang1025 \ltrch\fcs0 _x000d__x000a_\fs24\lang2057\langfe2057\cgrid\langnp2057\langfenp2057 \sbasedon0 \snext16 \slink17 \spriority0 \styrsid13649459 Normal6;}{\*\cs17 \additive \fs24 \slink16 \slocked \spriority0 \styrsid13649459 Normal6 Char;}{_x000d__x000a_\s18\ql \li0\ri0\nowidctlpar\wrapdefault\aspalpha\aspnum\faauto\adjustright\rin0\lin0\itap0 \rtlch\fcs1 \af0\afs20\alang1025 \ltrch\fcs0 \b\fs24\lang2057\langfe2057\cgrid\langnp2057\langfenp2057 \sbasedon0 \snext18 \slink19 \spriority0 \styrsid13649459 _x000d__x000a_NormalBold;}{\*\cs19 \additive \b\fs24 \slink18 \slocked \spriority0 \styrsid13649459 NormalBold Char;}{\s20\ql \li0\ri0\sb240\nowidctlpar\wrapdefault\aspalpha\aspnum\faauto\adjustright\rin0\lin0\itap0 \rtlch\fcs1 \af0\afs20\alang1025 \ltrch\fcs0 _x000d__x000a_\i\fs24\lang2057\langfe2057\cgrid\langnp2057\langfenp2057 \sbasedon0 \snext20 \spriority0 \styrsid13649459 Normal12Italic;}{\s21\qc \li0\ri0\sb240\nowidctlpar\wrapdefault\aspalpha\aspnum\faauto\adjustright\rin0\lin0\itap0 \rtlch\fcs1 \af0\afs20\alang1025 _x000d__x000a_\ltrch\fcs0 \i\fs24\lang2057\langfe2057\cgrid\langnp2057\langfenp2057 \sbasedon0 \snext21 \spriority0 \styrsid13649459 CrossRef;}{\s22\qc \li0\ri0\sb240\keepn\nowidctlpar\wrapdefault\aspalpha\aspnum\faauto\adjustright\rin0\lin0\itap0 \rtlch\fcs1 _x000d__x000a_\af0\afs20\alang1025 \ltrch\fcs0 \i\fs24\lang2057\langfe2057\cgrid\langnp2057\langfenp2057 \sbasedon0 \snext0 \spriority0 \styrsid13649459 JustificationTitle;}{_x000d__x000a_\s23\qc \li0\ri0\sa240\nowidctlpar\wrapdefault\aspalpha\aspnum\faauto\adjustright\rin0\lin0\itap0 \rtlch\fcs1 \af0\afs20\alang1025 \ltrch\fcs0 \i\fs24\lang2057\langfe2057\cgrid\langnp2057\langfenp2057 \sbasedon0 \snext23 \spriority0 \styrsid13649459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3649459 AMNumberTabs;}{_x000d__x000a_\s25\ql \li0\ri0\sb240\nowidctlpar\wrapdefault\aspalpha\aspnum\faauto\adjustright\rin0\lin0\itap0 \rtlch\fcs1 \af0\afs20\alang1025 \ltrch\fcs0 \b\fs24\lang2057\langfe2057\cgrid\langnp2057\langfenp2057 \sbasedon0 \snext25 \spriority0 \styrsid13649459 _x000d__x000a_NormalBold12b;}}{\*\rsidtbl \rsid24658\rsid735077\rsid2892074\rsid4666813\rsid6641733\rsid9636012\rsid11215221\rsid12154954\rsid13649459\rsid14424199\rsid14634458\rsid15204470\rsid15285974\rsid15950462\rsid16324206\rsid16662270}{\mmathPr\mmathFont34_x000d__x000a_\mbrkBin0\mbrkBinSub0\msmallFrac0\mdispDef1\mlMargin0\mrMargin0\mdefJc1\mwrapIndent1440\mintLim0\mnaryLim1}{\info{\author TOCCARIELLO Domenico}{\operator TOCCARIELLO Domenico}{\creatim\yr2018\mo11\dy27\hr11\min54}{\revtim\yr2018\mo11\dy27\hr11\min54}_x000d__x000a_{\version1}{\edmins0}{\nofpages1}{\nofwords51}{\nofchars316}{\*\company European Parliament}{\nofcharsws361}{\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13649459\utinl \fet0{\*\wgrffmtfilter 013f}\ilfomacatclnup0{\*\template C:\\Users\\DTOCCA~1\\AppData\\Local\\Temp\\Blank1.dot}{\*\ftnsep \ltrpar \pard\plain \ltrpar_x000d__x000a_\ql \li0\ri0\widctlpar\wrapdefault\aspalpha\aspnum\faauto\adjustright\rin0\lin0\itap0 \rtlch\fcs1 \af0\afs20\alang1025 \ltrch\fcs0 \fs24\lang2057\langfe2057\cgrid\langnp2057\langfenp2057 {\rtlch\fcs1 \af0 \ltrch\fcs0 \insrsid14634458 \chftnsep _x000d__x000a_\par }}{\*\ftnsepc \ltrpar \pard\plain \ltrpar\ql \li0\ri0\widctlpar\wrapdefault\aspalpha\aspnum\faauto\adjustright\rin0\lin0\itap0 \rtlch\fcs1 \af0\afs20\alang1025 \ltrch\fcs0 \fs24\lang2057\langfe2057\cgrid\langnp2057\langfenp2057 {\rtlch\fcs1 \af0 _x000d__x000a_\ltrch\fcs0 \insrsid14634458 \chftnsepc _x000d__x000a_\par }}{\*\aftnsep \ltrpar \pard\plain \ltrpar\ql \li0\ri0\widctlpar\wrapdefault\aspalpha\aspnum\faauto\adjustright\rin0\lin0\itap0 \rtlch\fcs1 \af0\afs20\alang1025 \ltrch\fcs0 \fs24\lang2057\langfe2057\cgrid\langnp2057\langfenp2057 {\rtlch\fcs1 \af0 _x000d__x000a_\ltrch\fcs0 \insrsid14634458 \chftnsep _x000d__x000a_\par }}{\*\aftnsepc \ltrpar \pard\plain \ltrpar\ql \li0\ri0\widctlpar\wrapdefault\aspalpha\aspnum\faauto\adjustright\rin0\lin0\itap0 \rtlch\fcs1 \af0\afs20\alang1025 \ltrch\fcs0 \fs24\lang2057\langfe2057\cgrid\langnp2057\langfenp2057 {\rtlch\fcs1 \af0 _x000d__x000a_\ltrch\fcs0 \insrsid1463445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3649459 \rtlch\fcs1 \af0\afs20\alang1025 \ltrch\fcs0 \b\fs24\lang2057\langfe2057\cgrid\langnp2057\langfenp2057 {\rtlch\fcs1 \af0 \ltrch\fcs0 \cs15\b0\v\f1\fs20\cf9\insrsid13649459\charrsid4593153 {\*\bkmkstart restart}&lt;Amend&gt;}{_x000d__x000a_\rtlch\fcs1 \af0 \ltrch\fcs0 \insrsid13649459\charrsid4593153 [ZAMENDMENT]\tab \tab }{\rtlch\fcs1 \af0 \ltrch\fcs0 \cs15\b0\v\f1\fs20\cf9\insrsid13649459\charrsid4593153 &lt;NumAm&gt;}{\rtlch\fcs1 \af0 \ltrch\fcs0 \insrsid13649459\charrsid4593153 [ZNRAM]}{_x000d__x000a_\rtlch\fcs1 \af0 \ltrch\fcs0 \cs15\b0\v\f1\fs20\cf9\insrsid13649459\charrsid4593153 &lt;/NumAm&gt;}{\rtlch\fcs1 \af0 \ltrch\fcs0 \insrsid13649459\charrsid4593153 _x000d__x000a_\par }\pard\plain \ltrpar\s25\ql \li0\ri0\sb240\keepn\nowidctlpar\wrapdefault\aspalpha\aspnum\faauto\adjustright\rin0\lin0\itap0\pararsid13649459 \rtlch\fcs1 \af0\afs20\alang1025 \ltrch\fcs0 \b\fs24\lang2057\langfe2057\cgrid\langnp2057\langfenp2057 {_x000d__x000a_\rtlch\fcs1 \af0 \ltrch\fcs0 \cs15\b0\v\f1\fs20\cf9\insrsid13649459\charrsid4593153 &lt;DocAmend&gt;}{\rtlch\fcs1 \af0 \ltrch\fcs0 \insrsid13649459\charrsid4593153 [ZPROPOSAL][ZAMACT]}{\rtlch\fcs1 \af0 \ltrch\fcs0 _x000d__x000a_\cs15\b0\v\f1\fs20\cf9\insrsid13649459\charrsid4593153 &lt;/DocAmend&gt;}{\rtlch\fcs1 \af0 \ltrch\fcs0 \insrsid13649459\charrsid4593153 _x000d__x000a_\par }\pard\plain \ltrpar\s18\ql \li0\ri0\keepn\nowidctlpar\wrapdefault\aspalpha\aspnum\faauto\adjustright\rin0\lin0\itap0\pararsid13649459 \rtlch\fcs1 \af0\afs20\alang1025 \ltrch\fcs0 \b\fs24\lang2057\langfe2057\cgrid\langnp2057\langfenp2057 {\rtlch\fcs1 _x000d__x000a_\af0 \ltrch\fcs0 \cs15\b0\v\f1\fs20\cf9\insrsid13649459\charrsid4593153 &lt;Article&gt;}{\rtlch\fcs1 \af0 \ltrch\fcs0 \insrsid13649459\charrsid4593153 [ZAMPART]}{\rtlch\fcs1 \af0 \ltrch\fcs0 \cs15\b0\v\f1\fs20\cf9\insrsid13649459\charrsid4593153 &lt;/Article&gt;}{_x000d__x000a_\rtlch\fcs1 \af0 \ltrch\fcs0 \insrsid13649459\charrsid4593153 _x000d__x000a_\par }\pard\plain \ltrpar\ql \li0\ri0\keepn\widctlpar\wrapdefault\aspalpha\aspnum\faauto\adjustright\rin0\lin0\itap0\pararsid13649459 \rtlch\fcs1 \af0\afs20\alang1025 \ltrch\fcs0 \fs24\lang2057\langfe2057\cgrid\langnp2057\langfenp2057 {\rtlch\fcs1 \af0 _x000d__x000a_\ltrch\fcs0 \cs15\v\f1\fs20\cf9\insrsid13649459\charrsid4593153 &lt;DocAmend2&gt;&lt;OptDel&gt;}{\rtlch\fcs1 \af0 \ltrch\fcs0 \insrsid13649459\charrsid4593153 [ZNRACT]}{\rtlch\fcs1 \af0 \ltrch\fcs0 \cs15\v\f1\fs20\cf9\insrsid13649459\charrsid4593153 _x000d__x000a_&lt;/OptDel&gt;&lt;/DocAmend2&gt;}{\rtlch\fcs1 \af0 \ltrch\fcs0 \insrsid13649459\charrsid4593153 _x000d__x000a_\par }\pard \ltrpar\ql \li0\ri0\widctlpar\wrapdefault\aspalpha\aspnum\faauto\adjustright\rin0\lin0\itap0\pararsid13649459 {\rtlch\fcs1 \af0 \ltrch\fcs0 \cs15\v\f1\fs20\cf9\insrsid13649459\charrsid4593153 &lt;Article2&gt;&lt;OptDel&gt;}{\rtlch\fcs1 \af0 \ltrch\fcs0 _x000d__x000a_\insrsid13649459\charrsid4593153 [ZACTPART]}{\rtlch\fcs1 \af0 \ltrch\fcs0 \cs15\v\f1\fs20\cf9\insrsid13649459\charrsid4593153 &lt;/OptDel&gt;&lt;/Article2&gt;}{\rtlch\fcs1 \af0 \ltrch\fcs0 \insrsid13649459\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13649459\charrsid4593153 \cell }\pard \ltrpar\ql \li0\ri0\widctlpar\intbl\wrapdefault\aspalpha\aspnum\faauto\adjustright\rin0\lin0 {\rtlch\fcs1 \af0 \ltrch\fcs0 \insrsid13649459\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13649459\charrsid4593153 [ZLEFT]\cell [ZRIGHT]\cell }\pard\plain \ltrpar\ql \li0\ri0\widctlpar\intbl\wrapdefault\aspalpha\aspnum\faauto\adjustright\rin0\lin0 \rtlch\fcs1 \af0\afs20\alang1025 \ltrch\fcs0 _x000d__x000a_\fs24\lang2057\langfe2057\cgrid\langnp2057\langfenp2057 {\rtlch\fcs1 \af0 \ltrch\fcs0 \insrsid13649459\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3649459\charrsid4593153 [ZTEXTL]\cell [ZTEXTR]}{\rtlch\fcs1 \af0\afs24 \ltrch\fcs0 \insrsid13649459\charrsid4593153 \cell }\pard\plain \ltrpar\ql \li0\ri0\widctlpar\intbl\wrapdefault\aspalpha\aspnum\faauto\adjustright\rin0\lin0 \rtlch\fcs1 _x000d__x000a_\af0\afs20\alang1025 \ltrch\fcs0 \fs24\lang2057\langfe2057\cgrid\langnp2057\langfenp2057 {\rtlch\fcs1 \af0 \ltrch\fcs0 \insrsid13649459\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3649459 \rtlch\fcs1 \af0\afs20\alang1025 \ltrch\fcs0 \i\fs24\lang2057\langfe2057\cgrid\langnp2057\langfenp2057 {\rtlch\fcs1 \af0 \ltrch\fcs0 _x000d__x000a_\cs15\i0\v\f1\fs20\cf9\insrsid13649459\charrsid4593153 &lt;OptDel&gt;}{\rtlch\fcs1 \af0 \ltrch\fcs0 \insrsid13649459\charrsid4593153 [ZCROSSREF]}{\rtlch\fcs1 \af0 \ltrch\fcs0 \cs15\i0\v\f1\fs20\cf9\insrsid13649459\charrsid4593153 &lt;/OptDel&gt;}{\rtlch\fcs1 \af0 _x000d__x000a_\ltrch\fcs0 \insrsid13649459\charrsid4593153 _x000d__x000a_\par }\pard\plain \ltrpar\s22\qc \li0\ri0\sb240\keepn\nowidctlpar\wrapdefault\aspalpha\aspnum\faauto\adjustright\rin0\lin0\itap0\pararsid13649459 \rtlch\fcs1 \af0\afs20\alang1025 \ltrch\fcs0 \i\fs24\lang2057\langfe2057\cgrid\langnp2057\langfenp2057 {_x000d__x000a_\rtlch\fcs1 \af0 \ltrch\fcs0 \cs15\i0\v\f1\fs20\cf9\insrsid13649459\charrsid4593153 &lt;TitreJust&gt;}{\rtlch\fcs1 \af0 \ltrch\fcs0 \insrsid13649459\charrsid4593153 [ZJUSTIFICATION]}{\rtlch\fcs1 \af0 \ltrch\fcs0 _x000d__x000a_\cs15\i0\v\f1\fs20\cf9\insrsid13649459\charrsid4593153 &lt;/TitreJust&gt;}{\rtlch\fcs1 \af0 \ltrch\fcs0 \insrsid13649459\charrsid4593153 _x000d__x000a_\par }\pard\plain \ltrpar\s20\ql \li0\ri0\sb240\nowidctlpar\wrapdefault\aspalpha\aspnum\faauto\adjustright\rin0\lin0\itap0\pararsid13649459 \rtlch\fcs1 \af0\afs20\alang1025 \ltrch\fcs0 \i\fs24\lang2057\langfe2057\cgrid\langnp2057\langfenp2057 {\rtlch\fcs1 _x000d__x000a_\af0 \ltrch\fcs0 \cs15\i0\v\f1\fs20\cf9\insrsid13649459\charrsid4593153 &lt;OptDelPrev&gt;}{\rtlch\fcs1 \af0 \ltrch\fcs0 \insrsid13649459\charrsid4593153 [ZTEXTJUST]}{\rtlch\fcs1 \af0 \ltrch\fcs0 \cs15\i0\v\f1\fs20\cf9\insrsid13649459\charrsid4593153 _x000d__x000a_&lt;/OptDelPrev&gt;}{\rtlch\fcs1 \af0 \ltrch\fcs0 \insrsid13649459\charrsid4593153 _x000d__x000a_\par }\pard\plain \ltrpar\ql \li0\ri0\widctlpar\wrapdefault\aspalpha\aspnum\faauto\adjustright\rin0\lin0\itap0\pararsid13649459 \rtlch\fcs1 \af0\afs20\alang1025 \ltrch\fcs0 \fs24\lang2057\langfe2057\cgrid\langnp2057\langfenp2057 {\rtlch\fcs1 \af0 \ltrch\fcs0 _x000d__x000a_\cs15\v\f1\fs20\cf9\insrsid13649459\charrsid4593153 &lt;/Amend&gt;}{\rtlch\fcs1 \af0 \ltrch\fcs0 \insrsid13649459\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4a_x000d__x000a_07a43f8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70"/>
    <w:docVar w:name="TXTAUTHOR" w:val="Fredrick Federley"/>
    <w:docVar w:name="TXTLANGUE" w:val="IT"/>
    <w:docVar w:name="TXTLANGUEMIN" w:val="it"/>
    <w:docVar w:name="TXTNRC" w:val="0170/2018"/>
    <w:docVar w:name="TXTNRCOD" w:val="2018/0110"/>
    <w:docVar w:name="TXTNRCOM" w:val="(2018)0231"/>
    <w:docVar w:name="TXTNRPE" w:val="626.994"/>
    <w:docVar w:name="TXTPEorAP" w:val="PE"/>
    <w:docVar w:name="TXTROUTE" w:val="RR\1170176IT.docx"/>
    <w:docVar w:name="TXTTITLE" w:val="relativo alla messa in opera e al funzionamento del nome di dominio di primo livello .eu e che abroga il regolamento (CE) n. 733/2002 e il regolamento (CE) n. 874/2004 della Commissione"/>
    <w:docVar w:name="TXTVERSION" w:val="02-00"/>
  </w:docVars>
  <w:rsids>
    <w:rsidRoot w:val="001D30A3"/>
    <w:rsid w:val="00011AAB"/>
    <w:rsid w:val="00012351"/>
    <w:rsid w:val="00084E89"/>
    <w:rsid w:val="000F1096"/>
    <w:rsid w:val="00116B0F"/>
    <w:rsid w:val="00123DD5"/>
    <w:rsid w:val="00142215"/>
    <w:rsid w:val="00146421"/>
    <w:rsid w:val="001767E2"/>
    <w:rsid w:val="00187008"/>
    <w:rsid w:val="001C5592"/>
    <w:rsid w:val="001C5B44"/>
    <w:rsid w:val="001C6FFC"/>
    <w:rsid w:val="001D30A3"/>
    <w:rsid w:val="00212B84"/>
    <w:rsid w:val="002346B0"/>
    <w:rsid w:val="00262EEA"/>
    <w:rsid w:val="002667C3"/>
    <w:rsid w:val="002669B6"/>
    <w:rsid w:val="00290BED"/>
    <w:rsid w:val="002F00D5"/>
    <w:rsid w:val="002F40BB"/>
    <w:rsid w:val="002F4B02"/>
    <w:rsid w:val="00323EF8"/>
    <w:rsid w:val="00370AC3"/>
    <w:rsid w:val="003C0719"/>
    <w:rsid w:val="003C2068"/>
    <w:rsid w:val="003C37CF"/>
    <w:rsid w:val="004100B1"/>
    <w:rsid w:val="004457CB"/>
    <w:rsid w:val="00461601"/>
    <w:rsid w:val="004B516B"/>
    <w:rsid w:val="004C0915"/>
    <w:rsid w:val="004D424E"/>
    <w:rsid w:val="004E42C8"/>
    <w:rsid w:val="0051271F"/>
    <w:rsid w:val="00521F46"/>
    <w:rsid w:val="00551123"/>
    <w:rsid w:val="00570A6A"/>
    <w:rsid w:val="00586E50"/>
    <w:rsid w:val="005C2B42"/>
    <w:rsid w:val="005D1A99"/>
    <w:rsid w:val="005D63E6"/>
    <w:rsid w:val="005D7609"/>
    <w:rsid w:val="005D7EE8"/>
    <w:rsid w:val="00682A32"/>
    <w:rsid w:val="006F7907"/>
    <w:rsid w:val="00743189"/>
    <w:rsid w:val="007932B3"/>
    <w:rsid w:val="00793EA9"/>
    <w:rsid w:val="007D6F68"/>
    <w:rsid w:val="008633CC"/>
    <w:rsid w:val="00865190"/>
    <w:rsid w:val="008719B9"/>
    <w:rsid w:val="00894ECE"/>
    <w:rsid w:val="00896BB4"/>
    <w:rsid w:val="008A7FB8"/>
    <w:rsid w:val="008B351E"/>
    <w:rsid w:val="009022B8"/>
    <w:rsid w:val="00917A18"/>
    <w:rsid w:val="00917CC4"/>
    <w:rsid w:val="009763DA"/>
    <w:rsid w:val="009B4B93"/>
    <w:rsid w:val="009E5D8D"/>
    <w:rsid w:val="009F24BE"/>
    <w:rsid w:val="009F6C2F"/>
    <w:rsid w:val="00A22533"/>
    <w:rsid w:val="00A26F46"/>
    <w:rsid w:val="00A34FD3"/>
    <w:rsid w:val="00A36929"/>
    <w:rsid w:val="00A51C45"/>
    <w:rsid w:val="00AA35B0"/>
    <w:rsid w:val="00AD18C8"/>
    <w:rsid w:val="00AD7FA6"/>
    <w:rsid w:val="00AE4643"/>
    <w:rsid w:val="00AF0416"/>
    <w:rsid w:val="00B10CB4"/>
    <w:rsid w:val="00B23B72"/>
    <w:rsid w:val="00B42702"/>
    <w:rsid w:val="00B85407"/>
    <w:rsid w:val="00B95702"/>
    <w:rsid w:val="00BC6489"/>
    <w:rsid w:val="00BD480C"/>
    <w:rsid w:val="00BF5079"/>
    <w:rsid w:val="00C73602"/>
    <w:rsid w:val="00CF60C8"/>
    <w:rsid w:val="00D32924"/>
    <w:rsid w:val="00D503A3"/>
    <w:rsid w:val="00DA0DFA"/>
    <w:rsid w:val="00DA6ED0"/>
    <w:rsid w:val="00DC5011"/>
    <w:rsid w:val="00DF5D8D"/>
    <w:rsid w:val="00E171B6"/>
    <w:rsid w:val="00E52298"/>
    <w:rsid w:val="00E63F2C"/>
    <w:rsid w:val="00E82CCF"/>
    <w:rsid w:val="00EB1753"/>
    <w:rsid w:val="00EB6CFF"/>
    <w:rsid w:val="00ED5D09"/>
    <w:rsid w:val="00EE3996"/>
    <w:rsid w:val="00F904AE"/>
    <w:rsid w:val="00F934F8"/>
    <w:rsid w:val="00FB52FE"/>
    <w:rsid w:val="00FC0A34"/>
    <w:rsid w:val="00FD1DEF"/>
    <w:rsid w:val="00FE3B3F"/>
    <w:rsid w:val="00FF6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55E39F3-6B9F-4601-BB93-E8D174DA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rsid w:val="00B23B72"/>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it-IT"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it-IT"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5D63E6"/>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5D63E6"/>
    <w:pPr>
      <w:spacing w:before="240" w:after="240"/>
    </w:pPr>
    <w:rPr>
      <w:b/>
      <w:i/>
      <w:snapToGrid w:val="0"/>
      <w:lang w:eastAsia="en-US"/>
    </w:rPr>
  </w:style>
  <w:style w:type="paragraph" w:customStyle="1" w:styleId="Lgendestandard">
    <w:name w:val="Légende standard"/>
    <w:basedOn w:val="Lgendesigne"/>
    <w:rsid w:val="005D63E6"/>
    <w:pPr>
      <w:ind w:left="0" w:firstLine="0"/>
    </w:pPr>
  </w:style>
  <w:style w:type="paragraph" w:styleId="FootnoteText">
    <w:name w:val="footnote text"/>
    <w:basedOn w:val="Normal"/>
    <w:link w:val="FootnoteTextChar"/>
    <w:rsid w:val="005D63E6"/>
    <w:rPr>
      <w:sz w:val="20"/>
    </w:rPr>
  </w:style>
  <w:style w:type="character" w:customStyle="1" w:styleId="FootnoteTextChar">
    <w:name w:val="Footnote Text Char"/>
    <w:basedOn w:val="DefaultParagraphFont"/>
    <w:link w:val="FootnoteText"/>
    <w:rsid w:val="005D63E6"/>
    <w:rPr>
      <w:lang w:val="it-IT"/>
    </w:rPr>
  </w:style>
  <w:style w:type="character" w:styleId="FootnoteReference">
    <w:name w:val="footnote reference"/>
    <w:basedOn w:val="DefaultParagraphFont"/>
    <w:rsid w:val="005D63E6"/>
    <w:rPr>
      <w:vertAlign w:val="superscript"/>
    </w:rPr>
  </w:style>
  <w:style w:type="paragraph" w:customStyle="1" w:styleId="Normal24a12b">
    <w:name w:val="Normal24a12b"/>
    <w:basedOn w:val="Normal"/>
    <w:qFormat/>
    <w:rsid w:val="005C2B42"/>
    <w:pPr>
      <w:spacing w:before="240" w:after="480"/>
    </w:pPr>
  </w:style>
  <w:style w:type="paragraph" w:customStyle="1" w:styleId="NormalBoldCentre">
    <w:name w:val="NormalBoldCentre"/>
    <w:basedOn w:val="Normal"/>
    <w:next w:val="Normal"/>
    <w:qFormat/>
    <w:rsid w:val="005C2B42"/>
    <w:pPr>
      <w:jc w:val="center"/>
    </w:pPr>
    <w:rPr>
      <w:b/>
    </w:rPr>
  </w:style>
  <w:style w:type="paragraph" w:customStyle="1" w:styleId="NormalTabs">
    <w:name w:val="NormalTabs"/>
    <w:basedOn w:val="Normal"/>
    <w:qFormat/>
    <w:rsid w:val="00146421"/>
    <w:pPr>
      <w:tabs>
        <w:tab w:val="center" w:pos="284"/>
        <w:tab w:val="left" w:pos="426"/>
      </w:tabs>
    </w:pPr>
    <w:rPr>
      <w:snapToGrid w:val="0"/>
      <w:lang w:eastAsia="en-US"/>
    </w:rPr>
  </w:style>
  <w:style w:type="paragraph" w:customStyle="1" w:styleId="Normal6Center">
    <w:name w:val="Normal6 + Center"/>
    <w:qFormat/>
    <w:rsid w:val="00146421"/>
    <w:pPr>
      <w:spacing w:after="120"/>
      <w:jc w:val="center"/>
    </w:pPr>
    <w:rPr>
      <w:b/>
      <w:i/>
      <w:color w:val="000000"/>
      <w:sz w:val="24"/>
      <w:szCs w:val="24"/>
    </w:rPr>
  </w:style>
  <w:style w:type="character" w:customStyle="1" w:styleId="SupBoldItalic">
    <w:name w:val="SupBoldItalic"/>
    <w:rsid w:val="00146421"/>
    <w:rPr>
      <w:b/>
      <w:bCs w:val="0"/>
      <w:i/>
      <w:iCs w:val="0"/>
      <w:color w:val="000000"/>
      <w:vertAlign w:val="superscript"/>
    </w:rPr>
  </w:style>
  <w:style w:type="paragraph" w:styleId="BalloonText">
    <w:name w:val="Balloon Text"/>
    <w:basedOn w:val="Normal"/>
    <w:link w:val="BalloonTextChar"/>
    <w:rsid w:val="00146421"/>
    <w:rPr>
      <w:rFonts w:ascii="Segoe UI" w:hAnsi="Segoe UI" w:cs="Segoe UI"/>
      <w:sz w:val="18"/>
      <w:szCs w:val="18"/>
    </w:rPr>
  </w:style>
  <w:style w:type="character" w:customStyle="1" w:styleId="BalloonTextChar">
    <w:name w:val="Balloon Text Char"/>
    <w:basedOn w:val="DefaultParagraphFont"/>
    <w:link w:val="BalloonText"/>
    <w:rsid w:val="00146421"/>
    <w:rPr>
      <w:rFonts w:ascii="Segoe UI" w:hAnsi="Segoe UI" w:cs="Segoe UI"/>
      <w:sz w:val="18"/>
      <w:szCs w:val="18"/>
      <w:lang w:val="it-IT"/>
    </w:rPr>
  </w:style>
  <w:style w:type="character" w:styleId="CommentReference">
    <w:name w:val="annotation reference"/>
    <w:basedOn w:val="DefaultParagraphFont"/>
    <w:rsid w:val="00146421"/>
    <w:rPr>
      <w:sz w:val="16"/>
      <w:szCs w:val="16"/>
    </w:rPr>
  </w:style>
  <w:style w:type="paragraph" w:styleId="CommentText">
    <w:name w:val="annotation text"/>
    <w:basedOn w:val="Normal"/>
    <w:link w:val="CommentTextChar"/>
    <w:rsid w:val="00146421"/>
    <w:rPr>
      <w:sz w:val="20"/>
    </w:rPr>
  </w:style>
  <w:style w:type="character" w:customStyle="1" w:styleId="CommentTextChar">
    <w:name w:val="Comment Text Char"/>
    <w:basedOn w:val="DefaultParagraphFont"/>
    <w:link w:val="CommentText"/>
    <w:rsid w:val="00146421"/>
    <w:rPr>
      <w:lang w:val="it-IT"/>
    </w:rPr>
  </w:style>
  <w:style w:type="paragraph" w:styleId="CommentSubject">
    <w:name w:val="annotation subject"/>
    <w:basedOn w:val="CommentText"/>
    <w:next w:val="CommentText"/>
    <w:link w:val="CommentSubjectChar"/>
    <w:rsid w:val="00146421"/>
    <w:rPr>
      <w:b/>
      <w:bCs/>
    </w:rPr>
  </w:style>
  <w:style w:type="character" w:customStyle="1" w:styleId="CommentSubjectChar">
    <w:name w:val="Comment Subject Char"/>
    <w:basedOn w:val="CommentTextChar"/>
    <w:link w:val="CommentSubject"/>
    <w:rsid w:val="00146421"/>
    <w:rPr>
      <w:b/>
      <w:b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18CDD-7900-451E-BAEE-E784E4B3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6506</Words>
  <Characters>37089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43508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GRIFFINI Ivana</dc:creator>
  <cp:keywords/>
  <dc:description/>
  <cp:lastModifiedBy>VIEZZI Valentina</cp:lastModifiedBy>
  <cp:revision>2</cp:revision>
  <cp:lastPrinted>2004-11-04T09:41:00Z</cp:lastPrinted>
  <dcterms:created xsi:type="dcterms:W3CDTF">2018-12-10T10:51:00Z</dcterms:created>
  <dcterms:modified xsi:type="dcterms:W3CDTF">2018-12-10T10:51:00Z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9.5.0 Build [20181001]</vt:lpwstr>
  </property>
  <property fmtid="{D5CDD505-2E9C-101B-9397-08002B2CF9AE}" pid="4" name="&lt;FdR&gt;">
    <vt:lpwstr>1170176</vt:lpwstr>
  </property>
  <property fmtid="{D5CDD505-2E9C-101B-9397-08002B2CF9AE}" pid="5" name="&lt;Type&gt;">
    <vt:lpwstr>RR</vt:lpwstr>
  </property>
  <property fmtid="{D5CDD505-2E9C-101B-9397-08002B2CF9AE}" pid="6" name="&lt;ModelCod&gt;">
    <vt:lpwstr>\\eiciLUXpr1\pdocep$\DocEP\DOCS\General\PR\PR_Leg\COD\COD_1st\PR_COD_1amCom.dot(30/06/2017 07:37:07)</vt:lpwstr>
  </property>
  <property fmtid="{D5CDD505-2E9C-101B-9397-08002B2CF9AE}" pid="7" name="&lt;ModelTra&gt;">
    <vt:lpwstr>\\eiciLUXpr1\pdocep$\DocEP\TRANSFIL\IT\PR_COD_1amCom.IT(12/07/2018 15:13:02)</vt:lpwstr>
  </property>
  <property fmtid="{D5CDD505-2E9C-101B-9397-08002B2CF9AE}" pid="8" name="&lt;Model&gt;">
    <vt:lpwstr>PR_COD_1amCom</vt:lpwstr>
  </property>
  <property fmtid="{D5CDD505-2E9C-101B-9397-08002B2CF9AE}" pid="9" name="FooterPath">
    <vt:lpwstr>RR\1170176IT.docx</vt:lpwstr>
  </property>
  <property fmtid="{D5CDD505-2E9C-101B-9397-08002B2CF9AE}" pid="10" name="PE number">
    <vt:lpwstr>626.994</vt:lpwstr>
  </property>
  <property fmtid="{D5CDD505-2E9C-101B-9397-08002B2CF9AE}" pid="11" name="Bookout">
    <vt:lpwstr>OK - 2018/12/10 11:51</vt:lpwstr>
  </property>
  <property fmtid="{D5CDD505-2E9C-101B-9397-08002B2CF9AE}" pid="12" name="SubscribeElise">
    <vt:lpwstr/>
  </property>
  <property fmtid="{D5CDD505-2E9C-101B-9397-08002B2CF9AE}" pid="13" name="SDLStudio">
    <vt:lpwstr/>
  </property>
  <property fmtid="{D5CDD505-2E9C-101B-9397-08002B2CF9AE}" pid="14" name="&lt;Extension&gt;">
    <vt:lpwstr>IT</vt:lpwstr>
  </property>
</Properties>
</file>