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5F0308" w:rsidRPr="00EB68E3" w14:paraId="574B2DFA" w14:textId="77777777" w:rsidTr="001C295D">
        <w:trPr>
          <w:trHeight w:hRule="exact" w:val="1418"/>
        </w:trPr>
        <w:tc>
          <w:tcPr>
            <w:tcW w:w="6804" w:type="dxa"/>
            <w:shd w:val="clear" w:color="auto" w:fill="auto"/>
            <w:vAlign w:val="center"/>
          </w:tcPr>
          <w:p w14:paraId="7DD607B0" w14:textId="77777777" w:rsidR="005F0308" w:rsidRPr="00EB68E3" w:rsidRDefault="00A60F2B" w:rsidP="00EE1766">
            <w:pPr>
              <w:pStyle w:val="EPName"/>
            </w:pPr>
            <w:r w:rsidRPr="00EB68E3">
              <w:t>Euroopan parlamentti</w:t>
            </w:r>
          </w:p>
          <w:p w14:paraId="16F1E9CB" w14:textId="77777777" w:rsidR="005F0308" w:rsidRPr="00EB68E3" w:rsidRDefault="00040D5F" w:rsidP="00EE1766">
            <w:pPr>
              <w:pStyle w:val="EPTerm"/>
              <w:rPr>
                <w:rStyle w:val="HideTWBExt"/>
                <w:noProof w:val="0"/>
                <w:vanish w:val="0"/>
                <w:color w:val="auto"/>
              </w:rPr>
            </w:pPr>
            <w:r w:rsidRPr="00EB68E3">
              <w:t>2014-2019</w:t>
            </w:r>
          </w:p>
        </w:tc>
        <w:tc>
          <w:tcPr>
            <w:tcW w:w="2268" w:type="dxa"/>
            <w:shd w:val="clear" w:color="auto" w:fill="auto"/>
          </w:tcPr>
          <w:p w14:paraId="59A2D827" w14:textId="77777777" w:rsidR="005F0308" w:rsidRPr="00EB68E3" w:rsidRDefault="000D3095" w:rsidP="00EE1766">
            <w:pPr>
              <w:pStyle w:val="EPLogo"/>
            </w:pPr>
            <w:r>
              <w:pict w14:anchorId="5C3DF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0.6pt">
                  <v:imagedata r:id="rId8" o:title="EP logo RGB_Mute"/>
                </v:shape>
              </w:pict>
            </w:r>
          </w:p>
        </w:tc>
      </w:tr>
    </w:tbl>
    <w:p w14:paraId="7A2FB98A" w14:textId="77777777" w:rsidR="00724322" w:rsidRPr="00EB68E3" w:rsidRDefault="00724322" w:rsidP="00EE1766">
      <w:pPr>
        <w:pStyle w:val="LineTop"/>
      </w:pPr>
    </w:p>
    <w:p w14:paraId="13EDEEA7" w14:textId="0E92427F" w:rsidR="00724322" w:rsidRPr="00EB68E3" w:rsidRDefault="00C21D04" w:rsidP="00EE1766">
      <w:pPr>
        <w:pStyle w:val="ZCommittee"/>
      </w:pPr>
      <w:r w:rsidRPr="00EB68E3">
        <w:t>Istuntoasiakirja</w:t>
      </w:r>
    </w:p>
    <w:p w14:paraId="29E9388A" w14:textId="77777777" w:rsidR="00724322" w:rsidRPr="00EB68E3" w:rsidRDefault="00724322" w:rsidP="00EE1766">
      <w:pPr>
        <w:pStyle w:val="LineBottom"/>
      </w:pPr>
    </w:p>
    <w:p w14:paraId="732ABEA0" w14:textId="017C7C18" w:rsidR="00C1531C" w:rsidRPr="00EB68E3" w:rsidRDefault="00C21D04" w:rsidP="00EE1766">
      <w:pPr>
        <w:pStyle w:val="RefProc"/>
      </w:pPr>
      <w:r w:rsidRPr="00EB68E3">
        <w:rPr>
          <w:rStyle w:val="HideTWBExt"/>
          <w:noProof w:val="0"/>
        </w:rPr>
        <w:t>&lt;NoDocSe&gt;</w:t>
      </w:r>
      <w:r w:rsidRPr="00EB68E3">
        <w:t>A8-0108/2019</w:t>
      </w:r>
      <w:r w:rsidRPr="00EB68E3">
        <w:rPr>
          <w:rStyle w:val="HideTWBExt"/>
          <w:noProof w:val="0"/>
        </w:rPr>
        <w:t>&lt;/NoDocSe&gt;</w:t>
      </w:r>
    </w:p>
    <w:p w14:paraId="49DFFEAE" w14:textId="72329126" w:rsidR="00C1531C" w:rsidRPr="00EB68E3" w:rsidRDefault="00C1531C" w:rsidP="00EE1766">
      <w:pPr>
        <w:pStyle w:val="ZDate"/>
      </w:pPr>
      <w:r w:rsidRPr="00EB68E3">
        <w:rPr>
          <w:rStyle w:val="HideTWBExt"/>
          <w:noProof w:val="0"/>
        </w:rPr>
        <w:t>&lt;Date&gt;</w:t>
      </w:r>
      <w:r w:rsidRPr="00EB68E3">
        <w:rPr>
          <w:rStyle w:val="HideTWBInt"/>
        </w:rPr>
        <w:t>{27/02/2019}</w:t>
      </w:r>
      <w:r w:rsidRPr="00EB68E3">
        <w:t>27.2.2019</w:t>
      </w:r>
      <w:r w:rsidRPr="00EB68E3">
        <w:rPr>
          <w:rStyle w:val="HideTWBExt"/>
          <w:noProof w:val="0"/>
        </w:rPr>
        <w:t>&lt;/Date&gt;</w:t>
      </w:r>
    </w:p>
    <w:p w14:paraId="313A2B1C" w14:textId="72376D49" w:rsidR="00C1531C" w:rsidRPr="00EB68E3" w:rsidRDefault="00C1531C" w:rsidP="00EE1766">
      <w:pPr>
        <w:pStyle w:val="TypeDoc"/>
      </w:pPr>
      <w:r w:rsidRPr="00EB68E3">
        <w:rPr>
          <w:rStyle w:val="HideTWBExt"/>
          <w:b w:val="0"/>
          <w:noProof w:val="0"/>
        </w:rPr>
        <w:t>&lt;TitreType&gt;</w:t>
      </w:r>
      <w:r w:rsidRPr="00EB68E3">
        <w:t>MIETINTÖ</w:t>
      </w:r>
      <w:r w:rsidRPr="00EB68E3">
        <w:rPr>
          <w:rStyle w:val="HideTWBExt"/>
          <w:b w:val="0"/>
          <w:noProof w:val="0"/>
        </w:rPr>
        <w:t>&lt;/TitreType&gt;</w:t>
      </w:r>
    </w:p>
    <w:p w14:paraId="1F94991B" w14:textId="77777777" w:rsidR="00C1531C" w:rsidRPr="00EB68E3" w:rsidRDefault="00C1531C" w:rsidP="00EE1766">
      <w:pPr>
        <w:pStyle w:val="CoverNormal"/>
      </w:pPr>
      <w:r w:rsidRPr="00EB68E3">
        <w:rPr>
          <w:rStyle w:val="HideTWBExt"/>
          <w:noProof w:val="0"/>
        </w:rPr>
        <w:t>&lt;Titre&gt;</w:t>
      </w:r>
      <w:r w:rsidRPr="00EB68E3">
        <w:t>vastuuvapauden myöntämisestä Euroopan unionin yleisen talousarvion toteuttamisesta varainhoitovuonna 2017, pääluokka I – Euroopan parlamentti</w:t>
      </w:r>
      <w:r w:rsidRPr="00EB68E3">
        <w:rPr>
          <w:rStyle w:val="HideTWBExt"/>
          <w:noProof w:val="0"/>
        </w:rPr>
        <w:t>&lt;/Titre&gt;</w:t>
      </w:r>
    </w:p>
    <w:p w14:paraId="22C262AC" w14:textId="77777777" w:rsidR="00C1531C" w:rsidRPr="00EB68E3" w:rsidRDefault="00C1531C" w:rsidP="00EE1766">
      <w:pPr>
        <w:pStyle w:val="Cover24"/>
      </w:pPr>
      <w:r w:rsidRPr="00EB68E3">
        <w:rPr>
          <w:rStyle w:val="HideTWBExt"/>
          <w:noProof w:val="0"/>
        </w:rPr>
        <w:t>&lt;DocRef&gt;</w:t>
      </w:r>
      <w:r w:rsidRPr="00EB68E3">
        <w:t>(2018/2167(DEC))</w:t>
      </w:r>
      <w:r w:rsidRPr="00EB68E3">
        <w:rPr>
          <w:rStyle w:val="HideTWBExt"/>
          <w:noProof w:val="0"/>
        </w:rPr>
        <w:t>&lt;/DocRef&gt;</w:t>
      </w:r>
    </w:p>
    <w:p w14:paraId="16502D5D" w14:textId="77777777" w:rsidR="00C1531C" w:rsidRPr="00EB68E3" w:rsidRDefault="00C1531C" w:rsidP="00EE1766">
      <w:pPr>
        <w:pStyle w:val="Cover24"/>
      </w:pPr>
      <w:r w:rsidRPr="00EB68E3">
        <w:rPr>
          <w:rStyle w:val="HideTWBExt"/>
          <w:noProof w:val="0"/>
        </w:rPr>
        <w:t>&lt;Commission&gt;</w:t>
      </w:r>
      <w:r w:rsidRPr="00EB68E3">
        <w:rPr>
          <w:rStyle w:val="HideTWBInt"/>
        </w:rPr>
        <w:t>{CONT}</w:t>
      </w:r>
      <w:r w:rsidRPr="00EB68E3">
        <w:t>Talousarvion valvontavaliokunta</w:t>
      </w:r>
      <w:r w:rsidRPr="00EB68E3">
        <w:rPr>
          <w:rStyle w:val="HideTWBExt"/>
          <w:noProof w:val="0"/>
        </w:rPr>
        <w:t>&lt;/Commission&gt;</w:t>
      </w:r>
    </w:p>
    <w:p w14:paraId="1CE90A33" w14:textId="77777777" w:rsidR="00C1531C" w:rsidRPr="00EB68E3" w:rsidRDefault="00A60F2B" w:rsidP="00EE1766">
      <w:pPr>
        <w:pStyle w:val="Cover24"/>
      </w:pPr>
      <w:r w:rsidRPr="00EB68E3">
        <w:t xml:space="preserve">Esittelijä: </w:t>
      </w:r>
      <w:r w:rsidRPr="00EB68E3">
        <w:rPr>
          <w:rStyle w:val="HideTWBExt"/>
          <w:noProof w:val="0"/>
        </w:rPr>
        <w:t>&lt;Depute&gt;</w:t>
      </w:r>
      <w:r w:rsidRPr="00EB68E3">
        <w:t>Claudia Schmidt</w:t>
      </w:r>
      <w:r w:rsidRPr="00EB68E3">
        <w:rPr>
          <w:rStyle w:val="HideTWBExt"/>
          <w:noProof w:val="0"/>
        </w:rPr>
        <w:t>&lt;/Depute&gt;</w:t>
      </w:r>
    </w:p>
    <w:p w14:paraId="33390FF5" w14:textId="5172C4FC" w:rsidR="00C1531C" w:rsidRPr="00EB68E3" w:rsidRDefault="00C1531C" w:rsidP="00EE1766">
      <w:pPr>
        <w:widowControl/>
        <w:tabs>
          <w:tab w:val="center" w:pos="4677"/>
        </w:tabs>
      </w:pPr>
      <w:r w:rsidRPr="00EB68E3">
        <w:br w:type="page"/>
      </w:r>
    </w:p>
    <w:p w14:paraId="2F260425" w14:textId="77777777" w:rsidR="00C1531C" w:rsidRPr="00EB68E3" w:rsidRDefault="00A60F2B" w:rsidP="00EE1766">
      <w:pPr>
        <w:widowControl/>
        <w:tabs>
          <w:tab w:val="center" w:pos="4677"/>
        </w:tabs>
      </w:pPr>
      <w:r w:rsidRPr="00EB68E3">
        <w:t>PR_DEC_EP</w:t>
      </w:r>
    </w:p>
    <w:p w14:paraId="6079C69F" w14:textId="77777777" w:rsidR="00C1531C" w:rsidRPr="00EB68E3" w:rsidRDefault="00A60F2B" w:rsidP="00EE1766">
      <w:pPr>
        <w:pStyle w:val="TOCHeading"/>
      </w:pPr>
      <w:r w:rsidRPr="00EB68E3">
        <w:t>SISÄLTÖ</w:t>
      </w:r>
    </w:p>
    <w:p w14:paraId="2C824F89" w14:textId="77777777" w:rsidR="001E6370" w:rsidRPr="00EB68E3" w:rsidRDefault="00A60F2B" w:rsidP="001849E4">
      <w:pPr>
        <w:pStyle w:val="TOC3"/>
        <w:tabs>
          <w:tab w:val="right" w:leader="dot" w:pos="9060"/>
        </w:tabs>
        <w:jc w:val="right"/>
      </w:pPr>
      <w:r w:rsidRPr="00EB68E3">
        <w:t>Sivu</w:t>
      </w:r>
    </w:p>
    <w:p w14:paraId="06589D1E" w14:textId="11E5BDE9" w:rsidR="008F0E9E" w:rsidRDefault="00C1531C">
      <w:pPr>
        <w:pStyle w:val="TOC3"/>
        <w:tabs>
          <w:tab w:val="right" w:leader="dot" w:pos="9060"/>
        </w:tabs>
        <w:rPr>
          <w:rFonts w:asciiTheme="minorHAnsi" w:eastAsiaTheme="minorEastAsia" w:hAnsiTheme="minorHAnsi" w:cstheme="minorBidi"/>
          <w:noProof/>
          <w:sz w:val="22"/>
          <w:szCs w:val="22"/>
          <w:lang w:val="en-GB"/>
        </w:rPr>
      </w:pPr>
      <w:r w:rsidRPr="00EB68E3">
        <w:fldChar w:fldCharType="begin"/>
      </w:r>
      <w:r w:rsidRPr="00EB68E3">
        <w:instrText xml:space="preserve"> TOC \t "PageHeading</w:instrText>
      </w:r>
      <w:r w:rsidR="000D3095">
        <w:instrText>;</w:instrText>
      </w:r>
      <w:r w:rsidR="00FD18F9" w:rsidRPr="00EB68E3">
        <w:instrText>3</w:instrText>
      </w:r>
      <w:r w:rsidRPr="00EB68E3">
        <w:instrText xml:space="preserve">" </w:instrText>
      </w:r>
      <w:r w:rsidRPr="00EB68E3">
        <w:fldChar w:fldCharType="separate"/>
      </w:r>
      <w:r w:rsidR="008F0E9E">
        <w:rPr>
          <w:noProof/>
        </w:rPr>
        <w:t>1. EUROOPAN PARLAMENTIN PÄÄTÖSEHDOTUS</w:t>
      </w:r>
      <w:r w:rsidR="008F0E9E">
        <w:rPr>
          <w:noProof/>
        </w:rPr>
        <w:tab/>
      </w:r>
      <w:r w:rsidR="008F0E9E">
        <w:rPr>
          <w:noProof/>
        </w:rPr>
        <w:fldChar w:fldCharType="begin"/>
      </w:r>
      <w:r w:rsidR="008F0E9E">
        <w:rPr>
          <w:noProof/>
        </w:rPr>
        <w:instrText xml:space="preserve"> PAGEREF _Toc3545225 \h </w:instrText>
      </w:r>
      <w:r w:rsidR="008F0E9E">
        <w:rPr>
          <w:noProof/>
        </w:rPr>
      </w:r>
      <w:r w:rsidR="008F0E9E">
        <w:rPr>
          <w:noProof/>
        </w:rPr>
        <w:fldChar w:fldCharType="separate"/>
      </w:r>
      <w:r w:rsidR="008F0E9E">
        <w:rPr>
          <w:noProof/>
        </w:rPr>
        <w:t>3</w:t>
      </w:r>
      <w:r w:rsidR="008F0E9E">
        <w:rPr>
          <w:noProof/>
        </w:rPr>
        <w:fldChar w:fldCharType="end"/>
      </w:r>
    </w:p>
    <w:p w14:paraId="109047D1" w14:textId="3C76C282" w:rsidR="008F0E9E" w:rsidRDefault="008F0E9E">
      <w:pPr>
        <w:pStyle w:val="TOC3"/>
        <w:tabs>
          <w:tab w:val="right" w:leader="dot" w:pos="9060"/>
        </w:tabs>
        <w:rPr>
          <w:rFonts w:asciiTheme="minorHAnsi" w:eastAsiaTheme="minorEastAsia" w:hAnsiTheme="minorHAnsi" w:cstheme="minorBidi"/>
          <w:noProof/>
          <w:sz w:val="22"/>
          <w:szCs w:val="22"/>
          <w:lang w:val="en-GB"/>
        </w:rPr>
      </w:pPr>
      <w:r>
        <w:rPr>
          <w:noProof/>
        </w:rPr>
        <w:t>2. EUROOPAN PARLAMENTIN PÄÄTÖSLAUSELMAESITYS</w:t>
      </w:r>
      <w:r>
        <w:rPr>
          <w:noProof/>
        </w:rPr>
        <w:tab/>
      </w:r>
      <w:r>
        <w:rPr>
          <w:noProof/>
        </w:rPr>
        <w:fldChar w:fldCharType="begin"/>
      </w:r>
      <w:r>
        <w:rPr>
          <w:noProof/>
        </w:rPr>
        <w:instrText xml:space="preserve"> PAGEREF _Toc3545226 \h </w:instrText>
      </w:r>
      <w:r>
        <w:rPr>
          <w:noProof/>
        </w:rPr>
      </w:r>
      <w:r>
        <w:rPr>
          <w:noProof/>
        </w:rPr>
        <w:fldChar w:fldCharType="separate"/>
      </w:r>
      <w:r>
        <w:rPr>
          <w:noProof/>
        </w:rPr>
        <w:t>5</w:t>
      </w:r>
      <w:r>
        <w:rPr>
          <w:noProof/>
        </w:rPr>
        <w:fldChar w:fldCharType="end"/>
      </w:r>
    </w:p>
    <w:p w14:paraId="0A1FCE15" w14:textId="263AF87B" w:rsidR="008F0E9E" w:rsidRDefault="008F0E9E">
      <w:pPr>
        <w:pStyle w:val="TOC3"/>
        <w:tabs>
          <w:tab w:val="right" w:leader="dot" w:pos="9060"/>
        </w:tabs>
        <w:rPr>
          <w:rFonts w:asciiTheme="minorHAnsi" w:eastAsiaTheme="minorEastAsia" w:hAnsiTheme="minorHAnsi" w:cstheme="minorBidi"/>
          <w:noProof/>
          <w:sz w:val="22"/>
          <w:szCs w:val="22"/>
          <w:lang w:val="en-GB"/>
        </w:rPr>
      </w:pPr>
      <w:r>
        <w:rPr>
          <w:noProof/>
        </w:rPr>
        <w:t>TIEDOT HYVÄKSYMISESTÄ ASIASTA VASTAAVASSA VALIOKUNNASSA</w:t>
      </w:r>
      <w:r>
        <w:rPr>
          <w:noProof/>
        </w:rPr>
        <w:tab/>
      </w:r>
      <w:r>
        <w:rPr>
          <w:noProof/>
        </w:rPr>
        <w:fldChar w:fldCharType="begin"/>
      </w:r>
      <w:r>
        <w:rPr>
          <w:noProof/>
        </w:rPr>
        <w:instrText xml:space="preserve"> PAGEREF _Toc3545227 \h </w:instrText>
      </w:r>
      <w:r>
        <w:rPr>
          <w:noProof/>
        </w:rPr>
      </w:r>
      <w:r>
        <w:rPr>
          <w:noProof/>
        </w:rPr>
        <w:fldChar w:fldCharType="separate"/>
      </w:r>
      <w:r>
        <w:rPr>
          <w:noProof/>
        </w:rPr>
        <w:t>36</w:t>
      </w:r>
      <w:r>
        <w:rPr>
          <w:noProof/>
        </w:rPr>
        <w:fldChar w:fldCharType="end"/>
      </w:r>
    </w:p>
    <w:p w14:paraId="0131B51A" w14:textId="2BB312F8" w:rsidR="008F0E9E" w:rsidRDefault="008F0E9E">
      <w:pPr>
        <w:pStyle w:val="TOC3"/>
        <w:tabs>
          <w:tab w:val="right" w:leader="dot" w:pos="9060"/>
        </w:tabs>
        <w:rPr>
          <w:rFonts w:asciiTheme="minorHAnsi" w:eastAsiaTheme="minorEastAsia" w:hAnsiTheme="minorHAnsi" w:cstheme="minorBidi"/>
          <w:noProof/>
          <w:sz w:val="22"/>
          <w:szCs w:val="22"/>
          <w:lang w:val="en-GB"/>
        </w:rPr>
      </w:pPr>
      <w:r>
        <w:rPr>
          <w:noProof/>
        </w:rPr>
        <w:t>LOPULLINEN ÄÄNESTYS NIMENHUUTOÄÄNESTYKSENÄ ASIASTA VASTAAVASSA VALIOKUNNASSA</w:t>
      </w:r>
      <w:r>
        <w:rPr>
          <w:noProof/>
        </w:rPr>
        <w:tab/>
      </w:r>
      <w:r>
        <w:rPr>
          <w:noProof/>
        </w:rPr>
        <w:fldChar w:fldCharType="begin"/>
      </w:r>
      <w:r>
        <w:rPr>
          <w:noProof/>
        </w:rPr>
        <w:instrText xml:space="preserve"> PAGEREF _Toc3545228 \h </w:instrText>
      </w:r>
      <w:r>
        <w:rPr>
          <w:noProof/>
        </w:rPr>
      </w:r>
      <w:r>
        <w:rPr>
          <w:noProof/>
        </w:rPr>
        <w:fldChar w:fldCharType="separate"/>
      </w:r>
      <w:r>
        <w:rPr>
          <w:noProof/>
        </w:rPr>
        <w:t>38</w:t>
      </w:r>
      <w:r>
        <w:rPr>
          <w:noProof/>
        </w:rPr>
        <w:fldChar w:fldCharType="end"/>
      </w:r>
    </w:p>
    <w:p w14:paraId="04C92F9A" w14:textId="2FA920B5" w:rsidR="00C1531C" w:rsidRPr="00EB68E3" w:rsidRDefault="00C1531C" w:rsidP="00EE1766">
      <w:pPr>
        <w:pStyle w:val="PageHeading"/>
      </w:pPr>
      <w:r w:rsidRPr="00EB68E3">
        <w:rPr>
          <w:rFonts w:ascii="Times New Roman" w:hAnsi="Times New Roman"/>
        </w:rPr>
        <w:fldChar w:fldCharType="end"/>
      </w:r>
    </w:p>
    <w:p w14:paraId="3533E8F5" w14:textId="77777777" w:rsidR="00C1531C" w:rsidRPr="00EB68E3" w:rsidRDefault="00C1531C" w:rsidP="00EE1766">
      <w:pPr>
        <w:pStyle w:val="PageHeading"/>
      </w:pPr>
      <w:r w:rsidRPr="00EB68E3">
        <w:br w:type="page"/>
      </w:r>
      <w:bookmarkStart w:id="0" w:name="Decision1"/>
      <w:bookmarkStart w:id="1" w:name="_Toc26759888"/>
      <w:bookmarkStart w:id="2" w:name="_Toc86200285"/>
      <w:bookmarkStart w:id="3" w:name="_Toc3545225"/>
      <w:r w:rsidRPr="00EB68E3">
        <w:t>1. EUROOPAN PARLAMENTIN PÄÄTÖSEHDOTUS</w:t>
      </w:r>
      <w:bookmarkEnd w:id="3"/>
    </w:p>
    <w:p w14:paraId="237CD9D2" w14:textId="77777777" w:rsidR="00C1531C" w:rsidRPr="00EB68E3" w:rsidRDefault="00A60F2B" w:rsidP="00EE1766">
      <w:pPr>
        <w:pStyle w:val="NormalBold"/>
      </w:pPr>
      <w:bookmarkStart w:id="4" w:name="DecisionTitle1"/>
      <w:bookmarkEnd w:id="0"/>
      <w:r w:rsidRPr="00EB68E3">
        <w:t>vastuuvapauden myöntämisestä Euroopan unionin yleisen talousarvion toteuttamisesta varainhoitovuonna 2017, pääluokka I – Euroopan parlamentti</w:t>
      </w:r>
    </w:p>
    <w:bookmarkEnd w:id="4"/>
    <w:p w14:paraId="07BD0677" w14:textId="77777777" w:rsidR="00C1531C" w:rsidRPr="00EB68E3" w:rsidRDefault="00A60F2B" w:rsidP="00EE1766">
      <w:pPr>
        <w:pStyle w:val="Normal12Bold"/>
      </w:pPr>
      <w:r w:rsidRPr="00EB68E3">
        <w:t>(2018/2167(DEC))</w:t>
      </w:r>
    </w:p>
    <w:bookmarkEnd w:id="1"/>
    <w:bookmarkEnd w:id="2"/>
    <w:p w14:paraId="79ADA70B" w14:textId="77777777" w:rsidR="00A4507B" w:rsidRPr="00EB68E3" w:rsidRDefault="00A4507B" w:rsidP="00EE1766">
      <w:pPr>
        <w:pStyle w:val="Normal12"/>
      </w:pPr>
      <w:r w:rsidRPr="00EB68E3">
        <w:rPr>
          <w:i/>
        </w:rPr>
        <w:t>Euroopan parlamentti</w:t>
      </w:r>
      <w:r w:rsidRPr="00EB68E3">
        <w:t>, joka</w:t>
      </w:r>
    </w:p>
    <w:p w14:paraId="15EE4A75" w14:textId="77777777" w:rsidR="00A4507B" w:rsidRPr="00EB68E3" w:rsidRDefault="00A4507B" w:rsidP="00EE1766">
      <w:pPr>
        <w:pStyle w:val="Normal12Hanging"/>
      </w:pPr>
      <w:r w:rsidRPr="00EB68E3">
        <w:t>–</w:t>
      </w:r>
      <w:r w:rsidRPr="00EB68E3">
        <w:tab/>
        <w:t>ottaa huomioon Euroopan unionin yleisen talousarvion varainhoitovuodeksi 2017</w:t>
      </w:r>
      <w:r w:rsidRPr="00EB68E3">
        <w:rPr>
          <w:rStyle w:val="FootnoteReference"/>
        </w:rPr>
        <w:footnoteReference w:id="1"/>
      </w:r>
      <w:r w:rsidRPr="00EB68E3">
        <w:t>,</w:t>
      </w:r>
    </w:p>
    <w:p w14:paraId="71AB2EE9" w14:textId="77777777" w:rsidR="00A4507B" w:rsidRPr="00EB68E3" w:rsidRDefault="00A4507B" w:rsidP="00EE1766">
      <w:pPr>
        <w:pStyle w:val="Normal12Hanging"/>
      </w:pPr>
      <w:r w:rsidRPr="00EB68E3">
        <w:t>–</w:t>
      </w:r>
      <w:r w:rsidRPr="00EB68E3">
        <w:tab/>
        <w:t>ottaa huomioon Euroopan unionin konsolidoidun tilinpäätöksen varainhoitovuodelta 2017 (COM(2018)0521 – C8</w:t>
      </w:r>
      <w:r w:rsidRPr="00EB68E3">
        <w:noBreakHyphen/>
        <w:t>0319/2018)</w:t>
      </w:r>
      <w:r w:rsidRPr="00EB68E3">
        <w:rPr>
          <w:rStyle w:val="FootnoteReference"/>
        </w:rPr>
        <w:footnoteReference w:id="2"/>
      </w:r>
      <w:r w:rsidRPr="00EB68E3">
        <w:t>,</w:t>
      </w:r>
    </w:p>
    <w:p w14:paraId="4F339AA1" w14:textId="77777777" w:rsidR="00A4507B" w:rsidRPr="00EB68E3" w:rsidRDefault="00A4507B" w:rsidP="00EE1766">
      <w:pPr>
        <w:pStyle w:val="Normal12Hanging"/>
      </w:pPr>
      <w:r w:rsidRPr="00EB68E3">
        <w:t>–</w:t>
      </w:r>
      <w:r w:rsidRPr="00EB68E3">
        <w:tab/>
        <w:t>ottaa huomioon selvityksen talousarvio- ja varainhallinnosta varainhoitovuonna 2017, pääluokka I – Euroopan parlamentti</w:t>
      </w:r>
      <w:r w:rsidRPr="00EB68E3">
        <w:rPr>
          <w:rStyle w:val="FootnoteReference"/>
        </w:rPr>
        <w:footnoteReference w:id="3"/>
      </w:r>
      <w:r w:rsidRPr="00EB68E3">
        <w:t>,</w:t>
      </w:r>
    </w:p>
    <w:p w14:paraId="09BFE13E" w14:textId="77777777" w:rsidR="00A4507B" w:rsidRPr="00EB68E3" w:rsidRDefault="00A4507B" w:rsidP="00EE1766">
      <w:pPr>
        <w:pStyle w:val="Normal12Hanging"/>
      </w:pPr>
      <w:r w:rsidRPr="00EB68E3">
        <w:t>–</w:t>
      </w:r>
      <w:r w:rsidRPr="00EB68E3">
        <w:tab/>
        <w:t>ottaa huomioon sisäisen tarkastajan vuosikertomuksen varainhoitovuodelta 2017,</w:t>
      </w:r>
    </w:p>
    <w:p w14:paraId="2130B754" w14:textId="77777777" w:rsidR="00A4507B" w:rsidRPr="00EB68E3" w:rsidRDefault="00A4507B" w:rsidP="00EE1766">
      <w:pPr>
        <w:pStyle w:val="Normal12Hanging"/>
      </w:pPr>
      <w:r w:rsidRPr="00EB68E3">
        <w:t>–</w:t>
      </w:r>
      <w:r w:rsidRPr="00EB68E3">
        <w:tab/>
        <w:t>ottaa huomioon tilintarkastustuomioistuimen vuosikertomuksen talousarvion toteuttamisesta varainhoitovuonna 2017 sekä toimielinten vastaukset</w:t>
      </w:r>
      <w:r w:rsidRPr="00EB68E3">
        <w:rPr>
          <w:rStyle w:val="FootnoteReference"/>
        </w:rPr>
        <w:footnoteReference w:id="4"/>
      </w:r>
      <w:r w:rsidRPr="00EB68E3">
        <w:t>,</w:t>
      </w:r>
    </w:p>
    <w:p w14:paraId="64F5E702" w14:textId="77777777" w:rsidR="00A4507B" w:rsidRPr="00EB68E3" w:rsidRDefault="00A4507B" w:rsidP="00EE1766">
      <w:pPr>
        <w:pStyle w:val="Normal12Hanging"/>
      </w:pPr>
      <w:r w:rsidRPr="00EB68E3">
        <w:t>–</w:t>
      </w:r>
      <w:r w:rsidRPr="00EB68E3">
        <w:tab/>
        <w:t>ottaa huomioon tilintarkastustuomioistuimen Euroopan unionin toiminnasta tehdyn sopimuksen 287 artiklan mukaisesti antaman varainhoitovuotta 2017 koskevan lausuman</w:t>
      </w:r>
      <w:r w:rsidRPr="00EB68E3">
        <w:rPr>
          <w:rStyle w:val="FootnoteReference"/>
        </w:rPr>
        <w:footnoteReference w:id="5"/>
      </w:r>
      <w:r w:rsidRPr="00EB68E3">
        <w:t xml:space="preserve"> tilien luotettavuudesta sekä tilien perustana olevien toimien laillisuudesta ja asianmukaisuudesta (sääntöjenmukaisuudesta),</w:t>
      </w:r>
    </w:p>
    <w:p w14:paraId="48AC1B3B" w14:textId="77777777" w:rsidR="00A4507B" w:rsidRPr="00EB68E3" w:rsidRDefault="00A4507B" w:rsidP="00EE1766">
      <w:pPr>
        <w:pStyle w:val="Normal12Hanging"/>
      </w:pPr>
      <w:r w:rsidRPr="00EB68E3">
        <w:t>–</w:t>
      </w:r>
      <w:r w:rsidRPr="00EB68E3">
        <w:tab/>
        <w:t>ottaa huomioon Euroopan unionin toiminnasta tehdyn sopimuksen 314 artiklan 10 kohdan ja 318 artiklan,</w:t>
      </w:r>
    </w:p>
    <w:p w14:paraId="0D9D88AB" w14:textId="77777777" w:rsidR="00A4507B" w:rsidRPr="00EB68E3" w:rsidRDefault="00A4507B" w:rsidP="00EE1766">
      <w:pPr>
        <w:pStyle w:val="Normal12Hanging"/>
      </w:pPr>
      <w:r w:rsidRPr="00EB68E3">
        <w:t>–</w:t>
      </w:r>
      <w:r w:rsidRPr="00EB68E3">
        <w:tab/>
        <w:t>ottaa huomioon unionin yleiseen talousarvioon sovellettavista varainhoitosäännöistä ja neuvoston asetuksen (EY, Euratom) N:o 1605/2002 kumoamisesta 25. lokakuuta 2012 annetun Euroopan parlamentin ja neuvoston asetuksen (EU, Euratom) N:o 966/2012</w:t>
      </w:r>
      <w:r w:rsidRPr="00EB68E3">
        <w:rPr>
          <w:rStyle w:val="FootnoteReference"/>
        </w:rPr>
        <w:footnoteReference w:id="6"/>
      </w:r>
      <w:r w:rsidRPr="00EB68E3">
        <w:t xml:space="preserve"> ja erityisesti sen 164, 165 ja 166 artiklan,</w:t>
      </w:r>
    </w:p>
    <w:p w14:paraId="6F90C09D" w14:textId="3C977D14" w:rsidR="00A4507B" w:rsidRPr="00EB68E3" w:rsidRDefault="00A4507B" w:rsidP="00EE1766">
      <w:pPr>
        <w:pStyle w:val="Normal12Hanging"/>
        <w:rPr>
          <w:snapToGrid w:val="0"/>
          <w:szCs w:val="24"/>
        </w:rPr>
      </w:pPr>
      <w:r w:rsidRPr="00EB68E3">
        <w:t>–</w:t>
      </w:r>
      <w:r w:rsidRPr="00EB68E3">
        <w:tab/>
      </w:r>
      <w:r w:rsidRPr="00EB68E3">
        <w:rPr>
          <w:snapToGrid w:val="0"/>
          <w:szCs w:val="24"/>
        </w:rPr>
        <w:t>ottaa huomioon unionin yleiseen talousarvioon sovellettavista varainhoitosäännöistä, asetusten (EU) N:o 1296/2013, (EU) N:o 1301/201</w:t>
      </w:r>
      <w:r w:rsidR="00521511">
        <w:rPr>
          <w:snapToGrid w:val="0"/>
          <w:szCs w:val="24"/>
        </w:rPr>
        <w:t>3, (EU) N:o 1303/2013, (EU) N:o </w:t>
      </w:r>
      <w:r w:rsidRPr="00EB68E3">
        <w:rPr>
          <w:snapToGrid w:val="0"/>
          <w:szCs w:val="24"/>
        </w:rPr>
        <w:t>1304/2013, (EU) N:o 1309/2013, (EU) N:o 1316/2013, (EU) N:o 223/2014, (EU) N:o 283/2014 ja päätöksen N:o 541/2014/EU muuttamisesta sekä asetuksen (EU, Euratom) N:o 966/2012 kumoamisesta 18. heinäkuuta 2018 annetun Euroopan parlamentin ja neuvoston asetuksen (EU, Euratom) 2018/1046</w:t>
      </w:r>
      <w:r w:rsidRPr="00EB68E3">
        <w:rPr>
          <w:rStyle w:val="FootnoteReference"/>
          <w:snapToGrid w:val="0"/>
          <w:szCs w:val="24"/>
        </w:rPr>
        <w:footnoteReference w:id="7"/>
      </w:r>
      <w:r w:rsidRPr="00EB68E3">
        <w:rPr>
          <w:snapToGrid w:val="0"/>
          <w:szCs w:val="24"/>
        </w:rPr>
        <w:t xml:space="preserve"> ja erityisesti sen 260, 261 ja 262 artiklan,</w:t>
      </w:r>
    </w:p>
    <w:p w14:paraId="1F3A4597" w14:textId="77777777" w:rsidR="00A4507B" w:rsidRPr="00EB68E3" w:rsidRDefault="00A4507B" w:rsidP="00521511">
      <w:pPr>
        <w:pStyle w:val="Normal12Hanging"/>
        <w:keepNext/>
        <w:keepLines/>
      </w:pPr>
      <w:r w:rsidRPr="00EB68E3">
        <w:t>–</w:t>
      </w:r>
      <w:r w:rsidRPr="00EB68E3">
        <w:tab/>
        <w:t>ottaa huomioon Euroopan parlamentin talousarvion toteuttamista koskevista sisäisistä säännöistä 16. kesäkuuta 2014 tehdyn puhemiehistön päätöksen</w:t>
      </w:r>
      <w:r w:rsidRPr="00EB68E3">
        <w:rPr>
          <w:rStyle w:val="FootnoteReference"/>
        </w:rPr>
        <w:footnoteReference w:id="8"/>
      </w:r>
      <w:r w:rsidRPr="00EB68E3">
        <w:t xml:space="preserve"> ja erityisesti sen 22 artiklan,</w:t>
      </w:r>
    </w:p>
    <w:p w14:paraId="198C83C1" w14:textId="77777777" w:rsidR="00A4507B" w:rsidRPr="00EB68E3" w:rsidRDefault="00A4507B" w:rsidP="00EE1766">
      <w:pPr>
        <w:pStyle w:val="Normal12Hanging"/>
      </w:pPr>
      <w:r w:rsidRPr="00EB68E3">
        <w:t>–</w:t>
      </w:r>
      <w:r w:rsidRPr="00EB68E3">
        <w:tab/>
        <w:t>ottaa huomioon työjärjestyksen 94 artiklan, 98 artiklan 3 kohdan ja liitteen IV,</w:t>
      </w:r>
    </w:p>
    <w:p w14:paraId="3EA74B0B" w14:textId="2F94E0B0" w:rsidR="00A4507B" w:rsidRPr="00EB68E3" w:rsidRDefault="00A4507B" w:rsidP="00EE1766">
      <w:pPr>
        <w:pStyle w:val="Normal12Hanging"/>
      </w:pPr>
      <w:r w:rsidRPr="00EB68E3">
        <w:t>–</w:t>
      </w:r>
      <w:r w:rsidRPr="00EB68E3">
        <w:tab/>
        <w:t>ottaa huomioon talousarvion valvontavaliokunnan mietinnön (A8-0108/2019),</w:t>
      </w:r>
    </w:p>
    <w:p w14:paraId="32F6CD39" w14:textId="77777777" w:rsidR="00A4507B" w:rsidRPr="00EB68E3" w:rsidRDefault="00A4507B" w:rsidP="00EE1766">
      <w:pPr>
        <w:pStyle w:val="Normal12Hanging"/>
      </w:pPr>
      <w:r w:rsidRPr="00EB68E3">
        <w:t>A.</w:t>
      </w:r>
      <w:r w:rsidRPr="00EB68E3">
        <w:tab/>
        <w:t>ottaa huomioon, että puhemies hyväksyi 4. heinäkuuta 2018 parlamentin tilinpäätöksen varainhoitovuodelta 2017;</w:t>
      </w:r>
    </w:p>
    <w:p w14:paraId="412BD095" w14:textId="77777777" w:rsidR="00A4507B" w:rsidRPr="00EB68E3" w:rsidRDefault="00A4507B" w:rsidP="00EE1766">
      <w:pPr>
        <w:pStyle w:val="Normal12Hanging"/>
      </w:pPr>
      <w:r w:rsidRPr="00EB68E3">
        <w:t>B.</w:t>
      </w:r>
      <w:r w:rsidRPr="00EB68E3">
        <w:tab/>
        <w:t>ottaa huomioon, että pääsihteeri johtavana valtuutettuna tulojen ja menojen hyväksyjänä vakuutti 6. heinäkuuta 2018 saaneensa kohtuullisen varmuuden siitä, että parlamentin talousarvioon osoitetut varat on käytetty aiottuun tarkoitukseensa moitteettoman varainhoidon periaatteiden mukaisesti ja että käytössä olevat valvontamenettelyt antoivat riittävät takeet siitä, että tilien perustana olevat toimet olivat lailliset ja sääntöjenmukaiset;</w:t>
      </w:r>
    </w:p>
    <w:p w14:paraId="48EDCBE8" w14:textId="2094772D" w:rsidR="00A4507B" w:rsidRPr="00EB68E3" w:rsidRDefault="00A4507B" w:rsidP="00EE1766">
      <w:pPr>
        <w:pStyle w:val="Normal12Hanging"/>
      </w:pPr>
      <w:r w:rsidRPr="00EB68E3">
        <w:t>C.</w:t>
      </w:r>
      <w:r w:rsidRPr="00EB68E3">
        <w:tab/>
        <w:t>ottaa huomioon, että tilintarkastustuomioistuimen tarkastuksessa todetaan varainhoitovuoden 2017 hallinto- ja muista menoista, että tilintarkastustuomioistuin ei havainnut vakavia puutteita tarkastelluissa toimielinten ja elinten asetuksen (EU, Euratom) N:o 2018/1046 edellyttämissä vuotuisissa toimintakertomuksissa;</w:t>
      </w:r>
    </w:p>
    <w:p w14:paraId="65B44CB6" w14:textId="77777777" w:rsidR="00A4507B" w:rsidRPr="00EB68E3" w:rsidRDefault="00A4507B" w:rsidP="00EE1766">
      <w:pPr>
        <w:pStyle w:val="Normal12Hanging"/>
      </w:pPr>
      <w:r w:rsidRPr="00EB68E3">
        <w:t>D.</w:t>
      </w:r>
      <w:r w:rsidRPr="00EB68E3">
        <w:tab/>
        <w:t>ottaa huomioon asetuksen (EU, Euratom) N:o 2018/1046 262 artiklan 1 kohdan, jonka mukaan kaikkien unionin toimielinten on pyrittävä kaikin tavoin toimimaan vastuuvapauden myöntämistä koskevaan Euroopan parlamentin päätökseen liitettyjen huomautusten mukaisesti;</w:t>
      </w:r>
    </w:p>
    <w:p w14:paraId="50EFBC41" w14:textId="77777777" w:rsidR="00A4507B" w:rsidRPr="00EB68E3" w:rsidRDefault="00A4507B" w:rsidP="00EE1766">
      <w:pPr>
        <w:pStyle w:val="Normal12Hanging"/>
      </w:pPr>
      <w:r w:rsidRPr="00EB68E3">
        <w:t>1.</w:t>
      </w:r>
      <w:r w:rsidRPr="00EB68E3">
        <w:tab/>
        <w:t>myöntää puhemiehelle vastuuvapauden Euroopan parlamentin talousarvion toteuttamisesta varainhoitovuonna 2017;</w:t>
      </w:r>
    </w:p>
    <w:p w14:paraId="1815F729" w14:textId="77777777" w:rsidR="00A4507B" w:rsidRPr="00EB68E3" w:rsidRDefault="00A4507B" w:rsidP="00EE1766">
      <w:pPr>
        <w:pStyle w:val="Normal12Hanging"/>
      </w:pPr>
      <w:r w:rsidRPr="00EB68E3">
        <w:t>2.</w:t>
      </w:r>
      <w:r w:rsidRPr="00EB68E3">
        <w:tab/>
        <w:t>esittää huomautuksensa oheisessa päätöslauselmassa;</w:t>
      </w:r>
    </w:p>
    <w:p w14:paraId="1DB7A8CD" w14:textId="77777777" w:rsidR="00A4507B" w:rsidRPr="00EB68E3" w:rsidRDefault="00A4507B" w:rsidP="00EE1766">
      <w:pPr>
        <w:pStyle w:val="Normal12Hanging"/>
      </w:pPr>
      <w:r w:rsidRPr="00EB68E3">
        <w:t>3.</w:t>
      </w:r>
      <w:r w:rsidRPr="00EB68E3">
        <w:tab/>
        <w:t xml:space="preserve">kehottaa puhemiestä välittämään tämän päätöksen ja siihen erottamattomasti kuuluvan päätöslauselman neuvostolle, komissiolle ja tilintarkastustuomioistuimelle sekä huolehtimaan niiden julkaisemisesta </w:t>
      </w:r>
      <w:r w:rsidRPr="00EB68E3">
        <w:rPr>
          <w:i/>
        </w:rPr>
        <w:t>Euroopan unionin virallisessa lehdessä</w:t>
      </w:r>
      <w:r w:rsidRPr="00EB68E3">
        <w:t xml:space="preserve"> (L-sarja).</w:t>
      </w:r>
    </w:p>
    <w:p w14:paraId="29D39033" w14:textId="77777777" w:rsidR="00A4507B" w:rsidRPr="00EB68E3" w:rsidRDefault="00A4507B" w:rsidP="00EE1766">
      <w:pPr>
        <w:pStyle w:val="PageHeading"/>
      </w:pPr>
      <w:r w:rsidRPr="00EB68E3">
        <w:br w:type="page"/>
      </w:r>
      <w:bookmarkStart w:id="5" w:name="_Toc527729158"/>
      <w:bookmarkStart w:id="6" w:name="Resolution"/>
      <w:bookmarkStart w:id="7" w:name="_Toc3545226"/>
      <w:r w:rsidRPr="00EB68E3">
        <w:t>2. EUROOPAN PARLAMENTIN PÄÄTÖSLAUSELMAESITYS</w:t>
      </w:r>
      <w:bookmarkEnd w:id="5"/>
      <w:bookmarkEnd w:id="7"/>
    </w:p>
    <w:p w14:paraId="344FB232" w14:textId="77777777" w:rsidR="00A4507B" w:rsidRPr="00EB68E3" w:rsidRDefault="00A4507B" w:rsidP="00EE1766">
      <w:pPr>
        <w:pStyle w:val="NormalBold"/>
      </w:pPr>
      <w:bookmarkStart w:id="8" w:name="ResolutionTitle"/>
      <w:bookmarkEnd w:id="6"/>
      <w:r w:rsidRPr="00EB68E3">
        <w:t>joka sisältää huomautukset, jotka ovat erottamaton osa päätöstä vastuuvapauden myöntämisestä Euroopan unionin yleisen talousarvion toteuttamisesta varainhoitovuonna 2017, pääluokka I – Euroopan parlamentti</w:t>
      </w:r>
    </w:p>
    <w:bookmarkEnd w:id="8"/>
    <w:p w14:paraId="7073EE72" w14:textId="77777777" w:rsidR="00A4507B" w:rsidRPr="00EB68E3" w:rsidRDefault="00A4507B" w:rsidP="00EE1766">
      <w:pPr>
        <w:pStyle w:val="Normal12Bold"/>
      </w:pPr>
      <w:r w:rsidRPr="00EB68E3">
        <w:t>(2018/2167(DEC))</w:t>
      </w:r>
    </w:p>
    <w:p w14:paraId="2A8F73CA" w14:textId="77777777" w:rsidR="00A4507B" w:rsidRPr="00EB68E3" w:rsidRDefault="00A4507B" w:rsidP="00EE1766">
      <w:pPr>
        <w:pStyle w:val="Normal12"/>
      </w:pPr>
      <w:r w:rsidRPr="00EB68E3">
        <w:rPr>
          <w:i/>
        </w:rPr>
        <w:t>Euroopan parlamentti</w:t>
      </w:r>
      <w:r w:rsidRPr="00EB68E3">
        <w:t>, joka</w:t>
      </w:r>
    </w:p>
    <w:p w14:paraId="5C59E745" w14:textId="77777777" w:rsidR="00A4507B" w:rsidRPr="00EB68E3" w:rsidRDefault="00A4507B" w:rsidP="00EE1766">
      <w:pPr>
        <w:pStyle w:val="Normal12Hanging"/>
      </w:pPr>
      <w:r w:rsidRPr="00EB68E3">
        <w:t>–</w:t>
      </w:r>
      <w:r w:rsidRPr="00EB68E3">
        <w:tab/>
        <w:t>ottaa huomioon päätöksensä vastuuvapauden myöntämisestä Euroopan unionin yleisen talousarvion toteuttamisesta varainhoitovuonna 2017, pääluokka I – Euroopan parlamentti,</w:t>
      </w:r>
    </w:p>
    <w:p w14:paraId="000A2893" w14:textId="77777777" w:rsidR="00A4507B" w:rsidRPr="00EB68E3" w:rsidRDefault="00A4507B" w:rsidP="00EE1766">
      <w:pPr>
        <w:pStyle w:val="Normal12Hanging"/>
      </w:pPr>
      <w:r w:rsidRPr="00EB68E3">
        <w:t>–</w:t>
      </w:r>
      <w:r w:rsidRPr="00EB68E3">
        <w:tab/>
        <w:t>ottaa huomioon työjärjestyksen 94 artiklan, 98 artiklan 3 kohdan ja liitteen IV,</w:t>
      </w:r>
    </w:p>
    <w:p w14:paraId="20C32F19" w14:textId="30357831" w:rsidR="00A4507B" w:rsidRPr="00EB68E3" w:rsidRDefault="00A4507B" w:rsidP="00EE1766">
      <w:pPr>
        <w:pStyle w:val="Normal12Hanging"/>
      </w:pPr>
      <w:r w:rsidRPr="00EB68E3">
        <w:t>–</w:t>
      </w:r>
      <w:r w:rsidRPr="00EB68E3">
        <w:tab/>
        <w:t>ottaa huomioon talousarvion valvontavaliokunnan mietinnön (A8-0108/2019),</w:t>
      </w:r>
    </w:p>
    <w:p w14:paraId="7AF2A58D" w14:textId="57B586FB" w:rsidR="00A4507B" w:rsidRPr="00EB68E3" w:rsidRDefault="00A4507B" w:rsidP="00EE1766">
      <w:pPr>
        <w:pStyle w:val="Normal12Hanging"/>
      </w:pPr>
      <w:r w:rsidRPr="00EB68E3">
        <w:t>A.</w:t>
      </w:r>
      <w:r w:rsidRPr="00EB68E3">
        <w:tab/>
        <w:t>panee merkille, että Euroopan parlamentin tilinpitäjä vakuutti lopullista tilinpäätöstä varmentaessaan saaneensa kohtuullisen varmuuden siitä, että tilinpäätös antaa kaikilta olennaisilta osiltaan oikeat ja riittävät tiedot parlamentin taloudellisesta asemasta, toimien tuloksista ja rahavirroista;</w:t>
      </w:r>
    </w:p>
    <w:p w14:paraId="49C60709" w14:textId="77777777" w:rsidR="00A4507B" w:rsidRPr="00EB68E3" w:rsidRDefault="00A4507B" w:rsidP="00EE1766">
      <w:pPr>
        <w:pStyle w:val="Normal12Hanging"/>
      </w:pPr>
      <w:r w:rsidRPr="00EB68E3">
        <w:t>B.</w:t>
      </w:r>
      <w:r w:rsidRPr="00EB68E3">
        <w:tab/>
        <w:t>ottaa huomioon, että tavanomaisen menettelyn mukaisesti parlamentin hallinnolle lähetettiin 161 kysymystä ja saaduista kirjallisista vastauksista keskusteltiin talousarvion valvontavaliokunnan (CONT) avoimessa kokouksessa talousarviosta vastaavan varapuhemiehen, pääsihteerin ja sisäisen tarkastajan läsnä ollessa;</w:t>
      </w:r>
    </w:p>
    <w:p w14:paraId="4D08C500" w14:textId="6A082B9D" w:rsidR="00A4507B" w:rsidRPr="00EB68E3" w:rsidRDefault="00A4507B" w:rsidP="00EE1766">
      <w:pPr>
        <w:pStyle w:val="Normal12Hanging"/>
      </w:pPr>
      <w:r w:rsidRPr="00EB68E3">
        <w:t>C.</w:t>
      </w:r>
      <w:r w:rsidRPr="00EB68E3">
        <w:tab/>
        <w:t>katsoo, että julkisen varainhoidon laatua, tehokkuutta ja vaikuttavuutta on aina varaa parantaa ja että valvontaa tarvitaan, jotta voidaan varmistaa, että poliittinen johto ja parlamentin hallinto ovat vastuuvelvollisia unionin kansalaisille;</w:t>
      </w:r>
    </w:p>
    <w:p w14:paraId="647A7DF2" w14:textId="567E1D78" w:rsidR="00A4507B" w:rsidRPr="00EB68E3" w:rsidRDefault="00A4507B" w:rsidP="00EE1766">
      <w:pPr>
        <w:pStyle w:val="Normal12Hanging"/>
        <w:rPr>
          <w:b/>
          <w:i/>
        </w:rPr>
      </w:pPr>
      <w:r w:rsidRPr="00EB68E3">
        <w:rPr>
          <w:b/>
          <w:i/>
        </w:rPr>
        <w:t>Parlamentin talousarvio- ja varainhallinto</w:t>
      </w:r>
    </w:p>
    <w:p w14:paraId="1A000D4F" w14:textId="4F0D24FE" w:rsidR="00BE32E9" w:rsidRPr="00EB68E3" w:rsidRDefault="00BE32E9" w:rsidP="00BE32E9">
      <w:pPr>
        <w:pStyle w:val="Normal12Hanging"/>
      </w:pPr>
      <w:r w:rsidRPr="00EB68E3">
        <w:t>1.</w:t>
      </w:r>
      <w:r w:rsidRPr="00EB68E3">
        <w:tab/>
        <w:t>panee merkille, että parlamentin lopullinen talousarvio vuonna 2017 oli yhteensä 1 909 590 000 euroa eli 19,25 prosenttia monivuotisen rahoituskehyksen otsakkeesta 5</w:t>
      </w:r>
      <w:r w:rsidRPr="00EB68E3">
        <w:rPr>
          <w:rStyle w:val="Sup"/>
        </w:rPr>
        <w:footnoteReference w:id="9"/>
      </w:r>
      <w:r w:rsidRPr="00EB68E3">
        <w:t>, johon sisältyvät unionin toimielinten kaikki hallintomenot vuonna 2017, ja toteaa, että kasvu vuoden 2016 talousarviosta (1 838 613 983 euroa) oli 3,9 prosenttia; korostaa, että kasvu oli huomattavasti suurempi kuin vuotta 2017 koskeva Belgian inflaatioaste, joka oli vain 2,65 prosenttia;</w:t>
      </w:r>
    </w:p>
    <w:p w14:paraId="5C5FA4CD" w14:textId="2FAF2628" w:rsidR="00A4507B" w:rsidRPr="00EB68E3" w:rsidRDefault="00A4507B" w:rsidP="00EE1766">
      <w:pPr>
        <w:pStyle w:val="Normal12Hanging"/>
      </w:pPr>
      <w:r w:rsidRPr="00EB68E3">
        <w:t>2.</w:t>
      </w:r>
      <w:r w:rsidRPr="00EB68E3">
        <w:tab/>
        <w:t>ottaa huomioon, että tileihin kirjattuja tuloja oli 31. joulukuuta 2017 yhteensä 206 991 865 euroa (vuonna 2016 määrä oli 183 381 513 euroa), josta käyttötarkoitukseensa sidottujen tulojen määrä oli 50 052 674 euroa (vuonna 2016 määrä oli 30 589 787 euroa);</w:t>
      </w:r>
    </w:p>
    <w:p w14:paraId="5C422D81" w14:textId="6CE95669" w:rsidR="00A4507B" w:rsidRPr="00EB68E3" w:rsidRDefault="00A4507B" w:rsidP="00EE1766">
      <w:pPr>
        <w:pStyle w:val="Normal12Hanging"/>
      </w:pPr>
      <w:r w:rsidRPr="00EB68E3">
        <w:t>3.</w:t>
      </w:r>
      <w:r w:rsidRPr="00EB68E3">
        <w:tab/>
        <w:t>korostaa, että 69,5 prosenttia kaikista sitoumuksista sisältyi neljään lukuun: luku 10 ”Toimielimen jäsenet”, luku 12 ”Virkamiehet ja väliaikaiset toimihenkilöt”, luku 20 ”Kiinteistöt ja niiden liitännäiskulut” ja luku 42 ”Parlamentin jäsenten avustajiin liittyvät menot”, mikä osoittaa, että parlamentin menot olivat suurelta osin erittäin joustamattomia; korostaa, että leijonanosa parlamentin talousarviomenoista liittyy ensisijaisesti hallintoon eikä toimintaan, ja toteaa, että tämä on syytä ottaa huomioon;</w:t>
      </w:r>
    </w:p>
    <w:p w14:paraId="71D89051" w14:textId="4EA4FC85" w:rsidR="00A4507B" w:rsidRPr="00EB68E3" w:rsidRDefault="00A4507B" w:rsidP="00EE1766">
      <w:pPr>
        <w:pStyle w:val="Normal12Hanging"/>
      </w:pPr>
      <w:r w:rsidRPr="00EB68E3">
        <w:t>4.</w:t>
      </w:r>
      <w:r w:rsidRPr="00EB68E3">
        <w:tab/>
        <w:t>panee merkille, että parlamentin tilinpäätös varainhoitovuodelta 2017 perustui seuraaviin määriin:</w:t>
      </w:r>
    </w:p>
    <w:tbl>
      <w:tblPr>
        <w:tblW w:w="0"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317"/>
        <w:gridCol w:w="3574"/>
      </w:tblGrid>
      <w:tr w:rsidR="00A4507B" w:rsidRPr="00EB68E3" w14:paraId="61F48EB4" w14:textId="77777777" w:rsidTr="00A4507B">
        <w:trPr>
          <w:trHeight w:val="138"/>
        </w:trPr>
        <w:tc>
          <w:tcPr>
            <w:tcW w:w="8891" w:type="dxa"/>
            <w:gridSpan w:val="2"/>
            <w:tcBorders>
              <w:top w:val="single" w:sz="8" w:space="0" w:color="000000"/>
              <w:left w:val="single" w:sz="8" w:space="0" w:color="000000"/>
              <w:bottom w:val="single" w:sz="8" w:space="0" w:color="000000"/>
              <w:right w:val="single" w:sz="8" w:space="0" w:color="000000"/>
            </w:tcBorders>
            <w:hideMark/>
          </w:tcPr>
          <w:p w14:paraId="1C256731" w14:textId="77777777" w:rsidR="00A4507B" w:rsidRPr="00EB68E3" w:rsidRDefault="00A4507B" w:rsidP="00EE1766">
            <w:pPr>
              <w:autoSpaceDE w:val="0"/>
              <w:autoSpaceDN w:val="0"/>
              <w:adjustRightInd w:val="0"/>
              <w:jc w:val="both"/>
              <w:rPr>
                <w:color w:val="000000"/>
                <w:szCs w:val="24"/>
              </w:rPr>
            </w:pPr>
            <w:r w:rsidRPr="00EB68E3">
              <w:rPr>
                <w:b/>
                <w:bCs/>
                <w:color w:val="000000"/>
                <w:szCs w:val="24"/>
              </w:rPr>
              <w:t>a) Käytettävissä olleet määrärahat (euroa)</w:t>
            </w:r>
          </w:p>
        </w:tc>
      </w:tr>
      <w:tr w:rsidR="00A4507B" w:rsidRPr="00EB68E3" w14:paraId="400E252A"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7E13694D" w14:textId="77777777" w:rsidR="00A4507B" w:rsidRPr="00EB68E3" w:rsidRDefault="00A4507B" w:rsidP="00EE1766">
            <w:pPr>
              <w:autoSpaceDE w:val="0"/>
              <w:autoSpaceDN w:val="0"/>
              <w:adjustRightInd w:val="0"/>
              <w:rPr>
                <w:color w:val="000000"/>
                <w:szCs w:val="24"/>
              </w:rPr>
            </w:pPr>
            <w:r w:rsidRPr="00EB68E3">
              <w:rPr>
                <w:color w:val="000000"/>
                <w:szCs w:val="24"/>
              </w:rPr>
              <w:t xml:space="preserve">määrärahat 2017 </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49BBADFA" w14:textId="25FBBD38" w:rsidR="00A4507B" w:rsidRPr="00EB68E3" w:rsidRDefault="00A4507B" w:rsidP="00EE1766">
            <w:pPr>
              <w:autoSpaceDE w:val="0"/>
              <w:autoSpaceDN w:val="0"/>
              <w:adjustRightInd w:val="0"/>
              <w:ind w:left="568"/>
              <w:jc w:val="right"/>
              <w:rPr>
                <w:szCs w:val="24"/>
              </w:rPr>
            </w:pPr>
            <w:r w:rsidRPr="00EB68E3">
              <w:t>1 909 590 000</w:t>
            </w:r>
          </w:p>
        </w:tc>
      </w:tr>
      <w:tr w:rsidR="00A4507B" w:rsidRPr="00EB68E3" w14:paraId="236847D0"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79B491D3" w14:textId="77777777" w:rsidR="00A4507B" w:rsidRPr="00EB68E3" w:rsidRDefault="00A4507B" w:rsidP="00EE1766">
            <w:pPr>
              <w:autoSpaceDE w:val="0"/>
              <w:autoSpaceDN w:val="0"/>
              <w:adjustRightInd w:val="0"/>
              <w:rPr>
                <w:color w:val="000000"/>
                <w:szCs w:val="24"/>
              </w:rPr>
            </w:pPr>
            <w:r w:rsidRPr="00EB68E3">
              <w:rPr>
                <w:color w:val="000000"/>
                <w:szCs w:val="24"/>
              </w:rPr>
              <w:t xml:space="preserve">erikseen esitetyt siirrot varainhoitovuodelta 2016 </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1F4B3621" w14:textId="77777777" w:rsidR="00A4507B" w:rsidRPr="00EB68E3" w:rsidRDefault="00A4507B" w:rsidP="00EE1766">
            <w:pPr>
              <w:autoSpaceDE w:val="0"/>
              <w:autoSpaceDN w:val="0"/>
              <w:adjustRightInd w:val="0"/>
              <w:ind w:left="568"/>
              <w:jc w:val="right"/>
              <w:rPr>
                <w:szCs w:val="24"/>
              </w:rPr>
            </w:pPr>
            <w:r w:rsidRPr="00EB68E3">
              <w:t>---</w:t>
            </w:r>
          </w:p>
        </w:tc>
      </w:tr>
      <w:tr w:rsidR="00A4507B" w:rsidRPr="00EB68E3" w14:paraId="6A4AB0C2"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7297B666" w14:textId="77777777" w:rsidR="00A4507B" w:rsidRPr="00EB68E3" w:rsidRDefault="00A4507B" w:rsidP="00EE1766">
            <w:pPr>
              <w:autoSpaceDE w:val="0"/>
              <w:autoSpaceDN w:val="0"/>
              <w:adjustRightInd w:val="0"/>
              <w:rPr>
                <w:color w:val="000000"/>
                <w:szCs w:val="24"/>
              </w:rPr>
            </w:pPr>
            <w:r w:rsidRPr="00EB68E3">
              <w:rPr>
                <w:color w:val="000000"/>
                <w:szCs w:val="24"/>
              </w:rPr>
              <w:t xml:space="preserve">ilman eri toimenpiteitä tehdyt siirrot varainhoitovuodelta 2016 </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413D5DF7" w14:textId="4904A9B0" w:rsidR="00A4507B" w:rsidRPr="00EB68E3" w:rsidRDefault="00A4507B" w:rsidP="00EE1766">
            <w:pPr>
              <w:autoSpaceDE w:val="0"/>
              <w:autoSpaceDN w:val="0"/>
              <w:adjustRightInd w:val="0"/>
              <w:ind w:left="568"/>
              <w:jc w:val="right"/>
              <w:rPr>
                <w:szCs w:val="24"/>
              </w:rPr>
            </w:pPr>
            <w:r w:rsidRPr="00EB68E3">
              <w:t>285 312 645</w:t>
            </w:r>
          </w:p>
        </w:tc>
      </w:tr>
      <w:tr w:rsidR="00A4507B" w:rsidRPr="00EB68E3" w14:paraId="1EA52808" w14:textId="77777777" w:rsidTr="00A4507B">
        <w:trPr>
          <w:trHeight w:val="248"/>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4E6BEF1F" w14:textId="77777777" w:rsidR="00A4507B" w:rsidRPr="00EB68E3" w:rsidRDefault="00A4507B" w:rsidP="00EE1766">
            <w:pPr>
              <w:autoSpaceDE w:val="0"/>
              <w:autoSpaceDN w:val="0"/>
              <w:adjustRightInd w:val="0"/>
              <w:rPr>
                <w:color w:val="000000"/>
                <w:szCs w:val="24"/>
              </w:rPr>
            </w:pPr>
            <w:r w:rsidRPr="00EB68E3">
              <w:rPr>
                <w:color w:val="000000"/>
                <w:szCs w:val="24"/>
              </w:rPr>
              <w:t xml:space="preserve">käyttötarkoitukseensa sidottuihin tuloihin perustuvat määrärahat vuodeksi 2017 </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1DC160A4" w14:textId="2500C47B" w:rsidR="00A4507B" w:rsidRPr="00EB68E3" w:rsidRDefault="00A4507B" w:rsidP="00EE1766">
            <w:pPr>
              <w:autoSpaceDE w:val="0"/>
              <w:autoSpaceDN w:val="0"/>
              <w:adjustRightInd w:val="0"/>
              <w:ind w:left="568"/>
              <w:jc w:val="right"/>
              <w:rPr>
                <w:szCs w:val="24"/>
              </w:rPr>
            </w:pPr>
            <w:r w:rsidRPr="00EB68E3">
              <w:t>50 052 674</w:t>
            </w:r>
          </w:p>
        </w:tc>
      </w:tr>
      <w:tr w:rsidR="00A4507B" w:rsidRPr="00EB68E3" w14:paraId="79540182" w14:textId="77777777" w:rsidTr="00A4507B">
        <w:trPr>
          <w:trHeight w:val="248"/>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40FD7414" w14:textId="2B3BEDD1" w:rsidR="00A4507B" w:rsidRPr="00EB68E3" w:rsidRDefault="00A4507B" w:rsidP="00EE1766">
            <w:pPr>
              <w:autoSpaceDE w:val="0"/>
              <w:autoSpaceDN w:val="0"/>
              <w:adjustRightInd w:val="0"/>
              <w:rPr>
                <w:color w:val="000000"/>
                <w:szCs w:val="24"/>
              </w:rPr>
            </w:pPr>
            <w:r w:rsidRPr="00EB68E3">
              <w:rPr>
                <w:color w:val="000000"/>
                <w:szCs w:val="24"/>
              </w:rPr>
              <w:t>käyttötarkoitukseensa sidottuihin tuloihin perustuvien määrärahojen siirrot vuodelta 2016</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565AED72" w14:textId="6ECA93EB" w:rsidR="00A4507B" w:rsidRPr="00EB68E3" w:rsidRDefault="00A4507B" w:rsidP="00EE1766">
            <w:pPr>
              <w:autoSpaceDE w:val="0"/>
              <w:autoSpaceDN w:val="0"/>
              <w:adjustRightInd w:val="0"/>
              <w:ind w:left="568"/>
              <w:jc w:val="right"/>
              <w:rPr>
                <w:szCs w:val="24"/>
              </w:rPr>
            </w:pPr>
            <w:r w:rsidRPr="00EB68E3">
              <w:t>39 595 290</w:t>
            </w:r>
          </w:p>
        </w:tc>
      </w:tr>
      <w:tr w:rsidR="00A4507B" w:rsidRPr="00EB68E3" w14:paraId="0C02FAA0"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26CAC2ED" w14:textId="1184E3F6" w:rsidR="00A4507B" w:rsidRPr="00EB68E3" w:rsidRDefault="00A4507B" w:rsidP="00EE1766">
            <w:pPr>
              <w:autoSpaceDE w:val="0"/>
              <w:autoSpaceDN w:val="0"/>
              <w:adjustRightInd w:val="0"/>
              <w:rPr>
                <w:color w:val="000000"/>
                <w:szCs w:val="24"/>
              </w:rPr>
            </w:pPr>
            <w:r w:rsidRPr="00EB68E3">
              <w:rPr>
                <w:color w:val="000000"/>
                <w:szCs w:val="24"/>
              </w:rPr>
              <w:t>Yhteensä:</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4BA4CAC0" w14:textId="27ED19D5" w:rsidR="00A4507B" w:rsidRPr="00EB68E3" w:rsidRDefault="00A4507B" w:rsidP="00EE1766">
            <w:pPr>
              <w:autoSpaceDE w:val="0"/>
              <w:autoSpaceDN w:val="0"/>
              <w:adjustRightInd w:val="0"/>
              <w:ind w:left="568"/>
              <w:jc w:val="right"/>
              <w:rPr>
                <w:szCs w:val="24"/>
              </w:rPr>
            </w:pPr>
            <w:r w:rsidRPr="00EB68E3">
              <w:t>2 284 550 609</w:t>
            </w:r>
          </w:p>
        </w:tc>
      </w:tr>
      <w:tr w:rsidR="00A4507B" w:rsidRPr="00EB68E3" w14:paraId="0F71CF9B" w14:textId="77777777" w:rsidTr="00A4507B">
        <w:trPr>
          <w:trHeight w:val="138"/>
        </w:trPr>
        <w:tc>
          <w:tcPr>
            <w:tcW w:w="8891" w:type="dxa"/>
            <w:gridSpan w:val="2"/>
            <w:tcBorders>
              <w:top w:val="single" w:sz="8" w:space="0" w:color="000000"/>
              <w:left w:val="single" w:sz="8" w:space="0" w:color="000000"/>
              <w:bottom w:val="single" w:sz="8" w:space="0" w:color="000000"/>
              <w:right w:val="single" w:sz="8" w:space="0" w:color="000000"/>
            </w:tcBorders>
            <w:vAlign w:val="center"/>
            <w:hideMark/>
          </w:tcPr>
          <w:p w14:paraId="69557B8D" w14:textId="77777777" w:rsidR="00A4507B" w:rsidRPr="00EB68E3" w:rsidRDefault="00A4507B" w:rsidP="00EE1766">
            <w:pPr>
              <w:autoSpaceDE w:val="0"/>
              <w:autoSpaceDN w:val="0"/>
              <w:adjustRightInd w:val="0"/>
              <w:rPr>
                <w:szCs w:val="24"/>
              </w:rPr>
            </w:pPr>
            <w:r w:rsidRPr="00EB68E3">
              <w:rPr>
                <w:b/>
                <w:bCs/>
                <w:szCs w:val="24"/>
              </w:rPr>
              <w:t>b) Määrärahojen käyttö varainhoitovuonna 2017 (euroa)</w:t>
            </w:r>
          </w:p>
        </w:tc>
      </w:tr>
      <w:tr w:rsidR="00A4507B" w:rsidRPr="00EB68E3" w14:paraId="4FCB037F"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1C3618B2" w14:textId="6C8B5CA1" w:rsidR="00A4507B" w:rsidRPr="00EB68E3" w:rsidRDefault="00A4507B" w:rsidP="00EE1766">
            <w:pPr>
              <w:autoSpaceDE w:val="0"/>
              <w:autoSpaceDN w:val="0"/>
              <w:adjustRightInd w:val="0"/>
              <w:rPr>
                <w:color w:val="000000"/>
                <w:szCs w:val="24"/>
              </w:rPr>
            </w:pPr>
            <w:r w:rsidRPr="00EB68E3">
              <w:rPr>
                <w:color w:val="000000"/>
                <w:szCs w:val="24"/>
              </w:rPr>
              <w:t>sitoumukset</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625E1EA8" w14:textId="6B404553" w:rsidR="00A4507B" w:rsidRPr="00EB68E3" w:rsidRDefault="00A4507B" w:rsidP="00EE1766">
            <w:pPr>
              <w:autoSpaceDE w:val="0"/>
              <w:autoSpaceDN w:val="0"/>
              <w:adjustRightInd w:val="0"/>
              <w:ind w:left="568"/>
              <w:jc w:val="right"/>
              <w:rPr>
                <w:szCs w:val="24"/>
              </w:rPr>
            </w:pPr>
            <w:r w:rsidRPr="00EB68E3">
              <w:t>2 209 881 836</w:t>
            </w:r>
          </w:p>
        </w:tc>
      </w:tr>
      <w:tr w:rsidR="00A4507B" w:rsidRPr="00EB68E3" w14:paraId="0205B132"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3A5211A1" w14:textId="06B6E84B" w:rsidR="00A4507B" w:rsidRPr="00EB68E3" w:rsidRDefault="00A4507B" w:rsidP="00EE1766">
            <w:pPr>
              <w:autoSpaceDE w:val="0"/>
              <w:autoSpaceDN w:val="0"/>
              <w:adjustRightInd w:val="0"/>
              <w:rPr>
                <w:color w:val="000000"/>
                <w:szCs w:val="24"/>
              </w:rPr>
            </w:pPr>
            <w:r w:rsidRPr="00EB68E3">
              <w:rPr>
                <w:color w:val="000000"/>
                <w:szCs w:val="24"/>
              </w:rPr>
              <w:t>suoritetut maksut</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797B15F1" w14:textId="19CD438F" w:rsidR="00A4507B" w:rsidRPr="00EB68E3" w:rsidRDefault="00A4507B" w:rsidP="00EE1766">
            <w:pPr>
              <w:autoSpaceDE w:val="0"/>
              <w:autoSpaceDN w:val="0"/>
              <w:adjustRightInd w:val="0"/>
              <w:ind w:left="568"/>
              <w:jc w:val="right"/>
              <w:rPr>
                <w:szCs w:val="24"/>
              </w:rPr>
            </w:pPr>
            <w:r w:rsidRPr="00EB68E3">
              <w:t>1 904 053 540</w:t>
            </w:r>
          </w:p>
        </w:tc>
      </w:tr>
      <w:tr w:rsidR="00A4507B" w:rsidRPr="00EB68E3" w14:paraId="29FBF374" w14:textId="77777777" w:rsidTr="00A4507B">
        <w:trPr>
          <w:trHeight w:val="247"/>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2F6B7B58" w14:textId="5EBF7774" w:rsidR="00A4507B" w:rsidRPr="00EB68E3" w:rsidRDefault="00A4507B" w:rsidP="00EE1766">
            <w:pPr>
              <w:autoSpaceDE w:val="0"/>
              <w:autoSpaceDN w:val="0"/>
              <w:adjustRightInd w:val="0"/>
              <w:rPr>
                <w:color w:val="000000"/>
                <w:szCs w:val="24"/>
              </w:rPr>
            </w:pPr>
            <w:r w:rsidRPr="00EB68E3">
              <w:rPr>
                <w:color w:val="000000"/>
                <w:szCs w:val="24"/>
              </w:rPr>
              <w:t>seuraavalle vuodelle ilman eri toimenpiteitä siirretyt määrärahat, käyttötarkoitukseensa sidottuihin tuloihin perustuvat määrärahat mukaan luettuina</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4967B0F1" w14:textId="5176FA5B" w:rsidR="00A4507B" w:rsidRPr="00EB68E3" w:rsidRDefault="00A4507B" w:rsidP="00EE1766">
            <w:pPr>
              <w:autoSpaceDE w:val="0"/>
              <w:autoSpaceDN w:val="0"/>
              <w:adjustRightInd w:val="0"/>
              <w:ind w:left="568"/>
              <w:jc w:val="right"/>
              <w:rPr>
                <w:szCs w:val="24"/>
              </w:rPr>
            </w:pPr>
            <w:r w:rsidRPr="00EB68E3">
              <w:t>329 655 011</w:t>
            </w:r>
          </w:p>
        </w:tc>
      </w:tr>
      <w:tr w:rsidR="00A4507B" w:rsidRPr="00EB68E3" w14:paraId="6F495132"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41B7842E" w14:textId="6290D9B0" w:rsidR="00A4507B" w:rsidRPr="00EB68E3" w:rsidRDefault="00A4507B" w:rsidP="00EE1766">
            <w:pPr>
              <w:autoSpaceDE w:val="0"/>
              <w:autoSpaceDN w:val="0"/>
              <w:adjustRightInd w:val="0"/>
              <w:rPr>
                <w:color w:val="000000"/>
                <w:szCs w:val="24"/>
              </w:rPr>
            </w:pPr>
            <w:r w:rsidRPr="00EB68E3">
              <w:rPr>
                <w:color w:val="000000"/>
                <w:szCs w:val="24"/>
              </w:rPr>
              <w:t>seuraavalle vuodelle erikseen siirretyt määrärahat</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3856A6C9" w14:textId="34A8A56F" w:rsidR="00A4507B" w:rsidRPr="00EB68E3" w:rsidRDefault="00A4507B" w:rsidP="00EE1766">
            <w:pPr>
              <w:autoSpaceDE w:val="0"/>
              <w:autoSpaceDN w:val="0"/>
              <w:adjustRightInd w:val="0"/>
              <w:ind w:left="568"/>
              <w:jc w:val="right"/>
              <w:rPr>
                <w:szCs w:val="24"/>
              </w:rPr>
            </w:pPr>
            <w:r w:rsidRPr="00EB68E3">
              <w:t>337 227 783</w:t>
            </w:r>
          </w:p>
        </w:tc>
      </w:tr>
      <w:tr w:rsidR="00A4507B" w:rsidRPr="00EB68E3" w14:paraId="406EB9E1"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6ABCE5BF" w14:textId="3A1AA421" w:rsidR="00A4507B" w:rsidRPr="00EB68E3" w:rsidRDefault="00A4507B" w:rsidP="00EE1766">
            <w:pPr>
              <w:autoSpaceDE w:val="0"/>
              <w:autoSpaceDN w:val="0"/>
              <w:adjustRightInd w:val="0"/>
              <w:rPr>
                <w:color w:val="000000"/>
                <w:szCs w:val="24"/>
              </w:rPr>
            </w:pPr>
            <w:r w:rsidRPr="00EB68E3">
              <w:rPr>
                <w:color w:val="000000"/>
                <w:szCs w:val="24"/>
              </w:rPr>
              <w:t>peruuntuneet määrärahat</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6BC6B084" w14:textId="4B406C5C" w:rsidR="00A4507B" w:rsidRPr="00EB68E3" w:rsidRDefault="00A4507B" w:rsidP="00EE1766">
            <w:pPr>
              <w:autoSpaceDE w:val="0"/>
              <w:autoSpaceDN w:val="0"/>
              <w:adjustRightInd w:val="0"/>
              <w:ind w:left="568"/>
              <w:jc w:val="right"/>
              <w:rPr>
                <w:szCs w:val="24"/>
              </w:rPr>
            </w:pPr>
            <w:r w:rsidRPr="00EB68E3">
              <w:t>39 823 600</w:t>
            </w:r>
          </w:p>
        </w:tc>
      </w:tr>
      <w:tr w:rsidR="00A4507B" w:rsidRPr="00EB68E3" w14:paraId="40E9EF82" w14:textId="77777777" w:rsidTr="00A4507B">
        <w:trPr>
          <w:trHeight w:val="138"/>
        </w:trPr>
        <w:tc>
          <w:tcPr>
            <w:tcW w:w="8891" w:type="dxa"/>
            <w:gridSpan w:val="2"/>
            <w:tcBorders>
              <w:top w:val="single" w:sz="8" w:space="0" w:color="000000"/>
              <w:left w:val="single" w:sz="8" w:space="0" w:color="000000"/>
              <w:bottom w:val="single" w:sz="8" w:space="0" w:color="000000"/>
              <w:right w:val="single" w:sz="8" w:space="0" w:color="000000"/>
            </w:tcBorders>
            <w:vAlign w:val="center"/>
            <w:hideMark/>
          </w:tcPr>
          <w:p w14:paraId="72DDC560" w14:textId="77777777" w:rsidR="00A4507B" w:rsidRPr="00EB68E3" w:rsidRDefault="00A4507B" w:rsidP="00EE1766">
            <w:pPr>
              <w:autoSpaceDE w:val="0"/>
              <w:autoSpaceDN w:val="0"/>
              <w:adjustRightInd w:val="0"/>
              <w:rPr>
                <w:szCs w:val="24"/>
              </w:rPr>
            </w:pPr>
            <w:r w:rsidRPr="00EB68E3">
              <w:rPr>
                <w:b/>
                <w:bCs/>
                <w:szCs w:val="24"/>
              </w:rPr>
              <w:t>c) Talousarviosta saatu rahoitus (euroa)</w:t>
            </w:r>
          </w:p>
        </w:tc>
      </w:tr>
      <w:tr w:rsidR="00A4507B" w:rsidRPr="00EB68E3" w14:paraId="11485768" w14:textId="77777777" w:rsidTr="00A4507B">
        <w:trPr>
          <w:trHeight w:val="133"/>
        </w:trPr>
        <w:tc>
          <w:tcPr>
            <w:tcW w:w="5317" w:type="dxa"/>
            <w:tcBorders>
              <w:top w:val="single" w:sz="8" w:space="0" w:color="000000"/>
              <w:left w:val="single" w:sz="8" w:space="0" w:color="000000"/>
              <w:bottom w:val="single" w:sz="8" w:space="0" w:color="000000"/>
              <w:right w:val="single" w:sz="8" w:space="0" w:color="000000"/>
            </w:tcBorders>
            <w:vAlign w:val="center"/>
            <w:hideMark/>
          </w:tcPr>
          <w:p w14:paraId="69961CF9" w14:textId="75CEDB17" w:rsidR="00A4507B" w:rsidRPr="00EB68E3" w:rsidRDefault="00A4507B" w:rsidP="00EE1766">
            <w:pPr>
              <w:autoSpaceDE w:val="0"/>
              <w:autoSpaceDN w:val="0"/>
              <w:adjustRightInd w:val="0"/>
              <w:rPr>
                <w:color w:val="000000"/>
                <w:szCs w:val="24"/>
              </w:rPr>
            </w:pPr>
            <w:r w:rsidRPr="00EB68E3">
              <w:rPr>
                <w:color w:val="000000"/>
                <w:szCs w:val="24"/>
              </w:rPr>
              <w:t>saatu vuonna 2017</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3EE278FD" w14:textId="21805C6D" w:rsidR="00A4507B" w:rsidRPr="00EB68E3" w:rsidRDefault="00A4507B" w:rsidP="00EE1766">
            <w:pPr>
              <w:autoSpaceDE w:val="0"/>
              <w:autoSpaceDN w:val="0"/>
              <w:adjustRightInd w:val="0"/>
              <w:ind w:left="568"/>
              <w:jc w:val="right"/>
              <w:rPr>
                <w:szCs w:val="24"/>
              </w:rPr>
            </w:pPr>
            <w:r w:rsidRPr="00EB68E3">
              <w:t>206 991 865</w:t>
            </w:r>
          </w:p>
        </w:tc>
      </w:tr>
      <w:tr w:rsidR="00A4507B" w:rsidRPr="00EB68E3" w14:paraId="143ADA98" w14:textId="77777777" w:rsidTr="00A4507B">
        <w:trPr>
          <w:trHeight w:val="139"/>
        </w:trPr>
        <w:tc>
          <w:tcPr>
            <w:tcW w:w="5317" w:type="dxa"/>
            <w:tcBorders>
              <w:top w:val="single" w:sz="8" w:space="0" w:color="000000"/>
              <w:left w:val="single" w:sz="8" w:space="0" w:color="000000"/>
              <w:bottom w:val="single" w:sz="8" w:space="0" w:color="000000"/>
              <w:right w:val="single" w:sz="8" w:space="0" w:color="000000"/>
            </w:tcBorders>
            <w:hideMark/>
          </w:tcPr>
          <w:p w14:paraId="1F4DEDED" w14:textId="45764CF1" w:rsidR="00A4507B" w:rsidRPr="00EB68E3" w:rsidRDefault="00A4507B" w:rsidP="00EE1766">
            <w:pPr>
              <w:autoSpaceDE w:val="0"/>
              <w:autoSpaceDN w:val="0"/>
              <w:adjustRightInd w:val="0"/>
              <w:jc w:val="both"/>
              <w:rPr>
                <w:color w:val="000000"/>
                <w:szCs w:val="24"/>
              </w:rPr>
            </w:pPr>
            <w:r w:rsidRPr="00EB68E3">
              <w:rPr>
                <w:b/>
                <w:bCs/>
                <w:color w:val="000000"/>
                <w:szCs w:val="24"/>
              </w:rPr>
              <w:t>d) Kokonaistase 31. joulukuuta 2017 (euroa)</w:t>
            </w:r>
          </w:p>
        </w:tc>
        <w:tc>
          <w:tcPr>
            <w:tcW w:w="3574" w:type="dxa"/>
            <w:tcBorders>
              <w:top w:val="single" w:sz="8" w:space="0" w:color="000000"/>
              <w:left w:val="single" w:sz="8" w:space="0" w:color="000000"/>
              <w:bottom w:val="single" w:sz="8" w:space="0" w:color="000000"/>
              <w:right w:val="single" w:sz="8" w:space="0" w:color="000000"/>
            </w:tcBorders>
            <w:vAlign w:val="center"/>
            <w:hideMark/>
          </w:tcPr>
          <w:p w14:paraId="0BAD58F8" w14:textId="5A42EACC" w:rsidR="00A4507B" w:rsidRPr="00EB68E3" w:rsidRDefault="00A4507B" w:rsidP="00EE1766">
            <w:pPr>
              <w:autoSpaceDE w:val="0"/>
              <w:autoSpaceDN w:val="0"/>
              <w:adjustRightInd w:val="0"/>
              <w:ind w:left="568"/>
              <w:jc w:val="right"/>
              <w:rPr>
                <w:szCs w:val="24"/>
              </w:rPr>
            </w:pPr>
            <w:r w:rsidRPr="00EB68E3">
              <w:t>1 628 445 094</w:t>
            </w:r>
          </w:p>
        </w:tc>
      </w:tr>
    </w:tbl>
    <w:p w14:paraId="30E0AB0C" w14:textId="6F1E5E93" w:rsidR="00A4507B" w:rsidRPr="00EB68E3" w:rsidRDefault="00A4507B" w:rsidP="00EE1766">
      <w:pPr>
        <w:pStyle w:val="Normal12Hanging"/>
        <w:spacing w:before="240"/>
      </w:pPr>
      <w:r w:rsidRPr="00EB68E3">
        <w:t>5.</w:t>
      </w:r>
      <w:r w:rsidRPr="00EB68E3">
        <w:tab/>
        <w:t>toteaa, että parlamentin talousarvioon otetuista määrärahoista sidottiin 99 prosenttia eli 1 889 574 057 euroa ja peruuntumisaste oli 1 prosenttia; panee tyytyväisenä merkille, että edellisten vuosien tapaan talousarvion toteutusaste oli erittäin korkea; toteaa, että maksumäärärahat olivat yhteensä 1 599 788 767 euroa ja niiden käyttöaste oli 84,7 prosenttia ja lisäystä edellisvuoteen verrattuna oli 0,3 prosenttia;</w:t>
      </w:r>
    </w:p>
    <w:p w14:paraId="360EBD2F" w14:textId="11BBC675" w:rsidR="00A4507B" w:rsidRPr="00EB68E3" w:rsidRDefault="00A4507B" w:rsidP="00EE1766">
      <w:pPr>
        <w:pStyle w:val="Normal12Hanging"/>
      </w:pPr>
      <w:r w:rsidRPr="00EB68E3">
        <w:t>6.</w:t>
      </w:r>
      <w:r w:rsidRPr="00EB68E3">
        <w:tab/>
        <w:t>korostaa, että vuonna 2017 peruuntui määrärahoja 17 451 943 euroa ja peruuntumiset liittyivät pääasiassa palkkoihin ja muihin etuuksiin sekä kiinteistömenoihin;</w:t>
      </w:r>
    </w:p>
    <w:p w14:paraId="1487B083" w14:textId="5695AA68" w:rsidR="006E46BD" w:rsidRPr="00EB68E3" w:rsidRDefault="004F1B77" w:rsidP="0086406C">
      <w:pPr>
        <w:spacing w:after="240"/>
        <w:ind w:left="567" w:hanging="567"/>
      </w:pPr>
      <w:r w:rsidRPr="00EB68E3">
        <w:t>7.</w:t>
      </w:r>
      <w:r w:rsidRPr="00EB68E3">
        <w:tab/>
        <w:t>toteaa, että varainhoitovuonna 2017 hyväksyttiin seitsemän varainhoitoasetuksen 27 ja 46 artiklan mukaista siirtoa, joiden kokonaismäärä oli 57 402 860 euroa eli 3,01 prosenttia lopullisista määrärahoista; huomauttaa, että suurin osa siirroista liittyi parlamentin kiinteistöpolitiikkaan ja erityisesti Konrad Adenauer -rakennushankkeeseen liittyvien vuosivuokrien maksamiseen;</w:t>
      </w:r>
    </w:p>
    <w:p w14:paraId="188EBF46" w14:textId="7288AFD5" w:rsidR="004F1B77" w:rsidRPr="00EB68E3" w:rsidRDefault="006E46BD" w:rsidP="0086406C">
      <w:pPr>
        <w:spacing w:after="240"/>
        <w:ind w:left="567" w:hanging="567"/>
      </w:pPr>
      <w:r w:rsidRPr="00EB68E3">
        <w:t>8.</w:t>
      </w:r>
      <w:r w:rsidRPr="00EB68E3">
        <w:tab/>
        <w:t>korostaa, että keräilyksi kutsuttu käytäntö merkitsee joustamista erittelyperiaatteesta ja tietoista talousarvion totuudenmukaisuuden periaatteen vastaisuutta; vaatii, että rakennusten ja varsinkin Konrad Adenauer -rakennuksen rahoittamiseen tarkoitetut määrärahat sisällytetään vuotuiseen talousarvioesitykseen, jonka budjettivallan käyttäjät hyväksyvät; pitää keräilysiirtojen määrää yhä erittäin korkeana; katsoo, että talousarvion paremman hallinnoinnin avulla tällaisten siirtojen määrä olisi voitava vähentää mahdollisimman alhaiseksi; korostaa, että parlamentin kiinteistöpolitiikka olisi osana talousarviostrategiaa laadittava riittävän selkeäksi; torjuu jyrkästi usein viime hetkellä tehdyt siirrot, joilla pyritään rahoittamaan parlamentin kiinteistöpolitiikkaa; pyytää pääsihteeriä ja puhemiehistöä toimittamaan budjettivaliokunnalle kaikki kiinteistöpolitiikkaan liittyvät asiakirjat, suunnitelmat ja sopimukset;</w:t>
      </w:r>
    </w:p>
    <w:p w14:paraId="37A2C69E" w14:textId="3DF9BA6F" w:rsidR="00A4507B" w:rsidRPr="00EB68E3" w:rsidRDefault="006E46BD" w:rsidP="00EE1766">
      <w:pPr>
        <w:pStyle w:val="Normal12Hanging"/>
      </w:pPr>
      <w:r w:rsidRPr="00EB68E3">
        <w:t>9.</w:t>
      </w:r>
      <w:r w:rsidRPr="00EB68E3">
        <w:tab/>
        <w:t>korostaa, että siirtoja varainhoitovuodelta toiselle tarvitaan laajamittaisissa rakennus- tai infrastruktuurihankkeissa huolimatta talousarvion vuotuisesta luonteesta;</w:t>
      </w:r>
    </w:p>
    <w:p w14:paraId="7AAA680C" w14:textId="307219C7" w:rsidR="00A4507B" w:rsidRPr="00EB68E3" w:rsidRDefault="00A4507B" w:rsidP="00EE1766">
      <w:pPr>
        <w:autoSpaceDE w:val="0"/>
        <w:autoSpaceDN w:val="0"/>
        <w:adjustRightInd w:val="0"/>
        <w:spacing w:after="240"/>
        <w:rPr>
          <w:b/>
          <w:i/>
          <w:szCs w:val="24"/>
        </w:rPr>
      </w:pPr>
      <w:r w:rsidRPr="00EB68E3">
        <w:rPr>
          <w:b/>
          <w:i/>
          <w:szCs w:val="24"/>
        </w:rPr>
        <w:t>Tilintarkastustuomioistuimen lausunnot vuoden 2017 tilien luotettavuudesta sekä tilien perustana olevien toimien laillisuudesta ja sääntöjenmukaisuudesta</w:t>
      </w:r>
    </w:p>
    <w:p w14:paraId="76668D97" w14:textId="5EC72B2E" w:rsidR="00A4507B" w:rsidRPr="00EB68E3" w:rsidRDefault="006E46BD" w:rsidP="00EE1766">
      <w:pPr>
        <w:pStyle w:val="Normal12Hanging"/>
      </w:pPr>
      <w:r w:rsidRPr="00EB68E3">
        <w:t>10.</w:t>
      </w:r>
      <w:r w:rsidRPr="00EB68E3">
        <w:tab/>
        <w:t>palauttaa mieliin, että tilintarkastustuomioistuin arvioi erikseen yhtenä toimintalohkoryhmänä kaikkien unionin toimielinten hallintomenot ja muut menot; toteaa, että hallintomenoja ja niiden liitännäismenoja ovat henkilöstömenot (palkat, korvaukset ja eläkkeet), joiden osuus hallintomenojen kokonaismäärästä on 60 prosenttia, sekä kiinteistöihin, laitteisiin, energiaan, viestintään ja tietotekniikkaan liittyvät menot;</w:t>
      </w:r>
    </w:p>
    <w:p w14:paraId="5752D629" w14:textId="4727FFEF" w:rsidR="00A4507B" w:rsidRPr="00EB68E3" w:rsidRDefault="00AB2E7A" w:rsidP="00EE1766">
      <w:pPr>
        <w:pStyle w:val="Normal12Hanging"/>
      </w:pPr>
      <w:r w:rsidRPr="00EB68E3">
        <w:t>11.</w:t>
      </w:r>
      <w:r w:rsidRPr="00EB68E3">
        <w:tab/>
        <w:t>toteaa, että tarkastusevidenssi osoittaa kokonaisuutena tarkasteltuna, että hallintomenojen virhetaso ei ollut olennainen; panee myös merkille, että kvantitatiivisesti ilmaistavissa olevia virheitä oli yhdeksän eli monivuotisen rahoituskehyksen hallintomenoja koskevan otsakkeen 5 arvioitu virhetaso oli 0,5 prosenttia (osuus on kasvanut, sillä se oli 0,2 prosenttia vuonna 2016);</w:t>
      </w:r>
    </w:p>
    <w:p w14:paraId="5F349B84" w14:textId="4B4BA0CF" w:rsidR="004F1B77" w:rsidRPr="00EB68E3" w:rsidRDefault="00AB2E7A" w:rsidP="0086406C">
      <w:pPr>
        <w:spacing w:after="240"/>
        <w:ind w:left="567" w:hanging="567"/>
      </w:pPr>
      <w:r w:rsidRPr="00EB68E3">
        <w:t>12.</w:t>
      </w:r>
      <w:r w:rsidRPr="00EB68E3">
        <w:tab/>
        <w:t>panee merkille tilintarkastustuomioistuimen varainhoitovuotta 2017 koskevassa vuosikertomuksessa esitetyt parlamenttia koskevat erityiset havainnot; panee erittäin huolestuneena merkille, että tilintarkastustuomioistuin havaitsi tarkastelemiensa kahdeksan parlamentin tapahtuman yhteydessä, että jopa kolmesta löytyi hankintamenettelyyn liittyviä heikkouksia, jotka koskivat sopimuksen valintaperusteiden noudattamista, puitesopimuksen täysimääräistä noudattamista ja matkatoimiston valintaperusteita, ja yhdestä tapahtumasta poliittisten ryhmien kulujen korvaamiseen liittyviä heikkouksia;</w:t>
      </w:r>
    </w:p>
    <w:p w14:paraId="26C53336" w14:textId="28C9A506" w:rsidR="00A4507B" w:rsidRPr="00EB68E3" w:rsidRDefault="00AB2E7A" w:rsidP="00EE1766">
      <w:pPr>
        <w:pStyle w:val="Normal12Hanging"/>
      </w:pPr>
      <w:r w:rsidRPr="00EB68E3">
        <w:t>13.</w:t>
      </w:r>
      <w:r w:rsidRPr="00EB68E3">
        <w:tab/>
        <w:t>panee merkille parlamentin vastaukset tilintarkastustuomioistuimen kanssa pidetyssä kuulemismenettelyssä; pyytää tilintarkastustuomioistuinta tiedottamaan asiasta vastaavalle valiokunnalle sen suositusten täytäntöönpanosta;</w:t>
      </w:r>
    </w:p>
    <w:p w14:paraId="764A553D" w14:textId="77777777" w:rsidR="00A4507B" w:rsidRPr="00EB68E3" w:rsidRDefault="00A4507B" w:rsidP="00EE1766">
      <w:pPr>
        <w:pStyle w:val="Normal12Hanging"/>
        <w:ind w:left="0" w:firstLine="0"/>
        <w:rPr>
          <w:b/>
          <w:i/>
        </w:rPr>
      </w:pPr>
      <w:r w:rsidRPr="00EB68E3">
        <w:rPr>
          <w:b/>
          <w:i/>
        </w:rPr>
        <w:t>Sisäisen tarkastajan vuosikertomus</w:t>
      </w:r>
    </w:p>
    <w:p w14:paraId="1CB4EEF6" w14:textId="5ACCA002" w:rsidR="00A4507B" w:rsidRPr="00EB68E3" w:rsidRDefault="00AB2E7A" w:rsidP="00EE1766">
      <w:pPr>
        <w:pStyle w:val="Normal12Hanging"/>
      </w:pPr>
      <w:r w:rsidRPr="00EB68E3">
        <w:t>14.</w:t>
      </w:r>
      <w:r w:rsidRPr="00EB68E3">
        <w:tab/>
        <w:t>toteaa, että sisäinen tarkastaja esitteli vuosikertomuksensa 26. marraskuuta 2018 pidetyssä asiasta vastaavan valiokunnan avoimessa kokouksessa ja kertoi valmistelleensa vuonna 2017 kertomukset seuraavista aiheista:</w:t>
      </w:r>
    </w:p>
    <w:p w14:paraId="64401920" w14:textId="77777777" w:rsidR="00A4507B" w:rsidRPr="00EB68E3" w:rsidRDefault="00A4507B" w:rsidP="00EE1766">
      <w:pPr>
        <w:pStyle w:val="Normal12Hanging"/>
        <w:ind w:left="1247"/>
      </w:pPr>
      <w:r w:rsidRPr="00EB68E3">
        <w:t>–</w:t>
      </w:r>
      <w:r w:rsidRPr="00EB68E3">
        <w:tab/>
        <w:t>sisäisen tarkastajan kertomuksiin sisältyvien keskeneräisten toimien monialainen seuranta – vaiheet 1 ja 2, 2017</w:t>
      </w:r>
    </w:p>
    <w:p w14:paraId="0A10BE97" w14:textId="359092E0" w:rsidR="00A4507B" w:rsidRPr="00EB68E3" w:rsidRDefault="00A4507B" w:rsidP="00EE1766">
      <w:pPr>
        <w:pStyle w:val="Normal12Hanging"/>
        <w:ind w:left="1247"/>
      </w:pPr>
      <w:r w:rsidRPr="00EB68E3">
        <w:t>–</w:t>
      </w:r>
      <w:r w:rsidRPr="00EB68E3">
        <w:tab/>
        <w:t>viestinnän pääosaston tarkistettu budjettinimikkeistö</w:t>
      </w:r>
    </w:p>
    <w:p w14:paraId="3F6C51CA" w14:textId="77777777" w:rsidR="00A4507B" w:rsidRPr="00EB68E3" w:rsidRDefault="00A4507B" w:rsidP="00EE1766">
      <w:pPr>
        <w:pStyle w:val="Normal12Hanging"/>
        <w:ind w:left="1247"/>
      </w:pPr>
      <w:r w:rsidRPr="00EB68E3">
        <w:t>–</w:t>
      </w:r>
      <w:r w:rsidRPr="00EB68E3">
        <w:tab/>
        <w:t>viestinnän pääosaston toimittajille esittämät kutsut</w:t>
      </w:r>
    </w:p>
    <w:p w14:paraId="398A8F4B" w14:textId="77777777" w:rsidR="00A4507B" w:rsidRPr="00EB68E3" w:rsidRDefault="00A4507B" w:rsidP="00EE1766">
      <w:pPr>
        <w:pStyle w:val="Normal12Hanging"/>
        <w:ind w:left="1247"/>
      </w:pPr>
      <w:r w:rsidRPr="00EB68E3">
        <w:t>–</w:t>
      </w:r>
      <w:r w:rsidRPr="00EB68E3">
        <w:tab/>
        <w:t>käännösten alihankintaa koskevat hankinnat ja sopimusten täytäntöönpano</w:t>
      </w:r>
    </w:p>
    <w:p w14:paraId="13A81314" w14:textId="201AC059" w:rsidR="00A4507B" w:rsidRPr="00EB68E3" w:rsidRDefault="00A4507B" w:rsidP="00EE1766">
      <w:pPr>
        <w:pStyle w:val="Normal12Hanging"/>
        <w:ind w:left="1247"/>
      </w:pPr>
      <w:r w:rsidRPr="00EB68E3">
        <w:t>–</w:t>
      </w:r>
      <w:r w:rsidRPr="00EB68E3">
        <w:tab/>
        <w:t>lainakirjaston hankintapolitiikka (parlamentin tutkimuspalvelujen pääosasto, EPRS)</w:t>
      </w:r>
    </w:p>
    <w:p w14:paraId="31F0B025" w14:textId="030A5652" w:rsidR="00A4507B" w:rsidRPr="00EB68E3" w:rsidRDefault="00A4507B" w:rsidP="00EE1766">
      <w:pPr>
        <w:pStyle w:val="Normal12Hanging"/>
        <w:ind w:left="1247"/>
      </w:pPr>
      <w:r w:rsidRPr="00EB68E3">
        <w:t>–</w:t>
      </w:r>
      <w:r w:rsidRPr="00EB68E3">
        <w:tab/>
        <w:t>virkamiehiin sovellettavien henkilöstösääntöjen ja muihin toimihenkilöihin sovellettavien palvelussuhteen ehtojen mukaiset henkilökohtaiset etuudet</w:t>
      </w:r>
    </w:p>
    <w:p w14:paraId="79A25906" w14:textId="77777777" w:rsidR="00A4507B" w:rsidRPr="00EB68E3" w:rsidRDefault="00A4507B" w:rsidP="00EE1766">
      <w:pPr>
        <w:pStyle w:val="Normal12Hanging"/>
        <w:ind w:left="1247"/>
      </w:pPr>
      <w:r w:rsidRPr="00EB68E3">
        <w:t>–</w:t>
      </w:r>
      <w:r w:rsidRPr="00EB68E3">
        <w:tab/>
        <w:t>hajautetut tietotekniikkatoiminnot;</w:t>
      </w:r>
    </w:p>
    <w:p w14:paraId="061B34CA" w14:textId="57309DC2" w:rsidR="00BE32E9" w:rsidRPr="00EB68E3" w:rsidRDefault="00AB2E7A" w:rsidP="00BE32E9">
      <w:pPr>
        <w:pStyle w:val="Normal12Hanging"/>
      </w:pPr>
      <w:r w:rsidRPr="00EB68E3">
        <w:t>15.</w:t>
      </w:r>
      <w:r w:rsidRPr="00EB68E3">
        <w:tab/>
        <w:t>muistuttaa, että vuotuinen toimintakertomus on osa parlamentin hallintorakennetta; pitää myönteisinä ja kannattaa seuraavia toimia, joista sisäinen tarkastaja on sopinut asiasta vastaavien pääosastojen kanssa:</w:t>
      </w:r>
    </w:p>
    <w:p w14:paraId="41B858F0" w14:textId="27EB343F" w:rsidR="00A4507B" w:rsidRPr="00EB68E3" w:rsidRDefault="00A4507B" w:rsidP="00EE1766">
      <w:pPr>
        <w:pStyle w:val="Normal12Hanging"/>
        <w:ind w:left="1247"/>
      </w:pPr>
      <w:r w:rsidRPr="00EB68E3">
        <w:t>–</w:t>
      </w:r>
      <w:r w:rsidRPr="00EB68E3">
        <w:tab/>
        <w:t>viestinnän pääosaston toimittajille esittämien kutsujen tarkastuksen osalta hallinto- ja valvontakehyksen tehostaminen varmistamalla, että toimittajille maksettavat korvaukset vastaavat todellisia kustannuksia (esimerkiksi matkojen lähtö- ja päätepisteiden todentaminen), toimittajien kutsumista koskeviin sääntöihin liittyvien systeemisten poikkeamien korjaaminen, sen edellyttäminen, että toimittajien korvaukset maksetaan pankkisiirtoina, myös matkoista Strasbourgiin, ja toimenpiteet, joilla ohjataan valintaprosessia ja arvioidaan kutsumisprosessin taloudellisuutta, tehokkuutta ja vaikuttavuutta</w:t>
      </w:r>
    </w:p>
    <w:p w14:paraId="5838D025" w14:textId="1972F5D3" w:rsidR="00A4507B" w:rsidRPr="00EB68E3" w:rsidRDefault="00A4507B" w:rsidP="00EE1766">
      <w:pPr>
        <w:pStyle w:val="Normal12Hanging"/>
        <w:ind w:left="1247"/>
      </w:pPr>
      <w:r w:rsidRPr="00EB68E3">
        <w:t>–</w:t>
      </w:r>
      <w:r w:rsidRPr="00EB68E3">
        <w:tab/>
        <w:t>henkilöstösääntöjen mukaisten henkilökohtaisten etujen tarkastusten osalta valvontaympäristön ja tarkastusmenetelmien parantaminen, ulkomaankorvaus- ja päivärahaoikeuksiin liittyvät erityiset hallinto- ja valvontamenettelyt (esimerkiksi sääntöjen johdonmukainen soveltaminen) ja vuotuisiin kiinteämääräisiin matkakorvauksiin liittyvät erityiset menettelyt</w:t>
      </w:r>
    </w:p>
    <w:p w14:paraId="1695F6EF" w14:textId="1A8F855E" w:rsidR="00A4507B" w:rsidRPr="00EB68E3" w:rsidRDefault="00A4507B" w:rsidP="00EE1766">
      <w:pPr>
        <w:pStyle w:val="Normal12Hanging"/>
        <w:ind w:left="1247"/>
      </w:pPr>
      <w:r w:rsidRPr="00EB68E3">
        <w:t>–</w:t>
      </w:r>
      <w:r w:rsidRPr="00EB68E3">
        <w:tab/>
        <w:t>käännösten alihankintaan liittyvien hankintojen ja sopimusten täytäntöönpanon tarkastuksen osalta, ottaen myös huomioon hankintaprosessin organisointi siten, että lisätietoja pyydetään oikea-aikaisemmin ja arviointia parannetaan, tulevien hankintamenettelyjen laadullisten myöntämisperusteiden lujittaminen, alihankintayritysten kannustaminen parantamaan käännösten laatua myös lisäämällä jälkitarkastuksia ja alihankintana tehtyjen käännösten todellisten kokonaiskustannusten laskemisessa käytettyjen lukujen luotettavuuden parantaminen, etenkin sen tähden, että alihankinta kattaa käännöstoiminnasta noin kolmanneksen ja tämä osuus todennäköisesti kasvaa</w:t>
      </w:r>
    </w:p>
    <w:p w14:paraId="122ED9FC" w14:textId="1ADD60EF" w:rsidR="00A4507B" w:rsidRPr="00EB68E3" w:rsidRDefault="00A4507B" w:rsidP="00EE1766">
      <w:pPr>
        <w:pStyle w:val="Normal12Hanging"/>
        <w:ind w:left="1247"/>
      </w:pPr>
      <w:r w:rsidRPr="00EB68E3">
        <w:t>–</w:t>
      </w:r>
      <w:r w:rsidRPr="00EB68E3">
        <w:tab/>
        <w:t>hajautettujen tietotekniikkatoimintojen tarkastuksen osalta ja jotta näistä toiminnoista saataisiin täysi hyöty, tietoteknisten ohjelmien perusteella koordinoituihin tieto- ja viestintätekniikkaa koskeviin aloitteisiin osoitettujen määrärahojen seurannan tehostaminen, ei pelkästään raportoimalla hankkeen tietyistä vaiheista vaan myös laatimalla kaikki vaiheet kattava yleiskatsaus, varmuuden lisääminen siitä, että tieto- ja viestintätekniset aloitteet toteutetaan ajallaan ja että ne ovat sovitun laajuisia ja riittävän laadukkaita talousarviota ylittämättä, uusien ohjelmistoversioiden valvonnan ja validoinnin ja niiden ongelmanratkaisuprosessien parantaminen hajautetuissa yksiköissä ja siirtyminen ulkopuolisten asiantuntijoiden käytössä vaiheittain aika- ja materiaaliperusteisista sopimuksista tuotoksiin perustuviin sopimuksiin;</w:t>
      </w:r>
    </w:p>
    <w:p w14:paraId="2A6D6400" w14:textId="7F2102A6" w:rsidR="00A4507B" w:rsidRPr="00EB68E3" w:rsidRDefault="00AB2E7A" w:rsidP="00EE1766">
      <w:pPr>
        <w:pStyle w:val="Normal12Hanging"/>
      </w:pPr>
      <w:r w:rsidRPr="00EB68E3">
        <w:t>16.</w:t>
      </w:r>
      <w:r w:rsidRPr="00EB68E3">
        <w:tab/>
        <w:t>panee merkille, että vuoden 2017 seurantaprosessissa saatettiin päätökseen 34 tointa 71 keskeneräisestä toimesta ja että myöhässä olevien toimien riskiprofiili aleni asteittain edelleen vuonna 2017; huomauttaa erityisesti, että merkittäviin riskeihin liittyvien keskeneräisten toimien määrä laski 26:sta 11:een ja että korkeimman riskiluokan kriittisiä toimia ei ollut kesken; korostaa, että varainhoitovuonna 2017 lisättyjen uusien keskeneräisten toimien ei pitäisi rajoittaa keskeneräisten toimien päättämiseen liittyviä parannuksia;</w:t>
      </w:r>
    </w:p>
    <w:p w14:paraId="41A22A78" w14:textId="77777777" w:rsidR="00A4507B" w:rsidRPr="00EB68E3" w:rsidRDefault="00A4507B" w:rsidP="00EE1766">
      <w:pPr>
        <w:pStyle w:val="Normal12Hanging"/>
        <w:ind w:left="0" w:firstLine="0"/>
        <w:rPr>
          <w:b/>
          <w:i/>
        </w:rPr>
      </w:pPr>
      <w:r w:rsidRPr="00EB68E3">
        <w:rPr>
          <w:b/>
          <w:i/>
        </w:rPr>
        <w:t>Vuoden 2016 vastuuvapauspäätöslauselman seuranta</w:t>
      </w:r>
    </w:p>
    <w:p w14:paraId="2193301A" w14:textId="70DF68A5" w:rsidR="001C07FB" w:rsidRPr="00EB68E3" w:rsidRDefault="00AB2E7A" w:rsidP="0086406C">
      <w:pPr>
        <w:spacing w:after="240"/>
        <w:ind w:left="567" w:hanging="567"/>
      </w:pPr>
      <w:r w:rsidRPr="00EB68E3">
        <w:t>17.</w:t>
      </w:r>
      <w:r w:rsidRPr="00EB68E3">
        <w:tab/>
        <w:t>panee merkille CONT-valiokunnalle vuotta 2016 koskevaan vastuuvapauspäätöslauselmaan 17. syyskuuta 2018 annetut kirjalliset vastaukset ja pääsihteerin vastaukset useisiin vuotta 2016 koskevaan parlamentin vastuuvapauspäätöslauselmaan sisältyneisiin kysymyksiin ja pyyntöihin sekä niiden johdosta käydyn keskustelun parlamentin jäsenten kanssa;</w:t>
      </w:r>
    </w:p>
    <w:p w14:paraId="26A90B52" w14:textId="45BE885D" w:rsidR="001C07FB" w:rsidRPr="00EB68E3" w:rsidRDefault="00AB2E7A" w:rsidP="0086406C">
      <w:pPr>
        <w:spacing w:after="240"/>
        <w:ind w:left="567" w:hanging="567"/>
      </w:pPr>
      <w:r w:rsidRPr="00EB68E3">
        <w:t>18.</w:t>
      </w:r>
      <w:r w:rsidRPr="00EB68E3">
        <w:tab/>
        <w:t>pitää valitettavana, että osa vuoden 2016 vastuuvapautta koskevassa parlamentin päätöslauselmassa annetuista suosituksista ei ole johtanut toimiin ja ettei vastuuvapautta koskevassa seuranta-asiakirjassa esitetä tälle minkäänlaisia perusteluja; pitää tärkeänä, että CONT-valiokunnassa järjestetään entistä useammin keskusteluita pääsihteerin kanssa parlamentin talousarviota ja sen toteutusta koskevista asioista;</w:t>
      </w:r>
    </w:p>
    <w:p w14:paraId="1E0AA89B" w14:textId="77777777" w:rsidR="00A4507B" w:rsidRPr="00EB68E3" w:rsidRDefault="00A4507B" w:rsidP="00EE1766">
      <w:pPr>
        <w:pStyle w:val="Normal12Hanging"/>
        <w:ind w:left="0" w:firstLine="0"/>
        <w:rPr>
          <w:b/>
          <w:i/>
        </w:rPr>
      </w:pPr>
      <w:r w:rsidRPr="00EB68E3">
        <w:rPr>
          <w:b/>
          <w:i/>
        </w:rPr>
        <w:t>Parlamentin vastuuvapaus 2017</w:t>
      </w:r>
    </w:p>
    <w:p w14:paraId="19F2FFAD" w14:textId="7580E10A" w:rsidR="00A4507B" w:rsidRPr="00EB68E3" w:rsidRDefault="00AB2E7A" w:rsidP="00EE1766">
      <w:pPr>
        <w:pStyle w:val="Normal12Hanging"/>
      </w:pPr>
      <w:r w:rsidRPr="00EB68E3">
        <w:t>19.</w:t>
      </w:r>
      <w:r w:rsidRPr="00EB68E3">
        <w:tab/>
        <w:t>panee merkille talousarviosta vastaavan varapuhemiehen, pääsihteerin ja CONT-valiokunnan keskustelun, jossa käsiteltiin parlamentille vuoden 2017 osalta annettavaa vastuuvapautta ja joka järjestettiin 26. marraskuuta 2018 sisäisen tarkastajan läsnä ollessa;</w:t>
      </w:r>
    </w:p>
    <w:p w14:paraId="1A47609F" w14:textId="6C4645E6" w:rsidR="00A4507B" w:rsidRPr="00EB68E3" w:rsidRDefault="00AB2E7A" w:rsidP="00EE1766">
      <w:pPr>
        <w:pStyle w:val="Normal12Hanging"/>
      </w:pPr>
      <w:r w:rsidRPr="00EB68E3">
        <w:t>20.</w:t>
      </w:r>
      <w:r w:rsidRPr="00EB68E3">
        <w:tab/>
        <w:t>toteaa, että Yhdistyneen kuningaskunnan päätös erota Euroopan unionista vaikutti merkittävästi parlamentin eri yksiköihin, erityisesti valiokuntiin, tutkimusyksiköihin ja horisontaalisiin yksiköihin; panee merkille, että parlamentin yksiköt keräsivät tietoja ja valmistelivat siltä pohjalta analyyttistä aineistoa pohtiakseen eron vaikutusta politiikan aloihin ja lainsäädäntöön kyseisillä aloilla; toteaa, että tähän aineistoon on mahdollista tutustua parlamentin verkkosivustolla;</w:t>
      </w:r>
    </w:p>
    <w:p w14:paraId="3F528642" w14:textId="5EF47FC4" w:rsidR="00A4507B" w:rsidRPr="00EB68E3" w:rsidRDefault="00AB2E7A" w:rsidP="00EE1766">
      <w:pPr>
        <w:pStyle w:val="Normal12Hanging"/>
      </w:pPr>
      <w:r w:rsidRPr="00EB68E3">
        <w:t>21.</w:t>
      </w:r>
      <w:r w:rsidRPr="00EB68E3">
        <w:tab/>
        <w:t>toteaa, että Yhdistyneen kuningaskunnan päätös erota Euroopan unionista koskee pääsihteeristössä kuutta väliaikaista toimihenkilöä, poliittisissa ryhmissä ja sitoutumattomien jäsenten sihteeristössä 41:tä väliaikaista toimihenkilöä sekä 30:tä sopimussuhteista toimihenkilöä; on ymmärtänyt, että heidän tilannettaan arvioidaan tapauskohtaisesti; panee tyytyväisenä merkille pääsihteerin vakuutuksen siitä, ettei sopimuksen jatkamista evätä pelkästään kansalaisuuden perusteella; kehottaa pääsihteeriä punnitsemaan huolellisesti eturistiriitojen mahdollista roolia mahdollisen siirtymäkauden herkkänä ajankohtana ja Yhdistyneen kuningaskunnan mahdollisen hallitsemattoman Euroopan unionista eroamisen aikana;</w:t>
      </w:r>
    </w:p>
    <w:p w14:paraId="5BF56B4A" w14:textId="7D6D916E" w:rsidR="00A4507B" w:rsidRPr="00EB68E3" w:rsidRDefault="00AB2E7A" w:rsidP="00EE1766">
      <w:pPr>
        <w:pStyle w:val="Normal12Hanging"/>
      </w:pPr>
      <w:r w:rsidRPr="00EB68E3">
        <w:t>22.</w:t>
      </w:r>
      <w:r w:rsidRPr="00EB68E3">
        <w:tab/>
        <w:t>panee tyytyväisenä merkille parlamentin oikeudellisen yksikön antaman tuen laadittaessa ohjeistusta taloushallinnon toimijoille, jotka käsittelevät Yhdistyneen kuningaskunnan päätökseen erota Euroopan unionista liittyviä sopimuskysymyksiä, sekä laadittaessa Yhdistyneen kuningaskunnan eropäätökseen liittyviin tarjous- ja sopimusasiakirjoih</w:t>
      </w:r>
      <w:r w:rsidR="00521511">
        <w:t>in sisällytettäviä lausekkeita;</w:t>
      </w:r>
    </w:p>
    <w:p w14:paraId="7C1B214E" w14:textId="507C26AE" w:rsidR="00BE32E9" w:rsidRPr="00EB68E3" w:rsidRDefault="00AB2E7A" w:rsidP="00BE32E9">
      <w:pPr>
        <w:pStyle w:val="Normal12Hanging"/>
      </w:pPr>
      <w:r w:rsidRPr="00EB68E3">
        <w:t>23.</w:t>
      </w:r>
      <w:r w:rsidRPr="00EB68E3">
        <w:tab/>
        <w:t>kehottaa kiinnittämään huomiota viiden prosentin vuotuiseen henkilöstövähennystavoitteeseen, jonka perusteella parlamentin oli poistettava vuonna 2017 hallintoa koskevasta henkilöstötaulukostaan 60 virkaa/tointa; palauttaa mieliin, että parlamentin ja neuvoston välillä vuoden 2016 talousarviosta tehdyssä poliittisessa sopimuksessa, jossa vahvistettiin parlamentin henkilöstön vähentämiseen sovellettava uusi parametri ja päätettiin jatkaa sen soveltamista vuoteen 2019 asti, säilytettiin linjaus, ettei henkilöstövähennyksiä sovelleta edelleenkään poliittisiin ryhmiin; pitää kuitenkin valitettavana, että budjettivallan käyttäjät vähensivät vuonna 2017 parlamentin hallinnosta vielä 76 virkaa/tointa kompensoidakseen poliittisten ryhmien henkilöstölisäystä; on huolissaan siitä, että tällä merkittävällä vähennyksellä voi olla kielteisiä vaikutuksia parlamentin toiminnan tuloksellisuuteen ja että se voisi lisätä kohtuuttomasti virassa olevien virkamiesten työmäärää ja siirtää vastuuta jäsenten toimistoille;</w:t>
      </w:r>
    </w:p>
    <w:p w14:paraId="7F14819C" w14:textId="45E4C038" w:rsidR="006E46BD" w:rsidRPr="00EB68E3" w:rsidRDefault="00AB2E7A" w:rsidP="0086406C">
      <w:pPr>
        <w:spacing w:after="240"/>
        <w:ind w:left="567" w:hanging="567"/>
      </w:pPr>
      <w:r w:rsidRPr="00EB68E3">
        <w:t>24.</w:t>
      </w:r>
      <w:r w:rsidRPr="00EB68E3">
        <w:tab/>
        <w:t>kehottaa pääsihteeriä ja kaikkia asiasta vastaavia pääosastoja laatimaan yhdessä vuodesta 2014 alkaen toteutetuista henkilöstövähennyksistä kattavan katsauksen, johon sisältyvät myös henkilöstön siirrot hallinnosta poliittisten ryhmien palvelukseen ja toimielinten väliset siirrot; korostaa, että tällainen henkilöstökiertokäytäntö herättää kysymyksen siitä, ovatko toimenkuvaukset asianmukaisia; on erittäin huolissaan siitä, että liian suuret henkilöstövähennykset lisäävät parlamentin jäsenten ja valtuutettujen avustajien hallinnollista rasitetta, mikä haittaa jäsenten ja valtuutettujen avustajien varsinaista lainsäädäntötyötä;</w:t>
      </w:r>
    </w:p>
    <w:p w14:paraId="04E54EB5" w14:textId="20D30B84" w:rsidR="001C07FB" w:rsidRPr="00EB68E3" w:rsidRDefault="00AB2E7A" w:rsidP="0086406C">
      <w:pPr>
        <w:spacing w:after="240"/>
        <w:ind w:left="567" w:hanging="567"/>
        <w:rPr>
          <w:b/>
          <w:i/>
        </w:rPr>
      </w:pPr>
      <w:r w:rsidRPr="00EB68E3">
        <w:t>25.</w:t>
      </w:r>
      <w:r w:rsidRPr="00EB68E3">
        <w:tab/>
        <w:t>korostaa, että paperiton toimisto ja digitaalisen teknologian, kuten digitaalisen allekirjoituksen, kaksivaiheisen tarkistuksen ja sähköisten tiedostojen asianmukainen hyödyntäminen, myös täysistuntoon liittyvissä asiakirjoissa, vähentäisi kaikkien osapuolten hallinnollista taakkaa ja edistäisi paperin vähentämistä koskevien tavoitteiden saavuttamista; kiinnittää huomiota niin sanottujen paperittomien valiokuntien todellisuuteen, mikä käytännössä tarkoittaa yksinkertaisesti sitä, että kaikkien asiakirjojen tulostaminen on siirretty valiokuntien sihteeristöistä parlamentin jäsenten toimistoihin;</w:t>
      </w:r>
    </w:p>
    <w:p w14:paraId="483149BB" w14:textId="384DB986" w:rsidR="00BE32E9" w:rsidRPr="00EB68E3" w:rsidRDefault="00AB2E7A" w:rsidP="00BE32E9">
      <w:pPr>
        <w:pStyle w:val="Normal12Hanging"/>
      </w:pPr>
      <w:r w:rsidRPr="00EB68E3">
        <w:t>26.</w:t>
      </w:r>
      <w:r w:rsidRPr="00EB68E3">
        <w:tab/>
        <w:t>toteaa, että joidenkin virkamatkojen korvauksien maksamisessa on erittäin pitkiä viipeitä; ehdottaa, että tutkitaan ratkaisuja, joilla voitaisiin varmistaa, että virkamatkakulut korvataan kohtuullisen ajan kuluessa;</w:t>
      </w:r>
    </w:p>
    <w:p w14:paraId="0886B607" w14:textId="76FAF781" w:rsidR="006E46BD" w:rsidRPr="00EB68E3" w:rsidRDefault="00AB2E7A" w:rsidP="006E46BD">
      <w:pPr>
        <w:pStyle w:val="Normal12Hanging"/>
      </w:pPr>
      <w:r w:rsidRPr="00EB68E3">
        <w:t>27.</w:t>
      </w:r>
      <w:r w:rsidRPr="00EB68E3">
        <w:tab/>
        <w:t>kehottaa jälleen puheenjohtajakokousta ja puhemiehistöä harkitsemaan uudelleen valtuutettujen avustajien mahdollisuutta osallistua jäsenten mukana tietyin, myöhemmin vahvistettavin edellytyksin parlamentin virallisille valtuuskuntamatkoille ja virkamatkoille, kuten monet jäsenet ovat jo pyytäneet; kehottaa pääsihteeriä tutkimaan näiden virkamatkojen talousarviovaikutuksia sekä niihin liittyvää organisaatiota ja logistiikkaa;</w:t>
      </w:r>
    </w:p>
    <w:p w14:paraId="7E9E9170" w14:textId="689E53AC" w:rsidR="006E46BD" w:rsidRPr="00EB68E3" w:rsidRDefault="00AB2E7A" w:rsidP="00521511">
      <w:pPr>
        <w:pStyle w:val="Normal12Hanging"/>
        <w:keepNext/>
        <w:keepLines/>
      </w:pPr>
      <w:r w:rsidRPr="00EB68E3">
        <w:t>28.</w:t>
      </w:r>
      <w:r w:rsidRPr="00EB68E3">
        <w:tab/>
        <w:t>muistuttaa olevansa huolissaan väitetystä käytännöstä, jossa jäsenet velvoittavat valtuutetut avustajat lähtemään virkamatkalle varsinkin Strasbourgiin ilman matkamääräystä tai ilman, että heidän virkamatkakulujaan tai edes matkakulujaan korvataan; katsoo tällaisen käytännön tarjoavan mahdollisuuden väärinkäytöksiin; toteaa, että kun valtuutetut avustajat matkustavat ilman matkamääräystä, heidän on maksettava kustannukset omasta pussistaan eivätkä he kuulu työnantajan vakuutuksen piiriin; kehottaa pääsihteeriä tutkimaan tätä väitettyä käytäntöä ja esittämään asiasta kertomuksen vuoden loppuun mennessä;</w:t>
      </w:r>
    </w:p>
    <w:p w14:paraId="5A4E4F63" w14:textId="0D4125C2" w:rsidR="00BE32E9" w:rsidRPr="00EB68E3" w:rsidRDefault="00AB2E7A" w:rsidP="00BE32E9">
      <w:pPr>
        <w:pStyle w:val="Normal12Hanging"/>
        <w:rPr>
          <w:b/>
          <w:i/>
        </w:rPr>
      </w:pPr>
      <w:r w:rsidRPr="00EB68E3">
        <w:t>29.</w:t>
      </w:r>
      <w:r w:rsidRPr="00EB68E3">
        <w:tab/>
        <w:t>panee merkille, että taloudellisen tuen maksamista kutsutuille vierailijaryhmille koskevat tarkistetut säännöt tulivat voimaan 1. tammikuuta 2017; kehottaa pääsihteeriä julkaisemaan arvion näistä säännöistä viipymättä; pyytää jälleen, että poistetaan mahdollisuus nimittää valtuutettuja avustajia ryhmän johtoon;</w:t>
      </w:r>
    </w:p>
    <w:p w14:paraId="1D59B7B0" w14:textId="17524D22" w:rsidR="00BE32E9" w:rsidRPr="00EB68E3" w:rsidRDefault="00AB2E7A" w:rsidP="00BE32E9">
      <w:pPr>
        <w:pStyle w:val="Normal12Hanging"/>
      </w:pPr>
      <w:r w:rsidRPr="00EB68E3">
        <w:t>30.</w:t>
      </w:r>
      <w:r w:rsidRPr="00EB68E3">
        <w:tab/>
        <w:t>pyytää tarkastelemaan uudelleen parlamentin jäsenten kutsumien vierailijaryhmien matkakulukorvausten laskentajärjestelmää, jotta voidaan taata unionin kaikkien kansalaisten yhdenvertainen kohtelu ja toisaalta edistää ympäristöystävällisempien liikennevälineiden käyttöä, koska nykyisessä kilometrimäärän laskemiseen perustuvassa järjestelmässä ei oteta huomioon joidenkin unionin alueiden syrjäistä sijaintia tai luonnonesteitä eikä se kata kustannuksia matkoista näiltä alueilta paikkoihin, joissa on saatavilla nopeampia ja ympäristöystävällisempiä liikennevälineitä;</w:t>
      </w:r>
    </w:p>
    <w:p w14:paraId="7843C55E" w14:textId="7AC3ECA8" w:rsidR="006E46BD" w:rsidRPr="00EB68E3" w:rsidRDefault="00AB2E7A" w:rsidP="00BE32E9">
      <w:pPr>
        <w:pStyle w:val="Normal12Hanging"/>
      </w:pPr>
      <w:r w:rsidRPr="00EB68E3">
        <w:t>31.</w:t>
      </w:r>
      <w:r w:rsidRPr="00EB68E3">
        <w:tab/>
        <w:t>huomauttaa, että jäsenen palveluksessa olevat harjoittelijat ovat jäsenen kanssa yksityisoikeudellisessa sopimussuhteessa, eikä heillä ole samoja oikeuksia kuin muulla parlamentin henkilöstöllä tai oikeuksia parlamentin apurahoihin (Schuman-apurahat); pitää valitettavana, että varainhoidon pääosastossa ei ole välinettä tai oikeudellista kehystä suorien ennakkomaksujen maksamiseksi näille harjoittelijoille ennen virkamatkoja – vaikka näin menetellään muun henkilöstön tapauksessa – etenkin, kun otetaan huomioon, että näiden kulujen maksaminen etukäteen omasta taskusta on heille ymmärrettävästi vaikeaa;</w:t>
      </w:r>
    </w:p>
    <w:p w14:paraId="5C72435D" w14:textId="4CD29A6B" w:rsidR="00BE32E9" w:rsidRPr="00EB68E3" w:rsidRDefault="00AB2E7A" w:rsidP="00BE32E9">
      <w:pPr>
        <w:pStyle w:val="Normal12Hanging"/>
      </w:pPr>
      <w:r w:rsidRPr="00EB68E3">
        <w:t>32.</w:t>
      </w:r>
      <w:r w:rsidRPr="00EB68E3">
        <w:tab/>
        <w:t>korostaa, että puhemiehistö tarkasteli pääsihteerin ehdotusta tehdä parannuksia jäsenten palveluksessa olevia harjoittelijoita koskevaan nykyiseen lainsäädäntökehykseen, josta puuttuvat tällä hetkellä tietyt suojatoimet, ja toteaa, että tätä on pyytänyt myös yli 140 jäsentä, jotka tukevat nuorisoa käsittelevän laajennetun työryhmän ”Fair Internship” -kampanjaa; korostaa, että on jokaisen jäsenen velvollisuus tarjota harjoittelijoille sopiva korvaus oikeudellisen kehyksen mukaisesti; tukee puhemiehistöä sen pyrkimyksessä laatia kattava ja tasapainoinen ehdotus, jolla taataan jäsenille heidän oikeutensa sekä harjoittelijoille asianmukainen korvaus ja kattavat oikeudelliset suojatoimet; kehottaa puhemiehistöä hyväksymään nopeasti uudet säännöt, joiden olisi tultava voimaan uuden vaalikauden alussa; toivoo, että tästä annetaan ehdotus mahdollisimman nopeasti;</w:t>
      </w:r>
    </w:p>
    <w:p w14:paraId="758D4113" w14:textId="467ACF8A" w:rsidR="00A4507B" w:rsidRPr="00EB68E3" w:rsidRDefault="00AB2E7A" w:rsidP="00EE1766">
      <w:pPr>
        <w:pStyle w:val="Normal12Hanging"/>
      </w:pPr>
      <w:r w:rsidRPr="00EB68E3">
        <w:t>33.</w:t>
      </w:r>
      <w:r w:rsidRPr="00EB68E3">
        <w:tab/>
        <w:t>huomauttaa, että tietotekniikkakatkos häiritsi parlamentin toimintaa merkittävästi lokakuussa 2017; panee merkille, että sen jälkeen on otettu käyttöön toimintasuunnitelma, jolla varmistetaan paremmin toiminnan jatkuvuus; tähdentää olevan tärkeää, että häiriötilanteisiin reagoidaan ja ne ratkaistaan nopeasti etenkin, jos ne haittaavat lainsäädäntötyötä tai estävät sen kokonaan;</w:t>
      </w:r>
    </w:p>
    <w:p w14:paraId="47067EB9" w14:textId="7078C4B6" w:rsidR="00A4507B" w:rsidRPr="00EB68E3" w:rsidRDefault="00AB2E7A" w:rsidP="00521511">
      <w:pPr>
        <w:pStyle w:val="Normal12Hanging"/>
        <w:keepNext/>
        <w:keepLines/>
      </w:pPr>
      <w:r w:rsidRPr="00EB68E3">
        <w:t>34.</w:t>
      </w:r>
      <w:r w:rsidRPr="00EB68E3">
        <w:tab/>
        <w:t>panee merkille, että vuonna 2017 julkaistiin kaksi Euroopan yhdentymisen toteutumattomuuden kustannuksia koskevaa raporttia ja laadittiin kaksi arviointia Euroopan tason lisäarvosta;</w:t>
      </w:r>
    </w:p>
    <w:p w14:paraId="7338F5D3" w14:textId="753AD3FA" w:rsidR="00BE32E9" w:rsidRPr="00EB68E3" w:rsidRDefault="00AB2E7A" w:rsidP="00BE32E9">
      <w:pPr>
        <w:pStyle w:val="Normal12Hanging"/>
      </w:pPr>
      <w:r w:rsidRPr="00EB68E3">
        <w:t>35.</w:t>
      </w:r>
      <w:r w:rsidRPr="00EB68E3">
        <w:tab/>
        <w:t>panee merkille, että pääsihteerin pyynnön perusteella kaikki parlamentin pääosastot ovat kehittäneet hallintovälineitään pystyäkseen noudattamaan tulosbudjetoinnin periaatetta; toteaa, että joitakin nykyisistä määrällisistä tavoitteista voi olla vaikea toteuttaa pääosastoissa, jotka työskentelevät poliittisen syklin aikataulua noudattaen; kehottaa pääsihteeriä ottamaan tämän huomioon arvioidessaan tulosbudjetointia eri pääosastoissa lisäarvosta tinkimättä;</w:t>
      </w:r>
    </w:p>
    <w:p w14:paraId="0DE5883E" w14:textId="6CE315E4" w:rsidR="00A4507B" w:rsidRPr="00EB68E3" w:rsidRDefault="00AB2E7A" w:rsidP="00EE1766">
      <w:pPr>
        <w:pStyle w:val="Normal12Hanging"/>
      </w:pPr>
      <w:r w:rsidRPr="00EB68E3">
        <w:t>36.</w:t>
      </w:r>
      <w:r w:rsidRPr="00EB68E3">
        <w:tab/>
        <w:t>pitää myönteisenä, että on luotu teknisiä ratkaisuja niitä jäseniä varten, jotka haluavat käyttää parlamentin verkkosivustolla olevaa omaa kotisivuaan julkistaakseen tapaamisensa edunvalvojien kanssa; panee myös merkille, että puhemiehistö harkitsee, voitaisiinko tätä ratkaisua laajentaa, jotta varmistettaisiin, että tiedot ovat suoraan saatavilla parlamentin verkkosivustolla;</w:t>
      </w:r>
    </w:p>
    <w:p w14:paraId="39A87D3A" w14:textId="5ECBBBFF" w:rsidR="00A4507B" w:rsidRPr="00EB68E3" w:rsidRDefault="00AB2E7A" w:rsidP="00EE1766">
      <w:pPr>
        <w:pStyle w:val="Normal12Hanging"/>
      </w:pPr>
      <w:r w:rsidRPr="00EB68E3">
        <w:t>37.</w:t>
      </w:r>
      <w:r w:rsidRPr="00EB68E3">
        <w:tab/>
        <w:t>kehottaa parlamentin hallintoa laatimaan kertomuksen, jossa luodaan kattava katsaus edunvalvojiin ja muihin organisaatioihin, joille annettiin pääsy parlamentin tiloihin vuonna 2017; pyytää laatimaan tämän kertomuksen vuosittain mahdollisimman suuren avoimuuden varmistamiseksi;</w:t>
      </w:r>
    </w:p>
    <w:p w14:paraId="26211969" w14:textId="36FC80C5" w:rsidR="00BE32E9" w:rsidRPr="00EB68E3" w:rsidRDefault="00AB2E7A" w:rsidP="00BE32E9">
      <w:pPr>
        <w:pStyle w:val="Normal12Hanging"/>
      </w:pPr>
      <w:r w:rsidRPr="00EB68E3">
        <w:t>38.</w:t>
      </w:r>
      <w:r w:rsidRPr="00EB68E3">
        <w:tab/>
        <w:t>kehottaa parlamentin hallintoa esittämään yleiskatsauksen vuonna 2017 tehdyistä korkean tason virkamiesten nimityksistä; kehottaa pääsihteeriä käynnistämään lisää toimenpiteitä avoimuuden ja yhdenvertaisuuden lisäämiseksi parlamentin nimitysmenettelyissä ottaen huomioon Euroopan oikeusasiamiehen havainnot ja suositukset yhdistetyissä asioissa 488/2018/KR ja 514/2018/KR;</w:t>
      </w:r>
    </w:p>
    <w:p w14:paraId="0FD8F796" w14:textId="5875B5B8" w:rsidR="00A4507B" w:rsidRPr="00EB68E3" w:rsidRDefault="00A4507B" w:rsidP="00EE1766">
      <w:pPr>
        <w:pStyle w:val="Normal12Hanging"/>
        <w:rPr>
          <w:b/>
          <w:i/>
        </w:rPr>
      </w:pPr>
      <w:r w:rsidRPr="00EB68E3">
        <w:rPr>
          <w:b/>
          <w:i/>
        </w:rPr>
        <w:t>Parlamentin toiminnan maantieteellinen hajauttaminen – yksi ainoa toimipaikka</w:t>
      </w:r>
    </w:p>
    <w:p w14:paraId="14D2F2A3" w14:textId="7D3D4197" w:rsidR="006E46BD" w:rsidRPr="00EB68E3" w:rsidRDefault="00AB2E7A" w:rsidP="0086406C">
      <w:pPr>
        <w:widowControl/>
        <w:spacing w:after="240"/>
        <w:ind w:left="567" w:hanging="567"/>
      </w:pPr>
      <w:r w:rsidRPr="00EB68E3">
        <w:t>39.</w:t>
      </w:r>
      <w:r w:rsidRPr="00EB68E3">
        <w:tab/>
        <w:t>pitää edelleen erittäin valitettavana, että huolimatta parlamentin toistuvista kehotuksista määrätä parlamentille yksi ainoa toimipaikka ja siitä, että unionin kansalaiset eivät ymmärrä, miksi parlamentin olisi jaettava toimintansa kahteen toimipaikkaan, Eurooppa-neuvosto ei ole tähän mennessä edes aloittanut keskusteluja siitä, miten asiaa koskevaan parlamentin pyyntöön vastataan; palauttaa mieliin tilintarkastustuomioistuimen vuonna 2014 tekemän analyysin, jossa arvioitiin, että parlamentin toiminnan keskittämisellä saataisiin aikaan arviolta 114 miljoonan euron vuotuiset säästöt; palauttaa mieliin vuonna 2013 antamansa päätöslauselman</w:t>
      </w:r>
      <w:r w:rsidR="006E46BD" w:rsidRPr="00EB68E3">
        <w:rPr>
          <w:rStyle w:val="FootnoteReference"/>
        </w:rPr>
        <w:footnoteReference w:id="10"/>
      </w:r>
      <w:r w:rsidRPr="00EB68E3">
        <w:t>, jossa arvioitiin, että parlamentin toiminnan maantieteellisestä hajauttamisesta aiheutuvat vuotuiset kustannukset ovat 156 miljoonan ja 204 miljoonan euron välillä;</w:t>
      </w:r>
    </w:p>
    <w:p w14:paraId="4641AED3" w14:textId="6E93537A" w:rsidR="006E46BD" w:rsidRPr="00EB68E3" w:rsidRDefault="00AB2E7A" w:rsidP="0086406C">
      <w:pPr>
        <w:widowControl/>
        <w:spacing w:after="240"/>
        <w:ind w:left="567" w:hanging="567"/>
      </w:pPr>
      <w:r w:rsidRPr="00EB68E3">
        <w:t>40.</w:t>
      </w:r>
      <w:r w:rsidRPr="00EB68E3">
        <w:tab/>
        <w:t>panee lisäksi merkille todenneensa Euroopan unionin toimielinten kotipaikan sijainnista 20. marraskuuta 2013 antamassaan päätöslauselmassa</w:t>
      </w:r>
      <w:r w:rsidR="00460C2F" w:rsidRPr="00EB68E3">
        <w:rPr>
          <w:rStyle w:val="FootnoteReference"/>
        </w:rPr>
        <w:footnoteReference w:id="11"/>
      </w:r>
      <w:r w:rsidRPr="00EB68E3">
        <w:t>, että 78 prosenttia kaikista henkilöstösääntöjen alaisen parlamentin henkilöstön matkoista on suoraa seurausta parlamentin toiminnan maantieteellisestä hajauttamisesta; tähdentää, että mietinnössä arvioitiin myös, että maantieteellisen hajauttamisen ympäristövaikutukset eli hiilidioksidipäästöt ovat 11 000:n ja 19 000 tonnin välillä; toteaa jälleen, että kansalaiset suhtautuvat hajauttamiseen kielteisesti; kehottaa jälleen neuvostoa kehittämään kattavan strategian, jonka avulla voidaan sopia yhden toimipaikan määräämisestä parlamentille;</w:t>
      </w:r>
    </w:p>
    <w:p w14:paraId="3B169C15" w14:textId="02656BFD" w:rsidR="00CE2CF5" w:rsidRPr="00EB68E3" w:rsidRDefault="001B7898" w:rsidP="00CE2CF5">
      <w:pPr>
        <w:pStyle w:val="Normal12Hanging"/>
      </w:pPr>
      <w:r w:rsidRPr="00EB68E3">
        <w:t>41.</w:t>
      </w:r>
      <w:r w:rsidRPr="00EB68E3">
        <w:tab/>
        <w:t>korostaa painokkaasti, että nämä lisäkustannukset ovat vastoin moitteettoman varainhoidon ja budjettikurin periaatteita; toteaa, että yhdestä ainoasta toimipaikasta päättäminen edellyttää yksimielistä perussopimusmuutosta; kehottaa neuvostoa ja komissiota tekemään viipymättä aloitteen tällaisesta perussopimuksen muutoksesta ja katsoo, että tämä perussopimuksen muutos hyödyttää eurooppalaisia veronmaksajia sekä taloudellisesti että parlamentin jäsenten tekemän työn laadun kannalta; kehottaa näin ollen ryhtymään pikaisesti käytännön toimiin yhden toimipaikan määräämiseksi Euroopan parlamentille, jotta julkisia varoja ei enää tuhlata enempää; pitää valitettavana, että pelkästään yhden vaalikauden aikana parlamentin maantieteellisestä hajauttamisesta aiheutuvat kustannukset voivat nousta jopa miljardiin euroon; ilmaisee vastustavansa monivuotisia rakennushankkeita, joiden tarkoituksena on lisätä jäsenten käytettävissä Strasbourgissa olevaa toimistotilaa;</w:t>
      </w:r>
    </w:p>
    <w:p w14:paraId="37F6DF88" w14:textId="77777777" w:rsidR="0086406C" w:rsidRPr="00EB68E3" w:rsidRDefault="0086406C" w:rsidP="001849E4">
      <w:pPr>
        <w:widowControl/>
        <w:ind w:left="567" w:hanging="567"/>
      </w:pPr>
    </w:p>
    <w:p w14:paraId="35ADCEB5" w14:textId="12789B9F" w:rsidR="00201AB5" w:rsidRPr="00EB68E3" w:rsidRDefault="001B7898" w:rsidP="001849E4">
      <w:pPr>
        <w:widowControl/>
        <w:ind w:left="567" w:hanging="567"/>
      </w:pPr>
      <w:r w:rsidRPr="00EB68E3">
        <w:t>42.</w:t>
      </w:r>
      <w:r w:rsidRPr="00EB68E3">
        <w:tab/>
        <w:t>panee merkille jäsenten matkakulujen muodossa syntyvät lisäkustannukset, joita parlamentille aiheutuu kahdestatoista vuotuisesta matkasta Strasbourgiin ja jotka voidaan jaotella vuoden 2017 osalta seuraavasti:</w:t>
      </w:r>
    </w:p>
    <w:tbl>
      <w:tblPr>
        <w:tblW w:w="8070" w:type="dxa"/>
        <w:tblInd w:w="637" w:type="dxa"/>
        <w:tblLayout w:type="fixed"/>
        <w:tblLook w:val="04A0" w:firstRow="1" w:lastRow="0" w:firstColumn="1" w:lastColumn="0" w:noHBand="0" w:noVBand="1"/>
      </w:tblPr>
      <w:tblGrid>
        <w:gridCol w:w="2690"/>
        <w:gridCol w:w="2690"/>
        <w:gridCol w:w="2690"/>
      </w:tblGrid>
      <w:tr w:rsidR="00A4507B" w:rsidRPr="00EB68E3" w14:paraId="0C68EFC7" w14:textId="77777777" w:rsidTr="0086406C">
        <w:trPr>
          <w:trHeight w:val="111"/>
        </w:trPr>
        <w:tc>
          <w:tcPr>
            <w:tcW w:w="2690" w:type="dxa"/>
            <w:tcBorders>
              <w:top w:val="nil"/>
              <w:left w:val="nil"/>
              <w:bottom w:val="nil"/>
              <w:right w:val="nil"/>
            </w:tcBorders>
          </w:tcPr>
          <w:p w14:paraId="16905876" w14:textId="77777777" w:rsidR="00A4507B" w:rsidRPr="00EB68E3" w:rsidRDefault="00A4507B" w:rsidP="00EE1766">
            <w:pPr>
              <w:autoSpaceDE w:val="0"/>
              <w:autoSpaceDN w:val="0"/>
              <w:adjustRightInd w:val="0"/>
              <w:rPr>
                <w:color w:val="000000"/>
                <w:sz w:val="23"/>
                <w:szCs w:val="23"/>
              </w:rPr>
            </w:pPr>
          </w:p>
          <w:p w14:paraId="3A9E6116" w14:textId="77777777" w:rsidR="00A4507B" w:rsidRPr="00EB68E3" w:rsidRDefault="00A4507B" w:rsidP="00EE1766">
            <w:pPr>
              <w:autoSpaceDE w:val="0"/>
              <w:autoSpaceDN w:val="0"/>
              <w:adjustRightInd w:val="0"/>
              <w:rPr>
                <w:color w:val="000000"/>
                <w:sz w:val="23"/>
                <w:szCs w:val="23"/>
              </w:rPr>
            </w:pPr>
          </w:p>
          <w:p w14:paraId="68FF6800" w14:textId="23EEF460"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Kulutyyppi </w:t>
            </w:r>
          </w:p>
        </w:tc>
        <w:tc>
          <w:tcPr>
            <w:tcW w:w="2690" w:type="dxa"/>
            <w:tcBorders>
              <w:top w:val="nil"/>
              <w:left w:val="nil"/>
              <w:bottom w:val="nil"/>
              <w:right w:val="nil"/>
            </w:tcBorders>
          </w:tcPr>
          <w:p w14:paraId="2945AE21" w14:textId="77777777" w:rsidR="00A4507B" w:rsidRPr="00EB68E3" w:rsidRDefault="00A4507B" w:rsidP="00EE1766">
            <w:pPr>
              <w:autoSpaceDE w:val="0"/>
              <w:autoSpaceDN w:val="0"/>
              <w:adjustRightInd w:val="0"/>
              <w:rPr>
                <w:color w:val="000000"/>
                <w:sz w:val="23"/>
                <w:szCs w:val="23"/>
              </w:rPr>
            </w:pPr>
          </w:p>
          <w:p w14:paraId="7135F191" w14:textId="77777777" w:rsidR="00A4507B" w:rsidRPr="00EB68E3" w:rsidRDefault="00A4507B" w:rsidP="00EE1766">
            <w:pPr>
              <w:autoSpaceDE w:val="0"/>
              <w:autoSpaceDN w:val="0"/>
              <w:adjustRightInd w:val="0"/>
              <w:rPr>
                <w:color w:val="000000"/>
                <w:sz w:val="23"/>
                <w:szCs w:val="23"/>
              </w:rPr>
            </w:pPr>
          </w:p>
          <w:p w14:paraId="3D812FC0" w14:textId="77777777" w:rsidR="00A4507B" w:rsidRPr="00EB68E3" w:rsidRDefault="00A4507B" w:rsidP="00EE1766">
            <w:pPr>
              <w:autoSpaceDE w:val="0"/>
              <w:autoSpaceDN w:val="0"/>
              <w:adjustRightInd w:val="0"/>
              <w:rPr>
                <w:color w:val="000000"/>
                <w:sz w:val="16"/>
                <w:szCs w:val="16"/>
              </w:rPr>
            </w:pPr>
            <w:r w:rsidRPr="00EB68E3">
              <w:rPr>
                <w:color w:val="000000"/>
              </w:rPr>
              <w:t>YHTEENSÄ</w:t>
            </w:r>
            <w:r w:rsidRPr="00EB68E3">
              <w:rPr>
                <w:color w:val="000000"/>
                <w:sz w:val="16"/>
                <w:szCs w:val="16"/>
              </w:rPr>
              <w:t xml:space="preserve">1 </w:t>
            </w:r>
          </w:p>
        </w:tc>
        <w:tc>
          <w:tcPr>
            <w:tcW w:w="2690" w:type="dxa"/>
            <w:tcBorders>
              <w:top w:val="nil"/>
              <w:left w:val="nil"/>
              <w:bottom w:val="nil"/>
              <w:right w:val="nil"/>
            </w:tcBorders>
          </w:tcPr>
          <w:p w14:paraId="2011BE21" w14:textId="77777777" w:rsidR="00A4507B" w:rsidRPr="00EB68E3" w:rsidRDefault="00A4507B" w:rsidP="00EE1766">
            <w:pPr>
              <w:autoSpaceDE w:val="0"/>
              <w:autoSpaceDN w:val="0"/>
              <w:adjustRightInd w:val="0"/>
              <w:rPr>
                <w:color w:val="000000"/>
                <w:sz w:val="23"/>
                <w:szCs w:val="23"/>
              </w:rPr>
            </w:pPr>
          </w:p>
          <w:p w14:paraId="63B7C89C" w14:textId="77777777" w:rsidR="00A4507B" w:rsidRPr="00EB68E3" w:rsidRDefault="00A4507B" w:rsidP="00EE1766">
            <w:pPr>
              <w:autoSpaceDE w:val="0"/>
              <w:autoSpaceDN w:val="0"/>
              <w:adjustRightInd w:val="0"/>
              <w:rPr>
                <w:color w:val="000000"/>
                <w:sz w:val="23"/>
                <w:szCs w:val="23"/>
              </w:rPr>
            </w:pPr>
          </w:p>
          <w:p w14:paraId="1C97F399" w14:textId="77777777" w:rsidR="00A4507B" w:rsidRPr="00EB68E3" w:rsidRDefault="00A4507B" w:rsidP="00EE1766">
            <w:pPr>
              <w:autoSpaceDE w:val="0"/>
              <w:autoSpaceDN w:val="0"/>
              <w:adjustRightInd w:val="0"/>
              <w:ind w:right="-386"/>
              <w:rPr>
                <w:color w:val="000000"/>
                <w:sz w:val="23"/>
                <w:szCs w:val="23"/>
              </w:rPr>
            </w:pPr>
            <w:r w:rsidRPr="00EB68E3">
              <w:rPr>
                <w:color w:val="000000"/>
                <w:sz w:val="23"/>
                <w:szCs w:val="23"/>
              </w:rPr>
              <w:t xml:space="preserve">KESKIARVO/KUUKAUSI </w:t>
            </w:r>
          </w:p>
        </w:tc>
      </w:tr>
      <w:tr w:rsidR="00A4507B" w:rsidRPr="00EB68E3" w14:paraId="136E72F4" w14:textId="77777777" w:rsidTr="0086406C">
        <w:trPr>
          <w:trHeight w:val="96"/>
        </w:trPr>
        <w:tc>
          <w:tcPr>
            <w:tcW w:w="2690" w:type="dxa"/>
            <w:tcBorders>
              <w:top w:val="nil"/>
              <w:left w:val="nil"/>
              <w:bottom w:val="nil"/>
              <w:right w:val="nil"/>
            </w:tcBorders>
            <w:hideMark/>
          </w:tcPr>
          <w:p w14:paraId="30C36BCD" w14:textId="7777777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Matkustaminen </w:t>
            </w:r>
          </w:p>
        </w:tc>
        <w:tc>
          <w:tcPr>
            <w:tcW w:w="2690" w:type="dxa"/>
            <w:tcBorders>
              <w:top w:val="nil"/>
              <w:left w:val="nil"/>
              <w:bottom w:val="nil"/>
              <w:right w:val="nil"/>
            </w:tcBorders>
            <w:hideMark/>
          </w:tcPr>
          <w:p w14:paraId="540B6E63" w14:textId="2741717F"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7 700 358 </w:t>
            </w:r>
          </w:p>
        </w:tc>
        <w:tc>
          <w:tcPr>
            <w:tcW w:w="2690" w:type="dxa"/>
            <w:tcBorders>
              <w:top w:val="nil"/>
              <w:left w:val="nil"/>
              <w:bottom w:val="nil"/>
              <w:right w:val="nil"/>
            </w:tcBorders>
            <w:hideMark/>
          </w:tcPr>
          <w:p w14:paraId="5596C0C7" w14:textId="14ABE0F8"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641 696 </w:t>
            </w:r>
          </w:p>
        </w:tc>
      </w:tr>
      <w:tr w:rsidR="00A4507B" w:rsidRPr="00EB68E3" w14:paraId="0B68D30A" w14:textId="77777777" w:rsidTr="0086406C">
        <w:trPr>
          <w:trHeight w:val="96"/>
        </w:trPr>
        <w:tc>
          <w:tcPr>
            <w:tcW w:w="2690" w:type="dxa"/>
            <w:tcBorders>
              <w:top w:val="nil"/>
              <w:left w:val="nil"/>
              <w:bottom w:val="nil"/>
              <w:right w:val="nil"/>
            </w:tcBorders>
            <w:hideMark/>
          </w:tcPr>
          <w:p w14:paraId="0F3CBA42" w14:textId="7777777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Päivärahat </w:t>
            </w:r>
          </w:p>
        </w:tc>
        <w:tc>
          <w:tcPr>
            <w:tcW w:w="2690" w:type="dxa"/>
            <w:tcBorders>
              <w:top w:val="nil"/>
              <w:left w:val="nil"/>
              <w:bottom w:val="nil"/>
              <w:right w:val="nil"/>
            </w:tcBorders>
            <w:hideMark/>
          </w:tcPr>
          <w:p w14:paraId="27C2319F" w14:textId="2158679C"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10 036 444 </w:t>
            </w:r>
          </w:p>
        </w:tc>
        <w:tc>
          <w:tcPr>
            <w:tcW w:w="2690" w:type="dxa"/>
            <w:tcBorders>
              <w:top w:val="nil"/>
              <w:left w:val="nil"/>
              <w:bottom w:val="nil"/>
              <w:right w:val="nil"/>
            </w:tcBorders>
            <w:hideMark/>
          </w:tcPr>
          <w:p w14:paraId="5FF66AB7" w14:textId="578BA091"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836 370 </w:t>
            </w:r>
          </w:p>
        </w:tc>
      </w:tr>
      <w:tr w:rsidR="00A4507B" w:rsidRPr="00EB68E3" w14:paraId="30912569" w14:textId="77777777" w:rsidTr="0086406C">
        <w:trPr>
          <w:trHeight w:val="96"/>
        </w:trPr>
        <w:tc>
          <w:tcPr>
            <w:tcW w:w="2690" w:type="dxa"/>
            <w:tcBorders>
              <w:top w:val="nil"/>
              <w:left w:val="nil"/>
              <w:bottom w:val="nil"/>
              <w:right w:val="nil"/>
            </w:tcBorders>
            <w:hideMark/>
          </w:tcPr>
          <w:p w14:paraId="4F74D0F7" w14:textId="7777777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Välimatkakustannukset </w:t>
            </w:r>
          </w:p>
        </w:tc>
        <w:tc>
          <w:tcPr>
            <w:tcW w:w="2690" w:type="dxa"/>
            <w:tcBorders>
              <w:top w:val="nil"/>
              <w:left w:val="nil"/>
              <w:bottom w:val="nil"/>
              <w:right w:val="nil"/>
            </w:tcBorders>
            <w:hideMark/>
          </w:tcPr>
          <w:p w14:paraId="4F81859F" w14:textId="4940EAF2"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1 394 608 </w:t>
            </w:r>
          </w:p>
        </w:tc>
        <w:tc>
          <w:tcPr>
            <w:tcW w:w="2690" w:type="dxa"/>
            <w:tcBorders>
              <w:top w:val="nil"/>
              <w:left w:val="nil"/>
              <w:bottom w:val="nil"/>
              <w:right w:val="nil"/>
            </w:tcBorders>
            <w:hideMark/>
          </w:tcPr>
          <w:p w14:paraId="36F00233" w14:textId="5A8221C6"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116 217 </w:t>
            </w:r>
          </w:p>
        </w:tc>
      </w:tr>
      <w:tr w:rsidR="00A4507B" w:rsidRPr="00EB68E3" w14:paraId="325C4D16" w14:textId="77777777" w:rsidTr="0086406C">
        <w:trPr>
          <w:trHeight w:val="96"/>
        </w:trPr>
        <w:tc>
          <w:tcPr>
            <w:tcW w:w="2690" w:type="dxa"/>
            <w:tcBorders>
              <w:top w:val="nil"/>
              <w:left w:val="nil"/>
              <w:bottom w:val="nil"/>
              <w:right w:val="nil"/>
            </w:tcBorders>
            <w:hideMark/>
          </w:tcPr>
          <w:p w14:paraId="4B55008A" w14:textId="7777777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Ajalliset kustannukset </w:t>
            </w:r>
          </w:p>
        </w:tc>
        <w:tc>
          <w:tcPr>
            <w:tcW w:w="2690" w:type="dxa"/>
            <w:tcBorders>
              <w:top w:val="nil"/>
              <w:left w:val="nil"/>
              <w:bottom w:val="nil"/>
              <w:right w:val="nil"/>
            </w:tcBorders>
            <w:hideMark/>
          </w:tcPr>
          <w:p w14:paraId="17028E58" w14:textId="0EDD2376"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1 994 045 </w:t>
            </w:r>
          </w:p>
        </w:tc>
        <w:tc>
          <w:tcPr>
            <w:tcW w:w="2690" w:type="dxa"/>
            <w:tcBorders>
              <w:top w:val="nil"/>
              <w:left w:val="nil"/>
              <w:bottom w:val="nil"/>
              <w:right w:val="nil"/>
            </w:tcBorders>
            <w:hideMark/>
          </w:tcPr>
          <w:p w14:paraId="581B8223" w14:textId="54A617D8"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166 170 </w:t>
            </w:r>
          </w:p>
        </w:tc>
      </w:tr>
      <w:tr w:rsidR="00A4507B" w:rsidRPr="00EB68E3" w14:paraId="67CD6CC3" w14:textId="77777777" w:rsidTr="0086406C">
        <w:trPr>
          <w:trHeight w:val="96"/>
        </w:trPr>
        <w:tc>
          <w:tcPr>
            <w:tcW w:w="2690" w:type="dxa"/>
            <w:tcBorders>
              <w:top w:val="nil"/>
              <w:left w:val="nil"/>
              <w:bottom w:val="nil"/>
              <w:right w:val="nil"/>
            </w:tcBorders>
            <w:hideMark/>
          </w:tcPr>
          <w:p w14:paraId="1A060CB4" w14:textId="7777777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Muut kulut </w:t>
            </w:r>
          </w:p>
        </w:tc>
        <w:tc>
          <w:tcPr>
            <w:tcW w:w="2690" w:type="dxa"/>
            <w:tcBorders>
              <w:top w:val="nil"/>
              <w:left w:val="nil"/>
              <w:bottom w:val="nil"/>
              <w:right w:val="nil"/>
            </w:tcBorders>
            <w:hideMark/>
          </w:tcPr>
          <w:p w14:paraId="75220258" w14:textId="02ED993B"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47 594 </w:t>
            </w:r>
          </w:p>
        </w:tc>
        <w:tc>
          <w:tcPr>
            <w:tcW w:w="2690" w:type="dxa"/>
            <w:tcBorders>
              <w:top w:val="nil"/>
              <w:left w:val="nil"/>
              <w:bottom w:val="nil"/>
              <w:right w:val="nil"/>
            </w:tcBorders>
            <w:hideMark/>
          </w:tcPr>
          <w:p w14:paraId="34C0E993" w14:textId="701C252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3 966 </w:t>
            </w:r>
          </w:p>
        </w:tc>
      </w:tr>
      <w:tr w:rsidR="00A4507B" w:rsidRPr="00EB68E3" w14:paraId="7943CFDA" w14:textId="77777777" w:rsidTr="0086406C">
        <w:trPr>
          <w:trHeight w:val="96"/>
        </w:trPr>
        <w:tc>
          <w:tcPr>
            <w:tcW w:w="2690" w:type="dxa"/>
            <w:tcBorders>
              <w:top w:val="nil"/>
              <w:left w:val="nil"/>
              <w:bottom w:val="nil"/>
              <w:right w:val="nil"/>
            </w:tcBorders>
            <w:hideMark/>
          </w:tcPr>
          <w:p w14:paraId="4ED2762A" w14:textId="77777777"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YHTEENSÄ </w:t>
            </w:r>
          </w:p>
        </w:tc>
        <w:tc>
          <w:tcPr>
            <w:tcW w:w="2690" w:type="dxa"/>
            <w:tcBorders>
              <w:top w:val="nil"/>
              <w:left w:val="nil"/>
              <w:bottom w:val="nil"/>
              <w:right w:val="nil"/>
            </w:tcBorders>
            <w:hideMark/>
          </w:tcPr>
          <w:p w14:paraId="7B0C16BA" w14:textId="2290AB3E"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21 173 049 </w:t>
            </w:r>
          </w:p>
        </w:tc>
        <w:tc>
          <w:tcPr>
            <w:tcW w:w="2690" w:type="dxa"/>
            <w:tcBorders>
              <w:top w:val="nil"/>
              <w:left w:val="nil"/>
              <w:bottom w:val="nil"/>
              <w:right w:val="nil"/>
            </w:tcBorders>
            <w:hideMark/>
          </w:tcPr>
          <w:p w14:paraId="19D0C5E0" w14:textId="3E737C14" w:rsidR="00A4507B" w:rsidRPr="00EB68E3" w:rsidRDefault="00A4507B" w:rsidP="00EE1766">
            <w:pPr>
              <w:autoSpaceDE w:val="0"/>
              <w:autoSpaceDN w:val="0"/>
              <w:adjustRightInd w:val="0"/>
              <w:rPr>
                <w:color w:val="000000"/>
                <w:sz w:val="23"/>
                <w:szCs w:val="23"/>
              </w:rPr>
            </w:pPr>
            <w:r w:rsidRPr="00EB68E3">
              <w:rPr>
                <w:color w:val="000000"/>
                <w:sz w:val="23"/>
                <w:szCs w:val="23"/>
              </w:rPr>
              <w:t xml:space="preserve">1 764 421 </w:t>
            </w:r>
          </w:p>
        </w:tc>
      </w:tr>
    </w:tbl>
    <w:p w14:paraId="0ACBDEEC" w14:textId="2BE130A6" w:rsidR="00BE32E9" w:rsidRPr="00EB68E3" w:rsidRDefault="001B7898" w:rsidP="0086406C">
      <w:pPr>
        <w:pStyle w:val="Normal12Hanging"/>
        <w:spacing w:before="240"/>
      </w:pPr>
      <w:r w:rsidRPr="00EB68E3">
        <w:t>43.</w:t>
      </w:r>
      <w:r w:rsidRPr="00EB68E3">
        <w:tab/>
        <w:t>korostaa myös, että Thalys-tilausjunan kustannukset olivat niinkin suuret kuin 3 668 532 euroa vuonna 2017;</w:t>
      </w:r>
    </w:p>
    <w:p w14:paraId="4EBD59F6" w14:textId="063AA825" w:rsidR="006E46BD" w:rsidRPr="00EB68E3" w:rsidRDefault="001B7898" w:rsidP="006E46BD">
      <w:pPr>
        <w:pStyle w:val="Normal12Hanging"/>
      </w:pPr>
      <w:r w:rsidRPr="00EB68E3">
        <w:t>44.</w:t>
      </w:r>
      <w:r w:rsidRPr="00EB68E3">
        <w:tab/>
        <w:t>toteaa, että tulevien eurooppalaisten diplomaattien koulutuslaitoksen perustaminen Euroopan ulkosuhdehallinnon alaisuuteen ja sen sijoittaminen parlamentin tiloihin Strasbourgissa voisi olla yksi esimerkki siitä, miten näiden tilojen käyttötarkoitusta voitaisiin muuttaa;</w:t>
      </w:r>
    </w:p>
    <w:p w14:paraId="266D6861" w14:textId="7F96F87E" w:rsidR="00A4507B" w:rsidRPr="00EB68E3" w:rsidRDefault="00A4507B" w:rsidP="00EE1766">
      <w:pPr>
        <w:pStyle w:val="Normal12Hanging"/>
      </w:pPr>
      <w:r w:rsidRPr="00EB68E3">
        <w:rPr>
          <w:b/>
          <w:i/>
        </w:rPr>
        <w:t>Viestinnän pääosasto</w:t>
      </w:r>
    </w:p>
    <w:p w14:paraId="4E4A2216" w14:textId="135148F1" w:rsidR="00A4507B" w:rsidRPr="00EB68E3" w:rsidRDefault="00AB2E7A" w:rsidP="00EE1766">
      <w:pPr>
        <w:pStyle w:val="Normal12Hanging"/>
      </w:pPr>
      <w:r w:rsidRPr="00EB68E3">
        <w:t>45.</w:t>
      </w:r>
      <w:r w:rsidRPr="00EB68E3">
        <w:tab/>
        <w:t>panee merkille, että viestinnän pääosaston pääindikaattori vuonna 2017 oli se, kuinka paljon huomiota parlamentti sai kaikilla viestintäkanavilla tunneissa mitattuna; panee tyytyväisenä merkille, että huomion saamisen mittaamisen lisäksi viestinnän pääosasto on kehittämässä menetelmää, jolla voidaan mitata sen toiminnan taloudellisuutta, tehokkuutta ja vaikuttavuutta kaikilla viestintäkanavilla; kehottaa pääsihteeriä sisällyttämään vuotuiseen toimintakertomukseensa tulokset sen ensimmäisestä täytäntöönpanovuodesta;</w:t>
      </w:r>
    </w:p>
    <w:p w14:paraId="0D0A7F76" w14:textId="2688E7B6" w:rsidR="00A4507B" w:rsidRPr="00EB68E3" w:rsidRDefault="00AB2E7A" w:rsidP="00EE1766">
      <w:pPr>
        <w:pStyle w:val="Normal12Hanging"/>
      </w:pPr>
      <w:r w:rsidRPr="00EB68E3">
        <w:t>46.</w:t>
      </w:r>
      <w:r w:rsidRPr="00EB68E3">
        <w:tab/>
        <w:t>huomauttaa, että strategiseen täytäntöönpanokehykseen / parlamentaariseen hankekokonaisuuteen vuosiksi 2017–2019 sisältyneet pitkän aikavälin hankkeet ovat edenneet eri tavoin mutta pyrkivät kaikki noudattamaan tavoitetta ”vähemmän materia</w:t>
      </w:r>
      <w:r w:rsidR="00521511">
        <w:t>alia, enemmän kommunikaatiota”;</w:t>
      </w:r>
    </w:p>
    <w:p w14:paraId="3795ABD3" w14:textId="5418B282" w:rsidR="002C2179" w:rsidRPr="00EB68E3" w:rsidRDefault="00AB2E7A" w:rsidP="0086406C">
      <w:pPr>
        <w:spacing w:after="240"/>
        <w:ind w:left="567" w:hanging="567"/>
      </w:pPr>
      <w:r w:rsidRPr="00EB68E3">
        <w:t>47.</w:t>
      </w:r>
      <w:r w:rsidRPr="00EB68E3">
        <w:tab/>
        <w:t>panee merkille parhaillaan tekeillä olevat parlamentin julkisen verkkosivuston merkittävät tekniset ja toimitukselliset muutokset ja etenkin verkkosivuston hakukoneoptimointiin liittyvät muutokset; onnittelee viestinnän pääosastoa tästä edistyksestä mutta korostaa, että edistymistahti on edelleen hidas, erityisesti kun otetaan huomioon tulevat vuoden 2019 EU-vaalit ja lisääntynyt mielenkiinto parlamentin toimintaa kohtaan; korostaa, että parannusten jatkaminen on äärimmäisen tärkeää, ja kehottaa nopeuttamaan prosessia kiireellisesti; painottaa, että avoimella ja esteettömällä verkkosivustolla on ratkaiseva merkitys kansalaisten osallistumisen kannalta;</w:t>
      </w:r>
    </w:p>
    <w:p w14:paraId="4D49A967" w14:textId="53599F6D" w:rsidR="002C2179" w:rsidRPr="00EB68E3" w:rsidRDefault="00AB2E7A" w:rsidP="0086406C">
      <w:pPr>
        <w:spacing w:after="240"/>
        <w:ind w:left="567" w:hanging="567"/>
      </w:pPr>
      <w:r w:rsidRPr="00EB68E3">
        <w:t>48.</w:t>
      </w:r>
      <w:r w:rsidRPr="00EB68E3">
        <w:tab/>
        <w:t>korostaa, että parlamentin verkkosivustolta on vaikea löytää parlamentin äänestysten tuloksia ja että kaupallinen verkkosivusto VoteWatch on paljon käytännöllisempi, koska äänestystulokset ovat siellä helpommin löydettävissä; kehottaa pääsihteeriä luomaan parlamentin verkkosivustolle kehittyneemmän järjestelmän, jossa täysistunnon nimenhuutoäänestykset on varustettu helpoilla hakuvaihtoehdoilla, joiden avulla voidaan tehdä hakuja yksittäisten jäsenten äänestyskäyttäytymisestä ja vertailla sitä muiden saman ryhmän jäsenten ja muiden ryhmien jäsenten käyttäytymiseen;</w:t>
      </w:r>
    </w:p>
    <w:p w14:paraId="34FE1AA9" w14:textId="3045EB05" w:rsidR="00A4507B" w:rsidRPr="00EB68E3" w:rsidRDefault="00AB2E7A" w:rsidP="00EE1766">
      <w:pPr>
        <w:pStyle w:val="Normal12Hanging"/>
      </w:pPr>
      <w:r w:rsidRPr="00EB68E3">
        <w:t>49.</w:t>
      </w:r>
      <w:r w:rsidRPr="00EB68E3">
        <w:tab/>
        <w:t>toteaa, että vuonna 2017 toteutettiin lukuisia tiedotusvälineisiin liittyviä hankkeita ja parlamentin esilläoloa verkossa lujitettiin entisestään panemalla täytäntöön monialustainen lähestymistapa ja ottamalla käyttöön uusi portaali ja uutissivusto; panee lisäksi merkille, että parlamentti paransi huomattavasti sosiaalisen median käyttöä ja lisäsi merkittävästi unionin toiminnasta tiedottamiseen liittyviä toimia; toteaa myös, että kattavaan vierailijastrategiaan ja – kiinnittäen erityistä huomiota nuoriin – Ambassador School -ohjelman toteutukseen investoitiin merkittävästi; pitää tähdellisenä jatkaa Euroopan tiedemediakeskuksen kehittämistä ja sen saattamista viipymättä täyteen toimintakuntoon, jotta saataisiin lisättyä tieteellisiin tutkimustuloksiin perustuvaa tiedotusvälineiden raportointia;</w:t>
      </w:r>
    </w:p>
    <w:p w14:paraId="359102CB" w14:textId="2D62D88D" w:rsidR="00BE32E9" w:rsidRPr="00EB68E3" w:rsidRDefault="00AB2E7A" w:rsidP="00BE32E9">
      <w:pPr>
        <w:pStyle w:val="Normal12Hanging"/>
      </w:pPr>
      <w:r w:rsidRPr="00EB68E3">
        <w:t>50.</w:t>
      </w:r>
      <w:r w:rsidRPr="00EB68E3">
        <w:tab/>
        <w:t>toteaa, että vuonna 2017 jäsenvaltioissa järjestettiin 223 lehdistöseminaaria, joihin osallistui yli 3 076 toimittajaa; panee tyytyväisenä merkille, että lisäksi 1 905 toimittajaa kutsuttiin osallistumaan täysistuntoihin, keskitetysti järjestettyihin lehdistöseminaareihin ja -konferensseihin; kiittää viestinnän pääosastoa siitä, että se on käyttänyt median kaikkia mahdollisia kanavia jakaakseen tietoa parlamentin toiminnasta ja saavutuksista; kannustaa pääosastoa kiinnittämään riittävästi huomiota sosiaalisen median merkitykseen ja huomattaviin ja alati kasvaviin mahdollisuuksiin kansalaisten tavoittamiseksi;</w:t>
      </w:r>
    </w:p>
    <w:p w14:paraId="313EFA6E" w14:textId="441A6C9E" w:rsidR="00BE32E9" w:rsidRPr="00EB68E3" w:rsidRDefault="00AB2E7A" w:rsidP="00BE32E9">
      <w:pPr>
        <w:pStyle w:val="Normal12Hanging"/>
      </w:pPr>
      <w:r w:rsidRPr="00EB68E3">
        <w:t>51.</w:t>
      </w:r>
      <w:r w:rsidRPr="00EB68E3">
        <w:tab/>
        <w:t>antaa tunnustusta viestinnän pääosaston pyrkimyksistä saavuttaa myös ne kansalaiset, jotka eivät ole automaattisesti kiinnostuneita parlamentin työstä; kannustaa pääsihteeriä laatimaan aidosti interaktiivisen viestintästrategian, joka ulottuu toimittajien ja opiskelijoiden kaltaisia kohderyhmiä pidemmälle, ja sisällyttämään siihen ”kuuntelutilan”, jolla kuullaan mahdollisia kriittisiä ääniä ja vastataan niihin;</w:t>
      </w:r>
    </w:p>
    <w:p w14:paraId="3B5129BF" w14:textId="4F230979" w:rsidR="00A4507B" w:rsidRPr="00EB68E3" w:rsidRDefault="00AB2E7A" w:rsidP="00EE1766">
      <w:pPr>
        <w:pStyle w:val="Normal12Hanging"/>
      </w:pPr>
      <w:r w:rsidRPr="00EB68E3">
        <w:t>52.</w:t>
      </w:r>
      <w:r w:rsidRPr="00EB68E3">
        <w:tab/>
        <w:t>panee merkille, että viestinnän pääosastossa tehtiin uudelleenjärjestely, jossa perustettiin kaksi uutta osastoa, joista toinen hoitaa kampanjoita ja toinen vierailijoihin liittyviä asioita, ja toteaa, että tällä pyritään varmistamaan vuoden 2019 EU-vaaleja koskevan strategian täysimääräinen toteuttaminen; kehottaa viestinnän pääosastoa jatkamaan työtään sellaisen kattavan strategian laatimiseksi, jolla torjutaan disinformaatiokampanjoita, joilla yritetään vaikuttaa vuoden 2019 EU-vaaleihin; on syvästi huolissaan siitä, että ulkopuoliset tahot voivat aiheuttaa häiriöitä ja vaarantaa vaalit levittämällä tahallisesti vääriä tietoja ja vaikuttamalla siten äänestyskäyttäytymiseen;</w:t>
      </w:r>
    </w:p>
    <w:p w14:paraId="33BB6AAA" w14:textId="0E2F552E" w:rsidR="00A4507B" w:rsidRPr="00EB68E3" w:rsidRDefault="00AB2E7A" w:rsidP="00EE1766">
      <w:pPr>
        <w:pStyle w:val="Normal12Hanging"/>
      </w:pPr>
      <w:r w:rsidRPr="00EB68E3">
        <w:t>53.</w:t>
      </w:r>
      <w:r w:rsidRPr="00EB68E3">
        <w:tab/>
        <w:t>panee merkille, että vuonna 2017 kansalaisten tiedusteluihin vastaava yksikkö (AskEP) käsitteli yli 9 200 yksittäistä tiedustelua ja 42 900 tiedustelua, jotka olivat peräisin nähtävästi koordinoiduista ajankohtaisia aiheita koskevista kirjoituskampanjoista (”write-in”); ehdottaa, että parlamentin vastaukset julkaistaan sen portaalissa;</w:t>
      </w:r>
    </w:p>
    <w:p w14:paraId="531BA70E" w14:textId="1495607E" w:rsidR="00BE32E9" w:rsidRPr="00EB68E3" w:rsidRDefault="00AB2E7A" w:rsidP="00BE32E9">
      <w:pPr>
        <w:pStyle w:val="Normal12Hanging"/>
      </w:pPr>
      <w:r w:rsidRPr="00EB68E3">
        <w:t>54.</w:t>
      </w:r>
      <w:r w:rsidRPr="00EB68E3">
        <w:tab/>
        <w:t>panee tyytyväisenä merkille, että toukokuussa 2017 avattiin Euroopan historian talo ja heinäkuussa 2017 Simone Veil Parlamentarium Strasbourgissa; toteaa, että toukokuun ja joulukuun välisenä aikana Euroopan historian talossa vieraili 99 344 vierailijaa; toteaa, että on valitettavaa, että sen avaaminen viivästyi yli vuoden; panee huolestuneena merkille, että 99 344 vierailijan määrä vaikuttaa vähäiseltä verrattuna 4,4 miljoonan euron henkilöstökustannuksiin: vakinaiseen henkilöstöön liittyvät kustannukset olivat 2,7 miljoonaa euroa ja sopimussuhteisiin toimihenkilöihin liittyvät kustannukset 1,7 miljoonaa euroa (turvallisuushenkilöstön kustannukset mukaan luettuina); kehottaa puhemiehistöä tekemään kustannus-hyötyanalyysin;</w:t>
      </w:r>
    </w:p>
    <w:p w14:paraId="55C9AED9" w14:textId="6B186858" w:rsidR="00BE32E9" w:rsidRPr="00EB68E3" w:rsidRDefault="00AB2E7A" w:rsidP="00BE32E9">
      <w:pPr>
        <w:pStyle w:val="Normal12Hanging"/>
      </w:pPr>
      <w:r w:rsidRPr="00EB68E3">
        <w:t>55.</w:t>
      </w:r>
      <w:r w:rsidRPr="00EB68E3">
        <w:tab/>
        <w:t>on erittäin huolissaan siitä, että huolimatta viestinnän pääosaston toteuttamista toimista unionin kansalaiset kokevat edelleen, etteivät saa tietoa unionista ja parlamentin saavutuksista ja toiminnasta; kehottaa viestinnän pääosastoa kehittämään edelleen innovatiivisia ideoita, joilla voidaan kuroa umpeen tämä kuilu unionin ja sen kansalaisten välillä, ja panee merkille vuoden 2019 EU-vaaleja koskevaa parlamentin viestintäkampanjaa varten ehdotetun innovatiivisen lähestymistavan;</w:t>
      </w:r>
    </w:p>
    <w:p w14:paraId="49D81BFA" w14:textId="443729B9" w:rsidR="00BE32E9" w:rsidRPr="00EB68E3" w:rsidRDefault="00AB2E7A" w:rsidP="00BE32E9">
      <w:pPr>
        <w:pStyle w:val="Normal12Hanging"/>
      </w:pPr>
      <w:r w:rsidRPr="00EB68E3">
        <w:t>56.</w:t>
      </w:r>
      <w:r w:rsidRPr="00EB68E3">
        <w:tab/>
        <w:t>kehottaa viestinnän pääosastoa varmistamaan, että vuoden 2019 EU-vaalien alla julkiset ja yksityiset tiedotusvälineet välittävät europarlamentaarikkojen ja Euroopan parlamentissa edustettuina olevien poliittisten ryhmien näkemyksiä tavalla, jolla varmistetaan puolueettomuus ja moniarvoisuus;</w:t>
      </w:r>
    </w:p>
    <w:p w14:paraId="3FBD6464" w14:textId="59FA92FD" w:rsidR="00A4507B" w:rsidRPr="00EB68E3" w:rsidRDefault="00A4507B" w:rsidP="00EE1766">
      <w:pPr>
        <w:pStyle w:val="Normal12Hanging"/>
        <w:rPr>
          <w:b/>
          <w:i/>
        </w:rPr>
      </w:pPr>
      <w:r w:rsidRPr="00EB68E3">
        <w:rPr>
          <w:b/>
          <w:i/>
        </w:rPr>
        <w:t>Euroopan parlamentin yhteystoimistot</w:t>
      </w:r>
    </w:p>
    <w:p w14:paraId="7258FACF" w14:textId="54666A87" w:rsidR="00BE32E9" w:rsidRPr="00EB68E3" w:rsidRDefault="00AB2E7A" w:rsidP="00BE32E9">
      <w:pPr>
        <w:pStyle w:val="Normal12Hanging"/>
      </w:pPr>
      <w:r w:rsidRPr="00EB68E3">
        <w:t>57.</w:t>
      </w:r>
      <w:r w:rsidRPr="00EB68E3">
        <w:tab/>
        <w:t>panee merkille puhemiehistön marraskuussa 2017 hyväksymän parlamentin yhteystoimistoja koskevan uudistuksen, jossa niiden tehtävänkuvaa tarkistettiin pyrkien edistämään yhteyksiä kansalaisiin, tiedotusvälineisiin ja sidosryhmiin kansalaisten tavoittamiseksi; kehottaa yhteystoimistoja varmistamaan, että kansalaiset ovat tietoisia työstä, jota EU:n toimielimet tekevät, ja että he ovat tietoisia yhteystoimistojen olemassaolosta;</w:t>
      </w:r>
    </w:p>
    <w:p w14:paraId="12C02B2C" w14:textId="1F028090" w:rsidR="00A4507B" w:rsidRPr="00EB68E3" w:rsidRDefault="00AB2E7A" w:rsidP="00EE1766">
      <w:pPr>
        <w:pStyle w:val="Normal12Hanging"/>
      </w:pPr>
      <w:r w:rsidRPr="00EB68E3">
        <w:t>58.</w:t>
      </w:r>
      <w:r w:rsidRPr="00EB68E3">
        <w:tab/>
        <w:t>panee merkille, että vuoden 2017 menoerät jakautuvat seuraavasti:</w:t>
      </w:r>
    </w:p>
    <w:tbl>
      <w:tblPr>
        <w:tblStyle w:val="TableGrid"/>
        <w:tblW w:w="0" w:type="auto"/>
        <w:tblLook w:val="04A0" w:firstRow="1" w:lastRow="0" w:firstColumn="1" w:lastColumn="0" w:noHBand="0" w:noVBand="1"/>
      </w:tblPr>
      <w:tblGrid>
        <w:gridCol w:w="4508"/>
        <w:gridCol w:w="4508"/>
      </w:tblGrid>
      <w:tr w:rsidR="00A4507B" w:rsidRPr="00EB68E3" w14:paraId="22C8F97E" w14:textId="77777777" w:rsidTr="00A4507B">
        <w:trPr>
          <w:trHeight w:val="557"/>
        </w:trPr>
        <w:tc>
          <w:tcPr>
            <w:tcW w:w="4508" w:type="dxa"/>
            <w:tcBorders>
              <w:top w:val="single" w:sz="4" w:space="0" w:color="auto"/>
              <w:left w:val="single" w:sz="4" w:space="0" w:color="auto"/>
              <w:bottom w:val="single" w:sz="4" w:space="0" w:color="auto"/>
              <w:right w:val="single" w:sz="4" w:space="0" w:color="auto"/>
            </w:tcBorders>
            <w:hideMark/>
          </w:tcPr>
          <w:p w14:paraId="7144F58C" w14:textId="77777777" w:rsidR="00A4507B" w:rsidRPr="00EB68E3" w:rsidRDefault="00A4507B" w:rsidP="00EE1766">
            <w:pPr>
              <w:rPr>
                <w:b/>
              </w:rPr>
            </w:pPr>
            <w:r w:rsidRPr="00EB68E3">
              <w:rPr>
                <w:b/>
              </w:rPr>
              <w:t>Menoerä</w:t>
            </w:r>
          </w:p>
        </w:tc>
        <w:tc>
          <w:tcPr>
            <w:tcW w:w="4508" w:type="dxa"/>
            <w:tcBorders>
              <w:top w:val="single" w:sz="4" w:space="0" w:color="auto"/>
              <w:left w:val="single" w:sz="4" w:space="0" w:color="auto"/>
              <w:bottom w:val="single" w:sz="4" w:space="0" w:color="auto"/>
              <w:right w:val="single" w:sz="4" w:space="0" w:color="auto"/>
            </w:tcBorders>
            <w:hideMark/>
          </w:tcPr>
          <w:p w14:paraId="7D8CEF65" w14:textId="77777777" w:rsidR="00A4507B" w:rsidRPr="00EB68E3" w:rsidRDefault="00A4507B" w:rsidP="00EE1766">
            <w:pPr>
              <w:rPr>
                <w:b/>
              </w:rPr>
            </w:pPr>
            <w:r w:rsidRPr="00EB68E3">
              <w:rPr>
                <w:b/>
              </w:rPr>
              <w:t>Menot vuonna 2017</w:t>
            </w:r>
          </w:p>
        </w:tc>
      </w:tr>
      <w:tr w:rsidR="00A4507B" w:rsidRPr="00EB68E3" w14:paraId="788964B1"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13181DBC" w14:textId="76D4FA01" w:rsidR="00A4507B" w:rsidRPr="00EB68E3" w:rsidRDefault="00F93DCA" w:rsidP="00EE1766">
            <w:r w:rsidRPr="00EB68E3">
              <w:t>Yleiset viestintätoimet</w:t>
            </w:r>
          </w:p>
        </w:tc>
        <w:tc>
          <w:tcPr>
            <w:tcW w:w="4508" w:type="dxa"/>
            <w:tcBorders>
              <w:top w:val="single" w:sz="4" w:space="0" w:color="auto"/>
              <w:left w:val="single" w:sz="4" w:space="0" w:color="auto"/>
              <w:bottom w:val="single" w:sz="4" w:space="0" w:color="auto"/>
              <w:right w:val="single" w:sz="4" w:space="0" w:color="auto"/>
            </w:tcBorders>
            <w:hideMark/>
          </w:tcPr>
          <w:p w14:paraId="1F39694D" w14:textId="13FA4C4C" w:rsidR="00A4507B" w:rsidRPr="00EB68E3" w:rsidRDefault="00A4507B" w:rsidP="00EE1766">
            <w:r w:rsidRPr="00EB68E3">
              <w:t>5 945 229 euroa</w:t>
            </w:r>
          </w:p>
        </w:tc>
      </w:tr>
      <w:tr w:rsidR="00A4507B" w:rsidRPr="00EB68E3" w14:paraId="718065ED"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49E8E392" w14:textId="6387F903" w:rsidR="00A4507B" w:rsidRPr="00EB68E3" w:rsidRDefault="00F93DCA" w:rsidP="00EE1766">
            <w:r w:rsidRPr="00EB68E3">
              <w:t xml:space="preserve">Menot erityisistä toimista </w:t>
            </w:r>
          </w:p>
        </w:tc>
        <w:tc>
          <w:tcPr>
            <w:tcW w:w="4508" w:type="dxa"/>
            <w:tcBorders>
              <w:top w:val="single" w:sz="4" w:space="0" w:color="auto"/>
              <w:left w:val="single" w:sz="4" w:space="0" w:color="auto"/>
              <w:bottom w:val="single" w:sz="4" w:space="0" w:color="auto"/>
              <w:right w:val="single" w:sz="4" w:space="0" w:color="auto"/>
            </w:tcBorders>
            <w:hideMark/>
          </w:tcPr>
          <w:p w14:paraId="066F28E4" w14:textId="364908BB" w:rsidR="00A4507B" w:rsidRPr="00EB68E3" w:rsidRDefault="00A4507B" w:rsidP="00EE1766">
            <w:r w:rsidRPr="00EB68E3">
              <w:t>5 320 867 euroa</w:t>
            </w:r>
          </w:p>
        </w:tc>
      </w:tr>
      <w:tr w:rsidR="00A4507B" w:rsidRPr="00EB68E3" w14:paraId="476B79FB"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65D330A7" w14:textId="7268E3A5" w:rsidR="00A4507B" w:rsidRPr="00EB68E3" w:rsidRDefault="00F93DCA" w:rsidP="00EE1766">
            <w:r w:rsidRPr="00EB68E3">
              <w:t xml:space="preserve">Kiinteistökustannukset yhteensä </w:t>
            </w:r>
          </w:p>
        </w:tc>
        <w:tc>
          <w:tcPr>
            <w:tcW w:w="4508" w:type="dxa"/>
            <w:tcBorders>
              <w:top w:val="single" w:sz="4" w:space="0" w:color="auto"/>
              <w:left w:val="single" w:sz="4" w:space="0" w:color="auto"/>
              <w:bottom w:val="single" w:sz="4" w:space="0" w:color="auto"/>
              <w:right w:val="single" w:sz="4" w:space="0" w:color="auto"/>
            </w:tcBorders>
            <w:hideMark/>
          </w:tcPr>
          <w:p w14:paraId="71FE64BC" w14:textId="0B2096D5" w:rsidR="00A4507B" w:rsidRPr="00EB68E3" w:rsidRDefault="00A4507B" w:rsidP="00EE1766">
            <w:r w:rsidRPr="00EB68E3">
              <w:t>8 874 530 euroa</w:t>
            </w:r>
          </w:p>
        </w:tc>
      </w:tr>
      <w:tr w:rsidR="00A4507B" w:rsidRPr="00EB68E3" w14:paraId="023B7C77"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01336B6D" w14:textId="77777777" w:rsidR="00A4507B" w:rsidRPr="00EB68E3" w:rsidRDefault="00A4507B" w:rsidP="00EE1766">
            <w:r w:rsidRPr="00EB68E3">
              <w:t xml:space="preserve">Turvallisuuslaitteistojen kunnossapito </w:t>
            </w:r>
          </w:p>
        </w:tc>
        <w:tc>
          <w:tcPr>
            <w:tcW w:w="4508" w:type="dxa"/>
            <w:tcBorders>
              <w:top w:val="single" w:sz="4" w:space="0" w:color="auto"/>
              <w:left w:val="single" w:sz="4" w:space="0" w:color="auto"/>
              <w:bottom w:val="single" w:sz="4" w:space="0" w:color="auto"/>
              <w:right w:val="single" w:sz="4" w:space="0" w:color="auto"/>
            </w:tcBorders>
            <w:hideMark/>
          </w:tcPr>
          <w:p w14:paraId="2CACF4E3" w14:textId="4E0B5C2A" w:rsidR="00A4507B" w:rsidRPr="00EB68E3" w:rsidRDefault="00A4507B" w:rsidP="00EE1766">
            <w:r w:rsidRPr="00EB68E3">
              <w:t>1 733 071,32 euroa</w:t>
            </w:r>
          </w:p>
        </w:tc>
      </w:tr>
    </w:tbl>
    <w:p w14:paraId="3F229199" w14:textId="2F99A98A" w:rsidR="00A4507B" w:rsidRPr="00EB68E3" w:rsidRDefault="00AB2E7A" w:rsidP="00EE1766">
      <w:pPr>
        <w:spacing w:before="240" w:after="240"/>
        <w:ind w:left="567" w:hanging="567"/>
      </w:pPr>
      <w:r w:rsidRPr="00EB68E3">
        <w:t>59.</w:t>
      </w:r>
      <w:r w:rsidRPr="00EB68E3">
        <w:tab/>
        <w:t>panee merkille, että kiinteistökustannusten kokonaismenot jakautuvat seuraavasti:</w:t>
      </w:r>
    </w:p>
    <w:tbl>
      <w:tblPr>
        <w:tblStyle w:val="TableGrid"/>
        <w:tblW w:w="0" w:type="auto"/>
        <w:tblLook w:val="04A0" w:firstRow="1" w:lastRow="0" w:firstColumn="1" w:lastColumn="0" w:noHBand="0" w:noVBand="1"/>
      </w:tblPr>
      <w:tblGrid>
        <w:gridCol w:w="4508"/>
        <w:gridCol w:w="4508"/>
      </w:tblGrid>
      <w:tr w:rsidR="00A4507B" w:rsidRPr="00EB68E3" w14:paraId="5DC89315"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2C386ACC" w14:textId="77777777" w:rsidR="00A4507B" w:rsidRPr="00EB68E3" w:rsidRDefault="00A4507B" w:rsidP="00EE1766">
            <w:r w:rsidRPr="00EB68E3">
              <w:t>Vuokrat</w:t>
            </w:r>
          </w:p>
        </w:tc>
        <w:tc>
          <w:tcPr>
            <w:tcW w:w="4508" w:type="dxa"/>
            <w:tcBorders>
              <w:top w:val="single" w:sz="4" w:space="0" w:color="auto"/>
              <w:left w:val="single" w:sz="4" w:space="0" w:color="auto"/>
              <w:bottom w:val="single" w:sz="4" w:space="0" w:color="auto"/>
              <w:right w:val="single" w:sz="4" w:space="0" w:color="auto"/>
            </w:tcBorders>
            <w:hideMark/>
          </w:tcPr>
          <w:p w14:paraId="0B65DC7E" w14:textId="14D34F58" w:rsidR="00A4507B" w:rsidRPr="00EB68E3" w:rsidRDefault="00A4507B" w:rsidP="00EE1766">
            <w:r w:rsidRPr="00EB68E3">
              <w:t>5 898 724 euroa</w:t>
            </w:r>
          </w:p>
        </w:tc>
      </w:tr>
      <w:tr w:rsidR="00A4507B" w:rsidRPr="00EB68E3" w14:paraId="68C4522E"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72BF6724" w14:textId="77777777" w:rsidR="00A4507B" w:rsidRPr="00EB68E3" w:rsidRDefault="00A4507B" w:rsidP="00EE1766">
            <w:r w:rsidRPr="00EB68E3">
              <w:t>Urakat</w:t>
            </w:r>
          </w:p>
        </w:tc>
        <w:tc>
          <w:tcPr>
            <w:tcW w:w="4508" w:type="dxa"/>
            <w:tcBorders>
              <w:top w:val="single" w:sz="4" w:space="0" w:color="auto"/>
              <w:left w:val="single" w:sz="4" w:space="0" w:color="auto"/>
              <w:bottom w:val="single" w:sz="4" w:space="0" w:color="auto"/>
              <w:right w:val="single" w:sz="4" w:space="0" w:color="auto"/>
            </w:tcBorders>
            <w:hideMark/>
          </w:tcPr>
          <w:p w14:paraId="33E4BA1A" w14:textId="0997AD60" w:rsidR="00A4507B" w:rsidRPr="00EB68E3" w:rsidRDefault="00A4507B" w:rsidP="00EE1766">
            <w:r w:rsidRPr="00EB68E3">
              <w:t>148 573 euroa</w:t>
            </w:r>
          </w:p>
        </w:tc>
      </w:tr>
      <w:tr w:rsidR="00A4507B" w:rsidRPr="00EB68E3" w14:paraId="54429C75"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4E91ADA4" w14:textId="77777777" w:rsidR="00A4507B" w:rsidRPr="00EB68E3" w:rsidRDefault="00A4507B" w:rsidP="00EE1766">
            <w:r w:rsidRPr="00EB68E3">
              <w:t>Erityiset kiinteistöjen hallinnointikustannukset</w:t>
            </w:r>
          </w:p>
        </w:tc>
        <w:tc>
          <w:tcPr>
            <w:tcW w:w="4508" w:type="dxa"/>
            <w:tcBorders>
              <w:top w:val="single" w:sz="4" w:space="0" w:color="auto"/>
              <w:left w:val="single" w:sz="4" w:space="0" w:color="auto"/>
              <w:bottom w:val="single" w:sz="4" w:space="0" w:color="auto"/>
              <w:right w:val="single" w:sz="4" w:space="0" w:color="auto"/>
            </w:tcBorders>
            <w:hideMark/>
          </w:tcPr>
          <w:p w14:paraId="45BF3AE1" w14:textId="1AE2FD84" w:rsidR="00A4507B" w:rsidRPr="00EB68E3" w:rsidRDefault="00A4507B" w:rsidP="00EE1766">
            <w:r w:rsidRPr="00EB68E3">
              <w:t>266 977 euroa</w:t>
            </w:r>
          </w:p>
        </w:tc>
      </w:tr>
      <w:tr w:rsidR="00A4507B" w:rsidRPr="00EB68E3" w14:paraId="14F04A3B"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1A7922BA" w14:textId="77777777" w:rsidR="00A4507B" w:rsidRPr="00EB68E3" w:rsidRDefault="00A4507B" w:rsidP="00EE1766">
            <w:r w:rsidRPr="00EB68E3">
              <w:t xml:space="preserve">Siivous ja ylläpito </w:t>
            </w:r>
          </w:p>
        </w:tc>
        <w:tc>
          <w:tcPr>
            <w:tcW w:w="4508" w:type="dxa"/>
            <w:tcBorders>
              <w:top w:val="single" w:sz="4" w:space="0" w:color="auto"/>
              <w:left w:val="single" w:sz="4" w:space="0" w:color="auto"/>
              <w:bottom w:val="single" w:sz="4" w:space="0" w:color="auto"/>
              <w:right w:val="single" w:sz="4" w:space="0" w:color="auto"/>
            </w:tcBorders>
            <w:hideMark/>
          </w:tcPr>
          <w:p w14:paraId="3435F477" w14:textId="3CDA19E0" w:rsidR="00A4507B" w:rsidRPr="00EB68E3" w:rsidRDefault="00A4507B" w:rsidP="00EE1766">
            <w:r w:rsidRPr="00EB68E3">
              <w:t>1 126 853 euroa</w:t>
            </w:r>
          </w:p>
        </w:tc>
      </w:tr>
      <w:tr w:rsidR="00A4507B" w:rsidRPr="00EB68E3" w14:paraId="4A6DF306" w14:textId="77777777" w:rsidTr="00A4507B">
        <w:tc>
          <w:tcPr>
            <w:tcW w:w="4508" w:type="dxa"/>
            <w:tcBorders>
              <w:top w:val="single" w:sz="4" w:space="0" w:color="auto"/>
              <w:left w:val="single" w:sz="4" w:space="0" w:color="auto"/>
              <w:bottom w:val="single" w:sz="4" w:space="0" w:color="auto"/>
              <w:right w:val="single" w:sz="4" w:space="0" w:color="auto"/>
            </w:tcBorders>
            <w:hideMark/>
          </w:tcPr>
          <w:p w14:paraId="615C7A78" w14:textId="77777777" w:rsidR="00A4507B" w:rsidRPr="00EB68E3" w:rsidRDefault="00A4507B" w:rsidP="00EE1766">
            <w:r w:rsidRPr="00EB68E3">
              <w:t>Yleishyödylliset palvelut ja palvelumaksut</w:t>
            </w:r>
          </w:p>
        </w:tc>
        <w:tc>
          <w:tcPr>
            <w:tcW w:w="4508" w:type="dxa"/>
            <w:tcBorders>
              <w:top w:val="single" w:sz="4" w:space="0" w:color="auto"/>
              <w:left w:val="single" w:sz="4" w:space="0" w:color="auto"/>
              <w:bottom w:val="single" w:sz="4" w:space="0" w:color="auto"/>
              <w:right w:val="single" w:sz="4" w:space="0" w:color="auto"/>
            </w:tcBorders>
            <w:hideMark/>
          </w:tcPr>
          <w:p w14:paraId="33D340E9" w14:textId="4EE5EDEA" w:rsidR="00A4507B" w:rsidRPr="00EB68E3" w:rsidRDefault="00A4507B" w:rsidP="00EE1766">
            <w:r w:rsidRPr="00EB68E3">
              <w:t>1 433 403 euroa</w:t>
            </w:r>
          </w:p>
        </w:tc>
      </w:tr>
    </w:tbl>
    <w:p w14:paraId="2A4D6803" w14:textId="78699D36" w:rsidR="006E46BD" w:rsidRPr="00EB68E3" w:rsidRDefault="00AB2E7A" w:rsidP="0086406C">
      <w:pPr>
        <w:pStyle w:val="Normal12Hanging"/>
        <w:spacing w:before="240"/>
      </w:pPr>
      <w:r w:rsidRPr="00EB68E3">
        <w:t>60.</w:t>
      </w:r>
      <w:r w:rsidRPr="00EB68E3">
        <w:tab/>
        <w:t xml:space="preserve">panee merkille lisääntyneet viestintätoimet, joita yhteystoimistot toteuttivat vuonna 2017 ja jotka käsittivät päivittäiset suhteet alueellisiin ja paikallisiin tiedotusvälineisiin, kohdennetun näkyvyyden sosiaalisessa mediassa ja paikallisen yhteisön hallinnan, paikallisten tapahtumien järjestämisen sekä suhteet paikallisviranomaisiin, kouluihin ja sidosryhmiin; pitää valitettavana, että kyselylomakkeeseen annetussa vastauksessa ei ilmoitettu tiettyjä menoeriä, kuten palkat ja virkamatkakulut; hyödyntää vuoden 2016 vastuuvapausmenettelyn yhteydessä toimitettuja tietoja, joiden mukaan yhteystoimistojen henkilöstölle maksetut palkat olivat 23 058 210 euroa ja virkamatkakulut 1 383 843 euroa; olettaa, että nämä määrät eivät ole muuttuneet merkittävästi varainhoitovuoden 2017 aikana; </w:t>
      </w:r>
    </w:p>
    <w:p w14:paraId="27F5A958" w14:textId="34A5046E" w:rsidR="00BE32E9" w:rsidRPr="00EB68E3" w:rsidRDefault="00AB2E7A" w:rsidP="00BE32E9">
      <w:pPr>
        <w:pStyle w:val="Normal12Hanging"/>
      </w:pPr>
      <w:r w:rsidRPr="00EB68E3">
        <w:t>61.</w:t>
      </w:r>
      <w:r w:rsidRPr="00EB68E3">
        <w:tab/>
        <w:t>toteaa, että tehokas viestintä jäsenvaltioissa on tärkeää, mutta korostaa kustannustehokkuuden tarvetta, ja on vakuuttunut, että tarkistettu tehtävänkuva edistää tämän tavoitteen saavuttamista; kehottaa kaikkia asiaan liittyviä päätöksentekoelimiä pyrkimään saamaan enemmän lisäarvoa etenkin juoksevista kustannuksista;</w:t>
      </w:r>
    </w:p>
    <w:p w14:paraId="42F134E8" w14:textId="06C10ACB" w:rsidR="00BE32E9" w:rsidRPr="00EB68E3" w:rsidRDefault="00AB2E7A" w:rsidP="00BE32E9">
      <w:pPr>
        <w:pStyle w:val="Normal12Hanging"/>
      </w:pPr>
      <w:r w:rsidRPr="00EB68E3">
        <w:t>62.</w:t>
      </w:r>
      <w:r w:rsidRPr="00EB68E3">
        <w:tab/>
        <w:t>painottaa tarvetta nykyaikaistaa parlamentin yhteystoimistojen tehtävää optimoimalla uuden viestintätekniikan käyttö, koska niiden tehtävänä on parantaa kansalaisille annettavaa tiedotusta;</w:t>
      </w:r>
    </w:p>
    <w:p w14:paraId="65F33DB5" w14:textId="376B6686" w:rsidR="00A4507B" w:rsidRPr="00EB68E3" w:rsidRDefault="00A4507B" w:rsidP="00EE1766">
      <w:pPr>
        <w:pStyle w:val="Normal12Hanging"/>
        <w:rPr>
          <w:b/>
          <w:i/>
        </w:rPr>
      </w:pPr>
      <w:r w:rsidRPr="00EB68E3">
        <w:rPr>
          <w:b/>
          <w:i/>
        </w:rPr>
        <w:t>Henkilöstöasioiden pääosasto</w:t>
      </w:r>
    </w:p>
    <w:p w14:paraId="5CB4B4A2" w14:textId="3C6F410D" w:rsidR="006E46BD" w:rsidRPr="00EB68E3" w:rsidRDefault="00AB2E7A" w:rsidP="00BE32E9">
      <w:pPr>
        <w:pStyle w:val="Normal12Hanging"/>
      </w:pPr>
      <w:r w:rsidRPr="00EB68E3">
        <w:t>63.</w:t>
      </w:r>
      <w:r w:rsidRPr="00EB68E3">
        <w:tab/>
        <w:t>panee merkille, että henkilöstöasioiden pääosaston pääindikaattori vuonna 2017 oli toteutusaika; panee tyytyväisenä merkille, että tiedonkeruuta koskevia tavoitteita ja menetelmiä tarkennettiin ja tulokset arvioitiin yleisesti myönteisiksi; panee huolestuneena merkille, että tavoitteita parantaa valtuutettujen avustajien palvelukseenottomenettelyä ja menettelyä, jota sovelletaan parlamentin lastentarhoihin pääsyyn, ei saavutettu, mutta toteaa, että aiemmin esiin tulleet ongelmat ratkaistiin vuonna 2018;</w:t>
      </w:r>
    </w:p>
    <w:p w14:paraId="380F7621" w14:textId="4643D18F" w:rsidR="00BE32E9" w:rsidRPr="00EB68E3" w:rsidRDefault="00AB2E7A" w:rsidP="00BE32E9">
      <w:pPr>
        <w:pStyle w:val="Normal12Hanging"/>
      </w:pPr>
      <w:r w:rsidRPr="00EB68E3">
        <w:t>64.</w:t>
      </w:r>
      <w:r w:rsidRPr="00EB68E3">
        <w:tab/>
        <w:t>korostaa, että valtuutettujen avustajien palvelukseenottomenettely voi näin ollen osoittautua ongelmalliseksi tulevan vaalikauden alussa; kehottaa sen vuoksi pääsihteeriä parlamentin jäsenten ja heidän avustajiensa etujen mukaisesti ottamaan käyttöön kaikki tarvittavat tekniset ja henkilöstöön liittyvät järjestelyt ongelmien ja viivästysten välttämiseksi ja kiinnittämään erityistä huomiota vuosina 2009 ja 2014 esiin tulleiden ongelmien välttämiseen;</w:t>
      </w:r>
    </w:p>
    <w:p w14:paraId="0D0FD6F6" w14:textId="3B5E3C68" w:rsidR="00A4507B" w:rsidRPr="00EB68E3" w:rsidRDefault="00AB2E7A" w:rsidP="00521511">
      <w:pPr>
        <w:pStyle w:val="Normal12Hanging"/>
        <w:widowControl/>
      </w:pPr>
      <w:r w:rsidRPr="00EB68E3">
        <w:t>65.</w:t>
      </w:r>
      <w:r w:rsidRPr="00EB68E3">
        <w:tab/>
        <w:t>toteaa, että parlamentin palveluksessa toimi joulukuussa 2017 yhteensä 9 682 toimihenkilöä, johon sisältyy vakinainen ja väliaikainen henkilöstö, sopimussuhteinen henkilöstö ja valtuutetut avustajat (vuonna 2016 määrä oli 9 643 toimihenkilöä); muistuttaa, että vuoden 2017 talousarviota koskevassa sovittelumenettelyssä poistettiin yhteensä 136 virkaa/tointa;</w:t>
      </w:r>
    </w:p>
    <w:p w14:paraId="5068CEFD" w14:textId="29402990" w:rsidR="006E46BD" w:rsidRPr="00EB68E3" w:rsidRDefault="00AB2E7A" w:rsidP="006E46BD">
      <w:pPr>
        <w:pStyle w:val="Normal12Hanging"/>
      </w:pPr>
      <w:r w:rsidRPr="00EB68E3">
        <w:t>66.</w:t>
      </w:r>
      <w:r w:rsidRPr="00EB68E3">
        <w:tab/>
        <w:t>panee merkille sellaisten valtuutettujen avustajien hankalan tilanteen, jotka ovat työskennelleet parlamentissa kahden vaalikauden ajan keskeytyksettä mutta eivät ole ehtineet työskennellä vaadittua kymmenen vuoden ajanjaksoa, koska vuoden 2014 vaalit järjestettiin varhain ja koska vuoden 2009 ensimmäiset palvelukseenotot viivästyivät tuolloin voimaan tulleiden sääntöjen vuoksi, ja näin ollen heiltä puuttuu yhdestä kahteen kuukautta ollakseen oikeutettuja saamaan eläkettä unionin eläkejärjestelmästä; pitää myönteisenä, että puhemiehistö on keskustellut asiasta ja pyrkii löytämään ratkaisuja yhdessä henkilöstöasioiden pääosaston ja valtuutettujen avustajien edustajien kanssa; pyytää, että näissä ratkaisuissa vältetään parhaan mukaan tekemästä sellaisia muutoksia valtuutettujen avustajien sopimusjärjestelyihin, joiden vuoksi nämä voisivat menettää vuoden 2009 palvelukseenoton yhteydessä saamansa oikeudet;</w:t>
      </w:r>
    </w:p>
    <w:p w14:paraId="346CB896" w14:textId="766BCE9F" w:rsidR="006E46BD" w:rsidRPr="00EB68E3" w:rsidRDefault="00AB2E7A" w:rsidP="006E46BD">
      <w:pPr>
        <w:pStyle w:val="Normal12Hanging"/>
      </w:pPr>
      <w:r w:rsidRPr="00EB68E3">
        <w:t>67.</w:t>
      </w:r>
      <w:r w:rsidRPr="00EB68E3">
        <w:tab/>
        <w:t>kehottaa hallintoa tarjoamaan mahdollisimman varhain tulevan vaalikauden alussa koulutusta tai julkaisuja, jotka on suunnattu erityisesti uusille valtuutetuille avustajille, myös käytännön ja hallinnollisissa asioissa (kuten matkamääräykset, lääkärintarkastukset, akkreditointi, pysäköintitarrat, vierailijaryhmät ja näyttelyt), sellaisten järjestelmään liittyvien virheiden välttämiseksi, jotka estävät heitä koskevien hallintomenettelyjen sujuvan etenemisen;</w:t>
      </w:r>
    </w:p>
    <w:p w14:paraId="103E9510" w14:textId="2EA5A843" w:rsidR="00BE32E9" w:rsidRPr="00EB68E3" w:rsidRDefault="00AB2E7A" w:rsidP="00BE32E9">
      <w:pPr>
        <w:pStyle w:val="Normal12Hanging"/>
      </w:pPr>
      <w:r w:rsidRPr="00EB68E3">
        <w:t>68.</w:t>
      </w:r>
      <w:r w:rsidRPr="00EB68E3">
        <w:tab/>
        <w:t>panee merkille, että tiettyjen toimintojen, kuten ruokaloiden ja siivouksen tapauksessa, parlamentti on pitänyt ulkoistamista parhaana vaihtoehtona ja että tämän seurauksena tietyissä pääosastoissa ulkopuolisen henkilöstön määrä parlamentin tiloissa voi jopa ylittää virkamiesten määrän;</w:t>
      </w:r>
    </w:p>
    <w:p w14:paraId="11EED1A7" w14:textId="18B8078A" w:rsidR="00BE32E9" w:rsidRPr="00EB68E3" w:rsidRDefault="00AB2E7A" w:rsidP="00BE32E9">
      <w:pPr>
        <w:pStyle w:val="Normal12Hanging"/>
      </w:pPr>
      <w:r w:rsidRPr="00EB68E3">
        <w:t>69.</w:t>
      </w:r>
      <w:r w:rsidRPr="00EB68E3">
        <w:tab/>
        <w:t>toteaa kuitenkin, etteivät tällaiset ulkoistamispäätökset selitä kaikkea ulkopuolisen henkilöstön käyttöä;</w:t>
      </w:r>
    </w:p>
    <w:p w14:paraId="222151C3" w14:textId="6705F1ED" w:rsidR="009B322C" w:rsidRPr="00EB68E3" w:rsidRDefault="00AB2E7A" w:rsidP="009B322C">
      <w:pPr>
        <w:pStyle w:val="Normal12Hanging"/>
      </w:pPr>
      <w:r w:rsidRPr="00EB68E3">
        <w:t>70.</w:t>
      </w:r>
      <w:r w:rsidRPr="00EB68E3">
        <w:tab/>
        <w:t>on huolissaan siitä, miten alalla toteutettava hajauttaminen vaikuttaa parlamentin ravintolapalveluista vastaavan nykyisen henkilökunnan työn jatkuvuuteen; pyytää toteuttamaan tarvittavat toimenpiteet sen takaamiseksi, että nykyinen henkilökunta säilyttää työpaikkansa;</w:t>
      </w:r>
    </w:p>
    <w:p w14:paraId="4A20C58A" w14:textId="01DE0C09" w:rsidR="00BE32E9" w:rsidRPr="00EB68E3" w:rsidRDefault="001B7898" w:rsidP="00BE32E9">
      <w:pPr>
        <w:pStyle w:val="Normal12Hanging"/>
      </w:pPr>
      <w:r w:rsidRPr="00EB68E3">
        <w:t>71.</w:t>
      </w:r>
      <w:r w:rsidRPr="00EB68E3">
        <w:tab/>
        <w:t>panee merkille, että kuljettajapalvelut siirrettiin talon sisäisiksi resursseiksi vuonna 2017 lähinnä jäsenten turvallisuuden parantamiseksi; toteaa, että tämä antoi parlamentille mahdollisuuden tehdä kuljettajien turvallisuusselvitykset ennen heidän palkkaamistaan ja tarjota henkilöstölleen jatkuvaa koulutusta ja seurantaa; panee tyytyväisenä merkille, että vuonna 2017 palvelukseen otettiin 116 autonkuljettajaa ja logistiikasta vastaavaa toimihenkilöä; pyytää toimittamaan kustannuskatsauksen kuljettajapalvelujen siirtämisestä talon sisäisiksi resursseiksi;</w:t>
      </w:r>
    </w:p>
    <w:p w14:paraId="31AA3178" w14:textId="3E8078A1" w:rsidR="009B322C" w:rsidRPr="00EB68E3" w:rsidRDefault="001B7898" w:rsidP="009B322C">
      <w:pPr>
        <w:pStyle w:val="Normal12Hanging"/>
      </w:pPr>
      <w:r w:rsidRPr="00EB68E3">
        <w:t>72.</w:t>
      </w:r>
      <w:r w:rsidRPr="00EB68E3">
        <w:tab/>
        <w:t>tukee pyrkimyksiä siirtää kuljettajapalvelut talon sisäisiksi palveluiksi ja on tyytyväinen siinä tähän mennessä saavutettuun edistykseen; panee merkille, että menettely kuljettajapalvelujen siirtämisestä talon sisäisiksi palveluiksi auttoi parantamaan jäsenille tarjottavien palvelujen laatua ja lisäämään palvelujen määrää sekä vastaamaan tehokkaasti ja vaikuttavasti ennakoimattomiin hätätilanteisiin tai kysynnän äkilliseen kasvuun;</w:t>
      </w:r>
    </w:p>
    <w:p w14:paraId="0FCC97AB" w14:textId="4095E652" w:rsidR="00BE32E9" w:rsidRPr="00EB68E3" w:rsidRDefault="001B7898" w:rsidP="00BE32E9">
      <w:pPr>
        <w:pStyle w:val="Normal12Hanging"/>
      </w:pPr>
      <w:r w:rsidRPr="00EB68E3">
        <w:t>73.</w:t>
      </w:r>
      <w:r w:rsidRPr="00EB68E3">
        <w:tab/>
        <w:t>panee tyytyväisenä merkille, että parlamentin pääsihteeristössä on pantu täytäntöön satunnaisen etätyön järjestelmä; kannattaa selvityksen laatimista tämän etätyöjärjestelmän ensimmäisestä vuodesta ja pyytää jakamaan arvioinnin tulokset parlamentin jäsenille ja kaikkiin parlamentin yksiköihin; katsoo, että jos arviointi on myönteinen, järjestelmä olisi ulotettava koskemaan koko henkilöstöä, mukaan lukien valtuutetut avustajat ja poliittisten ryhmien palveluksessa oleva henkilöstö;</w:t>
      </w:r>
    </w:p>
    <w:p w14:paraId="179EB9CE" w14:textId="51B1AEC8" w:rsidR="009B322C" w:rsidRPr="00EB68E3" w:rsidRDefault="001B7898" w:rsidP="009B322C">
      <w:pPr>
        <w:pStyle w:val="Normal12Hanging"/>
      </w:pPr>
      <w:r w:rsidRPr="00EB68E3">
        <w:t>74.</w:t>
      </w:r>
      <w:r w:rsidRPr="00EB68E3">
        <w:tab/>
        <w:t>panee tyytyväisenä merkille, että yhtäläisten mahdollisuuksien edistäminen on edelleen keskeinen osatekijä parlamentin henkilöstöpolitiikassa; pitää erittäin valitettavana, että sukupuolten tasa-arvoa koskevaa etenemissuunnitelmaa ei ole pantu täysin täytäntöön, ja toteaa, että tämä koskee erityisesti naisten osuutta keskijohdossa ja ylemmässä johdossa (40 prosenttia) vuoteen 2020 mennessä;</w:t>
      </w:r>
    </w:p>
    <w:p w14:paraId="0D44F3ED" w14:textId="7AEB7465" w:rsidR="00460C2F" w:rsidRPr="00EB68E3" w:rsidRDefault="001B7898" w:rsidP="001849E4">
      <w:pPr>
        <w:spacing w:after="240"/>
        <w:ind w:left="567" w:hanging="567"/>
      </w:pPr>
      <w:r w:rsidRPr="00EB68E3">
        <w:t>75.</w:t>
      </w:r>
      <w:r w:rsidRPr="00EB68E3">
        <w:rPr>
          <w:b/>
          <w:i/>
        </w:rPr>
        <w:tab/>
      </w:r>
      <w:r w:rsidRPr="00EB68E3">
        <w:t>pitää erittäin valitettavana, että naisten osuus pääjohtajista laski siten, että kun se vuonna 2016 oli 25 prosenttia (3 virkaa), vuonna 2017 se oli 17 prosenttia (2 virkaa); toteaa, että yleinen tilanne ei ole muuttunut vuodesta 2006, jolloin naisten osuus pääjohtajista oli 11,1 prosenttia; korostaa, että vuodeksi 2019 asetettu yleinen tavoite on, että naisten osuus pääjohtajista olisi 30 prosenttia; pitää valitettavana myös sitä, että naisten osuus johtajatasolla pysyi samalla tasolla vuodesta 2006 (29,6 prosenttia) vuoteen 2017 (30 prosenttia ja 14 virkaa);</w:t>
      </w:r>
    </w:p>
    <w:p w14:paraId="4B865BEF" w14:textId="7FB5C830" w:rsidR="00460C2F" w:rsidRPr="00EB68E3" w:rsidRDefault="001B7898" w:rsidP="001849E4">
      <w:pPr>
        <w:spacing w:after="240"/>
        <w:ind w:left="567" w:hanging="567"/>
      </w:pPr>
      <w:r w:rsidRPr="00EB68E3">
        <w:t>76.</w:t>
      </w:r>
      <w:r w:rsidRPr="00EB68E3">
        <w:tab/>
        <w:t>korostaa, että vuodeksi 2019 asetettu yleinen tavoite on, että naisten osuus johtajista olisi 35 prosenttia; korostaa, että nämä luvut poikkeavat paljon sukupuolten tasa-arvoa ja monimuotoisuutta koskevasta etenemissuunnitelmasta; pitää tätä suuntausta sukupuolten tasa-arvoa koskevan parlamentin etenemissuunnitelman vastaisena; kehottaa pääsihteeriä raportoimaan budjettivaliokunnalle, talousarvion valvontavaliokunnalle ja naisten oikeuksien ja sukupuolten tasa-arvon valiokunnalle välittömästi syistä, joiden vuoksi etenemissuunnitelmaa ei ole noudatettu; kehottaa puhemiehistöä myös omassa piirissään huolehtimaan siitä, että johtotehtäviin otetaan enemmän naisia, kuten parlamentti on johdonmukaisesti vaatinut;</w:t>
      </w:r>
    </w:p>
    <w:p w14:paraId="76A76CA0" w14:textId="3F25FD81" w:rsidR="007B64AF" w:rsidRPr="00EB68E3" w:rsidRDefault="001B7898" w:rsidP="0086406C">
      <w:pPr>
        <w:spacing w:after="240"/>
        <w:ind w:left="567" w:hanging="567"/>
        <w:rPr>
          <w:b/>
          <w:i/>
        </w:rPr>
      </w:pPr>
      <w:r w:rsidRPr="00EB68E3">
        <w:t>77.</w:t>
      </w:r>
      <w:r w:rsidRPr="00EB68E3">
        <w:tab/>
        <w:t>panee tyytyväisenä merkille, että pääsihteeri on asettanut etusijalle naisten nimittämisen yksikönpäälliköiksi, minkä ansiosta määrä on melkein kaksinkertaistunut vuodesta 2006, jolloin se oli 21 prosenttia, vuoteen 2018, jolloin se oli lähes 40 prosenttia;</w:t>
      </w:r>
    </w:p>
    <w:p w14:paraId="2B4ADAF9" w14:textId="6BE5FD41" w:rsidR="007B64AF" w:rsidRPr="00EB68E3" w:rsidRDefault="001B7898" w:rsidP="007B64AF">
      <w:pPr>
        <w:pStyle w:val="Normal12Hanging"/>
      </w:pPr>
      <w:r w:rsidRPr="00EB68E3">
        <w:t>78.</w:t>
      </w:r>
      <w:r w:rsidRPr="00EB68E3">
        <w:tab/>
        <w:t>panee tyytyväisenä merkille, että parlamentti hyväksyi vuonna 2017 nollatoleranssipolitiikan seksuaalista häirintää kohtaan; panee myös merkille häirintäkäytäntöjen käsittelemiseksi toteutetut tai parhaillaan toteutettavat aloitteet, joihin kuuluvat etenkin päivitetty etenemissuunnitelma jäsenten ja valtuutettujen avustajien, harjoittelijoiden tai muun henkilöstön välisissä konflikti- ja häirintätapauksissa toteutettavien ennaltaehkäisevien ja varhaisen vaiheen tukitoimien mukauttamiseksi, parlamentin sisäisiä käytäntöjä ja menettelyjä koskeva ulkoinen tarkastus, luottamuksellista neuvontaa antavien henkilöiden verkoston luominen ja julkisen kuulemisen järjestäminen työpaikkahäirinnän asiantuntijoiden kanssa; toteaa, että ulkoisen tarkastuksen tuloksia odotettiin marraskuun alussa 2018, ja pyytää ilmoittamaan ne heti, kun ne ovat saatavilla; odottaa lisäksi, että etenemissuunnitelma pannaan täysimääräisesti ja avoimesti täytäntöön hyväksytyn parlamentin päätöslauselman mukaisesti ja että täytäntöönpano aloitetaan tai etenee mahdollisimmin pitkälle jo ennen tämän vaalikauden loppua;</w:t>
      </w:r>
    </w:p>
    <w:p w14:paraId="0F4FBA4C" w14:textId="0DC6F53C" w:rsidR="00A4507B" w:rsidRPr="00EB68E3" w:rsidRDefault="00A4507B" w:rsidP="00EE1766">
      <w:pPr>
        <w:pStyle w:val="Normal12Hanging"/>
        <w:ind w:left="0" w:firstLine="0"/>
        <w:rPr>
          <w:b/>
          <w:i/>
        </w:rPr>
      </w:pPr>
      <w:r w:rsidRPr="00EB68E3">
        <w:rPr>
          <w:b/>
          <w:i/>
        </w:rPr>
        <w:t>Infrastruk</w:t>
      </w:r>
      <w:r w:rsidR="00521511">
        <w:rPr>
          <w:b/>
          <w:i/>
        </w:rPr>
        <w:t>tuurin ja logistiikan pääosasto</w:t>
      </w:r>
    </w:p>
    <w:p w14:paraId="17A9F910" w14:textId="3F28911F" w:rsidR="00BE32E9" w:rsidRPr="00EB68E3" w:rsidRDefault="001B7898" w:rsidP="00BE32E9">
      <w:pPr>
        <w:pStyle w:val="Normal12Hanging"/>
      </w:pPr>
      <w:r w:rsidRPr="00EB68E3">
        <w:t>79.</w:t>
      </w:r>
      <w:r w:rsidRPr="00EB68E3">
        <w:tab/>
        <w:t>panee merkille, että infrastruktuurin ja logistiikan pääosastolla oli vuonna 2017 sidottuja määrärahoja 267 588 704 euroa, mikä vastaa 6 prosentin lisäystä vuoteen 2016 nähden (251 599 697 euroa); on selvillä siitä, että Brysselissä saatettiin päätökseen Martens-rakennuksen hankinta ja siihen liittyvät kunnostus- ja mukautustyöt, avattiin Euroopan historian talo ja hankittiin Trèves I -rakennus ja että kahta muuta tilaa kunnostetaan ja laajennetaan; panee merkille, että Luxemburgin KAD-hanke etenee ja että Strasbourgissa otettiin käyttöön Havel-rakennus huhtikuussa 2017 ja saman vuoden heinäkuussa otettiin käyttöön Simone Veil Parlamentarium;</w:t>
      </w:r>
    </w:p>
    <w:p w14:paraId="2C287053" w14:textId="3BAA0826" w:rsidR="00566BD6" w:rsidRPr="00EB68E3" w:rsidRDefault="001B7898" w:rsidP="00566BD6">
      <w:pPr>
        <w:pStyle w:val="Normal12Hanging"/>
      </w:pPr>
      <w:r w:rsidRPr="00EB68E3">
        <w:t>80.</w:t>
      </w:r>
      <w:r w:rsidRPr="00EB68E3">
        <w:tab/>
        <w:t>panee merkille, että puhemiehistö on hyväksynyt Eurooppa-talon perustamisen useisiin yhteystoimistoihin ja se on määrä toteuttaa tulevina vuosina; kehottaa pääsihteeriä varmistamaan, että yhteystoimistojen uudet sijaintipaikat valitaan huolellisen kustannus-hyötyanalyysin perusteella, ja pitää valitettavana, että tietyissä kaupungeissa, kuten Pariisissa, sijaintipaikat valittiin kalleimmilta kaduilta ilman asianmukaisia perusteluja; pyytää sisällyttämään yksityiskohtaisia tietoja töiden edistymisestä pääosaston vuotuiseen toimintakertomukseen; pyytää pääsihteeriä esittämään budjettivaliokunnalle ja talousarvion valvontavaliokunnalle puhemiehistön hyväksymät hankkeet sekä hankkeiden ja niiden talousarvioiden perusteet ennen tulevia EU-vaaleja;</w:t>
      </w:r>
    </w:p>
    <w:p w14:paraId="6A1FA6BE" w14:textId="54A2CE52" w:rsidR="00A4507B" w:rsidRPr="00EB68E3" w:rsidRDefault="001B7898" w:rsidP="00EE1766">
      <w:pPr>
        <w:ind w:left="567" w:hanging="567"/>
      </w:pPr>
      <w:r w:rsidRPr="00EB68E3">
        <w:t>81.</w:t>
      </w:r>
      <w:r w:rsidRPr="00EB68E3">
        <w:tab/>
        <w:t>panee merkille parlamentin laajan infrastruktuurin, joka jakautuu seuraavasti:</w:t>
      </w:r>
    </w:p>
    <w:p w14:paraId="5B4CA8FE" w14:textId="77777777" w:rsidR="00A4507B" w:rsidRPr="00EB68E3" w:rsidRDefault="00A4507B" w:rsidP="00EE1766"/>
    <w:tbl>
      <w:tblPr>
        <w:tblStyle w:val="TableGrid"/>
        <w:tblW w:w="0" w:type="auto"/>
        <w:tblLook w:val="04A0" w:firstRow="1" w:lastRow="0" w:firstColumn="1" w:lastColumn="0" w:noHBand="0" w:noVBand="1"/>
      </w:tblPr>
      <w:tblGrid>
        <w:gridCol w:w="137"/>
        <w:gridCol w:w="2268"/>
        <w:gridCol w:w="600"/>
        <w:gridCol w:w="959"/>
        <w:gridCol w:w="2046"/>
        <w:gridCol w:w="3006"/>
      </w:tblGrid>
      <w:tr w:rsidR="00A4507B" w:rsidRPr="00EB68E3" w14:paraId="4E41AD8F" w14:textId="77777777" w:rsidTr="003B0061">
        <w:trPr>
          <w:trHeight w:val="513"/>
        </w:trPr>
        <w:tc>
          <w:tcPr>
            <w:tcW w:w="3005" w:type="dxa"/>
            <w:gridSpan w:val="3"/>
            <w:tcBorders>
              <w:top w:val="single" w:sz="4" w:space="0" w:color="auto"/>
              <w:left w:val="single" w:sz="4" w:space="0" w:color="auto"/>
              <w:bottom w:val="single" w:sz="4" w:space="0" w:color="auto"/>
              <w:right w:val="single" w:sz="4" w:space="0" w:color="auto"/>
            </w:tcBorders>
            <w:hideMark/>
          </w:tcPr>
          <w:p w14:paraId="26FBF1E4" w14:textId="77777777" w:rsidR="00A4507B" w:rsidRPr="00EB68E3" w:rsidRDefault="00A4507B" w:rsidP="00EE1766">
            <w:pPr>
              <w:jc w:val="center"/>
            </w:pPr>
            <w:r w:rsidRPr="00EB68E3">
              <w:t>Brysselin rakennukset</w:t>
            </w:r>
          </w:p>
        </w:tc>
        <w:tc>
          <w:tcPr>
            <w:tcW w:w="3005" w:type="dxa"/>
            <w:gridSpan w:val="2"/>
            <w:tcBorders>
              <w:top w:val="single" w:sz="4" w:space="0" w:color="auto"/>
              <w:left w:val="single" w:sz="4" w:space="0" w:color="auto"/>
              <w:bottom w:val="single" w:sz="4" w:space="0" w:color="auto"/>
              <w:right w:val="single" w:sz="4" w:space="0" w:color="auto"/>
            </w:tcBorders>
            <w:hideMark/>
          </w:tcPr>
          <w:p w14:paraId="2A7B7499" w14:textId="77777777" w:rsidR="00A4507B" w:rsidRPr="00EB68E3" w:rsidRDefault="00A4507B" w:rsidP="00EE1766">
            <w:pPr>
              <w:jc w:val="center"/>
            </w:pPr>
            <w:r w:rsidRPr="00EB68E3">
              <w:t>Luxemburgin rakennukset</w:t>
            </w:r>
          </w:p>
        </w:tc>
        <w:tc>
          <w:tcPr>
            <w:tcW w:w="3006" w:type="dxa"/>
            <w:tcBorders>
              <w:top w:val="single" w:sz="4" w:space="0" w:color="auto"/>
              <w:left w:val="single" w:sz="4" w:space="0" w:color="auto"/>
              <w:bottom w:val="single" w:sz="4" w:space="0" w:color="auto"/>
              <w:right w:val="single" w:sz="4" w:space="0" w:color="auto"/>
            </w:tcBorders>
            <w:hideMark/>
          </w:tcPr>
          <w:p w14:paraId="5D34D0F8" w14:textId="77777777" w:rsidR="00A4507B" w:rsidRPr="00EB68E3" w:rsidRDefault="00A4507B" w:rsidP="00EE1766">
            <w:pPr>
              <w:jc w:val="center"/>
            </w:pPr>
            <w:r w:rsidRPr="00EB68E3">
              <w:t>Strasbourgin rakennukset</w:t>
            </w:r>
          </w:p>
        </w:tc>
      </w:tr>
      <w:tr w:rsidR="00A4507B" w:rsidRPr="00EB68E3" w14:paraId="1EA2F605" w14:textId="77777777" w:rsidTr="003B0061">
        <w:trPr>
          <w:trHeight w:val="407"/>
        </w:trPr>
        <w:tc>
          <w:tcPr>
            <w:tcW w:w="3005" w:type="dxa"/>
            <w:gridSpan w:val="3"/>
            <w:tcBorders>
              <w:top w:val="single" w:sz="4" w:space="0" w:color="auto"/>
              <w:left w:val="single" w:sz="4" w:space="0" w:color="auto"/>
              <w:bottom w:val="single" w:sz="4" w:space="0" w:color="auto"/>
              <w:right w:val="single" w:sz="4" w:space="0" w:color="auto"/>
            </w:tcBorders>
            <w:hideMark/>
          </w:tcPr>
          <w:p w14:paraId="48AC1D44" w14:textId="77777777" w:rsidR="00A4507B" w:rsidRPr="00EB68E3" w:rsidRDefault="00A4507B" w:rsidP="00EE1766">
            <w:r w:rsidRPr="00EB68E3">
              <w:t>13 omistuksessa</w:t>
            </w:r>
          </w:p>
        </w:tc>
        <w:tc>
          <w:tcPr>
            <w:tcW w:w="3005" w:type="dxa"/>
            <w:gridSpan w:val="2"/>
            <w:tcBorders>
              <w:top w:val="single" w:sz="4" w:space="0" w:color="auto"/>
              <w:left w:val="single" w:sz="4" w:space="0" w:color="auto"/>
              <w:bottom w:val="single" w:sz="4" w:space="0" w:color="auto"/>
              <w:right w:val="single" w:sz="4" w:space="0" w:color="auto"/>
            </w:tcBorders>
            <w:hideMark/>
          </w:tcPr>
          <w:p w14:paraId="0DEB9D23" w14:textId="77777777" w:rsidR="00A4507B" w:rsidRPr="00EB68E3" w:rsidRDefault="00A4507B" w:rsidP="00EE1766">
            <w:r w:rsidRPr="00EB68E3">
              <w:t>1 omistuksessa</w:t>
            </w:r>
          </w:p>
        </w:tc>
        <w:tc>
          <w:tcPr>
            <w:tcW w:w="3006" w:type="dxa"/>
            <w:tcBorders>
              <w:top w:val="single" w:sz="4" w:space="0" w:color="auto"/>
              <w:left w:val="single" w:sz="4" w:space="0" w:color="auto"/>
              <w:bottom w:val="single" w:sz="4" w:space="0" w:color="auto"/>
              <w:right w:val="single" w:sz="4" w:space="0" w:color="auto"/>
            </w:tcBorders>
            <w:hideMark/>
          </w:tcPr>
          <w:p w14:paraId="22F7FC9E" w14:textId="77777777" w:rsidR="00A4507B" w:rsidRPr="00EB68E3" w:rsidRDefault="00A4507B" w:rsidP="00EE1766">
            <w:r w:rsidRPr="00EB68E3">
              <w:t>5 omistuksessa</w:t>
            </w:r>
          </w:p>
        </w:tc>
      </w:tr>
      <w:tr w:rsidR="00A4507B" w:rsidRPr="00EB68E3" w14:paraId="654F5476" w14:textId="77777777" w:rsidTr="003B0061">
        <w:trPr>
          <w:trHeight w:val="412"/>
        </w:trPr>
        <w:tc>
          <w:tcPr>
            <w:tcW w:w="3005" w:type="dxa"/>
            <w:gridSpan w:val="3"/>
            <w:tcBorders>
              <w:top w:val="single" w:sz="4" w:space="0" w:color="auto"/>
              <w:left w:val="single" w:sz="4" w:space="0" w:color="auto"/>
              <w:bottom w:val="single" w:sz="4" w:space="0" w:color="auto"/>
              <w:right w:val="single" w:sz="4" w:space="0" w:color="auto"/>
            </w:tcBorders>
            <w:hideMark/>
          </w:tcPr>
          <w:p w14:paraId="6CC4CF44" w14:textId="77777777" w:rsidR="00A4507B" w:rsidRPr="00EB68E3" w:rsidRDefault="00A4507B" w:rsidP="00EE1766">
            <w:r w:rsidRPr="00EB68E3">
              <w:t>6 vuokrattu</w:t>
            </w:r>
          </w:p>
        </w:tc>
        <w:tc>
          <w:tcPr>
            <w:tcW w:w="3005" w:type="dxa"/>
            <w:gridSpan w:val="2"/>
            <w:tcBorders>
              <w:top w:val="single" w:sz="4" w:space="0" w:color="auto"/>
              <w:left w:val="single" w:sz="4" w:space="0" w:color="auto"/>
              <w:bottom w:val="single" w:sz="4" w:space="0" w:color="auto"/>
              <w:right w:val="single" w:sz="4" w:space="0" w:color="auto"/>
            </w:tcBorders>
            <w:hideMark/>
          </w:tcPr>
          <w:p w14:paraId="55505F69" w14:textId="77777777" w:rsidR="00A4507B" w:rsidRPr="00EB68E3" w:rsidRDefault="00A4507B" w:rsidP="00EE1766">
            <w:r w:rsidRPr="00EB68E3">
              <w:t>6 vuokrattu</w:t>
            </w:r>
          </w:p>
        </w:tc>
        <w:tc>
          <w:tcPr>
            <w:tcW w:w="3006" w:type="dxa"/>
            <w:tcBorders>
              <w:top w:val="single" w:sz="4" w:space="0" w:color="auto"/>
              <w:left w:val="single" w:sz="4" w:space="0" w:color="auto"/>
              <w:bottom w:val="single" w:sz="4" w:space="0" w:color="auto"/>
              <w:right w:val="single" w:sz="4" w:space="0" w:color="auto"/>
            </w:tcBorders>
          </w:tcPr>
          <w:p w14:paraId="076914CB" w14:textId="77777777" w:rsidR="00A4507B" w:rsidRPr="00EB68E3" w:rsidRDefault="00A4507B" w:rsidP="00EE1766"/>
        </w:tc>
      </w:tr>
      <w:tr w:rsidR="00A4507B" w:rsidRPr="00EB68E3" w14:paraId="08EA838B" w14:textId="77777777" w:rsidTr="003B0061">
        <w:trPr>
          <w:trHeight w:val="419"/>
        </w:trPr>
        <w:tc>
          <w:tcPr>
            <w:tcW w:w="3005" w:type="dxa"/>
            <w:gridSpan w:val="3"/>
            <w:tcBorders>
              <w:top w:val="single" w:sz="4" w:space="0" w:color="auto"/>
              <w:left w:val="single" w:sz="4" w:space="0" w:color="auto"/>
              <w:bottom w:val="single" w:sz="4" w:space="0" w:color="auto"/>
              <w:right w:val="single" w:sz="4" w:space="0" w:color="auto"/>
            </w:tcBorders>
            <w:hideMark/>
          </w:tcPr>
          <w:p w14:paraId="2F680CDB" w14:textId="026C5F7D" w:rsidR="00A4507B" w:rsidRPr="00EB68E3" w:rsidRDefault="00A4507B" w:rsidP="00EE1766">
            <w:r w:rsidRPr="00EB68E3">
              <w:t>659 960 m</w:t>
            </w:r>
            <w:r w:rsidRPr="00EB68E3">
              <w:rPr>
                <w:vertAlign w:val="superscript"/>
              </w:rPr>
              <w:t>2</w:t>
            </w:r>
          </w:p>
        </w:tc>
        <w:tc>
          <w:tcPr>
            <w:tcW w:w="3005" w:type="dxa"/>
            <w:gridSpan w:val="2"/>
            <w:tcBorders>
              <w:top w:val="single" w:sz="4" w:space="0" w:color="auto"/>
              <w:left w:val="single" w:sz="4" w:space="0" w:color="auto"/>
              <w:bottom w:val="single" w:sz="4" w:space="0" w:color="auto"/>
              <w:right w:val="single" w:sz="4" w:space="0" w:color="auto"/>
            </w:tcBorders>
            <w:hideMark/>
          </w:tcPr>
          <w:p w14:paraId="45C20D2B" w14:textId="1297E261" w:rsidR="00A4507B" w:rsidRPr="00EB68E3" w:rsidRDefault="00A4507B" w:rsidP="00EE1766">
            <w:r w:rsidRPr="00EB68E3">
              <w:t>197 873 m</w:t>
            </w:r>
            <w:r w:rsidRPr="00EB68E3">
              <w:rPr>
                <w:vertAlign w:val="superscript"/>
              </w:rPr>
              <w:t>2</w:t>
            </w:r>
          </w:p>
        </w:tc>
        <w:tc>
          <w:tcPr>
            <w:tcW w:w="3006" w:type="dxa"/>
            <w:tcBorders>
              <w:top w:val="single" w:sz="4" w:space="0" w:color="auto"/>
              <w:left w:val="single" w:sz="4" w:space="0" w:color="auto"/>
              <w:bottom w:val="single" w:sz="4" w:space="0" w:color="auto"/>
              <w:right w:val="single" w:sz="4" w:space="0" w:color="auto"/>
            </w:tcBorders>
            <w:hideMark/>
          </w:tcPr>
          <w:p w14:paraId="407FFBC5" w14:textId="67D45DE8" w:rsidR="00A4507B" w:rsidRPr="00EB68E3" w:rsidRDefault="00A4507B" w:rsidP="00EE1766">
            <w:r w:rsidRPr="00EB68E3">
              <w:t>343 930 m</w:t>
            </w:r>
            <w:r w:rsidRPr="00EB68E3">
              <w:rPr>
                <w:vertAlign w:val="superscript"/>
              </w:rPr>
              <w:t>2</w:t>
            </w:r>
          </w:p>
        </w:tc>
      </w:tr>
      <w:tr w:rsidR="00A4507B" w:rsidRPr="00EB68E3" w14:paraId="2381D63B" w14:textId="77777777" w:rsidTr="003B0061">
        <w:trPr>
          <w:gridBefore w:val="1"/>
          <w:gridAfter w:val="2"/>
          <w:wBefore w:w="137" w:type="dxa"/>
          <w:wAfter w:w="5052" w:type="dxa"/>
          <w:trHeight w:val="523"/>
        </w:trPr>
        <w:tc>
          <w:tcPr>
            <w:tcW w:w="2268" w:type="dxa"/>
            <w:tcBorders>
              <w:top w:val="single" w:sz="4" w:space="0" w:color="auto"/>
              <w:left w:val="single" w:sz="4" w:space="0" w:color="auto"/>
              <w:bottom w:val="single" w:sz="4" w:space="0" w:color="auto"/>
              <w:right w:val="single" w:sz="4" w:space="0" w:color="auto"/>
            </w:tcBorders>
            <w:hideMark/>
          </w:tcPr>
          <w:p w14:paraId="27C53035" w14:textId="04D1FAC2" w:rsidR="00A4507B" w:rsidRPr="00EB68E3" w:rsidRDefault="00535A98" w:rsidP="00EE1766">
            <w:r w:rsidRPr="00EB68E3">
              <w:t>EP:n yhteystoimistot</w:t>
            </w:r>
          </w:p>
        </w:tc>
        <w:tc>
          <w:tcPr>
            <w:tcW w:w="1559" w:type="dxa"/>
            <w:gridSpan w:val="2"/>
            <w:tcBorders>
              <w:top w:val="single" w:sz="4" w:space="0" w:color="auto"/>
              <w:left w:val="single" w:sz="4" w:space="0" w:color="auto"/>
              <w:bottom w:val="single" w:sz="4" w:space="0" w:color="auto"/>
              <w:right w:val="single" w:sz="4" w:space="0" w:color="auto"/>
            </w:tcBorders>
          </w:tcPr>
          <w:p w14:paraId="52D72A62" w14:textId="77777777" w:rsidR="00A4507B" w:rsidRPr="00EB68E3" w:rsidRDefault="00A4507B" w:rsidP="00EE1766"/>
        </w:tc>
      </w:tr>
      <w:tr w:rsidR="00A4507B" w:rsidRPr="00EB68E3" w14:paraId="43B69A01" w14:textId="77777777" w:rsidTr="003B0061">
        <w:trPr>
          <w:gridBefore w:val="1"/>
          <w:gridAfter w:val="2"/>
          <w:wBefore w:w="137" w:type="dxa"/>
          <w:wAfter w:w="5052" w:type="dxa"/>
          <w:trHeight w:val="436"/>
        </w:trPr>
        <w:tc>
          <w:tcPr>
            <w:tcW w:w="2268" w:type="dxa"/>
            <w:tcBorders>
              <w:top w:val="single" w:sz="4" w:space="0" w:color="auto"/>
              <w:left w:val="single" w:sz="4" w:space="0" w:color="auto"/>
              <w:bottom w:val="single" w:sz="4" w:space="0" w:color="auto"/>
              <w:right w:val="single" w:sz="4" w:space="0" w:color="auto"/>
            </w:tcBorders>
            <w:hideMark/>
          </w:tcPr>
          <w:p w14:paraId="47046D19" w14:textId="77777777" w:rsidR="00A4507B" w:rsidRPr="00EB68E3" w:rsidRDefault="00A4507B" w:rsidP="00EE1766">
            <w:r w:rsidRPr="00EB68E3">
              <w:t>Yhteensä</w:t>
            </w:r>
          </w:p>
        </w:tc>
        <w:tc>
          <w:tcPr>
            <w:tcW w:w="1559" w:type="dxa"/>
            <w:gridSpan w:val="2"/>
            <w:tcBorders>
              <w:top w:val="single" w:sz="4" w:space="0" w:color="auto"/>
              <w:left w:val="single" w:sz="4" w:space="0" w:color="auto"/>
              <w:bottom w:val="single" w:sz="4" w:space="0" w:color="auto"/>
              <w:right w:val="single" w:sz="4" w:space="0" w:color="auto"/>
            </w:tcBorders>
            <w:hideMark/>
          </w:tcPr>
          <w:p w14:paraId="0FDA45DB" w14:textId="77777777" w:rsidR="00A4507B" w:rsidRPr="00EB68E3" w:rsidRDefault="00A4507B" w:rsidP="00EE1766">
            <w:r w:rsidRPr="00EB68E3">
              <w:t>35</w:t>
            </w:r>
          </w:p>
        </w:tc>
      </w:tr>
      <w:tr w:rsidR="00A4507B" w:rsidRPr="00EB68E3" w14:paraId="122CCC87" w14:textId="77777777" w:rsidTr="003B0061">
        <w:trPr>
          <w:gridBefore w:val="1"/>
          <w:gridAfter w:val="2"/>
          <w:wBefore w:w="137" w:type="dxa"/>
          <w:wAfter w:w="5052" w:type="dxa"/>
          <w:trHeight w:val="428"/>
        </w:trPr>
        <w:tc>
          <w:tcPr>
            <w:tcW w:w="2268" w:type="dxa"/>
            <w:tcBorders>
              <w:top w:val="single" w:sz="4" w:space="0" w:color="auto"/>
              <w:left w:val="single" w:sz="4" w:space="0" w:color="auto"/>
              <w:bottom w:val="single" w:sz="4" w:space="0" w:color="auto"/>
              <w:right w:val="single" w:sz="4" w:space="0" w:color="auto"/>
            </w:tcBorders>
            <w:hideMark/>
          </w:tcPr>
          <w:p w14:paraId="4F3F0216" w14:textId="77777777" w:rsidR="00A4507B" w:rsidRPr="00EB68E3" w:rsidRDefault="00A4507B" w:rsidP="00EE1766">
            <w:r w:rsidRPr="00EB68E3">
              <w:t xml:space="preserve">          omistuksessa</w:t>
            </w:r>
          </w:p>
        </w:tc>
        <w:tc>
          <w:tcPr>
            <w:tcW w:w="1559" w:type="dxa"/>
            <w:gridSpan w:val="2"/>
            <w:tcBorders>
              <w:top w:val="single" w:sz="4" w:space="0" w:color="auto"/>
              <w:left w:val="single" w:sz="4" w:space="0" w:color="auto"/>
              <w:bottom w:val="single" w:sz="4" w:space="0" w:color="auto"/>
              <w:right w:val="single" w:sz="4" w:space="0" w:color="auto"/>
            </w:tcBorders>
            <w:hideMark/>
          </w:tcPr>
          <w:p w14:paraId="3F3FEB25" w14:textId="77777777" w:rsidR="00A4507B" w:rsidRPr="00EB68E3" w:rsidRDefault="00A4507B" w:rsidP="00EE1766">
            <w:r w:rsidRPr="00EB68E3">
              <w:t>11</w:t>
            </w:r>
          </w:p>
        </w:tc>
      </w:tr>
      <w:tr w:rsidR="00A4507B" w:rsidRPr="00EB68E3" w14:paraId="3C87C750" w14:textId="77777777" w:rsidTr="003B0061">
        <w:trPr>
          <w:gridBefore w:val="1"/>
          <w:gridAfter w:val="2"/>
          <w:wBefore w:w="137" w:type="dxa"/>
          <w:wAfter w:w="5052" w:type="dxa"/>
          <w:trHeight w:val="419"/>
        </w:trPr>
        <w:tc>
          <w:tcPr>
            <w:tcW w:w="2268" w:type="dxa"/>
            <w:tcBorders>
              <w:top w:val="single" w:sz="4" w:space="0" w:color="auto"/>
              <w:left w:val="single" w:sz="4" w:space="0" w:color="auto"/>
              <w:bottom w:val="single" w:sz="4" w:space="0" w:color="auto"/>
              <w:right w:val="single" w:sz="4" w:space="0" w:color="auto"/>
            </w:tcBorders>
            <w:hideMark/>
          </w:tcPr>
          <w:p w14:paraId="5BAF019A" w14:textId="77777777" w:rsidR="00A4507B" w:rsidRPr="00EB68E3" w:rsidRDefault="00A4507B" w:rsidP="00EE1766">
            <w:r w:rsidRPr="00EB68E3">
              <w:t xml:space="preserve">          vuokrattu</w:t>
            </w:r>
          </w:p>
        </w:tc>
        <w:tc>
          <w:tcPr>
            <w:tcW w:w="1559" w:type="dxa"/>
            <w:gridSpan w:val="2"/>
            <w:tcBorders>
              <w:top w:val="single" w:sz="4" w:space="0" w:color="auto"/>
              <w:left w:val="single" w:sz="4" w:space="0" w:color="auto"/>
              <w:bottom w:val="single" w:sz="4" w:space="0" w:color="auto"/>
              <w:right w:val="single" w:sz="4" w:space="0" w:color="auto"/>
            </w:tcBorders>
            <w:hideMark/>
          </w:tcPr>
          <w:p w14:paraId="63DD5160" w14:textId="77777777" w:rsidR="00A4507B" w:rsidRPr="00EB68E3" w:rsidRDefault="00A4507B" w:rsidP="00EE1766">
            <w:r w:rsidRPr="00EB68E3">
              <w:t>24</w:t>
            </w:r>
          </w:p>
        </w:tc>
      </w:tr>
      <w:tr w:rsidR="00A4507B" w:rsidRPr="00EB68E3" w14:paraId="0DFF4445" w14:textId="77777777" w:rsidTr="003B0061">
        <w:trPr>
          <w:gridBefore w:val="1"/>
          <w:gridAfter w:val="2"/>
          <w:wBefore w:w="137" w:type="dxa"/>
          <w:wAfter w:w="5052" w:type="dxa"/>
          <w:trHeight w:val="412"/>
        </w:trPr>
        <w:tc>
          <w:tcPr>
            <w:tcW w:w="2268" w:type="dxa"/>
            <w:tcBorders>
              <w:top w:val="single" w:sz="4" w:space="0" w:color="auto"/>
              <w:left w:val="single" w:sz="4" w:space="0" w:color="auto"/>
              <w:bottom w:val="single" w:sz="4" w:space="0" w:color="auto"/>
              <w:right w:val="single" w:sz="4" w:space="0" w:color="auto"/>
            </w:tcBorders>
            <w:hideMark/>
          </w:tcPr>
          <w:p w14:paraId="3FF61012" w14:textId="77777777" w:rsidR="00A4507B" w:rsidRPr="00EB68E3" w:rsidRDefault="00A4507B" w:rsidP="00EE1766">
            <w:r w:rsidRPr="00EB68E3">
              <w:t xml:space="preserve">          pinta-ala</w:t>
            </w:r>
          </w:p>
        </w:tc>
        <w:tc>
          <w:tcPr>
            <w:tcW w:w="1559" w:type="dxa"/>
            <w:gridSpan w:val="2"/>
            <w:tcBorders>
              <w:top w:val="single" w:sz="4" w:space="0" w:color="auto"/>
              <w:left w:val="single" w:sz="4" w:space="0" w:color="auto"/>
              <w:bottom w:val="single" w:sz="4" w:space="0" w:color="auto"/>
              <w:right w:val="single" w:sz="4" w:space="0" w:color="auto"/>
            </w:tcBorders>
            <w:hideMark/>
          </w:tcPr>
          <w:p w14:paraId="5DD34B5E" w14:textId="592386BD" w:rsidR="00A4507B" w:rsidRPr="00EB68E3" w:rsidRDefault="00A4507B" w:rsidP="00EE1766">
            <w:r w:rsidRPr="00EB68E3">
              <w:t>27 737 m</w:t>
            </w:r>
            <w:r w:rsidRPr="00EB68E3">
              <w:rPr>
                <w:vertAlign w:val="superscript"/>
              </w:rPr>
              <w:t>2</w:t>
            </w:r>
          </w:p>
        </w:tc>
      </w:tr>
    </w:tbl>
    <w:p w14:paraId="14EACCDB" w14:textId="4EAECDFF" w:rsidR="00A4507B" w:rsidRPr="00EB68E3" w:rsidRDefault="001B7898" w:rsidP="00EE1766">
      <w:pPr>
        <w:pStyle w:val="Normal12Hanging"/>
        <w:spacing w:before="240"/>
      </w:pPr>
      <w:r w:rsidRPr="00EB68E3">
        <w:t>82.</w:t>
      </w:r>
      <w:r w:rsidRPr="00EB68E3">
        <w:tab/>
        <w:t xml:space="preserve">palauttaa mieliin, että useimpia parlamentin rakennuksista ei ole suunniteltu eikä rakennettu rakenteelliselta kestävyydeltään eurokoodistandardien vaatimusten mukaisiksi, sillä kyseisiä standardeja ei ollut rakennusten tekovaiheessa olemassa; katsoo tämän merkitsevän sitä, että kiinteistöpolitiikassa siirrytään vähin erin hankinnoista </w:t>
      </w:r>
      <w:r w:rsidR="00521511">
        <w:t>peruskorjauksiin ja ylläpitoon;</w:t>
      </w:r>
    </w:p>
    <w:p w14:paraId="28D39058" w14:textId="51811699" w:rsidR="00BE32E9" w:rsidRPr="00EB68E3" w:rsidRDefault="001B7898" w:rsidP="00521511">
      <w:pPr>
        <w:pStyle w:val="Normal12Hanging"/>
        <w:keepNext/>
        <w:keepLines/>
      </w:pPr>
      <w:r w:rsidRPr="00EB68E3">
        <w:t>83.</w:t>
      </w:r>
      <w:r w:rsidRPr="00EB68E3">
        <w:tab/>
        <w:t>muistuttaa toimielinten rakennusten antamaa esimerkkiä energiatehokkuusdirektiivin soveltamisen yhteydessä koskevasta Euroopan parlamentin lausumasta, jonka mukaan sen rakennusten on oltava korkeimpien energiatehokkuusstandardien mukaisia</w:t>
      </w:r>
      <w:r w:rsidR="00BE32E9" w:rsidRPr="00EB68E3">
        <w:rPr>
          <w:rStyle w:val="SupBoldItalic"/>
          <w:b w:val="0"/>
          <w:i w:val="0"/>
        </w:rPr>
        <w:footnoteReference w:id="12"/>
      </w:r>
      <w:r w:rsidRPr="00EB68E3">
        <w:t>; kehottaa kehittämään johdonmukaisen, pitkän aikavälin perusparannusstrategian kaikille parlamentin rakennuksille ja sisällyttämään rakennusten korjausta koskeviin sopimuksiin uudelleenkäytettävien rakennusmateriaalien erottamista koskevat vakiovaatimukset;</w:t>
      </w:r>
    </w:p>
    <w:p w14:paraId="44FD2A14" w14:textId="63AACAD8" w:rsidR="00BE32E9" w:rsidRPr="00EB68E3" w:rsidRDefault="001B7898" w:rsidP="00BE32E9">
      <w:pPr>
        <w:pStyle w:val="Normal12Hanging"/>
      </w:pPr>
      <w:r w:rsidRPr="00EB68E3">
        <w:t>84.</w:t>
      </w:r>
      <w:r w:rsidRPr="00EB68E3">
        <w:tab/>
        <w:t>toteaa, että puhemiehistö antoi pääsihteerin tehtäväksi valtuuttaa infrastruktuurin ja logistiikan pääosasto käynnistämään arkkitehtikilpailu Paul-Henri Spaak -rakennuksen remontoimiseksi ottaen huomioon valituista vaihtoehdoista ainoastaan vaihtoehdon B (tekninen päivitys) ja vaihtoehdon C (rakennuksen uudelleen suunnittelu); toteaa, että prosessista odotetaan tuloksia vuonna 2019; kehottaa pääsihteeriä laatimaan kattavan suunnitelman siltä varalta annettavista takeista, että kustannukset kasvavat arvioitua suuremmiksi, sekä varmistamaan, että sopimuksissa määrätään, ettei parlamentti ota vastuulleen tällaisten vastoinkäymisten riskiä; kehottaa pääsihteeriä myös toimittamaan parlamentille selvän suunnitelman, joka sisältää kunkin skenaarion välilliset kustannukset, erityisesti siinä tapauksessa, että osa toiminnoista on siirrettävä muualle korjauksen ja rakentamisen ajaksi, ja vaihtoehdot turvallisuusriskien käsittelemiseksi ilman, että on rakennettava täysin uusi rakennus;</w:t>
      </w:r>
    </w:p>
    <w:p w14:paraId="41870993" w14:textId="170DCCDC" w:rsidR="00460C2F" w:rsidRPr="00EB68E3" w:rsidRDefault="001B7898" w:rsidP="00BE32E9">
      <w:pPr>
        <w:pStyle w:val="Normal12Hanging"/>
      </w:pPr>
      <w:r w:rsidRPr="00EB68E3">
        <w:t>85.</w:t>
      </w:r>
      <w:r w:rsidRPr="00EB68E3">
        <w:tab/>
        <w:t>pitää valitettavana, että vuonna 2017 sidottiin 75 000 euroa pilottihankkeeseen innovatiivisten kaluste- ja toimistotarvikemallien asentamiseksi jäsenille; pitää myös valitettavana, että jäsenten toimistojen ja käytävien kunnostus Louise Weiss -rakennuksessa, joka oli ainoa parlamentin rakennuksista, jossa vuosina 2016 ja 2017 tehtiin kunnostustöitä, maksoi vuonna 2017 yhteens</w:t>
      </w:r>
      <w:r w:rsidR="00521511">
        <w:t>ä niinkin paljon kuin 1 157 975 </w:t>
      </w:r>
      <w:r w:rsidRPr="00EB68E3">
        <w:t xml:space="preserve">euroa, mikä oli merkittävästi enemmän verrattuna edelliseen vuoteen (840 260 euroa vuonna 2016); </w:t>
      </w:r>
    </w:p>
    <w:p w14:paraId="64B1EB74" w14:textId="367E91BD" w:rsidR="00BE32E9" w:rsidRPr="00EB68E3" w:rsidRDefault="001B7898" w:rsidP="00BE32E9">
      <w:pPr>
        <w:pStyle w:val="Normal12Hanging"/>
      </w:pPr>
      <w:r w:rsidRPr="00EB68E3">
        <w:t>86.</w:t>
      </w:r>
      <w:r w:rsidRPr="00EB68E3">
        <w:tab/>
        <w:t>muistuttaa pitävänsä erittäin valitettavana päätöstä vaihtaa jäsenten ja heidän avustajiensa toimistojen kalusteet Brysselissä; toteaa, että suurin osa kalusteista on täysin käyttökelpoisia ja ulkonäöltään kelvollisia eikä ole mitään tarvetta vaihtaa niitä; ei pidä joidenkin jäsenten palautetta – yleisen kyselyn sijaan – yksinään riittävänä perusteena kalusteiden vaihtamiseen ja pitää hallinnon esittämiä makuun, muotiin tai vanhentuneeseen tyyliin liittyviä argumentteja yhtä lailla riittämättöminä; korostaa, että yksittäiset kalusteet olisi vaihdettava vain, jos niissä näkyy selviä vaurioita tai merkittävää kulumista tai ne aiheuttavat työpaikalla erityisen tai yleisen terveysriskin (tällöin voitaisiin kehittää esimerkiksi toimistopöytien ja -tuolien ergonomisuutta);</w:t>
      </w:r>
    </w:p>
    <w:p w14:paraId="181DB7F0" w14:textId="30A9C2A6" w:rsidR="00460C2F" w:rsidRPr="00EB68E3" w:rsidRDefault="001B7898" w:rsidP="00BE32E9">
      <w:pPr>
        <w:pStyle w:val="Normal12Hanging"/>
      </w:pPr>
      <w:r w:rsidRPr="00EB68E3">
        <w:t>87.</w:t>
      </w:r>
      <w:r w:rsidRPr="00EB68E3">
        <w:tab/>
        <w:t>pyytää pääsihteeriä ilmoittamaan budjettivaliokunnalle ja talousarvion valvontavaliokunnalle huhtikuun 2019 loppuun mennessä, miten ja minkä ajan kuluessa parlamentin jäsenten ja heidän avustajiensa toimistot kunnostetaan (uudelleenjärjestellään) Brysselissä ja Strasbourgissa ja paljonko suunnitellut työt maksavat;</w:t>
      </w:r>
    </w:p>
    <w:p w14:paraId="588433AB" w14:textId="7B9D1C9D" w:rsidR="00BE32E9" w:rsidRPr="00EB68E3" w:rsidRDefault="001B7898" w:rsidP="00BE32E9">
      <w:pPr>
        <w:pStyle w:val="Normal12Hanging"/>
      </w:pPr>
      <w:r w:rsidRPr="00EB68E3">
        <w:t>88.</w:t>
      </w:r>
      <w:r w:rsidRPr="00EB68E3">
        <w:tab/>
        <w:t>korostaa sen merkitystä, että kaikki jäsenten toimistojen kalusteisiin tehtävät muutokset on perusteltava ja selitettävä asianmukaisesti jäsenille, joilla on oltava mahdollisuus joko hyväksyä tai hylätä kyseiset muutokset;</w:t>
      </w:r>
    </w:p>
    <w:p w14:paraId="195DE598" w14:textId="48E856A3" w:rsidR="00BE32E9" w:rsidRPr="00EB68E3" w:rsidRDefault="001B7898" w:rsidP="00BE32E9">
      <w:pPr>
        <w:pStyle w:val="Normal12Hanging"/>
      </w:pPr>
      <w:r w:rsidRPr="00EB68E3">
        <w:t>89.</w:t>
      </w:r>
      <w:r w:rsidRPr="00EB68E3">
        <w:tab/>
        <w:t>panee merkille tilintarkastustuomioistuimen havainnot, jotka koskevat unionin toimielinten kiinteistöjen hallinnointia, ja toteaa, että parlamentti käyttää kiinteistöjensä toimitilasta 55 prosenttia toimistoja ja 45 prosenttia kokoushuoneita ja muuta käyttöä varten; toteaa, että parlamentti omistaa 84 prosenttia rakennuksistaan, ja korostaa, että osuus kasvaa, kun Luxemburgissa sijaitseva KAD-rakennus saadaan valmiiksi;</w:t>
      </w:r>
    </w:p>
    <w:p w14:paraId="33284A27" w14:textId="7B94F589" w:rsidR="00BE32E9" w:rsidRPr="00EB68E3" w:rsidRDefault="001B7898" w:rsidP="00BE32E9">
      <w:pPr>
        <w:pStyle w:val="Normal12Hanging"/>
      </w:pPr>
      <w:r w:rsidRPr="00EB68E3">
        <w:t>90.</w:t>
      </w:r>
      <w:r w:rsidRPr="00EB68E3">
        <w:tab/>
        <w:t>on erittäin huolissaan siitä, että KAD II -rakennuksen piti alun perin valmistua vuoteen 2013 mennessä mutta että itäpuolen rakennustyömaata koskeva arvio on nyt vuoden 2019 loppu ja länsipuolen rakennustyömaata koskeva arvio vuosi 2022; korostaa, että huomattavan viivästyksen syinä ovat rakennuttajan puutteellinen kokemus ja rakennustöiden ensimmäisen tarjouskilpailun epäonnistuminen; on tyrmistynyt siitä, että tästä seuraava lisääntynyt vuokraamistarve johtaa vuositasolla 14,4 miljoonan euron eli kuuden vuoden aikana 86 miljoonan euron lisäkustannuksiin;</w:t>
      </w:r>
    </w:p>
    <w:p w14:paraId="555F5010" w14:textId="6093EAC4" w:rsidR="00BE32E9" w:rsidRPr="00EB68E3" w:rsidRDefault="001B7898" w:rsidP="009B322C">
      <w:pPr>
        <w:pStyle w:val="Normal12Hanging"/>
      </w:pPr>
      <w:r w:rsidRPr="00EB68E3">
        <w:t>91.</w:t>
      </w:r>
      <w:r w:rsidRPr="00EB68E3">
        <w:tab/>
        <w:t>panee merkille, että alkuperäistä 317,5 miljoonan euron alustavaa talousarviota tarkistettiin 363 miljoonaan euroon (vuoden 2005 hinnoin) vuonna 2009 konseptiin tehtyjen muutosten vuoksi; on erittäin huolissaan siitä, että hanke ei ole vieläkään valmistunut, vaikka sen oli määrä valmistua vuoden 2019 loppuun mennessä, ja että lopullista hintaa ei siksi tiedetä, vaikka parlamentti pyrkii pitämään kustannukset nykyisen 432 miljoonan euron (vuoden 2012 hinnoin) talousarvion puitteissa; toteaa, että rakennus on valmistumassa yli kuusi vuotta myöhässä ja sen talousarvio on ylittymässä 115 miljoonalla eurolla; pyytää saada KAD II -rakennuksen valmistumista koskevan edistymiskertomuksen viimeistään 30. kesäkuuta 2019;</w:t>
      </w:r>
    </w:p>
    <w:p w14:paraId="3C0CA7CD" w14:textId="5E5DA889" w:rsidR="00BE32E9" w:rsidRPr="00EB68E3" w:rsidRDefault="001B7898" w:rsidP="00BE32E9">
      <w:pPr>
        <w:pStyle w:val="Normal12Hanging"/>
      </w:pPr>
      <w:r w:rsidRPr="00EB68E3">
        <w:t>92.</w:t>
      </w:r>
      <w:r w:rsidRPr="00EB68E3">
        <w:tab/>
        <w:t>on huolissaan kahdeksan prosentin lisäyksestä rakennustöiden hintaindeksissä vuosina 2012–2017, mikä voi lisätä rakennuskustannuksia entisestään;</w:t>
      </w:r>
    </w:p>
    <w:p w14:paraId="2A20630C" w14:textId="76657FB4" w:rsidR="00A4507B" w:rsidRPr="00EB68E3" w:rsidRDefault="001B7898" w:rsidP="00EE1766">
      <w:pPr>
        <w:pStyle w:val="Normal12Hanging"/>
      </w:pPr>
      <w:r w:rsidRPr="00EB68E3">
        <w:t>93.</w:t>
      </w:r>
      <w:r w:rsidRPr="00EB68E3">
        <w:tab/>
        <w:t>panee merkille sähköistä liikkuvuutta koskevan etenemissuunnitelman täytäntöönpanon autokannan monipuolistamiseksi, viherryttämiseksi ja sähköistämiseksi; palauttaa mieliin vuoden 2016 vastuuvapautta koskevan päätöslauselman, josta äänestettiin huhtikuussa 2018 ja jossa todettiin, ettei puhemiehistö saisi rajoittaa ympäristöystävällisempiä vaihtoehtoja ainoastaan sähköautoihin, koska niiden tuotanto (myös tarvittavien resurssien saatavuus) on herättänyt huolta, samoin kuin akkujen hävittäminen niiden elinkaaren päättyessä; pitää edelleen valitettavana, että jäsenille ei tiedotettu analyysista, joka koskee vaihtoehtoisia polttoaineita, kuten biopolttoaineita, synteettisiä polttoaineita tai vetypolttokennoja; korostaa, että monimuotoistamalla ympäristöystävällistä autokantaa vähennettäisiin riippuvuutta yhdestä ainoasta toimittajasta ja voitaisiin torjua mahdollisia tulevia toimitusongelmia;</w:t>
      </w:r>
    </w:p>
    <w:p w14:paraId="55659F76" w14:textId="4BEDD6DE" w:rsidR="009B322C" w:rsidRPr="00EB68E3" w:rsidRDefault="001B7898" w:rsidP="00BE32E9">
      <w:pPr>
        <w:pStyle w:val="Normal12Hanging"/>
      </w:pPr>
      <w:r w:rsidRPr="00EB68E3">
        <w:t>94.</w:t>
      </w:r>
      <w:r w:rsidRPr="00EB68E3">
        <w:tab/>
        <w:t>on huolissaan parlamentin ruokaloiden ja kahviloiden tuottaman kertakäyttömuovi- ja muun muovijätteen suuresta määrästä ja kehottaa hallintoa poistamaan yksiselitteisesti mahdollisuuden tarjota muoviin käärittyjä ja kertakäyttömuovituotteita tulevissa ateriapalveluja koskevissa tarjouspyynnöissä;</w:t>
      </w:r>
    </w:p>
    <w:p w14:paraId="6430ED9E" w14:textId="3168B282" w:rsidR="00BE32E9" w:rsidRPr="00EB68E3" w:rsidRDefault="001B7898" w:rsidP="00BE32E9">
      <w:pPr>
        <w:pStyle w:val="Normal12Hanging"/>
      </w:pPr>
      <w:r w:rsidRPr="00EB68E3">
        <w:t>95.</w:t>
      </w:r>
      <w:r w:rsidRPr="00EB68E3">
        <w:tab/>
        <w:t>panee merkille laatuerot saman palveluntarjoajan eri ruokaloiden välillä; katsoo, että tätä asiaa on seurattava tarkemmin, ja kehottaa näin ollen käynnistämään käyttäjätyytyväisyyskyselyn; panee tyytyväisenä merkille, että Strasbourgissa ateriapalelut ovat jo alkaneet tarjota gluteeniallergiasta kärsiville henkilöstön jäsenille soveltuvaa ruokaa, ja kehottaa lisäämään tämän ruoan valikoimaa sekä ottamaan sen käyttöön mahdollisimman pian myös muiden työpaikkojen ateriapalveluissa;</w:t>
      </w:r>
    </w:p>
    <w:p w14:paraId="35F3C3F6" w14:textId="7924AE5A" w:rsidR="00BE32E9" w:rsidRPr="00EB68E3" w:rsidRDefault="001B7898" w:rsidP="00BE32E9">
      <w:pPr>
        <w:pStyle w:val="Normal12Hanging"/>
      </w:pPr>
      <w:r w:rsidRPr="00EB68E3">
        <w:t>96.</w:t>
      </w:r>
      <w:r w:rsidRPr="00EB68E3">
        <w:tab/>
        <w:t>panee merkille, että harjoittelijat ovat oikeutettuja 0,50 euron alennukseen pääruoka-annoksista kaikissa Brysselin ja Luxemburgin itsepalveluravintoloissa ja 0,90 euron alennukseen Strasbourgissa; ei kuitenkaan pidä näitä alennuksia harjoittelijoiden keskimääräisen palkkatason ja kolmena viime vuotena perityt korkeat hinnat huomioon ottaen riittävinä niin, että niillä olisi edes häviävän pieni vaikutus harjoittelijoiden rahatilanteeseen; kehottaa uudelleen pääsihteeriä myöntämään heidän ansioitaan vastaavat hinnanalennukset;</w:t>
      </w:r>
    </w:p>
    <w:p w14:paraId="70625AD1" w14:textId="65B29C4C" w:rsidR="00A4507B" w:rsidRPr="00EB68E3" w:rsidRDefault="001A3EF0" w:rsidP="00EE1766">
      <w:pPr>
        <w:pStyle w:val="Normal12Hanging"/>
      </w:pPr>
      <w:r w:rsidRPr="00EB68E3">
        <w:t>97.</w:t>
      </w:r>
      <w:r w:rsidRPr="00EB68E3">
        <w:tab/>
        <w:t>panee tyytyväisenä merkille ennakkotarkastus- ja hankintakoordinointiyksikön perustamisen vuonna 2017 ja hankintayksikön perustamisen kaikkiin osastoihin; pyytää käsittelemään uuden yksikön toimintoja vuotuisen toimintakertomuksen erillisessä jaksossa;</w:t>
      </w:r>
    </w:p>
    <w:p w14:paraId="0842F153" w14:textId="69F5CE4A" w:rsidR="00A4507B" w:rsidRPr="00EB68E3" w:rsidRDefault="00A4507B" w:rsidP="00EE1766">
      <w:pPr>
        <w:pStyle w:val="Normal12Hanging"/>
        <w:ind w:left="0" w:firstLine="0"/>
        <w:rPr>
          <w:b/>
          <w:i/>
        </w:rPr>
      </w:pPr>
      <w:r w:rsidRPr="00EB68E3">
        <w:rPr>
          <w:b/>
          <w:i/>
        </w:rPr>
        <w:t>Tulkkaus- ja konferenssitoiminnan pääosasto eli nykyinen konferenssilogistiikan ja -tulkkauksen pääosasto</w:t>
      </w:r>
    </w:p>
    <w:p w14:paraId="0B30B820" w14:textId="42D2AEE4" w:rsidR="00A4507B" w:rsidRPr="00EB68E3" w:rsidRDefault="001A3EF0" w:rsidP="00EE1766">
      <w:pPr>
        <w:pStyle w:val="Normal12Hanging"/>
      </w:pPr>
      <w:r w:rsidRPr="00EB68E3">
        <w:t>98.</w:t>
      </w:r>
      <w:r w:rsidRPr="00EB68E3">
        <w:tab/>
        <w:t>panee merkille, että vakinaisten tulkkien tulkkauskopissa käyttämien keskimääräisten viikkotulkkaustuntien kokonaismäärä kasvoi 14 tuntiin vuonna 2017; on tyytyväinen tähän lisäykseen verrattuna siihen, että vuonna 2016 tulkkauskopissa tulkattiin 13 tuntia ja 25 minuuttia; pitää valitettavana, että uusista henkilöstösäännöistä alkunsa saanut työskentelymallien muutos kulminoitui lakkoon, joka aiheutti häiriöitä tulkkauspalvelujen tarjoamisessa jäsenille; kiittää toimia tulkkauksen ydintoimintojen ylläpitämiseksi, jotta la</w:t>
      </w:r>
      <w:r w:rsidR="00521511">
        <w:t>insäädäntötyötä voitiin jatkaa;</w:t>
      </w:r>
    </w:p>
    <w:p w14:paraId="6714553A" w14:textId="44952221" w:rsidR="00A4507B" w:rsidRPr="00EB68E3" w:rsidRDefault="001A3EF0" w:rsidP="00EE1766">
      <w:pPr>
        <w:pStyle w:val="Normal12Hanging"/>
      </w:pPr>
      <w:r w:rsidRPr="00EB68E3">
        <w:t>99.</w:t>
      </w:r>
      <w:r w:rsidRPr="00EB68E3">
        <w:tab/>
        <w:t>tuomitsee jyrkästi sen, että jännitteet kärjistyivät 45 minuutin pituiseen täysistunnon keskeyttämiseen Strasbourgissa ja ettei niiden lieventämiseksi tehty mitään näkyvää; panee tyytyväisenä merkille, että pääsihteeri teki aloitteen sopimuksesta, jonka perusteella tulkkaustoiminta palautui ennalleen;</w:t>
      </w:r>
    </w:p>
    <w:p w14:paraId="1216755A" w14:textId="6478B8E3" w:rsidR="00A4507B" w:rsidRPr="00EB68E3" w:rsidRDefault="001A3EF0" w:rsidP="00EE1766">
      <w:pPr>
        <w:pStyle w:val="Normal12Hanging"/>
      </w:pPr>
      <w:r w:rsidRPr="00EB68E3">
        <w:t>100.</w:t>
      </w:r>
      <w:r w:rsidRPr="00EB68E3">
        <w:tab/>
        <w:t>toteaa, että konferenssihallinnon nykyaikaistamista koskevan parlamentin strategian täytäntöönpano johti konferenssivahtimestarien yksikön siirtämiseen ja uuden konferenssijärjestelyjen osaston perustamiseen pääosastoon; pyytää, että uutta yksikköä käsitellään vuotuisen toimintakertomuksen erillisessä jaksossa ja että sen toimintaa arvioidaan pääosaston tavanomaisen toiminnan ohella käyttäen vakuuttavia tulosindikaattoreita;</w:t>
      </w:r>
    </w:p>
    <w:p w14:paraId="02A0CB06" w14:textId="0659C0DF" w:rsidR="00A4507B" w:rsidRPr="00EB68E3" w:rsidRDefault="00A4507B" w:rsidP="00EE1766">
      <w:pPr>
        <w:pStyle w:val="Normal12Hanging"/>
        <w:ind w:left="0" w:firstLine="0"/>
        <w:rPr>
          <w:b/>
          <w:i/>
        </w:rPr>
      </w:pPr>
      <w:r w:rsidRPr="00EB68E3">
        <w:rPr>
          <w:b/>
          <w:i/>
        </w:rPr>
        <w:t>Varainhoidon pääosasto</w:t>
      </w:r>
    </w:p>
    <w:p w14:paraId="6D996A09" w14:textId="54D698B3" w:rsidR="00A4507B" w:rsidRPr="00EB68E3" w:rsidRDefault="001A3EF0" w:rsidP="00EE1766">
      <w:pPr>
        <w:pStyle w:val="Normal12Hanging"/>
      </w:pPr>
      <w:r w:rsidRPr="00EB68E3">
        <w:t>101.</w:t>
      </w:r>
      <w:r w:rsidRPr="00EB68E3">
        <w:tab/>
        <w:t>panee merkille, että pääsihteeri päätti siirtää useita parlamentin jäsenten valtuutetuille avustajille tarjottaviin palveluihin ja jäsenten ammatillisen koulutuksen jaostoon liittyviä toimintoja varainhoidon pääosastosta henkilöstöasioiden pääosastoon; pitää valitettavana, että nämä siirrot eivät olleet riittäviä korjaamaan varainhoidon pääosaston henkilöstön vähentämisestä vuonna 2017 aiheutuneita kielteisiä vaikutuksia; kehottaa yksinkertaistamaan jäsenten, henkilöstön ja valtuutettujen avustajien matkakulujen korvaamista hyödyntämällä esimerkiksi jäsenten sähköisen allekirjoituksen (DiSP) ja kaksivaiheisen tarkistuksen kaltaisia järjestelmiä; myöntää, että tarkistukset ovat tarpeen, mutta korostaa, että ne voidaan tehdä tehokkaammin ja paperittomasti;</w:t>
      </w:r>
    </w:p>
    <w:p w14:paraId="7B2515B9" w14:textId="57A90BA4" w:rsidR="009B322C" w:rsidRPr="00EB68E3" w:rsidRDefault="001A3EF0" w:rsidP="009B322C">
      <w:pPr>
        <w:pStyle w:val="Normal12Hanging"/>
      </w:pPr>
      <w:r w:rsidRPr="00EB68E3">
        <w:t>102.</w:t>
      </w:r>
      <w:r w:rsidRPr="00EB68E3">
        <w:tab/>
        <w:t>suosittelee, että Euroopan parlamentin virkamiesten ja muun henkilöstön virkamatkoja koskevia sisäisiä sääntöjä ja Euroopan unionin muuhun henkilöstöön sovellettavien palvelussuhteen ehtojen VII osaston soveltamisohjeita tarkistetaan perusteellisesti, erityisesti niin että valtuutettuja avustajia ja virkamiehiä kohdellaan yhdenmukaisesti;</w:t>
      </w:r>
    </w:p>
    <w:p w14:paraId="7C3B7182" w14:textId="0D13578B" w:rsidR="00BE32E9" w:rsidRPr="00EB68E3" w:rsidRDefault="001A3EF0" w:rsidP="00BE32E9">
      <w:pPr>
        <w:pStyle w:val="Normal12Hanging"/>
      </w:pPr>
      <w:r w:rsidRPr="00EB68E3">
        <w:t>103.</w:t>
      </w:r>
      <w:r w:rsidRPr="00EB68E3">
        <w:tab/>
        <w:t>panee merkille, että parlamentin uusi matkatoimistopalvelu aloittaa toimintansa 1. tammikuuta 2019 ja että sama matkatoimisto on jo aiemmin työskennellyt parlamentin kanssa; on tyytyväinen siihen, että uusi sopimus sisältää tiukempia ehtoja etenkin lippujen hinnoittelusta ja siitä, että matkatoimiston puhelinpalvelun olisi oltava käytössä aina, myös viikonloppuisin; painottaa jälleen pitävänsä tärkeänä sellaista yksinkertaista ja käyttäjäystävällistä valitusmekanismia, jonka avulla puutteet voidaan tuoda nopeasti esiin, jotta ongelmat voidaan korjata pikaisesti; painottaa, että on kiinnitettävä huomiota jäsenten erityisvaatimuksiin ja räätälöityjen palvelujen tarpeeseen;</w:t>
      </w:r>
    </w:p>
    <w:p w14:paraId="134F5ABC" w14:textId="76C3901F" w:rsidR="00BE32E9" w:rsidRPr="00EB68E3" w:rsidRDefault="001A3EF0" w:rsidP="00BE32E9">
      <w:pPr>
        <w:pStyle w:val="Normal12Hanging"/>
      </w:pPr>
      <w:r w:rsidRPr="00EB68E3">
        <w:t>104.</w:t>
      </w:r>
      <w:r w:rsidRPr="00EB68E3">
        <w:tab/>
        <w:t>kannustaa uutta matkatoimistoa pyrkimään takaamaan kilpailukykyisimmät hinnat parlamentin virkamatkoja varten;</w:t>
      </w:r>
    </w:p>
    <w:p w14:paraId="3D28B423" w14:textId="477CE9C6" w:rsidR="00BE32E9" w:rsidRPr="00EB68E3" w:rsidRDefault="001A3EF0" w:rsidP="00BE32E9">
      <w:pPr>
        <w:pStyle w:val="Normal12Hanging"/>
      </w:pPr>
      <w:r w:rsidRPr="00EB68E3">
        <w:t>105.</w:t>
      </w:r>
      <w:r w:rsidRPr="00EB68E3">
        <w:tab/>
        <w:t>kehottaa yksinkertaistamaan palvelukseenottoprosesseja sekä matkakorvauksia paikallisten avustajien osalta; pitää valitettavana, että nämä prosessit ovat usein monimutkaisia ja pitkällisiä ja johtavat merkittäviin viivästyksiin; kehottaa varainhoidon pääosastoa käsittelemään tätä ongelmaa yhtenä ensisijaisena seikkana;</w:t>
      </w:r>
    </w:p>
    <w:p w14:paraId="58EE3BAA" w14:textId="1E213C28" w:rsidR="00BE32E9" w:rsidRPr="00EB68E3" w:rsidRDefault="001A3EF0" w:rsidP="00BE32E9">
      <w:pPr>
        <w:pStyle w:val="Normal12Hanging"/>
      </w:pPr>
      <w:r w:rsidRPr="00EB68E3">
        <w:t>106.</w:t>
      </w:r>
      <w:r w:rsidRPr="00EB68E3">
        <w:tab/>
        <w:t>toteaa, että maksun välittäjät, joiden kanssa jäsenten on toimittava maassa, josta heidät on valittu, eivät tunne riittävän hyvin parlamentin sisäisiä menettelyjä; toteaa, että maksun välittäjät tekevät näiden sääntöjen monimutkaisuuden vuoksi usein virheitä, joista on haittaa jäsenille; katsoo, että maksun välittäjille olisi annettava koulutusta tai laadittava käsikirja;</w:t>
      </w:r>
    </w:p>
    <w:p w14:paraId="7FE78BE0" w14:textId="77777777" w:rsidR="00BE32E9" w:rsidRPr="00EB68E3" w:rsidRDefault="00BE32E9" w:rsidP="00BE32E9">
      <w:pPr>
        <w:pStyle w:val="Normal12Hanging"/>
        <w:rPr>
          <w:b/>
          <w:i/>
        </w:rPr>
      </w:pPr>
      <w:r w:rsidRPr="00EB68E3">
        <w:rPr>
          <w:b/>
          <w:i/>
        </w:rPr>
        <w:t>Yleinen kulukorvaus</w:t>
      </w:r>
    </w:p>
    <w:p w14:paraId="4E31D61B" w14:textId="41122D42" w:rsidR="00F537AA" w:rsidRDefault="001A3EF0" w:rsidP="001849E4">
      <w:pPr>
        <w:ind w:left="567" w:hanging="567"/>
      </w:pPr>
      <w:r w:rsidRPr="00EB68E3">
        <w:t>107.</w:t>
      </w:r>
      <w:r w:rsidRPr="00EB68E3">
        <w:tab/>
        <w:t>panee merkille yleistä kulukorvausta koskevan puhemiehistön toiminnan ja erityisesti tilapäisen työryhmän perustamisen tämän korvauksen käyttöä koskevien sääntöjen määrittämistä ja julkaisua varten; pitää kuitenkin valitettavana, että ainoa puhemiehistön tekemä päätös liittyy ei-tyhjentävään luetteloon korvauskelpoisista kustannuksista; panee lisäksi merkille, että puhemiehistön työryhmä pääsi yhteisymmärrykseen siitä, että kullakin parlamentin jäsenellä on oltava yleisen kulukorvauksen piiriin kuuluvien varojen vastaanottamista varten erillinen pankkitili;  panee merkille yleistä kulukorvausta koskevan puhemiehistön päätöksen, jonka mukaan sovittuja muutoksia sovelletaan vasta vuoden 2019 vaalien jälkeen; katsoo, että jäsenten on oltava täysimääräisesti vastuussa tästä korvauksesta kattamistaan kuluista; panee merkille, että aiemmissa vastuuvapauspäätöslauselmissa vaadittiin seuraavaa:</w:t>
      </w:r>
    </w:p>
    <w:p w14:paraId="715F1E02" w14:textId="77777777" w:rsidR="00521511" w:rsidRPr="00EB68E3" w:rsidRDefault="00521511" w:rsidP="001849E4">
      <w:pPr>
        <w:ind w:left="567" w:hanging="567"/>
        <w:rPr>
          <w:bCs/>
          <w:iCs/>
        </w:rPr>
      </w:pPr>
    </w:p>
    <w:p w14:paraId="68EFB315" w14:textId="74A54B24" w:rsidR="00F537AA" w:rsidRPr="00EB68E3" w:rsidRDefault="00B05F16" w:rsidP="00B05F16">
      <w:pPr>
        <w:pStyle w:val="ListParagraph"/>
        <w:ind w:left="1080" w:hanging="360"/>
      </w:pPr>
      <w:r w:rsidRPr="00EB68E3">
        <w:rPr>
          <w:b/>
          <w:i/>
        </w:rPr>
        <w:t>–</w:t>
      </w:r>
      <w:r w:rsidRPr="00EB68E3">
        <w:rPr>
          <w:b/>
          <w:i/>
        </w:rPr>
        <w:tab/>
      </w:r>
      <w:r w:rsidRPr="00EB68E3">
        <w:t>on määriteltävä ja julkistettava yleisen kulukorvauksen käyttöön sovellettavat säännöt ja laajennettava niitä (mikä edellyttää muun muassa tyhjentävää luetteloa korvauskelpoisista kuluista),</w:t>
      </w:r>
    </w:p>
    <w:p w14:paraId="4EB60E56" w14:textId="251C7E13" w:rsidR="00F537AA" w:rsidRPr="00EB68E3" w:rsidRDefault="00B05F16" w:rsidP="00B05F16">
      <w:pPr>
        <w:pStyle w:val="ListParagraph"/>
        <w:ind w:left="1080" w:hanging="360"/>
      </w:pPr>
      <w:r w:rsidRPr="00EB68E3">
        <w:rPr>
          <w:b/>
          <w:i/>
        </w:rPr>
        <w:t>–</w:t>
      </w:r>
      <w:r w:rsidRPr="00EB68E3">
        <w:rPr>
          <w:b/>
          <w:i/>
        </w:rPr>
        <w:tab/>
      </w:r>
      <w:r w:rsidRPr="00EB68E3">
        <w:t>jäsenten on säilytettävä kaikki yleiseen kulukorvaukseen liittyvät kuitit,</w:t>
      </w:r>
    </w:p>
    <w:p w14:paraId="3950CDB0" w14:textId="3E93C834" w:rsidR="00F537AA" w:rsidRPr="00EB68E3" w:rsidRDefault="00B05F16" w:rsidP="0086406C">
      <w:pPr>
        <w:pStyle w:val="ListParagraph"/>
        <w:spacing w:after="240"/>
        <w:ind w:left="1077" w:hanging="357"/>
        <w:contextualSpacing w:val="0"/>
        <w:rPr>
          <w:bCs/>
          <w:iCs/>
        </w:rPr>
      </w:pPr>
      <w:r w:rsidRPr="00EB68E3">
        <w:rPr>
          <w:b/>
          <w:bCs/>
          <w:i/>
          <w:iCs/>
        </w:rPr>
        <w:t>–</w:t>
      </w:r>
      <w:r w:rsidRPr="00EB68E3">
        <w:rPr>
          <w:b/>
          <w:bCs/>
          <w:i/>
          <w:iCs/>
        </w:rPr>
        <w:tab/>
      </w:r>
      <w:r w:rsidRPr="00EB68E3">
        <w:t>yleisestä kulukorvauksesta käyttämättä jäänyt osuus on palautettava toimikauden lopussa;</w:t>
      </w:r>
    </w:p>
    <w:p w14:paraId="3A853E17" w14:textId="61405B60" w:rsidR="00A4507B" w:rsidRPr="00EB68E3" w:rsidRDefault="00A4507B" w:rsidP="00EE1766">
      <w:pPr>
        <w:pStyle w:val="Normal12Hanging"/>
        <w:ind w:left="0" w:firstLine="0"/>
        <w:rPr>
          <w:b/>
          <w:i/>
        </w:rPr>
      </w:pPr>
      <w:r w:rsidRPr="00EB68E3">
        <w:rPr>
          <w:b/>
          <w:i/>
        </w:rPr>
        <w:t>Vapaaehtoinen eläkerahasto</w:t>
      </w:r>
    </w:p>
    <w:p w14:paraId="0BF8C95E" w14:textId="6A78D57F" w:rsidR="003B4B4A" w:rsidRPr="00EB68E3" w:rsidRDefault="001A3EF0" w:rsidP="0086406C">
      <w:pPr>
        <w:spacing w:after="240"/>
        <w:ind w:left="567" w:hanging="567"/>
        <w:rPr>
          <w:bCs/>
          <w:iCs/>
        </w:rPr>
      </w:pPr>
      <w:r w:rsidRPr="00EB68E3">
        <w:t>108.</w:t>
      </w:r>
      <w:r w:rsidRPr="00EB68E3">
        <w:tab/>
        <w:t>palauttaa mieliin, että 23. lokakuuta 1997 antamassaan päätöslauselmassa parlamentti kehotti puhemiehistöä pyytämään tilintarkastustuomioistuinta tutkimaan parlamentin vapaaehtoista eläkejärjestelmää, ja tilintarkastustuomioistuin antoi tämän perusteella lausunnon nro 5/99 Euroopan parlamentin jäsenten eläkerahastosta ja -järjestelmästä; kehottaa puhemiehistöä pyytämään tilintarkastustuomioistuimelta toista tällaista lausuntoa eläkejärjestelmästä ja -rahastosta vuonna 2019;</w:t>
      </w:r>
    </w:p>
    <w:p w14:paraId="79BDE748" w14:textId="6D977C99" w:rsidR="003B4B4A" w:rsidRPr="00EB68E3" w:rsidRDefault="001A3EF0" w:rsidP="0086406C">
      <w:pPr>
        <w:spacing w:after="240"/>
        <w:ind w:left="567" w:hanging="567"/>
        <w:rPr>
          <w:bCs/>
          <w:iCs/>
        </w:rPr>
      </w:pPr>
      <w:r w:rsidRPr="00EB68E3">
        <w:t>109.</w:t>
      </w:r>
      <w:r w:rsidRPr="00EB68E3">
        <w:tab/>
        <w:t>muistuttaa, että parlamentin pääsihteeri totesi puhemiehistölle osoittamassaan 8. maaliskuuta 2018 päivätyssä muistiossa, että jäsenten vapaaehtoisen eläkejärjestelmän ”rahaston pääoma on käytetty loppuun jo huomattavasti ennen kuin eläkevelvoitteet päättyvät ja mahdollisesti jo vuoteen 2024 mennessä”; kehottaa näin ollen pääsihteeriä ja puhemiehistöä noudattamaan täysimääräisesti jäsenten asemaa koskevia sääntöjä ja laatimaan kiireellisesti selkeän suunnitelman parlamentille, jotta se ottaa vastuulleen ja hoitaakseen jäsentensä vapaaehtoista eläkejärjestelmää koskevat velvollisuutensa ja tehtävänsä välittömästi vuoden 2019 vaalien jälkeen;</w:t>
      </w:r>
    </w:p>
    <w:p w14:paraId="1D2F7E72" w14:textId="6793E720" w:rsidR="003B4B4A" w:rsidRPr="00EB68E3" w:rsidRDefault="001A3EF0" w:rsidP="0086406C">
      <w:pPr>
        <w:spacing w:after="240"/>
        <w:ind w:left="567" w:hanging="567"/>
        <w:rPr>
          <w:bCs/>
          <w:iCs/>
        </w:rPr>
      </w:pPr>
      <w:r w:rsidRPr="00EB68E3">
        <w:t>110.</w:t>
      </w:r>
      <w:r w:rsidRPr="00EB68E3">
        <w:tab/>
        <w:t>toteaa, että vapaaehtoisen eläkerahaston arvioitu vakuutusmatemaattinen alijäämä oli 305,4 miljoonaa euroa vuoden 2017 lopussa; toteaa lisäksi, että vuoden 2017 lopussa huomioon otettava nettovarallisuus oli 137 miljoonaa euroa ja eläkevastuu oli 442,4 miljoonaa euroa; toteaa, että varat kattavat näin vain 30 prosenttia vapaaehtoisen eläkerahaston sitoumuksista;</w:t>
      </w:r>
    </w:p>
    <w:p w14:paraId="5E0626BB" w14:textId="3016A60B" w:rsidR="003B4B4A" w:rsidRPr="00EB68E3" w:rsidRDefault="001A3EF0" w:rsidP="0086406C">
      <w:pPr>
        <w:spacing w:after="240"/>
        <w:ind w:left="567" w:hanging="567"/>
        <w:rPr>
          <w:bCs/>
          <w:iCs/>
        </w:rPr>
      </w:pPr>
      <w:r w:rsidRPr="00EB68E3">
        <w:t>111.</w:t>
      </w:r>
      <w:r w:rsidRPr="00EB68E3">
        <w:tab/>
        <w:t>palauttaa mieliin, että rahaston ennakoidut tulevat vastuut jakautuvat usealle kymmenelle vuodelle mutta ylittävät tällä hetkellä käytettävissä olevat varat, ja panee merkille, että vapaaehtoisesta eläkerahastosta maksettiin ulos vuonna 2017 yhteensä 17,2 miljoonaa euroa; toteaa, että vuoden 2017 lopussa rahaston piiriin kuului 661 eläkeläistä ja 99 huollettavana olevaa henkilöä;</w:t>
      </w:r>
    </w:p>
    <w:p w14:paraId="4238A881" w14:textId="6A525CDE" w:rsidR="003B4B4A" w:rsidRPr="00EB68E3" w:rsidRDefault="001A3EF0" w:rsidP="0086406C">
      <w:pPr>
        <w:spacing w:after="240"/>
        <w:ind w:left="567" w:hanging="567"/>
        <w:rPr>
          <w:bCs/>
          <w:iCs/>
        </w:rPr>
      </w:pPr>
      <w:r w:rsidRPr="00EB68E3">
        <w:t>112.</w:t>
      </w:r>
      <w:r w:rsidRPr="00EB68E3">
        <w:tab/>
        <w:t>toteaa, että tämä herättää huolta rahaston varojen mahdollisesta ehtymisestä ja että rahasto on myynyt käyttöomaisuutta jo vuosien ajan täyttääkseen maksuvelvoitteensa eläkeläisille, koska rahaston tulot eivät riitä kattamaan kasvaneita eläkemaksuja; muistuttaa, että varaus eläkkeitä ja vastaavia velvoitteita varten on laskettu investointien vuotuisen 6,5 prosentin tuoton perusteella, mikä ei ollut alun perinkään kestävää;</w:t>
      </w:r>
    </w:p>
    <w:p w14:paraId="68CB7691" w14:textId="436A4065" w:rsidR="003B4B4A" w:rsidRPr="00EB68E3" w:rsidRDefault="001A3EF0" w:rsidP="0086406C">
      <w:pPr>
        <w:spacing w:after="240"/>
        <w:ind w:left="567" w:hanging="567"/>
        <w:rPr>
          <w:bCs/>
          <w:iCs/>
        </w:rPr>
      </w:pPr>
      <w:r w:rsidRPr="00EB68E3">
        <w:t>113.</w:t>
      </w:r>
      <w:r w:rsidRPr="00EB68E3">
        <w:tab/>
        <w:t>on tyytyväinen pääsihteerin ehdotuksiin ja sopimukseen siitä, että pääsihteeri tarkastelee tilannetta uudelleen vuonna 2020 siltä osin, ovatko toimenpiteet supistaneet vakuutusmatemaattista alijäämää riittävästi; on tyytyväinen siihen, että pääsihteeri on kuullut oikeudellista yksikköä;</w:t>
      </w:r>
    </w:p>
    <w:p w14:paraId="2420BA1D" w14:textId="3D8DA5FD" w:rsidR="003B4B4A" w:rsidRPr="00EB68E3" w:rsidRDefault="001A3EF0" w:rsidP="0086406C">
      <w:pPr>
        <w:spacing w:after="240"/>
        <w:ind w:left="567" w:hanging="567"/>
      </w:pPr>
      <w:r w:rsidRPr="00EB68E3">
        <w:t>114.</w:t>
      </w:r>
      <w:r w:rsidRPr="00EB68E3">
        <w:tab/>
        <w:t>panee merkille, että pääsihteerin tehtyä 10. joulukuuta 2018 ehdotuksen puhemiehistö hyväksyi vapaaehtoisen eläkejärjestelmän sääntöihin kaksi muutosta, joissa vahvistetaan eläkeiän nostaminen 63:sta 65:een ja tulevien eläkeläisten eläkkeisiin sovellettavan viiden prosentin veronluonteisen maksun käyttöönotto; kehottaa pääsihteeriä varmistamaan, että puhemiehistö toteuttaa viipymättä kaikki oikeudellisesti mahdolliset toimenpiteet rahaston kestävyyden parantamiseksi ja sen estämiseksi, että rahaston varat käytetään loppuun liian aikaisin; kehottaa pääsihteeriä varmistamaan, että puhemiehistö tekee asiasta päätöksen ennen nykyisen vaalikauden päättymistä;</w:t>
      </w:r>
    </w:p>
    <w:p w14:paraId="47F32944" w14:textId="7E25BA71" w:rsidR="003B4B4A" w:rsidRPr="00EB68E3" w:rsidRDefault="001A3EF0" w:rsidP="0086406C">
      <w:pPr>
        <w:spacing w:after="240"/>
        <w:ind w:left="567" w:hanging="567"/>
        <w:rPr>
          <w:bCs/>
          <w:iCs/>
        </w:rPr>
      </w:pPr>
      <w:r w:rsidRPr="00EB68E3">
        <w:t>115.</w:t>
      </w:r>
      <w:r w:rsidRPr="00EB68E3">
        <w:tab/>
        <w:t>kehottaa pääsihteeriä tutkimaan vapaaehtoisen eläkerahaston oikeudellista perustaa ja mahdollisia vaikutuksia sekä erityisesti sitä, onko Euroopan parlamentti takaajana oikeudellisesti ja taloudellisesti kestävä, koska vapaaehtoinen eläkerahasto on luxemburgilainen investointirahasto eikä tavanomainen eläkerahasto; korostaa, että tämä tutkimus olisi annettava riippumattoman osapuolen tehtäväksi;</w:t>
      </w:r>
    </w:p>
    <w:p w14:paraId="00C61840" w14:textId="1008A778" w:rsidR="009B322C" w:rsidRPr="00EB68E3" w:rsidRDefault="001A3EF0" w:rsidP="0086406C">
      <w:pPr>
        <w:spacing w:after="240"/>
        <w:ind w:left="567" w:hanging="567"/>
      </w:pPr>
      <w:r w:rsidRPr="00EB68E3">
        <w:t>116.</w:t>
      </w:r>
      <w:r w:rsidRPr="00EB68E3">
        <w:tab/>
        <w:t>kehottaa pääsihteeriä ja puhemiehistöä pyrkimään kaikin mahdollisin tavoin pitämään parlamentin vastuun mahdollisimman pienenä, sillä kyse on veronmaksajien rahoista; palauttaa mieliin, että rahasto perustettiin vuonna 1990, jotta jäsenillä olisi vapaaehtoinen lisäeläkejärjestelmä; muistuttaa, että ennen vuonna 2009 käyttöön otettuja jäsenten asemaa koskevia sääntöjä jäsenillä oli jo oikeus vastaavaan eläkkeeseen kuin omien kansallisten parlamenttiensa jäsenillä, lukuun ottamatta Italian, Ranskan ja Luxemburgin jäseniä, jotka pystyivät näin osallistumaan Euroopan parlamentin erityiseen eläkejärjestelmään, joka perustettiin vuonna 1981 vain edellä mainittuja kolmea kansallisuutta varten; muistuttaa siksi, että vapaaehtoinen eläkerahasto on aina ollut vain lisäeläkejärjestelmä;</w:t>
      </w:r>
    </w:p>
    <w:p w14:paraId="7920CE2C" w14:textId="1F886979" w:rsidR="003B4B4A" w:rsidRPr="00EB68E3" w:rsidRDefault="001A3EF0" w:rsidP="0086406C">
      <w:pPr>
        <w:spacing w:after="240"/>
        <w:ind w:left="567" w:hanging="567"/>
      </w:pPr>
      <w:r w:rsidRPr="00EB68E3">
        <w:t>117.</w:t>
      </w:r>
      <w:r w:rsidRPr="00EB68E3">
        <w:tab/>
        <w:t>muistuttaa, että kaksi kolmasosaa jäsenten vapaaehtoisen eläkerahaston kuukausimaksusta, eli 2 236 euroa vuonna 2006, maksetaan jo parlamentin talousarviosta kutakin rahaston jäsentä kohti; muistuttaa, että jo kahden vuoden maksut rahastoon tuottavat elinikäisen eläkeoikeuden jäsenen saavutettua eläkeiän; panee merkille, että suurin eläke, jonka vapaaehtoinen eläkerahasto maksoi vuonna 2018, oli 6 262 euroa ja että keskimääräinen eläke oli 1 934 euroa; panee merkille, että tällä hetkellä (lokakuussa 2018) 71 edustajantointa hoitavaa jäsentä on vapaaehtoisen eläkerahaston jäseniä; vetoaa rahaston johtokunnan, parlamentin puhemiehistön ja rahaston jäsenten eettiseen ja taloudelliseen omaantuntoon ja terveeseen järkeen kaikkien niiden toimien tukemiseksi, joilla pyritään rajoittamaan rahaston vajetta;</w:t>
      </w:r>
    </w:p>
    <w:p w14:paraId="30310315" w14:textId="0F27B21E" w:rsidR="00A4507B" w:rsidRPr="00EB68E3" w:rsidRDefault="00A4507B" w:rsidP="00EE1766">
      <w:pPr>
        <w:pStyle w:val="Normal12Hanging"/>
        <w:rPr>
          <w:b/>
          <w:i/>
        </w:rPr>
      </w:pPr>
      <w:r w:rsidRPr="00EB68E3">
        <w:rPr>
          <w:b/>
          <w:i/>
        </w:rPr>
        <w:t>Innovoinnin ja teknisen tuen pääosasto</w:t>
      </w:r>
    </w:p>
    <w:p w14:paraId="634FFCFE" w14:textId="0CA673BE" w:rsidR="00A4507B" w:rsidRPr="00EB68E3" w:rsidRDefault="001A3EF0" w:rsidP="00EE1766">
      <w:pPr>
        <w:widowControl/>
        <w:autoSpaceDE w:val="0"/>
        <w:autoSpaceDN w:val="0"/>
        <w:adjustRightInd w:val="0"/>
        <w:spacing w:after="240"/>
        <w:ind w:left="567" w:hanging="567"/>
      </w:pPr>
      <w:r w:rsidRPr="00EB68E3">
        <w:t>118.</w:t>
      </w:r>
      <w:r w:rsidRPr="00EB68E3">
        <w:tab/>
        <w:t>panee merkille, että innovoinnin ja teknisen tuen pääosaston pääindikaattori vuonna 2017 oli sen oikea-aikainen ja tehokas reagointivalmius käyttäjien ja kumppanien vaatimuksiin kaikilla toiminta-aloilla; panee merkille, että yleiset tulokset, jotka koskivat tuen läheisyyttä, tietoteknistä vastaanottopistettä ja puhelintukea, olivat tyydyttäviä mutta tarvitaan vielä toimia etäyhteyspalvelun turvaamiseksi, joka on käyttäjille toiseksi tärkein asia; korostaa, ettei reagointivalmius tarkoita sitä, että ongelmat ratkaistaisiin välttämättä oikea-aikaisesti; huomauttaa, että at4am:n kaltaisiin tietoteknisiin järjestelmiin liittyvät ongelmat olisi luokiteltava aivan ensisijaisiksi, ellei näin ole jo tehty;</w:t>
      </w:r>
    </w:p>
    <w:p w14:paraId="0EA9773D" w14:textId="35D7F44B" w:rsidR="00A4507B" w:rsidRPr="00EB68E3" w:rsidRDefault="001A3EF0" w:rsidP="00EE1766">
      <w:pPr>
        <w:widowControl/>
        <w:autoSpaceDE w:val="0"/>
        <w:autoSpaceDN w:val="0"/>
        <w:adjustRightInd w:val="0"/>
        <w:spacing w:after="240"/>
        <w:ind w:left="567" w:hanging="567"/>
      </w:pPr>
      <w:r w:rsidRPr="00EB68E3">
        <w:t>119.</w:t>
      </w:r>
      <w:r w:rsidRPr="00EB68E3">
        <w:tab/>
        <w:t>muistuttaa, että avoimen viestinnän maailmassa keskeinen strateginen pilari parlamentille on tieto- ja viestintätekniikan turvallisuuden parantaminen hankaloittamatta jäsenten, henkilöstön ja valtuutettujen avustajien työskentelyä sattumanvaraisilta vaikuttavin säännöin ja vaatimuksin; korostaa, että turvallisuustoimenpiteet on räätälöitävä niin, että ne kattavat kaikki käyttöjärjestelmät – sekä iOS:n että Windowsin – vaikeuttamatta kummankaan käyttöjärjestelmän käyttöä; korostaa, että innovoinnin ja teknisen tuen pääosaston on otettava huomioon iOS:n lisääntynyt käyttö ja että kaikki Windows-laitteille kehitetyt etäpalvelut on mukautettava iOS:ään viipymättä; panee tässä yhteydessä tyytyväisenä merkille tieto- ja viestintäturvayksikön perustamisen tammikuussa 2017; pitää valitettavana, että parlamentin hallinnossa on pulaa huipputason kyberturvallisuusasiantuntijoista työmarkkinoilla vallitsevan kilpailun vuoksi;</w:t>
      </w:r>
    </w:p>
    <w:p w14:paraId="16502645" w14:textId="43EDBAB4" w:rsidR="00A4507B" w:rsidRPr="00EB68E3" w:rsidRDefault="001A3EF0" w:rsidP="00EE1766">
      <w:pPr>
        <w:pStyle w:val="Normal12Hanging"/>
      </w:pPr>
      <w:r w:rsidRPr="00EB68E3">
        <w:t>120.</w:t>
      </w:r>
      <w:r w:rsidRPr="00EB68E3">
        <w:tab/>
        <w:t>panee tyytyväisenä merkille vuonna 2017 käynnistetyt kaksi uutta hanketta, tabletista hybridiin (”From Tablet to Hybrid”) ja innovoinnin valtavirtaistaminen (”Mainstreaming Innovation”), joilla vahvistetaan parlamentin innovatiivista ja digitaalista työympäristöä; pyytää, että jäsenille, valtuutetuille avustajille ja henkilöstölle suunnitellaan ja tarjotaan pian tietoteknistä turvallisuuskoulutusta, ja pyytää keskittymään koulutuksessa kunkin ryhmän omiin tarpeisiin;</w:t>
      </w:r>
    </w:p>
    <w:p w14:paraId="1BD8E701" w14:textId="012B8AD9" w:rsidR="00A4507B" w:rsidRPr="00EB68E3" w:rsidRDefault="001A3EF0" w:rsidP="00EE1766">
      <w:pPr>
        <w:pStyle w:val="Normal12Hanging"/>
      </w:pPr>
      <w:r w:rsidRPr="00EB68E3">
        <w:t>121.</w:t>
      </w:r>
      <w:r w:rsidRPr="00EB68E3">
        <w:tab/>
        <w:t>kehottaa kaikkia asiaankuuluvia pääosastoja edistämään paperitonta toimistoa ja saavuttamaan sen hyödyntämällä kattavasti digitaalisia palveluja, kuten sähköistä allekirjoitusta ja kaksivaiheisia tarkistuksia; tähdentää, että sähköiset lomakkeet säästävät aikaa ja resursseja vain, jos niitä ei tarvitse tulostaa, allekirjoittaa eikä lähettää toiseen toimistoon tai jopa toiseen maahan, kuten on asianlaita matkakorvauslomakkeiden tapauksessa;</w:t>
      </w:r>
    </w:p>
    <w:p w14:paraId="392D4A7D" w14:textId="7E7A664B" w:rsidR="00BE32E9" w:rsidRPr="00EB68E3" w:rsidRDefault="001A3EF0" w:rsidP="00BE32E9">
      <w:pPr>
        <w:pStyle w:val="Normal12Hanging"/>
      </w:pPr>
      <w:r w:rsidRPr="00EB68E3">
        <w:t>122.</w:t>
      </w:r>
      <w:r w:rsidRPr="00EB68E3">
        <w:tab/>
        <w:t>korostaa Strasbourgin kuljetuslaatikoihin liittyviä kustannuksia, päästöjä sekä terveys- ja turvallisuuskysymyksiä ja ehdottaa niiden välitöntä käytöstä poistamista ottaen huomioon käytettävissä olevat tietotekniset ratkaisut, kuten tarvepainatuksen, järjestelmälähestymistavat, kuten paperittoman toimiston, sekä tietotekniset laitteet, kuten tabletit ja kannettavat tietokoneet;</w:t>
      </w:r>
    </w:p>
    <w:p w14:paraId="6B22E535" w14:textId="508501F2" w:rsidR="00A4507B" w:rsidRPr="00EB68E3" w:rsidRDefault="001A3EF0" w:rsidP="00EE1766">
      <w:pPr>
        <w:pStyle w:val="Normal12Hanging"/>
      </w:pPr>
      <w:r w:rsidRPr="00EB68E3">
        <w:t>123.</w:t>
      </w:r>
      <w:r w:rsidRPr="00EB68E3">
        <w:tab/>
        <w:t>korostaa puhemiehistön päätelmää, jonka mukaan turvallisuusasiat edellyttävät yhdennettyä toimintatapaa, jotta varmistetaan kaikkien asiaankuuluvien yksiköiden optimaalinen koordinointi hätätilanteissa, ja näin ollen innovaation ja teknisen tuen pääosaston ja turvallisuusasioiden pääosaston yhteistyö on olennaisen tärkeää; kannustaa pääosastoja suunnittelemaan yhteisiä toimia keskipitkällä ja pitkällä aikavälillä;</w:t>
      </w:r>
    </w:p>
    <w:p w14:paraId="5B745823" w14:textId="37EAB180" w:rsidR="00BE32E9" w:rsidRPr="00EB68E3" w:rsidRDefault="001A3EF0" w:rsidP="00BE32E9">
      <w:pPr>
        <w:pStyle w:val="Normal12Hanging"/>
      </w:pPr>
      <w:r w:rsidRPr="00EB68E3">
        <w:t>124.</w:t>
      </w:r>
      <w:r w:rsidRPr="00EB68E3">
        <w:tab/>
        <w:t>kehottaa puhemiehistöä esittämään yhteistyössä innovoinnin ja teknisen tuen pääosaston kanssa riskien vähentämistoimia, jotta varmistetaan parlamentin toiminnan moitteeton sujuminen järjestelmän vahingoittuessa tai toimintahäiriöiden yhteydessä; korostaa, että on tärkeää laatia palveluista prioriteettilista, jonka mukaan toimitaan palautettaessa palveluja mahdollisimman nopeasti, jotta runkopalvelu toimisi edelleen kyberhyökkäyksestä huolimatta; kehottaa puhemiehistöä laatimaan valmiussuunnitelman järjestelmän pitkällisten toimintahäiriöiden varalta; suosittaa, että datakeskusten olisi sijoitettava palvelimensa eri paikkoihin, jotta parannetaan parlamentin tietojenkäsittelyjärjestelmien turvallisuutta ja kestävyyttä;</w:t>
      </w:r>
    </w:p>
    <w:p w14:paraId="18AA86DB" w14:textId="4834915D" w:rsidR="00BE32E9" w:rsidRPr="00EB68E3" w:rsidRDefault="001A3EF0" w:rsidP="00BE32E9">
      <w:pPr>
        <w:pStyle w:val="Normal12Hanging"/>
      </w:pPr>
      <w:r w:rsidRPr="00EB68E3">
        <w:t>125.</w:t>
      </w:r>
      <w:r w:rsidRPr="00EB68E3">
        <w:tab/>
        <w:t>toistaa pyyntönsä ottaa käyttöön nopea hälytysjärjestelmä, jonka avulla innovoinnin ja teknisen tuen pääosasto voi yhteistyössä turvallisuusasioiden pääosaston kanssa lähettää nopeasti tekstiviestejä niille parlamentin ja henkilöstön jäsenille, jotka haluavat lisätä yhteystietonsa turvallisuutta koskevissa hätätilanteissa käytettävään osoitteistoon;</w:t>
      </w:r>
    </w:p>
    <w:p w14:paraId="34C005E9" w14:textId="77777777" w:rsidR="00A4507B" w:rsidRPr="00EB68E3" w:rsidRDefault="00A4507B" w:rsidP="00EE1766">
      <w:pPr>
        <w:pStyle w:val="Normal12Hanging"/>
        <w:ind w:left="0" w:firstLine="0"/>
        <w:rPr>
          <w:b/>
          <w:i/>
        </w:rPr>
      </w:pPr>
      <w:r w:rsidRPr="00EB68E3">
        <w:rPr>
          <w:b/>
          <w:i/>
        </w:rPr>
        <w:t>Turvallisuusasioiden pääosasto</w:t>
      </w:r>
    </w:p>
    <w:p w14:paraId="7B42EEEB" w14:textId="49CD344E" w:rsidR="00BE32E9" w:rsidRPr="00EB68E3" w:rsidRDefault="001A3EF0" w:rsidP="00BE32E9">
      <w:pPr>
        <w:pStyle w:val="Normal12Hanging"/>
      </w:pPr>
      <w:r w:rsidRPr="00EB68E3">
        <w:t>126.</w:t>
      </w:r>
      <w:r w:rsidRPr="00EB68E3">
        <w:tab/>
        <w:t>panee tyytyväisenä merkille vuonna 2017 tehdyt huomattavat parannukset parlamentin turvallisuuden vahvistamiseksi; panee merkille, että Strasbourgin ja Brysselin rakennusten ympärille perustettiin turvavyöhykkeitä, Belgian viranomaiset suorittavat nyt turvallisuustutkinnan kaikille parlamentissa työskentelevien ulkopuolisten yritysten työntekijöille ja neuvoston ja komission kanssa käynnistettiin toimielinten yhteinen hanke yhteisestä varastoinnista; on tyytyväinen yhteisen varastoinnin aloitteeseen, joka mahdollistaa tavaroiden asianmukaiset turvallisuustarkastukset ennen kuin ne toimitetaan parlamentin tiloihin;</w:t>
      </w:r>
    </w:p>
    <w:p w14:paraId="79A52322" w14:textId="605C8361" w:rsidR="00A4507B" w:rsidRPr="00EB68E3" w:rsidRDefault="001A3EF0" w:rsidP="00EE1766">
      <w:pPr>
        <w:pStyle w:val="Normal12Hanging"/>
      </w:pPr>
      <w:r w:rsidRPr="00EB68E3">
        <w:t>127.</w:t>
      </w:r>
      <w:r w:rsidRPr="00EB68E3">
        <w:tab/>
        <w:t>muistuttaa, että parlamentin perusominaisuus on avoimuus yleisölle ja että on säilytettävä asianmukainen tasapaino turvallisuutta koskevien tarpeellisten parannusten kanssa;</w:t>
      </w:r>
    </w:p>
    <w:p w14:paraId="4F41C669" w14:textId="5829016B" w:rsidR="00A4507B" w:rsidRPr="00EB68E3" w:rsidRDefault="001A3EF0" w:rsidP="00EE1766">
      <w:pPr>
        <w:pStyle w:val="Normal12Hanging"/>
      </w:pPr>
      <w:r w:rsidRPr="00EB68E3">
        <w:t>128.</w:t>
      </w:r>
      <w:r w:rsidRPr="00EB68E3">
        <w:tab/>
        <w:t>toteaa, että turvallisuusharjoitukset, kuten Strasbourgin istuntosalin evakuointi vuonna 2018, ovat välttämättömiä hätätilanteisiin valmistautumiseksi asianmukaisesti; korostaa, että on noudatettava selkeää kokemuksiin perustuvaa lähestymistapaa, jotta vältetään mahdolliset vaaratilanteet, jollaisia aiheutuu esimerkiksi siitä, että jäsenten, henkilöstön ja valtuutettujen avustajien on käytettävä kulkulupiaan evakuoinnin aikana;</w:t>
      </w:r>
    </w:p>
    <w:p w14:paraId="03E6CE4C" w14:textId="640C71DC" w:rsidR="00BE32E9" w:rsidRPr="00EB68E3" w:rsidRDefault="001A3EF0" w:rsidP="00BE32E9">
      <w:pPr>
        <w:pStyle w:val="Normal12Hanging"/>
      </w:pPr>
      <w:r w:rsidRPr="00EB68E3">
        <w:t>129.</w:t>
      </w:r>
      <w:r w:rsidRPr="00EB68E3">
        <w:tab/>
        <w:t>kehottaa turvallisuusasioiden pääosaston henkilöstöä evakuointitapauksissa tarkastamaan huolellisesti koko rakennuksen, josta se vastaa, varmistamaan, että se on evakuoitu ja auttamaan evakuoinnin yhteydessä henkilöitä, joilla on kuulovamma tai jokin muu vamma; korostaa, että turvallisuusasioissa ja hätätilanteissa jäseniä ei pidä kohdella etuoikeutetusti eikä parlamentin eri henkilöstöryhmiä pidä erotella millään tavalla;</w:t>
      </w:r>
    </w:p>
    <w:p w14:paraId="71AF811D" w14:textId="69E6171D" w:rsidR="00FB6BDA" w:rsidRPr="00EB68E3" w:rsidRDefault="001A3EF0" w:rsidP="00FB6BDA">
      <w:pPr>
        <w:pStyle w:val="Normal12Hanging"/>
      </w:pPr>
      <w:r w:rsidRPr="00EB68E3">
        <w:t>130.</w:t>
      </w:r>
      <w:r w:rsidRPr="00EB68E3">
        <w:tab/>
        <w:t>katsoo, että hätätilanteisiin liittyvässä tiedotuksessa on puutteita, kuten todettiin Strasbourgin istuntosalissa joulukuussa 2018 sattuneen tilanteen yhteydessä; toteaa, että menettelyjä voidaan ja niitä myös täytyy parantaa; kehottaa soveltamaan voimassa olevia turvallisuussääntöjä hätätilanteissa mahdollisimman tarkasti, jotta tulevissa hätätilanteissa vältetään vastaavanlainen epävarmuus;</w:t>
      </w:r>
    </w:p>
    <w:p w14:paraId="1D2FEF7D" w14:textId="3B11AFEB" w:rsidR="00BE32E9" w:rsidRPr="00EB68E3" w:rsidRDefault="001A3EF0" w:rsidP="00BE32E9">
      <w:pPr>
        <w:pStyle w:val="Normal12Hanging"/>
      </w:pPr>
      <w:r w:rsidRPr="00EB68E3">
        <w:t>131.</w:t>
      </w:r>
      <w:r w:rsidRPr="00EB68E3">
        <w:tab/>
        <w:t>pyytää varmistamaan, että koko turvallisuusasioiden pääosaston johtohenkilöstö on käynyt läpi luotettavuusselvitysmenettelyn;</w:t>
      </w:r>
    </w:p>
    <w:p w14:paraId="4DFF2546" w14:textId="585A34C2" w:rsidR="00FB6BDA" w:rsidRPr="00EB68E3" w:rsidRDefault="00FB6BDA" w:rsidP="00FB6BDA">
      <w:pPr>
        <w:pStyle w:val="Normal12Hanging"/>
        <w:rPr>
          <w:b/>
          <w:i/>
        </w:rPr>
      </w:pPr>
      <w:r w:rsidRPr="00EB68E3">
        <w:rPr>
          <w:b/>
          <w:i/>
        </w:rPr>
        <w:t>Väärinkäytösten paljastajien suojelu</w:t>
      </w:r>
    </w:p>
    <w:p w14:paraId="33E503CB" w14:textId="09077E9A" w:rsidR="00FB6BDA" w:rsidRPr="00EB68E3" w:rsidRDefault="001A3EF0" w:rsidP="00FB6BDA">
      <w:pPr>
        <w:pStyle w:val="Normal12Hanging"/>
      </w:pPr>
      <w:r w:rsidRPr="00EB68E3">
        <w:t>132.</w:t>
      </w:r>
      <w:r w:rsidRPr="00EB68E3">
        <w:tab/>
        <w:t>toteaa, että väärinkäytösten paljastaminen on ratkaisevan tärkeää laittoman toiminnan ja väärinkäytösten torjunnassa; panee merkille, että parlamentissa ei ollut väärinkäytösten paljastamista koskevia tapauksia vuonna 2017 ja että vuoden 2016 kolmesta tapauksesta kaikissa paljastajana oli valtuutettu avustaja ja että heidän avustamansa jäsenet erottivat heidät; katsoo, että parlamentti ei ehkä edistä henkilöstönsä luottamusta yleisesti eikä tarjoa tarvittavaa oikeudellista suojaa valtuutetuille avustajille eikä varsinkaan niille, jotka haluavat ilmoittaa väärinkäytöksistä; kehottaa pääsihteeriä korjaamaan tämän tilanteen pikaisesti;</w:t>
      </w:r>
    </w:p>
    <w:p w14:paraId="22DB5150" w14:textId="3D0CB820" w:rsidR="00FB6BDA" w:rsidRPr="00EB68E3" w:rsidRDefault="001A3EF0" w:rsidP="00FB6BDA">
      <w:pPr>
        <w:pStyle w:val="Normal12Hanging"/>
      </w:pPr>
      <w:r w:rsidRPr="00EB68E3">
        <w:t>133.</w:t>
      </w:r>
      <w:r w:rsidRPr="00EB68E3">
        <w:tab/>
        <w:t>korostaa, että valtuutetut avustajat ja jäsenten palveluksessa olevat harjoittelijat ovat haavoittuvassa asemassa suhteessa väärinkäytösten paljastajien suojelua koskeviin sisäisiin sääntöihin; panee erittäin huolestuneena merkille pääsihteerin ilmoituksen, että väärinkäytösten paljastajia koskevia sääntöjä sovelletaan valtuutettuihin avustajiin mutta parlamentti ei voi tarjota työsuhdeturvaa; kehottaa pääsihteeriä soveltamaan väärinkäytöksiä paljastaviin valtuutettuihin avustajiin vastaavia oikeussuojakeinoja kuin valtuutettuihin avustajiin, jotka ovat häirinnän uhreja, kuten siirto toisiin tehtäviin ja palkan maksu sopimuksen päättymiseen saakka; kehottaa pääsihteeriä oikaisemaan tilanteen välittömästi ja täyttämään henkilöstösääntöjen mukaiset parlamentin oikeudelliset velvoitteet väärinkäytösten paljastajien suojelemiseksi kaikissa unionin henkilöstöluokissa;</w:t>
      </w:r>
    </w:p>
    <w:p w14:paraId="29659C1D" w14:textId="77777777" w:rsidR="00A4507B" w:rsidRPr="00EB68E3" w:rsidRDefault="00A4507B" w:rsidP="00EE1766">
      <w:pPr>
        <w:pStyle w:val="Normal12Hanging"/>
        <w:rPr>
          <w:b/>
          <w:i/>
        </w:rPr>
      </w:pPr>
      <w:r w:rsidRPr="00EB68E3">
        <w:rPr>
          <w:b/>
          <w:i/>
        </w:rPr>
        <w:t>Ympäristöystävällinen parlamentti</w:t>
      </w:r>
    </w:p>
    <w:p w14:paraId="01555E99" w14:textId="64F4DFCB" w:rsidR="00BE32E9" w:rsidRPr="00EB68E3" w:rsidRDefault="001A3EF0" w:rsidP="00BE32E9">
      <w:pPr>
        <w:pStyle w:val="Normal12Hanging"/>
        <w:rPr>
          <w:b/>
          <w:i/>
        </w:rPr>
      </w:pPr>
      <w:r w:rsidRPr="00EB68E3">
        <w:t>134.</w:t>
      </w:r>
      <w:r w:rsidRPr="00EB68E3">
        <w:tab/>
        <w:t>panee tyytyväisenä merkille, että parlamentti on edistänyt kestävää kehitystä hoitaessaan poliittisia ja lainsäädäntömenettelyihin liittyviä tehtäviään; on tietoinen omasta ympäristövaikutuksestaan, jota se seuraa ja parantaa jatkuvasti ympäristöasioiden hallinta- ja auditointijärjestelmään (EMAS) kuuluvalla sertifioinnilla ja ympäristöpolitiikallaan;</w:t>
      </w:r>
    </w:p>
    <w:p w14:paraId="10677D26" w14:textId="213A4EF5" w:rsidR="00BE32E9" w:rsidRPr="00EB68E3" w:rsidRDefault="001A3EF0" w:rsidP="00BE32E9">
      <w:pPr>
        <w:pStyle w:val="Normal12Hanging"/>
      </w:pPr>
      <w:r w:rsidRPr="00EB68E3">
        <w:t>135.</w:t>
      </w:r>
      <w:r w:rsidRPr="00EB68E3">
        <w:tab/>
        <w:t>suhtautuu vuoteen 2030 ja sen jälkeiseen aikaan ulottuvan unionin energia- ja ilmastopolitiikan yhteydessä myönteisesti lisätoimiin, joilla kompensoidaan väistämättömiä päästöjä; kehottaa parlamenttia kehittämään lisää hiilidioksidipäästöjä kompensoivia politiikkoja;</w:t>
      </w:r>
    </w:p>
    <w:p w14:paraId="2E8686D7" w14:textId="594158E3" w:rsidR="00BE32E9" w:rsidRPr="00EB68E3" w:rsidRDefault="001A3EF0" w:rsidP="00BE32E9">
      <w:pPr>
        <w:pStyle w:val="Normal12Hanging"/>
      </w:pPr>
      <w:r w:rsidRPr="00EB68E3">
        <w:t>136.</w:t>
      </w:r>
      <w:r w:rsidRPr="00EB68E3">
        <w:tab/>
        <w:t>kiittää parlamentin sitoutumista ympäristöä säästäviin julkisiin hankintoihin; panee merkille, että vuonna 2017 sopimuksista 40,71 prosenttia luokiteltiin vihreiksi, 10,96 prosenttia ”vaaleanvihreiksi” eli jossain määrin ympäristöä säästäviksi ja 48,33 prosenttia sopimuksiksi, joihin ei liity ympäristönäkökohtia; kannustaa parlamenttia lisäämään edelleen ympäristöä säästäviä julkisia hankintoja koskevien sitoumusten osuutta;</w:t>
      </w:r>
    </w:p>
    <w:p w14:paraId="32F690D0" w14:textId="6DA09A3E" w:rsidR="00A4507B" w:rsidRPr="00EB68E3" w:rsidRDefault="001A3EF0" w:rsidP="00EE1766">
      <w:pPr>
        <w:spacing w:after="240"/>
        <w:ind w:left="567" w:hanging="567"/>
      </w:pPr>
      <w:r w:rsidRPr="00EB68E3">
        <w:t>137.</w:t>
      </w:r>
      <w:r w:rsidRPr="00EB68E3">
        <w:tab/>
        <w:t>panee tyytyväisenä merkille pilottihankkeen sähköpotkulautojen käyttöön ottamisesta unionin toimielinten rakennusten välisillä työmatkoilla mutta myös kodin ja työpaikan välisillä matkoilla; huomauttaa kuitenkin, että näiden kulkuneuvojen suorituskyky on odotettua pienempi; kannustaa parlamenttia varmistamaan, että toimeksisaaja parantaa näiden kulkuneuvojen ja etenkin niiden akkujen suorituskykyä;</w:t>
      </w:r>
    </w:p>
    <w:p w14:paraId="0059A9A0" w14:textId="6B602DFE" w:rsidR="00BE32E9" w:rsidRPr="00EB68E3" w:rsidRDefault="001A3EF0" w:rsidP="00BE32E9">
      <w:pPr>
        <w:pStyle w:val="Normal12Hanging"/>
      </w:pPr>
      <w:r w:rsidRPr="00EB68E3">
        <w:t>138.</w:t>
      </w:r>
      <w:r w:rsidRPr="00EB68E3">
        <w:tab/>
        <w:t>suhtautuu vuoteen 2030 ja sen jälkeiseen aikaan ulottuvan unionin energia- ja ilmastopolitiikan yhteydessä myönteisesti lisätoimiin, joilla vähennetään päästöjä ja kompensoidaan väistämättömiä päästöjä, jotta parlamentista tulee 100-prosenttisesti hiilineutraali; kehottaa parlamenttia näyttämään esimerkkiä ja kehittämään edelleen hiilidioksidipäästöjä kompensoivia toimintatapoja toimitilojaan varten;</w:t>
      </w:r>
    </w:p>
    <w:p w14:paraId="381E5840" w14:textId="65285850" w:rsidR="00A4507B" w:rsidRPr="00EB68E3" w:rsidRDefault="00A4507B" w:rsidP="00EE1766">
      <w:pPr>
        <w:pStyle w:val="Normal12Hanging"/>
        <w:ind w:left="0" w:firstLine="0"/>
        <w:rPr>
          <w:b/>
          <w:i/>
        </w:rPr>
      </w:pPr>
      <w:r w:rsidRPr="00EB68E3">
        <w:rPr>
          <w:b/>
          <w:i/>
        </w:rPr>
        <w:t>Vuosikertomus tehdyistä hankintasopimuksista</w:t>
      </w:r>
    </w:p>
    <w:p w14:paraId="7F2C5D2C" w14:textId="313FC897" w:rsidR="00A4507B" w:rsidRPr="00EB68E3" w:rsidRDefault="001A3EF0" w:rsidP="00EE1766">
      <w:pPr>
        <w:pStyle w:val="Normal12Hanging"/>
      </w:pPr>
      <w:r w:rsidRPr="00EB68E3">
        <w:t>139.</w:t>
      </w:r>
      <w:r w:rsidRPr="00EB68E3">
        <w:tab/>
        <w:t>palauttaa mieliin, että varainhoitoasetuksessa ja sen soveltamissäännöissä</w:t>
      </w:r>
      <w:r w:rsidR="00A4507B" w:rsidRPr="00EB68E3">
        <w:rPr>
          <w:rStyle w:val="FootnoteReference"/>
        </w:rPr>
        <w:footnoteReference w:id="13"/>
      </w:r>
      <w:r w:rsidRPr="00EB68E3">
        <w:t xml:space="preserve"> säädetään tiedoista, joita budjettivallan käyttäjälle ja kansalaisille on toimitettava toimielimen tekemistä sopimuksista; toteaa, että varainhoitoasetuksessa vaaditaan julkistamaan tehdyt sopimukset, joiden arvo on yli 15 000 euroa, ja että kyseessä on raja-arvo, jonka ylittyessä tarjouskilpailu on pakollinen;</w:t>
      </w:r>
    </w:p>
    <w:p w14:paraId="63FF5D97" w14:textId="354A53AE" w:rsidR="00A4507B" w:rsidRPr="00EB68E3" w:rsidRDefault="001A3EF0" w:rsidP="00EE1766">
      <w:pPr>
        <w:pStyle w:val="Normal12Hanging"/>
      </w:pPr>
      <w:r w:rsidRPr="00EB68E3">
        <w:t>140.</w:t>
      </w:r>
      <w:r w:rsidRPr="00EB68E3">
        <w:tab/>
        <w:t>panee merkille, että vuonna 2017 tehtiin yhteensä 224 hankintasopimusta, joista 79 perustui avoimiin tai rajoitettuihin menettelyihin, joiden arvo oli 517 miljoonaa euroa, ja 145 neuvottelumenettelyihin, joiden kokonaisarvo oli 70 miljoonaa euroa; panee merkille, että neuvottelumenettelyissä tehtyjen sopimusten osuus laski hieman arvon osalta, sillä tehtyjen sopimusten kokonaisarvon osuus oli 14 prosenttia vuonna 2016 ja 12 prosenttia vuonna 2017, mutta määrällisesti osuus kasvoi lähes 10 prosenttia vuosien 2016 ja 2017 välillä (se oli 64,28 miljoonaa euroa vuonna 2016, mutta 70,5 miljoonaa euroa vuonna 2017);</w:t>
      </w:r>
    </w:p>
    <w:p w14:paraId="56B64664" w14:textId="089BF545" w:rsidR="00A4507B" w:rsidRDefault="001A3EF0" w:rsidP="00EE1766">
      <w:pPr>
        <w:pStyle w:val="Normal12Hanging"/>
        <w:spacing w:after="120"/>
      </w:pPr>
      <w:r w:rsidRPr="00EB68E3">
        <w:t>141.</w:t>
      </w:r>
      <w:r w:rsidRPr="00EB68E3">
        <w:tab/>
        <w:t>panee merkille seuraavan eritelmän vuonna 2017 ja 2016 tehdyistä sopimustyypeistä, mukaan lukien rakennussopimukset:</w:t>
      </w:r>
    </w:p>
    <w:p w14:paraId="621D0C11" w14:textId="77777777" w:rsidR="00521511" w:rsidRPr="00EB68E3" w:rsidRDefault="00521511" w:rsidP="00EE1766">
      <w:pPr>
        <w:pStyle w:val="Normal12Hanging"/>
        <w:spacing w:after="120"/>
      </w:pPr>
    </w:p>
    <w:tbl>
      <w:tblPr>
        <w:tblW w:w="0"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047"/>
        <w:gridCol w:w="1811"/>
        <w:gridCol w:w="1449"/>
        <w:gridCol w:w="1843"/>
        <w:gridCol w:w="1672"/>
      </w:tblGrid>
      <w:tr w:rsidR="00A4507B" w:rsidRPr="00EB68E3" w14:paraId="2E3C7A4E" w14:textId="77777777" w:rsidTr="00A4507B">
        <w:trPr>
          <w:trHeight w:val="560"/>
        </w:trPr>
        <w:tc>
          <w:tcPr>
            <w:tcW w:w="3047" w:type="dxa"/>
            <w:vMerge w:val="restart"/>
            <w:tcBorders>
              <w:top w:val="single" w:sz="8" w:space="0" w:color="000000"/>
              <w:left w:val="single" w:sz="8" w:space="0" w:color="000000"/>
              <w:bottom w:val="single" w:sz="8" w:space="0" w:color="000000"/>
              <w:right w:val="single" w:sz="8" w:space="0" w:color="000000"/>
            </w:tcBorders>
            <w:vAlign w:val="center"/>
            <w:hideMark/>
          </w:tcPr>
          <w:p w14:paraId="29B750AF" w14:textId="77777777" w:rsidR="00A4507B" w:rsidRPr="00EB68E3" w:rsidRDefault="00A4507B" w:rsidP="00EE1766">
            <w:pPr>
              <w:autoSpaceDE w:val="0"/>
              <w:autoSpaceDN w:val="0"/>
              <w:adjustRightInd w:val="0"/>
              <w:ind w:left="529"/>
              <w:rPr>
                <w:b/>
                <w:bCs/>
              </w:rPr>
            </w:pPr>
            <w:r w:rsidRPr="00EB68E3">
              <w:rPr>
                <w:b/>
                <w:bCs/>
              </w:rPr>
              <w:t>Sopimustyyppi</w:t>
            </w:r>
          </w:p>
        </w:tc>
        <w:tc>
          <w:tcPr>
            <w:tcW w:w="3260" w:type="dxa"/>
            <w:gridSpan w:val="2"/>
            <w:tcBorders>
              <w:top w:val="single" w:sz="8" w:space="0" w:color="000000"/>
              <w:left w:val="single" w:sz="8" w:space="0" w:color="000000"/>
              <w:bottom w:val="single" w:sz="8" w:space="0" w:color="000000"/>
              <w:right w:val="single" w:sz="8" w:space="0" w:color="000000"/>
            </w:tcBorders>
            <w:vAlign w:val="center"/>
            <w:hideMark/>
          </w:tcPr>
          <w:p w14:paraId="789F01B1" w14:textId="77777777" w:rsidR="00A4507B" w:rsidRPr="00EB68E3" w:rsidRDefault="00A4507B" w:rsidP="00EE1766">
            <w:pPr>
              <w:autoSpaceDE w:val="0"/>
              <w:autoSpaceDN w:val="0"/>
              <w:adjustRightInd w:val="0"/>
              <w:jc w:val="center"/>
            </w:pPr>
            <w:r w:rsidRPr="00EB68E3">
              <w:rPr>
                <w:b/>
                <w:bCs/>
              </w:rPr>
              <w:t>2017</w:t>
            </w:r>
          </w:p>
        </w:tc>
        <w:tc>
          <w:tcPr>
            <w:tcW w:w="3515" w:type="dxa"/>
            <w:gridSpan w:val="2"/>
            <w:tcBorders>
              <w:top w:val="single" w:sz="8" w:space="0" w:color="000000"/>
              <w:left w:val="single" w:sz="8" w:space="0" w:color="000000"/>
              <w:bottom w:val="single" w:sz="8" w:space="0" w:color="000000"/>
              <w:right w:val="single" w:sz="8" w:space="0" w:color="000000"/>
            </w:tcBorders>
            <w:vAlign w:val="center"/>
            <w:hideMark/>
          </w:tcPr>
          <w:p w14:paraId="0710E561" w14:textId="77777777" w:rsidR="00A4507B" w:rsidRPr="00EB68E3" w:rsidRDefault="00A4507B" w:rsidP="00EE1766">
            <w:pPr>
              <w:autoSpaceDE w:val="0"/>
              <w:autoSpaceDN w:val="0"/>
              <w:adjustRightInd w:val="0"/>
              <w:ind w:left="34"/>
              <w:jc w:val="center"/>
            </w:pPr>
            <w:r w:rsidRPr="00EB68E3">
              <w:rPr>
                <w:b/>
                <w:bCs/>
              </w:rPr>
              <w:t>2016</w:t>
            </w:r>
          </w:p>
        </w:tc>
      </w:tr>
      <w:tr w:rsidR="00A4507B" w:rsidRPr="00EB68E3" w14:paraId="628F8910" w14:textId="77777777" w:rsidTr="00A4507B">
        <w:trPr>
          <w:trHeight w:val="401"/>
        </w:trPr>
        <w:tc>
          <w:tcPr>
            <w:tcW w:w="3047" w:type="dxa"/>
            <w:vMerge/>
            <w:tcBorders>
              <w:top w:val="single" w:sz="8" w:space="0" w:color="000000"/>
              <w:left w:val="single" w:sz="8" w:space="0" w:color="000000"/>
              <w:bottom w:val="single" w:sz="8" w:space="0" w:color="000000"/>
              <w:right w:val="single" w:sz="8" w:space="0" w:color="000000"/>
            </w:tcBorders>
            <w:vAlign w:val="center"/>
            <w:hideMark/>
          </w:tcPr>
          <w:p w14:paraId="612CC16D" w14:textId="77777777" w:rsidR="00A4507B" w:rsidRPr="00EB68E3" w:rsidRDefault="00A4507B" w:rsidP="00EE1766">
            <w:pPr>
              <w:widowControl/>
              <w:rPr>
                <w:b/>
                <w:bCs/>
              </w:rPr>
            </w:pPr>
          </w:p>
        </w:tc>
        <w:tc>
          <w:tcPr>
            <w:tcW w:w="1811" w:type="dxa"/>
            <w:tcBorders>
              <w:top w:val="single" w:sz="8" w:space="0" w:color="000000"/>
              <w:left w:val="single" w:sz="8" w:space="0" w:color="000000"/>
              <w:bottom w:val="single" w:sz="8" w:space="0" w:color="000000"/>
              <w:right w:val="single" w:sz="8" w:space="0" w:color="000000"/>
            </w:tcBorders>
            <w:vAlign w:val="center"/>
            <w:hideMark/>
          </w:tcPr>
          <w:p w14:paraId="0D054A31" w14:textId="77777777" w:rsidR="00A4507B" w:rsidRPr="00EB68E3" w:rsidRDefault="00A4507B" w:rsidP="00EE1766">
            <w:pPr>
              <w:autoSpaceDE w:val="0"/>
              <w:autoSpaceDN w:val="0"/>
              <w:adjustRightInd w:val="0"/>
              <w:jc w:val="center"/>
            </w:pPr>
            <w:r w:rsidRPr="00EB68E3">
              <w:rPr>
                <w:b/>
                <w:bCs/>
              </w:rPr>
              <w:t>Määrä</w:t>
            </w:r>
          </w:p>
        </w:tc>
        <w:tc>
          <w:tcPr>
            <w:tcW w:w="1449" w:type="dxa"/>
            <w:tcBorders>
              <w:top w:val="single" w:sz="8" w:space="0" w:color="000000"/>
              <w:left w:val="single" w:sz="8" w:space="0" w:color="000000"/>
              <w:bottom w:val="single" w:sz="8" w:space="0" w:color="000000"/>
              <w:right w:val="single" w:sz="8" w:space="0" w:color="000000"/>
            </w:tcBorders>
            <w:vAlign w:val="center"/>
            <w:hideMark/>
          </w:tcPr>
          <w:p w14:paraId="1EFBFA3E" w14:textId="77777777" w:rsidR="00A4507B" w:rsidRPr="00EB68E3" w:rsidRDefault="00A4507B" w:rsidP="00EE1766">
            <w:pPr>
              <w:autoSpaceDE w:val="0"/>
              <w:autoSpaceDN w:val="0"/>
              <w:adjustRightInd w:val="0"/>
              <w:jc w:val="center"/>
            </w:pPr>
            <w:r w:rsidRPr="00EB68E3">
              <w:rPr>
                <w:b/>
                <w:bCs/>
              </w:rPr>
              <w:t>Osuus</w:t>
            </w:r>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43BBD817" w14:textId="77777777" w:rsidR="00A4507B" w:rsidRPr="00EB68E3" w:rsidRDefault="00A4507B" w:rsidP="00EE1766">
            <w:pPr>
              <w:autoSpaceDE w:val="0"/>
              <w:autoSpaceDN w:val="0"/>
              <w:adjustRightInd w:val="0"/>
              <w:ind w:left="34"/>
              <w:jc w:val="center"/>
            </w:pPr>
            <w:r w:rsidRPr="00EB68E3">
              <w:rPr>
                <w:b/>
                <w:bCs/>
              </w:rPr>
              <w:t>Määrä</w:t>
            </w:r>
          </w:p>
        </w:tc>
        <w:tc>
          <w:tcPr>
            <w:tcW w:w="1672" w:type="dxa"/>
            <w:tcBorders>
              <w:top w:val="single" w:sz="8" w:space="0" w:color="000000"/>
              <w:left w:val="single" w:sz="8" w:space="0" w:color="000000"/>
              <w:bottom w:val="single" w:sz="8" w:space="0" w:color="000000"/>
              <w:right w:val="single" w:sz="8" w:space="0" w:color="000000"/>
            </w:tcBorders>
            <w:vAlign w:val="center"/>
            <w:hideMark/>
          </w:tcPr>
          <w:p w14:paraId="185DD3B5" w14:textId="77777777" w:rsidR="00A4507B" w:rsidRPr="00EB68E3" w:rsidRDefault="00A4507B" w:rsidP="00EE1766">
            <w:pPr>
              <w:autoSpaceDE w:val="0"/>
              <w:autoSpaceDN w:val="0"/>
              <w:adjustRightInd w:val="0"/>
              <w:jc w:val="center"/>
            </w:pPr>
            <w:r w:rsidRPr="00EB68E3">
              <w:rPr>
                <w:b/>
                <w:bCs/>
              </w:rPr>
              <w:t>Osuus</w:t>
            </w:r>
          </w:p>
        </w:tc>
      </w:tr>
      <w:tr w:rsidR="00A4507B" w:rsidRPr="00EB68E3" w14:paraId="5C392FB6" w14:textId="77777777" w:rsidTr="00A4507B">
        <w:trPr>
          <w:trHeight w:val="973"/>
        </w:trPr>
        <w:tc>
          <w:tcPr>
            <w:tcW w:w="3047" w:type="dxa"/>
            <w:tcBorders>
              <w:top w:val="single" w:sz="8" w:space="0" w:color="000000"/>
              <w:left w:val="single" w:sz="8" w:space="0" w:color="000000"/>
              <w:bottom w:val="single" w:sz="8" w:space="0" w:color="000000"/>
              <w:right w:val="single" w:sz="8" w:space="0" w:color="000000"/>
            </w:tcBorders>
            <w:vAlign w:val="center"/>
            <w:hideMark/>
          </w:tcPr>
          <w:p w14:paraId="378A2180" w14:textId="77777777" w:rsidR="00A4507B" w:rsidRPr="00EB68E3" w:rsidRDefault="00A4507B" w:rsidP="00EE1766">
            <w:pPr>
              <w:autoSpaceDE w:val="0"/>
              <w:autoSpaceDN w:val="0"/>
              <w:adjustRightInd w:val="0"/>
              <w:ind w:left="529"/>
            </w:pPr>
            <w:r w:rsidRPr="00EB68E3">
              <w:t>Palvelut</w:t>
            </w:r>
          </w:p>
          <w:p w14:paraId="4933FA8D" w14:textId="77777777" w:rsidR="00A4507B" w:rsidRPr="00EB68E3" w:rsidRDefault="00A4507B" w:rsidP="00EE1766">
            <w:pPr>
              <w:autoSpaceDE w:val="0"/>
              <w:autoSpaceDN w:val="0"/>
              <w:adjustRightInd w:val="0"/>
              <w:ind w:left="529"/>
            </w:pPr>
            <w:r w:rsidRPr="00EB68E3">
              <w:t>Toimitukset</w:t>
            </w:r>
          </w:p>
          <w:p w14:paraId="6A1FBEE6" w14:textId="77777777" w:rsidR="00A4507B" w:rsidRPr="00EB68E3" w:rsidRDefault="00A4507B" w:rsidP="00EE1766">
            <w:pPr>
              <w:autoSpaceDE w:val="0"/>
              <w:autoSpaceDN w:val="0"/>
              <w:adjustRightInd w:val="0"/>
              <w:ind w:left="529"/>
            </w:pPr>
            <w:r w:rsidRPr="00EB68E3">
              <w:t>Urakat</w:t>
            </w:r>
          </w:p>
          <w:p w14:paraId="5EEB68ED" w14:textId="77777777" w:rsidR="00A4507B" w:rsidRPr="00EB68E3" w:rsidRDefault="00A4507B" w:rsidP="00EE1766">
            <w:pPr>
              <w:autoSpaceDE w:val="0"/>
              <w:autoSpaceDN w:val="0"/>
              <w:adjustRightInd w:val="0"/>
              <w:ind w:left="529"/>
            </w:pPr>
            <w:r w:rsidRPr="00EB68E3">
              <w:t>Rakennusurakat</w:t>
            </w:r>
          </w:p>
        </w:tc>
        <w:tc>
          <w:tcPr>
            <w:tcW w:w="1811" w:type="dxa"/>
            <w:tcBorders>
              <w:top w:val="single" w:sz="8" w:space="0" w:color="000000"/>
              <w:left w:val="single" w:sz="8" w:space="0" w:color="000000"/>
              <w:bottom w:val="single" w:sz="8" w:space="0" w:color="000000"/>
              <w:right w:val="single" w:sz="8" w:space="0" w:color="000000"/>
            </w:tcBorders>
            <w:vAlign w:val="center"/>
            <w:hideMark/>
          </w:tcPr>
          <w:p w14:paraId="0825311B" w14:textId="77777777" w:rsidR="00A4507B" w:rsidRPr="00EB68E3" w:rsidRDefault="00A4507B" w:rsidP="00EE1766">
            <w:pPr>
              <w:autoSpaceDE w:val="0"/>
              <w:autoSpaceDN w:val="0"/>
              <w:adjustRightInd w:val="0"/>
              <w:ind w:left="568"/>
            </w:pPr>
            <w:r w:rsidRPr="00EB68E3">
              <w:t>177</w:t>
            </w:r>
          </w:p>
          <w:p w14:paraId="15D98698" w14:textId="77777777" w:rsidR="00A4507B" w:rsidRPr="00EB68E3" w:rsidRDefault="00A4507B" w:rsidP="00EE1766">
            <w:pPr>
              <w:autoSpaceDE w:val="0"/>
              <w:autoSpaceDN w:val="0"/>
              <w:adjustRightInd w:val="0"/>
              <w:ind w:left="568"/>
            </w:pPr>
            <w:r w:rsidRPr="00EB68E3">
              <w:t xml:space="preserve">  36</w:t>
            </w:r>
          </w:p>
          <w:p w14:paraId="550D2805" w14:textId="77777777" w:rsidR="00A4507B" w:rsidRPr="00EB68E3" w:rsidRDefault="00A4507B" w:rsidP="00EE1766">
            <w:pPr>
              <w:autoSpaceDE w:val="0"/>
              <w:autoSpaceDN w:val="0"/>
              <w:adjustRightInd w:val="0"/>
              <w:ind w:left="568"/>
            </w:pPr>
            <w:r w:rsidRPr="00EB68E3">
              <w:t xml:space="preserve"> 11</w:t>
            </w:r>
          </w:p>
          <w:p w14:paraId="74C5277F" w14:textId="77777777" w:rsidR="00A4507B" w:rsidRPr="00EB68E3" w:rsidRDefault="00A4507B" w:rsidP="00EE1766">
            <w:pPr>
              <w:autoSpaceDE w:val="0"/>
              <w:autoSpaceDN w:val="0"/>
              <w:adjustRightInd w:val="0"/>
              <w:ind w:left="568"/>
            </w:pPr>
            <w:r w:rsidRPr="00EB68E3">
              <w:t xml:space="preserve">    0</w:t>
            </w:r>
          </w:p>
        </w:tc>
        <w:tc>
          <w:tcPr>
            <w:tcW w:w="1449" w:type="dxa"/>
            <w:tcBorders>
              <w:top w:val="single" w:sz="8" w:space="0" w:color="000000"/>
              <w:left w:val="single" w:sz="8" w:space="0" w:color="000000"/>
              <w:bottom w:val="single" w:sz="8" w:space="0" w:color="000000"/>
              <w:right w:val="single" w:sz="8" w:space="0" w:color="000000"/>
            </w:tcBorders>
            <w:vAlign w:val="center"/>
            <w:hideMark/>
          </w:tcPr>
          <w:p w14:paraId="4A89319E" w14:textId="77777777" w:rsidR="00A4507B" w:rsidRPr="00EB68E3" w:rsidRDefault="00A4507B" w:rsidP="00EE1766">
            <w:pPr>
              <w:autoSpaceDE w:val="0"/>
              <w:autoSpaceDN w:val="0"/>
              <w:adjustRightInd w:val="0"/>
              <w:ind w:left="568"/>
            </w:pPr>
            <w:r w:rsidRPr="00EB68E3">
              <w:t>79 %</w:t>
            </w:r>
          </w:p>
          <w:p w14:paraId="0C414541" w14:textId="77777777" w:rsidR="00A4507B" w:rsidRPr="00EB68E3" w:rsidRDefault="00A4507B" w:rsidP="00EE1766">
            <w:pPr>
              <w:autoSpaceDE w:val="0"/>
              <w:autoSpaceDN w:val="0"/>
              <w:adjustRightInd w:val="0"/>
              <w:ind w:left="568"/>
            </w:pPr>
            <w:r w:rsidRPr="00EB68E3">
              <w:t>16 %</w:t>
            </w:r>
          </w:p>
          <w:p w14:paraId="3F0A93B3" w14:textId="77777777" w:rsidR="00A4507B" w:rsidRPr="00EB68E3" w:rsidRDefault="00A4507B" w:rsidP="00EE1766">
            <w:pPr>
              <w:autoSpaceDE w:val="0"/>
              <w:autoSpaceDN w:val="0"/>
              <w:adjustRightInd w:val="0"/>
              <w:ind w:left="568"/>
            </w:pPr>
            <w:r w:rsidRPr="00EB68E3">
              <w:t xml:space="preserve"> 5 %</w:t>
            </w:r>
          </w:p>
          <w:p w14:paraId="13D0FFA4" w14:textId="77777777" w:rsidR="00A4507B" w:rsidRPr="00EB68E3" w:rsidRDefault="00A4507B" w:rsidP="00EE1766">
            <w:pPr>
              <w:autoSpaceDE w:val="0"/>
              <w:autoSpaceDN w:val="0"/>
              <w:adjustRightInd w:val="0"/>
              <w:ind w:left="568"/>
            </w:pPr>
            <w:r w:rsidRPr="00EB68E3">
              <w:t xml:space="preserve"> 0 %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53EBE03D" w14:textId="77777777" w:rsidR="00A4507B" w:rsidRPr="00EB68E3" w:rsidRDefault="00A4507B" w:rsidP="00EE1766">
            <w:pPr>
              <w:autoSpaceDE w:val="0"/>
              <w:autoSpaceDN w:val="0"/>
              <w:adjustRightInd w:val="0"/>
              <w:ind w:left="568"/>
            </w:pPr>
            <w:r w:rsidRPr="00EB68E3">
              <w:t>170</w:t>
            </w:r>
          </w:p>
          <w:p w14:paraId="1B065DB4" w14:textId="77777777" w:rsidR="00A4507B" w:rsidRPr="00EB68E3" w:rsidRDefault="00A4507B" w:rsidP="00EE1766">
            <w:pPr>
              <w:autoSpaceDE w:val="0"/>
              <w:autoSpaceDN w:val="0"/>
              <w:adjustRightInd w:val="0"/>
              <w:ind w:left="568"/>
            </w:pPr>
            <w:r w:rsidRPr="00EB68E3">
              <w:t xml:space="preserve"> 36</w:t>
            </w:r>
          </w:p>
          <w:p w14:paraId="5E457830" w14:textId="77777777" w:rsidR="00A4507B" w:rsidRPr="00EB68E3" w:rsidRDefault="00A4507B" w:rsidP="00EE1766">
            <w:pPr>
              <w:autoSpaceDE w:val="0"/>
              <w:autoSpaceDN w:val="0"/>
              <w:adjustRightInd w:val="0"/>
              <w:ind w:left="568"/>
            </w:pPr>
            <w:r w:rsidRPr="00EB68E3">
              <w:t xml:space="preserve">  13</w:t>
            </w:r>
          </w:p>
          <w:p w14:paraId="2A20B350" w14:textId="77777777" w:rsidR="00A4507B" w:rsidRPr="00EB68E3" w:rsidRDefault="00A4507B" w:rsidP="00EE1766">
            <w:pPr>
              <w:autoSpaceDE w:val="0"/>
              <w:autoSpaceDN w:val="0"/>
              <w:adjustRightInd w:val="0"/>
              <w:ind w:left="568"/>
            </w:pPr>
            <w:r w:rsidRPr="00EB68E3">
              <w:t xml:space="preserve">  1</w:t>
            </w:r>
          </w:p>
        </w:tc>
        <w:tc>
          <w:tcPr>
            <w:tcW w:w="1672" w:type="dxa"/>
            <w:tcBorders>
              <w:top w:val="single" w:sz="8" w:space="0" w:color="000000"/>
              <w:left w:val="single" w:sz="8" w:space="0" w:color="000000"/>
              <w:bottom w:val="single" w:sz="8" w:space="0" w:color="000000"/>
              <w:right w:val="single" w:sz="8" w:space="0" w:color="000000"/>
            </w:tcBorders>
            <w:vAlign w:val="center"/>
            <w:hideMark/>
          </w:tcPr>
          <w:p w14:paraId="438BD0CA" w14:textId="77777777" w:rsidR="00A4507B" w:rsidRPr="00EB68E3" w:rsidRDefault="00A4507B" w:rsidP="00EE1766">
            <w:pPr>
              <w:autoSpaceDE w:val="0"/>
              <w:autoSpaceDN w:val="0"/>
              <w:adjustRightInd w:val="0"/>
              <w:ind w:left="568"/>
            </w:pPr>
            <w:r w:rsidRPr="00EB68E3">
              <w:t>77 %</w:t>
            </w:r>
          </w:p>
          <w:p w14:paraId="65D5AF38" w14:textId="77777777" w:rsidR="00A4507B" w:rsidRPr="00EB68E3" w:rsidRDefault="00A4507B" w:rsidP="00EE1766">
            <w:pPr>
              <w:autoSpaceDE w:val="0"/>
              <w:autoSpaceDN w:val="0"/>
              <w:adjustRightInd w:val="0"/>
              <w:ind w:left="568"/>
            </w:pPr>
            <w:r w:rsidRPr="00EB68E3">
              <w:t>16 %</w:t>
            </w:r>
          </w:p>
          <w:p w14:paraId="51AFEF61" w14:textId="77777777" w:rsidR="00A4507B" w:rsidRPr="00EB68E3" w:rsidRDefault="00A4507B" w:rsidP="00EE1766">
            <w:pPr>
              <w:autoSpaceDE w:val="0"/>
              <w:autoSpaceDN w:val="0"/>
              <w:adjustRightInd w:val="0"/>
              <w:ind w:left="568"/>
            </w:pPr>
            <w:r w:rsidRPr="00EB68E3">
              <w:t xml:space="preserve">  6 %</w:t>
            </w:r>
          </w:p>
          <w:p w14:paraId="657F35A0" w14:textId="77777777" w:rsidR="00A4507B" w:rsidRPr="00EB68E3" w:rsidRDefault="00A4507B" w:rsidP="00EE1766">
            <w:pPr>
              <w:autoSpaceDE w:val="0"/>
              <w:autoSpaceDN w:val="0"/>
              <w:adjustRightInd w:val="0"/>
              <w:ind w:left="568"/>
            </w:pPr>
            <w:r w:rsidRPr="00EB68E3">
              <w:t xml:space="preserve">  1 %</w:t>
            </w:r>
          </w:p>
        </w:tc>
      </w:tr>
      <w:tr w:rsidR="00A4507B" w:rsidRPr="00EB68E3" w14:paraId="6AB1BB81" w14:textId="77777777" w:rsidTr="00A4507B">
        <w:trPr>
          <w:trHeight w:val="131"/>
        </w:trPr>
        <w:tc>
          <w:tcPr>
            <w:tcW w:w="3047" w:type="dxa"/>
            <w:tcBorders>
              <w:top w:val="single" w:sz="8" w:space="0" w:color="000000"/>
              <w:left w:val="single" w:sz="8" w:space="0" w:color="000000"/>
              <w:bottom w:val="single" w:sz="8" w:space="0" w:color="000000"/>
              <w:right w:val="single" w:sz="8" w:space="0" w:color="000000"/>
            </w:tcBorders>
            <w:hideMark/>
          </w:tcPr>
          <w:p w14:paraId="18E84B3C" w14:textId="77777777" w:rsidR="00A4507B" w:rsidRPr="00EB68E3" w:rsidRDefault="00A4507B" w:rsidP="00EE1766">
            <w:pPr>
              <w:autoSpaceDE w:val="0"/>
              <w:autoSpaceDN w:val="0"/>
              <w:adjustRightInd w:val="0"/>
              <w:ind w:left="529"/>
              <w:rPr>
                <w:b/>
              </w:rPr>
            </w:pPr>
            <w:r w:rsidRPr="00EB68E3">
              <w:rPr>
                <w:b/>
              </w:rPr>
              <w:t xml:space="preserve">Yhteensä </w:t>
            </w:r>
          </w:p>
        </w:tc>
        <w:tc>
          <w:tcPr>
            <w:tcW w:w="1811" w:type="dxa"/>
            <w:tcBorders>
              <w:top w:val="single" w:sz="8" w:space="0" w:color="000000"/>
              <w:left w:val="single" w:sz="8" w:space="0" w:color="000000"/>
              <w:bottom w:val="single" w:sz="8" w:space="0" w:color="000000"/>
              <w:right w:val="single" w:sz="8" w:space="0" w:color="000000"/>
            </w:tcBorders>
            <w:hideMark/>
          </w:tcPr>
          <w:p w14:paraId="229B08C7" w14:textId="77777777" w:rsidR="00A4507B" w:rsidRPr="00EB68E3" w:rsidRDefault="00A4507B" w:rsidP="00EE1766">
            <w:pPr>
              <w:autoSpaceDE w:val="0"/>
              <w:autoSpaceDN w:val="0"/>
              <w:adjustRightInd w:val="0"/>
              <w:ind w:left="568"/>
              <w:rPr>
                <w:b/>
              </w:rPr>
            </w:pPr>
            <w:r w:rsidRPr="00EB68E3">
              <w:rPr>
                <w:b/>
              </w:rPr>
              <w:t>224</w:t>
            </w:r>
          </w:p>
        </w:tc>
        <w:tc>
          <w:tcPr>
            <w:tcW w:w="1449" w:type="dxa"/>
            <w:tcBorders>
              <w:top w:val="single" w:sz="8" w:space="0" w:color="000000"/>
              <w:left w:val="single" w:sz="8" w:space="0" w:color="000000"/>
              <w:bottom w:val="single" w:sz="8" w:space="0" w:color="000000"/>
              <w:right w:val="single" w:sz="8" w:space="0" w:color="000000"/>
            </w:tcBorders>
            <w:hideMark/>
          </w:tcPr>
          <w:p w14:paraId="30AC74D0" w14:textId="2E94F641" w:rsidR="00A4507B" w:rsidRPr="00EB68E3" w:rsidRDefault="00A4507B" w:rsidP="00EE1766">
            <w:pPr>
              <w:autoSpaceDE w:val="0"/>
              <w:autoSpaceDN w:val="0"/>
              <w:adjustRightInd w:val="0"/>
              <w:ind w:left="568"/>
              <w:rPr>
                <w:b/>
              </w:rPr>
            </w:pPr>
            <w:r w:rsidRPr="00EB68E3">
              <w:rPr>
                <w:b/>
              </w:rPr>
              <w:t xml:space="preserve">100 % </w:t>
            </w:r>
          </w:p>
        </w:tc>
        <w:tc>
          <w:tcPr>
            <w:tcW w:w="1843" w:type="dxa"/>
            <w:tcBorders>
              <w:top w:val="single" w:sz="8" w:space="0" w:color="000000"/>
              <w:left w:val="single" w:sz="8" w:space="0" w:color="000000"/>
              <w:bottom w:val="single" w:sz="8" w:space="0" w:color="000000"/>
              <w:right w:val="single" w:sz="8" w:space="0" w:color="000000"/>
            </w:tcBorders>
            <w:hideMark/>
          </w:tcPr>
          <w:p w14:paraId="630A2414" w14:textId="77777777" w:rsidR="00A4507B" w:rsidRPr="00EB68E3" w:rsidRDefault="00A4507B" w:rsidP="00EE1766">
            <w:pPr>
              <w:autoSpaceDE w:val="0"/>
              <w:autoSpaceDN w:val="0"/>
              <w:adjustRightInd w:val="0"/>
              <w:ind w:left="568"/>
              <w:rPr>
                <w:b/>
              </w:rPr>
            </w:pPr>
            <w:r w:rsidRPr="00EB68E3">
              <w:rPr>
                <w:b/>
              </w:rPr>
              <w:t>220</w:t>
            </w:r>
          </w:p>
        </w:tc>
        <w:tc>
          <w:tcPr>
            <w:tcW w:w="1672" w:type="dxa"/>
            <w:tcBorders>
              <w:top w:val="single" w:sz="8" w:space="0" w:color="000000"/>
              <w:left w:val="single" w:sz="8" w:space="0" w:color="000000"/>
              <w:bottom w:val="single" w:sz="8" w:space="0" w:color="000000"/>
              <w:right w:val="single" w:sz="8" w:space="0" w:color="000000"/>
            </w:tcBorders>
            <w:hideMark/>
          </w:tcPr>
          <w:p w14:paraId="17170F46" w14:textId="23B7D8AF" w:rsidR="00A4507B" w:rsidRPr="00EB68E3" w:rsidRDefault="00A4507B" w:rsidP="00EE1766">
            <w:pPr>
              <w:autoSpaceDE w:val="0"/>
              <w:autoSpaceDN w:val="0"/>
              <w:adjustRightInd w:val="0"/>
              <w:ind w:left="568"/>
              <w:rPr>
                <w:b/>
              </w:rPr>
            </w:pPr>
            <w:r w:rsidRPr="00EB68E3">
              <w:rPr>
                <w:b/>
              </w:rPr>
              <w:t xml:space="preserve">100 % </w:t>
            </w:r>
          </w:p>
        </w:tc>
      </w:tr>
    </w:tbl>
    <w:p w14:paraId="3F734437" w14:textId="77777777" w:rsidR="00A4507B" w:rsidRPr="00EB68E3" w:rsidRDefault="00A4507B" w:rsidP="00EE1766">
      <w:pPr>
        <w:tabs>
          <w:tab w:val="left" w:pos="567"/>
        </w:tabs>
        <w:rPr>
          <w:b/>
          <w:i/>
          <w:iCs/>
          <w:sz w:val="16"/>
          <w:szCs w:val="16"/>
        </w:rPr>
      </w:pPr>
    </w:p>
    <w:tbl>
      <w:tblPr>
        <w:tblW w:w="0"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047"/>
        <w:gridCol w:w="1811"/>
        <w:gridCol w:w="1449"/>
        <w:gridCol w:w="1859"/>
        <w:gridCol w:w="1685"/>
      </w:tblGrid>
      <w:tr w:rsidR="00A4507B" w:rsidRPr="00EB68E3" w14:paraId="7DB36650" w14:textId="77777777" w:rsidTr="00A4507B">
        <w:trPr>
          <w:trHeight w:val="384"/>
        </w:trPr>
        <w:tc>
          <w:tcPr>
            <w:tcW w:w="3047" w:type="dxa"/>
            <w:vMerge w:val="restart"/>
            <w:tcBorders>
              <w:top w:val="single" w:sz="8" w:space="0" w:color="000000"/>
              <w:left w:val="single" w:sz="8" w:space="0" w:color="000000"/>
              <w:bottom w:val="single" w:sz="8" w:space="0" w:color="000000"/>
              <w:right w:val="single" w:sz="8" w:space="0" w:color="000000"/>
            </w:tcBorders>
            <w:vAlign w:val="center"/>
            <w:hideMark/>
          </w:tcPr>
          <w:p w14:paraId="440CD197" w14:textId="77777777" w:rsidR="00A4507B" w:rsidRPr="00EB68E3" w:rsidRDefault="00A4507B" w:rsidP="00EE1766">
            <w:pPr>
              <w:autoSpaceDE w:val="0"/>
              <w:autoSpaceDN w:val="0"/>
              <w:adjustRightInd w:val="0"/>
              <w:ind w:left="568"/>
              <w:rPr>
                <w:b/>
                <w:bCs/>
              </w:rPr>
            </w:pPr>
            <w:r w:rsidRPr="00EB68E3">
              <w:rPr>
                <w:b/>
                <w:bCs/>
              </w:rPr>
              <w:t>Sopimustyyppi</w:t>
            </w:r>
          </w:p>
        </w:tc>
        <w:tc>
          <w:tcPr>
            <w:tcW w:w="3260" w:type="dxa"/>
            <w:gridSpan w:val="2"/>
            <w:tcBorders>
              <w:top w:val="single" w:sz="8" w:space="0" w:color="000000"/>
              <w:left w:val="single" w:sz="8" w:space="0" w:color="000000"/>
              <w:bottom w:val="single" w:sz="8" w:space="0" w:color="000000"/>
              <w:right w:val="single" w:sz="8" w:space="0" w:color="000000"/>
            </w:tcBorders>
            <w:vAlign w:val="center"/>
            <w:hideMark/>
          </w:tcPr>
          <w:p w14:paraId="3AD15F01" w14:textId="77777777" w:rsidR="00A4507B" w:rsidRPr="00EB68E3" w:rsidRDefault="00A4507B" w:rsidP="00EE1766">
            <w:pPr>
              <w:autoSpaceDE w:val="0"/>
              <w:autoSpaceDN w:val="0"/>
              <w:adjustRightInd w:val="0"/>
              <w:jc w:val="center"/>
            </w:pPr>
            <w:r w:rsidRPr="00EB68E3">
              <w:rPr>
                <w:b/>
                <w:bCs/>
              </w:rPr>
              <w:t>2017</w:t>
            </w:r>
          </w:p>
        </w:tc>
        <w:tc>
          <w:tcPr>
            <w:tcW w:w="3544" w:type="dxa"/>
            <w:gridSpan w:val="2"/>
            <w:tcBorders>
              <w:top w:val="single" w:sz="8" w:space="0" w:color="000000"/>
              <w:left w:val="single" w:sz="8" w:space="0" w:color="000000"/>
              <w:bottom w:val="single" w:sz="8" w:space="0" w:color="000000"/>
              <w:right w:val="single" w:sz="8" w:space="0" w:color="000000"/>
            </w:tcBorders>
            <w:vAlign w:val="center"/>
            <w:hideMark/>
          </w:tcPr>
          <w:p w14:paraId="0D367857" w14:textId="77777777" w:rsidR="00A4507B" w:rsidRPr="00EB68E3" w:rsidRDefault="00A4507B" w:rsidP="00EE1766">
            <w:pPr>
              <w:autoSpaceDE w:val="0"/>
              <w:autoSpaceDN w:val="0"/>
              <w:adjustRightInd w:val="0"/>
              <w:ind w:left="34"/>
              <w:jc w:val="center"/>
            </w:pPr>
            <w:r w:rsidRPr="00EB68E3">
              <w:rPr>
                <w:b/>
                <w:bCs/>
              </w:rPr>
              <w:t>2016</w:t>
            </w:r>
          </w:p>
        </w:tc>
      </w:tr>
      <w:tr w:rsidR="00A4507B" w:rsidRPr="00EB68E3" w14:paraId="2C07EAB2" w14:textId="77777777" w:rsidTr="00A4507B">
        <w:trPr>
          <w:trHeight w:val="240"/>
        </w:trPr>
        <w:tc>
          <w:tcPr>
            <w:tcW w:w="9851" w:type="dxa"/>
            <w:vMerge/>
            <w:tcBorders>
              <w:top w:val="single" w:sz="8" w:space="0" w:color="000000"/>
              <w:left w:val="single" w:sz="8" w:space="0" w:color="000000"/>
              <w:bottom w:val="single" w:sz="8" w:space="0" w:color="000000"/>
              <w:right w:val="single" w:sz="8" w:space="0" w:color="000000"/>
            </w:tcBorders>
            <w:vAlign w:val="center"/>
            <w:hideMark/>
          </w:tcPr>
          <w:p w14:paraId="6668FA8E" w14:textId="77777777" w:rsidR="00A4507B" w:rsidRPr="00EB68E3" w:rsidRDefault="00A4507B" w:rsidP="00EE1766">
            <w:pPr>
              <w:widowControl/>
              <w:rPr>
                <w:b/>
                <w:bCs/>
              </w:rPr>
            </w:pPr>
          </w:p>
        </w:tc>
        <w:tc>
          <w:tcPr>
            <w:tcW w:w="1811" w:type="dxa"/>
            <w:tcBorders>
              <w:top w:val="single" w:sz="8" w:space="0" w:color="000000"/>
              <w:left w:val="single" w:sz="8" w:space="0" w:color="000000"/>
              <w:bottom w:val="single" w:sz="8" w:space="0" w:color="000000"/>
              <w:right w:val="single" w:sz="8" w:space="0" w:color="000000"/>
            </w:tcBorders>
            <w:vAlign w:val="center"/>
            <w:hideMark/>
          </w:tcPr>
          <w:p w14:paraId="6460FE36" w14:textId="77777777" w:rsidR="00A4507B" w:rsidRPr="00EB68E3" w:rsidRDefault="00A4507B" w:rsidP="00EE1766">
            <w:pPr>
              <w:autoSpaceDE w:val="0"/>
              <w:autoSpaceDN w:val="0"/>
              <w:adjustRightInd w:val="0"/>
              <w:jc w:val="center"/>
            </w:pPr>
            <w:r w:rsidRPr="00EB68E3">
              <w:rPr>
                <w:b/>
                <w:bCs/>
              </w:rPr>
              <w:t>Arvo (euroina)</w:t>
            </w:r>
          </w:p>
        </w:tc>
        <w:tc>
          <w:tcPr>
            <w:tcW w:w="1449" w:type="dxa"/>
            <w:tcBorders>
              <w:top w:val="single" w:sz="8" w:space="0" w:color="000000"/>
              <w:left w:val="single" w:sz="8" w:space="0" w:color="000000"/>
              <w:bottom w:val="single" w:sz="8" w:space="0" w:color="000000"/>
              <w:right w:val="single" w:sz="8" w:space="0" w:color="000000"/>
            </w:tcBorders>
            <w:vAlign w:val="center"/>
            <w:hideMark/>
          </w:tcPr>
          <w:p w14:paraId="78055BA5" w14:textId="77777777" w:rsidR="00A4507B" w:rsidRPr="00EB68E3" w:rsidRDefault="00A4507B" w:rsidP="00EE1766">
            <w:pPr>
              <w:autoSpaceDE w:val="0"/>
              <w:autoSpaceDN w:val="0"/>
              <w:adjustRightInd w:val="0"/>
              <w:jc w:val="center"/>
            </w:pPr>
            <w:r w:rsidRPr="00EB68E3">
              <w:rPr>
                <w:b/>
                <w:bCs/>
              </w:rPr>
              <w:t>Osuus</w:t>
            </w:r>
          </w:p>
        </w:tc>
        <w:tc>
          <w:tcPr>
            <w:tcW w:w="1859" w:type="dxa"/>
            <w:tcBorders>
              <w:top w:val="single" w:sz="8" w:space="0" w:color="000000"/>
              <w:left w:val="single" w:sz="8" w:space="0" w:color="000000"/>
              <w:bottom w:val="single" w:sz="8" w:space="0" w:color="000000"/>
              <w:right w:val="single" w:sz="8" w:space="0" w:color="000000"/>
            </w:tcBorders>
            <w:vAlign w:val="center"/>
            <w:hideMark/>
          </w:tcPr>
          <w:p w14:paraId="0099B6B7" w14:textId="77777777" w:rsidR="00A4507B" w:rsidRPr="00EB68E3" w:rsidRDefault="00A4507B" w:rsidP="00EE1766">
            <w:pPr>
              <w:autoSpaceDE w:val="0"/>
              <w:autoSpaceDN w:val="0"/>
              <w:adjustRightInd w:val="0"/>
              <w:jc w:val="center"/>
            </w:pPr>
            <w:r w:rsidRPr="00EB68E3">
              <w:rPr>
                <w:b/>
                <w:bCs/>
              </w:rPr>
              <w:t>Arvo (euroina)</w:t>
            </w:r>
          </w:p>
        </w:tc>
        <w:tc>
          <w:tcPr>
            <w:tcW w:w="1685" w:type="dxa"/>
            <w:tcBorders>
              <w:top w:val="single" w:sz="8" w:space="0" w:color="000000"/>
              <w:left w:val="single" w:sz="8" w:space="0" w:color="000000"/>
              <w:bottom w:val="single" w:sz="8" w:space="0" w:color="000000"/>
              <w:right w:val="single" w:sz="8" w:space="0" w:color="000000"/>
            </w:tcBorders>
            <w:vAlign w:val="center"/>
            <w:hideMark/>
          </w:tcPr>
          <w:p w14:paraId="24034201" w14:textId="77777777" w:rsidR="00A4507B" w:rsidRPr="00EB68E3" w:rsidRDefault="00A4507B" w:rsidP="00EE1766">
            <w:pPr>
              <w:autoSpaceDE w:val="0"/>
              <w:autoSpaceDN w:val="0"/>
              <w:adjustRightInd w:val="0"/>
              <w:jc w:val="center"/>
            </w:pPr>
            <w:r w:rsidRPr="00EB68E3">
              <w:rPr>
                <w:b/>
                <w:bCs/>
              </w:rPr>
              <w:t>Osuus</w:t>
            </w:r>
          </w:p>
        </w:tc>
      </w:tr>
      <w:tr w:rsidR="00A4507B" w:rsidRPr="00EB68E3" w14:paraId="02CC4D64" w14:textId="77777777" w:rsidTr="00A4507B">
        <w:trPr>
          <w:trHeight w:val="20"/>
        </w:trPr>
        <w:tc>
          <w:tcPr>
            <w:tcW w:w="3047" w:type="dxa"/>
            <w:tcBorders>
              <w:top w:val="single" w:sz="8" w:space="0" w:color="000000"/>
              <w:left w:val="single" w:sz="8" w:space="0" w:color="000000"/>
              <w:bottom w:val="nil"/>
              <w:right w:val="single" w:sz="8" w:space="0" w:color="000000"/>
            </w:tcBorders>
            <w:vAlign w:val="center"/>
            <w:hideMark/>
          </w:tcPr>
          <w:p w14:paraId="46C374D6" w14:textId="77777777" w:rsidR="00A4507B" w:rsidRPr="00EB68E3" w:rsidRDefault="00A4507B" w:rsidP="00EE1766">
            <w:pPr>
              <w:autoSpaceDE w:val="0"/>
              <w:autoSpaceDN w:val="0"/>
              <w:adjustRightInd w:val="0"/>
              <w:ind w:left="568"/>
            </w:pPr>
            <w:r w:rsidRPr="00EB68E3">
              <w:t>Palvelut</w:t>
            </w:r>
          </w:p>
        </w:tc>
        <w:tc>
          <w:tcPr>
            <w:tcW w:w="1811" w:type="dxa"/>
            <w:tcBorders>
              <w:top w:val="single" w:sz="8" w:space="0" w:color="000000"/>
              <w:left w:val="single" w:sz="8" w:space="0" w:color="000000"/>
              <w:bottom w:val="nil"/>
              <w:right w:val="single" w:sz="8" w:space="0" w:color="000000"/>
            </w:tcBorders>
            <w:vAlign w:val="center"/>
            <w:hideMark/>
          </w:tcPr>
          <w:p w14:paraId="5366007B" w14:textId="1C1F3E63" w:rsidR="00A4507B" w:rsidRPr="00EB68E3" w:rsidRDefault="00A4507B" w:rsidP="00EE1766">
            <w:pPr>
              <w:autoSpaceDE w:val="0"/>
              <w:autoSpaceDN w:val="0"/>
              <w:adjustRightInd w:val="0"/>
              <w:ind w:right="306"/>
              <w:jc w:val="center"/>
            </w:pPr>
            <w:r w:rsidRPr="00EB68E3">
              <w:t>446 313 270</w:t>
            </w:r>
          </w:p>
        </w:tc>
        <w:tc>
          <w:tcPr>
            <w:tcW w:w="1449" w:type="dxa"/>
            <w:tcBorders>
              <w:top w:val="single" w:sz="8" w:space="0" w:color="000000"/>
              <w:left w:val="single" w:sz="8" w:space="0" w:color="000000"/>
              <w:bottom w:val="nil"/>
              <w:right w:val="single" w:sz="8" w:space="0" w:color="000000"/>
            </w:tcBorders>
            <w:vAlign w:val="center"/>
            <w:hideMark/>
          </w:tcPr>
          <w:p w14:paraId="0B2D62D3" w14:textId="5F006679" w:rsidR="00A4507B" w:rsidRPr="00EB68E3" w:rsidRDefault="00A4507B" w:rsidP="00EE1766">
            <w:pPr>
              <w:tabs>
                <w:tab w:val="left" w:pos="916"/>
              </w:tabs>
              <w:autoSpaceDE w:val="0"/>
              <w:autoSpaceDN w:val="0"/>
              <w:adjustRightInd w:val="0"/>
              <w:ind w:right="306"/>
              <w:jc w:val="center"/>
            </w:pPr>
            <w:r w:rsidRPr="00EB68E3">
              <w:t>76 %</w:t>
            </w:r>
          </w:p>
        </w:tc>
        <w:tc>
          <w:tcPr>
            <w:tcW w:w="1859" w:type="dxa"/>
            <w:tcBorders>
              <w:top w:val="single" w:sz="8" w:space="0" w:color="000000"/>
              <w:left w:val="single" w:sz="8" w:space="0" w:color="000000"/>
              <w:bottom w:val="nil"/>
              <w:right w:val="single" w:sz="8" w:space="0" w:color="000000"/>
            </w:tcBorders>
            <w:vAlign w:val="center"/>
            <w:hideMark/>
          </w:tcPr>
          <w:p w14:paraId="673500F5" w14:textId="0CD0CBE8" w:rsidR="00A4507B" w:rsidRPr="00EB68E3" w:rsidRDefault="00A4507B" w:rsidP="00EE1766">
            <w:pPr>
              <w:autoSpaceDE w:val="0"/>
              <w:autoSpaceDN w:val="0"/>
              <w:adjustRightInd w:val="0"/>
              <w:ind w:right="306"/>
              <w:jc w:val="center"/>
            </w:pPr>
            <w:r w:rsidRPr="00EB68E3">
              <w:t>246 512 789</w:t>
            </w:r>
          </w:p>
        </w:tc>
        <w:tc>
          <w:tcPr>
            <w:tcW w:w="1685" w:type="dxa"/>
            <w:tcBorders>
              <w:top w:val="single" w:sz="8" w:space="0" w:color="000000"/>
              <w:left w:val="single" w:sz="8" w:space="0" w:color="000000"/>
              <w:bottom w:val="nil"/>
              <w:right w:val="single" w:sz="8" w:space="0" w:color="000000"/>
            </w:tcBorders>
            <w:vAlign w:val="center"/>
            <w:hideMark/>
          </w:tcPr>
          <w:p w14:paraId="77729BB4" w14:textId="2D6812F0" w:rsidR="00A4507B" w:rsidRPr="00EB68E3" w:rsidRDefault="00A4507B" w:rsidP="00EE1766">
            <w:pPr>
              <w:autoSpaceDE w:val="0"/>
              <w:autoSpaceDN w:val="0"/>
              <w:adjustRightInd w:val="0"/>
              <w:ind w:left="158" w:right="306"/>
              <w:jc w:val="center"/>
            </w:pPr>
            <w:r w:rsidRPr="00EB68E3">
              <w:t>49 %</w:t>
            </w:r>
          </w:p>
        </w:tc>
      </w:tr>
      <w:tr w:rsidR="00A4507B" w:rsidRPr="00EB68E3" w14:paraId="49206A55" w14:textId="77777777" w:rsidTr="00A4507B">
        <w:trPr>
          <w:trHeight w:val="20"/>
        </w:trPr>
        <w:tc>
          <w:tcPr>
            <w:tcW w:w="3047" w:type="dxa"/>
            <w:tcBorders>
              <w:top w:val="nil"/>
              <w:left w:val="single" w:sz="8" w:space="0" w:color="000000"/>
              <w:bottom w:val="nil"/>
              <w:right w:val="single" w:sz="8" w:space="0" w:color="000000"/>
            </w:tcBorders>
            <w:vAlign w:val="center"/>
            <w:hideMark/>
          </w:tcPr>
          <w:p w14:paraId="72C1B8B0" w14:textId="77777777" w:rsidR="00A4507B" w:rsidRPr="00EB68E3" w:rsidRDefault="00A4507B" w:rsidP="00EE1766">
            <w:pPr>
              <w:autoSpaceDE w:val="0"/>
              <w:autoSpaceDN w:val="0"/>
              <w:adjustRightInd w:val="0"/>
              <w:ind w:left="568"/>
            </w:pPr>
            <w:r w:rsidRPr="00EB68E3">
              <w:t>Toimitukset</w:t>
            </w:r>
          </w:p>
        </w:tc>
        <w:tc>
          <w:tcPr>
            <w:tcW w:w="1811" w:type="dxa"/>
            <w:tcBorders>
              <w:top w:val="nil"/>
              <w:left w:val="single" w:sz="8" w:space="0" w:color="000000"/>
              <w:bottom w:val="nil"/>
              <w:right w:val="single" w:sz="8" w:space="0" w:color="000000"/>
            </w:tcBorders>
            <w:vAlign w:val="center"/>
            <w:hideMark/>
          </w:tcPr>
          <w:p w14:paraId="0CD71D19" w14:textId="1EC80B3E" w:rsidR="00A4507B" w:rsidRPr="00EB68E3" w:rsidRDefault="00A4507B" w:rsidP="00EE1766">
            <w:pPr>
              <w:autoSpaceDE w:val="0"/>
              <w:autoSpaceDN w:val="0"/>
              <w:adjustRightInd w:val="0"/>
              <w:ind w:right="306"/>
              <w:jc w:val="center"/>
            </w:pPr>
            <w:r w:rsidRPr="00EB68E3">
              <w:t>133 863 942</w:t>
            </w:r>
          </w:p>
        </w:tc>
        <w:tc>
          <w:tcPr>
            <w:tcW w:w="1449" w:type="dxa"/>
            <w:tcBorders>
              <w:top w:val="nil"/>
              <w:left w:val="single" w:sz="8" w:space="0" w:color="000000"/>
              <w:bottom w:val="nil"/>
              <w:right w:val="single" w:sz="8" w:space="0" w:color="000000"/>
            </w:tcBorders>
            <w:vAlign w:val="center"/>
            <w:hideMark/>
          </w:tcPr>
          <w:p w14:paraId="3383F484" w14:textId="0CAB5902" w:rsidR="00A4507B" w:rsidRPr="00EB68E3" w:rsidRDefault="00A4507B" w:rsidP="00EE1766">
            <w:pPr>
              <w:tabs>
                <w:tab w:val="left" w:pos="916"/>
              </w:tabs>
              <w:autoSpaceDE w:val="0"/>
              <w:autoSpaceDN w:val="0"/>
              <w:adjustRightInd w:val="0"/>
              <w:ind w:right="306"/>
              <w:jc w:val="center"/>
            </w:pPr>
            <w:r w:rsidRPr="00EB68E3">
              <w:t>23 %</w:t>
            </w:r>
          </w:p>
        </w:tc>
        <w:tc>
          <w:tcPr>
            <w:tcW w:w="1859" w:type="dxa"/>
            <w:tcBorders>
              <w:top w:val="nil"/>
              <w:left w:val="single" w:sz="8" w:space="0" w:color="000000"/>
              <w:bottom w:val="nil"/>
              <w:right w:val="single" w:sz="8" w:space="0" w:color="000000"/>
            </w:tcBorders>
            <w:vAlign w:val="center"/>
            <w:hideMark/>
          </w:tcPr>
          <w:p w14:paraId="68483AC7" w14:textId="4A615874" w:rsidR="00A4507B" w:rsidRPr="00EB68E3" w:rsidRDefault="00A4507B" w:rsidP="00EE1766">
            <w:pPr>
              <w:autoSpaceDE w:val="0"/>
              <w:autoSpaceDN w:val="0"/>
              <w:adjustRightInd w:val="0"/>
              <w:ind w:right="306"/>
              <w:jc w:val="center"/>
            </w:pPr>
            <w:r w:rsidRPr="00EB68E3">
              <w:t>155 805 940</w:t>
            </w:r>
          </w:p>
        </w:tc>
        <w:tc>
          <w:tcPr>
            <w:tcW w:w="1685" w:type="dxa"/>
            <w:tcBorders>
              <w:top w:val="nil"/>
              <w:left w:val="single" w:sz="8" w:space="0" w:color="000000"/>
              <w:bottom w:val="nil"/>
              <w:right w:val="single" w:sz="8" w:space="0" w:color="000000"/>
            </w:tcBorders>
            <w:vAlign w:val="center"/>
            <w:hideMark/>
          </w:tcPr>
          <w:p w14:paraId="3603C16E" w14:textId="248250B5" w:rsidR="00A4507B" w:rsidRPr="00EB68E3" w:rsidRDefault="00A4507B" w:rsidP="00EE1766">
            <w:pPr>
              <w:autoSpaceDE w:val="0"/>
              <w:autoSpaceDN w:val="0"/>
              <w:adjustRightInd w:val="0"/>
              <w:ind w:left="158" w:right="306"/>
              <w:jc w:val="center"/>
            </w:pPr>
            <w:r w:rsidRPr="00EB68E3">
              <w:t>31 %</w:t>
            </w:r>
          </w:p>
        </w:tc>
      </w:tr>
      <w:tr w:rsidR="00A4507B" w:rsidRPr="00EB68E3" w14:paraId="599CFCE3" w14:textId="77777777" w:rsidTr="00A4507B">
        <w:trPr>
          <w:trHeight w:val="20"/>
        </w:trPr>
        <w:tc>
          <w:tcPr>
            <w:tcW w:w="3047" w:type="dxa"/>
            <w:tcBorders>
              <w:top w:val="nil"/>
              <w:left w:val="single" w:sz="8" w:space="0" w:color="000000"/>
              <w:bottom w:val="nil"/>
              <w:right w:val="single" w:sz="8" w:space="0" w:color="000000"/>
            </w:tcBorders>
            <w:vAlign w:val="center"/>
            <w:hideMark/>
          </w:tcPr>
          <w:p w14:paraId="7B9C22C1" w14:textId="77777777" w:rsidR="00A4507B" w:rsidRPr="00EB68E3" w:rsidRDefault="00A4507B" w:rsidP="00EE1766">
            <w:pPr>
              <w:autoSpaceDE w:val="0"/>
              <w:autoSpaceDN w:val="0"/>
              <w:adjustRightInd w:val="0"/>
              <w:ind w:left="568"/>
            </w:pPr>
            <w:r w:rsidRPr="00EB68E3">
              <w:t>Urakat</w:t>
            </w:r>
          </w:p>
        </w:tc>
        <w:tc>
          <w:tcPr>
            <w:tcW w:w="1811" w:type="dxa"/>
            <w:tcBorders>
              <w:top w:val="nil"/>
              <w:left w:val="single" w:sz="8" w:space="0" w:color="000000"/>
              <w:bottom w:val="nil"/>
              <w:right w:val="single" w:sz="8" w:space="0" w:color="000000"/>
            </w:tcBorders>
            <w:vAlign w:val="center"/>
            <w:hideMark/>
          </w:tcPr>
          <w:p w14:paraId="2FEE4B30" w14:textId="07C52048" w:rsidR="00A4507B" w:rsidRPr="00EB68E3" w:rsidRDefault="00A4507B" w:rsidP="00EE1766">
            <w:pPr>
              <w:autoSpaceDE w:val="0"/>
              <w:autoSpaceDN w:val="0"/>
              <w:adjustRightInd w:val="0"/>
              <w:ind w:right="306"/>
              <w:jc w:val="center"/>
            </w:pPr>
            <w:r w:rsidRPr="00EB68E3">
              <w:t>6 892 972</w:t>
            </w:r>
          </w:p>
        </w:tc>
        <w:tc>
          <w:tcPr>
            <w:tcW w:w="1449" w:type="dxa"/>
            <w:tcBorders>
              <w:top w:val="nil"/>
              <w:left w:val="single" w:sz="8" w:space="0" w:color="000000"/>
              <w:bottom w:val="nil"/>
              <w:right w:val="single" w:sz="8" w:space="0" w:color="000000"/>
            </w:tcBorders>
            <w:vAlign w:val="center"/>
            <w:hideMark/>
          </w:tcPr>
          <w:p w14:paraId="63C73AB1" w14:textId="365F0553" w:rsidR="00A4507B" w:rsidRPr="00EB68E3" w:rsidRDefault="00A4507B" w:rsidP="00EE1766">
            <w:pPr>
              <w:tabs>
                <w:tab w:val="left" w:pos="916"/>
              </w:tabs>
              <w:autoSpaceDE w:val="0"/>
              <w:autoSpaceDN w:val="0"/>
              <w:adjustRightInd w:val="0"/>
              <w:ind w:right="306"/>
              <w:jc w:val="center"/>
            </w:pPr>
            <w:r w:rsidRPr="00EB68E3">
              <w:t>1 %</w:t>
            </w:r>
          </w:p>
        </w:tc>
        <w:tc>
          <w:tcPr>
            <w:tcW w:w="1859" w:type="dxa"/>
            <w:tcBorders>
              <w:top w:val="nil"/>
              <w:left w:val="single" w:sz="8" w:space="0" w:color="000000"/>
              <w:bottom w:val="nil"/>
              <w:right w:val="single" w:sz="8" w:space="0" w:color="000000"/>
            </w:tcBorders>
            <w:vAlign w:val="center"/>
            <w:hideMark/>
          </w:tcPr>
          <w:p w14:paraId="6D23725D" w14:textId="24CBAA41" w:rsidR="00A4507B" w:rsidRPr="00EB68E3" w:rsidRDefault="00A4507B" w:rsidP="00EE1766">
            <w:pPr>
              <w:autoSpaceDE w:val="0"/>
              <w:autoSpaceDN w:val="0"/>
              <w:adjustRightInd w:val="0"/>
              <w:ind w:right="306"/>
              <w:jc w:val="center"/>
            </w:pPr>
            <w:r w:rsidRPr="00EB68E3">
              <w:t>97 640 851</w:t>
            </w:r>
          </w:p>
        </w:tc>
        <w:tc>
          <w:tcPr>
            <w:tcW w:w="1685" w:type="dxa"/>
            <w:tcBorders>
              <w:top w:val="nil"/>
              <w:left w:val="single" w:sz="8" w:space="0" w:color="000000"/>
              <w:bottom w:val="nil"/>
              <w:right w:val="single" w:sz="8" w:space="0" w:color="000000"/>
            </w:tcBorders>
            <w:vAlign w:val="center"/>
            <w:hideMark/>
          </w:tcPr>
          <w:p w14:paraId="03E7405E" w14:textId="765C0542" w:rsidR="00A4507B" w:rsidRPr="00EB68E3" w:rsidRDefault="00A4507B" w:rsidP="00EE1766">
            <w:pPr>
              <w:autoSpaceDE w:val="0"/>
              <w:autoSpaceDN w:val="0"/>
              <w:adjustRightInd w:val="0"/>
              <w:ind w:left="158" w:right="306"/>
              <w:jc w:val="center"/>
            </w:pPr>
            <w:r w:rsidRPr="00EB68E3">
              <w:t>19 %</w:t>
            </w:r>
          </w:p>
        </w:tc>
      </w:tr>
      <w:tr w:rsidR="00A4507B" w:rsidRPr="00EB68E3" w14:paraId="4B9FAED1" w14:textId="77777777" w:rsidTr="00A4507B">
        <w:trPr>
          <w:trHeight w:val="20"/>
        </w:trPr>
        <w:tc>
          <w:tcPr>
            <w:tcW w:w="3047" w:type="dxa"/>
            <w:tcBorders>
              <w:top w:val="nil"/>
              <w:left w:val="single" w:sz="8" w:space="0" w:color="000000"/>
              <w:bottom w:val="single" w:sz="8" w:space="0" w:color="000000"/>
              <w:right w:val="single" w:sz="8" w:space="0" w:color="000000"/>
            </w:tcBorders>
            <w:vAlign w:val="center"/>
            <w:hideMark/>
          </w:tcPr>
          <w:p w14:paraId="769E66C7" w14:textId="77777777" w:rsidR="00A4507B" w:rsidRPr="00EB68E3" w:rsidRDefault="00A4507B" w:rsidP="00EE1766">
            <w:pPr>
              <w:autoSpaceDE w:val="0"/>
              <w:autoSpaceDN w:val="0"/>
              <w:adjustRightInd w:val="0"/>
              <w:ind w:left="568"/>
            </w:pPr>
            <w:r w:rsidRPr="00EB68E3">
              <w:t>Rakennusurakat</w:t>
            </w:r>
          </w:p>
        </w:tc>
        <w:tc>
          <w:tcPr>
            <w:tcW w:w="1811" w:type="dxa"/>
            <w:tcBorders>
              <w:top w:val="nil"/>
              <w:left w:val="single" w:sz="8" w:space="0" w:color="000000"/>
              <w:bottom w:val="single" w:sz="8" w:space="0" w:color="000000"/>
              <w:right w:val="single" w:sz="8" w:space="0" w:color="000000"/>
            </w:tcBorders>
            <w:vAlign w:val="center"/>
            <w:hideMark/>
          </w:tcPr>
          <w:p w14:paraId="35D9EA16" w14:textId="77777777" w:rsidR="00A4507B" w:rsidRPr="00EB68E3" w:rsidRDefault="00A4507B" w:rsidP="00EE1766">
            <w:pPr>
              <w:autoSpaceDE w:val="0"/>
              <w:autoSpaceDN w:val="0"/>
              <w:adjustRightInd w:val="0"/>
              <w:ind w:right="306"/>
              <w:jc w:val="center"/>
            </w:pPr>
            <w:r w:rsidRPr="00EB68E3">
              <w:t>0</w:t>
            </w:r>
          </w:p>
        </w:tc>
        <w:tc>
          <w:tcPr>
            <w:tcW w:w="1449" w:type="dxa"/>
            <w:tcBorders>
              <w:top w:val="nil"/>
              <w:left w:val="single" w:sz="8" w:space="0" w:color="000000"/>
              <w:bottom w:val="single" w:sz="8" w:space="0" w:color="000000"/>
              <w:right w:val="single" w:sz="8" w:space="0" w:color="000000"/>
            </w:tcBorders>
            <w:vAlign w:val="center"/>
            <w:hideMark/>
          </w:tcPr>
          <w:p w14:paraId="03F62955" w14:textId="4342B973" w:rsidR="00A4507B" w:rsidRPr="00EB68E3" w:rsidRDefault="00A4507B" w:rsidP="00EE1766">
            <w:pPr>
              <w:tabs>
                <w:tab w:val="left" w:pos="916"/>
              </w:tabs>
              <w:autoSpaceDE w:val="0"/>
              <w:autoSpaceDN w:val="0"/>
              <w:adjustRightInd w:val="0"/>
              <w:ind w:right="306"/>
              <w:jc w:val="center"/>
            </w:pPr>
            <w:r w:rsidRPr="00EB68E3">
              <w:t>0 %</w:t>
            </w:r>
          </w:p>
        </w:tc>
        <w:tc>
          <w:tcPr>
            <w:tcW w:w="1859" w:type="dxa"/>
            <w:tcBorders>
              <w:top w:val="nil"/>
              <w:left w:val="single" w:sz="8" w:space="0" w:color="000000"/>
              <w:bottom w:val="single" w:sz="8" w:space="0" w:color="000000"/>
              <w:right w:val="single" w:sz="8" w:space="0" w:color="000000"/>
            </w:tcBorders>
            <w:vAlign w:val="center"/>
            <w:hideMark/>
          </w:tcPr>
          <w:p w14:paraId="159C6578" w14:textId="2539ADAB" w:rsidR="00A4507B" w:rsidRPr="00EB68E3" w:rsidRDefault="00A4507B" w:rsidP="00EE1766">
            <w:pPr>
              <w:autoSpaceDE w:val="0"/>
              <w:autoSpaceDN w:val="0"/>
              <w:adjustRightInd w:val="0"/>
              <w:ind w:right="306"/>
              <w:jc w:val="center"/>
            </w:pPr>
            <w:r w:rsidRPr="00EB68E3">
              <w:t>1 583 213</w:t>
            </w:r>
          </w:p>
        </w:tc>
        <w:tc>
          <w:tcPr>
            <w:tcW w:w="1685" w:type="dxa"/>
            <w:tcBorders>
              <w:top w:val="nil"/>
              <w:left w:val="single" w:sz="8" w:space="0" w:color="000000"/>
              <w:bottom w:val="single" w:sz="8" w:space="0" w:color="000000"/>
              <w:right w:val="single" w:sz="8" w:space="0" w:color="000000"/>
            </w:tcBorders>
            <w:vAlign w:val="center"/>
            <w:hideMark/>
          </w:tcPr>
          <w:p w14:paraId="2BED59ED" w14:textId="71D15002" w:rsidR="00A4507B" w:rsidRPr="00EB68E3" w:rsidRDefault="00A4507B" w:rsidP="00EE1766">
            <w:pPr>
              <w:autoSpaceDE w:val="0"/>
              <w:autoSpaceDN w:val="0"/>
              <w:adjustRightInd w:val="0"/>
              <w:ind w:left="158" w:right="306"/>
              <w:jc w:val="center"/>
            </w:pPr>
            <w:r w:rsidRPr="00EB68E3">
              <w:t>1 %</w:t>
            </w:r>
          </w:p>
        </w:tc>
      </w:tr>
      <w:tr w:rsidR="00A4507B" w:rsidRPr="00EB68E3" w14:paraId="15093931" w14:textId="77777777" w:rsidTr="00A4507B">
        <w:trPr>
          <w:trHeight w:val="131"/>
        </w:trPr>
        <w:tc>
          <w:tcPr>
            <w:tcW w:w="3047" w:type="dxa"/>
            <w:tcBorders>
              <w:top w:val="single" w:sz="8" w:space="0" w:color="000000"/>
              <w:left w:val="single" w:sz="8" w:space="0" w:color="000000"/>
              <w:bottom w:val="single" w:sz="4" w:space="0" w:color="auto"/>
              <w:right w:val="single" w:sz="8" w:space="0" w:color="000000"/>
            </w:tcBorders>
            <w:vAlign w:val="center"/>
            <w:hideMark/>
          </w:tcPr>
          <w:p w14:paraId="480259F9" w14:textId="77777777" w:rsidR="00A4507B" w:rsidRPr="00EB68E3" w:rsidRDefault="00A4507B" w:rsidP="00EE1766">
            <w:pPr>
              <w:autoSpaceDE w:val="0"/>
              <w:autoSpaceDN w:val="0"/>
              <w:adjustRightInd w:val="0"/>
              <w:ind w:left="568"/>
              <w:rPr>
                <w:b/>
              </w:rPr>
            </w:pPr>
            <w:r w:rsidRPr="00EB68E3">
              <w:rPr>
                <w:b/>
              </w:rPr>
              <w:t xml:space="preserve">Yhteensä </w:t>
            </w:r>
          </w:p>
        </w:tc>
        <w:tc>
          <w:tcPr>
            <w:tcW w:w="1811" w:type="dxa"/>
            <w:tcBorders>
              <w:top w:val="single" w:sz="8" w:space="0" w:color="000000"/>
              <w:left w:val="single" w:sz="8" w:space="0" w:color="000000"/>
              <w:bottom w:val="single" w:sz="4" w:space="0" w:color="auto"/>
              <w:right w:val="single" w:sz="8" w:space="0" w:color="000000"/>
            </w:tcBorders>
            <w:hideMark/>
          </w:tcPr>
          <w:p w14:paraId="1D427B54" w14:textId="1BD6FF7E" w:rsidR="00A4507B" w:rsidRPr="00EB68E3" w:rsidRDefault="00A4507B" w:rsidP="00EE1766">
            <w:pPr>
              <w:autoSpaceDE w:val="0"/>
              <w:autoSpaceDN w:val="0"/>
              <w:adjustRightInd w:val="0"/>
              <w:rPr>
                <w:b/>
              </w:rPr>
            </w:pPr>
            <w:r w:rsidRPr="00EB68E3">
              <w:rPr>
                <w:b/>
              </w:rPr>
              <w:t>587 070 184</w:t>
            </w:r>
          </w:p>
        </w:tc>
        <w:tc>
          <w:tcPr>
            <w:tcW w:w="1449" w:type="dxa"/>
            <w:tcBorders>
              <w:top w:val="single" w:sz="8" w:space="0" w:color="000000"/>
              <w:left w:val="single" w:sz="8" w:space="0" w:color="000000"/>
              <w:bottom w:val="single" w:sz="4" w:space="0" w:color="auto"/>
              <w:right w:val="single" w:sz="8" w:space="0" w:color="000000"/>
            </w:tcBorders>
            <w:hideMark/>
          </w:tcPr>
          <w:p w14:paraId="1A81FF23" w14:textId="05F757C3" w:rsidR="00A4507B" w:rsidRPr="00EB68E3" w:rsidRDefault="00A4507B" w:rsidP="00EE1766">
            <w:pPr>
              <w:autoSpaceDE w:val="0"/>
              <w:autoSpaceDN w:val="0"/>
              <w:adjustRightInd w:val="0"/>
              <w:rPr>
                <w:b/>
              </w:rPr>
            </w:pPr>
            <w:r w:rsidRPr="00EB68E3">
              <w:rPr>
                <w:b/>
              </w:rPr>
              <w:t xml:space="preserve">100 % </w:t>
            </w:r>
          </w:p>
        </w:tc>
        <w:tc>
          <w:tcPr>
            <w:tcW w:w="1859" w:type="dxa"/>
            <w:tcBorders>
              <w:top w:val="single" w:sz="8" w:space="0" w:color="000000"/>
              <w:left w:val="single" w:sz="8" w:space="0" w:color="000000"/>
              <w:bottom w:val="single" w:sz="4" w:space="0" w:color="auto"/>
              <w:right w:val="single" w:sz="8" w:space="0" w:color="000000"/>
            </w:tcBorders>
            <w:hideMark/>
          </w:tcPr>
          <w:p w14:paraId="0825AF58" w14:textId="019CEC1D" w:rsidR="00A4507B" w:rsidRPr="00EB68E3" w:rsidRDefault="00A4507B" w:rsidP="00EE1766">
            <w:pPr>
              <w:autoSpaceDE w:val="0"/>
              <w:autoSpaceDN w:val="0"/>
              <w:adjustRightInd w:val="0"/>
              <w:rPr>
                <w:b/>
              </w:rPr>
            </w:pPr>
            <w:r w:rsidRPr="00EB68E3">
              <w:rPr>
                <w:b/>
              </w:rPr>
              <w:t>501 542 793</w:t>
            </w:r>
          </w:p>
        </w:tc>
        <w:tc>
          <w:tcPr>
            <w:tcW w:w="1685" w:type="dxa"/>
            <w:tcBorders>
              <w:top w:val="single" w:sz="8" w:space="0" w:color="000000"/>
              <w:left w:val="single" w:sz="8" w:space="0" w:color="000000"/>
              <w:bottom w:val="single" w:sz="4" w:space="0" w:color="auto"/>
              <w:right w:val="single" w:sz="8" w:space="0" w:color="000000"/>
            </w:tcBorders>
            <w:hideMark/>
          </w:tcPr>
          <w:p w14:paraId="28C47D57" w14:textId="7CEE9134" w:rsidR="00A4507B" w:rsidRPr="00EB68E3" w:rsidRDefault="00A4507B" w:rsidP="00EE1766">
            <w:pPr>
              <w:autoSpaceDE w:val="0"/>
              <w:autoSpaceDN w:val="0"/>
              <w:adjustRightInd w:val="0"/>
              <w:ind w:left="568"/>
              <w:rPr>
                <w:b/>
              </w:rPr>
            </w:pPr>
            <w:r w:rsidRPr="00EB68E3">
              <w:rPr>
                <w:b/>
              </w:rPr>
              <w:t xml:space="preserve">100 % </w:t>
            </w:r>
          </w:p>
        </w:tc>
      </w:tr>
      <w:tr w:rsidR="00A4507B" w:rsidRPr="00EB68E3" w14:paraId="45EF6E7B" w14:textId="77777777" w:rsidTr="00A4507B">
        <w:trPr>
          <w:trHeight w:val="131"/>
        </w:trPr>
        <w:tc>
          <w:tcPr>
            <w:tcW w:w="9851" w:type="dxa"/>
            <w:gridSpan w:val="5"/>
            <w:tcBorders>
              <w:top w:val="single" w:sz="4" w:space="0" w:color="auto"/>
              <w:left w:val="single" w:sz="4" w:space="0" w:color="auto"/>
              <w:bottom w:val="single" w:sz="4" w:space="0" w:color="auto"/>
              <w:right w:val="single" w:sz="4" w:space="0" w:color="auto"/>
            </w:tcBorders>
            <w:hideMark/>
          </w:tcPr>
          <w:p w14:paraId="1DE3C453" w14:textId="77777777" w:rsidR="00A4507B" w:rsidRPr="00EB68E3" w:rsidRDefault="00A4507B" w:rsidP="00EE1766">
            <w:pPr>
              <w:autoSpaceDE w:val="0"/>
              <w:autoSpaceDN w:val="0"/>
              <w:adjustRightInd w:val="0"/>
              <w:ind w:left="-60"/>
            </w:pPr>
            <w:r w:rsidRPr="00EB68E3">
              <w:t>(Vuosikertomus Euroopan parlamentin tekemistä hankintasopimuksista, 2017, s. 8)</w:t>
            </w:r>
          </w:p>
        </w:tc>
      </w:tr>
    </w:tbl>
    <w:p w14:paraId="33A61E1D" w14:textId="77777777" w:rsidR="00521511" w:rsidRDefault="00521511" w:rsidP="00521511"/>
    <w:p w14:paraId="0D6E45B8" w14:textId="6F693F16" w:rsidR="00A4507B" w:rsidRPr="00EB68E3" w:rsidRDefault="001A3EF0" w:rsidP="00EE1766">
      <w:pPr>
        <w:pStyle w:val="Normal12Hanging"/>
        <w:spacing w:before="240" w:after="120"/>
      </w:pPr>
      <w:r w:rsidRPr="00EB68E3">
        <w:t>142.</w:t>
      </w:r>
      <w:r w:rsidRPr="00EB68E3">
        <w:tab/>
        <w:t>panee merkille seuraavan eritelmän vuosina 2017 ja 2016 tehdyistä hankintasopimuksista menettelytyypin mukaan ja niiden määrän ja arvon perusteella:</w:t>
      </w:r>
    </w:p>
    <w:tbl>
      <w:tblPr>
        <w:tblW w:w="0"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189"/>
        <w:gridCol w:w="1701"/>
        <w:gridCol w:w="1559"/>
        <w:gridCol w:w="1417"/>
        <w:gridCol w:w="1985"/>
      </w:tblGrid>
      <w:tr w:rsidR="00A4507B" w:rsidRPr="00EB68E3" w14:paraId="6DC35613" w14:textId="77777777" w:rsidTr="00A4507B">
        <w:trPr>
          <w:trHeight w:val="363"/>
        </w:trPr>
        <w:tc>
          <w:tcPr>
            <w:tcW w:w="3189" w:type="dxa"/>
            <w:vMerge w:val="restart"/>
            <w:tcBorders>
              <w:top w:val="single" w:sz="8" w:space="0" w:color="000000"/>
              <w:left w:val="single" w:sz="8" w:space="0" w:color="000000"/>
              <w:bottom w:val="single" w:sz="8" w:space="0" w:color="000000"/>
              <w:right w:val="single" w:sz="8" w:space="0" w:color="000000"/>
            </w:tcBorders>
            <w:vAlign w:val="center"/>
            <w:hideMark/>
          </w:tcPr>
          <w:p w14:paraId="5A755FEF" w14:textId="77777777" w:rsidR="00A4507B" w:rsidRPr="00EB68E3" w:rsidRDefault="00A4507B" w:rsidP="00EE1766">
            <w:pPr>
              <w:autoSpaceDE w:val="0"/>
              <w:autoSpaceDN w:val="0"/>
              <w:adjustRightInd w:val="0"/>
              <w:ind w:left="568"/>
              <w:rPr>
                <w:b/>
                <w:bCs/>
              </w:rPr>
            </w:pPr>
            <w:r w:rsidRPr="00EB68E3">
              <w:rPr>
                <w:b/>
                <w:bCs/>
              </w:rPr>
              <w:t>Menettelytyyppi</w:t>
            </w:r>
          </w:p>
          <w:p w14:paraId="63EE4796" w14:textId="77777777" w:rsidR="00A4507B" w:rsidRPr="00EB68E3" w:rsidRDefault="00A4507B" w:rsidP="00EE1766">
            <w:pPr>
              <w:tabs>
                <w:tab w:val="left" w:pos="1022"/>
              </w:tabs>
              <w:autoSpaceDE w:val="0"/>
              <w:autoSpaceDN w:val="0"/>
              <w:adjustRightInd w:val="0"/>
              <w:ind w:left="1022" w:hanging="454"/>
            </w:pPr>
            <w:r w:rsidRPr="00EB68E3">
              <w:tab/>
            </w:r>
          </w:p>
        </w:tc>
        <w:tc>
          <w:tcPr>
            <w:tcW w:w="3260" w:type="dxa"/>
            <w:gridSpan w:val="2"/>
            <w:tcBorders>
              <w:top w:val="single" w:sz="8" w:space="0" w:color="000000"/>
              <w:left w:val="single" w:sz="8" w:space="0" w:color="000000"/>
              <w:bottom w:val="single" w:sz="8" w:space="0" w:color="000000"/>
              <w:right w:val="single" w:sz="8" w:space="0" w:color="000000"/>
            </w:tcBorders>
            <w:vAlign w:val="center"/>
            <w:hideMark/>
          </w:tcPr>
          <w:p w14:paraId="473D37AF" w14:textId="77777777" w:rsidR="00A4507B" w:rsidRPr="00EB68E3" w:rsidRDefault="00A4507B" w:rsidP="00EE1766">
            <w:pPr>
              <w:autoSpaceDE w:val="0"/>
              <w:autoSpaceDN w:val="0"/>
              <w:adjustRightInd w:val="0"/>
              <w:ind w:left="568"/>
            </w:pPr>
            <w:r w:rsidRPr="00EB68E3">
              <w:rPr>
                <w:b/>
                <w:bCs/>
              </w:rPr>
              <w:t>2017</w:t>
            </w:r>
          </w:p>
        </w:tc>
        <w:tc>
          <w:tcPr>
            <w:tcW w:w="3402" w:type="dxa"/>
            <w:gridSpan w:val="2"/>
            <w:tcBorders>
              <w:top w:val="single" w:sz="8" w:space="0" w:color="000000"/>
              <w:left w:val="single" w:sz="8" w:space="0" w:color="000000"/>
              <w:bottom w:val="single" w:sz="8" w:space="0" w:color="000000"/>
              <w:right w:val="single" w:sz="8" w:space="0" w:color="000000"/>
            </w:tcBorders>
            <w:vAlign w:val="center"/>
            <w:hideMark/>
          </w:tcPr>
          <w:p w14:paraId="128E0786" w14:textId="77777777" w:rsidR="00A4507B" w:rsidRPr="00EB68E3" w:rsidRDefault="00A4507B" w:rsidP="00EE1766">
            <w:pPr>
              <w:autoSpaceDE w:val="0"/>
              <w:autoSpaceDN w:val="0"/>
              <w:adjustRightInd w:val="0"/>
              <w:jc w:val="center"/>
            </w:pPr>
            <w:r w:rsidRPr="00EB68E3">
              <w:rPr>
                <w:b/>
                <w:bCs/>
              </w:rPr>
              <w:t>2016</w:t>
            </w:r>
          </w:p>
        </w:tc>
      </w:tr>
      <w:tr w:rsidR="00A4507B" w:rsidRPr="00EB68E3" w14:paraId="755514D2" w14:textId="77777777" w:rsidTr="00A4507B">
        <w:trPr>
          <w:trHeight w:val="133"/>
        </w:trPr>
        <w:tc>
          <w:tcPr>
            <w:tcW w:w="3189" w:type="dxa"/>
            <w:vMerge/>
            <w:tcBorders>
              <w:top w:val="single" w:sz="8" w:space="0" w:color="000000"/>
              <w:left w:val="single" w:sz="8" w:space="0" w:color="000000"/>
              <w:bottom w:val="single" w:sz="8" w:space="0" w:color="000000"/>
              <w:right w:val="single" w:sz="8" w:space="0" w:color="000000"/>
            </w:tcBorders>
            <w:vAlign w:val="center"/>
            <w:hideMark/>
          </w:tcPr>
          <w:p w14:paraId="79CA1228" w14:textId="77777777" w:rsidR="00A4507B" w:rsidRPr="00EB68E3" w:rsidRDefault="00A4507B" w:rsidP="00EE1766">
            <w:pPr>
              <w:widowControl/>
            </w:pP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58278117" w14:textId="77777777" w:rsidR="00A4507B" w:rsidRPr="00EB68E3" w:rsidRDefault="00A4507B" w:rsidP="00EE1766">
            <w:pPr>
              <w:autoSpaceDE w:val="0"/>
              <w:autoSpaceDN w:val="0"/>
              <w:adjustRightInd w:val="0"/>
              <w:ind w:left="33"/>
              <w:jc w:val="center"/>
            </w:pPr>
            <w:r w:rsidRPr="00EB68E3">
              <w:rPr>
                <w:b/>
                <w:bCs/>
              </w:rPr>
              <w:t>Määrä</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E90333B" w14:textId="77777777" w:rsidR="00A4507B" w:rsidRPr="00EB68E3" w:rsidRDefault="00A4507B" w:rsidP="00EE1766">
            <w:pPr>
              <w:autoSpaceDE w:val="0"/>
              <w:autoSpaceDN w:val="0"/>
              <w:adjustRightInd w:val="0"/>
              <w:ind w:left="33"/>
              <w:jc w:val="center"/>
            </w:pPr>
            <w:r w:rsidRPr="00EB68E3">
              <w:rPr>
                <w:b/>
                <w:bCs/>
              </w:rPr>
              <w:t>Osuus</w:t>
            </w:r>
          </w:p>
        </w:tc>
        <w:tc>
          <w:tcPr>
            <w:tcW w:w="1417" w:type="dxa"/>
            <w:tcBorders>
              <w:top w:val="single" w:sz="8" w:space="0" w:color="000000"/>
              <w:left w:val="single" w:sz="8" w:space="0" w:color="000000"/>
              <w:bottom w:val="single" w:sz="8" w:space="0" w:color="000000"/>
              <w:right w:val="single" w:sz="8" w:space="0" w:color="000000"/>
            </w:tcBorders>
            <w:vAlign w:val="center"/>
            <w:hideMark/>
          </w:tcPr>
          <w:p w14:paraId="7D0A6381" w14:textId="77777777" w:rsidR="00A4507B" w:rsidRPr="00EB68E3" w:rsidRDefault="00A4507B" w:rsidP="00EE1766">
            <w:pPr>
              <w:autoSpaceDE w:val="0"/>
              <w:autoSpaceDN w:val="0"/>
              <w:adjustRightInd w:val="0"/>
              <w:ind w:left="33"/>
              <w:jc w:val="center"/>
            </w:pPr>
            <w:r w:rsidRPr="00EB68E3">
              <w:rPr>
                <w:b/>
                <w:bCs/>
              </w:rPr>
              <w:t>Määrä</w:t>
            </w:r>
          </w:p>
        </w:tc>
        <w:tc>
          <w:tcPr>
            <w:tcW w:w="1985" w:type="dxa"/>
            <w:tcBorders>
              <w:top w:val="single" w:sz="8" w:space="0" w:color="000000"/>
              <w:left w:val="single" w:sz="8" w:space="0" w:color="000000"/>
              <w:bottom w:val="single" w:sz="8" w:space="0" w:color="000000"/>
              <w:right w:val="single" w:sz="8" w:space="0" w:color="000000"/>
            </w:tcBorders>
            <w:vAlign w:val="center"/>
            <w:hideMark/>
          </w:tcPr>
          <w:p w14:paraId="12983C7C" w14:textId="77777777" w:rsidR="00A4507B" w:rsidRPr="00EB68E3" w:rsidRDefault="00A4507B" w:rsidP="00EE1766">
            <w:pPr>
              <w:autoSpaceDE w:val="0"/>
              <w:autoSpaceDN w:val="0"/>
              <w:adjustRightInd w:val="0"/>
              <w:ind w:left="33"/>
              <w:jc w:val="center"/>
            </w:pPr>
            <w:r w:rsidRPr="00EB68E3">
              <w:rPr>
                <w:b/>
                <w:bCs/>
              </w:rPr>
              <w:t>Osuus</w:t>
            </w:r>
          </w:p>
        </w:tc>
      </w:tr>
      <w:tr w:rsidR="00A4507B" w:rsidRPr="00EB68E3" w14:paraId="4940F047" w14:textId="77777777" w:rsidTr="00A4507B">
        <w:trPr>
          <w:trHeight w:val="362"/>
        </w:trPr>
        <w:tc>
          <w:tcPr>
            <w:tcW w:w="3189" w:type="dxa"/>
            <w:tcBorders>
              <w:top w:val="single" w:sz="8" w:space="0" w:color="000000"/>
              <w:left w:val="single" w:sz="8" w:space="0" w:color="000000"/>
              <w:bottom w:val="single" w:sz="8" w:space="0" w:color="000000"/>
              <w:right w:val="single" w:sz="8" w:space="0" w:color="000000"/>
            </w:tcBorders>
            <w:hideMark/>
          </w:tcPr>
          <w:p w14:paraId="5C0CA9D5" w14:textId="77777777" w:rsidR="00A4507B" w:rsidRPr="00EB68E3" w:rsidRDefault="00A4507B" w:rsidP="00EE1766">
            <w:pPr>
              <w:autoSpaceDE w:val="0"/>
              <w:autoSpaceDN w:val="0"/>
              <w:adjustRightInd w:val="0"/>
              <w:ind w:left="568"/>
            </w:pPr>
            <w:r w:rsidRPr="00EB68E3">
              <w:t xml:space="preserve">Avoin </w:t>
            </w:r>
          </w:p>
          <w:p w14:paraId="6CDC3FCB" w14:textId="77777777" w:rsidR="00A4507B" w:rsidRPr="00EB68E3" w:rsidRDefault="00A4507B" w:rsidP="00EE1766">
            <w:pPr>
              <w:autoSpaceDE w:val="0"/>
              <w:autoSpaceDN w:val="0"/>
              <w:adjustRightInd w:val="0"/>
              <w:ind w:left="568"/>
            </w:pPr>
            <w:r w:rsidRPr="00EB68E3">
              <w:t xml:space="preserve">Rajoitettu </w:t>
            </w:r>
          </w:p>
          <w:p w14:paraId="588852C5" w14:textId="77777777" w:rsidR="00A4507B" w:rsidRPr="00EB68E3" w:rsidRDefault="00A4507B" w:rsidP="00EE1766">
            <w:pPr>
              <w:autoSpaceDE w:val="0"/>
              <w:autoSpaceDN w:val="0"/>
              <w:adjustRightInd w:val="0"/>
              <w:ind w:left="568"/>
            </w:pPr>
            <w:r w:rsidRPr="00EB68E3">
              <w:t xml:space="preserve">Neuvottelu </w:t>
            </w:r>
          </w:p>
          <w:p w14:paraId="00DC2B82" w14:textId="77777777" w:rsidR="00A4507B" w:rsidRPr="00EB68E3" w:rsidRDefault="00A4507B" w:rsidP="00EE1766">
            <w:pPr>
              <w:autoSpaceDE w:val="0"/>
              <w:autoSpaceDN w:val="0"/>
              <w:adjustRightInd w:val="0"/>
              <w:ind w:left="568"/>
            </w:pPr>
            <w:r w:rsidRPr="00EB68E3">
              <w:t>Kilpailu</w:t>
            </w:r>
          </w:p>
          <w:p w14:paraId="197DC8D6" w14:textId="77777777" w:rsidR="00A4507B" w:rsidRPr="00EB68E3" w:rsidRDefault="00A4507B" w:rsidP="00EE1766">
            <w:pPr>
              <w:autoSpaceDE w:val="0"/>
              <w:autoSpaceDN w:val="0"/>
              <w:adjustRightInd w:val="0"/>
              <w:ind w:left="568"/>
            </w:pPr>
            <w:r w:rsidRPr="00EB68E3">
              <w:t>Poikkeus</w:t>
            </w:r>
          </w:p>
        </w:tc>
        <w:tc>
          <w:tcPr>
            <w:tcW w:w="1701" w:type="dxa"/>
            <w:tcBorders>
              <w:top w:val="single" w:sz="8" w:space="0" w:color="000000"/>
              <w:left w:val="single" w:sz="8" w:space="0" w:color="000000"/>
              <w:bottom w:val="single" w:sz="8" w:space="0" w:color="000000"/>
              <w:right w:val="single" w:sz="8" w:space="0" w:color="000000"/>
            </w:tcBorders>
            <w:hideMark/>
          </w:tcPr>
          <w:p w14:paraId="098E6C79" w14:textId="77777777" w:rsidR="00A4507B" w:rsidRPr="00EB68E3" w:rsidRDefault="00A4507B" w:rsidP="00EE1766">
            <w:pPr>
              <w:autoSpaceDE w:val="0"/>
              <w:autoSpaceDN w:val="0"/>
              <w:adjustRightInd w:val="0"/>
              <w:ind w:left="568"/>
            </w:pPr>
            <w:r w:rsidRPr="00EB68E3">
              <w:t>78</w:t>
            </w:r>
          </w:p>
          <w:p w14:paraId="37E41BD0" w14:textId="77777777" w:rsidR="00A4507B" w:rsidRPr="00EB68E3" w:rsidRDefault="00A4507B" w:rsidP="00EE1766">
            <w:pPr>
              <w:autoSpaceDE w:val="0"/>
              <w:autoSpaceDN w:val="0"/>
              <w:adjustRightInd w:val="0"/>
              <w:ind w:left="568"/>
            </w:pPr>
            <w:r w:rsidRPr="00EB68E3">
              <w:t>1</w:t>
            </w:r>
          </w:p>
          <w:p w14:paraId="450BBF16" w14:textId="77777777" w:rsidR="00A4507B" w:rsidRPr="00EB68E3" w:rsidRDefault="00A4507B" w:rsidP="00EE1766">
            <w:pPr>
              <w:autoSpaceDE w:val="0"/>
              <w:autoSpaceDN w:val="0"/>
              <w:adjustRightInd w:val="0"/>
              <w:ind w:left="568"/>
            </w:pPr>
            <w:r w:rsidRPr="00EB68E3">
              <w:t>145</w:t>
            </w:r>
          </w:p>
          <w:p w14:paraId="6EAE79EB" w14:textId="77777777" w:rsidR="00A4507B" w:rsidRPr="00EB68E3" w:rsidRDefault="00A4507B" w:rsidP="00EE1766">
            <w:pPr>
              <w:autoSpaceDE w:val="0"/>
              <w:autoSpaceDN w:val="0"/>
              <w:adjustRightInd w:val="0"/>
              <w:ind w:left="568"/>
            </w:pPr>
            <w:r w:rsidRPr="00EB68E3">
              <w:t>–</w:t>
            </w:r>
          </w:p>
          <w:p w14:paraId="36881ECA" w14:textId="77777777" w:rsidR="00A4507B" w:rsidRPr="00EB68E3" w:rsidRDefault="00A4507B" w:rsidP="00EE1766">
            <w:pPr>
              <w:autoSpaceDE w:val="0"/>
              <w:autoSpaceDN w:val="0"/>
              <w:adjustRightInd w:val="0"/>
              <w:ind w:left="568"/>
            </w:pPr>
            <w:r w:rsidRPr="00EB68E3">
              <w:t>–</w:t>
            </w:r>
          </w:p>
        </w:tc>
        <w:tc>
          <w:tcPr>
            <w:tcW w:w="1559" w:type="dxa"/>
            <w:tcBorders>
              <w:top w:val="single" w:sz="8" w:space="0" w:color="000000"/>
              <w:left w:val="single" w:sz="8" w:space="0" w:color="000000"/>
              <w:bottom w:val="single" w:sz="8" w:space="0" w:color="000000"/>
              <w:right w:val="single" w:sz="8" w:space="0" w:color="000000"/>
            </w:tcBorders>
            <w:hideMark/>
          </w:tcPr>
          <w:p w14:paraId="1F11ECF3" w14:textId="67456F06" w:rsidR="00A4507B" w:rsidRPr="00EB68E3" w:rsidRDefault="00A4507B" w:rsidP="00EE1766">
            <w:pPr>
              <w:autoSpaceDE w:val="0"/>
              <w:autoSpaceDN w:val="0"/>
              <w:adjustRightInd w:val="0"/>
            </w:pPr>
            <w:r w:rsidRPr="00EB68E3">
              <w:t>35 %</w:t>
            </w:r>
          </w:p>
          <w:p w14:paraId="0DBBD749" w14:textId="28654947" w:rsidR="00A4507B" w:rsidRPr="00EB68E3" w:rsidRDefault="00A4507B" w:rsidP="00EE1766">
            <w:pPr>
              <w:autoSpaceDE w:val="0"/>
              <w:autoSpaceDN w:val="0"/>
              <w:adjustRightInd w:val="0"/>
            </w:pPr>
            <w:r w:rsidRPr="00EB68E3">
              <w:t>1 %</w:t>
            </w:r>
          </w:p>
          <w:p w14:paraId="7A3EB70D" w14:textId="72864444" w:rsidR="00A4507B" w:rsidRPr="00EB68E3" w:rsidRDefault="00A4507B" w:rsidP="00EE1766">
            <w:pPr>
              <w:autoSpaceDE w:val="0"/>
              <w:autoSpaceDN w:val="0"/>
              <w:adjustRightInd w:val="0"/>
            </w:pPr>
            <w:r w:rsidRPr="00EB68E3">
              <w:t>64 %</w:t>
            </w:r>
          </w:p>
          <w:p w14:paraId="53015C04" w14:textId="77777777" w:rsidR="00A4507B" w:rsidRPr="00EB68E3" w:rsidRDefault="00A4507B" w:rsidP="00EE1766">
            <w:pPr>
              <w:autoSpaceDE w:val="0"/>
              <w:autoSpaceDN w:val="0"/>
              <w:adjustRightInd w:val="0"/>
            </w:pPr>
            <w:r w:rsidRPr="00EB68E3">
              <w:t>–</w:t>
            </w:r>
          </w:p>
          <w:p w14:paraId="7633EDAD" w14:textId="77777777" w:rsidR="00A4507B" w:rsidRPr="00EB68E3" w:rsidRDefault="00A4507B" w:rsidP="00EE1766">
            <w:pPr>
              <w:autoSpaceDE w:val="0"/>
              <w:autoSpaceDN w:val="0"/>
              <w:adjustRightInd w:val="0"/>
            </w:pPr>
            <w:r w:rsidRPr="00EB68E3">
              <w:t>-%</w:t>
            </w:r>
          </w:p>
        </w:tc>
        <w:tc>
          <w:tcPr>
            <w:tcW w:w="1417" w:type="dxa"/>
            <w:tcBorders>
              <w:top w:val="single" w:sz="8" w:space="0" w:color="000000"/>
              <w:left w:val="single" w:sz="8" w:space="0" w:color="000000"/>
              <w:bottom w:val="single" w:sz="8" w:space="0" w:color="000000"/>
              <w:right w:val="single" w:sz="8" w:space="0" w:color="000000"/>
            </w:tcBorders>
            <w:hideMark/>
          </w:tcPr>
          <w:p w14:paraId="4131F916" w14:textId="77777777" w:rsidR="00A4507B" w:rsidRPr="00EB68E3" w:rsidRDefault="00A4507B" w:rsidP="00EE1766">
            <w:pPr>
              <w:autoSpaceDE w:val="0"/>
              <w:autoSpaceDN w:val="0"/>
              <w:adjustRightInd w:val="0"/>
              <w:ind w:left="568"/>
            </w:pPr>
            <w:r w:rsidRPr="00EB68E3">
              <w:t>71</w:t>
            </w:r>
          </w:p>
          <w:p w14:paraId="352DA8EB" w14:textId="77777777" w:rsidR="00A4507B" w:rsidRPr="00EB68E3" w:rsidRDefault="00A4507B" w:rsidP="00EE1766">
            <w:pPr>
              <w:autoSpaceDE w:val="0"/>
              <w:autoSpaceDN w:val="0"/>
              <w:adjustRightInd w:val="0"/>
              <w:ind w:left="568"/>
            </w:pPr>
            <w:r w:rsidRPr="00EB68E3">
              <w:t>7</w:t>
            </w:r>
          </w:p>
          <w:p w14:paraId="33B616BD" w14:textId="77777777" w:rsidR="00A4507B" w:rsidRPr="00EB68E3" w:rsidRDefault="00A4507B" w:rsidP="00EE1766">
            <w:pPr>
              <w:autoSpaceDE w:val="0"/>
              <w:autoSpaceDN w:val="0"/>
              <w:adjustRightInd w:val="0"/>
              <w:ind w:left="568"/>
            </w:pPr>
            <w:r w:rsidRPr="00EB68E3">
              <w:t>141</w:t>
            </w:r>
            <w:r w:rsidRPr="00EB68E3">
              <w:rPr>
                <w:rStyle w:val="FootnoteReference"/>
              </w:rPr>
              <w:footnoteReference w:id="14"/>
            </w:r>
          </w:p>
          <w:p w14:paraId="6B93228E" w14:textId="77777777" w:rsidR="00A4507B" w:rsidRPr="00EB68E3" w:rsidRDefault="00A4507B" w:rsidP="00EE1766">
            <w:pPr>
              <w:autoSpaceDE w:val="0"/>
              <w:autoSpaceDN w:val="0"/>
              <w:adjustRightInd w:val="0"/>
              <w:ind w:left="568"/>
            </w:pPr>
            <w:r w:rsidRPr="00EB68E3">
              <w:t>–</w:t>
            </w:r>
          </w:p>
          <w:p w14:paraId="06A18FE2" w14:textId="77777777" w:rsidR="00A4507B" w:rsidRPr="00EB68E3" w:rsidRDefault="00A4507B" w:rsidP="00EE1766">
            <w:pPr>
              <w:autoSpaceDE w:val="0"/>
              <w:autoSpaceDN w:val="0"/>
              <w:adjustRightInd w:val="0"/>
              <w:ind w:left="568"/>
            </w:pPr>
            <w:r w:rsidRPr="00EB68E3">
              <w:t>1</w:t>
            </w:r>
          </w:p>
        </w:tc>
        <w:tc>
          <w:tcPr>
            <w:tcW w:w="1985" w:type="dxa"/>
            <w:tcBorders>
              <w:top w:val="single" w:sz="8" w:space="0" w:color="000000"/>
              <w:left w:val="single" w:sz="8" w:space="0" w:color="000000"/>
              <w:bottom w:val="single" w:sz="8" w:space="0" w:color="000000"/>
              <w:right w:val="single" w:sz="8" w:space="0" w:color="000000"/>
            </w:tcBorders>
            <w:hideMark/>
          </w:tcPr>
          <w:p w14:paraId="7F1992F6" w14:textId="6DC13230" w:rsidR="00A4507B" w:rsidRPr="00EB68E3" w:rsidRDefault="00A4507B" w:rsidP="00EE1766">
            <w:pPr>
              <w:autoSpaceDE w:val="0"/>
              <w:autoSpaceDN w:val="0"/>
              <w:adjustRightInd w:val="0"/>
              <w:ind w:left="568"/>
            </w:pPr>
            <w:r w:rsidRPr="00EB68E3">
              <w:t>32 %</w:t>
            </w:r>
          </w:p>
          <w:p w14:paraId="1327DA9C" w14:textId="782F0559" w:rsidR="00A4507B" w:rsidRPr="00EB68E3" w:rsidRDefault="00A4507B" w:rsidP="00EE1766">
            <w:pPr>
              <w:autoSpaceDE w:val="0"/>
              <w:autoSpaceDN w:val="0"/>
              <w:adjustRightInd w:val="0"/>
              <w:ind w:left="568"/>
            </w:pPr>
            <w:r w:rsidRPr="00EB68E3">
              <w:t>3 %</w:t>
            </w:r>
          </w:p>
          <w:p w14:paraId="7AFA543B" w14:textId="27AF42B1" w:rsidR="00A4507B" w:rsidRPr="00EB68E3" w:rsidRDefault="00A4507B" w:rsidP="00EE1766">
            <w:pPr>
              <w:autoSpaceDE w:val="0"/>
              <w:autoSpaceDN w:val="0"/>
              <w:adjustRightInd w:val="0"/>
              <w:ind w:left="568"/>
            </w:pPr>
            <w:r w:rsidRPr="00EB68E3">
              <w:t>64 %</w:t>
            </w:r>
          </w:p>
          <w:p w14:paraId="707E5929" w14:textId="77777777" w:rsidR="00A4507B" w:rsidRPr="00EB68E3" w:rsidRDefault="00A4507B" w:rsidP="00EE1766">
            <w:pPr>
              <w:autoSpaceDE w:val="0"/>
              <w:autoSpaceDN w:val="0"/>
              <w:adjustRightInd w:val="0"/>
              <w:ind w:left="568"/>
            </w:pPr>
            <w:r w:rsidRPr="00EB68E3">
              <w:t>–</w:t>
            </w:r>
          </w:p>
          <w:p w14:paraId="3A2F724E" w14:textId="77777777" w:rsidR="00A4507B" w:rsidRPr="00EB68E3" w:rsidRDefault="00A4507B" w:rsidP="00EE1766">
            <w:pPr>
              <w:autoSpaceDE w:val="0"/>
              <w:autoSpaceDN w:val="0"/>
              <w:adjustRightInd w:val="0"/>
              <w:ind w:left="568"/>
            </w:pPr>
            <w:r w:rsidRPr="00EB68E3">
              <w:t>1</w:t>
            </w:r>
          </w:p>
        </w:tc>
      </w:tr>
      <w:tr w:rsidR="00A4507B" w:rsidRPr="00EB68E3" w14:paraId="50B9689C" w14:textId="77777777" w:rsidTr="00A4507B">
        <w:trPr>
          <w:trHeight w:val="131"/>
        </w:trPr>
        <w:tc>
          <w:tcPr>
            <w:tcW w:w="3189" w:type="dxa"/>
            <w:tcBorders>
              <w:top w:val="single" w:sz="8" w:space="0" w:color="000000"/>
              <w:left w:val="single" w:sz="8" w:space="0" w:color="000000"/>
              <w:bottom w:val="single" w:sz="8" w:space="0" w:color="000000"/>
              <w:right w:val="single" w:sz="8" w:space="0" w:color="000000"/>
            </w:tcBorders>
            <w:hideMark/>
          </w:tcPr>
          <w:p w14:paraId="5B4EBABE" w14:textId="77777777" w:rsidR="00A4507B" w:rsidRPr="00EB68E3" w:rsidRDefault="00A4507B" w:rsidP="00EE1766">
            <w:pPr>
              <w:autoSpaceDE w:val="0"/>
              <w:autoSpaceDN w:val="0"/>
              <w:adjustRightInd w:val="0"/>
              <w:ind w:left="568"/>
              <w:rPr>
                <w:b/>
              </w:rPr>
            </w:pPr>
            <w:r w:rsidRPr="00EB68E3">
              <w:rPr>
                <w:b/>
              </w:rPr>
              <w:t xml:space="preserve">Yhteensä </w:t>
            </w:r>
          </w:p>
        </w:tc>
        <w:tc>
          <w:tcPr>
            <w:tcW w:w="1701" w:type="dxa"/>
            <w:tcBorders>
              <w:top w:val="single" w:sz="8" w:space="0" w:color="000000"/>
              <w:left w:val="single" w:sz="8" w:space="0" w:color="000000"/>
              <w:bottom w:val="single" w:sz="8" w:space="0" w:color="000000"/>
              <w:right w:val="single" w:sz="8" w:space="0" w:color="000000"/>
            </w:tcBorders>
            <w:hideMark/>
          </w:tcPr>
          <w:p w14:paraId="765EFAE3" w14:textId="77777777" w:rsidR="00A4507B" w:rsidRPr="00EB68E3" w:rsidRDefault="00A4507B" w:rsidP="00EE1766">
            <w:pPr>
              <w:autoSpaceDE w:val="0"/>
              <w:autoSpaceDN w:val="0"/>
              <w:adjustRightInd w:val="0"/>
              <w:ind w:left="568"/>
              <w:rPr>
                <w:b/>
              </w:rPr>
            </w:pPr>
            <w:r w:rsidRPr="00EB68E3">
              <w:rPr>
                <w:b/>
              </w:rPr>
              <w:t>224</w:t>
            </w:r>
          </w:p>
        </w:tc>
        <w:tc>
          <w:tcPr>
            <w:tcW w:w="1559" w:type="dxa"/>
            <w:tcBorders>
              <w:top w:val="single" w:sz="8" w:space="0" w:color="000000"/>
              <w:left w:val="single" w:sz="8" w:space="0" w:color="000000"/>
              <w:bottom w:val="single" w:sz="8" w:space="0" w:color="000000"/>
              <w:right w:val="single" w:sz="8" w:space="0" w:color="000000"/>
            </w:tcBorders>
            <w:hideMark/>
          </w:tcPr>
          <w:p w14:paraId="34CBDDF0" w14:textId="099E3F78" w:rsidR="00A4507B" w:rsidRPr="00EB68E3" w:rsidRDefault="00A4507B" w:rsidP="00EE1766">
            <w:pPr>
              <w:autoSpaceDE w:val="0"/>
              <w:autoSpaceDN w:val="0"/>
              <w:adjustRightInd w:val="0"/>
              <w:ind w:left="568"/>
              <w:rPr>
                <w:b/>
              </w:rPr>
            </w:pPr>
            <w:r w:rsidRPr="00EB68E3">
              <w:rPr>
                <w:b/>
              </w:rPr>
              <w:t>100 %</w:t>
            </w:r>
          </w:p>
        </w:tc>
        <w:tc>
          <w:tcPr>
            <w:tcW w:w="1417" w:type="dxa"/>
            <w:tcBorders>
              <w:top w:val="single" w:sz="8" w:space="0" w:color="000000"/>
              <w:left w:val="single" w:sz="8" w:space="0" w:color="000000"/>
              <w:bottom w:val="single" w:sz="8" w:space="0" w:color="000000"/>
              <w:right w:val="single" w:sz="8" w:space="0" w:color="000000"/>
            </w:tcBorders>
            <w:hideMark/>
          </w:tcPr>
          <w:p w14:paraId="0C0E0340" w14:textId="77777777" w:rsidR="00A4507B" w:rsidRPr="00EB68E3" w:rsidRDefault="00A4507B" w:rsidP="00EE1766">
            <w:pPr>
              <w:autoSpaceDE w:val="0"/>
              <w:autoSpaceDN w:val="0"/>
              <w:adjustRightInd w:val="0"/>
              <w:ind w:left="568"/>
              <w:rPr>
                <w:b/>
              </w:rPr>
            </w:pPr>
            <w:r w:rsidRPr="00EB68E3">
              <w:rPr>
                <w:b/>
              </w:rPr>
              <w:t>220</w:t>
            </w:r>
          </w:p>
        </w:tc>
        <w:tc>
          <w:tcPr>
            <w:tcW w:w="1985" w:type="dxa"/>
            <w:tcBorders>
              <w:top w:val="single" w:sz="8" w:space="0" w:color="000000"/>
              <w:left w:val="single" w:sz="8" w:space="0" w:color="000000"/>
              <w:bottom w:val="single" w:sz="8" w:space="0" w:color="000000"/>
              <w:right w:val="single" w:sz="8" w:space="0" w:color="000000"/>
            </w:tcBorders>
            <w:hideMark/>
          </w:tcPr>
          <w:p w14:paraId="109F7788" w14:textId="16F596CB" w:rsidR="00A4507B" w:rsidRPr="00EB68E3" w:rsidRDefault="00A4507B" w:rsidP="00EE1766">
            <w:pPr>
              <w:autoSpaceDE w:val="0"/>
              <w:autoSpaceDN w:val="0"/>
              <w:adjustRightInd w:val="0"/>
              <w:ind w:left="568"/>
              <w:rPr>
                <w:b/>
              </w:rPr>
            </w:pPr>
            <w:r w:rsidRPr="00EB68E3">
              <w:rPr>
                <w:b/>
              </w:rPr>
              <w:t xml:space="preserve">100 % </w:t>
            </w:r>
          </w:p>
        </w:tc>
      </w:tr>
    </w:tbl>
    <w:p w14:paraId="73EEF818" w14:textId="70C9166B" w:rsidR="00521511" w:rsidRDefault="00521511" w:rsidP="00EE1766">
      <w:pPr>
        <w:rPr>
          <w:b/>
          <w:i/>
          <w:sz w:val="16"/>
          <w:szCs w:val="16"/>
        </w:rPr>
      </w:pPr>
    </w:p>
    <w:p w14:paraId="785505B6" w14:textId="77777777" w:rsidR="00A4507B" w:rsidRPr="00EB68E3" w:rsidRDefault="00521511" w:rsidP="00EE1766">
      <w:pPr>
        <w:rPr>
          <w:b/>
          <w:i/>
          <w:sz w:val="16"/>
          <w:szCs w:val="16"/>
        </w:rPr>
      </w:pPr>
      <w:r>
        <w:rPr>
          <w:b/>
          <w:i/>
          <w:sz w:val="16"/>
          <w:szCs w:val="16"/>
        </w:rPr>
        <w:br w:type="page"/>
      </w:r>
    </w:p>
    <w:tbl>
      <w:tblPr>
        <w:tblW w:w="0" w:type="dxa"/>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204"/>
        <w:gridCol w:w="1654"/>
        <w:gridCol w:w="1591"/>
        <w:gridCol w:w="1559"/>
        <w:gridCol w:w="1843"/>
      </w:tblGrid>
      <w:tr w:rsidR="00A4507B" w:rsidRPr="00EB68E3" w14:paraId="1F498A40" w14:textId="77777777" w:rsidTr="00A4507B">
        <w:trPr>
          <w:trHeight w:val="346"/>
        </w:trPr>
        <w:tc>
          <w:tcPr>
            <w:tcW w:w="3204" w:type="dxa"/>
            <w:vMerge w:val="restart"/>
            <w:tcBorders>
              <w:top w:val="single" w:sz="8" w:space="0" w:color="000000"/>
              <w:left w:val="single" w:sz="8" w:space="0" w:color="000000"/>
              <w:bottom w:val="single" w:sz="8" w:space="0" w:color="000000"/>
              <w:right w:val="single" w:sz="8" w:space="0" w:color="000000"/>
            </w:tcBorders>
            <w:vAlign w:val="center"/>
            <w:hideMark/>
          </w:tcPr>
          <w:p w14:paraId="31B09F3D" w14:textId="77777777" w:rsidR="00A4507B" w:rsidRPr="00EB68E3" w:rsidRDefault="00A4507B" w:rsidP="00EE1766">
            <w:pPr>
              <w:autoSpaceDE w:val="0"/>
              <w:autoSpaceDN w:val="0"/>
              <w:adjustRightInd w:val="0"/>
              <w:ind w:left="568"/>
            </w:pPr>
            <w:r w:rsidRPr="00EB68E3">
              <w:rPr>
                <w:b/>
                <w:bCs/>
              </w:rPr>
              <w:t>Menettelytyyppi</w:t>
            </w:r>
            <w:r w:rsidRPr="00EB68E3">
              <w:tab/>
            </w:r>
          </w:p>
        </w:tc>
        <w:tc>
          <w:tcPr>
            <w:tcW w:w="3245" w:type="dxa"/>
            <w:gridSpan w:val="2"/>
            <w:tcBorders>
              <w:top w:val="single" w:sz="8" w:space="0" w:color="000000"/>
              <w:left w:val="single" w:sz="8" w:space="0" w:color="000000"/>
              <w:bottom w:val="single" w:sz="8" w:space="0" w:color="000000"/>
              <w:right w:val="single" w:sz="8" w:space="0" w:color="000000"/>
            </w:tcBorders>
            <w:vAlign w:val="center"/>
            <w:hideMark/>
          </w:tcPr>
          <w:p w14:paraId="5FD9BE00" w14:textId="77777777" w:rsidR="00A4507B" w:rsidRPr="00EB68E3" w:rsidRDefault="00A4507B" w:rsidP="00EE1766">
            <w:pPr>
              <w:autoSpaceDE w:val="0"/>
              <w:autoSpaceDN w:val="0"/>
              <w:adjustRightInd w:val="0"/>
              <w:ind w:left="568"/>
              <w:jc w:val="center"/>
            </w:pPr>
            <w:r w:rsidRPr="00EB68E3">
              <w:rPr>
                <w:b/>
                <w:bCs/>
              </w:rPr>
              <w:t>2017</w:t>
            </w:r>
          </w:p>
        </w:tc>
        <w:tc>
          <w:tcPr>
            <w:tcW w:w="3402" w:type="dxa"/>
            <w:gridSpan w:val="2"/>
            <w:tcBorders>
              <w:top w:val="single" w:sz="8" w:space="0" w:color="000000"/>
              <w:left w:val="single" w:sz="8" w:space="0" w:color="000000"/>
              <w:bottom w:val="single" w:sz="8" w:space="0" w:color="000000"/>
              <w:right w:val="single" w:sz="8" w:space="0" w:color="000000"/>
            </w:tcBorders>
            <w:vAlign w:val="center"/>
            <w:hideMark/>
          </w:tcPr>
          <w:p w14:paraId="3F5AF3D8" w14:textId="77777777" w:rsidR="00A4507B" w:rsidRPr="00EB68E3" w:rsidRDefault="00A4507B" w:rsidP="00EE1766">
            <w:pPr>
              <w:autoSpaceDE w:val="0"/>
              <w:autoSpaceDN w:val="0"/>
              <w:adjustRightInd w:val="0"/>
              <w:ind w:left="34"/>
              <w:jc w:val="center"/>
            </w:pPr>
            <w:r w:rsidRPr="00EB68E3">
              <w:rPr>
                <w:b/>
                <w:bCs/>
              </w:rPr>
              <w:t>2016</w:t>
            </w:r>
          </w:p>
        </w:tc>
      </w:tr>
      <w:tr w:rsidR="00A4507B" w:rsidRPr="00EB68E3" w14:paraId="3B513D83" w14:textId="77777777" w:rsidTr="00A4507B">
        <w:trPr>
          <w:trHeight w:val="362"/>
        </w:trPr>
        <w:tc>
          <w:tcPr>
            <w:tcW w:w="9851" w:type="dxa"/>
            <w:vMerge/>
            <w:tcBorders>
              <w:top w:val="single" w:sz="8" w:space="0" w:color="000000"/>
              <w:left w:val="single" w:sz="8" w:space="0" w:color="000000"/>
              <w:bottom w:val="single" w:sz="8" w:space="0" w:color="000000"/>
              <w:right w:val="single" w:sz="8" w:space="0" w:color="000000"/>
            </w:tcBorders>
            <w:vAlign w:val="center"/>
            <w:hideMark/>
          </w:tcPr>
          <w:p w14:paraId="6349787D" w14:textId="77777777" w:rsidR="00A4507B" w:rsidRPr="00EB68E3" w:rsidRDefault="00A4507B" w:rsidP="00EE1766">
            <w:pPr>
              <w:widowControl/>
            </w:pPr>
          </w:p>
        </w:tc>
        <w:tc>
          <w:tcPr>
            <w:tcW w:w="1654" w:type="dxa"/>
            <w:tcBorders>
              <w:top w:val="single" w:sz="8" w:space="0" w:color="000000"/>
              <w:left w:val="single" w:sz="8" w:space="0" w:color="000000"/>
              <w:bottom w:val="single" w:sz="8" w:space="0" w:color="000000"/>
              <w:right w:val="single" w:sz="8" w:space="0" w:color="000000"/>
            </w:tcBorders>
            <w:vAlign w:val="center"/>
            <w:hideMark/>
          </w:tcPr>
          <w:p w14:paraId="14A038F1" w14:textId="77777777" w:rsidR="00A4507B" w:rsidRPr="00EB68E3" w:rsidRDefault="00A4507B" w:rsidP="00EE1766">
            <w:pPr>
              <w:autoSpaceDE w:val="0"/>
              <w:autoSpaceDN w:val="0"/>
              <w:adjustRightInd w:val="0"/>
              <w:jc w:val="center"/>
            </w:pPr>
            <w:r w:rsidRPr="00EB68E3">
              <w:rPr>
                <w:b/>
                <w:bCs/>
              </w:rPr>
              <w:t>Arvo (euroina)</w:t>
            </w:r>
          </w:p>
        </w:tc>
        <w:tc>
          <w:tcPr>
            <w:tcW w:w="1591" w:type="dxa"/>
            <w:tcBorders>
              <w:top w:val="single" w:sz="8" w:space="0" w:color="000000"/>
              <w:left w:val="single" w:sz="8" w:space="0" w:color="000000"/>
              <w:bottom w:val="single" w:sz="8" w:space="0" w:color="000000"/>
              <w:right w:val="single" w:sz="8" w:space="0" w:color="000000"/>
            </w:tcBorders>
            <w:vAlign w:val="center"/>
            <w:hideMark/>
          </w:tcPr>
          <w:p w14:paraId="61B52DBF" w14:textId="77777777" w:rsidR="00A4507B" w:rsidRPr="00EB68E3" w:rsidRDefault="00A4507B" w:rsidP="00EE1766">
            <w:pPr>
              <w:autoSpaceDE w:val="0"/>
              <w:autoSpaceDN w:val="0"/>
              <w:adjustRightInd w:val="0"/>
              <w:jc w:val="center"/>
            </w:pPr>
            <w:r w:rsidRPr="00EB68E3">
              <w:rPr>
                <w:b/>
                <w:bCs/>
              </w:rPr>
              <w:t>Osuus</w:t>
            </w:r>
          </w:p>
        </w:tc>
        <w:tc>
          <w:tcPr>
            <w:tcW w:w="1559" w:type="dxa"/>
            <w:tcBorders>
              <w:top w:val="single" w:sz="8" w:space="0" w:color="000000"/>
              <w:left w:val="single" w:sz="8" w:space="0" w:color="000000"/>
              <w:bottom w:val="single" w:sz="8" w:space="0" w:color="000000"/>
              <w:right w:val="single" w:sz="8" w:space="0" w:color="000000"/>
            </w:tcBorders>
            <w:vAlign w:val="center"/>
            <w:hideMark/>
          </w:tcPr>
          <w:p w14:paraId="7EA8DB10" w14:textId="77777777" w:rsidR="00A4507B" w:rsidRPr="00EB68E3" w:rsidRDefault="00A4507B" w:rsidP="00EE1766">
            <w:pPr>
              <w:autoSpaceDE w:val="0"/>
              <w:autoSpaceDN w:val="0"/>
              <w:adjustRightInd w:val="0"/>
              <w:jc w:val="center"/>
            </w:pPr>
            <w:r w:rsidRPr="00EB68E3">
              <w:rPr>
                <w:b/>
                <w:bCs/>
              </w:rPr>
              <w:t>Arvo (euroina)</w:t>
            </w:r>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2EE8FD7C" w14:textId="77777777" w:rsidR="00A4507B" w:rsidRPr="00EB68E3" w:rsidRDefault="00A4507B" w:rsidP="00EE1766">
            <w:pPr>
              <w:autoSpaceDE w:val="0"/>
              <w:autoSpaceDN w:val="0"/>
              <w:adjustRightInd w:val="0"/>
              <w:jc w:val="center"/>
            </w:pPr>
            <w:r w:rsidRPr="00EB68E3">
              <w:rPr>
                <w:b/>
                <w:bCs/>
              </w:rPr>
              <w:t>Osuus</w:t>
            </w:r>
          </w:p>
        </w:tc>
      </w:tr>
      <w:tr w:rsidR="00A4507B" w:rsidRPr="00EB68E3" w14:paraId="72B88989" w14:textId="77777777" w:rsidTr="00A4507B">
        <w:trPr>
          <w:trHeight w:val="362"/>
        </w:trPr>
        <w:tc>
          <w:tcPr>
            <w:tcW w:w="3204" w:type="dxa"/>
            <w:tcBorders>
              <w:top w:val="single" w:sz="8" w:space="0" w:color="000000"/>
              <w:left w:val="single" w:sz="8" w:space="0" w:color="000000"/>
              <w:bottom w:val="single" w:sz="8" w:space="0" w:color="000000"/>
              <w:right w:val="single" w:sz="8" w:space="0" w:color="000000"/>
            </w:tcBorders>
            <w:hideMark/>
          </w:tcPr>
          <w:p w14:paraId="36B19EA9" w14:textId="77777777" w:rsidR="00A4507B" w:rsidRPr="00EB68E3" w:rsidRDefault="00A4507B" w:rsidP="00EE1766">
            <w:pPr>
              <w:autoSpaceDE w:val="0"/>
              <w:autoSpaceDN w:val="0"/>
              <w:adjustRightInd w:val="0"/>
              <w:ind w:left="568"/>
            </w:pPr>
            <w:r w:rsidRPr="00EB68E3">
              <w:t xml:space="preserve">Avoin </w:t>
            </w:r>
          </w:p>
          <w:p w14:paraId="57208B97" w14:textId="77777777" w:rsidR="00A4507B" w:rsidRPr="00EB68E3" w:rsidRDefault="00A4507B" w:rsidP="00EE1766">
            <w:pPr>
              <w:autoSpaceDE w:val="0"/>
              <w:autoSpaceDN w:val="0"/>
              <w:adjustRightInd w:val="0"/>
              <w:ind w:left="568"/>
            </w:pPr>
            <w:r w:rsidRPr="00EB68E3">
              <w:t xml:space="preserve">Rajoitettu </w:t>
            </w:r>
          </w:p>
          <w:p w14:paraId="169803AA" w14:textId="77777777" w:rsidR="00A4507B" w:rsidRPr="00EB68E3" w:rsidRDefault="00A4507B" w:rsidP="00EE1766">
            <w:pPr>
              <w:autoSpaceDE w:val="0"/>
              <w:autoSpaceDN w:val="0"/>
              <w:adjustRightInd w:val="0"/>
              <w:ind w:left="568"/>
            </w:pPr>
            <w:r w:rsidRPr="00EB68E3">
              <w:t xml:space="preserve">Neuvottelu </w:t>
            </w:r>
          </w:p>
          <w:p w14:paraId="60D14222" w14:textId="77777777" w:rsidR="00A4507B" w:rsidRPr="00EB68E3" w:rsidRDefault="00A4507B" w:rsidP="00EE1766">
            <w:pPr>
              <w:autoSpaceDE w:val="0"/>
              <w:autoSpaceDN w:val="0"/>
              <w:adjustRightInd w:val="0"/>
              <w:ind w:left="568"/>
            </w:pPr>
            <w:r w:rsidRPr="00EB68E3">
              <w:t>Kilpailu</w:t>
            </w:r>
          </w:p>
          <w:p w14:paraId="56E30717" w14:textId="77777777" w:rsidR="00A4507B" w:rsidRPr="00EB68E3" w:rsidRDefault="00A4507B" w:rsidP="00EE1766">
            <w:pPr>
              <w:autoSpaceDE w:val="0"/>
              <w:autoSpaceDN w:val="0"/>
              <w:adjustRightInd w:val="0"/>
              <w:ind w:left="568"/>
            </w:pPr>
            <w:r w:rsidRPr="00EB68E3">
              <w:t>Poikkeus</w:t>
            </w:r>
          </w:p>
        </w:tc>
        <w:tc>
          <w:tcPr>
            <w:tcW w:w="1654" w:type="dxa"/>
            <w:tcBorders>
              <w:top w:val="single" w:sz="8" w:space="0" w:color="000000"/>
              <w:left w:val="single" w:sz="8" w:space="0" w:color="000000"/>
              <w:bottom w:val="single" w:sz="8" w:space="0" w:color="000000"/>
              <w:right w:val="single" w:sz="8" w:space="0" w:color="000000"/>
            </w:tcBorders>
            <w:hideMark/>
          </w:tcPr>
          <w:p w14:paraId="5E93D70B" w14:textId="2A864D33" w:rsidR="00A4507B" w:rsidRPr="00EB68E3" w:rsidRDefault="00A4507B" w:rsidP="00EE1766">
            <w:pPr>
              <w:autoSpaceDE w:val="0"/>
              <w:autoSpaceDN w:val="0"/>
              <w:adjustRightInd w:val="0"/>
              <w:spacing w:before="60"/>
              <w:ind w:right="139"/>
              <w:jc w:val="right"/>
            </w:pPr>
            <w:r w:rsidRPr="00EB68E3">
              <w:t>488 368 460</w:t>
            </w:r>
          </w:p>
          <w:p w14:paraId="68ADAB18" w14:textId="44EBB00B" w:rsidR="00A4507B" w:rsidRPr="00EB68E3" w:rsidRDefault="00A4507B" w:rsidP="00EE1766">
            <w:pPr>
              <w:autoSpaceDE w:val="0"/>
              <w:autoSpaceDN w:val="0"/>
              <w:adjustRightInd w:val="0"/>
              <w:spacing w:before="60"/>
              <w:ind w:right="139"/>
              <w:jc w:val="right"/>
            </w:pPr>
            <w:r w:rsidRPr="00EB68E3">
              <w:t>2820000 070 501 724</w:t>
            </w:r>
          </w:p>
          <w:p w14:paraId="69899959" w14:textId="77777777" w:rsidR="00A4507B" w:rsidRPr="00EB68E3" w:rsidRDefault="00A4507B" w:rsidP="00EE1766">
            <w:pPr>
              <w:autoSpaceDE w:val="0"/>
              <w:autoSpaceDN w:val="0"/>
              <w:adjustRightInd w:val="0"/>
              <w:spacing w:before="60"/>
              <w:ind w:right="139"/>
              <w:jc w:val="right"/>
            </w:pPr>
            <w:r w:rsidRPr="00EB68E3">
              <w:t>–</w:t>
            </w:r>
          </w:p>
          <w:p w14:paraId="5ECCDF2B" w14:textId="77777777" w:rsidR="00A4507B" w:rsidRPr="00EB68E3" w:rsidRDefault="00A4507B" w:rsidP="00EE1766">
            <w:pPr>
              <w:autoSpaceDE w:val="0"/>
              <w:autoSpaceDN w:val="0"/>
              <w:adjustRightInd w:val="0"/>
              <w:spacing w:before="60"/>
              <w:ind w:right="139"/>
              <w:jc w:val="right"/>
            </w:pPr>
            <w:r w:rsidRPr="00EB68E3">
              <w:t>–</w:t>
            </w:r>
          </w:p>
        </w:tc>
        <w:tc>
          <w:tcPr>
            <w:tcW w:w="1591" w:type="dxa"/>
            <w:tcBorders>
              <w:top w:val="single" w:sz="8" w:space="0" w:color="000000"/>
              <w:left w:val="single" w:sz="8" w:space="0" w:color="000000"/>
              <w:bottom w:val="single" w:sz="8" w:space="0" w:color="000000"/>
              <w:right w:val="single" w:sz="8" w:space="0" w:color="000000"/>
            </w:tcBorders>
            <w:hideMark/>
          </w:tcPr>
          <w:p w14:paraId="749A6DC7" w14:textId="66A6A610" w:rsidR="00A4507B" w:rsidRPr="00EB68E3" w:rsidRDefault="00A4507B" w:rsidP="00EE1766">
            <w:pPr>
              <w:autoSpaceDE w:val="0"/>
              <w:autoSpaceDN w:val="0"/>
              <w:adjustRightInd w:val="0"/>
              <w:ind w:right="575"/>
              <w:jc w:val="right"/>
            </w:pPr>
            <w:r w:rsidRPr="00EB68E3">
              <w:t>83 %</w:t>
            </w:r>
          </w:p>
          <w:p w14:paraId="6372607B" w14:textId="223D961F" w:rsidR="00A4507B" w:rsidRPr="00EB68E3" w:rsidRDefault="00A4507B" w:rsidP="00EE1766">
            <w:pPr>
              <w:autoSpaceDE w:val="0"/>
              <w:autoSpaceDN w:val="0"/>
              <w:adjustRightInd w:val="0"/>
              <w:spacing w:before="60"/>
              <w:ind w:right="575"/>
              <w:jc w:val="right"/>
            </w:pPr>
            <w:r w:rsidRPr="00EB68E3">
              <w:t>5 %</w:t>
            </w:r>
          </w:p>
          <w:p w14:paraId="35EC2BD2" w14:textId="2FB4E2BA" w:rsidR="00A4507B" w:rsidRPr="00EB68E3" w:rsidRDefault="00A4507B" w:rsidP="00EE1766">
            <w:pPr>
              <w:autoSpaceDE w:val="0"/>
              <w:autoSpaceDN w:val="0"/>
              <w:adjustRightInd w:val="0"/>
              <w:spacing w:before="60"/>
              <w:ind w:right="575"/>
              <w:jc w:val="right"/>
            </w:pPr>
            <w:r w:rsidRPr="00EB68E3">
              <w:t>12 %</w:t>
            </w:r>
          </w:p>
          <w:p w14:paraId="4059E8A9" w14:textId="77777777" w:rsidR="00A4507B" w:rsidRPr="00EB68E3" w:rsidRDefault="00A4507B" w:rsidP="00EE1766">
            <w:pPr>
              <w:autoSpaceDE w:val="0"/>
              <w:autoSpaceDN w:val="0"/>
              <w:adjustRightInd w:val="0"/>
              <w:spacing w:before="60"/>
              <w:ind w:right="575"/>
              <w:jc w:val="right"/>
            </w:pPr>
            <w:r w:rsidRPr="00EB68E3">
              <w:t>–</w:t>
            </w:r>
          </w:p>
          <w:p w14:paraId="543F7F46" w14:textId="77777777" w:rsidR="00A4507B" w:rsidRPr="00EB68E3" w:rsidRDefault="00A4507B" w:rsidP="00EE1766">
            <w:pPr>
              <w:autoSpaceDE w:val="0"/>
              <w:autoSpaceDN w:val="0"/>
              <w:adjustRightInd w:val="0"/>
              <w:spacing w:before="60"/>
              <w:ind w:right="575"/>
              <w:jc w:val="right"/>
            </w:pPr>
            <w:r w:rsidRPr="00EB68E3">
              <w:t>- %</w:t>
            </w:r>
          </w:p>
        </w:tc>
        <w:tc>
          <w:tcPr>
            <w:tcW w:w="1559" w:type="dxa"/>
            <w:tcBorders>
              <w:top w:val="single" w:sz="8" w:space="0" w:color="000000"/>
              <w:left w:val="single" w:sz="8" w:space="0" w:color="000000"/>
              <w:bottom w:val="single" w:sz="8" w:space="0" w:color="000000"/>
              <w:right w:val="single" w:sz="8" w:space="0" w:color="000000"/>
            </w:tcBorders>
            <w:hideMark/>
          </w:tcPr>
          <w:p w14:paraId="23027F24" w14:textId="18F531DD" w:rsidR="00A4507B" w:rsidRPr="00EB68E3" w:rsidRDefault="00A4507B" w:rsidP="00EE1766">
            <w:pPr>
              <w:autoSpaceDE w:val="0"/>
              <w:autoSpaceDN w:val="0"/>
              <w:adjustRightInd w:val="0"/>
              <w:ind w:right="123"/>
              <w:jc w:val="right"/>
            </w:pPr>
            <w:r w:rsidRPr="00EB68E3">
              <w:t>408 040 332</w:t>
            </w:r>
          </w:p>
          <w:p w14:paraId="31D45255" w14:textId="561B44B2" w:rsidR="00A4507B" w:rsidRPr="00EB68E3" w:rsidRDefault="00A4507B" w:rsidP="00EE1766">
            <w:pPr>
              <w:autoSpaceDE w:val="0"/>
              <w:autoSpaceDN w:val="0"/>
              <w:adjustRightInd w:val="0"/>
              <w:ind w:right="123"/>
              <w:jc w:val="right"/>
            </w:pPr>
            <w:r w:rsidRPr="00EB68E3">
              <w:t>29 190 756</w:t>
            </w:r>
          </w:p>
          <w:p w14:paraId="396760F2" w14:textId="5E68C1F8" w:rsidR="00A4507B" w:rsidRPr="00EB68E3" w:rsidRDefault="00A4507B" w:rsidP="00EE1766">
            <w:pPr>
              <w:autoSpaceDE w:val="0"/>
              <w:autoSpaceDN w:val="0"/>
              <w:adjustRightInd w:val="0"/>
              <w:spacing w:before="60"/>
              <w:ind w:right="147"/>
              <w:jc w:val="right"/>
            </w:pPr>
            <w:r w:rsidRPr="00EB68E3">
              <w:t>64 284 705</w:t>
            </w:r>
            <w:r w:rsidRPr="00EB68E3">
              <w:rPr>
                <w:rStyle w:val="FootnoteReference"/>
              </w:rPr>
              <w:footnoteReference w:id="15"/>
            </w:r>
          </w:p>
          <w:p w14:paraId="4DFEE421" w14:textId="77777777" w:rsidR="00A4507B" w:rsidRPr="00EB68E3" w:rsidRDefault="00A4507B" w:rsidP="00EE1766">
            <w:pPr>
              <w:autoSpaceDE w:val="0"/>
              <w:autoSpaceDN w:val="0"/>
              <w:adjustRightInd w:val="0"/>
              <w:spacing w:before="60"/>
              <w:ind w:right="147"/>
              <w:jc w:val="right"/>
            </w:pPr>
            <w:r w:rsidRPr="00EB68E3">
              <w:t>–</w:t>
            </w:r>
          </w:p>
          <w:p w14:paraId="46829304" w14:textId="62ACFD6B" w:rsidR="00A4507B" w:rsidRPr="00EB68E3" w:rsidRDefault="00A4507B" w:rsidP="00EE1766">
            <w:pPr>
              <w:autoSpaceDE w:val="0"/>
              <w:autoSpaceDN w:val="0"/>
              <w:adjustRightInd w:val="0"/>
              <w:spacing w:before="60"/>
              <w:ind w:right="147"/>
              <w:jc w:val="right"/>
            </w:pPr>
            <w:r w:rsidRPr="00EB68E3">
              <w:t>27 000</w:t>
            </w:r>
          </w:p>
        </w:tc>
        <w:tc>
          <w:tcPr>
            <w:tcW w:w="1843" w:type="dxa"/>
            <w:tcBorders>
              <w:top w:val="single" w:sz="8" w:space="0" w:color="000000"/>
              <w:left w:val="single" w:sz="8" w:space="0" w:color="000000"/>
              <w:bottom w:val="single" w:sz="8" w:space="0" w:color="000000"/>
              <w:right w:val="single" w:sz="8" w:space="0" w:color="000000"/>
            </w:tcBorders>
            <w:hideMark/>
          </w:tcPr>
          <w:p w14:paraId="1A4ECFCE" w14:textId="496ACDA4" w:rsidR="00A4507B" w:rsidRPr="00EB68E3" w:rsidRDefault="00A4507B" w:rsidP="00EE1766">
            <w:pPr>
              <w:autoSpaceDE w:val="0"/>
              <w:autoSpaceDN w:val="0"/>
              <w:adjustRightInd w:val="0"/>
              <w:ind w:left="175" w:right="462"/>
              <w:jc w:val="right"/>
            </w:pPr>
            <w:r w:rsidRPr="00EB68E3">
              <w:t>81,6 %</w:t>
            </w:r>
          </w:p>
          <w:p w14:paraId="5C86D306" w14:textId="215FDEC7" w:rsidR="00A4507B" w:rsidRPr="00EB68E3" w:rsidRDefault="00A4507B" w:rsidP="00EE1766">
            <w:pPr>
              <w:autoSpaceDE w:val="0"/>
              <w:autoSpaceDN w:val="0"/>
              <w:adjustRightInd w:val="0"/>
              <w:spacing w:before="60"/>
              <w:ind w:left="508" w:right="462"/>
              <w:jc w:val="right"/>
            </w:pPr>
            <w:r w:rsidRPr="00EB68E3">
              <w:t>13 %</w:t>
            </w:r>
          </w:p>
          <w:p w14:paraId="3B5A6811" w14:textId="77777777" w:rsidR="00A4507B" w:rsidRPr="00EB68E3" w:rsidRDefault="00A4507B" w:rsidP="00EE1766">
            <w:pPr>
              <w:autoSpaceDE w:val="0"/>
              <w:autoSpaceDN w:val="0"/>
              <w:adjustRightInd w:val="0"/>
              <w:spacing w:before="60"/>
              <w:ind w:left="508" w:right="462"/>
              <w:jc w:val="right"/>
            </w:pPr>
            <w:r w:rsidRPr="00EB68E3">
              <w:t>- %</w:t>
            </w:r>
          </w:p>
          <w:p w14:paraId="16573AAE" w14:textId="77777777" w:rsidR="00A4507B" w:rsidRPr="00EB68E3" w:rsidRDefault="00A4507B" w:rsidP="00EE1766">
            <w:pPr>
              <w:autoSpaceDE w:val="0"/>
              <w:autoSpaceDN w:val="0"/>
              <w:adjustRightInd w:val="0"/>
              <w:spacing w:before="60"/>
              <w:ind w:left="628" w:right="461"/>
              <w:jc w:val="right"/>
            </w:pPr>
            <w:r w:rsidRPr="00EB68E3">
              <w:t>–</w:t>
            </w:r>
          </w:p>
          <w:p w14:paraId="2B72EB45" w14:textId="77777777" w:rsidR="00A4507B" w:rsidRPr="00EB68E3" w:rsidRDefault="00A4507B" w:rsidP="00EE1766">
            <w:pPr>
              <w:autoSpaceDE w:val="0"/>
              <w:autoSpaceDN w:val="0"/>
              <w:adjustRightInd w:val="0"/>
              <w:spacing w:before="60"/>
              <w:ind w:left="628" w:right="461"/>
              <w:jc w:val="right"/>
            </w:pPr>
            <w:r w:rsidRPr="00EB68E3">
              <w:t>–</w:t>
            </w:r>
          </w:p>
        </w:tc>
      </w:tr>
      <w:tr w:rsidR="00A4507B" w:rsidRPr="00EB68E3" w14:paraId="210AA04B" w14:textId="77777777" w:rsidTr="00A4507B">
        <w:trPr>
          <w:trHeight w:val="131"/>
        </w:trPr>
        <w:tc>
          <w:tcPr>
            <w:tcW w:w="3204" w:type="dxa"/>
            <w:tcBorders>
              <w:top w:val="single" w:sz="8" w:space="0" w:color="000000"/>
              <w:left w:val="single" w:sz="8" w:space="0" w:color="000000"/>
              <w:bottom w:val="single" w:sz="8" w:space="0" w:color="000000"/>
              <w:right w:val="single" w:sz="8" w:space="0" w:color="000000"/>
            </w:tcBorders>
            <w:hideMark/>
          </w:tcPr>
          <w:p w14:paraId="2C8133F3" w14:textId="77777777" w:rsidR="00A4507B" w:rsidRPr="00EB68E3" w:rsidRDefault="00A4507B" w:rsidP="00EE1766">
            <w:pPr>
              <w:autoSpaceDE w:val="0"/>
              <w:autoSpaceDN w:val="0"/>
              <w:adjustRightInd w:val="0"/>
              <w:ind w:left="568"/>
              <w:rPr>
                <w:b/>
              </w:rPr>
            </w:pPr>
            <w:r w:rsidRPr="00EB68E3">
              <w:rPr>
                <w:b/>
              </w:rPr>
              <w:t xml:space="preserve">Yhteensä </w:t>
            </w:r>
          </w:p>
        </w:tc>
        <w:tc>
          <w:tcPr>
            <w:tcW w:w="1654" w:type="dxa"/>
            <w:tcBorders>
              <w:top w:val="single" w:sz="8" w:space="0" w:color="000000"/>
              <w:left w:val="single" w:sz="8" w:space="0" w:color="000000"/>
              <w:bottom w:val="single" w:sz="8" w:space="0" w:color="000000"/>
              <w:right w:val="single" w:sz="8" w:space="0" w:color="000000"/>
            </w:tcBorders>
            <w:hideMark/>
          </w:tcPr>
          <w:p w14:paraId="73B2A965" w14:textId="1D037AB4" w:rsidR="00A4507B" w:rsidRPr="00EB68E3" w:rsidRDefault="00A4507B" w:rsidP="00EE1766">
            <w:pPr>
              <w:autoSpaceDE w:val="0"/>
              <w:autoSpaceDN w:val="0"/>
              <w:adjustRightInd w:val="0"/>
              <w:rPr>
                <w:b/>
              </w:rPr>
            </w:pPr>
            <w:r w:rsidRPr="00EB68E3">
              <w:rPr>
                <w:b/>
              </w:rPr>
              <w:t>587 070 184</w:t>
            </w:r>
          </w:p>
        </w:tc>
        <w:tc>
          <w:tcPr>
            <w:tcW w:w="1591" w:type="dxa"/>
            <w:tcBorders>
              <w:top w:val="single" w:sz="8" w:space="0" w:color="000000"/>
              <w:left w:val="single" w:sz="8" w:space="0" w:color="000000"/>
              <w:bottom w:val="single" w:sz="8" w:space="0" w:color="000000"/>
              <w:right w:val="single" w:sz="8" w:space="0" w:color="000000"/>
            </w:tcBorders>
            <w:hideMark/>
          </w:tcPr>
          <w:p w14:paraId="281989C5" w14:textId="2E2193B6" w:rsidR="00A4507B" w:rsidRPr="00EB68E3" w:rsidRDefault="00A4507B" w:rsidP="00EE1766">
            <w:pPr>
              <w:autoSpaceDE w:val="0"/>
              <w:autoSpaceDN w:val="0"/>
              <w:adjustRightInd w:val="0"/>
              <w:ind w:left="568"/>
              <w:rPr>
                <w:b/>
              </w:rPr>
            </w:pPr>
            <w:r w:rsidRPr="00EB68E3">
              <w:rPr>
                <w:b/>
              </w:rPr>
              <w:t xml:space="preserve">100 % </w:t>
            </w:r>
          </w:p>
        </w:tc>
        <w:tc>
          <w:tcPr>
            <w:tcW w:w="1559" w:type="dxa"/>
            <w:tcBorders>
              <w:top w:val="single" w:sz="8" w:space="0" w:color="000000"/>
              <w:left w:val="single" w:sz="8" w:space="0" w:color="000000"/>
              <w:bottom w:val="single" w:sz="8" w:space="0" w:color="000000"/>
              <w:right w:val="single" w:sz="8" w:space="0" w:color="000000"/>
            </w:tcBorders>
            <w:hideMark/>
          </w:tcPr>
          <w:p w14:paraId="76C70AA1" w14:textId="65DD13A2" w:rsidR="00A4507B" w:rsidRPr="00EB68E3" w:rsidRDefault="00A4507B" w:rsidP="00EE1766">
            <w:pPr>
              <w:autoSpaceDE w:val="0"/>
              <w:autoSpaceDN w:val="0"/>
              <w:adjustRightInd w:val="0"/>
              <w:rPr>
                <w:b/>
              </w:rPr>
            </w:pPr>
            <w:r w:rsidRPr="00EB68E3">
              <w:rPr>
                <w:b/>
              </w:rPr>
              <w:t>501 542 793</w:t>
            </w:r>
          </w:p>
        </w:tc>
        <w:tc>
          <w:tcPr>
            <w:tcW w:w="1843" w:type="dxa"/>
            <w:tcBorders>
              <w:top w:val="single" w:sz="8" w:space="0" w:color="000000"/>
              <w:left w:val="single" w:sz="8" w:space="0" w:color="000000"/>
              <w:bottom w:val="single" w:sz="8" w:space="0" w:color="000000"/>
              <w:right w:val="single" w:sz="8" w:space="0" w:color="000000"/>
            </w:tcBorders>
            <w:hideMark/>
          </w:tcPr>
          <w:p w14:paraId="4CEFA7F1" w14:textId="592C6B75" w:rsidR="00A4507B" w:rsidRPr="00EB68E3" w:rsidRDefault="00A4507B" w:rsidP="00EE1766">
            <w:pPr>
              <w:autoSpaceDE w:val="0"/>
              <w:autoSpaceDN w:val="0"/>
              <w:adjustRightInd w:val="0"/>
              <w:ind w:left="568"/>
              <w:rPr>
                <w:b/>
              </w:rPr>
            </w:pPr>
            <w:r w:rsidRPr="00EB68E3">
              <w:rPr>
                <w:b/>
              </w:rPr>
              <w:t xml:space="preserve">100 % </w:t>
            </w:r>
          </w:p>
        </w:tc>
      </w:tr>
      <w:tr w:rsidR="00A4507B" w:rsidRPr="00EB68E3" w14:paraId="2DFA4C74" w14:textId="77777777" w:rsidTr="00A4507B">
        <w:trPr>
          <w:trHeight w:val="131"/>
        </w:trPr>
        <w:tc>
          <w:tcPr>
            <w:tcW w:w="9851" w:type="dxa"/>
            <w:gridSpan w:val="5"/>
            <w:tcBorders>
              <w:top w:val="single" w:sz="8" w:space="0" w:color="000000"/>
              <w:left w:val="single" w:sz="8" w:space="0" w:color="000000"/>
              <w:bottom w:val="single" w:sz="8" w:space="0" w:color="000000"/>
              <w:right w:val="single" w:sz="8" w:space="0" w:color="000000"/>
            </w:tcBorders>
            <w:hideMark/>
          </w:tcPr>
          <w:p w14:paraId="2FB42B9F" w14:textId="77777777" w:rsidR="00A4507B" w:rsidRPr="00EB68E3" w:rsidRDefault="00A4507B" w:rsidP="00EE1766">
            <w:pPr>
              <w:autoSpaceDE w:val="0"/>
              <w:autoSpaceDN w:val="0"/>
              <w:adjustRightInd w:val="0"/>
              <w:ind w:left="-60"/>
            </w:pPr>
            <w:r w:rsidRPr="00EB68E3">
              <w:t>(Vuosikertomus Euroopan parlamentin tekemistä hankintasopimuksista, 2017, s. 8)</w:t>
            </w:r>
          </w:p>
        </w:tc>
      </w:tr>
    </w:tbl>
    <w:p w14:paraId="5D498CD4" w14:textId="77777777" w:rsidR="001B4394" w:rsidRPr="00EB68E3" w:rsidRDefault="001B4394" w:rsidP="00EE1766">
      <w:pPr>
        <w:pStyle w:val="Normal12Hanging"/>
        <w:ind w:left="0" w:firstLine="0"/>
        <w:rPr>
          <w:b/>
          <w:i/>
        </w:rPr>
      </w:pPr>
    </w:p>
    <w:p w14:paraId="7653C1DF" w14:textId="7A77B437" w:rsidR="00A4507B" w:rsidRPr="00EB68E3" w:rsidRDefault="00A4507B" w:rsidP="00EE1766">
      <w:pPr>
        <w:pStyle w:val="Normal12Hanging"/>
        <w:ind w:left="0" w:firstLine="0"/>
        <w:rPr>
          <w:b/>
          <w:i/>
        </w:rPr>
      </w:pPr>
      <w:r w:rsidRPr="00EB68E3">
        <w:rPr>
          <w:b/>
          <w:i/>
        </w:rPr>
        <w:t>Poliittiset ryhmät (momentti 4 0 0)</w:t>
      </w:r>
    </w:p>
    <w:p w14:paraId="06419003" w14:textId="1C46965E" w:rsidR="00A4507B" w:rsidRPr="00EB68E3" w:rsidRDefault="001A3EF0" w:rsidP="00EE1766">
      <w:pPr>
        <w:pStyle w:val="Normal12Hanging"/>
      </w:pPr>
      <w:r w:rsidRPr="00EB68E3">
        <w:t>143.</w:t>
      </w:r>
      <w:r w:rsidRPr="00EB68E3">
        <w:tab/>
        <w:t>toteaa, että vuonna 2017 momentin 4 0 0 määrärahat poliittisille ryhmille ja sitoutumattomille jäsenille käytettiin seuraavasti:</w:t>
      </w:r>
    </w:p>
    <w:p w14:paraId="0F728FCC" w14:textId="77777777" w:rsidR="000D3095" w:rsidRDefault="000D3095" w:rsidP="00EE1766">
      <w:pPr>
        <w:widowControl/>
        <w:sectPr w:rsidR="000D3095" w:rsidSect="00EB68E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titlePg/>
        </w:sectPr>
      </w:pPr>
    </w:p>
    <w:p w14:paraId="1C3E6A48" w14:textId="14A16A2A" w:rsidR="00A4507B" w:rsidRPr="00EB68E3" w:rsidRDefault="00A4507B" w:rsidP="00EE1766">
      <w:pPr>
        <w:widowControl/>
        <w:sectPr w:rsidR="00A4507B" w:rsidRPr="00EB68E3" w:rsidSect="000D3095">
          <w:footnotePr>
            <w:numRestart w:val="eachPage"/>
          </w:footnotePr>
          <w:endnotePr>
            <w:numFmt w:val="decimal"/>
          </w:endnotePr>
          <w:type w:val="continuous"/>
          <w:pgSz w:w="11906" w:h="16838"/>
          <w:pgMar w:top="1134" w:right="1418" w:bottom="1418" w:left="1418" w:header="567" w:footer="567" w:gutter="0"/>
          <w:cols w:space="720"/>
          <w:titlePg/>
        </w:sectPr>
      </w:pPr>
    </w:p>
    <w:tbl>
      <w:tblPr>
        <w:tblW w:w="5000" w:type="pct"/>
        <w:tblInd w:w="108" w:type="dxa"/>
        <w:tblLook w:val="04A0" w:firstRow="1" w:lastRow="0" w:firstColumn="1" w:lastColumn="0" w:noHBand="0" w:noVBand="1"/>
      </w:tblPr>
      <w:tblGrid>
        <w:gridCol w:w="2196"/>
        <w:gridCol w:w="1357"/>
        <w:gridCol w:w="1357"/>
        <w:gridCol w:w="1159"/>
        <w:gridCol w:w="1414"/>
        <w:gridCol w:w="1243"/>
        <w:gridCol w:w="1310"/>
        <w:gridCol w:w="1358"/>
        <w:gridCol w:w="1160"/>
        <w:gridCol w:w="1414"/>
        <w:gridCol w:w="1243"/>
      </w:tblGrid>
      <w:tr w:rsidR="00B9624E" w:rsidRPr="00EB68E3" w14:paraId="449D7990" w14:textId="77777777" w:rsidTr="00A4507B">
        <w:trPr>
          <w:trHeight w:val="319"/>
        </w:trPr>
        <w:tc>
          <w:tcPr>
            <w:tcW w:w="439" w:type="pct"/>
            <w:vMerge w:val="restart"/>
            <w:tcBorders>
              <w:top w:val="single" w:sz="8" w:space="0" w:color="auto"/>
              <w:left w:val="single" w:sz="8" w:space="0" w:color="auto"/>
              <w:bottom w:val="single" w:sz="8" w:space="0" w:color="000000"/>
              <w:right w:val="single" w:sz="8" w:space="0" w:color="auto"/>
            </w:tcBorders>
            <w:vAlign w:val="center"/>
            <w:hideMark/>
          </w:tcPr>
          <w:p w14:paraId="217FFF8F" w14:textId="77777777" w:rsidR="00A4507B" w:rsidRPr="00EB68E3" w:rsidRDefault="00A4507B" w:rsidP="00EE1766">
            <w:pPr>
              <w:jc w:val="both"/>
              <w:rPr>
                <w:rFonts w:eastAsia="MS Mincho"/>
                <w:sz w:val="22"/>
                <w:szCs w:val="22"/>
              </w:rPr>
            </w:pPr>
            <w:r w:rsidRPr="00EB68E3">
              <w:rPr>
                <w:sz w:val="22"/>
                <w:szCs w:val="22"/>
              </w:rPr>
              <w:t>Ryhmä</w:t>
            </w:r>
          </w:p>
        </w:tc>
        <w:tc>
          <w:tcPr>
            <w:tcW w:w="2268" w:type="pct"/>
            <w:gridSpan w:val="5"/>
            <w:tcBorders>
              <w:top w:val="single" w:sz="8" w:space="0" w:color="auto"/>
              <w:left w:val="nil"/>
              <w:bottom w:val="single" w:sz="8" w:space="0" w:color="auto"/>
              <w:right w:val="single" w:sz="8" w:space="0" w:color="000000"/>
            </w:tcBorders>
            <w:noWrap/>
            <w:vAlign w:val="center"/>
            <w:hideMark/>
          </w:tcPr>
          <w:p w14:paraId="467BDBA7" w14:textId="77777777" w:rsidR="00A4507B" w:rsidRPr="00EB68E3" w:rsidRDefault="00A4507B" w:rsidP="00EE1766">
            <w:pPr>
              <w:jc w:val="both"/>
              <w:rPr>
                <w:rFonts w:eastAsia="MS Mincho"/>
                <w:sz w:val="22"/>
                <w:szCs w:val="22"/>
              </w:rPr>
            </w:pPr>
            <w:r w:rsidRPr="00EB68E3">
              <w:rPr>
                <w:sz w:val="22"/>
                <w:szCs w:val="22"/>
              </w:rPr>
              <w:t>2017</w:t>
            </w:r>
          </w:p>
        </w:tc>
        <w:tc>
          <w:tcPr>
            <w:tcW w:w="2292" w:type="pct"/>
            <w:gridSpan w:val="5"/>
            <w:tcBorders>
              <w:top w:val="single" w:sz="8" w:space="0" w:color="auto"/>
              <w:left w:val="nil"/>
              <w:bottom w:val="single" w:sz="8" w:space="0" w:color="auto"/>
              <w:right w:val="single" w:sz="8" w:space="0" w:color="000000"/>
            </w:tcBorders>
            <w:noWrap/>
            <w:vAlign w:val="center"/>
            <w:hideMark/>
          </w:tcPr>
          <w:p w14:paraId="18A6732E" w14:textId="77777777" w:rsidR="00A4507B" w:rsidRPr="00EB68E3" w:rsidRDefault="00A4507B" w:rsidP="00EE1766">
            <w:pPr>
              <w:jc w:val="both"/>
              <w:rPr>
                <w:rFonts w:eastAsia="MS Mincho"/>
                <w:sz w:val="22"/>
                <w:szCs w:val="22"/>
              </w:rPr>
            </w:pPr>
            <w:r w:rsidRPr="00EB68E3">
              <w:rPr>
                <w:sz w:val="22"/>
                <w:szCs w:val="22"/>
              </w:rPr>
              <w:t>2016</w:t>
            </w:r>
          </w:p>
        </w:tc>
      </w:tr>
      <w:tr w:rsidR="00B9624E" w:rsidRPr="00EB68E3" w14:paraId="4FE89340" w14:textId="77777777" w:rsidTr="00A4507B">
        <w:trPr>
          <w:trHeight w:val="12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4D5896" w14:textId="77777777" w:rsidR="00A4507B" w:rsidRPr="00EB68E3" w:rsidRDefault="00A4507B" w:rsidP="00EE1766">
            <w:pPr>
              <w:widowControl/>
              <w:rPr>
                <w:rFonts w:eastAsia="MS Mincho"/>
                <w:sz w:val="22"/>
                <w:szCs w:val="22"/>
                <w:lang w:eastAsia="ja-JP"/>
              </w:rPr>
            </w:pPr>
          </w:p>
        </w:tc>
        <w:tc>
          <w:tcPr>
            <w:tcW w:w="496" w:type="pct"/>
            <w:tcBorders>
              <w:top w:val="nil"/>
              <w:left w:val="nil"/>
              <w:bottom w:val="single" w:sz="8" w:space="0" w:color="auto"/>
              <w:right w:val="single" w:sz="8" w:space="0" w:color="auto"/>
            </w:tcBorders>
            <w:vAlign w:val="center"/>
            <w:hideMark/>
          </w:tcPr>
          <w:p w14:paraId="7A4C5312" w14:textId="77777777" w:rsidR="00A4507B" w:rsidRPr="00EB68E3" w:rsidRDefault="00A4507B" w:rsidP="00EE1766">
            <w:pPr>
              <w:jc w:val="both"/>
              <w:rPr>
                <w:rFonts w:eastAsia="MS Mincho"/>
                <w:sz w:val="22"/>
                <w:szCs w:val="22"/>
              </w:rPr>
            </w:pPr>
            <w:r w:rsidRPr="00EB68E3">
              <w:rPr>
                <w:sz w:val="22"/>
                <w:szCs w:val="22"/>
              </w:rPr>
              <w:t>Määrärahat vuodessa</w:t>
            </w:r>
          </w:p>
        </w:tc>
        <w:tc>
          <w:tcPr>
            <w:tcW w:w="496" w:type="pct"/>
            <w:tcBorders>
              <w:top w:val="nil"/>
              <w:left w:val="nil"/>
              <w:bottom w:val="single" w:sz="8" w:space="0" w:color="auto"/>
              <w:right w:val="single" w:sz="8" w:space="0" w:color="auto"/>
            </w:tcBorders>
            <w:vAlign w:val="center"/>
            <w:hideMark/>
          </w:tcPr>
          <w:p w14:paraId="5D1BDEE9" w14:textId="77777777" w:rsidR="00A4507B" w:rsidRPr="00EB68E3" w:rsidRDefault="00A4507B" w:rsidP="00EE1766">
            <w:pPr>
              <w:jc w:val="both"/>
              <w:rPr>
                <w:rFonts w:eastAsia="MS Mincho"/>
                <w:sz w:val="22"/>
                <w:szCs w:val="22"/>
              </w:rPr>
            </w:pPr>
            <w:r w:rsidRPr="00EB68E3">
              <w:rPr>
                <w:sz w:val="22"/>
                <w:szCs w:val="22"/>
              </w:rPr>
              <w:t>Omat varat ja siirretyt määrärahat</w:t>
            </w:r>
          </w:p>
        </w:tc>
        <w:tc>
          <w:tcPr>
            <w:tcW w:w="431" w:type="pct"/>
            <w:tcBorders>
              <w:top w:val="nil"/>
              <w:left w:val="nil"/>
              <w:bottom w:val="single" w:sz="8" w:space="0" w:color="auto"/>
              <w:right w:val="single" w:sz="8" w:space="0" w:color="auto"/>
            </w:tcBorders>
            <w:vAlign w:val="center"/>
            <w:hideMark/>
          </w:tcPr>
          <w:p w14:paraId="114376C6" w14:textId="77777777" w:rsidR="00A4507B" w:rsidRPr="00EB68E3" w:rsidRDefault="00A4507B" w:rsidP="00EE1766">
            <w:pPr>
              <w:jc w:val="both"/>
              <w:rPr>
                <w:rFonts w:eastAsia="MS Mincho"/>
                <w:sz w:val="22"/>
                <w:szCs w:val="22"/>
              </w:rPr>
            </w:pPr>
            <w:r w:rsidRPr="00EB68E3">
              <w:rPr>
                <w:sz w:val="22"/>
                <w:szCs w:val="22"/>
              </w:rPr>
              <w:t>Menot</w:t>
            </w:r>
          </w:p>
        </w:tc>
        <w:tc>
          <w:tcPr>
            <w:tcW w:w="496" w:type="pct"/>
            <w:tcBorders>
              <w:top w:val="nil"/>
              <w:left w:val="nil"/>
              <w:bottom w:val="single" w:sz="8" w:space="0" w:color="auto"/>
              <w:right w:val="single" w:sz="8" w:space="0" w:color="auto"/>
            </w:tcBorders>
            <w:vAlign w:val="center"/>
            <w:hideMark/>
          </w:tcPr>
          <w:p w14:paraId="64305382" w14:textId="77777777" w:rsidR="00A4507B" w:rsidRPr="00EB68E3" w:rsidRDefault="00A4507B" w:rsidP="00EE1766">
            <w:pPr>
              <w:jc w:val="both"/>
              <w:rPr>
                <w:rFonts w:eastAsia="MS Mincho"/>
                <w:sz w:val="22"/>
                <w:szCs w:val="22"/>
              </w:rPr>
            </w:pPr>
            <w:r w:rsidRPr="00EB68E3">
              <w:rPr>
                <w:sz w:val="22"/>
                <w:szCs w:val="22"/>
              </w:rPr>
              <w:t>Vuotuisten määrärahojen käyttöaste</w:t>
            </w:r>
          </w:p>
        </w:tc>
        <w:tc>
          <w:tcPr>
            <w:tcW w:w="347" w:type="pct"/>
            <w:tcBorders>
              <w:top w:val="nil"/>
              <w:left w:val="nil"/>
              <w:bottom w:val="single" w:sz="8" w:space="0" w:color="auto"/>
              <w:right w:val="single" w:sz="8" w:space="0" w:color="auto"/>
            </w:tcBorders>
            <w:vAlign w:val="center"/>
            <w:hideMark/>
          </w:tcPr>
          <w:p w14:paraId="2D008A4E" w14:textId="77777777" w:rsidR="00A4507B" w:rsidRPr="00EB68E3" w:rsidRDefault="00A4507B" w:rsidP="00EE1766">
            <w:pPr>
              <w:jc w:val="both"/>
              <w:rPr>
                <w:rFonts w:eastAsia="MS Mincho"/>
                <w:sz w:val="22"/>
                <w:szCs w:val="22"/>
              </w:rPr>
            </w:pPr>
            <w:r w:rsidRPr="00EB68E3">
              <w:rPr>
                <w:sz w:val="22"/>
                <w:szCs w:val="22"/>
              </w:rPr>
              <w:t>Seuraavalle kaudelle siirretyt määrärahat</w:t>
            </w:r>
          </w:p>
        </w:tc>
        <w:tc>
          <w:tcPr>
            <w:tcW w:w="496" w:type="pct"/>
            <w:tcBorders>
              <w:top w:val="nil"/>
              <w:left w:val="nil"/>
              <w:bottom w:val="single" w:sz="8" w:space="0" w:color="auto"/>
              <w:right w:val="single" w:sz="8" w:space="0" w:color="auto"/>
            </w:tcBorders>
            <w:vAlign w:val="center"/>
            <w:hideMark/>
          </w:tcPr>
          <w:p w14:paraId="08C69148" w14:textId="77777777" w:rsidR="00A4507B" w:rsidRPr="00EB68E3" w:rsidRDefault="00A4507B" w:rsidP="00EE1766">
            <w:pPr>
              <w:jc w:val="both"/>
              <w:rPr>
                <w:rFonts w:eastAsia="MS Mincho"/>
                <w:sz w:val="22"/>
                <w:szCs w:val="22"/>
              </w:rPr>
            </w:pPr>
            <w:r w:rsidRPr="00EB68E3">
              <w:rPr>
                <w:sz w:val="22"/>
                <w:szCs w:val="22"/>
              </w:rPr>
              <w:t>Määrärahat vuodessa</w:t>
            </w:r>
          </w:p>
        </w:tc>
        <w:tc>
          <w:tcPr>
            <w:tcW w:w="496" w:type="pct"/>
            <w:tcBorders>
              <w:top w:val="nil"/>
              <w:left w:val="nil"/>
              <w:bottom w:val="single" w:sz="8" w:space="0" w:color="auto"/>
              <w:right w:val="single" w:sz="8" w:space="0" w:color="auto"/>
            </w:tcBorders>
            <w:vAlign w:val="center"/>
            <w:hideMark/>
          </w:tcPr>
          <w:p w14:paraId="44C01A73" w14:textId="77777777" w:rsidR="00A4507B" w:rsidRPr="00EB68E3" w:rsidRDefault="00A4507B" w:rsidP="00EE1766">
            <w:pPr>
              <w:jc w:val="both"/>
              <w:rPr>
                <w:rFonts w:eastAsia="MS Mincho"/>
                <w:sz w:val="22"/>
                <w:szCs w:val="22"/>
              </w:rPr>
            </w:pPr>
            <w:r w:rsidRPr="00EB68E3">
              <w:rPr>
                <w:sz w:val="22"/>
                <w:szCs w:val="22"/>
              </w:rPr>
              <w:t>Omat varat ja siirretyt määrärahat</w:t>
            </w:r>
          </w:p>
        </w:tc>
        <w:tc>
          <w:tcPr>
            <w:tcW w:w="431" w:type="pct"/>
            <w:tcBorders>
              <w:top w:val="nil"/>
              <w:left w:val="nil"/>
              <w:bottom w:val="single" w:sz="8" w:space="0" w:color="auto"/>
              <w:right w:val="single" w:sz="8" w:space="0" w:color="auto"/>
            </w:tcBorders>
            <w:vAlign w:val="center"/>
            <w:hideMark/>
          </w:tcPr>
          <w:p w14:paraId="18C37676" w14:textId="77777777" w:rsidR="00A4507B" w:rsidRPr="00EB68E3" w:rsidRDefault="00A4507B" w:rsidP="00EE1766">
            <w:pPr>
              <w:jc w:val="both"/>
              <w:rPr>
                <w:rFonts w:eastAsia="MS Mincho"/>
                <w:sz w:val="22"/>
                <w:szCs w:val="22"/>
              </w:rPr>
            </w:pPr>
            <w:r w:rsidRPr="00EB68E3">
              <w:rPr>
                <w:sz w:val="22"/>
                <w:szCs w:val="22"/>
              </w:rPr>
              <w:t>Menot</w:t>
            </w:r>
          </w:p>
        </w:tc>
        <w:tc>
          <w:tcPr>
            <w:tcW w:w="496" w:type="pct"/>
            <w:tcBorders>
              <w:top w:val="nil"/>
              <w:left w:val="nil"/>
              <w:bottom w:val="single" w:sz="8" w:space="0" w:color="auto"/>
              <w:right w:val="single" w:sz="8" w:space="0" w:color="auto"/>
            </w:tcBorders>
            <w:vAlign w:val="center"/>
            <w:hideMark/>
          </w:tcPr>
          <w:p w14:paraId="1DA447B0" w14:textId="77777777" w:rsidR="00A4507B" w:rsidRPr="00EB68E3" w:rsidRDefault="00A4507B" w:rsidP="00EE1766">
            <w:pPr>
              <w:rPr>
                <w:rFonts w:eastAsia="MS Mincho"/>
                <w:sz w:val="22"/>
                <w:szCs w:val="22"/>
              </w:rPr>
            </w:pPr>
            <w:r w:rsidRPr="00EB68E3">
              <w:rPr>
                <w:sz w:val="22"/>
                <w:szCs w:val="22"/>
              </w:rPr>
              <w:t>Vuotuisten määrärahojen käyttöaste</w:t>
            </w:r>
          </w:p>
        </w:tc>
        <w:tc>
          <w:tcPr>
            <w:tcW w:w="372" w:type="pct"/>
            <w:tcBorders>
              <w:top w:val="nil"/>
              <w:left w:val="nil"/>
              <w:bottom w:val="single" w:sz="8" w:space="0" w:color="auto"/>
              <w:right w:val="single" w:sz="8" w:space="0" w:color="auto"/>
            </w:tcBorders>
            <w:vAlign w:val="center"/>
            <w:hideMark/>
          </w:tcPr>
          <w:p w14:paraId="425EF4F8" w14:textId="77777777" w:rsidR="00A4507B" w:rsidRPr="00EB68E3" w:rsidRDefault="00A4507B" w:rsidP="00EE1766">
            <w:pPr>
              <w:jc w:val="both"/>
              <w:rPr>
                <w:rFonts w:eastAsia="MS Mincho"/>
                <w:sz w:val="22"/>
                <w:szCs w:val="22"/>
              </w:rPr>
            </w:pPr>
            <w:r w:rsidRPr="00EB68E3">
              <w:rPr>
                <w:sz w:val="22"/>
                <w:szCs w:val="22"/>
              </w:rPr>
              <w:t xml:space="preserve">Seuraavalle kaudelle siirretyt määrärahat </w:t>
            </w:r>
          </w:p>
        </w:tc>
      </w:tr>
      <w:tr w:rsidR="00B9624E" w:rsidRPr="00EB68E3" w14:paraId="642BC012" w14:textId="77777777" w:rsidTr="00A4507B">
        <w:trPr>
          <w:trHeight w:val="780"/>
        </w:trPr>
        <w:tc>
          <w:tcPr>
            <w:tcW w:w="439" w:type="pct"/>
            <w:tcBorders>
              <w:top w:val="nil"/>
              <w:left w:val="single" w:sz="8" w:space="0" w:color="auto"/>
              <w:bottom w:val="single" w:sz="8" w:space="0" w:color="auto"/>
              <w:right w:val="single" w:sz="8" w:space="0" w:color="auto"/>
            </w:tcBorders>
            <w:vAlign w:val="center"/>
            <w:hideMark/>
          </w:tcPr>
          <w:p w14:paraId="2865F131" w14:textId="07584D56" w:rsidR="00A4507B" w:rsidRPr="00EB68E3" w:rsidRDefault="00451A58" w:rsidP="00EE1766">
            <w:pPr>
              <w:rPr>
                <w:rFonts w:eastAsia="MS Mincho"/>
                <w:sz w:val="22"/>
                <w:szCs w:val="22"/>
              </w:rPr>
            </w:pPr>
            <w:r w:rsidRPr="00EB68E3">
              <w:rPr>
                <w:sz w:val="22"/>
                <w:szCs w:val="22"/>
              </w:rPr>
              <w:t xml:space="preserve">Euroopan kansanpuolue (PPE) </w:t>
            </w:r>
          </w:p>
        </w:tc>
        <w:tc>
          <w:tcPr>
            <w:tcW w:w="496" w:type="pct"/>
            <w:tcBorders>
              <w:top w:val="nil"/>
              <w:left w:val="nil"/>
              <w:bottom w:val="single" w:sz="8" w:space="0" w:color="auto"/>
              <w:right w:val="single" w:sz="8" w:space="0" w:color="auto"/>
            </w:tcBorders>
            <w:noWrap/>
            <w:vAlign w:val="center"/>
            <w:hideMark/>
          </w:tcPr>
          <w:p w14:paraId="69E2B0B3" w14:textId="75F235BB" w:rsidR="00A4507B" w:rsidRPr="00EB68E3" w:rsidRDefault="00A4507B" w:rsidP="00EE1766">
            <w:pPr>
              <w:jc w:val="right"/>
              <w:rPr>
                <w:rFonts w:eastAsia="MS Mincho"/>
                <w:sz w:val="22"/>
                <w:szCs w:val="22"/>
              </w:rPr>
            </w:pPr>
            <w:r w:rsidRPr="00EB68E3">
              <w:rPr>
                <w:sz w:val="22"/>
                <w:szCs w:val="22"/>
              </w:rPr>
              <w:t>17 790</w:t>
            </w:r>
          </w:p>
        </w:tc>
        <w:tc>
          <w:tcPr>
            <w:tcW w:w="496" w:type="pct"/>
            <w:tcBorders>
              <w:top w:val="nil"/>
              <w:left w:val="nil"/>
              <w:bottom w:val="single" w:sz="8" w:space="0" w:color="auto"/>
              <w:right w:val="single" w:sz="8" w:space="0" w:color="auto"/>
            </w:tcBorders>
            <w:noWrap/>
            <w:vAlign w:val="center"/>
            <w:hideMark/>
          </w:tcPr>
          <w:p w14:paraId="38A1C34E" w14:textId="68044509" w:rsidR="00A4507B" w:rsidRPr="00EB68E3" w:rsidRDefault="00A4507B" w:rsidP="00EE1766">
            <w:pPr>
              <w:jc w:val="right"/>
              <w:rPr>
                <w:rFonts w:eastAsia="MS Mincho"/>
                <w:sz w:val="22"/>
                <w:szCs w:val="22"/>
              </w:rPr>
            </w:pPr>
            <w:r w:rsidRPr="00EB68E3">
              <w:rPr>
                <w:sz w:val="22"/>
                <w:szCs w:val="22"/>
              </w:rPr>
              <w:t>8 150</w:t>
            </w:r>
          </w:p>
        </w:tc>
        <w:tc>
          <w:tcPr>
            <w:tcW w:w="431" w:type="pct"/>
            <w:tcBorders>
              <w:top w:val="nil"/>
              <w:left w:val="nil"/>
              <w:bottom w:val="single" w:sz="8" w:space="0" w:color="auto"/>
              <w:right w:val="single" w:sz="8" w:space="0" w:color="auto"/>
            </w:tcBorders>
            <w:noWrap/>
            <w:vAlign w:val="center"/>
            <w:hideMark/>
          </w:tcPr>
          <w:p w14:paraId="30CE5FFA" w14:textId="06D95F16" w:rsidR="00A4507B" w:rsidRPr="00EB68E3" w:rsidRDefault="00A4507B" w:rsidP="00EE1766">
            <w:pPr>
              <w:jc w:val="right"/>
              <w:rPr>
                <w:rFonts w:eastAsia="MS Mincho"/>
                <w:sz w:val="22"/>
                <w:szCs w:val="22"/>
              </w:rPr>
            </w:pPr>
            <w:r w:rsidRPr="00EB68E3">
              <w:rPr>
                <w:sz w:val="22"/>
                <w:szCs w:val="22"/>
              </w:rPr>
              <w:t>19 330</w:t>
            </w:r>
          </w:p>
        </w:tc>
        <w:tc>
          <w:tcPr>
            <w:tcW w:w="496" w:type="pct"/>
            <w:tcBorders>
              <w:top w:val="nil"/>
              <w:left w:val="nil"/>
              <w:bottom w:val="single" w:sz="8" w:space="0" w:color="auto"/>
              <w:right w:val="single" w:sz="8" w:space="0" w:color="auto"/>
            </w:tcBorders>
            <w:noWrap/>
            <w:vAlign w:val="center"/>
            <w:hideMark/>
          </w:tcPr>
          <w:p w14:paraId="7844CF16" w14:textId="5ADDB1D8" w:rsidR="00A4507B" w:rsidRPr="00EB68E3" w:rsidRDefault="00A4507B" w:rsidP="00EE1766">
            <w:pPr>
              <w:jc w:val="right"/>
              <w:rPr>
                <w:rFonts w:eastAsia="MS Mincho"/>
                <w:sz w:val="22"/>
                <w:szCs w:val="22"/>
              </w:rPr>
            </w:pPr>
            <w:r w:rsidRPr="00EB68E3">
              <w:rPr>
                <w:sz w:val="22"/>
                <w:szCs w:val="22"/>
              </w:rPr>
              <w:t>108,66 %</w:t>
            </w:r>
          </w:p>
        </w:tc>
        <w:tc>
          <w:tcPr>
            <w:tcW w:w="347" w:type="pct"/>
            <w:tcBorders>
              <w:top w:val="nil"/>
              <w:left w:val="nil"/>
              <w:bottom w:val="single" w:sz="8" w:space="0" w:color="auto"/>
              <w:right w:val="single" w:sz="8" w:space="0" w:color="auto"/>
            </w:tcBorders>
            <w:noWrap/>
            <w:vAlign w:val="center"/>
            <w:hideMark/>
          </w:tcPr>
          <w:p w14:paraId="02C973F6" w14:textId="5C218949" w:rsidR="00A4507B" w:rsidRPr="00EB68E3" w:rsidRDefault="00A4507B" w:rsidP="00EE1766">
            <w:pPr>
              <w:jc w:val="right"/>
              <w:rPr>
                <w:rFonts w:eastAsia="MS Mincho"/>
                <w:sz w:val="22"/>
                <w:szCs w:val="22"/>
              </w:rPr>
            </w:pPr>
            <w:r w:rsidRPr="00EB68E3">
              <w:rPr>
                <w:sz w:val="22"/>
                <w:szCs w:val="22"/>
              </w:rPr>
              <w:t>6 610</w:t>
            </w:r>
          </w:p>
        </w:tc>
        <w:tc>
          <w:tcPr>
            <w:tcW w:w="496" w:type="pct"/>
            <w:tcBorders>
              <w:top w:val="nil"/>
              <w:left w:val="nil"/>
              <w:bottom w:val="single" w:sz="8" w:space="0" w:color="auto"/>
              <w:right w:val="single" w:sz="8" w:space="0" w:color="auto"/>
            </w:tcBorders>
            <w:noWrap/>
            <w:vAlign w:val="center"/>
            <w:hideMark/>
          </w:tcPr>
          <w:p w14:paraId="05724650" w14:textId="0D9C9B80" w:rsidR="00A4507B" w:rsidRPr="00EB68E3" w:rsidRDefault="00A4507B" w:rsidP="00EE1766">
            <w:pPr>
              <w:jc w:val="right"/>
              <w:rPr>
                <w:rFonts w:eastAsia="MS Mincho"/>
                <w:sz w:val="22"/>
                <w:szCs w:val="22"/>
              </w:rPr>
            </w:pPr>
            <w:r w:rsidRPr="00EB68E3">
              <w:rPr>
                <w:sz w:val="22"/>
                <w:szCs w:val="22"/>
              </w:rPr>
              <w:t>17 440</w:t>
            </w:r>
          </w:p>
        </w:tc>
        <w:tc>
          <w:tcPr>
            <w:tcW w:w="496" w:type="pct"/>
            <w:tcBorders>
              <w:top w:val="nil"/>
              <w:left w:val="nil"/>
              <w:bottom w:val="single" w:sz="8" w:space="0" w:color="auto"/>
              <w:right w:val="single" w:sz="8" w:space="0" w:color="auto"/>
            </w:tcBorders>
            <w:noWrap/>
            <w:vAlign w:val="center"/>
            <w:hideMark/>
          </w:tcPr>
          <w:p w14:paraId="0C002969" w14:textId="4C063924" w:rsidR="00A4507B" w:rsidRPr="00EB68E3" w:rsidRDefault="00A4507B" w:rsidP="00EE1766">
            <w:pPr>
              <w:jc w:val="right"/>
              <w:rPr>
                <w:rFonts w:eastAsia="MS Mincho"/>
                <w:sz w:val="22"/>
                <w:szCs w:val="22"/>
              </w:rPr>
            </w:pPr>
            <w:r w:rsidRPr="00EB68E3">
              <w:rPr>
                <w:sz w:val="22"/>
                <w:szCs w:val="22"/>
              </w:rPr>
              <w:t xml:space="preserve">8 907 </w:t>
            </w:r>
          </w:p>
        </w:tc>
        <w:tc>
          <w:tcPr>
            <w:tcW w:w="431" w:type="pct"/>
            <w:tcBorders>
              <w:top w:val="nil"/>
              <w:left w:val="nil"/>
              <w:bottom w:val="single" w:sz="8" w:space="0" w:color="auto"/>
              <w:right w:val="single" w:sz="8" w:space="0" w:color="auto"/>
            </w:tcBorders>
            <w:noWrap/>
            <w:vAlign w:val="center"/>
            <w:hideMark/>
          </w:tcPr>
          <w:p w14:paraId="7D414A0B" w14:textId="25CB0A66" w:rsidR="00A4507B" w:rsidRPr="00EB68E3" w:rsidRDefault="00A4507B" w:rsidP="00EE1766">
            <w:pPr>
              <w:jc w:val="right"/>
              <w:rPr>
                <w:rFonts w:eastAsia="MS Mincho"/>
                <w:sz w:val="22"/>
                <w:szCs w:val="22"/>
              </w:rPr>
            </w:pPr>
            <w:r w:rsidRPr="00EB68E3">
              <w:rPr>
                <w:sz w:val="22"/>
                <w:szCs w:val="22"/>
              </w:rPr>
              <w:t>18 303</w:t>
            </w:r>
          </w:p>
        </w:tc>
        <w:tc>
          <w:tcPr>
            <w:tcW w:w="496" w:type="pct"/>
            <w:tcBorders>
              <w:top w:val="nil"/>
              <w:left w:val="nil"/>
              <w:bottom w:val="single" w:sz="8" w:space="0" w:color="auto"/>
              <w:right w:val="single" w:sz="8" w:space="0" w:color="auto"/>
            </w:tcBorders>
            <w:noWrap/>
            <w:vAlign w:val="center"/>
            <w:hideMark/>
          </w:tcPr>
          <w:p w14:paraId="4CC27FAF" w14:textId="795AA93E" w:rsidR="00A4507B" w:rsidRPr="00EB68E3" w:rsidRDefault="00A4507B" w:rsidP="00EE1766">
            <w:pPr>
              <w:jc w:val="right"/>
              <w:rPr>
                <w:rFonts w:eastAsia="MS Mincho"/>
                <w:sz w:val="22"/>
                <w:szCs w:val="22"/>
              </w:rPr>
            </w:pPr>
            <w:r w:rsidRPr="00EB68E3">
              <w:rPr>
                <w:sz w:val="22"/>
                <w:szCs w:val="22"/>
              </w:rPr>
              <w:t>105,19 %</w:t>
            </w:r>
          </w:p>
        </w:tc>
        <w:tc>
          <w:tcPr>
            <w:tcW w:w="372" w:type="pct"/>
            <w:tcBorders>
              <w:top w:val="nil"/>
              <w:left w:val="nil"/>
              <w:bottom w:val="single" w:sz="8" w:space="0" w:color="auto"/>
              <w:right w:val="single" w:sz="8" w:space="0" w:color="auto"/>
            </w:tcBorders>
            <w:noWrap/>
            <w:vAlign w:val="center"/>
            <w:hideMark/>
          </w:tcPr>
          <w:p w14:paraId="5CA940E7" w14:textId="261BA696" w:rsidR="00A4507B" w:rsidRPr="00EB68E3" w:rsidRDefault="00A4507B" w:rsidP="00EE1766">
            <w:pPr>
              <w:jc w:val="right"/>
              <w:rPr>
                <w:rFonts w:eastAsia="MS Mincho"/>
                <w:sz w:val="22"/>
                <w:szCs w:val="22"/>
              </w:rPr>
            </w:pPr>
            <w:r w:rsidRPr="00EB68E3">
              <w:rPr>
                <w:sz w:val="22"/>
                <w:szCs w:val="22"/>
              </w:rPr>
              <w:t>8 005</w:t>
            </w:r>
          </w:p>
        </w:tc>
      </w:tr>
      <w:tr w:rsidR="00B9624E" w:rsidRPr="00EB68E3" w14:paraId="6FAF735B" w14:textId="77777777" w:rsidTr="00A4507B">
        <w:trPr>
          <w:trHeight w:val="780"/>
        </w:trPr>
        <w:tc>
          <w:tcPr>
            <w:tcW w:w="439" w:type="pct"/>
            <w:tcBorders>
              <w:top w:val="nil"/>
              <w:left w:val="single" w:sz="8" w:space="0" w:color="auto"/>
              <w:bottom w:val="single" w:sz="8" w:space="0" w:color="auto"/>
              <w:right w:val="single" w:sz="8" w:space="0" w:color="auto"/>
            </w:tcBorders>
            <w:vAlign w:val="center"/>
            <w:hideMark/>
          </w:tcPr>
          <w:p w14:paraId="7D7470CA" w14:textId="33BCE6F7" w:rsidR="00A4507B" w:rsidRPr="00EB68E3" w:rsidRDefault="00451A58" w:rsidP="00EE1766">
            <w:pPr>
              <w:rPr>
                <w:rFonts w:eastAsia="MS Mincho"/>
                <w:sz w:val="22"/>
                <w:szCs w:val="22"/>
              </w:rPr>
            </w:pPr>
            <w:r w:rsidRPr="00EB68E3">
              <w:rPr>
                <w:sz w:val="22"/>
                <w:szCs w:val="22"/>
              </w:rPr>
              <w:t xml:space="preserve">Euroopan parlamentin sosialistien ja demokraattien ryhmä (S&amp;D) </w:t>
            </w:r>
          </w:p>
        </w:tc>
        <w:tc>
          <w:tcPr>
            <w:tcW w:w="496" w:type="pct"/>
            <w:tcBorders>
              <w:top w:val="nil"/>
              <w:left w:val="nil"/>
              <w:bottom w:val="single" w:sz="8" w:space="0" w:color="auto"/>
              <w:right w:val="single" w:sz="8" w:space="0" w:color="auto"/>
            </w:tcBorders>
            <w:noWrap/>
            <w:vAlign w:val="center"/>
            <w:hideMark/>
          </w:tcPr>
          <w:p w14:paraId="7717F80E" w14:textId="0DD29419" w:rsidR="00A4507B" w:rsidRPr="00EB68E3" w:rsidRDefault="00A4507B" w:rsidP="00EE1766">
            <w:pPr>
              <w:jc w:val="right"/>
              <w:rPr>
                <w:rFonts w:eastAsia="MS Mincho"/>
                <w:sz w:val="22"/>
                <w:szCs w:val="22"/>
              </w:rPr>
            </w:pPr>
            <w:r w:rsidRPr="00EB68E3">
              <w:rPr>
                <w:sz w:val="22"/>
                <w:szCs w:val="22"/>
              </w:rPr>
              <w:t>15 610</w:t>
            </w:r>
          </w:p>
        </w:tc>
        <w:tc>
          <w:tcPr>
            <w:tcW w:w="496" w:type="pct"/>
            <w:tcBorders>
              <w:top w:val="nil"/>
              <w:left w:val="nil"/>
              <w:bottom w:val="single" w:sz="8" w:space="0" w:color="auto"/>
              <w:right w:val="single" w:sz="8" w:space="0" w:color="auto"/>
            </w:tcBorders>
            <w:noWrap/>
            <w:vAlign w:val="center"/>
            <w:hideMark/>
          </w:tcPr>
          <w:p w14:paraId="6D9428E5" w14:textId="6288411F" w:rsidR="00A4507B" w:rsidRPr="00EB68E3" w:rsidRDefault="00A4507B" w:rsidP="00EE1766">
            <w:pPr>
              <w:jc w:val="right"/>
              <w:rPr>
                <w:rFonts w:eastAsia="MS Mincho"/>
                <w:sz w:val="22"/>
                <w:szCs w:val="22"/>
              </w:rPr>
            </w:pPr>
            <w:r w:rsidRPr="00EB68E3">
              <w:rPr>
                <w:sz w:val="22"/>
                <w:szCs w:val="22"/>
              </w:rPr>
              <w:t>5 469</w:t>
            </w:r>
          </w:p>
        </w:tc>
        <w:tc>
          <w:tcPr>
            <w:tcW w:w="431" w:type="pct"/>
            <w:tcBorders>
              <w:top w:val="nil"/>
              <w:left w:val="nil"/>
              <w:bottom w:val="single" w:sz="8" w:space="0" w:color="auto"/>
              <w:right w:val="single" w:sz="8" w:space="0" w:color="auto"/>
            </w:tcBorders>
            <w:noWrap/>
            <w:vAlign w:val="center"/>
            <w:hideMark/>
          </w:tcPr>
          <w:p w14:paraId="67F1C41D" w14:textId="20372B63" w:rsidR="00A4507B" w:rsidRPr="00EB68E3" w:rsidRDefault="00A4507B" w:rsidP="00EE1766">
            <w:pPr>
              <w:jc w:val="right"/>
              <w:rPr>
                <w:rFonts w:eastAsia="MS Mincho"/>
                <w:sz w:val="22"/>
                <w:szCs w:val="22"/>
              </w:rPr>
            </w:pPr>
            <w:r w:rsidRPr="00EB68E3">
              <w:rPr>
                <w:sz w:val="22"/>
                <w:szCs w:val="22"/>
              </w:rPr>
              <w:t>15 268</w:t>
            </w:r>
          </w:p>
        </w:tc>
        <w:tc>
          <w:tcPr>
            <w:tcW w:w="496" w:type="pct"/>
            <w:tcBorders>
              <w:top w:val="nil"/>
              <w:left w:val="nil"/>
              <w:bottom w:val="single" w:sz="8" w:space="0" w:color="auto"/>
              <w:right w:val="single" w:sz="8" w:space="0" w:color="auto"/>
            </w:tcBorders>
            <w:noWrap/>
            <w:vAlign w:val="center"/>
            <w:hideMark/>
          </w:tcPr>
          <w:p w14:paraId="40FD6E2B" w14:textId="68BE7E8E" w:rsidR="00A4507B" w:rsidRPr="00EB68E3" w:rsidRDefault="00A4507B" w:rsidP="00EE1766">
            <w:pPr>
              <w:jc w:val="right"/>
              <w:rPr>
                <w:rFonts w:eastAsia="MS Mincho"/>
                <w:sz w:val="22"/>
                <w:szCs w:val="22"/>
              </w:rPr>
            </w:pPr>
            <w:r w:rsidRPr="00EB68E3">
              <w:rPr>
                <w:sz w:val="22"/>
                <w:szCs w:val="22"/>
              </w:rPr>
              <w:t>97,81 %</w:t>
            </w:r>
          </w:p>
        </w:tc>
        <w:tc>
          <w:tcPr>
            <w:tcW w:w="347" w:type="pct"/>
            <w:tcBorders>
              <w:top w:val="nil"/>
              <w:left w:val="nil"/>
              <w:bottom w:val="single" w:sz="8" w:space="0" w:color="auto"/>
              <w:right w:val="single" w:sz="8" w:space="0" w:color="auto"/>
            </w:tcBorders>
            <w:noWrap/>
            <w:vAlign w:val="center"/>
            <w:hideMark/>
          </w:tcPr>
          <w:p w14:paraId="55783519" w14:textId="7F8848BB" w:rsidR="00A4507B" w:rsidRPr="00EB68E3" w:rsidRDefault="00A4507B" w:rsidP="00EE1766">
            <w:pPr>
              <w:jc w:val="right"/>
              <w:rPr>
                <w:rFonts w:eastAsia="MS Mincho"/>
                <w:sz w:val="22"/>
                <w:szCs w:val="22"/>
              </w:rPr>
            </w:pPr>
            <w:r w:rsidRPr="00EB68E3">
              <w:rPr>
                <w:sz w:val="22"/>
                <w:szCs w:val="22"/>
              </w:rPr>
              <w:t>5 812</w:t>
            </w:r>
          </w:p>
        </w:tc>
        <w:tc>
          <w:tcPr>
            <w:tcW w:w="496" w:type="pct"/>
            <w:tcBorders>
              <w:top w:val="nil"/>
              <w:left w:val="nil"/>
              <w:bottom w:val="single" w:sz="8" w:space="0" w:color="auto"/>
              <w:right w:val="single" w:sz="8" w:space="0" w:color="auto"/>
            </w:tcBorders>
            <w:noWrap/>
            <w:vAlign w:val="center"/>
            <w:hideMark/>
          </w:tcPr>
          <w:p w14:paraId="7F99D2E0" w14:textId="2A5B30FC" w:rsidR="00A4507B" w:rsidRPr="00EB68E3" w:rsidRDefault="00A4507B" w:rsidP="00EE1766">
            <w:pPr>
              <w:jc w:val="right"/>
              <w:rPr>
                <w:rFonts w:eastAsia="MS Mincho"/>
                <w:sz w:val="22"/>
                <w:szCs w:val="22"/>
              </w:rPr>
            </w:pPr>
            <w:r w:rsidRPr="00EB68E3">
              <w:rPr>
                <w:sz w:val="22"/>
                <w:szCs w:val="22"/>
              </w:rPr>
              <w:t>15 327</w:t>
            </w:r>
          </w:p>
        </w:tc>
        <w:tc>
          <w:tcPr>
            <w:tcW w:w="496" w:type="pct"/>
            <w:tcBorders>
              <w:top w:val="nil"/>
              <w:left w:val="nil"/>
              <w:bottom w:val="single" w:sz="8" w:space="0" w:color="auto"/>
              <w:right w:val="single" w:sz="8" w:space="0" w:color="auto"/>
            </w:tcBorders>
            <w:noWrap/>
            <w:vAlign w:val="center"/>
            <w:hideMark/>
          </w:tcPr>
          <w:p w14:paraId="4B3BD090" w14:textId="0773018D" w:rsidR="00A4507B" w:rsidRPr="00EB68E3" w:rsidRDefault="00A4507B" w:rsidP="00EE1766">
            <w:pPr>
              <w:jc w:val="right"/>
              <w:rPr>
                <w:rFonts w:eastAsia="MS Mincho"/>
                <w:sz w:val="22"/>
                <w:szCs w:val="22"/>
              </w:rPr>
            </w:pPr>
            <w:r w:rsidRPr="00EB68E3">
              <w:rPr>
                <w:sz w:val="22"/>
                <w:szCs w:val="22"/>
              </w:rPr>
              <w:t>5 802</w:t>
            </w:r>
          </w:p>
        </w:tc>
        <w:tc>
          <w:tcPr>
            <w:tcW w:w="431" w:type="pct"/>
            <w:tcBorders>
              <w:top w:val="nil"/>
              <w:left w:val="nil"/>
              <w:bottom w:val="single" w:sz="8" w:space="0" w:color="auto"/>
              <w:right w:val="single" w:sz="8" w:space="0" w:color="auto"/>
            </w:tcBorders>
            <w:noWrap/>
            <w:vAlign w:val="center"/>
            <w:hideMark/>
          </w:tcPr>
          <w:p w14:paraId="50BD0173" w14:textId="620F3512" w:rsidR="00A4507B" w:rsidRPr="00EB68E3" w:rsidRDefault="00A4507B" w:rsidP="00EE1766">
            <w:pPr>
              <w:jc w:val="right"/>
              <w:rPr>
                <w:rFonts w:eastAsia="MS Mincho"/>
                <w:sz w:val="22"/>
                <w:szCs w:val="22"/>
              </w:rPr>
            </w:pPr>
            <w:r w:rsidRPr="00EB68E3">
              <w:rPr>
                <w:sz w:val="22"/>
                <w:szCs w:val="22"/>
              </w:rPr>
              <w:t>15 713</w:t>
            </w:r>
          </w:p>
        </w:tc>
        <w:tc>
          <w:tcPr>
            <w:tcW w:w="496" w:type="pct"/>
            <w:tcBorders>
              <w:top w:val="nil"/>
              <w:left w:val="nil"/>
              <w:bottom w:val="single" w:sz="8" w:space="0" w:color="auto"/>
              <w:right w:val="single" w:sz="8" w:space="0" w:color="auto"/>
            </w:tcBorders>
            <w:noWrap/>
            <w:vAlign w:val="center"/>
            <w:hideMark/>
          </w:tcPr>
          <w:p w14:paraId="7DED6A25" w14:textId="7C73CBE0" w:rsidR="00A4507B" w:rsidRPr="00EB68E3" w:rsidRDefault="00A4507B" w:rsidP="00EE1766">
            <w:pPr>
              <w:jc w:val="right"/>
              <w:rPr>
                <w:rFonts w:eastAsia="MS Mincho"/>
                <w:sz w:val="22"/>
                <w:szCs w:val="22"/>
              </w:rPr>
            </w:pPr>
            <w:r w:rsidRPr="00EB68E3">
              <w:rPr>
                <w:sz w:val="22"/>
                <w:szCs w:val="22"/>
              </w:rPr>
              <w:t>102,51 %</w:t>
            </w:r>
          </w:p>
        </w:tc>
        <w:tc>
          <w:tcPr>
            <w:tcW w:w="372" w:type="pct"/>
            <w:tcBorders>
              <w:top w:val="nil"/>
              <w:left w:val="nil"/>
              <w:bottom w:val="single" w:sz="8" w:space="0" w:color="auto"/>
              <w:right w:val="single" w:sz="8" w:space="0" w:color="auto"/>
            </w:tcBorders>
            <w:noWrap/>
            <w:vAlign w:val="center"/>
            <w:hideMark/>
          </w:tcPr>
          <w:p w14:paraId="180E17B0" w14:textId="01615680" w:rsidR="00A4507B" w:rsidRPr="00EB68E3" w:rsidRDefault="00A4507B" w:rsidP="00EE1766">
            <w:pPr>
              <w:jc w:val="right"/>
              <w:rPr>
                <w:rFonts w:eastAsia="MS Mincho"/>
                <w:sz w:val="22"/>
                <w:szCs w:val="22"/>
              </w:rPr>
            </w:pPr>
            <w:r w:rsidRPr="00EB68E3">
              <w:rPr>
                <w:sz w:val="22"/>
                <w:szCs w:val="22"/>
              </w:rPr>
              <w:t>5 417</w:t>
            </w:r>
          </w:p>
        </w:tc>
      </w:tr>
      <w:tr w:rsidR="00B9624E" w:rsidRPr="00EB68E3" w14:paraId="033D7C26" w14:textId="77777777" w:rsidTr="00A4507B">
        <w:trPr>
          <w:trHeight w:val="319"/>
        </w:trPr>
        <w:tc>
          <w:tcPr>
            <w:tcW w:w="439" w:type="pct"/>
            <w:tcBorders>
              <w:top w:val="nil"/>
              <w:left w:val="single" w:sz="8" w:space="0" w:color="auto"/>
              <w:bottom w:val="single" w:sz="8" w:space="0" w:color="auto"/>
              <w:right w:val="single" w:sz="8" w:space="0" w:color="auto"/>
            </w:tcBorders>
            <w:vAlign w:val="center"/>
            <w:hideMark/>
          </w:tcPr>
          <w:p w14:paraId="38E961A5" w14:textId="7F7FE544" w:rsidR="00A4507B" w:rsidRPr="00EB68E3" w:rsidRDefault="00451A58" w:rsidP="00EE1766">
            <w:pPr>
              <w:rPr>
                <w:rFonts w:eastAsia="MS Mincho"/>
                <w:sz w:val="22"/>
                <w:szCs w:val="22"/>
              </w:rPr>
            </w:pPr>
            <w:r w:rsidRPr="00EB68E3">
              <w:rPr>
                <w:sz w:val="22"/>
                <w:szCs w:val="22"/>
              </w:rPr>
              <w:t>Euroopan konservatiivit ja reformistit (ECR)</w:t>
            </w:r>
          </w:p>
        </w:tc>
        <w:tc>
          <w:tcPr>
            <w:tcW w:w="496" w:type="pct"/>
            <w:tcBorders>
              <w:top w:val="nil"/>
              <w:left w:val="nil"/>
              <w:bottom w:val="single" w:sz="8" w:space="0" w:color="auto"/>
              <w:right w:val="single" w:sz="8" w:space="0" w:color="auto"/>
            </w:tcBorders>
            <w:noWrap/>
            <w:vAlign w:val="center"/>
            <w:hideMark/>
          </w:tcPr>
          <w:p w14:paraId="6C53CCE2" w14:textId="0E402560" w:rsidR="00A4507B" w:rsidRPr="00EB68E3" w:rsidRDefault="00A4507B" w:rsidP="00EE1766">
            <w:pPr>
              <w:jc w:val="right"/>
              <w:rPr>
                <w:rFonts w:eastAsia="MS Mincho"/>
                <w:sz w:val="22"/>
                <w:szCs w:val="22"/>
              </w:rPr>
            </w:pPr>
            <w:r w:rsidRPr="00EB68E3">
              <w:rPr>
                <w:sz w:val="22"/>
                <w:szCs w:val="22"/>
              </w:rPr>
              <w:t>6 200</w:t>
            </w:r>
          </w:p>
        </w:tc>
        <w:tc>
          <w:tcPr>
            <w:tcW w:w="496" w:type="pct"/>
            <w:tcBorders>
              <w:top w:val="nil"/>
              <w:left w:val="nil"/>
              <w:bottom w:val="single" w:sz="8" w:space="0" w:color="auto"/>
              <w:right w:val="single" w:sz="8" w:space="0" w:color="auto"/>
            </w:tcBorders>
            <w:noWrap/>
            <w:vAlign w:val="center"/>
            <w:hideMark/>
          </w:tcPr>
          <w:p w14:paraId="65E7E10D" w14:textId="4DE6822E" w:rsidR="00A4507B" w:rsidRPr="00EB68E3" w:rsidRDefault="00A4507B" w:rsidP="00EE1766">
            <w:pPr>
              <w:jc w:val="right"/>
              <w:rPr>
                <w:rFonts w:eastAsia="MS Mincho"/>
                <w:sz w:val="22"/>
                <w:szCs w:val="22"/>
              </w:rPr>
            </w:pPr>
            <w:r w:rsidRPr="00EB68E3">
              <w:rPr>
                <w:sz w:val="22"/>
                <w:szCs w:val="22"/>
              </w:rPr>
              <w:t>2 810</w:t>
            </w:r>
          </w:p>
        </w:tc>
        <w:tc>
          <w:tcPr>
            <w:tcW w:w="431" w:type="pct"/>
            <w:tcBorders>
              <w:top w:val="nil"/>
              <w:left w:val="nil"/>
              <w:bottom w:val="single" w:sz="8" w:space="0" w:color="auto"/>
              <w:right w:val="single" w:sz="8" w:space="0" w:color="auto"/>
            </w:tcBorders>
            <w:noWrap/>
            <w:vAlign w:val="center"/>
            <w:hideMark/>
          </w:tcPr>
          <w:p w14:paraId="0BB19FBE" w14:textId="1F1D0DCB" w:rsidR="00A4507B" w:rsidRPr="00EB68E3" w:rsidRDefault="00A4507B" w:rsidP="00EE1766">
            <w:pPr>
              <w:jc w:val="right"/>
              <w:rPr>
                <w:rFonts w:eastAsia="MS Mincho"/>
                <w:sz w:val="22"/>
                <w:szCs w:val="22"/>
              </w:rPr>
            </w:pPr>
            <w:r w:rsidRPr="00EB68E3">
              <w:rPr>
                <w:sz w:val="22"/>
                <w:szCs w:val="22"/>
              </w:rPr>
              <w:t>6 051</w:t>
            </w:r>
          </w:p>
        </w:tc>
        <w:tc>
          <w:tcPr>
            <w:tcW w:w="496" w:type="pct"/>
            <w:tcBorders>
              <w:top w:val="nil"/>
              <w:left w:val="nil"/>
              <w:bottom w:val="single" w:sz="8" w:space="0" w:color="auto"/>
              <w:right w:val="single" w:sz="8" w:space="0" w:color="auto"/>
            </w:tcBorders>
            <w:noWrap/>
            <w:vAlign w:val="center"/>
            <w:hideMark/>
          </w:tcPr>
          <w:p w14:paraId="384A04B4" w14:textId="036D10E2" w:rsidR="00A4507B" w:rsidRPr="00EB68E3" w:rsidRDefault="00A4507B" w:rsidP="00EE1766">
            <w:pPr>
              <w:jc w:val="right"/>
              <w:rPr>
                <w:rFonts w:eastAsia="MS Mincho"/>
                <w:sz w:val="22"/>
                <w:szCs w:val="22"/>
              </w:rPr>
            </w:pPr>
            <w:r w:rsidRPr="00EB68E3">
              <w:rPr>
                <w:sz w:val="22"/>
                <w:szCs w:val="22"/>
              </w:rPr>
              <w:t>97,60 %</w:t>
            </w:r>
          </w:p>
        </w:tc>
        <w:tc>
          <w:tcPr>
            <w:tcW w:w="347" w:type="pct"/>
            <w:tcBorders>
              <w:top w:val="nil"/>
              <w:left w:val="nil"/>
              <w:bottom w:val="single" w:sz="8" w:space="0" w:color="auto"/>
              <w:right w:val="single" w:sz="8" w:space="0" w:color="auto"/>
            </w:tcBorders>
            <w:noWrap/>
            <w:vAlign w:val="center"/>
            <w:hideMark/>
          </w:tcPr>
          <w:p w14:paraId="0AA34E94" w14:textId="38A6F645" w:rsidR="00A4507B" w:rsidRPr="00EB68E3" w:rsidRDefault="00A4507B" w:rsidP="00EE1766">
            <w:pPr>
              <w:jc w:val="right"/>
              <w:rPr>
                <w:rFonts w:eastAsia="MS Mincho"/>
                <w:sz w:val="22"/>
                <w:szCs w:val="22"/>
              </w:rPr>
            </w:pPr>
            <w:r w:rsidRPr="00EB68E3">
              <w:rPr>
                <w:sz w:val="22"/>
                <w:szCs w:val="22"/>
              </w:rPr>
              <w:t>2 959</w:t>
            </w:r>
          </w:p>
        </w:tc>
        <w:tc>
          <w:tcPr>
            <w:tcW w:w="496" w:type="pct"/>
            <w:tcBorders>
              <w:top w:val="nil"/>
              <w:left w:val="nil"/>
              <w:bottom w:val="single" w:sz="8" w:space="0" w:color="auto"/>
              <w:right w:val="single" w:sz="8" w:space="0" w:color="auto"/>
            </w:tcBorders>
            <w:noWrap/>
            <w:vAlign w:val="center"/>
            <w:hideMark/>
          </w:tcPr>
          <w:p w14:paraId="360A276F" w14:textId="78428084" w:rsidR="00A4507B" w:rsidRPr="00EB68E3" w:rsidRDefault="00A4507B" w:rsidP="00EE1766">
            <w:pPr>
              <w:jc w:val="right"/>
              <w:rPr>
                <w:rFonts w:eastAsia="MS Mincho"/>
                <w:sz w:val="22"/>
                <w:szCs w:val="22"/>
              </w:rPr>
            </w:pPr>
            <w:r w:rsidRPr="00EB68E3">
              <w:rPr>
                <w:sz w:val="22"/>
                <w:szCs w:val="22"/>
              </w:rPr>
              <w:t>6 125</w:t>
            </w:r>
          </w:p>
        </w:tc>
        <w:tc>
          <w:tcPr>
            <w:tcW w:w="496" w:type="pct"/>
            <w:tcBorders>
              <w:top w:val="nil"/>
              <w:left w:val="nil"/>
              <w:bottom w:val="single" w:sz="8" w:space="0" w:color="auto"/>
              <w:right w:val="single" w:sz="8" w:space="0" w:color="auto"/>
            </w:tcBorders>
            <w:noWrap/>
            <w:vAlign w:val="center"/>
            <w:hideMark/>
          </w:tcPr>
          <w:p w14:paraId="3E97927C" w14:textId="2A4944C9" w:rsidR="00A4507B" w:rsidRPr="00EB68E3" w:rsidRDefault="00A4507B" w:rsidP="00EE1766">
            <w:pPr>
              <w:jc w:val="right"/>
              <w:rPr>
                <w:rFonts w:eastAsia="MS Mincho"/>
                <w:sz w:val="22"/>
                <w:szCs w:val="22"/>
              </w:rPr>
            </w:pPr>
            <w:r w:rsidRPr="00EB68E3">
              <w:rPr>
                <w:sz w:val="22"/>
                <w:szCs w:val="22"/>
              </w:rPr>
              <w:t>2 518</w:t>
            </w:r>
          </w:p>
        </w:tc>
        <w:tc>
          <w:tcPr>
            <w:tcW w:w="431" w:type="pct"/>
            <w:tcBorders>
              <w:top w:val="nil"/>
              <w:left w:val="nil"/>
              <w:bottom w:val="single" w:sz="8" w:space="0" w:color="auto"/>
              <w:right w:val="single" w:sz="8" w:space="0" w:color="auto"/>
            </w:tcBorders>
            <w:noWrap/>
            <w:vAlign w:val="center"/>
            <w:hideMark/>
          </w:tcPr>
          <w:p w14:paraId="57DB6B9F" w14:textId="57E09E2C" w:rsidR="00A4507B" w:rsidRPr="00EB68E3" w:rsidRDefault="00A4507B" w:rsidP="00EE1766">
            <w:pPr>
              <w:jc w:val="right"/>
              <w:rPr>
                <w:rFonts w:eastAsia="MS Mincho"/>
                <w:sz w:val="22"/>
                <w:szCs w:val="22"/>
              </w:rPr>
            </w:pPr>
            <w:r w:rsidRPr="00EB68E3">
              <w:rPr>
                <w:sz w:val="22"/>
                <w:szCs w:val="22"/>
              </w:rPr>
              <w:t>5 835</w:t>
            </w:r>
          </w:p>
        </w:tc>
        <w:tc>
          <w:tcPr>
            <w:tcW w:w="496" w:type="pct"/>
            <w:tcBorders>
              <w:top w:val="nil"/>
              <w:left w:val="nil"/>
              <w:bottom w:val="single" w:sz="8" w:space="0" w:color="auto"/>
              <w:right w:val="single" w:sz="8" w:space="0" w:color="auto"/>
            </w:tcBorders>
            <w:noWrap/>
            <w:vAlign w:val="center"/>
            <w:hideMark/>
          </w:tcPr>
          <w:p w14:paraId="17BCA508" w14:textId="5F20DEF1" w:rsidR="00A4507B" w:rsidRPr="00EB68E3" w:rsidRDefault="00A4507B" w:rsidP="00EE1766">
            <w:pPr>
              <w:jc w:val="right"/>
              <w:rPr>
                <w:rFonts w:eastAsia="MS Mincho"/>
                <w:sz w:val="22"/>
                <w:szCs w:val="22"/>
              </w:rPr>
            </w:pPr>
            <w:r w:rsidRPr="00EB68E3">
              <w:rPr>
                <w:sz w:val="22"/>
                <w:szCs w:val="22"/>
              </w:rPr>
              <w:t>95,25 %</w:t>
            </w:r>
          </w:p>
        </w:tc>
        <w:tc>
          <w:tcPr>
            <w:tcW w:w="372" w:type="pct"/>
            <w:tcBorders>
              <w:top w:val="nil"/>
              <w:left w:val="nil"/>
              <w:bottom w:val="single" w:sz="8" w:space="0" w:color="auto"/>
              <w:right w:val="single" w:sz="8" w:space="0" w:color="auto"/>
            </w:tcBorders>
            <w:noWrap/>
            <w:vAlign w:val="center"/>
            <w:hideMark/>
          </w:tcPr>
          <w:p w14:paraId="3B13D775" w14:textId="0B159F0B" w:rsidR="00A4507B" w:rsidRPr="00EB68E3" w:rsidRDefault="00A4507B" w:rsidP="00EE1766">
            <w:pPr>
              <w:jc w:val="right"/>
              <w:rPr>
                <w:rFonts w:eastAsia="MS Mincho"/>
                <w:sz w:val="22"/>
                <w:szCs w:val="22"/>
              </w:rPr>
            </w:pPr>
            <w:r w:rsidRPr="00EB68E3">
              <w:rPr>
                <w:sz w:val="22"/>
                <w:szCs w:val="22"/>
              </w:rPr>
              <w:t>2 809</w:t>
            </w:r>
          </w:p>
        </w:tc>
      </w:tr>
      <w:tr w:rsidR="00B9624E" w:rsidRPr="00EB68E3" w14:paraId="716A77B9" w14:textId="77777777" w:rsidTr="00A4507B">
        <w:trPr>
          <w:trHeight w:val="319"/>
        </w:trPr>
        <w:tc>
          <w:tcPr>
            <w:tcW w:w="439" w:type="pct"/>
            <w:tcBorders>
              <w:top w:val="nil"/>
              <w:left w:val="single" w:sz="8" w:space="0" w:color="auto"/>
              <w:bottom w:val="single" w:sz="8" w:space="0" w:color="auto"/>
              <w:right w:val="single" w:sz="8" w:space="0" w:color="auto"/>
            </w:tcBorders>
            <w:vAlign w:val="center"/>
            <w:hideMark/>
          </w:tcPr>
          <w:p w14:paraId="68D06CB5" w14:textId="27BBF9AD" w:rsidR="00A4507B" w:rsidRPr="00EB68E3" w:rsidRDefault="00B9624E" w:rsidP="00EE1766">
            <w:pPr>
              <w:rPr>
                <w:rFonts w:eastAsia="MS Mincho"/>
                <w:sz w:val="22"/>
                <w:szCs w:val="22"/>
              </w:rPr>
            </w:pPr>
            <w:r w:rsidRPr="00EB68E3">
              <w:rPr>
                <w:sz w:val="22"/>
                <w:szCs w:val="22"/>
              </w:rPr>
              <w:t>Euroopan liberaalidemokraattien puolue (ALDE)</w:t>
            </w:r>
          </w:p>
        </w:tc>
        <w:tc>
          <w:tcPr>
            <w:tcW w:w="496" w:type="pct"/>
            <w:tcBorders>
              <w:top w:val="nil"/>
              <w:left w:val="nil"/>
              <w:bottom w:val="single" w:sz="8" w:space="0" w:color="auto"/>
              <w:right w:val="single" w:sz="8" w:space="0" w:color="auto"/>
            </w:tcBorders>
            <w:noWrap/>
            <w:vAlign w:val="center"/>
            <w:hideMark/>
          </w:tcPr>
          <w:p w14:paraId="1EE750B9" w14:textId="57831427" w:rsidR="00A4507B" w:rsidRPr="00EB68E3" w:rsidRDefault="00A4507B" w:rsidP="00EE1766">
            <w:pPr>
              <w:jc w:val="right"/>
              <w:rPr>
                <w:rFonts w:eastAsia="MS Mincho"/>
                <w:sz w:val="22"/>
                <w:szCs w:val="22"/>
              </w:rPr>
            </w:pPr>
            <w:r w:rsidRPr="00EB68E3">
              <w:rPr>
                <w:sz w:val="22"/>
                <w:szCs w:val="22"/>
              </w:rPr>
              <w:t>5 711</w:t>
            </w:r>
          </w:p>
        </w:tc>
        <w:tc>
          <w:tcPr>
            <w:tcW w:w="496" w:type="pct"/>
            <w:tcBorders>
              <w:top w:val="nil"/>
              <w:left w:val="nil"/>
              <w:bottom w:val="single" w:sz="8" w:space="0" w:color="auto"/>
              <w:right w:val="single" w:sz="8" w:space="0" w:color="auto"/>
            </w:tcBorders>
            <w:noWrap/>
            <w:vAlign w:val="center"/>
            <w:hideMark/>
          </w:tcPr>
          <w:p w14:paraId="2B108214" w14:textId="5AA90DFC" w:rsidR="00A4507B" w:rsidRPr="00EB68E3" w:rsidRDefault="00A4507B" w:rsidP="00EE1766">
            <w:pPr>
              <w:jc w:val="right"/>
              <w:rPr>
                <w:rFonts w:eastAsia="MS Mincho"/>
                <w:sz w:val="22"/>
                <w:szCs w:val="22"/>
              </w:rPr>
            </w:pPr>
            <w:r w:rsidRPr="00EB68E3">
              <w:rPr>
                <w:sz w:val="22"/>
                <w:szCs w:val="22"/>
              </w:rPr>
              <w:t>1 694</w:t>
            </w:r>
          </w:p>
        </w:tc>
        <w:tc>
          <w:tcPr>
            <w:tcW w:w="431" w:type="pct"/>
            <w:tcBorders>
              <w:top w:val="nil"/>
              <w:left w:val="nil"/>
              <w:bottom w:val="single" w:sz="8" w:space="0" w:color="auto"/>
              <w:right w:val="single" w:sz="8" w:space="0" w:color="auto"/>
            </w:tcBorders>
            <w:noWrap/>
            <w:vAlign w:val="center"/>
            <w:hideMark/>
          </w:tcPr>
          <w:p w14:paraId="335B0DF0" w14:textId="228A5304" w:rsidR="00A4507B" w:rsidRPr="00EB68E3" w:rsidRDefault="00A4507B" w:rsidP="00EE1766">
            <w:pPr>
              <w:jc w:val="right"/>
              <w:rPr>
                <w:rFonts w:eastAsia="MS Mincho"/>
                <w:sz w:val="22"/>
                <w:szCs w:val="22"/>
              </w:rPr>
            </w:pPr>
            <w:r w:rsidRPr="00EB68E3">
              <w:rPr>
                <w:sz w:val="22"/>
                <w:szCs w:val="22"/>
              </w:rPr>
              <w:t>5 596</w:t>
            </w:r>
          </w:p>
        </w:tc>
        <w:tc>
          <w:tcPr>
            <w:tcW w:w="496" w:type="pct"/>
            <w:tcBorders>
              <w:top w:val="nil"/>
              <w:left w:val="nil"/>
              <w:bottom w:val="single" w:sz="8" w:space="0" w:color="auto"/>
              <w:right w:val="single" w:sz="8" w:space="0" w:color="auto"/>
            </w:tcBorders>
            <w:noWrap/>
            <w:vAlign w:val="center"/>
            <w:hideMark/>
          </w:tcPr>
          <w:p w14:paraId="47326D67" w14:textId="3B5C4C95" w:rsidR="00A4507B" w:rsidRPr="00EB68E3" w:rsidRDefault="00A4507B" w:rsidP="00EE1766">
            <w:pPr>
              <w:jc w:val="right"/>
              <w:rPr>
                <w:rFonts w:eastAsia="MS Mincho"/>
                <w:sz w:val="22"/>
                <w:szCs w:val="22"/>
              </w:rPr>
            </w:pPr>
            <w:r w:rsidRPr="00EB68E3">
              <w:rPr>
                <w:sz w:val="22"/>
                <w:szCs w:val="22"/>
              </w:rPr>
              <w:t>98 %</w:t>
            </w:r>
          </w:p>
        </w:tc>
        <w:tc>
          <w:tcPr>
            <w:tcW w:w="347" w:type="pct"/>
            <w:tcBorders>
              <w:top w:val="nil"/>
              <w:left w:val="nil"/>
              <w:bottom w:val="single" w:sz="8" w:space="0" w:color="auto"/>
              <w:right w:val="single" w:sz="8" w:space="0" w:color="auto"/>
            </w:tcBorders>
            <w:noWrap/>
            <w:vAlign w:val="center"/>
            <w:hideMark/>
          </w:tcPr>
          <w:p w14:paraId="749BF19D" w14:textId="2F9F8B75" w:rsidR="00A4507B" w:rsidRPr="00EB68E3" w:rsidRDefault="00A4507B" w:rsidP="00EE1766">
            <w:pPr>
              <w:jc w:val="right"/>
              <w:rPr>
                <w:rFonts w:eastAsia="MS Mincho"/>
                <w:sz w:val="22"/>
                <w:szCs w:val="22"/>
              </w:rPr>
            </w:pPr>
            <w:r w:rsidRPr="00EB68E3">
              <w:rPr>
                <w:sz w:val="22"/>
                <w:szCs w:val="22"/>
              </w:rPr>
              <w:t>1 809</w:t>
            </w:r>
          </w:p>
        </w:tc>
        <w:tc>
          <w:tcPr>
            <w:tcW w:w="496" w:type="pct"/>
            <w:tcBorders>
              <w:top w:val="nil"/>
              <w:left w:val="nil"/>
              <w:bottom w:val="single" w:sz="8" w:space="0" w:color="auto"/>
              <w:right w:val="single" w:sz="8" w:space="0" w:color="auto"/>
            </w:tcBorders>
            <w:noWrap/>
            <w:vAlign w:val="center"/>
            <w:hideMark/>
          </w:tcPr>
          <w:p w14:paraId="1D911524" w14:textId="16B5DA87" w:rsidR="00A4507B" w:rsidRPr="00EB68E3" w:rsidRDefault="00A4507B" w:rsidP="00EE1766">
            <w:pPr>
              <w:jc w:val="right"/>
              <w:rPr>
                <w:rFonts w:eastAsia="MS Mincho"/>
                <w:sz w:val="22"/>
                <w:szCs w:val="22"/>
              </w:rPr>
            </w:pPr>
            <w:r w:rsidRPr="00EB68E3">
              <w:rPr>
                <w:sz w:val="22"/>
                <w:szCs w:val="22"/>
              </w:rPr>
              <w:t>5 759</w:t>
            </w:r>
          </w:p>
        </w:tc>
        <w:tc>
          <w:tcPr>
            <w:tcW w:w="496" w:type="pct"/>
            <w:tcBorders>
              <w:top w:val="nil"/>
              <w:left w:val="nil"/>
              <w:bottom w:val="single" w:sz="8" w:space="0" w:color="auto"/>
              <w:right w:val="single" w:sz="8" w:space="0" w:color="auto"/>
            </w:tcBorders>
            <w:noWrap/>
            <w:vAlign w:val="center"/>
            <w:hideMark/>
          </w:tcPr>
          <w:p w14:paraId="61E4B85A" w14:textId="598D2A68" w:rsidR="00A4507B" w:rsidRPr="00EB68E3" w:rsidRDefault="00A4507B" w:rsidP="00EE1766">
            <w:pPr>
              <w:jc w:val="right"/>
              <w:rPr>
                <w:rFonts w:eastAsia="MS Mincho"/>
                <w:sz w:val="22"/>
                <w:szCs w:val="22"/>
              </w:rPr>
            </w:pPr>
            <w:r w:rsidRPr="00EB68E3">
              <w:rPr>
                <w:sz w:val="22"/>
                <w:szCs w:val="22"/>
              </w:rPr>
              <w:t>2 366</w:t>
            </w:r>
          </w:p>
        </w:tc>
        <w:tc>
          <w:tcPr>
            <w:tcW w:w="431" w:type="pct"/>
            <w:tcBorders>
              <w:top w:val="nil"/>
              <w:left w:val="nil"/>
              <w:bottom w:val="single" w:sz="8" w:space="0" w:color="auto"/>
              <w:right w:val="single" w:sz="8" w:space="0" w:color="auto"/>
            </w:tcBorders>
            <w:noWrap/>
            <w:vAlign w:val="center"/>
            <w:hideMark/>
          </w:tcPr>
          <w:p w14:paraId="1E815054" w14:textId="17A0CEEC" w:rsidR="00A4507B" w:rsidRPr="00EB68E3" w:rsidRDefault="00A4507B" w:rsidP="00EE1766">
            <w:pPr>
              <w:jc w:val="right"/>
              <w:rPr>
                <w:rFonts w:eastAsia="MS Mincho"/>
                <w:sz w:val="22"/>
                <w:szCs w:val="22"/>
              </w:rPr>
            </w:pPr>
            <w:r w:rsidRPr="00EB68E3">
              <w:rPr>
                <w:sz w:val="22"/>
                <w:szCs w:val="22"/>
              </w:rPr>
              <w:t>6 448</w:t>
            </w:r>
          </w:p>
        </w:tc>
        <w:tc>
          <w:tcPr>
            <w:tcW w:w="496" w:type="pct"/>
            <w:tcBorders>
              <w:top w:val="nil"/>
              <w:left w:val="nil"/>
              <w:bottom w:val="single" w:sz="8" w:space="0" w:color="auto"/>
              <w:right w:val="single" w:sz="8" w:space="0" w:color="auto"/>
            </w:tcBorders>
            <w:noWrap/>
            <w:vAlign w:val="center"/>
            <w:hideMark/>
          </w:tcPr>
          <w:p w14:paraId="61F3751D" w14:textId="0F2EDFDF" w:rsidR="00A4507B" w:rsidRPr="00EB68E3" w:rsidRDefault="00A4507B" w:rsidP="00EE1766">
            <w:pPr>
              <w:jc w:val="right"/>
              <w:rPr>
                <w:rFonts w:eastAsia="MS Mincho"/>
                <w:sz w:val="22"/>
                <w:szCs w:val="22"/>
              </w:rPr>
            </w:pPr>
            <w:r w:rsidRPr="00EB68E3">
              <w:rPr>
                <w:sz w:val="22"/>
                <w:szCs w:val="22"/>
              </w:rPr>
              <w:t>111,98 %</w:t>
            </w:r>
          </w:p>
        </w:tc>
        <w:tc>
          <w:tcPr>
            <w:tcW w:w="372" w:type="pct"/>
            <w:tcBorders>
              <w:top w:val="nil"/>
              <w:left w:val="nil"/>
              <w:bottom w:val="single" w:sz="8" w:space="0" w:color="auto"/>
              <w:right w:val="single" w:sz="8" w:space="0" w:color="auto"/>
            </w:tcBorders>
            <w:noWrap/>
            <w:vAlign w:val="center"/>
            <w:hideMark/>
          </w:tcPr>
          <w:p w14:paraId="53E0C821" w14:textId="144F20F7" w:rsidR="00A4507B" w:rsidRPr="00EB68E3" w:rsidRDefault="00A4507B" w:rsidP="00EE1766">
            <w:pPr>
              <w:jc w:val="right"/>
              <w:rPr>
                <w:rFonts w:eastAsia="MS Mincho"/>
                <w:sz w:val="22"/>
                <w:szCs w:val="22"/>
              </w:rPr>
            </w:pPr>
            <w:r w:rsidRPr="00EB68E3">
              <w:rPr>
                <w:sz w:val="22"/>
                <w:szCs w:val="22"/>
              </w:rPr>
              <w:t>1 676</w:t>
            </w:r>
          </w:p>
        </w:tc>
      </w:tr>
      <w:tr w:rsidR="00B9624E" w:rsidRPr="00EB68E3" w14:paraId="30619D3B" w14:textId="77777777" w:rsidTr="00A4507B">
        <w:trPr>
          <w:trHeight w:val="319"/>
        </w:trPr>
        <w:tc>
          <w:tcPr>
            <w:tcW w:w="439" w:type="pct"/>
            <w:tcBorders>
              <w:top w:val="nil"/>
              <w:left w:val="single" w:sz="8" w:space="0" w:color="auto"/>
              <w:bottom w:val="single" w:sz="8" w:space="0" w:color="auto"/>
              <w:right w:val="single" w:sz="8" w:space="0" w:color="auto"/>
            </w:tcBorders>
            <w:vAlign w:val="center"/>
            <w:hideMark/>
          </w:tcPr>
          <w:p w14:paraId="1C7FD6F7" w14:textId="767F2655" w:rsidR="00A4507B" w:rsidRPr="00EB68E3" w:rsidRDefault="00B9624E" w:rsidP="00EE1766">
            <w:pPr>
              <w:rPr>
                <w:rFonts w:eastAsia="MS Mincho"/>
                <w:sz w:val="22"/>
                <w:szCs w:val="22"/>
              </w:rPr>
            </w:pPr>
            <w:r w:rsidRPr="00EB68E3">
              <w:rPr>
                <w:sz w:val="22"/>
                <w:szCs w:val="22"/>
              </w:rPr>
              <w:t>Vihreät / Euroopan vapaa allianssi -ryhmä (Verts/ALE)</w:t>
            </w:r>
          </w:p>
        </w:tc>
        <w:tc>
          <w:tcPr>
            <w:tcW w:w="496" w:type="pct"/>
            <w:tcBorders>
              <w:top w:val="nil"/>
              <w:left w:val="nil"/>
              <w:bottom w:val="single" w:sz="8" w:space="0" w:color="auto"/>
              <w:right w:val="single" w:sz="8" w:space="0" w:color="auto"/>
            </w:tcBorders>
            <w:noWrap/>
            <w:vAlign w:val="center"/>
            <w:hideMark/>
          </w:tcPr>
          <w:p w14:paraId="6F6684CA" w14:textId="3AB06AFD" w:rsidR="00A4507B" w:rsidRPr="00EB68E3" w:rsidRDefault="00A4507B" w:rsidP="00EE1766">
            <w:pPr>
              <w:jc w:val="right"/>
              <w:rPr>
                <w:rFonts w:eastAsia="MS Mincho"/>
                <w:sz w:val="22"/>
                <w:szCs w:val="22"/>
              </w:rPr>
            </w:pPr>
            <w:r w:rsidRPr="00EB68E3">
              <w:rPr>
                <w:sz w:val="22"/>
                <w:szCs w:val="22"/>
              </w:rPr>
              <w:t>4 333</w:t>
            </w:r>
          </w:p>
        </w:tc>
        <w:tc>
          <w:tcPr>
            <w:tcW w:w="496" w:type="pct"/>
            <w:tcBorders>
              <w:top w:val="nil"/>
              <w:left w:val="nil"/>
              <w:bottom w:val="single" w:sz="8" w:space="0" w:color="auto"/>
              <w:right w:val="single" w:sz="8" w:space="0" w:color="auto"/>
            </w:tcBorders>
            <w:noWrap/>
            <w:vAlign w:val="center"/>
            <w:hideMark/>
          </w:tcPr>
          <w:p w14:paraId="4B012907" w14:textId="1D053BC9" w:rsidR="00A4507B" w:rsidRPr="00EB68E3" w:rsidRDefault="00A4507B" w:rsidP="00EE1766">
            <w:pPr>
              <w:jc w:val="right"/>
              <w:rPr>
                <w:rFonts w:eastAsia="MS Mincho"/>
                <w:sz w:val="22"/>
                <w:szCs w:val="22"/>
              </w:rPr>
            </w:pPr>
            <w:r w:rsidRPr="00EB68E3">
              <w:rPr>
                <w:sz w:val="22"/>
                <w:szCs w:val="22"/>
              </w:rPr>
              <w:t>1 826</w:t>
            </w:r>
          </w:p>
        </w:tc>
        <w:tc>
          <w:tcPr>
            <w:tcW w:w="431" w:type="pct"/>
            <w:tcBorders>
              <w:top w:val="nil"/>
              <w:left w:val="nil"/>
              <w:bottom w:val="single" w:sz="8" w:space="0" w:color="auto"/>
              <w:right w:val="single" w:sz="8" w:space="0" w:color="auto"/>
            </w:tcBorders>
            <w:noWrap/>
            <w:vAlign w:val="center"/>
            <w:hideMark/>
          </w:tcPr>
          <w:p w14:paraId="068FBDE6" w14:textId="6CD3599F" w:rsidR="00A4507B" w:rsidRPr="00EB68E3" w:rsidRDefault="00A4507B" w:rsidP="00EE1766">
            <w:pPr>
              <w:jc w:val="right"/>
              <w:rPr>
                <w:rFonts w:eastAsia="MS Mincho"/>
                <w:sz w:val="22"/>
                <w:szCs w:val="22"/>
              </w:rPr>
            </w:pPr>
            <w:r w:rsidRPr="00EB68E3">
              <w:rPr>
                <w:sz w:val="22"/>
                <w:szCs w:val="22"/>
              </w:rPr>
              <w:t>4 583</w:t>
            </w:r>
          </w:p>
        </w:tc>
        <w:tc>
          <w:tcPr>
            <w:tcW w:w="496" w:type="pct"/>
            <w:tcBorders>
              <w:top w:val="nil"/>
              <w:left w:val="nil"/>
              <w:bottom w:val="single" w:sz="8" w:space="0" w:color="auto"/>
              <w:right w:val="single" w:sz="8" w:space="0" w:color="auto"/>
            </w:tcBorders>
            <w:noWrap/>
            <w:vAlign w:val="center"/>
            <w:hideMark/>
          </w:tcPr>
          <w:p w14:paraId="5374D78D" w14:textId="242F972D" w:rsidR="00A4507B" w:rsidRPr="00EB68E3" w:rsidRDefault="00A4507B" w:rsidP="00EE1766">
            <w:pPr>
              <w:jc w:val="right"/>
              <w:rPr>
                <w:rFonts w:eastAsia="MS Mincho"/>
                <w:sz w:val="22"/>
                <w:szCs w:val="22"/>
              </w:rPr>
            </w:pPr>
            <w:r w:rsidRPr="00EB68E3">
              <w:rPr>
                <w:sz w:val="22"/>
                <w:szCs w:val="22"/>
              </w:rPr>
              <w:t>105,76 %</w:t>
            </w:r>
          </w:p>
        </w:tc>
        <w:tc>
          <w:tcPr>
            <w:tcW w:w="347" w:type="pct"/>
            <w:tcBorders>
              <w:top w:val="nil"/>
              <w:left w:val="nil"/>
              <w:bottom w:val="single" w:sz="8" w:space="0" w:color="auto"/>
              <w:right w:val="single" w:sz="8" w:space="0" w:color="auto"/>
            </w:tcBorders>
            <w:noWrap/>
            <w:vAlign w:val="center"/>
            <w:hideMark/>
          </w:tcPr>
          <w:p w14:paraId="447E2280" w14:textId="03220D2B" w:rsidR="00A4507B" w:rsidRPr="00EB68E3" w:rsidRDefault="00A4507B" w:rsidP="00EE1766">
            <w:pPr>
              <w:jc w:val="right"/>
              <w:rPr>
                <w:rFonts w:eastAsia="MS Mincho"/>
                <w:sz w:val="22"/>
                <w:szCs w:val="22"/>
              </w:rPr>
            </w:pPr>
            <w:r w:rsidRPr="00EB68E3">
              <w:rPr>
                <w:sz w:val="22"/>
                <w:szCs w:val="22"/>
              </w:rPr>
              <w:t>1 578</w:t>
            </w:r>
          </w:p>
        </w:tc>
        <w:tc>
          <w:tcPr>
            <w:tcW w:w="496" w:type="pct"/>
            <w:tcBorders>
              <w:top w:val="nil"/>
              <w:left w:val="nil"/>
              <w:bottom w:val="single" w:sz="8" w:space="0" w:color="auto"/>
              <w:right w:val="single" w:sz="8" w:space="0" w:color="auto"/>
            </w:tcBorders>
            <w:noWrap/>
            <w:vAlign w:val="center"/>
            <w:hideMark/>
          </w:tcPr>
          <w:p w14:paraId="35FE6004" w14:textId="4C5FED62" w:rsidR="00A4507B" w:rsidRPr="00EB68E3" w:rsidRDefault="00A4507B" w:rsidP="00EE1766">
            <w:pPr>
              <w:jc w:val="right"/>
              <w:rPr>
                <w:rFonts w:eastAsia="MS Mincho"/>
                <w:sz w:val="22"/>
                <w:szCs w:val="22"/>
              </w:rPr>
            </w:pPr>
            <w:r w:rsidRPr="00EB68E3">
              <w:rPr>
                <w:sz w:val="22"/>
                <w:szCs w:val="22"/>
              </w:rPr>
              <w:t>4 180</w:t>
            </w:r>
          </w:p>
        </w:tc>
        <w:tc>
          <w:tcPr>
            <w:tcW w:w="496" w:type="pct"/>
            <w:tcBorders>
              <w:top w:val="nil"/>
              <w:left w:val="nil"/>
              <w:bottom w:val="single" w:sz="8" w:space="0" w:color="auto"/>
              <w:right w:val="single" w:sz="8" w:space="0" w:color="auto"/>
            </w:tcBorders>
            <w:noWrap/>
            <w:vAlign w:val="center"/>
            <w:hideMark/>
          </w:tcPr>
          <w:p w14:paraId="7AB65948" w14:textId="17229C60" w:rsidR="00A4507B" w:rsidRPr="00EB68E3" w:rsidRDefault="00A4507B" w:rsidP="00EE1766">
            <w:pPr>
              <w:jc w:val="right"/>
              <w:rPr>
                <w:rFonts w:eastAsia="MS Mincho"/>
                <w:sz w:val="22"/>
                <w:szCs w:val="22"/>
              </w:rPr>
            </w:pPr>
            <w:r w:rsidRPr="00EB68E3">
              <w:rPr>
                <w:sz w:val="22"/>
                <w:szCs w:val="22"/>
              </w:rPr>
              <w:t>1 557</w:t>
            </w:r>
          </w:p>
        </w:tc>
        <w:tc>
          <w:tcPr>
            <w:tcW w:w="431" w:type="pct"/>
            <w:tcBorders>
              <w:top w:val="nil"/>
              <w:left w:val="nil"/>
              <w:bottom w:val="single" w:sz="8" w:space="0" w:color="auto"/>
              <w:right w:val="single" w:sz="8" w:space="0" w:color="auto"/>
            </w:tcBorders>
            <w:noWrap/>
            <w:vAlign w:val="center"/>
            <w:hideMark/>
          </w:tcPr>
          <w:p w14:paraId="408C2B92" w14:textId="25D5DC34" w:rsidR="00A4507B" w:rsidRPr="00EB68E3" w:rsidRDefault="00A4507B" w:rsidP="00EE1766">
            <w:pPr>
              <w:jc w:val="right"/>
              <w:rPr>
                <w:rFonts w:eastAsia="MS Mincho"/>
                <w:sz w:val="22"/>
                <w:szCs w:val="22"/>
              </w:rPr>
            </w:pPr>
            <w:r w:rsidRPr="00EB68E3">
              <w:rPr>
                <w:sz w:val="22"/>
                <w:szCs w:val="22"/>
              </w:rPr>
              <w:t>3 921</w:t>
            </w:r>
          </w:p>
        </w:tc>
        <w:tc>
          <w:tcPr>
            <w:tcW w:w="496" w:type="pct"/>
            <w:tcBorders>
              <w:top w:val="nil"/>
              <w:left w:val="nil"/>
              <w:bottom w:val="single" w:sz="8" w:space="0" w:color="auto"/>
              <w:right w:val="single" w:sz="8" w:space="0" w:color="auto"/>
            </w:tcBorders>
            <w:noWrap/>
            <w:vAlign w:val="center"/>
            <w:hideMark/>
          </w:tcPr>
          <w:p w14:paraId="5C706929" w14:textId="186D7BC1" w:rsidR="00A4507B" w:rsidRPr="00EB68E3" w:rsidRDefault="00A4507B" w:rsidP="00EE1766">
            <w:pPr>
              <w:jc w:val="right"/>
              <w:rPr>
                <w:rFonts w:eastAsia="MS Mincho"/>
                <w:sz w:val="22"/>
                <w:szCs w:val="22"/>
              </w:rPr>
            </w:pPr>
            <w:r w:rsidRPr="00EB68E3">
              <w:rPr>
                <w:sz w:val="22"/>
                <w:szCs w:val="22"/>
              </w:rPr>
              <w:t>93,82 %</w:t>
            </w:r>
          </w:p>
        </w:tc>
        <w:tc>
          <w:tcPr>
            <w:tcW w:w="372" w:type="pct"/>
            <w:tcBorders>
              <w:top w:val="nil"/>
              <w:left w:val="nil"/>
              <w:bottom w:val="single" w:sz="8" w:space="0" w:color="auto"/>
              <w:right w:val="single" w:sz="8" w:space="0" w:color="auto"/>
            </w:tcBorders>
            <w:noWrap/>
            <w:vAlign w:val="center"/>
            <w:hideMark/>
          </w:tcPr>
          <w:p w14:paraId="5F7F4407" w14:textId="3B314BD1" w:rsidR="00A4507B" w:rsidRPr="00EB68E3" w:rsidRDefault="00A4507B" w:rsidP="00EE1766">
            <w:pPr>
              <w:jc w:val="right"/>
              <w:rPr>
                <w:rFonts w:eastAsia="MS Mincho"/>
                <w:sz w:val="22"/>
                <w:szCs w:val="22"/>
              </w:rPr>
            </w:pPr>
            <w:r w:rsidRPr="00EB68E3">
              <w:rPr>
                <w:sz w:val="22"/>
                <w:szCs w:val="22"/>
              </w:rPr>
              <w:t>1 815</w:t>
            </w:r>
          </w:p>
        </w:tc>
      </w:tr>
      <w:tr w:rsidR="00B9624E" w:rsidRPr="00EB68E3" w14:paraId="217CA03A" w14:textId="77777777" w:rsidTr="00A4507B">
        <w:trPr>
          <w:trHeight w:val="319"/>
        </w:trPr>
        <w:tc>
          <w:tcPr>
            <w:tcW w:w="439" w:type="pct"/>
            <w:tcBorders>
              <w:top w:val="nil"/>
              <w:left w:val="single" w:sz="8" w:space="0" w:color="auto"/>
              <w:bottom w:val="single" w:sz="8" w:space="0" w:color="auto"/>
              <w:right w:val="single" w:sz="8" w:space="0" w:color="auto"/>
            </w:tcBorders>
            <w:vAlign w:val="center"/>
            <w:hideMark/>
          </w:tcPr>
          <w:p w14:paraId="2BD9AE5C" w14:textId="0BA6D83D" w:rsidR="00A4507B" w:rsidRPr="00EB68E3" w:rsidRDefault="00B9624E" w:rsidP="00EE1766">
            <w:pPr>
              <w:rPr>
                <w:rFonts w:eastAsia="MS Mincho"/>
                <w:sz w:val="22"/>
                <w:szCs w:val="22"/>
              </w:rPr>
            </w:pPr>
            <w:r w:rsidRPr="00EB68E3">
              <w:rPr>
                <w:sz w:val="22"/>
                <w:szCs w:val="22"/>
              </w:rPr>
              <w:t>Euroopan yhtyneen vasemmiston konfederaatioryhmä / Pohjoismaiden vihreä vasemmisto (GUE/NGL)</w:t>
            </w:r>
          </w:p>
        </w:tc>
        <w:tc>
          <w:tcPr>
            <w:tcW w:w="496" w:type="pct"/>
            <w:tcBorders>
              <w:top w:val="nil"/>
              <w:left w:val="nil"/>
              <w:bottom w:val="single" w:sz="8" w:space="0" w:color="auto"/>
              <w:right w:val="single" w:sz="8" w:space="0" w:color="auto"/>
            </w:tcBorders>
            <w:noWrap/>
            <w:vAlign w:val="center"/>
            <w:hideMark/>
          </w:tcPr>
          <w:p w14:paraId="5902D5AA" w14:textId="6D366D4F" w:rsidR="00A4507B" w:rsidRPr="00EB68E3" w:rsidRDefault="00A4507B" w:rsidP="00EE1766">
            <w:pPr>
              <w:jc w:val="right"/>
              <w:rPr>
                <w:rFonts w:eastAsia="MS Mincho"/>
                <w:sz w:val="22"/>
                <w:szCs w:val="22"/>
              </w:rPr>
            </w:pPr>
            <w:r w:rsidRPr="00EB68E3">
              <w:rPr>
                <w:sz w:val="22"/>
                <w:szCs w:val="22"/>
              </w:rPr>
              <w:t>4 421</w:t>
            </w:r>
          </w:p>
        </w:tc>
        <w:tc>
          <w:tcPr>
            <w:tcW w:w="496" w:type="pct"/>
            <w:tcBorders>
              <w:top w:val="nil"/>
              <w:left w:val="nil"/>
              <w:bottom w:val="single" w:sz="8" w:space="0" w:color="auto"/>
              <w:right w:val="single" w:sz="8" w:space="0" w:color="auto"/>
            </w:tcBorders>
            <w:noWrap/>
            <w:vAlign w:val="center"/>
            <w:hideMark/>
          </w:tcPr>
          <w:p w14:paraId="5CCBB738" w14:textId="5C0C6E7A" w:rsidR="00A4507B" w:rsidRPr="00EB68E3" w:rsidRDefault="00A4507B" w:rsidP="00EE1766">
            <w:pPr>
              <w:jc w:val="right"/>
              <w:rPr>
                <w:rFonts w:eastAsia="MS Mincho"/>
                <w:sz w:val="22"/>
                <w:szCs w:val="22"/>
              </w:rPr>
            </w:pPr>
            <w:r w:rsidRPr="00EB68E3">
              <w:rPr>
                <w:sz w:val="22"/>
                <w:szCs w:val="22"/>
              </w:rPr>
              <w:t>1 407</w:t>
            </w:r>
          </w:p>
        </w:tc>
        <w:tc>
          <w:tcPr>
            <w:tcW w:w="431" w:type="pct"/>
            <w:tcBorders>
              <w:top w:val="nil"/>
              <w:left w:val="nil"/>
              <w:bottom w:val="single" w:sz="8" w:space="0" w:color="auto"/>
              <w:right w:val="single" w:sz="8" w:space="0" w:color="auto"/>
            </w:tcBorders>
            <w:noWrap/>
            <w:vAlign w:val="center"/>
            <w:hideMark/>
          </w:tcPr>
          <w:p w14:paraId="0E40BEBB" w14:textId="63F7250C" w:rsidR="00A4507B" w:rsidRPr="00EB68E3" w:rsidRDefault="00A4507B" w:rsidP="00EE1766">
            <w:pPr>
              <w:jc w:val="right"/>
              <w:rPr>
                <w:rFonts w:eastAsia="MS Mincho"/>
                <w:sz w:val="22"/>
                <w:szCs w:val="22"/>
              </w:rPr>
            </w:pPr>
            <w:r w:rsidRPr="00EB68E3">
              <w:rPr>
                <w:sz w:val="22"/>
                <w:szCs w:val="22"/>
              </w:rPr>
              <w:t>4 571</w:t>
            </w:r>
          </w:p>
        </w:tc>
        <w:tc>
          <w:tcPr>
            <w:tcW w:w="496" w:type="pct"/>
            <w:tcBorders>
              <w:top w:val="nil"/>
              <w:left w:val="nil"/>
              <w:bottom w:val="single" w:sz="8" w:space="0" w:color="auto"/>
              <w:right w:val="single" w:sz="8" w:space="0" w:color="auto"/>
            </w:tcBorders>
            <w:noWrap/>
            <w:vAlign w:val="center"/>
            <w:hideMark/>
          </w:tcPr>
          <w:p w14:paraId="64E1C82D" w14:textId="3C5F41C1" w:rsidR="00A4507B" w:rsidRPr="00EB68E3" w:rsidRDefault="00A4507B" w:rsidP="00EE1766">
            <w:pPr>
              <w:jc w:val="right"/>
              <w:rPr>
                <w:rFonts w:eastAsia="MS Mincho"/>
                <w:sz w:val="22"/>
                <w:szCs w:val="22"/>
              </w:rPr>
            </w:pPr>
            <w:r w:rsidRPr="00EB68E3">
              <w:rPr>
                <w:sz w:val="22"/>
                <w:szCs w:val="22"/>
              </w:rPr>
              <w:t>103,39 %</w:t>
            </w:r>
          </w:p>
        </w:tc>
        <w:tc>
          <w:tcPr>
            <w:tcW w:w="347" w:type="pct"/>
            <w:tcBorders>
              <w:top w:val="nil"/>
              <w:left w:val="nil"/>
              <w:bottom w:val="single" w:sz="8" w:space="0" w:color="auto"/>
              <w:right w:val="single" w:sz="8" w:space="0" w:color="auto"/>
            </w:tcBorders>
            <w:noWrap/>
            <w:vAlign w:val="center"/>
            <w:hideMark/>
          </w:tcPr>
          <w:p w14:paraId="44C941AF" w14:textId="1B551853" w:rsidR="00A4507B" w:rsidRPr="00EB68E3" w:rsidRDefault="00A4507B" w:rsidP="00EE1766">
            <w:pPr>
              <w:jc w:val="right"/>
              <w:rPr>
                <w:rFonts w:eastAsia="MS Mincho"/>
                <w:sz w:val="22"/>
                <w:szCs w:val="22"/>
              </w:rPr>
            </w:pPr>
            <w:r w:rsidRPr="00EB68E3">
              <w:rPr>
                <w:sz w:val="22"/>
                <w:szCs w:val="22"/>
              </w:rPr>
              <w:t>1 257</w:t>
            </w:r>
          </w:p>
        </w:tc>
        <w:tc>
          <w:tcPr>
            <w:tcW w:w="496" w:type="pct"/>
            <w:tcBorders>
              <w:top w:val="nil"/>
              <w:left w:val="nil"/>
              <w:bottom w:val="single" w:sz="8" w:space="0" w:color="auto"/>
              <w:right w:val="single" w:sz="8" w:space="0" w:color="auto"/>
            </w:tcBorders>
            <w:noWrap/>
            <w:vAlign w:val="center"/>
            <w:hideMark/>
          </w:tcPr>
          <w:p w14:paraId="77E9C085" w14:textId="2A92EF43" w:rsidR="00A4507B" w:rsidRPr="00EB68E3" w:rsidRDefault="00A4507B" w:rsidP="00EE1766">
            <w:pPr>
              <w:jc w:val="right"/>
              <w:rPr>
                <w:rFonts w:eastAsia="MS Mincho"/>
                <w:sz w:val="22"/>
                <w:szCs w:val="22"/>
              </w:rPr>
            </w:pPr>
            <w:r w:rsidRPr="00EB68E3">
              <w:rPr>
                <w:sz w:val="22"/>
                <w:szCs w:val="22"/>
              </w:rPr>
              <w:t>4 340</w:t>
            </w:r>
          </w:p>
        </w:tc>
        <w:tc>
          <w:tcPr>
            <w:tcW w:w="496" w:type="pct"/>
            <w:tcBorders>
              <w:top w:val="nil"/>
              <w:left w:val="nil"/>
              <w:bottom w:val="single" w:sz="8" w:space="0" w:color="auto"/>
              <w:right w:val="single" w:sz="8" w:space="0" w:color="auto"/>
            </w:tcBorders>
            <w:noWrap/>
            <w:vAlign w:val="center"/>
            <w:hideMark/>
          </w:tcPr>
          <w:p w14:paraId="5D8BA860" w14:textId="61F19F46" w:rsidR="00A4507B" w:rsidRPr="00EB68E3" w:rsidRDefault="00A4507B" w:rsidP="00EE1766">
            <w:pPr>
              <w:jc w:val="right"/>
              <w:rPr>
                <w:rFonts w:eastAsia="MS Mincho"/>
                <w:sz w:val="22"/>
                <w:szCs w:val="22"/>
              </w:rPr>
            </w:pPr>
            <w:r w:rsidRPr="00EB68E3">
              <w:rPr>
                <w:sz w:val="22"/>
                <w:szCs w:val="22"/>
              </w:rPr>
              <w:t>1 729</w:t>
            </w:r>
          </w:p>
        </w:tc>
        <w:tc>
          <w:tcPr>
            <w:tcW w:w="431" w:type="pct"/>
            <w:tcBorders>
              <w:top w:val="nil"/>
              <w:left w:val="nil"/>
              <w:bottom w:val="single" w:sz="8" w:space="0" w:color="auto"/>
              <w:right w:val="single" w:sz="8" w:space="0" w:color="auto"/>
            </w:tcBorders>
            <w:noWrap/>
            <w:vAlign w:val="center"/>
            <w:hideMark/>
          </w:tcPr>
          <w:p w14:paraId="51C740AB" w14:textId="0D783AA4" w:rsidR="00A4507B" w:rsidRPr="00EB68E3" w:rsidRDefault="00A4507B" w:rsidP="00EE1766">
            <w:pPr>
              <w:jc w:val="right"/>
              <w:rPr>
                <w:rFonts w:eastAsia="MS Mincho"/>
                <w:sz w:val="22"/>
                <w:szCs w:val="22"/>
              </w:rPr>
            </w:pPr>
            <w:r w:rsidRPr="00EB68E3">
              <w:rPr>
                <w:sz w:val="22"/>
                <w:szCs w:val="22"/>
              </w:rPr>
              <w:t>4 662</w:t>
            </w:r>
          </w:p>
        </w:tc>
        <w:tc>
          <w:tcPr>
            <w:tcW w:w="496" w:type="pct"/>
            <w:tcBorders>
              <w:top w:val="nil"/>
              <w:left w:val="nil"/>
              <w:bottom w:val="single" w:sz="8" w:space="0" w:color="auto"/>
              <w:right w:val="single" w:sz="8" w:space="0" w:color="auto"/>
            </w:tcBorders>
            <w:noWrap/>
            <w:vAlign w:val="center"/>
            <w:hideMark/>
          </w:tcPr>
          <w:p w14:paraId="6408B922" w14:textId="391B5EEC" w:rsidR="00A4507B" w:rsidRPr="00EB68E3" w:rsidRDefault="00A4507B" w:rsidP="00EE1766">
            <w:pPr>
              <w:jc w:val="right"/>
              <w:rPr>
                <w:rFonts w:eastAsia="MS Mincho"/>
                <w:sz w:val="22"/>
                <w:szCs w:val="22"/>
              </w:rPr>
            </w:pPr>
            <w:r w:rsidRPr="00EB68E3">
              <w:rPr>
                <w:sz w:val="22"/>
                <w:szCs w:val="22"/>
              </w:rPr>
              <w:t>107,43  %</w:t>
            </w:r>
          </w:p>
        </w:tc>
        <w:tc>
          <w:tcPr>
            <w:tcW w:w="372" w:type="pct"/>
            <w:tcBorders>
              <w:top w:val="nil"/>
              <w:left w:val="nil"/>
              <w:bottom w:val="single" w:sz="8" w:space="0" w:color="auto"/>
              <w:right w:val="single" w:sz="8" w:space="0" w:color="auto"/>
            </w:tcBorders>
            <w:noWrap/>
            <w:vAlign w:val="center"/>
            <w:hideMark/>
          </w:tcPr>
          <w:p w14:paraId="3DB34576" w14:textId="586E62DE" w:rsidR="00A4507B" w:rsidRPr="00EB68E3" w:rsidRDefault="00A4507B" w:rsidP="00EE1766">
            <w:pPr>
              <w:jc w:val="right"/>
              <w:rPr>
                <w:rFonts w:eastAsia="MS Mincho"/>
                <w:sz w:val="22"/>
                <w:szCs w:val="22"/>
              </w:rPr>
            </w:pPr>
            <w:r w:rsidRPr="00EB68E3">
              <w:rPr>
                <w:sz w:val="22"/>
                <w:szCs w:val="22"/>
              </w:rPr>
              <w:t>1 407</w:t>
            </w:r>
          </w:p>
        </w:tc>
      </w:tr>
      <w:tr w:rsidR="00B9624E" w:rsidRPr="00EB68E3" w14:paraId="4DBC0D66" w14:textId="77777777" w:rsidTr="00A4507B">
        <w:trPr>
          <w:trHeight w:val="319"/>
        </w:trPr>
        <w:tc>
          <w:tcPr>
            <w:tcW w:w="439" w:type="pct"/>
            <w:tcBorders>
              <w:top w:val="nil"/>
              <w:left w:val="single" w:sz="8" w:space="0" w:color="auto"/>
              <w:bottom w:val="single" w:sz="8" w:space="0" w:color="auto"/>
              <w:right w:val="single" w:sz="8" w:space="0" w:color="auto"/>
            </w:tcBorders>
            <w:vAlign w:val="center"/>
            <w:hideMark/>
          </w:tcPr>
          <w:p w14:paraId="451B9B2D" w14:textId="4F633399" w:rsidR="00A4507B" w:rsidRPr="00EB68E3" w:rsidRDefault="00B9624E" w:rsidP="00EE1766">
            <w:pPr>
              <w:rPr>
                <w:rFonts w:eastAsia="MS Mincho"/>
                <w:sz w:val="22"/>
                <w:szCs w:val="22"/>
              </w:rPr>
            </w:pPr>
            <w:r w:rsidRPr="00EB68E3">
              <w:rPr>
                <w:sz w:val="22"/>
                <w:szCs w:val="22"/>
              </w:rPr>
              <w:t>Vapauden ja suoran demokratian Eurooppa (EFDD)</w:t>
            </w:r>
          </w:p>
        </w:tc>
        <w:tc>
          <w:tcPr>
            <w:tcW w:w="496" w:type="pct"/>
            <w:tcBorders>
              <w:top w:val="nil"/>
              <w:left w:val="nil"/>
              <w:bottom w:val="single" w:sz="8" w:space="0" w:color="auto"/>
              <w:right w:val="single" w:sz="8" w:space="0" w:color="auto"/>
            </w:tcBorders>
            <w:noWrap/>
            <w:vAlign w:val="center"/>
            <w:hideMark/>
          </w:tcPr>
          <w:p w14:paraId="4F1CD979" w14:textId="1DD3CED2" w:rsidR="00A4507B" w:rsidRPr="00EB68E3" w:rsidRDefault="00A4507B" w:rsidP="00EE1766">
            <w:pPr>
              <w:jc w:val="right"/>
              <w:rPr>
                <w:rFonts w:eastAsia="MS Mincho"/>
                <w:sz w:val="22"/>
                <w:szCs w:val="22"/>
              </w:rPr>
            </w:pPr>
            <w:r w:rsidRPr="00EB68E3">
              <w:rPr>
                <w:sz w:val="22"/>
                <w:szCs w:val="22"/>
              </w:rPr>
              <w:t>3 654</w:t>
            </w:r>
          </w:p>
        </w:tc>
        <w:tc>
          <w:tcPr>
            <w:tcW w:w="496" w:type="pct"/>
            <w:tcBorders>
              <w:top w:val="nil"/>
              <w:left w:val="nil"/>
              <w:bottom w:val="single" w:sz="8" w:space="0" w:color="auto"/>
              <w:right w:val="single" w:sz="8" w:space="0" w:color="auto"/>
            </w:tcBorders>
            <w:noWrap/>
            <w:vAlign w:val="center"/>
            <w:hideMark/>
          </w:tcPr>
          <w:p w14:paraId="20CFE5C7" w14:textId="61B1FE8B" w:rsidR="00A4507B" w:rsidRPr="00EB68E3" w:rsidRDefault="00A4507B" w:rsidP="00EE1766">
            <w:pPr>
              <w:jc w:val="right"/>
              <w:rPr>
                <w:rFonts w:eastAsia="MS Mincho"/>
                <w:sz w:val="22"/>
                <w:szCs w:val="22"/>
              </w:rPr>
            </w:pPr>
            <w:r w:rsidRPr="00EB68E3">
              <w:rPr>
                <w:sz w:val="22"/>
                <w:szCs w:val="22"/>
              </w:rPr>
              <w:t>1 917</w:t>
            </w:r>
          </w:p>
        </w:tc>
        <w:tc>
          <w:tcPr>
            <w:tcW w:w="431" w:type="pct"/>
            <w:tcBorders>
              <w:top w:val="nil"/>
              <w:left w:val="nil"/>
              <w:bottom w:val="single" w:sz="8" w:space="0" w:color="auto"/>
              <w:right w:val="single" w:sz="8" w:space="0" w:color="auto"/>
            </w:tcBorders>
            <w:noWrap/>
            <w:vAlign w:val="center"/>
            <w:hideMark/>
          </w:tcPr>
          <w:p w14:paraId="62AECF91" w14:textId="047EF371" w:rsidR="00A4507B" w:rsidRPr="00EB68E3" w:rsidRDefault="00A4507B" w:rsidP="00EE1766">
            <w:pPr>
              <w:jc w:val="right"/>
              <w:rPr>
                <w:rFonts w:eastAsia="MS Mincho"/>
                <w:sz w:val="22"/>
                <w:szCs w:val="22"/>
              </w:rPr>
            </w:pPr>
            <w:r w:rsidRPr="00EB68E3">
              <w:rPr>
                <w:sz w:val="22"/>
                <w:szCs w:val="22"/>
              </w:rPr>
              <w:t>3 523</w:t>
            </w:r>
          </w:p>
        </w:tc>
        <w:tc>
          <w:tcPr>
            <w:tcW w:w="496" w:type="pct"/>
            <w:tcBorders>
              <w:top w:val="nil"/>
              <w:left w:val="nil"/>
              <w:bottom w:val="single" w:sz="8" w:space="0" w:color="auto"/>
              <w:right w:val="single" w:sz="8" w:space="0" w:color="auto"/>
            </w:tcBorders>
            <w:noWrap/>
            <w:vAlign w:val="center"/>
            <w:hideMark/>
          </w:tcPr>
          <w:p w14:paraId="675DEA6E" w14:textId="6F3E0166" w:rsidR="00A4507B" w:rsidRPr="00EB68E3" w:rsidRDefault="00A4507B" w:rsidP="00EE1766">
            <w:pPr>
              <w:jc w:val="right"/>
              <w:rPr>
                <w:rFonts w:eastAsia="MS Mincho"/>
                <w:sz w:val="22"/>
                <w:szCs w:val="22"/>
              </w:rPr>
            </w:pPr>
            <w:r w:rsidRPr="00EB68E3">
              <w:rPr>
                <w:sz w:val="22"/>
                <w:szCs w:val="22"/>
              </w:rPr>
              <w:t>96,41 %</w:t>
            </w:r>
          </w:p>
        </w:tc>
        <w:tc>
          <w:tcPr>
            <w:tcW w:w="347" w:type="pct"/>
            <w:tcBorders>
              <w:top w:val="nil"/>
              <w:left w:val="nil"/>
              <w:bottom w:val="single" w:sz="8" w:space="0" w:color="auto"/>
              <w:right w:val="single" w:sz="8" w:space="0" w:color="auto"/>
            </w:tcBorders>
            <w:noWrap/>
            <w:vAlign w:val="center"/>
            <w:hideMark/>
          </w:tcPr>
          <w:p w14:paraId="18F7685D" w14:textId="154DDA78" w:rsidR="00A4507B" w:rsidRPr="00EB68E3" w:rsidRDefault="00A4507B" w:rsidP="00EE1766">
            <w:pPr>
              <w:jc w:val="right"/>
              <w:rPr>
                <w:rFonts w:eastAsia="MS Mincho"/>
                <w:sz w:val="22"/>
                <w:szCs w:val="22"/>
              </w:rPr>
            </w:pPr>
            <w:r w:rsidRPr="00EB68E3">
              <w:rPr>
                <w:sz w:val="22"/>
                <w:szCs w:val="22"/>
              </w:rPr>
              <w:t>1 827</w:t>
            </w:r>
          </w:p>
        </w:tc>
        <w:tc>
          <w:tcPr>
            <w:tcW w:w="496" w:type="pct"/>
            <w:tcBorders>
              <w:top w:val="nil"/>
              <w:left w:val="nil"/>
              <w:bottom w:val="single" w:sz="8" w:space="0" w:color="auto"/>
              <w:right w:val="single" w:sz="8" w:space="0" w:color="auto"/>
            </w:tcBorders>
            <w:noWrap/>
            <w:vAlign w:val="center"/>
            <w:hideMark/>
          </w:tcPr>
          <w:p w14:paraId="666B6890" w14:textId="66C2EBB5" w:rsidR="00A4507B" w:rsidRPr="00EB68E3" w:rsidRDefault="00A4507B" w:rsidP="00EE1766">
            <w:pPr>
              <w:jc w:val="right"/>
              <w:rPr>
                <w:rFonts w:eastAsia="MS Mincho"/>
                <w:sz w:val="22"/>
                <w:szCs w:val="22"/>
              </w:rPr>
            </w:pPr>
            <w:r w:rsidRPr="00EB68E3">
              <w:rPr>
                <w:sz w:val="22"/>
                <w:szCs w:val="22"/>
              </w:rPr>
              <w:t>3 820</w:t>
            </w:r>
          </w:p>
        </w:tc>
        <w:tc>
          <w:tcPr>
            <w:tcW w:w="496" w:type="pct"/>
            <w:tcBorders>
              <w:top w:val="nil"/>
              <w:left w:val="nil"/>
              <w:bottom w:val="single" w:sz="8" w:space="0" w:color="auto"/>
              <w:right w:val="single" w:sz="8" w:space="0" w:color="auto"/>
            </w:tcBorders>
            <w:noWrap/>
            <w:vAlign w:val="center"/>
            <w:hideMark/>
          </w:tcPr>
          <w:p w14:paraId="41973FAB" w14:textId="5ED96ED8" w:rsidR="00A4507B" w:rsidRPr="00EB68E3" w:rsidRDefault="00A4507B" w:rsidP="00EE1766">
            <w:pPr>
              <w:jc w:val="right"/>
              <w:rPr>
                <w:rFonts w:eastAsia="MS Mincho"/>
                <w:sz w:val="22"/>
                <w:szCs w:val="22"/>
              </w:rPr>
            </w:pPr>
            <w:r w:rsidRPr="00EB68E3">
              <w:rPr>
                <w:sz w:val="22"/>
                <w:szCs w:val="22"/>
              </w:rPr>
              <w:t>1 873</w:t>
            </w:r>
          </w:p>
        </w:tc>
        <w:tc>
          <w:tcPr>
            <w:tcW w:w="431" w:type="pct"/>
            <w:tcBorders>
              <w:top w:val="nil"/>
              <w:left w:val="nil"/>
              <w:bottom w:val="single" w:sz="8" w:space="0" w:color="auto"/>
              <w:right w:val="single" w:sz="8" w:space="0" w:color="auto"/>
            </w:tcBorders>
            <w:noWrap/>
            <w:vAlign w:val="center"/>
            <w:hideMark/>
          </w:tcPr>
          <w:p w14:paraId="6272576A" w14:textId="567E4A7B" w:rsidR="00A4507B" w:rsidRPr="00EB68E3" w:rsidRDefault="00A4507B" w:rsidP="00EE1766">
            <w:pPr>
              <w:jc w:val="right"/>
              <w:rPr>
                <w:rFonts w:eastAsia="MS Mincho"/>
                <w:sz w:val="22"/>
                <w:szCs w:val="22"/>
              </w:rPr>
            </w:pPr>
            <w:r w:rsidRPr="00EB68E3">
              <w:rPr>
                <w:sz w:val="22"/>
                <w:szCs w:val="22"/>
              </w:rPr>
              <w:t>2 945</w:t>
            </w:r>
          </w:p>
        </w:tc>
        <w:tc>
          <w:tcPr>
            <w:tcW w:w="496" w:type="pct"/>
            <w:tcBorders>
              <w:top w:val="nil"/>
              <w:left w:val="nil"/>
              <w:bottom w:val="single" w:sz="8" w:space="0" w:color="auto"/>
              <w:right w:val="single" w:sz="8" w:space="0" w:color="auto"/>
            </w:tcBorders>
            <w:noWrap/>
            <w:vAlign w:val="center"/>
            <w:hideMark/>
          </w:tcPr>
          <w:p w14:paraId="5790649C" w14:textId="45FC2DBF" w:rsidR="00A4507B" w:rsidRPr="00EB68E3" w:rsidRDefault="00A4507B" w:rsidP="00EE1766">
            <w:pPr>
              <w:jc w:val="right"/>
              <w:rPr>
                <w:rFonts w:eastAsia="MS Mincho"/>
                <w:sz w:val="22"/>
                <w:szCs w:val="22"/>
              </w:rPr>
            </w:pPr>
            <w:r w:rsidRPr="00EB68E3">
              <w:rPr>
                <w:sz w:val="22"/>
                <w:szCs w:val="22"/>
              </w:rPr>
              <w:t>77,10 %</w:t>
            </w:r>
          </w:p>
        </w:tc>
        <w:tc>
          <w:tcPr>
            <w:tcW w:w="372" w:type="pct"/>
            <w:tcBorders>
              <w:top w:val="nil"/>
              <w:left w:val="nil"/>
              <w:bottom w:val="single" w:sz="8" w:space="0" w:color="auto"/>
              <w:right w:val="single" w:sz="8" w:space="0" w:color="auto"/>
            </w:tcBorders>
            <w:noWrap/>
            <w:vAlign w:val="center"/>
            <w:hideMark/>
          </w:tcPr>
          <w:p w14:paraId="59708C1D" w14:textId="7673C2CA" w:rsidR="00A4507B" w:rsidRPr="00EB68E3" w:rsidRDefault="00A4507B" w:rsidP="00EE1766">
            <w:pPr>
              <w:jc w:val="right"/>
              <w:rPr>
                <w:rFonts w:eastAsia="MS Mincho"/>
                <w:sz w:val="22"/>
                <w:szCs w:val="22"/>
              </w:rPr>
            </w:pPr>
            <w:r w:rsidRPr="00EB68E3">
              <w:rPr>
                <w:sz w:val="22"/>
                <w:szCs w:val="22"/>
              </w:rPr>
              <w:t>1 910</w:t>
            </w:r>
          </w:p>
        </w:tc>
      </w:tr>
      <w:tr w:rsidR="00B9624E" w:rsidRPr="00EB68E3" w14:paraId="75376388" w14:textId="77777777" w:rsidTr="00A4507B">
        <w:trPr>
          <w:trHeight w:val="385"/>
        </w:trPr>
        <w:tc>
          <w:tcPr>
            <w:tcW w:w="439" w:type="pct"/>
            <w:tcBorders>
              <w:top w:val="nil"/>
              <w:left w:val="single" w:sz="8" w:space="0" w:color="auto"/>
              <w:bottom w:val="single" w:sz="8" w:space="0" w:color="auto"/>
              <w:right w:val="single" w:sz="8" w:space="0" w:color="auto"/>
            </w:tcBorders>
            <w:vAlign w:val="center"/>
            <w:hideMark/>
          </w:tcPr>
          <w:p w14:paraId="425AEC3A" w14:textId="3103870E" w:rsidR="00A4507B" w:rsidRPr="00EB68E3" w:rsidRDefault="00B9624E" w:rsidP="00EE1766">
            <w:pPr>
              <w:rPr>
                <w:rFonts w:eastAsia="MS Mincho"/>
                <w:sz w:val="22"/>
                <w:szCs w:val="22"/>
              </w:rPr>
            </w:pPr>
            <w:r w:rsidRPr="00EB68E3">
              <w:rPr>
                <w:sz w:val="22"/>
                <w:szCs w:val="22"/>
              </w:rPr>
              <w:t>Kansakuntien ja vapauden Eurooppa (ENF)</w:t>
            </w:r>
          </w:p>
        </w:tc>
        <w:tc>
          <w:tcPr>
            <w:tcW w:w="496" w:type="pct"/>
            <w:tcBorders>
              <w:top w:val="nil"/>
              <w:left w:val="nil"/>
              <w:bottom w:val="single" w:sz="8" w:space="0" w:color="auto"/>
              <w:right w:val="single" w:sz="8" w:space="0" w:color="auto"/>
            </w:tcBorders>
            <w:noWrap/>
            <w:vAlign w:val="center"/>
            <w:hideMark/>
          </w:tcPr>
          <w:p w14:paraId="352555AC" w14:textId="5204A762" w:rsidR="00A4507B" w:rsidRPr="00EB68E3" w:rsidRDefault="00A4507B" w:rsidP="00EE1766">
            <w:pPr>
              <w:jc w:val="right"/>
              <w:rPr>
                <w:rFonts w:eastAsia="MS Mincho"/>
                <w:sz w:val="22"/>
                <w:szCs w:val="22"/>
              </w:rPr>
            </w:pPr>
            <w:r w:rsidRPr="00EB68E3">
              <w:rPr>
                <w:sz w:val="22"/>
                <w:szCs w:val="22"/>
              </w:rPr>
              <w:t>2 719</w:t>
            </w:r>
          </w:p>
        </w:tc>
        <w:tc>
          <w:tcPr>
            <w:tcW w:w="496" w:type="pct"/>
            <w:tcBorders>
              <w:top w:val="nil"/>
              <w:left w:val="nil"/>
              <w:bottom w:val="single" w:sz="8" w:space="0" w:color="auto"/>
              <w:right w:val="single" w:sz="8" w:space="0" w:color="auto"/>
            </w:tcBorders>
            <w:noWrap/>
            <w:vAlign w:val="center"/>
            <w:hideMark/>
          </w:tcPr>
          <w:p w14:paraId="745470D6" w14:textId="77777777" w:rsidR="00A4507B" w:rsidRPr="00EB68E3" w:rsidRDefault="00A4507B" w:rsidP="00EE1766">
            <w:pPr>
              <w:jc w:val="right"/>
              <w:rPr>
                <w:rFonts w:eastAsia="MS Mincho"/>
                <w:sz w:val="22"/>
                <w:szCs w:val="22"/>
              </w:rPr>
            </w:pPr>
            <w:r w:rsidRPr="00EB68E3">
              <w:rPr>
                <w:sz w:val="22"/>
                <w:szCs w:val="22"/>
              </w:rPr>
              <w:t>846</w:t>
            </w:r>
          </w:p>
        </w:tc>
        <w:tc>
          <w:tcPr>
            <w:tcW w:w="431" w:type="pct"/>
            <w:tcBorders>
              <w:top w:val="nil"/>
              <w:left w:val="nil"/>
              <w:bottom w:val="single" w:sz="8" w:space="0" w:color="auto"/>
              <w:right w:val="single" w:sz="8" w:space="0" w:color="auto"/>
            </w:tcBorders>
            <w:noWrap/>
            <w:vAlign w:val="center"/>
            <w:hideMark/>
          </w:tcPr>
          <w:p w14:paraId="6679BB46" w14:textId="179638F0" w:rsidR="00A4507B" w:rsidRPr="00EB68E3" w:rsidRDefault="00A4507B" w:rsidP="00EE1766">
            <w:pPr>
              <w:jc w:val="right"/>
              <w:rPr>
                <w:rFonts w:eastAsia="MS Mincho"/>
                <w:sz w:val="22"/>
                <w:szCs w:val="22"/>
              </w:rPr>
            </w:pPr>
            <w:r w:rsidRPr="00EB68E3">
              <w:rPr>
                <w:sz w:val="22"/>
                <w:szCs w:val="22"/>
              </w:rPr>
              <w:t>2 474</w:t>
            </w:r>
          </w:p>
        </w:tc>
        <w:tc>
          <w:tcPr>
            <w:tcW w:w="496" w:type="pct"/>
            <w:tcBorders>
              <w:top w:val="nil"/>
              <w:left w:val="nil"/>
              <w:bottom w:val="single" w:sz="8" w:space="0" w:color="auto"/>
              <w:right w:val="single" w:sz="8" w:space="0" w:color="auto"/>
            </w:tcBorders>
            <w:noWrap/>
            <w:vAlign w:val="center"/>
            <w:hideMark/>
          </w:tcPr>
          <w:p w14:paraId="67125E3E" w14:textId="749E68AD" w:rsidR="00A4507B" w:rsidRPr="00EB68E3" w:rsidRDefault="00A4507B" w:rsidP="00EE1766">
            <w:pPr>
              <w:jc w:val="right"/>
              <w:rPr>
                <w:rFonts w:eastAsia="MS Mincho"/>
                <w:sz w:val="22"/>
                <w:szCs w:val="22"/>
              </w:rPr>
            </w:pPr>
            <w:r w:rsidRPr="00EB68E3">
              <w:rPr>
                <w:sz w:val="22"/>
                <w:szCs w:val="22"/>
              </w:rPr>
              <w:t>91 %</w:t>
            </w:r>
          </w:p>
        </w:tc>
        <w:tc>
          <w:tcPr>
            <w:tcW w:w="347" w:type="pct"/>
            <w:tcBorders>
              <w:top w:val="nil"/>
              <w:left w:val="nil"/>
              <w:bottom w:val="single" w:sz="8" w:space="0" w:color="auto"/>
              <w:right w:val="single" w:sz="8" w:space="0" w:color="auto"/>
            </w:tcBorders>
            <w:noWrap/>
            <w:vAlign w:val="center"/>
            <w:hideMark/>
          </w:tcPr>
          <w:p w14:paraId="46B66D5B" w14:textId="79131CF6" w:rsidR="00A4507B" w:rsidRPr="00EB68E3" w:rsidRDefault="00A4507B" w:rsidP="00EE1766">
            <w:pPr>
              <w:jc w:val="right"/>
              <w:rPr>
                <w:rFonts w:eastAsia="MS Mincho"/>
                <w:sz w:val="22"/>
                <w:szCs w:val="22"/>
              </w:rPr>
            </w:pPr>
            <w:r w:rsidRPr="00EB68E3">
              <w:rPr>
                <w:sz w:val="22"/>
                <w:szCs w:val="22"/>
              </w:rPr>
              <w:t>1 091</w:t>
            </w:r>
          </w:p>
        </w:tc>
        <w:tc>
          <w:tcPr>
            <w:tcW w:w="496" w:type="pct"/>
            <w:tcBorders>
              <w:top w:val="nil"/>
              <w:left w:val="nil"/>
              <w:bottom w:val="single" w:sz="8" w:space="0" w:color="auto"/>
              <w:right w:val="single" w:sz="8" w:space="0" w:color="auto"/>
            </w:tcBorders>
            <w:noWrap/>
            <w:vAlign w:val="center"/>
            <w:hideMark/>
          </w:tcPr>
          <w:p w14:paraId="5F8E070F" w14:textId="6D4AF809" w:rsidR="00A4507B" w:rsidRPr="00EB68E3" w:rsidRDefault="00A4507B" w:rsidP="00EE1766">
            <w:pPr>
              <w:jc w:val="right"/>
              <w:rPr>
                <w:rFonts w:eastAsia="MS Mincho"/>
                <w:sz w:val="22"/>
                <w:szCs w:val="22"/>
              </w:rPr>
            </w:pPr>
            <w:r w:rsidRPr="00EB68E3">
              <w:rPr>
                <w:sz w:val="22"/>
                <w:szCs w:val="22"/>
              </w:rPr>
              <w:t>3 273</w:t>
            </w:r>
          </w:p>
        </w:tc>
        <w:tc>
          <w:tcPr>
            <w:tcW w:w="496" w:type="pct"/>
            <w:tcBorders>
              <w:top w:val="nil"/>
              <w:left w:val="nil"/>
              <w:bottom w:val="single" w:sz="8" w:space="0" w:color="auto"/>
              <w:right w:val="single" w:sz="8" w:space="0" w:color="auto"/>
            </w:tcBorders>
            <w:noWrap/>
            <w:vAlign w:val="center"/>
            <w:hideMark/>
          </w:tcPr>
          <w:p w14:paraId="66B1C3D5" w14:textId="77777777" w:rsidR="00A4507B" w:rsidRPr="00EB68E3" w:rsidRDefault="00A4507B" w:rsidP="00EE1766">
            <w:pPr>
              <w:jc w:val="right"/>
              <w:rPr>
                <w:rFonts w:eastAsia="MS Mincho"/>
                <w:sz w:val="22"/>
                <w:szCs w:val="22"/>
              </w:rPr>
            </w:pPr>
            <w:r w:rsidRPr="00EB68E3">
              <w:rPr>
                <w:sz w:val="22"/>
                <w:szCs w:val="22"/>
              </w:rPr>
              <w:t>765</w:t>
            </w:r>
          </w:p>
        </w:tc>
        <w:tc>
          <w:tcPr>
            <w:tcW w:w="431" w:type="pct"/>
            <w:tcBorders>
              <w:top w:val="nil"/>
              <w:left w:val="nil"/>
              <w:bottom w:val="single" w:sz="8" w:space="0" w:color="auto"/>
              <w:right w:val="single" w:sz="8" w:space="0" w:color="auto"/>
            </w:tcBorders>
            <w:noWrap/>
            <w:vAlign w:val="center"/>
            <w:hideMark/>
          </w:tcPr>
          <w:p w14:paraId="4CB2A61C" w14:textId="77777777" w:rsidR="00A4507B" w:rsidRPr="00EB68E3" w:rsidRDefault="00A4507B" w:rsidP="00EE1766">
            <w:pPr>
              <w:jc w:val="right"/>
              <w:rPr>
                <w:rFonts w:eastAsia="MS Mincho"/>
                <w:sz w:val="22"/>
                <w:szCs w:val="22"/>
              </w:rPr>
            </w:pPr>
            <w:r w:rsidRPr="00EB68E3">
              <w:rPr>
                <w:sz w:val="22"/>
                <w:szCs w:val="22"/>
              </w:rPr>
              <w:t>827</w:t>
            </w:r>
          </w:p>
        </w:tc>
        <w:tc>
          <w:tcPr>
            <w:tcW w:w="496" w:type="pct"/>
            <w:tcBorders>
              <w:top w:val="nil"/>
              <w:left w:val="nil"/>
              <w:bottom w:val="single" w:sz="8" w:space="0" w:color="auto"/>
              <w:right w:val="single" w:sz="8" w:space="0" w:color="auto"/>
            </w:tcBorders>
            <w:noWrap/>
            <w:vAlign w:val="center"/>
            <w:hideMark/>
          </w:tcPr>
          <w:p w14:paraId="7C9B50F1" w14:textId="5B7F8059" w:rsidR="00A4507B" w:rsidRPr="00EB68E3" w:rsidRDefault="00A4507B" w:rsidP="00EE1766">
            <w:pPr>
              <w:jc w:val="right"/>
              <w:rPr>
                <w:rFonts w:eastAsia="MS Mincho"/>
                <w:sz w:val="22"/>
                <w:szCs w:val="22"/>
              </w:rPr>
            </w:pPr>
            <w:r w:rsidRPr="00EB68E3">
              <w:rPr>
                <w:sz w:val="22"/>
                <w:szCs w:val="22"/>
              </w:rPr>
              <w:t>25,27 %</w:t>
            </w:r>
          </w:p>
        </w:tc>
        <w:tc>
          <w:tcPr>
            <w:tcW w:w="372" w:type="pct"/>
            <w:tcBorders>
              <w:top w:val="nil"/>
              <w:left w:val="nil"/>
              <w:bottom w:val="single" w:sz="8" w:space="0" w:color="auto"/>
              <w:right w:val="single" w:sz="8" w:space="0" w:color="auto"/>
            </w:tcBorders>
            <w:noWrap/>
            <w:vAlign w:val="center"/>
            <w:hideMark/>
          </w:tcPr>
          <w:p w14:paraId="6D7D2668" w14:textId="77777777" w:rsidR="00A4507B" w:rsidRPr="00EB68E3" w:rsidRDefault="00A4507B" w:rsidP="00EE1766">
            <w:pPr>
              <w:jc w:val="right"/>
              <w:rPr>
                <w:rFonts w:eastAsia="MS Mincho"/>
                <w:sz w:val="22"/>
                <w:szCs w:val="22"/>
              </w:rPr>
            </w:pPr>
            <w:r w:rsidRPr="00EB68E3">
              <w:rPr>
                <w:sz w:val="22"/>
                <w:szCs w:val="22"/>
              </w:rPr>
              <w:t>846</w:t>
            </w:r>
          </w:p>
        </w:tc>
      </w:tr>
      <w:tr w:rsidR="00B9624E" w:rsidRPr="00EB68E3" w14:paraId="2D9F4D3F" w14:textId="77777777" w:rsidTr="00A4507B">
        <w:trPr>
          <w:trHeight w:val="780"/>
        </w:trPr>
        <w:tc>
          <w:tcPr>
            <w:tcW w:w="439" w:type="pct"/>
            <w:tcBorders>
              <w:top w:val="nil"/>
              <w:left w:val="single" w:sz="8" w:space="0" w:color="auto"/>
              <w:bottom w:val="single" w:sz="8" w:space="0" w:color="auto"/>
              <w:right w:val="single" w:sz="8" w:space="0" w:color="auto"/>
            </w:tcBorders>
            <w:vAlign w:val="center"/>
            <w:hideMark/>
          </w:tcPr>
          <w:p w14:paraId="68F24D11" w14:textId="77777777" w:rsidR="00A4507B" w:rsidRPr="00EB68E3" w:rsidRDefault="00A4507B" w:rsidP="00EE1766">
            <w:pPr>
              <w:rPr>
                <w:rFonts w:eastAsia="MS Mincho"/>
                <w:sz w:val="22"/>
                <w:szCs w:val="22"/>
              </w:rPr>
            </w:pPr>
            <w:r w:rsidRPr="00EB68E3">
              <w:rPr>
                <w:sz w:val="22"/>
                <w:szCs w:val="22"/>
              </w:rPr>
              <w:t>Sitoutumattomat</w:t>
            </w:r>
          </w:p>
        </w:tc>
        <w:tc>
          <w:tcPr>
            <w:tcW w:w="496" w:type="pct"/>
            <w:tcBorders>
              <w:top w:val="nil"/>
              <w:left w:val="nil"/>
              <w:bottom w:val="single" w:sz="8" w:space="0" w:color="auto"/>
              <w:right w:val="single" w:sz="8" w:space="0" w:color="auto"/>
            </w:tcBorders>
            <w:noWrap/>
            <w:vAlign w:val="center"/>
            <w:hideMark/>
          </w:tcPr>
          <w:p w14:paraId="32837E56" w14:textId="77777777" w:rsidR="00A4507B" w:rsidRPr="00EB68E3" w:rsidRDefault="00A4507B" w:rsidP="00EE1766">
            <w:pPr>
              <w:jc w:val="right"/>
              <w:rPr>
                <w:rFonts w:eastAsia="MS Mincho"/>
                <w:sz w:val="22"/>
                <w:szCs w:val="22"/>
              </w:rPr>
            </w:pPr>
            <w:r w:rsidRPr="00EB68E3">
              <w:rPr>
                <w:sz w:val="22"/>
                <w:szCs w:val="22"/>
              </w:rPr>
              <w:t>929</w:t>
            </w:r>
          </w:p>
        </w:tc>
        <w:tc>
          <w:tcPr>
            <w:tcW w:w="496" w:type="pct"/>
            <w:tcBorders>
              <w:top w:val="nil"/>
              <w:left w:val="nil"/>
              <w:bottom w:val="single" w:sz="8" w:space="0" w:color="auto"/>
              <w:right w:val="single" w:sz="8" w:space="0" w:color="auto"/>
            </w:tcBorders>
            <w:noWrap/>
            <w:vAlign w:val="center"/>
            <w:hideMark/>
          </w:tcPr>
          <w:p w14:paraId="79927810" w14:textId="77777777" w:rsidR="00A4507B" w:rsidRPr="00EB68E3" w:rsidRDefault="00A4507B" w:rsidP="00EE1766">
            <w:pPr>
              <w:jc w:val="right"/>
              <w:rPr>
                <w:rFonts w:eastAsia="MS Mincho"/>
                <w:sz w:val="22"/>
                <w:szCs w:val="22"/>
              </w:rPr>
            </w:pPr>
            <w:r w:rsidRPr="00EB68E3">
              <w:rPr>
                <w:sz w:val="22"/>
                <w:szCs w:val="22"/>
              </w:rPr>
              <w:t>257</w:t>
            </w:r>
          </w:p>
        </w:tc>
        <w:tc>
          <w:tcPr>
            <w:tcW w:w="431" w:type="pct"/>
            <w:tcBorders>
              <w:top w:val="nil"/>
              <w:left w:val="nil"/>
              <w:bottom w:val="single" w:sz="8" w:space="0" w:color="auto"/>
              <w:right w:val="single" w:sz="8" w:space="0" w:color="auto"/>
            </w:tcBorders>
            <w:noWrap/>
            <w:vAlign w:val="center"/>
            <w:hideMark/>
          </w:tcPr>
          <w:p w14:paraId="03150151" w14:textId="77777777" w:rsidR="00A4507B" w:rsidRPr="00EB68E3" w:rsidRDefault="00A4507B" w:rsidP="00EE1766">
            <w:pPr>
              <w:jc w:val="right"/>
              <w:rPr>
                <w:rFonts w:eastAsia="MS Mincho"/>
                <w:sz w:val="22"/>
                <w:szCs w:val="22"/>
              </w:rPr>
            </w:pPr>
            <w:r w:rsidRPr="00EB68E3">
              <w:rPr>
                <w:sz w:val="22"/>
                <w:szCs w:val="22"/>
              </w:rPr>
              <w:t>494</w:t>
            </w:r>
          </w:p>
        </w:tc>
        <w:tc>
          <w:tcPr>
            <w:tcW w:w="496" w:type="pct"/>
            <w:tcBorders>
              <w:top w:val="nil"/>
              <w:left w:val="nil"/>
              <w:bottom w:val="single" w:sz="8" w:space="0" w:color="auto"/>
              <w:right w:val="single" w:sz="8" w:space="0" w:color="auto"/>
            </w:tcBorders>
            <w:noWrap/>
            <w:vAlign w:val="center"/>
            <w:hideMark/>
          </w:tcPr>
          <w:p w14:paraId="57E02B82" w14:textId="020A8E00" w:rsidR="00A4507B" w:rsidRPr="00EB68E3" w:rsidRDefault="00A4507B" w:rsidP="00EE1766">
            <w:pPr>
              <w:jc w:val="right"/>
              <w:rPr>
                <w:rFonts w:eastAsia="MS Mincho"/>
                <w:sz w:val="22"/>
                <w:szCs w:val="22"/>
              </w:rPr>
            </w:pPr>
            <w:r w:rsidRPr="00EB68E3">
              <w:rPr>
                <w:sz w:val="22"/>
                <w:szCs w:val="22"/>
              </w:rPr>
              <w:t>53,18 %</w:t>
            </w:r>
          </w:p>
        </w:tc>
        <w:tc>
          <w:tcPr>
            <w:tcW w:w="347" w:type="pct"/>
            <w:tcBorders>
              <w:top w:val="nil"/>
              <w:left w:val="nil"/>
              <w:bottom w:val="single" w:sz="8" w:space="0" w:color="auto"/>
              <w:right w:val="single" w:sz="8" w:space="0" w:color="auto"/>
            </w:tcBorders>
            <w:noWrap/>
            <w:vAlign w:val="center"/>
            <w:hideMark/>
          </w:tcPr>
          <w:p w14:paraId="4DF20513" w14:textId="77777777" w:rsidR="00A4507B" w:rsidRPr="00EB68E3" w:rsidRDefault="00A4507B" w:rsidP="00EE1766">
            <w:pPr>
              <w:jc w:val="right"/>
              <w:rPr>
                <w:rFonts w:eastAsia="MS Mincho"/>
                <w:sz w:val="22"/>
                <w:szCs w:val="22"/>
              </w:rPr>
            </w:pPr>
            <w:r w:rsidRPr="00EB68E3">
              <w:rPr>
                <w:sz w:val="22"/>
                <w:szCs w:val="22"/>
              </w:rPr>
              <w:t>318</w:t>
            </w:r>
          </w:p>
        </w:tc>
        <w:tc>
          <w:tcPr>
            <w:tcW w:w="496" w:type="pct"/>
            <w:tcBorders>
              <w:top w:val="nil"/>
              <w:left w:val="nil"/>
              <w:bottom w:val="single" w:sz="8" w:space="0" w:color="auto"/>
              <w:right w:val="single" w:sz="8" w:space="0" w:color="auto"/>
            </w:tcBorders>
            <w:noWrap/>
            <w:vAlign w:val="center"/>
            <w:hideMark/>
          </w:tcPr>
          <w:p w14:paraId="58B99B7E" w14:textId="77777777" w:rsidR="00A4507B" w:rsidRPr="00EB68E3" w:rsidRDefault="00A4507B" w:rsidP="00EE1766">
            <w:pPr>
              <w:jc w:val="right"/>
              <w:rPr>
                <w:rFonts w:eastAsia="MS Mincho"/>
                <w:sz w:val="22"/>
                <w:szCs w:val="22"/>
              </w:rPr>
            </w:pPr>
            <w:r w:rsidRPr="00EB68E3">
              <w:rPr>
                <w:sz w:val="22"/>
                <w:szCs w:val="22"/>
              </w:rPr>
              <w:t>772</w:t>
            </w:r>
          </w:p>
        </w:tc>
        <w:tc>
          <w:tcPr>
            <w:tcW w:w="496" w:type="pct"/>
            <w:tcBorders>
              <w:top w:val="nil"/>
              <w:left w:val="nil"/>
              <w:bottom w:val="single" w:sz="8" w:space="0" w:color="auto"/>
              <w:right w:val="single" w:sz="8" w:space="0" w:color="auto"/>
            </w:tcBorders>
            <w:noWrap/>
            <w:vAlign w:val="center"/>
            <w:hideMark/>
          </w:tcPr>
          <w:p w14:paraId="638F18B2" w14:textId="77777777" w:rsidR="00A4507B" w:rsidRPr="00EB68E3" w:rsidRDefault="00A4507B" w:rsidP="00EE1766">
            <w:pPr>
              <w:jc w:val="right"/>
              <w:rPr>
                <w:rFonts w:eastAsia="MS Mincho"/>
                <w:sz w:val="22"/>
                <w:szCs w:val="22"/>
              </w:rPr>
            </w:pPr>
            <w:r w:rsidRPr="00EB68E3">
              <w:rPr>
                <w:sz w:val="22"/>
                <w:szCs w:val="22"/>
              </w:rPr>
              <w:t xml:space="preserve">216 </w:t>
            </w:r>
          </w:p>
        </w:tc>
        <w:tc>
          <w:tcPr>
            <w:tcW w:w="431" w:type="pct"/>
            <w:tcBorders>
              <w:top w:val="nil"/>
              <w:left w:val="nil"/>
              <w:bottom w:val="single" w:sz="8" w:space="0" w:color="auto"/>
              <w:right w:val="single" w:sz="8" w:space="0" w:color="auto"/>
            </w:tcBorders>
            <w:noWrap/>
            <w:vAlign w:val="center"/>
            <w:hideMark/>
          </w:tcPr>
          <w:p w14:paraId="03B36266" w14:textId="77777777" w:rsidR="00A4507B" w:rsidRPr="00EB68E3" w:rsidRDefault="00A4507B" w:rsidP="00EE1766">
            <w:pPr>
              <w:jc w:val="right"/>
              <w:rPr>
                <w:rFonts w:eastAsia="MS Mincho"/>
                <w:sz w:val="22"/>
                <w:szCs w:val="22"/>
              </w:rPr>
            </w:pPr>
            <w:r w:rsidRPr="00EB68E3">
              <w:rPr>
                <w:sz w:val="22"/>
                <w:szCs w:val="22"/>
              </w:rPr>
              <w:t>616</w:t>
            </w:r>
          </w:p>
        </w:tc>
        <w:tc>
          <w:tcPr>
            <w:tcW w:w="496" w:type="pct"/>
            <w:tcBorders>
              <w:top w:val="nil"/>
              <w:left w:val="nil"/>
              <w:bottom w:val="single" w:sz="8" w:space="0" w:color="auto"/>
              <w:right w:val="single" w:sz="8" w:space="0" w:color="auto"/>
            </w:tcBorders>
            <w:noWrap/>
            <w:vAlign w:val="center"/>
            <w:hideMark/>
          </w:tcPr>
          <w:p w14:paraId="13D28E97" w14:textId="701A560C" w:rsidR="00A4507B" w:rsidRPr="00EB68E3" w:rsidRDefault="00A4507B" w:rsidP="00EE1766">
            <w:pPr>
              <w:jc w:val="right"/>
              <w:rPr>
                <w:rFonts w:eastAsia="MS Mincho"/>
                <w:sz w:val="22"/>
                <w:szCs w:val="22"/>
              </w:rPr>
            </w:pPr>
            <w:r w:rsidRPr="00EB68E3">
              <w:rPr>
                <w:sz w:val="22"/>
                <w:szCs w:val="22"/>
              </w:rPr>
              <w:t>79,90 %</w:t>
            </w:r>
          </w:p>
        </w:tc>
        <w:tc>
          <w:tcPr>
            <w:tcW w:w="372" w:type="pct"/>
            <w:tcBorders>
              <w:top w:val="nil"/>
              <w:left w:val="nil"/>
              <w:bottom w:val="single" w:sz="8" w:space="0" w:color="auto"/>
              <w:right w:val="single" w:sz="8" w:space="0" w:color="auto"/>
            </w:tcBorders>
            <w:noWrap/>
            <w:vAlign w:val="center"/>
            <w:hideMark/>
          </w:tcPr>
          <w:p w14:paraId="0FB4FECA" w14:textId="77777777" w:rsidR="00A4507B" w:rsidRPr="00EB68E3" w:rsidRDefault="00A4507B" w:rsidP="00EE1766">
            <w:pPr>
              <w:jc w:val="right"/>
              <w:rPr>
                <w:rFonts w:eastAsia="MS Mincho"/>
                <w:sz w:val="22"/>
                <w:szCs w:val="22"/>
              </w:rPr>
            </w:pPr>
            <w:r w:rsidRPr="00EB68E3">
              <w:rPr>
                <w:sz w:val="22"/>
                <w:szCs w:val="22"/>
              </w:rPr>
              <w:t>257</w:t>
            </w:r>
          </w:p>
        </w:tc>
      </w:tr>
      <w:tr w:rsidR="00B9624E" w:rsidRPr="00EB68E3" w14:paraId="709DDA40" w14:textId="77777777" w:rsidTr="00A4507B">
        <w:trPr>
          <w:trHeight w:val="319"/>
        </w:trPr>
        <w:tc>
          <w:tcPr>
            <w:tcW w:w="439" w:type="pct"/>
            <w:tcBorders>
              <w:top w:val="nil"/>
              <w:left w:val="single" w:sz="8" w:space="0" w:color="auto"/>
              <w:bottom w:val="single" w:sz="8" w:space="0" w:color="auto"/>
              <w:right w:val="single" w:sz="8" w:space="0" w:color="auto"/>
            </w:tcBorders>
            <w:vAlign w:val="center"/>
            <w:hideMark/>
          </w:tcPr>
          <w:p w14:paraId="536336C3" w14:textId="77777777" w:rsidR="00A4507B" w:rsidRPr="00EB68E3" w:rsidRDefault="00A4507B" w:rsidP="00EE1766">
            <w:pPr>
              <w:rPr>
                <w:rFonts w:eastAsia="MS Mincho"/>
                <w:b/>
                <w:bCs/>
                <w:sz w:val="22"/>
                <w:szCs w:val="22"/>
              </w:rPr>
            </w:pPr>
            <w:r w:rsidRPr="00EB68E3">
              <w:rPr>
                <w:b/>
                <w:bCs/>
                <w:sz w:val="22"/>
                <w:szCs w:val="22"/>
              </w:rPr>
              <w:t>Yhteensä</w:t>
            </w:r>
          </w:p>
        </w:tc>
        <w:tc>
          <w:tcPr>
            <w:tcW w:w="496" w:type="pct"/>
            <w:tcBorders>
              <w:top w:val="nil"/>
              <w:left w:val="nil"/>
              <w:bottom w:val="single" w:sz="8" w:space="0" w:color="auto"/>
              <w:right w:val="single" w:sz="8" w:space="0" w:color="auto"/>
            </w:tcBorders>
            <w:vAlign w:val="center"/>
            <w:hideMark/>
          </w:tcPr>
          <w:p w14:paraId="2038BE9E" w14:textId="3D63F00A" w:rsidR="00A4507B" w:rsidRPr="00EB68E3" w:rsidRDefault="00A4507B" w:rsidP="00EE1766">
            <w:pPr>
              <w:jc w:val="right"/>
              <w:rPr>
                <w:rFonts w:eastAsia="MS Mincho"/>
                <w:b/>
                <w:bCs/>
                <w:sz w:val="22"/>
                <w:szCs w:val="22"/>
              </w:rPr>
            </w:pPr>
            <w:r w:rsidRPr="00EB68E3">
              <w:rPr>
                <w:b/>
                <w:bCs/>
                <w:sz w:val="22"/>
                <w:szCs w:val="22"/>
              </w:rPr>
              <w:t>61 367</w:t>
            </w:r>
          </w:p>
        </w:tc>
        <w:tc>
          <w:tcPr>
            <w:tcW w:w="496" w:type="pct"/>
            <w:tcBorders>
              <w:top w:val="nil"/>
              <w:left w:val="nil"/>
              <w:bottom w:val="single" w:sz="8" w:space="0" w:color="auto"/>
              <w:right w:val="single" w:sz="8" w:space="0" w:color="auto"/>
            </w:tcBorders>
            <w:vAlign w:val="center"/>
            <w:hideMark/>
          </w:tcPr>
          <w:p w14:paraId="3BF57CD4" w14:textId="3DFC75D7" w:rsidR="00A4507B" w:rsidRPr="00EB68E3" w:rsidRDefault="00A4507B" w:rsidP="00EE1766">
            <w:pPr>
              <w:jc w:val="right"/>
              <w:rPr>
                <w:rFonts w:eastAsia="MS Mincho"/>
                <w:b/>
                <w:bCs/>
                <w:sz w:val="22"/>
                <w:szCs w:val="22"/>
              </w:rPr>
            </w:pPr>
            <w:r w:rsidRPr="00EB68E3">
              <w:rPr>
                <w:b/>
                <w:bCs/>
                <w:sz w:val="22"/>
                <w:szCs w:val="22"/>
              </w:rPr>
              <w:t>24 394</w:t>
            </w:r>
          </w:p>
        </w:tc>
        <w:tc>
          <w:tcPr>
            <w:tcW w:w="431" w:type="pct"/>
            <w:tcBorders>
              <w:top w:val="nil"/>
              <w:left w:val="nil"/>
              <w:bottom w:val="single" w:sz="8" w:space="0" w:color="auto"/>
              <w:right w:val="single" w:sz="8" w:space="0" w:color="auto"/>
            </w:tcBorders>
            <w:vAlign w:val="center"/>
            <w:hideMark/>
          </w:tcPr>
          <w:p w14:paraId="53C2AB27" w14:textId="19419A84" w:rsidR="00A4507B" w:rsidRPr="00EB68E3" w:rsidRDefault="00A4507B" w:rsidP="00EE1766">
            <w:pPr>
              <w:jc w:val="right"/>
              <w:rPr>
                <w:rFonts w:eastAsia="MS Mincho"/>
                <w:b/>
                <w:bCs/>
                <w:sz w:val="22"/>
                <w:szCs w:val="22"/>
              </w:rPr>
            </w:pPr>
            <w:r w:rsidRPr="00EB68E3">
              <w:rPr>
                <w:b/>
                <w:bCs/>
                <w:sz w:val="22"/>
                <w:szCs w:val="22"/>
              </w:rPr>
              <w:t>61 890</w:t>
            </w:r>
          </w:p>
        </w:tc>
        <w:tc>
          <w:tcPr>
            <w:tcW w:w="496" w:type="pct"/>
            <w:tcBorders>
              <w:top w:val="nil"/>
              <w:left w:val="nil"/>
              <w:bottom w:val="single" w:sz="8" w:space="0" w:color="auto"/>
              <w:right w:val="single" w:sz="8" w:space="0" w:color="auto"/>
            </w:tcBorders>
            <w:noWrap/>
            <w:vAlign w:val="center"/>
            <w:hideMark/>
          </w:tcPr>
          <w:p w14:paraId="6E2CE4B6" w14:textId="04D17287" w:rsidR="00A4507B" w:rsidRPr="00EB68E3" w:rsidRDefault="00A4507B" w:rsidP="00EE1766">
            <w:pPr>
              <w:jc w:val="right"/>
              <w:rPr>
                <w:rFonts w:eastAsia="MS Mincho"/>
                <w:sz w:val="22"/>
                <w:szCs w:val="22"/>
              </w:rPr>
            </w:pPr>
            <w:r w:rsidRPr="00EB68E3">
              <w:rPr>
                <w:sz w:val="22"/>
                <w:szCs w:val="22"/>
              </w:rPr>
              <w:t>100,85 %</w:t>
            </w:r>
          </w:p>
        </w:tc>
        <w:tc>
          <w:tcPr>
            <w:tcW w:w="347" w:type="pct"/>
            <w:tcBorders>
              <w:top w:val="nil"/>
              <w:left w:val="nil"/>
              <w:bottom w:val="single" w:sz="8" w:space="0" w:color="auto"/>
              <w:right w:val="single" w:sz="8" w:space="0" w:color="auto"/>
            </w:tcBorders>
            <w:noWrap/>
            <w:vAlign w:val="center"/>
            <w:hideMark/>
          </w:tcPr>
          <w:p w14:paraId="4B4F0963" w14:textId="72235DD6" w:rsidR="00A4507B" w:rsidRPr="00EB68E3" w:rsidRDefault="00A4507B" w:rsidP="00EE1766">
            <w:pPr>
              <w:jc w:val="right"/>
              <w:rPr>
                <w:rFonts w:eastAsia="MS Mincho"/>
                <w:b/>
                <w:bCs/>
                <w:sz w:val="22"/>
                <w:szCs w:val="22"/>
              </w:rPr>
            </w:pPr>
            <w:r w:rsidRPr="00EB68E3">
              <w:rPr>
                <w:b/>
                <w:bCs/>
                <w:sz w:val="22"/>
                <w:szCs w:val="22"/>
              </w:rPr>
              <w:t>23 261</w:t>
            </w:r>
          </w:p>
        </w:tc>
        <w:tc>
          <w:tcPr>
            <w:tcW w:w="496" w:type="pct"/>
            <w:tcBorders>
              <w:top w:val="nil"/>
              <w:left w:val="nil"/>
              <w:bottom w:val="single" w:sz="8" w:space="0" w:color="auto"/>
              <w:right w:val="single" w:sz="8" w:space="0" w:color="auto"/>
            </w:tcBorders>
            <w:noWrap/>
            <w:vAlign w:val="center"/>
            <w:hideMark/>
          </w:tcPr>
          <w:p w14:paraId="3227EAC4" w14:textId="51D3CECE" w:rsidR="00A4507B" w:rsidRPr="00EB68E3" w:rsidRDefault="00A4507B" w:rsidP="00EE1766">
            <w:pPr>
              <w:jc w:val="right"/>
              <w:rPr>
                <w:rFonts w:eastAsia="MS Mincho"/>
                <w:b/>
                <w:bCs/>
                <w:sz w:val="22"/>
                <w:szCs w:val="22"/>
              </w:rPr>
            </w:pPr>
            <w:r w:rsidRPr="00EB68E3">
              <w:rPr>
                <w:b/>
                <w:bCs/>
                <w:sz w:val="22"/>
                <w:szCs w:val="22"/>
              </w:rPr>
              <w:t>60 996</w:t>
            </w:r>
          </w:p>
        </w:tc>
        <w:tc>
          <w:tcPr>
            <w:tcW w:w="496" w:type="pct"/>
            <w:tcBorders>
              <w:top w:val="nil"/>
              <w:left w:val="nil"/>
              <w:bottom w:val="single" w:sz="8" w:space="0" w:color="auto"/>
              <w:right w:val="single" w:sz="8" w:space="0" w:color="auto"/>
            </w:tcBorders>
            <w:noWrap/>
            <w:vAlign w:val="center"/>
            <w:hideMark/>
          </w:tcPr>
          <w:p w14:paraId="406625D6" w14:textId="45B19C9D" w:rsidR="00A4507B" w:rsidRPr="00EB68E3" w:rsidRDefault="00A4507B" w:rsidP="00EE1766">
            <w:pPr>
              <w:jc w:val="right"/>
              <w:rPr>
                <w:rFonts w:eastAsia="MS Mincho"/>
                <w:b/>
                <w:bCs/>
                <w:sz w:val="22"/>
                <w:szCs w:val="22"/>
              </w:rPr>
            </w:pPr>
            <w:r w:rsidRPr="00EB68E3">
              <w:rPr>
                <w:b/>
                <w:bCs/>
                <w:sz w:val="22"/>
                <w:szCs w:val="22"/>
              </w:rPr>
              <w:t>25 733</w:t>
            </w:r>
          </w:p>
        </w:tc>
        <w:tc>
          <w:tcPr>
            <w:tcW w:w="431" w:type="pct"/>
            <w:tcBorders>
              <w:top w:val="nil"/>
              <w:left w:val="nil"/>
              <w:bottom w:val="single" w:sz="8" w:space="0" w:color="auto"/>
              <w:right w:val="single" w:sz="8" w:space="0" w:color="auto"/>
            </w:tcBorders>
            <w:noWrap/>
            <w:vAlign w:val="center"/>
            <w:hideMark/>
          </w:tcPr>
          <w:p w14:paraId="29C66B45" w14:textId="49D1FC77" w:rsidR="00A4507B" w:rsidRPr="00EB68E3" w:rsidRDefault="00A4507B" w:rsidP="00EE1766">
            <w:pPr>
              <w:jc w:val="right"/>
              <w:rPr>
                <w:rFonts w:eastAsia="MS Mincho"/>
                <w:b/>
                <w:bCs/>
                <w:sz w:val="22"/>
                <w:szCs w:val="22"/>
              </w:rPr>
            </w:pPr>
            <w:r w:rsidRPr="00EB68E3">
              <w:rPr>
                <w:b/>
                <w:bCs/>
                <w:sz w:val="22"/>
                <w:szCs w:val="22"/>
              </w:rPr>
              <w:t>59 059</w:t>
            </w:r>
          </w:p>
        </w:tc>
        <w:tc>
          <w:tcPr>
            <w:tcW w:w="496" w:type="pct"/>
            <w:tcBorders>
              <w:top w:val="nil"/>
              <w:left w:val="nil"/>
              <w:bottom w:val="single" w:sz="8" w:space="0" w:color="auto"/>
              <w:right w:val="single" w:sz="8" w:space="0" w:color="auto"/>
            </w:tcBorders>
            <w:noWrap/>
            <w:vAlign w:val="center"/>
            <w:hideMark/>
          </w:tcPr>
          <w:p w14:paraId="3C0DF874" w14:textId="17CF3B5F" w:rsidR="00A4507B" w:rsidRPr="00EB68E3" w:rsidRDefault="00A4507B" w:rsidP="00EE1766">
            <w:pPr>
              <w:jc w:val="right"/>
              <w:rPr>
                <w:rFonts w:eastAsia="MS Mincho"/>
                <w:sz w:val="22"/>
                <w:szCs w:val="22"/>
              </w:rPr>
            </w:pPr>
            <w:r w:rsidRPr="00EB68E3">
              <w:rPr>
                <w:sz w:val="22"/>
                <w:szCs w:val="22"/>
              </w:rPr>
              <w:t>96,82 %</w:t>
            </w:r>
          </w:p>
        </w:tc>
        <w:tc>
          <w:tcPr>
            <w:tcW w:w="372" w:type="pct"/>
            <w:tcBorders>
              <w:top w:val="nil"/>
              <w:left w:val="nil"/>
              <w:bottom w:val="single" w:sz="8" w:space="0" w:color="auto"/>
              <w:right w:val="single" w:sz="8" w:space="0" w:color="auto"/>
            </w:tcBorders>
            <w:noWrap/>
            <w:vAlign w:val="center"/>
            <w:hideMark/>
          </w:tcPr>
          <w:p w14:paraId="7F01516E" w14:textId="042572B3" w:rsidR="00A4507B" w:rsidRPr="00EB68E3" w:rsidRDefault="00A4507B" w:rsidP="00EE1766">
            <w:pPr>
              <w:jc w:val="right"/>
              <w:rPr>
                <w:rFonts w:eastAsia="MS Mincho"/>
                <w:b/>
                <w:bCs/>
                <w:sz w:val="22"/>
                <w:szCs w:val="22"/>
              </w:rPr>
            </w:pPr>
            <w:r w:rsidRPr="00EB68E3">
              <w:rPr>
                <w:b/>
                <w:bCs/>
                <w:sz w:val="22"/>
                <w:szCs w:val="22"/>
              </w:rPr>
              <w:t>24 142</w:t>
            </w:r>
          </w:p>
        </w:tc>
      </w:tr>
      <w:tr w:rsidR="00A4507B" w:rsidRPr="00EB68E3" w14:paraId="668E50AE" w14:textId="77777777" w:rsidTr="00A4507B">
        <w:trPr>
          <w:trHeight w:val="319"/>
        </w:trPr>
        <w:tc>
          <w:tcPr>
            <w:tcW w:w="5000" w:type="pct"/>
            <w:gridSpan w:val="11"/>
            <w:tcBorders>
              <w:top w:val="nil"/>
              <w:left w:val="single" w:sz="8" w:space="0" w:color="auto"/>
              <w:bottom w:val="single" w:sz="8" w:space="0" w:color="auto"/>
              <w:right w:val="single" w:sz="8" w:space="0" w:color="auto"/>
            </w:tcBorders>
            <w:hideMark/>
          </w:tcPr>
          <w:p w14:paraId="72CABBAA" w14:textId="77777777" w:rsidR="00A4507B" w:rsidRPr="00EB68E3" w:rsidRDefault="00A4507B" w:rsidP="00EE1766">
            <w:pPr>
              <w:ind w:left="567" w:hanging="567"/>
              <w:jc w:val="both"/>
              <w:rPr>
                <w:i/>
                <w:sz w:val="22"/>
                <w:szCs w:val="22"/>
              </w:rPr>
            </w:pPr>
            <w:r w:rsidRPr="00EB68E3">
              <w:rPr>
                <w:i/>
                <w:sz w:val="22"/>
                <w:szCs w:val="22"/>
              </w:rPr>
              <w:t>*</w:t>
            </w:r>
            <w:r w:rsidRPr="00EB68E3">
              <w:rPr>
                <w:i/>
                <w:sz w:val="22"/>
                <w:szCs w:val="22"/>
              </w:rPr>
              <w:tab/>
              <w:t xml:space="preserve"> Kaikki määrät on ilmaistu tuhansina euroina.</w:t>
            </w:r>
          </w:p>
        </w:tc>
      </w:tr>
    </w:tbl>
    <w:p w14:paraId="7CBA2103" w14:textId="77777777" w:rsidR="00A4507B" w:rsidRPr="00EB68E3" w:rsidRDefault="00A4507B" w:rsidP="00EE1766">
      <w:pPr>
        <w:widowControl/>
        <w:sectPr w:rsidR="00A4507B" w:rsidRPr="00EB68E3" w:rsidSect="00D14982">
          <w:footerReference w:type="default" r:id="rId15"/>
          <w:footnotePr>
            <w:numRestart w:val="eachPage"/>
          </w:footnotePr>
          <w:endnotePr>
            <w:numFmt w:val="decimal"/>
          </w:endnotePr>
          <w:pgSz w:w="16838" w:h="11906" w:orient="landscape"/>
          <w:pgMar w:top="1418" w:right="1134" w:bottom="1418" w:left="709" w:header="567" w:footer="567" w:gutter="0"/>
          <w:cols w:space="720"/>
          <w:docGrid w:linePitch="326"/>
        </w:sectPr>
      </w:pPr>
    </w:p>
    <w:p w14:paraId="0B916F52" w14:textId="5B034BF8" w:rsidR="00A4507B" w:rsidRPr="00EB68E3" w:rsidRDefault="001A3EF0" w:rsidP="00EE1766">
      <w:pPr>
        <w:pStyle w:val="Normal12Hanging"/>
      </w:pPr>
      <w:r w:rsidRPr="00EB68E3">
        <w:t>144.</w:t>
      </w:r>
      <w:r w:rsidRPr="00EB68E3">
        <w:tab/>
        <w:t>panee tyytyväisenä merkille, että poliittisten ryhmien riippumaton ulkoinen tarkastaja antoi vain vakiomuotoisia lausuntoja; korostaa, että tämä on myönteinen kehitys verrattuna parlamenttia koskevaan varainhoitovuoden 2016 vastuuvapausmenettelyyn, jossa riippumaton ulkopuolinen tarkastaja antoi varauman sisältävän lausunnon yhdestä poliittisesta ryhmästä;</w:t>
      </w:r>
    </w:p>
    <w:p w14:paraId="656860BF" w14:textId="77777777" w:rsidR="00A4507B" w:rsidRPr="00EB68E3" w:rsidRDefault="00A4507B" w:rsidP="00EE1766">
      <w:pPr>
        <w:pStyle w:val="Normal12Hanging"/>
        <w:ind w:left="0" w:firstLine="0"/>
        <w:rPr>
          <w:b/>
          <w:i/>
        </w:rPr>
      </w:pPr>
      <w:r w:rsidRPr="00EB68E3">
        <w:rPr>
          <w:b/>
          <w:i/>
        </w:rPr>
        <w:t>Euroopan tason poliittiset puolueet ja Euroopan tason poliittiset säätiöt</w:t>
      </w:r>
    </w:p>
    <w:p w14:paraId="705475EC" w14:textId="36D36486" w:rsidR="00A4507B" w:rsidRPr="00EB68E3" w:rsidRDefault="001A3EF0" w:rsidP="00EE1766">
      <w:pPr>
        <w:pStyle w:val="Normal12Hanging"/>
      </w:pPr>
      <w:r w:rsidRPr="00EB68E3">
        <w:t>145.</w:t>
      </w:r>
      <w:r w:rsidRPr="00EB68E3">
        <w:tab/>
        <w:t xml:space="preserve">toteaa, että Euroopan tason poliittisista puolueista ja Euroopan tason poliittisista säätiöistä vastaava viranomainen perustettiin vuonna 2016 arvioimaan rekisteröintipyyntöjä, rekisteröimään uusia unionin puolueita ja säätiöitä, valvomaan niiden rahoitusta ja määräämään seuraamuksia, jos ne eivät noudata velvoitteitaan; toteaa, että se oli </w:t>
      </w:r>
      <w:r w:rsidR="00696D5B">
        <w:t>täysin toiminnassa vuonna 2017;</w:t>
      </w:r>
    </w:p>
    <w:p w14:paraId="733CC635" w14:textId="755CCD7C" w:rsidR="00A4507B" w:rsidRPr="00EB68E3" w:rsidRDefault="001A3EF0" w:rsidP="00EE1766">
      <w:pPr>
        <w:pStyle w:val="Normal12Hanging"/>
      </w:pPr>
      <w:r w:rsidRPr="00EB68E3">
        <w:t>146.</w:t>
      </w:r>
      <w:r w:rsidRPr="00EB68E3">
        <w:tab/>
        <w:t>panee merkille, että vuonna 2017 vastuuviranomaiselta puuttui resursseja, etenkin henkilöstöä, tehtäviensä suorittamiseksi; toteaa, että komissio, neuvosto ja parlamentti sopivat lisäresurssien antamisesta vastuuviranomaiselle vuoden 2019 talousarviossa; korostaa, että henkilöresursseja olisi pitänyt antaa alusta alkaen riittävästi, kun otetaan huomioon vastuuviranomaisen toiminnan merkitys;</w:t>
      </w:r>
    </w:p>
    <w:p w14:paraId="46D419BB" w14:textId="3DE9ECC7" w:rsidR="00BE32E9" w:rsidRPr="00EB68E3" w:rsidRDefault="001A3EF0" w:rsidP="00BE32E9">
      <w:pPr>
        <w:pStyle w:val="Normal12Hanging"/>
      </w:pPr>
      <w:r w:rsidRPr="00EB68E3">
        <w:t>147.</w:t>
      </w:r>
      <w:r w:rsidRPr="00EB68E3">
        <w:tab/>
        <w:t>on huolissaan siitä, että seitsemässä tapauksessa puhemiehistön oli päätettävä riskien pienentämistä koskevien toimenpiteiden käyttöönotosta unionin taloudellisten etujen suojaamiseksi, mikä johtui taloudellisesta ja hallinnollisesta epävakaudesta tai vakavia sääntöjenvastaisuuksia koskevasta epäilystä tai käynnissä olevasta menettelystä, joka koskee unionin perustana olevien periaatteiden noudattamatta jättämistä;</w:t>
      </w:r>
    </w:p>
    <w:p w14:paraId="7D8CD99C" w14:textId="522D6FB3" w:rsidR="006A06D0" w:rsidRPr="00EB68E3" w:rsidRDefault="001A3EF0" w:rsidP="00EE1766">
      <w:pPr>
        <w:pStyle w:val="Normal12Hanging"/>
      </w:pPr>
      <w:r w:rsidRPr="00EB68E3">
        <w:t>148.</w:t>
      </w:r>
      <w:r w:rsidRPr="00EB68E3">
        <w:tab/>
        <w:t>toteaa, että vuonna 2017 momentin 4 0 2 määrärahat käytettiin seuraavasti</w:t>
      </w:r>
      <w:r w:rsidR="00A4507B" w:rsidRPr="00EB68E3">
        <w:rPr>
          <w:rStyle w:val="FootnoteReference"/>
        </w:rPr>
        <w:footnoteReference w:id="16"/>
      </w:r>
      <w:r w:rsidRPr="00EB68E3">
        <w:t>:</w:t>
      </w:r>
    </w:p>
    <w:tbl>
      <w:tblPr>
        <w:tblW w:w="5000" w:type="pct"/>
        <w:tblLook w:val="04A0" w:firstRow="1" w:lastRow="0" w:firstColumn="1" w:lastColumn="0" w:noHBand="0" w:noVBand="1"/>
      </w:tblPr>
      <w:tblGrid>
        <w:gridCol w:w="2375"/>
        <w:gridCol w:w="1056"/>
        <w:gridCol w:w="1176"/>
        <w:gridCol w:w="1376"/>
        <w:gridCol w:w="1296"/>
        <w:gridCol w:w="1616"/>
        <w:gridCol w:w="1376"/>
      </w:tblGrid>
      <w:tr w:rsidR="00A4507B" w:rsidRPr="00EB68E3" w14:paraId="77FDBE0E" w14:textId="77777777" w:rsidTr="006A06D0">
        <w:trPr>
          <w:trHeight w:val="1330"/>
        </w:trPr>
        <w:tc>
          <w:tcPr>
            <w:tcW w:w="871" w:type="pct"/>
            <w:tcBorders>
              <w:top w:val="single" w:sz="8" w:space="0" w:color="auto"/>
              <w:left w:val="single" w:sz="8" w:space="0" w:color="auto"/>
              <w:bottom w:val="single" w:sz="4" w:space="0" w:color="auto"/>
              <w:right w:val="single" w:sz="4" w:space="0" w:color="auto"/>
            </w:tcBorders>
            <w:shd w:val="clear" w:color="auto" w:fill="FFFFFF"/>
            <w:vAlign w:val="center"/>
            <w:hideMark/>
          </w:tcPr>
          <w:p w14:paraId="1F852757" w14:textId="77777777" w:rsidR="00A4507B" w:rsidRPr="00EB68E3" w:rsidRDefault="006A06D0" w:rsidP="00EE1766">
            <w:pPr>
              <w:jc w:val="both"/>
              <w:rPr>
                <w:rFonts w:eastAsia="MS Mincho"/>
                <w:szCs w:val="24"/>
              </w:rPr>
            </w:pPr>
            <w:r w:rsidRPr="00EB68E3">
              <w:br w:type="page"/>
              <w:t>Puolue</w:t>
            </w:r>
          </w:p>
        </w:tc>
        <w:tc>
          <w:tcPr>
            <w:tcW w:w="516" w:type="pct"/>
            <w:tcBorders>
              <w:top w:val="single" w:sz="8" w:space="0" w:color="auto"/>
              <w:left w:val="nil"/>
              <w:bottom w:val="single" w:sz="4" w:space="0" w:color="auto"/>
              <w:right w:val="single" w:sz="4" w:space="0" w:color="auto"/>
            </w:tcBorders>
            <w:shd w:val="clear" w:color="auto" w:fill="FFFFFF"/>
            <w:vAlign w:val="center"/>
            <w:hideMark/>
          </w:tcPr>
          <w:p w14:paraId="5242FD36" w14:textId="39C1D8DA" w:rsidR="00A4507B" w:rsidRPr="00EB68E3" w:rsidRDefault="00A4507B" w:rsidP="00EE1766">
            <w:pPr>
              <w:jc w:val="both"/>
              <w:rPr>
                <w:rFonts w:eastAsia="MS Mincho"/>
                <w:szCs w:val="24"/>
              </w:rPr>
            </w:pPr>
            <w:r w:rsidRPr="00EB68E3">
              <w:t>Lyhenne</w:t>
            </w:r>
          </w:p>
        </w:tc>
        <w:tc>
          <w:tcPr>
            <w:tcW w:w="836" w:type="pct"/>
            <w:tcBorders>
              <w:top w:val="single" w:sz="8" w:space="0" w:color="auto"/>
              <w:left w:val="nil"/>
              <w:bottom w:val="single" w:sz="4" w:space="0" w:color="auto"/>
              <w:right w:val="single" w:sz="4" w:space="0" w:color="auto"/>
            </w:tcBorders>
            <w:shd w:val="clear" w:color="auto" w:fill="FFFFFF"/>
            <w:vAlign w:val="center"/>
            <w:hideMark/>
          </w:tcPr>
          <w:p w14:paraId="6EF8DAD4" w14:textId="77777777" w:rsidR="00A4507B" w:rsidRPr="00EB68E3" w:rsidRDefault="00A4507B" w:rsidP="00EE1766">
            <w:pPr>
              <w:jc w:val="both"/>
              <w:rPr>
                <w:rFonts w:eastAsia="MS Mincho"/>
                <w:szCs w:val="24"/>
              </w:rPr>
            </w:pPr>
            <w:r w:rsidRPr="00EB68E3">
              <w:t>Omat varat</w:t>
            </w:r>
          </w:p>
        </w:tc>
        <w:tc>
          <w:tcPr>
            <w:tcW w:w="716" w:type="pct"/>
            <w:tcBorders>
              <w:top w:val="single" w:sz="8" w:space="0" w:color="auto"/>
              <w:left w:val="nil"/>
              <w:bottom w:val="single" w:sz="4" w:space="0" w:color="auto"/>
              <w:right w:val="single" w:sz="4" w:space="0" w:color="auto"/>
            </w:tcBorders>
            <w:shd w:val="clear" w:color="auto" w:fill="FFFFFF"/>
            <w:vAlign w:val="center"/>
            <w:hideMark/>
          </w:tcPr>
          <w:p w14:paraId="5BEFEB87" w14:textId="5CA8EE0C" w:rsidR="00A4507B" w:rsidRPr="00EB68E3" w:rsidRDefault="00B9624E" w:rsidP="00EE1766">
            <w:pPr>
              <w:jc w:val="both"/>
              <w:rPr>
                <w:rFonts w:eastAsia="MS Mincho"/>
                <w:szCs w:val="24"/>
              </w:rPr>
            </w:pPr>
            <w:r w:rsidRPr="00EB68E3">
              <w:t>Parlamentin avustus</w:t>
            </w:r>
          </w:p>
        </w:tc>
        <w:tc>
          <w:tcPr>
            <w:tcW w:w="717" w:type="pct"/>
            <w:tcBorders>
              <w:top w:val="single" w:sz="8" w:space="0" w:color="auto"/>
              <w:left w:val="nil"/>
              <w:bottom w:val="single" w:sz="4" w:space="0" w:color="auto"/>
              <w:right w:val="single" w:sz="4" w:space="0" w:color="auto"/>
            </w:tcBorders>
            <w:shd w:val="clear" w:color="auto" w:fill="FFFFFF"/>
            <w:vAlign w:val="center"/>
            <w:hideMark/>
          </w:tcPr>
          <w:p w14:paraId="1E2B8545" w14:textId="77777777" w:rsidR="00A4507B" w:rsidRPr="00EB68E3" w:rsidRDefault="00A4507B" w:rsidP="00EE1766">
            <w:pPr>
              <w:jc w:val="both"/>
              <w:rPr>
                <w:rFonts w:eastAsia="MS Mincho"/>
                <w:szCs w:val="24"/>
              </w:rPr>
            </w:pPr>
            <w:r w:rsidRPr="00EB68E3">
              <w:t>Tulot yhteensä</w:t>
            </w:r>
            <w:r w:rsidRPr="00EB68E3">
              <w:rPr>
                <w:rStyle w:val="FootnoteReference"/>
                <w:rFonts w:eastAsia="MS Mincho"/>
                <w:szCs w:val="24"/>
                <w:lang w:eastAsia="ja-JP"/>
              </w:rPr>
              <w:footnoteReference w:id="17"/>
            </w:r>
          </w:p>
        </w:tc>
        <w:tc>
          <w:tcPr>
            <w:tcW w:w="745" w:type="pct"/>
            <w:tcBorders>
              <w:top w:val="single" w:sz="8" w:space="0" w:color="auto"/>
              <w:left w:val="nil"/>
              <w:bottom w:val="single" w:sz="4" w:space="0" w:color="auto"/>
              <w:right w:val="single" w:sz="4" w:space="0" w:color="auto"/>
            </w:tcBorders>
            <w:shd w:val="clear" w:color="auto" w:fill="FFFFFF"/>
            <w:vAlign w:val="center"/>
            <w:hideMark/>
          </w:tcPr>
          <w:p w14:paraId="06A458C6" w14:textId="77777777" w:rsidR="00A4507B" w:rsidRPr="00EB68E3" w:rsidRDefault="00A4507B" w:rsidP="00EE1766">
            <w:pPr>
              <w:rPr>
                <w:rFonts w:eastAsia="MS Mincho"/>
                <w:szCs w:val="24"/>
              </w:rPr>
            </w:pPr>
            <w:r w:rsidRPr="00EB68E3">
              <w:t>EP:n avustuksen osuus tukikelpoisista menoista (enintään 85 %)</w:t>
            </w:r>
          </w:p>
        </w:tc>
        <w:tc>
          <w:tcPr>
            <w:tcW w:w="598" w:type="pct"/>
            <w:tcBorders>
              <w:top w:val="single" w:sz="8" w:space="0" w:color="auto"/>
              <w:left w:val="nil"/>
              <w:bottom w:val="single" w:sz="4" w:space="0" w:color="auto"/>
              <w:right w:val="single" w:sz="8" w:space="0" w:color="auto"/>
            </w:tcBorders>
            <w:shd w:val="clear" w:color="auto" w:fill="FFFFFF"/>
            <w:vAlign w:val="center"/>
            <w:hideMark/>
          </w:tcPr>
          <w:p w14:paraId="69EE59F3" w14:textId="77777777" w:rsidR="00A4507B" w:rsidRPr="00EB68E3" w:rsidRDefault="00A4507B" w:rsidP="00EE1766">
            <w:pPr>
              <w:rPr>
                <w:rFonts w:eastAsia="MS Mincho"/>
                <w:szCs w:val="24"/>
              </w:rPr>
            </w:pPr>
            <w:r w:rsidRPr="00EB68E3">
              <w:t>Tulojen ylijäämä (siirto varaukseen) tai tappio</w:t>
            </w:r>
          </w:p>
        </w:tc>
      </w:tr>
      <w:tr w:rsidR="00A4507B" w:rsidRPr="00EB68E3" w14:paraId="2E645984"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5C7105D0" w14:textId="77777777" w:rsidR="00A4507B" w:rsidRPr="00EB68E3" w:rsidRDefault="00A4507B" w:rsidP="00EE1766">
            <w:pPr>
              <w:rPr>
                <w:rFonts w:eastAsia="MS Mincho"/>
                <w:szCs w:val="24"/>
              </w:rPr>
            </w:pPr>
            <w:r w:rsidRPr="00EB68E3">
              <w:t>Euroopan kansanpuolue</w:t>
            </w:r>
          </w:p>
        </w:tc>
        <w:tc>
          <w:tcPr>
            <w:tcW w:w="516" w:type="pct"/>
            <w:tcBorders>
              <w:top w:val="nil"/>
              <w:left w:val="nil"/>
              <w:bottom w:val="single" w:sz="4" w:space="0" w:color="auto"/>
              <w:right w:val="single" w:sz="4" w:space="0" w:color="auto"/>
            </w:tcBorders>
            <w:shd w:val="clear" w:color="auto" w:fill="FFFFFF"/>
            <w:vAlign w:val="center"/>
            <w:hideMark/>
          </w:tcPr>
          <w:p w14:paraId="76F8D799" w14:textId="77777777" w:rsidR="00A4507B" w:rsidRPr="00EB68E3" w:rsidRDefault="00A4507B" w:rsidP="00EE1766">
            <w:r w:rsidRPr="00EB68E3">
              <w:t>PPE</w:t>
            </w:r>
          </w:p>
        </w:tc>
        <w:tc>
          <w:tcPr>
            <w:tcW w:w="836" w:type="pct"/>
            <w:tcBorders>
              <w:top w:val="nil"/>
              <w:left w:val="nil"/>
              <w:bottom w:val="single" w:sz="4" w:space="0" w:color="auto"/>
              <w:right w:val="single" w:sz="4" w:space="0" w:color="auto"/>
            </w:tcBorders>
            <w:shd w:val="clear" w:color="auto" w:fill="FFFFFF"/>
            <w:noWrap/>
            <w:vAlign w:val="center"/>
            <w:hideMark/>
          </w:tcPr>
          <w:p w14:paraId="4373FD05" w14:textId="290723CF" w:rsidR="00A4507B" w:rsidRPr="00EB68E3" w:rsidRDefault="00A4507B" w:rsidP="00EE1766">
            <w:pPr>
              <w:jc w:val="right"/>
            </w:pPr>
            <w:r w:rsidRPr="00EB68E3">
              <w:t>1 548 409</w:t>
            </w:r>
          </w:p>
        </w:tc>
        <w:tc>
          <w:tcPr>
            <w:tcW w:w="716" w:type="pct"/>
            <w:tcBorders>
              <w:top w:val="nil"/>
              <w:left w:val="nil"/>
              <w:bottom w:val="single" w:sz="4" w:space="0" w:color="auto"/>
              <w:right w:val="single" w:sz="4" w:space="0" w:color="auto"/>
            </w:tcBorders>
            <w:shd w:val="clear" w:color="auto" w:fill="FFFFFF"/>
            <w:noWrap/>
            <w:vAlign w:val="center"/>
            <w:hideMark/>
          </w:tcPr>
          <w:p w14:paraId="53BE8D25" w14:textId="11F58C3A" w:rsidR="00A4507B" w:rsidRPr="00EB68E3" w:rsidRDefault="00A4507B" w:rsidP="00EE1766">
            <w:pPr>
              <w:jc w:val="right"/>
            </w:pPr>
            <w:r w:rsidRPr="00EB68E3">
              <w:t>8 018 034</w:t>
            </w:r>
          </w:p>
        </w:tc>
        <w:tc>
          <w:tcPr>
            <w:tcW w:w="717" w:type="pct"/>
            <w:tcBorders>
              <w:top w:val="nil"/>
              <w:left w:val="nil"/>
              <w:bottom w:val="single" w:sz="4" w:space="0" w:color="auto"/>
              <w:right w:val="single" w:sz="4" w:space="0" w:color="auto"/>
            </w:tcBorders>
            <w:shd w:val="clear" w:color="auto" w:fill="FFFFFF"/>
            <w:noWrap/>
            <w:vAlign w:val="center"/>
            <w:hideMark/>
          </w:tcPr>
          <w:p w14:paraId="5039A699" w14:textId="74DA8D0C" w:rsidR="00A4507B" w:rsidRPr="00EB68E3" w:rsidRDefault="00A4507B" w:rsidP="00EE1766">
            <w:pPr>
              <w:jc w:val="right"/>
            </w:pPr>
            <w:r w:rsidRPr="00EB68E3">
              <w:t>12 118 607</w:t>
            </w:r>
          </w:p>
        </w:tc>
        <w:tc>
          <w:tcPr>
            <w:tcW w:w="745" w:type="pct"/>
            <w:tcBorders>
              <w:top w:val="nil"/>
              <w:left w:val="nil"/>
              <w:bottom w:val="single" w:sz="4" w:space="0" w:color="auto"/>
              <w:right w:val="single" w:sz="4" w:space="0" w:color="auto"/>
            </w:tcBorders>
            <w:shd w:val="clear" w:color="auto" w:fill="FFFFFF"/>
            <w:vAlign w:val="center"/>
            <w:hideMark/>
          </w:tcPr>
          <w:p w14:paraId="4EB91379" w14:textId="342304F6" w:rsidR="00A4507B" w:rsidRPr="00EB68E3" w:rsidRDefault="00A4507B" w:rsidP="00B03798">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hideMark/>
          </w:tcPr>
          <w:p w14:paraId="2D2CE545" w14:textId="77777777" w:rsidR="00A4507B" w:rsidRPr="00EB68E3" w:rsidRDefault="00A4507B" w:rsidP="00EE1766">
            <w:pPr>
              <w:jc w:val="right"/>
            </w:pPr>
            <w:r w:rsidRPr="00EB68E3">
              <w:t>–</w:t>
            </w:r>
          </w:p>
        </w:tc>
      </w:tr>
      <w:tr w:rsidR="00A4507B" w:rsidRPr="00EB68E3" w14:paraId="0D49690C"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5ACAE170" w14:textId="77777777" w:rsidR="00A4507B" w:rsidRPr="00EB68E3" w:rsidRDefault="00A4507B" w:rsidP="00EE1766">
            <w:pPr>
              <w:rPr>
                <w:rFonts w:eastAsia="MS Mincho"/>
                <w:szCs w:val="24"/>
              </w:rPr>
            </w:pPr>
            <w:r w:rsidRPr="00EB68E3">
              <w:t>Euroopan sosialidemokraattinen puolue</w:t>
            </w:r>
          </w:p>
        </w:tc>
        <w:tc>
          <w:tcPr>
            <w:tcW w:w="516" w:type="pct"/>
            <w:tcBorders>
              <w:top w:val="nil"/>
              <w:left w:val="nil"/>
              <w:bottom w:val="single" w:sz="4" w:space="0" w:color="auto"/>
              <w:right w:val="single" w:sz="4" w:space="0" w:color="auto"/>
            </w:tcBorders>
            <w:shd w:val="clear" w:color="auto" w:fill="FFFFFF"/>
            <w:vAlign w:val="center"/>
            <w:hideMark/>
          </w:tcPr>
          <w:p w14:paraId="34376047" w14:textId="77777777" w:rsidR="00A4507B" w:rsidRPr="00EB68E3" w:rsidRDefault="00A4507B" w:rsidP="00EE1766">
            <w:r w:rsidRPr="00EB68E3">
              <w:t>PSE</w:t>
            </w:r>
          </w:p>
        </w:tc>
        <w:tc>
          <w:tcPr>
            <w:tcW w:w="836" w:type="pct"/>
            <w:tcBorders>
              <w:top w:val="nil"/>
              <w:left w:val="nil"/>
              <w:bottom w:val="single" w:sz="4" w:space="0" w:color="auto"/>
              <w:right w:val="single" w:sz="4" w:space="0" w:color="auto"/>
            </w:tcBorders>
            <w:shd w:val="clear" w:color="auto" w:fill="FFFFFF"/>
            <w:noWrap/>
            <w:vAlign w:val="center"/>
            <w:hideMark/>
          </w:tcPr>
          <w:p w14:paraId="4B754E6C" w14:textId="6B239D99" w:rsidR="00A4507B" w:rsidRPr="00EB68E3" w:rsidRDefault="00A4507B" w:rsidP="00EE1766">
            <w:pPr>
              <w:jc w:val="right"/>
            </w:pPr>
            <w:r w:rsidRPr="00EB68E3">
              <w:t>1 335 161</w:t>
            </w:r>
          </w:p>
        </w:tc>
        <w:tc>
          <w:tcPr>
            <w:tcW w:w="716" w:type="pct"/>
            <w:tcBorders>
              <w:top w:val="nil"/>
              <w:left w:val="nil"/>
              <w:bottom w:val="single" w:sz="4" w:space="0" w:color="auto"/>
              <w:right w:val="single" w:sz="4" w:space="0" w:color="auto"/>
            </w:tcBorders>
            <w:shd w:val="clear" w:color="auto" w:fill="FFFFFF"/>
            <w:noWrap/>
            <w:vAlign w:val="center"/>
            <w:hideMark/>
          </w:tcPr>
          <w:p w14:paraId="6E4E5BC6" w14:textId="5493C4D3" w:rsidR="00A4507B" w:rsidRPr="00EB68E3" w:rsidRDefault="00A4507B" w:rsidP="00EE1766">
            <w:pPr>
              <w:jc w:val="right"/>
            </w:pPr>
            <w:r w:rsidRPr="00EB68E3">
              <w:t>6 901 688</w:t>
            </w:r>
          </w:p>
        </w:tc>
        <w:tc>
          <w:tcPr>
            <w:tcW w:w="717" w:type="pct"/>
            <w:tcBorders>
              <w:top w:val="nil"/>
              <w:left w:val="nil"/>
              <w:bottom w:val="single" w:sz="4" w:space="0" w:color="auto"/>
              <w:right w:val="single" w:sz="4" w:space="0" w:color="auto"/>
            </w:tcBorders>
            <w:shd w:val="clear" w:color="auto" w:fill="FFFFFF"/>
            <w:noWrap/>
            <w:vAlign w:val="center"/>
            <w:hideMark/>
          </w:tcPr>
          <w:p w14:paraId="4F23B344" w14:textId="503A8AA9" w:rsidR="00A4507B" w:rsidRPr="00EB68E3" w:rsidRDefault="00A4507B" w:rsidP="00EE1766">
            <w:pPr>
              <w:jc w:val="right"/>
            </w:pPr>
            <w:r w:rsidRPr="00EB68E3">
              <w:t>8 518 219</w:t>
            </w:r>
          </w:p>
        </w:tc>
        <w:tc>
          <w:tcPr>
            <w:tcW w:w="745" w:type="pct"/>
            <w:tcBorders>
              <w:top w:val="nil"/>
              <w:left w:val="nil"/>
              <w:bottom w:val="single" w:sz="4" w:space="0" w:color="auto"/>
              <w:right w:val="single" w:sz="4" w:space="0" w:color="auto"/>
            </w:tcBorders>
            <w:shd w:val="clear" w:color="auto" w:fill="FFFFFF"/>
            <w:vAlign w:val="center"/>
          </w:tcPr>
          <w:p w14:paraId="27A106C1" w14:textId="77777777" w:rsidR="00A4507B" w:rsidRPr="00EB68E3" w:rsidRDefault="00A4507B" w:rsidP="00EE1766">
            <w:pPr>
              <w:jc w:val="right"/>
            </w:pPr>
          </w:p>
          <w:p w14:paraId="678CE5CA" w14:textId="3E823087" w:rsidR="00A4507B" w:rsidRPr="00EB68E3" w:rsidRDefault="00A4507B" w:rsidP="00B03798">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tcPr>
          <w:p w14:paraId="235861C2" w14:textId="77777777" w:rsidR="00A4507B" w:rsidRPr="00EB68E3" w:rsidRDefault="00A4507B" w:rsidP="00EE1766">
            <w:pPr>
              <w:jc w:val="right"/>
            </w:pPr>
          </w:p>
          <w:p w14:paraId="10AB0E1F" w14:textId="5BEC5F8F" w:rsidR="00A4507B" w:rsidRPr="00EB68E3" w:rsidRDefault="001B4394" w:rsidP="00EE1766">
            <w:pPr>
              <w:jc w:val="right"/>
            </w:pPr>
            <w:r w:rsidRPr="00EB68E3">
              <w:t>-84 178</w:t>
            </w:r>
          </w:p>
        </w:tc>
      </w:tr>
      <w:tr w:rsidR="00A4507B" w:rsidRPr="00EB68E3" w14:paraId="3463DCF0"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544FA429" w14:textId="77777777" w:rsidR="00A4507B" w:rsidRPr="00EB68E3" w:rsidRDefault="00A4507B" w:rsidP="00EE1766">
            <w:pPr>
              <w:rPr>
                <w:rFonts w:eastAsia="MS Mincho"/>
                <w:szCs w:val="24"/>
              </w:rPr>
            </w:pPr>
            <w:r w:rsidRPr="00EB68E3">
              <w:t>Euroopan liberaalidemokraattien liitto</w:t>
            </w:r>
          </w:p>
        </w:tc>
        <w:tc>
          <w:tcPr>
            <w:tcW w:w="516" w:type="pct"/>
            <w:tcBorders>
              <w:top w:val="nil"/>
              <w:left w:val="nil"/>
              <w:bottom w:val="single" w:sz="4" w:space="0" w:color="auto"/>
              <w:right w:val="single" w:sz="4" w:space="0" w:color="auto"/>
            </w:tcBorders>
            <w:shd w:val="clear" w:color="auto" w:fill="FFFFFF"/>
            <w:vAlign w:val="center"/>
            <w:hideMark/>
          </w:tcPr>
          <w:p w14:paraId="0E599895" w14:textId="77777777" w:rsidR="00A4507B" w:rsidRPr="00EB68E3" w:rsidRDefault="00A4507B" w:rsidP="00EE1766">
            <w:r w:rsidRPr="00EB68E3">
              <w:t>ALDE</w:t>
            </w:r>
          </w:p>
        </w:tc>
        <w:tc>
          <w:tcPr>
            <w:tcW w:w="836" w:type="pct"/>
            <w:tcBorders>
              <w:top w:val="nil"/>
              <w:left w:val="nil"/>
              <w:bottom w:val="single" w:sz="4" w:space="0" w:color="auto"/>
              <w:right w:val="single" w:sz="4" w:space="0" w:color="auto"/>
            </w:tcBorders>
            <w:shd w:val="clear" w:color="auto" w:fill="FFFFFF"/>
            <w:noWrap/>
            <w:vAlign w:val="center"/>
            <w:hideMark/>
          </w:tcPr>
          <w:p w14:paraId="1E3F3DE2" w14:textId="4E8EA190" w:rsidR="00A4507B" w:rsidRPr="00EB68E3" w:rsidRDefault="00A4507B" w:rsidP="00EE1766">
            <w:pPr>
              <w:jc w:val="right"/>
            </w:pPr>
            <w:r w:rsidRPr="00EB68E3">
              <w:t>693 618</w:t>
            </w:r>
          </w:p>
        </w:tc>
        <w:tc>
          <w:tcPr>
            <w:tcW w:w="716" w:type="pct"/>
            <w:tcBorders>
              <w:top w:val="nil"/>
              <w:left w:val="nil"/>
              <w:bottom w:val="single" w:sz="4" w:space="0" w:color="auto"/>
              <w:right w:val="single" w:sz="4" w:space="0" w:color="auto"/>
            </w:tcBorders>
            <w:shd w:val="clear" w:color="auto" w:fill="FFFFFF"/>
            <w:noWrap/>
            <w:vAlign w:val="center"/>
          </w:tcPr>
          <w:p w14:paraId="7B35D1F4" w14:textId="77777777" w:rsidR="00A4507B" w:rsidRPr="00EB68E3" w:rsidRDefault="00A4507B" w:rsidP="00EE1766">
            <w:pPr>
              <w:jc w:val="right"/>
            </w:pPr>
          </w:p>
          <w:p w14:paraId="5AC46916" w14:textId="50D8F44B" w:rsidR="00A4507B" w:rsidRPr="00EB68E3" w:rsidRDefault="00A4507B" w:rsidP="00EE1766">
            <w:pPr>
              <w:jc w:val="right"/>
            </w:pPr>
            <w:r w:rsidRPr="00EB68E3">
              <w:t>2 449 108</w:t>
            </w:r>
          </w:p>
        </w:tc>
        <w:tc>
          <w:tcPr>
            <w:tcW w:w="717" w:type="pct"/>
            <w:tcBorders>
              <w:top w:val="nil"/>
              <w:left w:val="nil"/>
              <w:bottom w:val="single" w:sz="4" w:space="0" w:color="auto"/>
              <w:right w:val="single" w:sz="4" w:space="0" w:color="auto"/>
            </w:tcBorders>
            <w:shd w:val="clear" w:color="auto" w:fill="FFFFFF"/>
            <w:noWrap/>
            <w:vAlign w:val="center"/>
          </w:tcPr>
          <w:p w14:paraId="3C005D1D" w14:textId="77777777" w:rsidR="00A4507B" w:rsidRPr="00EB68E3" w:rsidRDefault="00A4507B" w:rsidP="00EE1766">
            <w:pPr>
              <w:jc w:val="right"/>
            </w:pPr>
          </w:p>
          <w:p w14:paraId="7500FF7E" w14:textId="38687028" w:rsidR="00A4507B" w:rsidRPr="00EB68E3" w:rsidRDefault="00A4507B" w:rsidP="00EE1766">
            <w:pPr>
              <w:jc w:val="right"/>
            </w:pPr>
            <w:r w:rsidRPr="00EB68E3">
              <w:t>3 586 785</w:t>
            </w:r>
          </w:p>
        </w:tc>
        <w:tc>
          <w:tcPr>
            <w:tcW w:w="745" w:type="pct"/>
            <w:tcBorders>
              <w:top w:val="nil"/>
              <w:left w:val="nil"/>
              <w:bottom w:val="single" w:sz="4" w:space="0" w:color="auto"/>
              <w:right w:val="single" w:sz="4" w:space="0" w:color="auto"/>
            </w:tcBorders>
            <w:shd w:val="clear" w:color="auto" w:fill="FFFFFF"/>
            <w:vAlign w:val="center"/>
          </w:tcPr>
          <w:p w14:paraId="42567C6F" w14:textId="77777777" w:rsidR="00A4507B" w:rsidRPr="00EB68E3" w:rsidRDefault="00A4507B" w:rsidP="00EE1766">
            <w:pPr>
              <w:jc w:val="right"/>
            </w:pPr>
          </w:p>
          <w:p w14:paraId="0AF08B50" w14:textId="238C78BF" w:rsidR="00A4507B" w:rsidRPr="00EB68E3" w:rsidRDefault="00A4507B" w:rsidP="00EE1766">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tcPr>
          <w:p w14:paraId="491D3F7F" w14:textId="77777777" w:rsidR="00A4507B" w:rsidRPr="00EB68E3" w:rsidRDefault="00A4507B" w:rsidP="00EE1766">
            <w:pPr>
              <w:jc w:val="right"/>
            </w:pPr>
          </w:p>
          <w:p w14:paraId="0219D743" w14:textId="19A3841A" w:rsidR="00A4507B" w:rsidRPr="00EB68E3" w:rsidRDefault="00A4507B" w:rsidP="00EE1766">
            <w:pPr>
              <w:jc w:val="right"/>
            </w:pPr>
            <w:r w:rsidRPr="00EB68E3">
              <w:t>159 481</w:t>
            </w:r>
          </w:p>
        </w:tc>
      </w:tr>
      <w:tr w:rsidR="00A4507B" w:rsidRPr="00EB68E3" w14:paraId="356F740D"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761FB47C" w14:textId="77777777" w:rsidR="00A4507B" w:rsidRPr="00EB68E3" w:rsidRDefault="00A4507B" w:rsidP="00EE1766">
            <w:pPr>
              <w:rPr>
                <w:rFonts w:eastAsia="MS Mincho"/>
                <w:szCs w:val="24"/>
              </w:rPr>
            </w:pPr>
            <w:r w:rsidRPr="00EB68E3">
              <w:t>Euroopan vihreät</w:t>
            </w:r>
          </w:p>
        </w:tc>
        <w:tc>
          <w:tcPr>
            <w:tcW w:w="516" w:type="pct"/>
            <w:tcBorders>
              <w:top w:val="nil"/>
              <w:left w:val="nil"/>
              <w:bottom w:val="single" w:sz="4" w:space="0" w:color="auto"/>
              <w:right w:val="single" w:sz="4" w:space="0" w:color="auto"/>
            </w:tcBorders>
            <w:shd w:val="clear" w:color="auto" w:fill="FFFFFF"/>
            <w:vAlign w:val="center"/>
            <w:hideMark/>
          </w:tcPr>
          <w:p w14:paraId="395BECF6" w14:textId="77777777" w:rsidR="00A4507B" w:rsidRPr="00EB68E3" w:rsidRDefault="00A4507B" w:rsidP="00EE1766">
            <w:r w:rsidRPr="00EB68E3">
              <w:t>EGP</w:t>
            </w:r>
          </w:p>
        </w:tc>
        <w:tc>
          <w:tcPr>
            <w:tcW w:w="836" w:type="pct"/>
            <w:tcBorders>
              <w:top w:val="nil"/>
              <w:left w:val="nil"/>
              <w:bottom w:val="single" w:sz="4" w:space="0" w:color="auto"/>
              <w:right w:val="single" w:sz="4" w:space="0" w:color="auto"/>
            </w:tcBorders>
            <w:shd w:val="clear" w:color="auto" w:fill="FFFFFF"/>
            <w:noWrap/>
            <w:vAlign w:val="center"/>
            <w:hideMark/>
          </w:tcPr>
          <w:p w14:paraId="169E7336" w14:textId="3F1C2EB2" w:rsidR="00A4507B" w:rsidRPr="00EB68E3" w:rsidRDefault="00A4507B" w:rsidP="00EE1766">
            <w:pPr>
              <w:jc w:val="right"/>
            </w:pPr>
            <w:r w:rsidRPr="00EB68E3">
              <w:t>1 006 971</w:t>
            </w:r>
          </w:p>
        </w:tc>
        <w:tc>
          <w:tcPr>
            <w:tcW w:w="716" w:type="pct"/>
            <w:tcBorders>
              <w:top w:val="nil"/>
              <w:left w:val="nil"/>
              <w:bottom w:val="single" w:sz="4" w:space="0" w:color="auto"/>
              <w:right w:val="single" w:sz="4" w:space="0" w:color="auto"/>
            </w:tcBorders>
            <w:shd w:val="clear" w:color="auto" w:fill="FFFFFF"/>
            <w:noWrap/>
            <w:vAlign w:val="bottom"/>
          </w:tcPr>
          <w:p w14:paraId="57B689ED" w14:textId="77777777" w:rsidR="00A4507B" w:rsidRPr="00EB68E3" w:rsidRDefault="00A4507B" w:rsidP="00EE1766">
            <w:pPr>
              <w:jc w:val="right"/>
            </w:pPr>
          </w:p>
          <w:p w14:paraId="10D6227E" w14:textId="0444E93A" w:rsidR="00A4507B" w:rsidRPr="00EB68E3" w:rsidRDefault="00A4507B" w:rsidP="00EE1766">
            <w:pPr>
              <w:jc w:val="right"/>
            </w:pPr>
            <w:r w:rsidRPr="00EB68E3">
              <w:t>1 865 999</w:t>
            </w:r>
          </w:p>
        </w:tc>
        <w:tc>
          <w:tcPr>
            <w:tcW w:w="717" w:type="pct"/>
            <w:tcBorders>
              <w:top w:val="nil"/>
              <w:left w:val="nil"/>
              <w:bottom w:val="single" w:sz="4" w:space="0" w:color="auto"/>
              <w:right w:val="single" w:sz="4" w:space="0" w:color="auto"/>
            </w:tcBorders>
            <w:shd w:val="clear" w:color="auto" w:fill="FFFFFF"/>
            <w:noWrap/>
            <w:vAlign w:val="bottom"/>
            <w:hideMark/>
          </w:tcPr>
          <w:p w14:paraId="01F5E3A4" w14:textId="3154C0B8" w:rsidR="00A4507B" w:rsidRPr="00EB68E3" w:rsidRDefault="00A4507B" w:rsidP="00EE1766">
            <w:pPr>
              <w:jc w:val="right"/>
            </w:pPr>
            <w:r w:rsidRPr="00EB68E3">
              <w:t>3 064 646</w:t>
            </w:r>
          </w:p>
        </w:tc>
        <w:tc>
          <w:tcPr>
            <w:tcW w:w="745" w:type="pct"/>
            <w:tcBorders>
              <w:top w:val="nil"/>
              <w:left w:val="nil"/>
              <w:bottom w:val="single" w:sz="4" w:space="0" w:color="auto"/>
              <w:right w:val="single" w:sz="4" w:space="0" w:color="auto"/>
            </w:tcBorders>
            <w:shd w:val="clear" w:color="auto" w:fill="FFFFFF"/>
            <w:vAlign w:val="center"/>
            <w:hideMark/>
          </w:tcPr>
          <w:p w14:paraId="512AAFF7" w14:textId="5F00F8B9" w:rsidR="00A4507B" w:rsidRPr="00EB68E3" w:rsidRDefault="00A4507B" w:rsidP="00EE1766">
            <w:pPr>
              <w:jc w:val="right"/>
            </w:pPr>
            <w:r w:rsidRPr="00EB68E3">
              <w:t>73 %</w:t>
            </w:r>
          </w:p>
        </w:tc>
        <w:tc>
          <w:tcPr>
            <w:tcW w:w="598" w:type="pct"/>
            <w:tcBorders>
              <w:top w:val="nil"/>
              <w:left w:val="nil"/>
              <w:bottom w:val="single" w:sz="4" w:space="0" w:color="auto"/>
              <w:right w:val="single" w:sz="8" w:space="0" w:color="auto"/>
            </w:tcBorders>
            <w:shd w:val="clear" w:color="auto" w:fill="FFFFFF"/>
            <w:noWrap/>
            <w:vAlign w:val="center"/>
          </w:tcPr>
          <w:p w14:paraId="6DAD8912" w14:textId="77777777" w:rsidR="00A4507B" w:rsidRPr="00EB68E3" w:rsidRDefault="00A4507B" w:rsidP="00EE1766">
            <w:pPr>
              <w:jc w:val="right"/>
            </w:pPr>
          </w:p>
          <w:p w14:paraId="35706F6D" w14:textId="1B722D96" w:rsidR="00A4507B" w:rsidRPr="00EB68E3" w:rsidRDefault="00A4507B" w:rsidP="00EE1766">
            <w:pPr>
              <w:jc w:val="right"/>
            </w:pPr>
            <w:r w:rsidRPr="00EB68E3">
              <w:t>150 000</w:t>
            </w:r>
          </w:p>
        </w:tc>
      </w:tr>
      <w:tr w:rsidR="00A4507B" w:rsidRPr="00EB68E3" w14:paraId="74A64658" w14:textId="77777777" w:rsidTr="006A06D0">
        <w:trPr>
          <w:trHeight w:val="956"/>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0FC3ED31" w14:textId="77777777" w:rsidR="00A4507B" w:rsidRPr="00EB68E3" w:rsidRDefault="00A4507B" w:rsidP="00EE1766">
            <w:pPr>
              <w:rPr>
                <w:rFonts w:eastAsia="MS Mincho"/>
                <w:szCs w:val="24"/>
              </w:rPr>
            </w:pPr>
            <w:r w:rsidRPr="00EB68E3">
              <w:t>Euroopan konservatiivien ja reformistien liitto</w:t>
            </w:r>
          </w:p>
        </w:tc>
        <w:tc>
          <w:tcPr>
            <w:tcW w:w="516" w:type="pct"/>
            <w:tcBorders>
              <w:top w:val="nil"/>
              <w:left w:val="nil"/>
              <w:bottom w:val="single" w:sz="4" w:space="0" w:color="auto"/>
              <w:right w:val="single" w:sz="4" w:space="0" w:color="auto"/>
            </w:tcBorders>
            <w:shd w:val="clear" w:color="auto" w:fill="FFFFFF"/>
            <w:vAlign w:val="center"/>
            <w:hideMark/>
          </w:tcPr>
          <w:p w14:paraId="6A6F3BCD" w14:textId="77777777" w:rsidR="00A4507B" w:rsidRPr="00EB68E3" w:rsidRDefault="00A4507B" w:rsidP="00EE1766">
            <w:r w:rsidRPr="00EB68E3">
              <w:t>AECR</w:t>
            </w:r>
          </w:p>
        </w:tc>
        <w:tc>
          <w:tcPr>
            <w:tcW w:w="836" w:type="pct"/>
            <w:tcBorders>
              <w:top w:val="nil"/>
              <w:left w:val="nil"/>
              <w:bottom w:val="single" w:sz="4" w:space="0" w:color="auto"/>
              <w:right w:val="single" w:sz="4" w:space="0" w:color="auto"/>
            </w:tcBorders>
            <w:shd w:val="clear" w:color="auto" w:fill="FFFFFF"/>
            <w:noWrap/>
            <w:vAlign w:val="center"/>
          </w:tcPr>
          <w:p w14:paraId="485620DB" w14:textId="77777777" w:rsidR="00A4507B" w:rsidRPr="00EB68E3" w:rsidRDefault="00A4507B" w:rsidP="00EE1766">
            <w:pPr>
              <w:jc w:val="right"/>
            </w:pPr>
          </w:p>
          <w:p w14:paraId="2B37554A" w14:textId="064B85B3" w:rsidR="00A4507B" w:rsidRPr="00EB68E3" w:rsidRDefault="00A4507B" w:rsidP="00EE1766">
            <w:pPr>
              <w:jc w:val="right"/>
            </w:pPr>
            <w:r w:rsidRPr="00EB68E3">
              <w:t>316 291</w:t>
            </w:r>
          </w:p>
        </w:tc>
        <w:tc>
          <w:tcPr>
            <w:tcW w:w="716" w:type="pct"/>
            <w:tcBorders>
              <w:top w:val="nil"/>
              <w:left w:val="nil"/>
              <w:bottom w:val="single" w:sz="4" w:space="0" w:color="auto"/>
              <w:right w:val="single" w:sz="4" w:space="0" w:color="auto"/>
            </w:tcBorders>
            <w:shd w:val="clear" w:color="auto" w:fill="FFFFFF"/>
            <w:noWrap/>
            <w:vAlign w:val="center"/>
          </w:tcPr>
          <w:p w14:paraId="04CFC8A9" w14:textId="77777777" w:rsidR="00A4507B" w:rsidRPr="00EB68E3" w:rsidRDefault="00A4507B" w:rsidP="00EE1766">
            <w:pPr>
              <w:jc w:val="right"/>
            </w:pPr>
          </w:p>
          <w:p w14:paraId="3251A787" w14:textId="42219574" w:rsidR="00A4507B" w:rsidRPr="00EB68E3" w:rsidRDefault="00A4507B" w:rsidP="00EE1766">
            <w:pPr>
              <w:jc w:val="right"/>
            </w:pPr>
            <w:r w:rsidRPr="00EB68E3">
              <w:t>1 439 310</w:t>
            </w:r>
          </w:p>
        </w:tc>
        <w:tc>
          <w:tcPr>
            <w:tcW w:w="717" w:type="pct"/>
            <w:tcBorders>
              <w:top w:val="nil"/>
              <w:left w:val="nil"/>
              <w:bottom w:val="single" w:sz="4" w:space="0" w:color="auto"/>
              <w:right w:val="single" w:sz="4" w:space="0" w:color="auto"/>
            </w:tcBorders>
            <w:shd w:val="clear" w:color="auto" w:fill="FFFFFF"/>
            <w:noWrap/>
            <w:vAlign w:val="center"/>
            <w:hideMark/>
          </w:tcPr>
          <w:p w14:paraId="0194BF5D" w14:textId="519CF9E5" w:rsidR="00A4507B" w:rsidRPr="00EB68E3" w:rsidRDefault="00A4507B" w:rsidP="00EE1766">
            <w:pPr>
              <w:jc w:val="right"/>
            </w:pPr>
            <w:r w:rsidRPr="00EB68E3">
              <w:t>1 755 601</w:t>
            </w:r>
          </w:p>
        </w:tc>
        <w:tc>
          <w:tcPr>
            <w:tcW w:w="745" w:type="pct"/>
            <w:tcBorders>
              <w:top w:val="nil"/>
              <w:left w:val="nil"/>
              <w:bottom w:val="single" w:sz="4" w:space="0" w:color="auto"/>
              <w:right w:val="single" w:sz="4" w:space="0" w:color="auto"/>
            </w:tcBorders>
            <w:shd w:val="clear" w:color="auto" w:fill="FFFFFF"/>
            <w:vAlign w:val="center"/>
          </w:tcPr>
          <w:p w14:paraId="427DF3AE" w14:textId="77777777" w:rsidR="00A4507B" w:rsidRPr="00EB68E3" w:rsidRDefault="00A4507B" w:rsidP="00EE1766">
            <w:pPr>
              <w:jc w:val="right"/>
            </w:pPr>
          </w:p>
          <w:p w14:paraId="74FA2A15" w14:textId="77777777" w:rsidR="00A4507B" w:rsidRPr="00EB68E3" w:rsidRDefault="00A4507B" w:rsidP="00EE1766">
            <w:pPr>
              <w:jc w:val="right"/>
            </w:pPr>
          </w:p>
          <w:p w14:paraId="3C2D650F" w14:textId="4352BA08" w:rsidR="00A4507B" w:rsidRPr="00EB68E3" w:rsidRDefault="00A4507B" w:rsidP="00EE1766">
            <w:pPr>
              <w:jc w:val="right"/>
            </w:pPr>
            <w:r w:rsidRPr="00EB68E3">
              <w:t>85 %</w:t>
            </w:r>
          </w:p>
          <w:p w14:paraId="348ACCFD" w14:textId="77777777" w:rsidR="00A4507B" w:rsidRPr="00EB68E3" w:rsidRDefault="00A4507B" w:rsidP="00EE1766">
            <w:pPr>
              <w:jc w:val="right"/>
            </w:pPr>
          </w:p>
        </w:tc>
        <w:tc>
          <w:tcPr>
            <w:tcW w:w="598" w:type="pct"/>
            <w:tcBorders>
              <w:top w:val="nil"/>
              <w:left w:val="nil"/>
              <w:bottom w:val="single" w:sz="4" w:space="0" w:color="auto"/>
              <w:right w:val="single" w:sz="8" w:space="0" w:color="auto"/>
            </w:tcBorders>
            <w:shd w:val="clear" w:color="auto" w:fill="FFFFFF"/>
            <w:noWrap/>
            <w:vAlign w:val="center"/>
          </w:tcPr>
          <w:p w14:paraId="4BE6C5E6" w14:textId="77777777" w:rsidR="00A4507B" w:rsidRPr="00EB68E3" w:rsidRDefault="00A4507B" w:rsidP="00EE1766">
            <w:pPr>
              <w:jc w:val="right"/>
            </w:pPr>
          </w:p>
          <w:p w14:paraId="6F42E709" w14:textId="253747C0" w:rsidR="00A4507B" w:rsidRPr="00EB68E3" w:rsidRDefault="001B4394" w:rsidP="00EE1766">
            <w:pPr>
              <w:jc w:val="right"/>
            </w:pPr>
            <w:r w:rsidRPr="00EB68E3">
              <w:t>-565 789</w:t>
            </w:r>
          </w:p>
        </w:tc>
      </w:tr>
      <w:tr w:rsidR="00A4507B" w:rsidRPr="00EB68E3" w14:paraId="64BC9486"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29E58466" w14:textId="77777777" w:rsidR="00A4507B" w:rsidRPr="00EB68E3" w:rsidRDefault="00A4507B" w:rsidP="00EE1766">
            <w:pPr>
              <w:rPr>
                <w:rFonts w:eastAsia="MS Mincho"/>
                <w:szCs w:val="24"/>
              </w:rPr>
            </w:pPr>
            <w:r w:rsidRPr="00EB68E3">
              <w:t>Euroopan vasemmistopuolue</w:t>
            </w:r>
          </w:p>
        </w:tc>
        <w:tc>
          <w:tcPr>
            <w:tcW w:w="516" w:type="pct"/>
            <w:tcBorders>
              <w:top w:val="nil"/>
              <w:left w:val="nil"/>
              <w:bottom w:val="single" w:sz="4" w:space="0" w:color="auto"/>
              <w:right w:val="single" w:sz="4" w:space="0" w:color="auto"/>
            </w:tcBorders>
            <w:shd w:val="clear" w:color="auto" w:fill="FFFFFF"/>
            <w:vAlign w:val="center"/>
            <w:hideMark/>
          </w:tcPr>
          <w:p w14:paraId="6514FC38" w14:textId="77777777" w:rsidR="00A4507B" w:rsidRPr="00EB68E3" w:rsidRDefault="00A4507B" w:rsidP="00EE1766">
            <w:r w:rsidRPr="00EB68E3">
              <w:t>EL</w:t>
            </w:r>
          </w:p>
        </w:tc>
        <w:tc>
          <w:tcPr>
            <w:tcW w:w="836" w:type="pct"/>
            <w:tcBorders>
              <w:top w:val="nil"/>
              <w:left w:val="nil"/>
              <w:bottom w:val="single" w:sz="4" w:space="0" w:color="auto"/>
              <w:right w:val="single" w:sz="4" w:space="0" w:color="auto"/>
            </w:tcBorders>
            <w:shd w:val="clear" w:color="auto" w:fill="FFFFFF"/>
            <w:noWrap/>
            <w:vAlign w:val="center"/>
          </w:tcPr>
          <w:p w14:paraId="711CCEE7" w14:textId="77777777" w:rsidR="00A4507B" w:rsidRPr="00EB68E3" w:rsidRDefault="00A4507B" w:rsidP="00EE1766">
            <w:pPr>
              <w:jc w:val="right"/>
            </w:pPr>
          </w:p>
          <w:p w14:paraId="793A5698" w14:textId="3953F3D7" w:rsidR="00A4507B" w:rsidRPr="00EB68E3" w:rsidRDefault="00A4507B" w:rsidP="00EE1766">
            <w:pPr>
              <w:jc w:val="right"/>
            </w:pPr>
            <w:r w:rsidRPr="00EB68E3">
              <w:t>297 363</w:t>
            </w:r>
          </w:p>
        </w:tc>
        <w:tc>
          <w:tcPr>
            <w:tcW w:w="716" w:type="pct"/>
            <w:tcBorders>
              <w:top w:val="nil"/>
              <w:left w:val="nil"/>
              <w:bottom w:val="single" w:sz="4" w:space="0" w:color="auto"/>
              <w:right w:val="single" w:sz="4" w:space="0" w:color="auto"/>
            </w:tcBorders>
            <w:shd w:val="clear" w:color="auto" w:fill="FFFFFF"/>
            <w:noWrap/>
            <w:vAlign w:val="center"/>
          </w:tcPr>
          <w:p w14:paraId="4E190DF6" w14:textId="77777777" w:rsidR="00A4507B" w:rsidRPr="00EB68E3" w:rsidRDefault="00A4507B" w:rsidP="00EE1766">
            <w:pPr>
              <w:jc w:val="right"/>
            </w:pPr>
          </w:p>
          <w:p w14:paraId="3239833D" w14:textId="7378A3D4" w:rsidR="00A4507B" w:rsidRPr="00EB68E3" w:rsidRDefault="00A4507B" w:rsidP="00EE1766">
            <w:pPr>
              <w:jc w:val="right"/>
            </w:pPr>
            <w:r w:rsidRPr="00EB68E3">
              <w:t>1 342 594</w:t>
            </w:r>
          </w:p>
        </w:tc>
        <w:tc>
          <w:tcPr>
            <w:tcW w:w="717" w:type="pct"/>
            <w:tcBorders>
              <w:top w:val="nil"/>
              <w:left w:val="nil"/>
              <w:bottom w:val="single" w:sz="4" w:space="0" w:color="auto"/>
              <w:right w:val="single" w:sz="4" w:space="0" w:color="auto"/>
            </w:tcBorders>
            <w:shd w:val="clear" w:color="auto" w:fill="FFFFFF"/>
            <w:noWrap/>
            <w:vAlign w:val="center"/>
            <w:hideMark/>
          </w:tcPr>
          <w:p w14:paraId="636C9213" w14:textId="73922586" w:rsidR="00A4507B" w:rsidRPr="00EB68E3" w:rsidRDefault="00A4507B" w:rsidP="00EE1766">
            <w:pPr>
              <w:jc w:val="right"/>
            </w:pPr>
            <w:r w:rsidRPr="00EB68E3">
              <w:t>1 705 284</w:t>
            </w:r>
          </w:p>
        </w:tc>
        <w:tc>
          <w:tcPr>
            <w:tcW w:w="745" w:type="pct"/>
            <w:tcBorders>
              <w:top w:val="nil"/>
              <w:left w:val="nil"/>
              <w:bottom w:val="single" w:sz="4" w:space="0" w:color="auto"/>
              <w:right w:val="single" w:sz="4" w:space="0" w:color="auto"/>
            </w:tcBorders>
            <w:shd w:val="clear" w:color="auto" w:fill="FFFFFF"/>
            <w:vAlign w:val="center"/>
          </w:tcPr>
          <w:p w14:paraId="572CD7B7" w14:textId="77777777" w:rsidR="00A4507B" w:rsidRPr="00EB68E3" w:rsidRDefault="00A4507B" w:rsidP="00EE1766">
            <w:pPr>
              <w:jc w:val="right"/>
            </w:pPr>
          </w:p>
          <w:p w14:paraId="6E5C6823" w14:textId="57B7A32A" w:rsidR="00A4507B" w:rsidRPr="00EB68E3" w:rsidRDefault="00A4507B" w:rsidP="00EE1766">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tcPr>
          <w:p w14:paraId="6A13ECB1" w14:textId="77777777" w:rsidR="00A4507B" w:rsidRPr="00EB68E3" w:rsidRDefault="00A4507B" w:rsidP="00EE1766">
            <w:pPr>
              <w:jc w:val="right"/>
            </w:pPr>
          </w:p>
          <w:p w14:paraId="196C2462" w14:textId="48B676BF" w:rsidR="00A4507B" w:rsidRPr="00EB68E3" w:rsidRDefault="00A4507B" w:rsidP="00EE1766">
            <w:pPr>
              <w:jc w:val="right"/>
            </w:pPr>
            <w:r w:rsidRPr="00EB68E3">
              <w:t>1 374</w:t>
            </w:r>
          </w:p>
        </w:tc>
      </w:tr>
      <w:tr w:rsidR="00A4507B" w:rsidRPr="00EB68E3" w14:paraId="32214047"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319AB91D" w14:textId="77777777" w:rsidR="00A4507B" w:rsidRPr="00EB68E3" w:rsidRDefault="00A4507B" w:rsidP="00EE1766">
            <w:pPr>
              <w:rPr>
                <w:rFonts w:eastAsia="MS Mincho"/>
                <w:szCs w:val="24"/>
              </w:rPr>
            </w:pPr>
            <w:r w:rsidRPr="00EB68E3">
              <w:t>Euroopan demokraattinen puolue</w:t>
            </w:r>
          </w:p>
        </w:tc>
        <w:tc>
          <w:tcPr>
            <w:tcW w:w="516" w:type="pct"/>
            <w:tcBorders>
              <w:top w:val="nil"/>
              <w:left w:val="nil"/>
              <w:bottom w:val="single" w:sz="4" w:space="0" w:color="auto"/>
              <w:right w:val="single" w:sz="4" w:space="0" w:color="auto"/>
            </w:tcBorders>
            <w:shd w:val="clear" w:color="auto" w:fill="FFFFFF"/>
            <w:vAlign w:val="center"/>
            <w:hideMark/>
          </w:tcPr>
          <w:p w14:paraId="17BC5E9C" w14:textId="77777777" w:rsidR="00A4507B" w:rsidRPr="00EB68E3" w:rsidRDefault="00A4507B" w:rsidP="00EE1766">
            <w:r w:rsidRPr="00EB68E3">
              <w:t>EPD</w:t>
            </w:r>
          </w:p>
        </w:tc>
        <w:tc>
          <w:tcPr>
            <w:tcW w:w="836" w:type="pct"/>
            <w:tcBorders>
              <w:top w:val="nil"/>
              <w:left w:val="nil"/>
              <w:bottom w:val="single" w:sz="4" w:space="0" w:color="auto"/>
              <w:right w:val="single" w:sz="4" w:space="0" w:color="auto"/>
            </w:tcBorders>
            <w:shd w:val="clear" w:color="auto" w:fill="FFFFFF"/>
            <w:noWrap/>
            <w:vAlign w:val="center"/>
            <w:hideMark/>
          </w:tcPr>
          <w:p w14:paraId="30864EAE" w14:textId="1AF65AFA" w:rsidR="00A4507B" w:rsidRPr="00EB68E3" w:rsidRDefault="00A4507B" w:rsidP="00EE1766">
            <w:pPr>
              <w:jc w:val="right"/>
            </w:pPr>
            <w:r w:rsidRPr="00EB68E3">
              <w:t>106 162</w:t>
            </w:r>
          </w:p>
        </w:tc>
        <w:tc>
          <w:tcPr>
            <w:tcW w:w="716" w:type="pct"/>
            <w:tcBorders>
              <w:top w:val="nil"/>
              <w:left w:val="nil"/>
              <w:bottom w:val="single" w:sz="4" w:space="0" w:color="auto"/>
              <w:right w:val="single" w:sz="4" w:space="0" w:color="auto"/>
            </w:tcBorders>
            <w:shd w:val="clear" w:color="auto" w:fill="FFFFFF"/>
            <w:noWrap/>
            <w:vAlign w:val="center"/>
            <w:hideMark/>
          </w:tcPr>
          <w:p w14:paraId="2B85320B" w14:textId="780CD746" w:rsidR="00A4507B" w:rsidRPr="00EB68E3" w:rsidRDefault="00A4507B" w:rsidP="00EE1766">
            <w:pPr>
              <w:jc w:val="right"/>
            </w:pPr>
            <w:r w:rsidRPr="00EB68E3">
              <w:t>532 072</w:t>
            </w:r>
          </w:p>
        </w:tc>
        <w:tc>
          <w:tcPr>
            <w:tcW w:w="717" w:type="pct"/>
            <w:tcBorders>
              <w:top w:val="nil"/>
              <w:left w:val="nil"/>
              <w:bottom w:val="single" w:sz="4" w:space="0" w:color="auto"/>
              <w:right w:val="single" w:sz="4" w:space="0" w:color="auto"/>
            </w:tcBorders>
            <w:shd w:val="clear" w:color="auto" w:fill="FFFFFF"/>
            <w:noWrap/>
            <w:vAlign w:val="center"/>
            <w:hideMark/>
          </w:tcPr>
          <w:p w14:paraId="2FDD98C1" w14:textId="1FAB89F3" w:rsidR="00A4507B" w:rsidRPr="00EB68E3" w:rsidRDefault="00A4507B" w:rsidP="00EE1766">
            <w:pPr>
              <w:jc w:val="right"/>
            </w:pPr>
            <w:r w:rsidRPr="00EB68E3">
              <w:t>638 234</w:t>
            </w:r>
          </w:p>
        </w:tc>
        <w:tc>
          <w:tcPr>
            <w:tcW w:w="745" w:type="pct"/>
            <w:tcBorders>
              <w:top w:val="nil"/>
              <w:left w:val="nil"/>
              <w:bottom w:val="single" w:sz="4" w:space="0" w:color="auto"/>
              <w:right w:val="single" w:sz="4" w:space="0" w:color="auto"/>
            </w:tcBorders>
            <w:shd w:val="clear" w:color="auto" w:fill="FFFFFF"/>
            <w:vAlign w:val="center"/>
            <w:hideMark/>
          </w:tcPr>
          <w:p w14:paraId="6339E5E6" w14:textId="3AFB6F6E" w:rsidR="00A4507B" w:rsidRPr="00EB68E3" w:rsidRDefault="00A4507B" w:rsidP="00B03798">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tcPr>
          <w:p w14:paraId="3F3594D4" w14:textId="77777777" w:rsidR="00A4507B" w:rsidRPr="00EB68E3" w:rsidRDefault="00A4507B" w:rsidP="00EE1766">
            <w:pPr>
              <w:jc w:val="right"/>
            </w:pPr>
          </w:p>
          <w:p w14:paraId="059B4E8E" w14:textId="77777777" w:rsidR="00A4507B" w:rsidRPr="00EB68E3" w:rsidRDefault="00A4507B" w:rsidP="00EE1766">
            <w:pPr>
              <w:jc w:val="right"/>
            </w:pPr>
            <w:r w:rsidRPr="00EB68E3">
              <w:t>1</w:t>
            </w:r>
          </w:p>
        </w:tc>
      </w:tr>
      <w:tr w:rsidR="00A4507B" w:rsidRPr="00EB68E3" w14:paraId="5EAB2CC6"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40ABC174" w14:textId="77777777" w:rsidR="00A4507B" w:rsidRPr="00EB68E3" w:rsidRDefault="00A4507B" w:rsidP="00EE1766">
            <w:pPr>
              <w:rPr>
                <w:rFonts w:eastAsia="MS Mincho"/>
                <w:szCs w:val="24"/>
              </w:rPr>
            </w:pPr>
            <w:r w:rsidRPr="00EB68E3">
              <w:t>EU-demokraatit</w:t>
            </w:r>
          </w:p>
        </w:tc>
        <w:tc>
          <w:tcPr>
            <w:tcW w:w="516" w:type="pct"/>
            <w:tcBorders>
              <w:top w:val="nil"/>
              <w:left w:val="nil"/>
              <w:bottom w:val="single" w:sz="4" w:space="0" w:color="auto"/>
              <w:right w:val="single" w:sz="4" w:space="0" w:color="auto"/>
            </w:tcBorders>
            <w:shd w:val="clear" w:color="auto" w:fill="FFFFFF"/>
            <w:vAlign w:val="center"/>
            <w:hideMark/>
          </w:tcPr>
          <w:p w14:paraId="18295AEE" w14:textId="77777777" w:rsidR="00A4507B" w:rsidRPr="00EB68E3" w:rsidRDefault="00A4507B" w:rsidP="00EE1766">
            <w:r w:rsidRPr="00EB68E3">
              <w:t>EUD</w:t>
            </w:r>
          </w:p>
        </w:tc>
        <w:tc>
          <w:tcPr>
            <w:tcW w:w="836" w:type="pct"/>
            <w:tcBorders>
              <w:top w:val="nil"/>
              <w:left w:val="nil"/>
              <w:bottom w:val="single" w:sz="4" w:space="0" w:color="auto"/>
              <w:right w:val="single" w:sz="4" w:space="0" w:color="auto"/>
            </w:tcBorders>
            <w:shd w:val="clear" w:color="auto" w:fill="FFFFFF"/>
            <w:noWrap/>
            <w:vAlign w:val="center"/>
            <w:hideMark/>
          </w:tcPr>
          <w:p w14:paraId="0592237F" w14:textId="77777777" w:rsidR="00A4507B" w:rsidRPr="00EB68E3" w:rsidRDefault="00A4507B" w:rsidP="00EE1766">
            <w:pPr>
              <w:jc w:val="right"/>
            </w:pPr>
            <w:r w:rsidRPr="00EB68E3">
              <w:t>–</w:t>
            </w:r>
          </w:p>
        </w:tc>
        <w:tc>
          <w:tcPr>
            <w:tcW w:w="716" w:type="pct"/>
            <w:tcBorders>
              <w:top w:val="nil"/>
              <w:left w:val="nil"/>
              <w:bottom w:val="single" w:sz="4" w:space="0" w:color="auto"/>
              <w:right w:val="single" w:sz="4" w:space="0" w:color="auto"/>
            </w:tcBorders>
            <w:shd w:val="clear" w:color="auto" w:fill="FFFFFF"/>
            <w:noWrap/>
            <w:vAlign w:val="center"/>
            <w:hideMark/>
          </w:tcPr>
          <w:p w14:paraId="52687A1B" w14:textId="77777777" w:rsidR="00A4507B" w:rsidRPr="00EB68E3" w:rsidRDefault="00A4507B" w:rsidP="00EE1766">
            <w:pPr>
              <w:jc w:val="right"/>
            </w:pPr>
            <w:r w:rsidRPr="00EB68E3">
              <w:t>–</w:t>
            </w:r>
          </w:p>
        </w:tc>
        <w:tc>
          <w:tcPr>
            <w:tcW w:w="717" w:type="pct"/>
            <w:tcBorders>
              <w:top w:val="nil"/>
              <w:left w:val="nil"/>
              <w:bottom w:val="single" w:sz="4" w:space="0" w:color="auto"/>
              <w:right w:val="single" w:sz="4" w:space="0" w:color="auto"/>
            </w:tcBorders>
            <w:shd w:val="clear" w:color="auto" w:fill="FFFFFF"/>
            <w:noWrap/>
            <w:vAlign w:val="center"/>
            <w:hideMark/>
          </w:tcPr>
          <w:p w14:paraId="0D2135C7" w14:textId="77777777" w:rsidR="00A4507B" w:rsidRPr="00EB68E3" w:rsidRDefault="00A4507B" w:rsidP="00EE1766">
            <w:pPr>
              <w:jc w:val="right"/>
            </w:pPr>
            <w:r w:rsidRPr="00EB68E3">
              <w:t>–</w:t>
            </w:r>
          </w:p>
        </w:tc>
        <w:tc>
          <w:tcPr>
            <w:tcW w:w="745" w:type="pct"/>
            <w:tcBorders>
              <w:top w:val="nil"/>
              <w:left w:val="nil"/>
              <w:bottom w:val="single" w:sz="4" w:space="0" w:color="auto"/>
              <w:right w:val="single" w:sz="4" w:space="0" w:color="auto"/>
            </w:tcBorders>
            <w:shd w:val="clear" w:color="auto" w:fill="FFFFFF"/>
            <w:vAlign w:val="center"/>
            <w:hideMark/>
          </w:tcPr>
          <w:p w14:paraId="4E18D036" w14:textId="77777777" w:rsidR="00A4507B" w:rsidRPr="00EB68E3" w:rsidRDefault="00A4507B" w:rsidP="00EE1766">
            <w:pPr>
              <w:jc w:val="right"/>
            </w:pPr>
            <w:r w:rsidRPr="00EB68E3">
              <w:t>–</w:t>
            </w:r>
          </w:p>
        </w:tc>
        <w:tc>
          <w:tcPr>
            <w:tcW w:w="598" w:type="pct"/>
            <w:tcBorders>
              <w:top w:val="nil"/>
              <w:left w:val="nil"/>
              <w:bottom w:val="single" w:sz="4" w:space="0" w:color="auto"/>
              <w:right w:val="single" w:sz="8" w:space="0" w:color="auto"/>
            </w:tcBorders>
            <w:shd w:val="clear" w:color="auto" w:fill="FFFFFF"/>
            <w:noWrap/>
            <w:vAlign w:val="center"/>
            <w:hideMark/>
          </w:tcPr>
          <w:p w14:paraId="28F874F2" w14:textId="77777777" w:rsidR="00A4507B" w:rsidRPr="00EB68E3" w:rsidRDefault="00A4507B" w:rsidP="00EE1766">
            <w:pPr>
              <w:jc w:val="right"/>
            </w:pPr>
            <w:r w:rsidRPr="00EB68E3">
              <w:t>–</w:t>
            </w:r>
          </w:p>
        </w:tc>
      </w:tr>
      <w:tr w:rsidR="00A4507B" w:rsidRPr="00EB68E3" w14:paraId="0CB79F6A" w14:textId="77777777" w:rsidTr="006A06D0">
        <w:trPr>
          <w:trHeight w:val="43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67E17EFF" w14:textId="77777777" w:rsidR="00A4507B" w:rsidRPr="00EB68E3" w:rsidRDefault="00A4507B" w:rsidP="00EE1766">
            <w:pPr>
              <w:rPr>
                <w:rFonts w:eastAsia="MS Mincho"/>
                <w:szCs w:val="24"/>
              </w:rPr>
            </w:pPr>
            <w:r w:rsidRPr="00EB68E3">
              <w:t>Euroopan vapaa allianssi</w:t>
            </w:r>
          </w:p>
        </w:tc>
        <w:tc>
          <w:tcPr>
            <w:tcW w:w="516" w:type="pct"/>
            <w:tcBorders>
              <w:top w:val="nil"/>
              <w:left w:val="nil"/>
              <w:bottom w:val="single" w:sz="4" w:space="0" w:color="auto"/>
              <w:right w:val="single" w:sz="4" w:space="0" w:color="auto"/>
            </w:tcBorders>
            <w:shd w:val="clear" w:color="auto" w:fill="FFFFFF"/>
            <w:vAlign w:val="center"/>
            <w:hideMark/>
          </w:tcPr>
          <w:p w14:paraId="50D1D906" w14:textId="77777777" w:rsidR="00A4507B" w:rsidRPr="00EB68E3" w:rsidRDefault="00A4507B" w:rsidP="00EE1766">
            <w:r w:rsidRPr="00EB68E3">
              <w:t>EFA</w:t>
            </w:r>
          </w:p>
        </w:tc>
        <w:tc>
          <w:tcPr>
            <w:tcW w:w="836" w:type="pct"/>
            <w:tcBorders>
              <w:top w:val="nil"/>
              <w:left w:val="nil"/>
              <w:bottom w:val="single" w:sz="4" w:space="0" w:color="auto"/>
              <w:right w:val="single" w:sz="4" w:space="0" w:color="auto"/>
            </w:tcBorders>
            <w:shd w:val="clear" w:color="auto" w:fill="FFFFFF"/>
            <w:noWrap/>
            <w:vAlign w:val="center"/>
            <w:hideMark/>
          </w:tcPr>
          <w:p w14:paraId="1D7F9399" w14:textId="12D7E9F3" w:rsidR="00A4507B" w:rsidRPr="00EB68E3" w:rsidRDefault="00A4507B" w:rsidP="00EE1766">
            <w:pPr>
              <w:jc w:val="right"/>
            </w:pPr>
            <w:r w:rsidRPr="00EB68E3">
              <w:t>153 856</w:t>
            </w:r>
          </w:p>
        </w:tc>
        <w:tc>
          <w:tcPr>
            <w:tcW w:w="716" w:type="pct"/>
            <w:tcBorders>
              <w:top w:val="nil"/>
              <w:left w:val="nil"/>
              <w:bottom w:val="single" w:sz="4" w:space="0" w:color="auto"/>
              <w:right w:val="single" w:sz="4" w:space="0" w:color="auto"/>
            </w:tcBorders>
            <w:shd w:val="clear" w:color="auto" w:fill="FFFFFF"/>
            <w:noWrap/>
            <w:vAlign w:val="center"/>
            <w:hideMark/>
          </w:tcPr>
          <w:p w14:paraId="424E14F2" w14:textId="0036CB60" w:rsidR="00A4507B" w:rsidRPr="00EB68E3" w:rsidRDefault="00A4507B" w:rsidP="00EE1766">
            <w:pPr>
              <w:jc w:val="right"/>
            </w:pPr>
            <w:r w:rsidRPr="00EB68E3">
              <w:t>779 408</w:t>
            </w:r>
          </w:p>
        </w:tc>
        <w:tc>
          <w:tcPr>
            <w:tcW w:w="717" w:type="pct"/>
            <w:tcBorders>
              <w:top w:val="nil"/>
              <w:left w:val="nil"/>
              <w:bottom w:val="single" w:sz="4" w:space="0" w:color="auto"/>
              <w:right w:val="single" w:sz="4" w:space="0" w:color="auto"/>
            </w:tcBorders>
            <w:shd w:val="clear" w:color="auto" w:fill="FFFFFF"/>
            <w:noWrap/>
            <w:vAlign w:val="center"/>
            <w:hideMark/>
          </w:tcPr>
          <w:p w14:paraId="488662E0" w14:textId="0B3C84D7" w:rsidR="00A4507B" w:rsidRPr="00EB68E3" w:rsidRDefault="00A4507B" w:rsidP="00EE1766">
            <w:pPr>
              <w:jc w:val="right"/>
            </w:pPr>
            <w:r w:rsidRPr="00EB68E3">
              <w:t>1 045 014</w:t>
            </w:r>
          </w:p>
        </w:tc>
        <w:tc>
          <w:tcPr>
            <w:tcW w:w="745" w:type="pct"/>
            <w:tcBorders>
              <w:top w:val="nil"/>
              <w:left w:val="nil"/>
              <w:bottom w:val="single" w:sz="4" w:space="0" w:color="auto"/>
              <w:right w:val="single" w:sz="4" w:space="0" w:color="auto"/>
            </w:tcBorders>
            <w:shd w:val="clear" w:color="auto" w:fill="FFFFFF"/>
            <w:vAlign w:val="center"/>
            <w:hideMark/>
          </w:tcPr>
          <w:p w14:paraId="668C18D8" w14:textId="5AEE9B63" w:rsidR="00A4507B" w:rsidRPr="00EB68E3" w:rsidRDefault="00A4507B" w:rsidP="00EE1766">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hideMark/>
          </w:tcPr>
          <w:p w14:paraId="27A1FEC5" w14:textId="77777777" w:rsidR="00A4507B" w:rsidRPr="00EB68E3" w:rsidRDefault="00A4507B" w:rsidP="00EE1766">
            <w:pPr>
              <w:jc w:val="right"/>
            </w:pPr>
            <w:r w:rsidRPr="00EB68E3">
              <w:t>808</w:t>
            </w:r>
          </w:p>
        </w:tc>
      </w:tr>
      <w:tr w:rsidR="00A4507B" w:rsidRPr="00EB68E3" w14:paraId="13E667F4"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7B6B62CC" w14:textId="77777777" w:rsidR="00A4507B" w:rsidRPr="00EB68E3" w:rsidRDefault="00A4507B" w:rsidP="00EE1766">
            <w:pPr>
              <w:rPr>
                <w:rFonts w:eastAsia="MS Mincho"/>
                <w:szCs w:val="24"/>
              </w:rPr>
            </w:pPr>
            <w:r w:rsidRPr="00EB68E3">
              <w:t>Euroopan kristillinen poliittinen liike</w:t>
            </w:r>
          </w:p>
        </w:tc>
        <w:tc>
          <w:tcPr>
            <w:tcW w:w="516" w:type="pct"/>
            <w:tcBorders>
              <w:top w:val="nil"/>
              <w:left w:val="nil"/>
              <w:bottom w:val="single" w:sz="4" w:space="0" w:color="auto"/>
              <w:right w:val="single" w:sz="4" w:space="0" w:color="auto"/>
            </w:tcBorders>
            <w:shd w:val="clear" w:color="auto" w:fill="FFFFFF"/>
            <w:vAlign w:val="center"/>
            <w:hideMark/>
          </w:tcPr>
          <w:p w14:paraId="61BA1C46" w14:textId="77777777" w:rsidR="00A4507B" w:rsidRPr="00EB68E3" w:rsidRDefault="00A4507B" w:rsidP="00EE1766">
            <w:r w:rsidRPr="00EB68E3">
              <w:t>ECPM</w:t>
            </w:r>
          </w:p>
        </w:tc>
        <w:tc>
          <w:tcPr>
            <w:tcW w:w="836" w:type="pct"/>
            <w:tcBorders>
              <w:top w:val="nil"/>
              <w:left w:val="nil"/>
              <w:bottom w:val="single" w:sz="4" w:space="0" w:color="auto"/>
              <w:right w:val="single" w:sz="4" w:space="0" w:color="auto"/>
            </w:tcBorders>
            <w:shd w:val="clear" w:color="auto" w:fill="FFFFFF"/>
            <w:noWrap/>
            <w:vAlign w:val="center"/>
            <w:hideMark/>
          </w:tcPr>
          <w:p w14:paraId="3BDBA67C" w14:textId="2BC0E713" w:rsidR="00A4507B" w:rsidRPr="00EB68E3" w:rsidRDefault="00A4507B" w:rsidP="00EE1766">
            <w:pPr>
              <w:jc w:val="right"/>
            </w:pPr>
            <w:r w:rsidRPr="00EB68E3">
              <w:t>107 018</w:t>
            </w:r>
          </w:p>
        </w:tc>
        <w:tc>
          <w:tcPr>
            <w:tcW w:w="716" w:type="pct"/>
            <w:tcBorders>
              <w:top w:val="nil"/>
              <w:left w:val="nil"/>
              <w:bottom w:val="single" w:sz="4" w:space="0" w:color="auto"/>
              <w:right w:val="single" w:sz="4" w:space="0" w:color="auto"/>
            </w:tcBorders>
            <w:shd w:val="clear" w:color="auto" w:fill="FFFFFF"/>
            <w:noWrap/>
            <w:vAlign w:val="center"/>
            <w:hideMark/>
          </w:tcPr>
          <w:p w14:paraId="748EC2F4" w14:textId="226D9BDF" w:rsidR="00A4507B" w:rsidRPr="00EB68E3" w:rsidRDefault="00A4507B" w:rsidP="00EE1766">
            <w:pPr>
              <w:jc w:val="right"/>
            </w:pPr>
            <w:r w:rsidRPr="00EB68E3">
              <w:t>499 993</w:t>
            </w:r>
          </w:p>
        </w:tc>
        <w:tc>
          <w:tcPr>
            <w:tcW w:w="717" w:type="pct"/>
            <w:tcBorders>
              <w:top w:val="nil"/>
              <w:left w:val="nil"/>
              <w:bottom w:val="single" w:sz="4" w:space="0" w:color="auto"/>
              <w:right w:val="single" w:sz="4" w:space="0" w:color="auto"/>
            </w:tcBorders>
            <w:shd w:val="clear" w:color="auto" w:fill="FFFFFF"/>
            <w:noWrap/>
            <w:vAlign w:val="center"/>
            <w:hideMark/>
          </w:tcPr>
          <w:p w14:paraId="23D9F7AA" w14:textId="620176ED" w:rsidR="00A4507B" w:rsidRPr="00EB68E3" w:rsidRDefault="00A4507B" w:rsidP="00EE1766">
            <w:pPr>
              <w:jc w:val="right"/>
            </w:pPr>
            <w:r w:rsidRPr="00EB68E3">
              <w:t>627 808</w:t>
            </w:r>
          </w:p>
        </w:tc>
        <w:tc>
          <w:tcPr>
            <w:tcW w:w="745" w:type="pct"/>
            <w:tcBorders>
              <w:top w:val="nil"/>
              <w:left w:val="nil"/>
              <w:bottom w:val="single" w:sz="4" w:space="0" w:color="auto"/>
              <w:right w:val="single" w:sz="4" w:space="0" w:color="auto"/>
            </w:tcBorders>
            <w:shd w:val="clear" w:color="auto" w:fill="FFFFFF"/>
            <w:vAlign w:val="center"/>
            <w:hideMark/>
          </w:tcPr>
          <w:p w14:paraId="7BFEF352" w14:textId="0ECC094C" w:rsidR="00A4507B" w:rsidRPr="00EB68E3" w:rsidRDefault="00A4507B" w:rsidP="00EE1766">
            <w:pPr>
              <w:jc w:val="right"/>
            </w:pPr>
            <w:r w:rsidRPr="00EB68E3">
              <w:t>84 %</w:t>
            </w:r>
          </w:p>
        </w:tc>
        <w:tc>
          <w:tcPr>
            <w:tcW w:w="598" w:type="pct"/>
            <w:tcBorders>
              <w:top w:val="nil"/>
              <w:left w:val="nil"/>
              <w:bottom w:val="single" w:sz="4" w:space="0" w:color="auto"/>
              <w:right w:val="single" w:sz="8" w:space="0" w:color="auto"/>
            </w:tcBorders>
            <w:shd w:val="clear" w:color="auto" w:fill="FFFFFF"/>
            <w:noWrap/>
            <w:vAlign w:val="center"/>
            <w:hideMark/>
          </w:tcPr>
          <w:p w14:paraId="7EC98453" w14:textId="6D3C55C9" w:rsidR="00A4507B" w:rsidRPr="00EB68E3" w:rsidRDefault="00A4507B" w:rsidP="00EE1766">
            <w:pPr>
              <w:jc w:val="right"/>
            </w:pPr>
            <w:r w:rsidRPr="00EB68E3">
              <w:t>2 143</w:t>
            </w:r>
          </w:p>
        </w:tc>
      </w:tr>
      <w:tr w:rsidR="00A4507B" w:rsidRPr="00EB68E3" w14:paraId="2CF8FDBD"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092EC29A" w14:textId="77777777" w:rsidR="00A4507B" w:rsidRPr="00EB68E3" w:rsidRDefault="00A4507B" w:rsidP="00EE1766">
            <w:pPr>
              <w:rPr>
                <w:rFonts w:eastAsia="MS Mincho"/>
                <w:szCs w:val="24"/>
              </w:rPr>
            </w:pPr>
            <w:r w:rsidRPr="00EB68E3">
              <w:t>Euroopan allianssi vapauden puolesta</w:t>
            </w:r>
          </w:p>
        </w:tc>
        <w:tc>
          <w:tcPr>
            <w:tcW w:w="516" w:type="pct"/>
            <w:tcBorders>
              <w:top w:val="nil"/>
              <w:left w:val="nil"/>
              <w:bottom w:val="single" w:sz="4" w:space="0" w:color="auto"/>
              <w:right w:val="single" w:sz="4" w:space="0" w:color="auto"/>
            </w:tcBorders>
            <w:shd w:val="clear" w:color="auto" w:fill="FFFFFF"/>
            <w:vAlign w:val="center"/>
            <w:hideMark/>
          </w:tcPr>
          <w:p w14:paraId="61EC41F2" w14:textId="77777777" w:rsidR="00A4507B" w:rsidRPr="00EB68E3" w:rsidRDefault="00A4507B" w:rsidP="00EE1766">
            <w:r w:rsidRPr="00EB68E3">
              <w:t>EAF</w:t>
            </w:r>
          </w:p>
        </w:tc>
        <w:tc>
          <w:tcPr>
            <w:tcW w:w="836" w:type="pct"/>
            <w:tcBorders>
              <w:top w:val="nil"/>
              <w:left w:val="nil"/>
              <w:bottom w:val="single" w:sz="4" w:space="0" w:color="auto"/>
              <w:right w:val="single" w:sz="4" w:space="0" w:color="auto"/>
            </w:tcBorders>
            <w:shd w:val="clear" w:color="auto" w:fill="FFFFFF"/>
            <w:noWrap/>
            <w:vAlign w:val="center"/>
            <w:hideMark/>
          </w:tcPr>
          <w:p w14:paraId="3FAABD00" w14:textId="77777777" w:rsidR="00A4507B" w:rsidRPr="00EB68E3" w:rsidRDefault="00A4507B" w:rsidP="00EE1766">
            <w:pPr>
              <w:jc w:val="right"/>
            </w:pPr>
            <w:r w:rsidRPr="00EB68E3">
              <w:t>–</w:t>
            </w:r>
          </w:p>
        </w:tc>
        <w:tc>
          <w:tcPr>
            <w:tcW w:w="716" w:type="pct"/>
            <w:tcBorders>
              <w:top w:val="nil"/>
              <w:left w:val="nil"/>
              <w:bottom w:val="single" w:sz="4" w:space="0" w:color="auto"/>
              <w:right w:val="single" w:sz="4" w:space="0" w:color="auto"/>
            </w:tcBorders>
            <w:shd w:val="clear" w:color="auto" w:fill="FFFFFF"/>
            <w:noWrap/>
            <w:vAlign w:val="center"/>
          </w:tcPr>
          <w:p w14:paraId="14218BE9" w14:textId="77777777" w:rsidR="00A4507B" w:rsidRPr="00EB68E3" w:rsidRDefault="00A4507B" w:rsidP="00EE1766">
            <w:pPr>
              <w:jc w:val="right"/>
            </w:pPr>
          </w:p>
          <w:p w14:paraId="66011420" w14:textId="77777777" w:rsidR="00A4507B" w:rsidRPr="00EB68E3" w:rsidRDefault="00A4507B" w:rsidP="00EE1766">
            <w:pPr>
              <w:jc w:val="right"/>
            </w:pPr>
            <w:r w:rsidRPr="00EB68E3">
              <w:t>–</w:t>
            </w:r>
          </w:p>
        </w:tc>
        <w:tc>
          <w:tcPr>
            <w:tcW w:w="717" w:type="pct"/>
            <w:tcBorders>
              <w:top w:val="nil"/>
              <w:left w:val="nil"/>
              <w:bottom w:val="single" w:sz="4" w:space="0" w:color="auto"/>
              <w:right w:val="single" w:sz="4" w:space="0" w:color="auto"/>
            </w:tcBorders>
            <w:shd w:val="clear" w:color="auto" w:fill="FFFFFF"/>
            <w:noWrap/>
            <w:vAlign w:val="center"/>
          </w:tcPr>
          <w:p w14:paraId="526E0F74" w14:textId="77777777" w:rsidR="00A4507B" w:rsidRPr="00EB68E3" w:rsidRDefault="00A4507B" w:rsidP="00EE1766">
            <w:pPr>
              <w:jc w:val="right"/>
            </w:pPr>
          </w:p>
          <w:p w14:paraId="6353AA55" w14:textId="77777777" w:rsidR="00A4507B" w:rsidRPr="00EB68E3" w:rsidRDefault="00A4507B" w:rsidP="00EE1766">
            <w:pPr>
              <w:jc w:val="right"/>
            </w:pPr>
            <w:r w:rsidRPr="00EB68E3">
              <w:t>–</w:t>
            </w:r>
          </w:p>
        </w:tc>
        <w:tc>
          <w:tcPr>
            <w:tcW w:w="745" w:type="pct"/>
            <w:tcBorders>
              <w:top w:val="nil"/>
              <w:left w:val="nil"/>
              <w:bottom w:val="single" w:sz="4" w:space="0" w:color="auto"/>
              <w:right w:val="single" w:sz="4" w:space="0" w:color="auto"/>
            </w:tcBorders>
            <w:shd w:val="clear" w:color="auto" w:fill="FFFFFF"/>
            <w:vAlign w:val="center"/>
          </w:tcPr>
          <w:p w14:paraId="1BBA6CE0" w14:textId="77777777" w:rsidR="00A4507B" w:rsidRPr="00EB68E3" w:rsidRDefault="00A4507B" w:rsidP="00EE1766">
            <w:pPr>
              <w:jc w:val="right"/>
            </w:pPr>
          </w:p>
          <w:p w14:paraId="59EF99BA" w14:textId="77777777" w:rsidR="00A4507B" w:rsidRPr="00EB68E3" w:rsidRDefault="00A4507B" w:rsidP="00EE1766">
            <w:pPr>
              <w:jc w:val="right"/>
            </w:pPr>
            <w:r w:rsidRPr="00EB68E3">
              <w:t>–</w:t>
            </w:r>
          </w:p>
        </w:tc>
        <w:tc>
          <w:tcPr>
            <w:tcW w:w="598" w:type="pct"/>
            <w:tcBorders>
              <w:top w:val="nil"/>
              <w:left w:val="nil"/>
              <w:bottom w:val="single" w:sz="4" w:space="0" w:color="auto"/>
              <w:right w:val="single" w:sz="8" w:space="0" w:color="auto"/>
            </w:tcBorders>
            <w:shd w:val="clear" w:color="auto" w:fill="FFFFFF"/>
            <w:noWrap/>
            <w:vAlign w:val="center"/>
            <w:hideMark/>
          </w:tcPr>
          <w:p w14:paraId="57E951EE" w14:textId="77777777" w:rsidR="00A4507B" w:rsidRPr="00EB68E3" w:rsidRDefault="00A4507B" w:rsidP="00EE1766">
            <w:pPr>
              <w:jc w:val="right"/>
            </w:pPr>
            <w:r w:rsidRPr="00EB68E3">
              <w:t>–</w:t>
            </w:r>
          </w:p>
        </w:tc>
      </w:tr>
      <w:tr w:rsidR="00A4507B" w:rsidRPr="00EB68E3" w14:paraId="52772F07"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672B132D" w14:textId="77777777" w:rsidR="00A4507B" w:rsidRPr="00EB68E3" w:rsidRDefault="00A4507B" w:rsidP="00EE1766">
            <w:pPr>
              <w:rPr>
                <w:rFonts w:eastAsia="MS Mincho"/>
                <w:szCs w:val="24"/>
              </w:rPr>
            </w:pPr>
            <w:r w:rsidRPr="00EB68E3">
              <w:t>Euroopan kansallisten liikkeiden liitto</w:t>
            </w:r>
          </w:p>
        </w:tc>
        <w:tc>
          <w:tcPr>
            <w:tcW w:w="516" w:type="pct"/>
            <w:tcBorders>
              <w:top w:val="nil"/>
              <w:left w:val="nil"/>
              <w:bottom w:val="single" w:sz="4" w:space="0" w:color="auto"/>
              <w:right w:val="single" w:sz="4" w:space="0" w:color="auto"/>
            </w:tcBorders>
            <w:shd w:val="clear" w:color="auto" w:fill="FFFFFF"/>
            <w:vAlign w:val="center"/>
            <w:hideMark/>
          </w:tcPr>
          <w:p w14:paraId="7A8B852D" w14:textId="77777777" w:rsidR="00A4507B" w:rsidRPr="00EB68E3" w:rsidRDefault="00A4507B" w:rsidP="00EE1766">
            <w:r w:rsidRPr="00EB68E3">
              <w:t>AEMN</w:t>
            </w:r>
          </w:p>
        </w:tc>
        <w:tc>
          <w:tcPr>
            <w:tcW w:w="836" w:type="pct"/>
            <w:tcBorders>
              <w:top w:val="nil"/>
              <w:left w:val="nil"/>
              <w:bottom w:val="single" w:sz="4" w:space="0" w:color="auto"/>
              <w:right w:val="single" w:sz="4" w:space="0" w:color="auto"/>
            </w:tcBorders>
            <w:shd w:val="clear" w:color="auto" w:fill="FFFFFF"/>
            <w:noWrap/>
            <w:vAlign w:val="center"/>
            <w:hideMark/>
          </w:tcPr>
          <w:p w14:paraId="55811BC3" w14:textId="3EB3EB3E" w:rsidR="00A4507B" w:rsidRPr="00EB68E3" w:rsidRDefault="00A4507B" w:rsidP="00EE1766">
            <w:pPr>
              <w:jc w:val="right"/>
            </w:pPr>
            <w:r w:rsidRPr="00EB68E3">
              <w:t>74 076</w:t>
            </w:r>
          </w:p>
        </w:tc>
        <w:tc>
          <w:tcPr>
            <w:tcW w:w="716" w:type="pct"/>
            <w:tcBorders>
              <w:top w:val="nil"/>
              <w:left w:val="nil"/>
              <w:bottom w:val="single" w:sz="4" w:space="0" w:color="auto"/>
              <w:right w:val="single" w:sz="4" w:space="0" w:color="auto"/>
            </w:tcBorders>
            <w:shd w:val="clear" w:color="auto" w:fill="FFFFFF"/>
            <w:noWrap/>
            <w:vAlign w:val="center"/>
            <w:hideMark/>
          </w:tcPr>
          <w:p w14:paraId="5512F0F7" w14:textId="175480AB" w:rsidR="00A4507B" w:rsidRPr="00EB68E3" w:rsidRDefault="00A4507B" w:rsidP="00EE1766">
            <w:pPr>
              <w:jc w:val="right"/>
            </w:pPr>
            <w:r w:rsidRPr="00EB68E3">
              <w:t>342 788</w:t>
            </w:r>
          </w:p>
        </w:tc>
        <w:tc>
          <w:tcPr>
            <w:tcW w:w="717" w:type="pct"/>
            <w:tcBorders>
              <w:top w:val="nil"/>
              <w:left w:val="nil"/>
              <w:bottom w:val="single" w:sz="4" w:space="0" w:color="auto"/>
              <w:right w:val="single" w:sz="4" w:space="0" w:color="auto"/>
            </w:tcBorders>
            <w:shd w:val="clear" w:color="auto" w:fill="FFFFFF"/>
            <w:noWrap/>
            <w:vAlign w:val="center"/>
            <w:hideMark/>
          </w:tcPr>
          <w:p w14:paraId="52B30780" w14:textId="1FD8DD1D" w:rsidR="00A4507B" w:rsidRPr="00EB68E3" w:rsidRDefault="00A4507B" w:rsidP="00EE1766">
            <w:pPr>
              <w:jc w:val="right"/>
            </w:pPr>
            <w:r w:rsidRPr="00EB68E3">
              <w:t>445 568</w:t>
            </w:r>
          </w:p>
        </w:tc>
        <w:tc>
          <w:tcPr>
            <w:tcW w:w="745" w:type="pct"/>
            <w:tcBorders>
              <w:top w:val="nil"/>
              <w:left w:val="nil"/>
              <w:bottom w:val="single" w:sz="4" w:space="0" w:color="auto"/>
              <w:right w:val="single" w:sz="4" w:space="0" w:color="auto"/>
            </w:tcBorders>
            <w:shd w:val="clear" w:color="auto" w:fill="FFFFFF"/>
            <w:vAlign w:val="center"/>
            <w:hideMark/>
          </w:tcPr>
          <w:p w14:paraId="39339630" w14:textId="448D6467" w:rsidR="00A4507B" w:rsidRPr="00EB68E3" w:rsidRDefault="00A4507B" w:rsidP="00EE1766">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hideMark/>
          </w:tcPr>
          <w:p w14:paraId="0B157D5E" w14:textId="5DA775D4" w:rsidR="00A4507B" w:rsidRPr="00EB68E3" w:rsidRDefault="00A4507B" w:rsidP="00EE1766">
            <w:pPr>
              <w:jc w:val="right"/>
            </w:pPr>
            <w:r w:rsidRPr="00EB68E3">
              <w:t>6 344</w:t>
            </w:r>
          </w:p>
        </w:tc>
      </w:tr>
      <w:tr w:rsidR="00A4507B" w:rsidRPr="00EB68E3" w14:paraId="69F43E2A" w14:textId="77777777" w:rsidTr="006A06D0">
        <w:trPr>
          <w:trHeight w:val="510"/>
        </w:trPr>
        <w:tc>
          <w:tcPr>
            <w:tcW w:w="871" w:type="pct"/>
            <w:tcBorders>
              <w:top w:val="nil"/>
              <w:left w:val="single" w:sz="8" w:space="0" w:color="auto"/>
              <w:bottom w:val="single" w:sz="4" w:space="0" w:color="auto"/>
              <w:right w:val="single" w:sz="4" w:space="0" w:color="auto"/>
            </w:tcBorders>
            <w:shd w:val="clear" w:color="auto" w:fill="FFFFFF"/>
            <w:vAlign w:val="center"/>
            <w:hideMark/>
          </w:tcPr>
          <w:p w14:paraId="4153FC01" w14:textId="77777777" w:rsidR="00A4507B" w:rsidRPr="00EB68E3" w:rsidRDefault="00A4507B" w:rsidP="00EE1766">
            <w:pPr>
              <w:widowControl/>
              <w:autoSpaceDE w:val="0"/>
              <w:autoSpaceDN w:val="0"/>
              <w:adjustRightInd w:val="0"/>
              <w:rPr>
                <w:szCs w:val="24"/>
              </w:rPr>
            </w:pPr>
            <w:r w:rsidRPr="00EB68E3">
              <w:t>Vapauksien</w:t>
            </w:r>
          </w:p>
          <w:p w14:paraId="4DF791BF" w14:textId="77777777" w:rsidR="00A4507B" w:rsidRPr="00EB68E3" w:rsidRDefault="00A4507B" w:rsidP="00EE1766">
            <w:pPr>
              <w:widowControl/>
              <w:autoSpaceDE w:val="0"/>
              <w:autoSpaceDN w:val="0"/>
              <w:adjustRightInd w:val="0"/>
              <w:rPr>
                <w:szCs w:val="24"/>
              </w:rPr>
            </w:pPr>
            <w:r w:rsidRPr="00EB68E3">
              <w:t>ja demokratian</w:t>
            </w:r>
          </w:p>
          <w:p w14:paraId="2D9F2EFE" w14:textId="77777777" w:rsidR="00A4507B" w:rsidRPr="00EB68E3" w:rsidRDefault="00A4507B" w:rsidP="00EE1766">
            <w:pPr>
              <w:rPr>
                <w:rFonts w:eastAsia="MS Mincho"/>
                <w:szCs w:val="24"/>
              </w:rPr>
            </w:pPr>
            <w:r w:rsidRPr="00EB68E3">
              <w:t>Euroopan liike</w:t>
            </w:r>
          </w:p>
        </w:tc>
        <w:tc>
          <w:tcPr>
            <w:tcW w:w="516" w:type="pct"/>
            <w:tcBorders>
              <w:top w:val="nil"/>
              <w:left w:val="nil"/>
              <w:bottom w:val="single" w:sz="4" w:space="0" w:color="auto"/>
              <w:right w:val="single" w:sz="4" w:space="0" w:color="auto"/>
            </w:tcBorders>
            <w:shd w:val="clear" w:color="auto" w:fill="FFFFFF"/>
            <w:vAlign w:val="center"/>
            <w:hideMark/>
          </w:tcPr>
          <w:p w14:paraId="4EDAA19C" w14:textId="77777777" w:rsidR="00A4507B" w:rsidRPr="00EB68E3" w:rsidRDefault="00A4507B" w:rsidP="00EE1766">
            <w:r w:rsidRPr="00EB68E3">
              <w:t>MENL</w:t>
            </w:r>
          </w:p>
        </w:tc>
        <w:tc>
          <w:tcPr>
            <w:tcW w:w="836" w:type="pct"/>
            <w:tcBorders>
              <w:top w:val="nil"/>
              <w:left w:val="nil"/>
              <w:bottom w:val="single" w:sz="4" w:space="0" w:color="auto"/>
              <w:right w:val="single" w:sz="4" w:space="0" w:color="auto"/>
            </w:tcBorders>
            <w:shd w:val="clear" w:color="auto" w:fill="FFFFFF"/>
            <w:noWrap/>
            <w:vAlign w:val="center"/>
            <w:hideMark/>
          </w:tcPr>
          <w:p w14:paraId="3476C79F" w14:textId="7C602D1D" w:rsidR="00A4507B" w:rsidRPr="00EB68E3" w:rsidRDefault="00A4507B" w:rsidP="00EE1766">
            <w:pPr>
              <w:jc w:val="right"/>
            </w:pPr>
            <w:r w:rsidRPr="00EB68E3">
              <w:t>127 900</w:t>
            </w:r>
          </w:p>
        </w:tc>
        <w:tc>
          <w:tcPr>
            <w:tcW w:w="716" w:type="pct"/>
            <w:tcBorders>
              <w:top w:val="nil"/>
              <w:left w:val="nil"/>
              <w:bottom w:val="single" w:sz="4" w:space="0" w:color="auto"/>
              <w:right w:val="single" w:sz="4" w:space="0" w:color="auto"/>
            </w:tcBorders>
            <w:shd w:val="clear" w:color="auto" w:fill="FFFFFF"/>
            <w:noWrap/>
            <w:vAlign w:val="center"/>
            <w:hideMark/>
          </w:tcPr>
          <w:p w14:paraId="4BD4F275" w14:textId="10AFAF58" w:rsidR="00A4507B" w:rsidRPr="00EB68E3" w:rsidRDefault="00A4507B" w:rsidP="00EE1766">
            <w:pPr>
              <w:jc w:val="right"/>
            </w:pPr>
            <w:r w:rsidRPr="00EB68E3">
              <w:t>525 296</w:t>
            </w:r>
          </w:p>
        </w:tc>
        <w:tc>
          <w:tcPr>
            <w:tcW w:w="717" w:type="pct"/>
            <w:tcBorders>
              <w:top w:val="nil"/>
              <w:left w:val="nil"/>
              <w:bottom w:val="single" w:sz="4" w:space="0" w:color="auto"/>
              <w:right w:val="single" w:sz="4" w:space="0" w:color="auto"/>
            </w:tcBorders>
            <w:shd w:val="clear" w:color="auto" w:fill="FFFFFF"/>
            <w:noWrap/>
            <w:vAlign w:val="center"/>
            <w:hideMark/>
          </w:tcPr>
          <w:p w14:paraId="43664839" w14:textId="3EE6758C" w:rsidR="00A4507B" w:rsidRPr="00EB68E3" w:rsidRDefault="00A4507B" w:rsidP="00EE1766">
            <w:pPr>
              <w:jc w:val="right"/>
            </w:pPr>
            <w:r w:rsidRPr="00EB68E3">
              <w:t>775 467</w:t>
            </w:r>
          </w:p>
        </w:tc>
        <w:tc>
          <w:tcPr>
            <w:tcW w:w="745" w:type="pct"/>
            <w:tcBorders>
              <w:top w:val="nil"/>
              <w:left w:val="nil"/>
              <w:bottom w:val="single" w:sz="4" w:space="0" w:color="auto"/>
              <w:right w:val="single" w:sz="4" w:space="0" w:color="auto"/>
            </w:tcBorders>
            <w:shd w:val="clear" w:color="auto" w:fill="FFFFFF"/>
            <w:vAlign w:val="center"/>
            <w:hideMark/>
          </w:tcPr>
          <w:p w14:paraId="45ED84C1" w14:textId="7F519B4E" w:rsidR="00A4507B" w:rsidRPr="00EB68E3" w:rsidRDefault="00A4507B" w:rsidP="00EE1766">
            <w:pPr>
              <w:jc w:val="right"/>
            </w:pPr>
            <w:r w:rsidRPr="00EB68E3">
              <w:t>85 %</w:t>
            </w:r>
          </w:p>
        </w:tc>
        <w:tc>
          <w:tcPr>
            <w:tcW w:w="598" w:type="pct"/>
            <w:tcBorders>
              <w:top w:val="nil"/>
              <w:left w:val="nil"/>
              <w:bottom w:val="single" w:sz="4" w:space="0" w:color="auto"/>
              <w:right w:val="single" w:sz="8" w:space="0" w:color="auto"/>
            </w:tcBorders>
            <w:shd w:val="clear" w:color="auto" w:fill="FFFFFF"/>
            <w:noWrap/>
            <w:vAlign w:val="center"/>
            <w:hideMark/>
          </w:tcPr>
          <w:p w14:paraId="440AB5FB" w14:textId="652603CD" w:rsidR="00A4507B" w:rsidRPr="00EB68E3" w:rsidRDefault="001B4394" w:rsidP="00EE1766">
            <w:pPr>
              <w:jc w:val="right"/>
            </w:pPr>
            <w:r w:rsidRPr="00EB68E3">
              <w:t>-20 184</w:t>
            </w:r>
          </w:p>
        </w:tc>
      </w:tr>
      <w:tr w:rsidR="00A4507B" w:rsidRPr="00EB68E3" w14:paraId="3F0159AC" w14:textId="77777777" w:rsidTr="006A06D0">
        <w:trPr>
          <w:trHeight w:val="461"/>
        </w:trPr>
        <w:tc>
          <w:tcPr>
            <w:tcW w:w="871" w:type="pct"/>
            <w:tcBorders>
              <w:top w:val="single" w:sz="4" w:space="0" w:color="auto"/>
              <w:left w:val="single" w:sz="8" w:space="0" w:color="auto"/>
              <w:bottom w:val="single" w:sz="4" w:space="0" w:color="auto"/>
              <w:right w:val="single" w:sz="4" w:space="0" w:color="auto"/>
            </w:tcBorders>
            <w:shd w:val="clear" w:color="auto" w:fill="FFFFFF"/>
            <w:vAlign w:val="center"/>
            <w:hideMark/>
          </w:tcPr>
          <w:p w14:paraId="5A01C53F" w14:textId="77777777" w:rsidR="00A4507B" w:rsidRPr="00EB68E3" w:rsidRDefault="00A4507B" w:rsidP="00EE1766">
            <w:pPr>
              <w:rPr>
                <w:rFonts w:eastAsia="MS Mincho"/>
                <w:b/>
                <w:bCs/>
                <w:szCs w:val="24"/>
              </w:rPr>
            </w:pPr>
            <w:r w:rsidRPr="00EB68E3">
              <w:t>Allianssi rauhan ja vapauden puolesta</w:t>
            </w:r>
          </w:p>
        </w:tc>
        <w:tc>
          <w:tcPr>
            <w:tcW w:w="516" w:type="pct"/>
            <w:tcBorders>
              <w:top w:val="single" w:sz="4" w:space="0" w:color="auto"/>
              <w:left w:val="nil"/>
              <w:bottom w:val="single" w:sz="4" w:space="0" w:color="auto"/>
              <w:right w:val="single" w:sz="4" w:space="0" w:color="auto"/>
            </w:tcBorders>
            <w:shd w:val="clear" w:color="auto" w:fill="FFFFFF"/>
            <w:vAlign w:val="center"/>
            <w:hideMark/>
          </w:tcPr>
          <w:p w14:paraId="10F8E29F" w14:textId="77777777" w:rsidR="00A4507B" w:rsidRPr="00EB68E3" w:rsidRDefault="00A4507B" w:rsidP="00EE1766">
            <w:r w:rsidRPr="00EB68E3">
              <w:t>APF</w:t>
            </w:r>
          </w:p>
        </w:tc>
        <w:tc>
          <w:tcPr>
            <w:tcW w:w="836" w:type="pct"/>
            <w:tcBorders>
              <w:top w:val="single" w:sz="4" w:space="0" w:color="auto"/>
              <w:left w:val="nil"/>
              <w:bottom w:val="single" w:sz="4" w:space="0" w:color="auto"/>
              <w:right w:val="single" w:sz="4" w:space="0" w:color="auto"/>
            </w:tcBorders>
            <w:shd w:val="clear" w:color="auto" w:fill="FFFFFF"/>
            <w:noWrap/>
            <w:vAlign w:val="center"/>
          </w:tcPr>
          <w:p w14:paraId="371AB458" w14:textId="77777777" w:rsidR="00A4507B" w:rsidRPr="00EB68E3" w:rsidRDefault="00A4507B" w:rsidP="00EE1766">
            <w:pPr>
              <w:jc w:val="right"/>
            </w:pPr>
          </w:p>
          <w:p w14:paraId="168571DB" w14:textId="4BFABFB1" w:rsidR="00A4507B" w:rsidRPr="00EB68E3" w:rsidRDefault="00A4507B" w:rsidP="00EE1766">
            <w:pPr>
              <w:jc w:val="right"/>
            </w:pPr>
            <w:r w:rsidRPr="00EB68E3">
              <w:t>29 775</w:t>
            </w:r>
          </w:p>
        </w:tc>
        <w:tc>
          <w:tcPr>
            <w:tcW w:w="716" w:type="pct"/>
            <w:tcBorders>
              <w:top w:val="single" w:sz="4" w:space="0" w:color="auto"/>
              <w:left w:val="nil"/>
              <w:bottom w:val="single" w:sz="4" w:space="0" w:color="auto"/>
              <w:right w:val="single" w:sz="4" w:space="0" w:color="auto"/>
            </w:tcBorders>
            <w:shd w:val="clear" w:color="auto" w:fill="FFFFFF"/>
            <w:noWrap/>
            <w:vAlign w:val="center"/>
          </w:tcPr>
          <w:p w14:paraId="186DA8E4" w14:textId="77777777" w:rsidR="00A4507B" w:rsidRPr="00EB68E3" w:rsidRDefault="00A4507B" w:rsidP="00EE1766">
            <w:pPr>
              <w:jc w:val="right"/>
            </w:pPr>
          </w:p>
          <w:p w14:paraId="41F4ED7F" w14:textId="6D98D964" w:rsidR="00A4507B" w:rsidRPr="00EB68E3" w:rsidRDefault="00A4507B" w:rsidP="00EE1766">
            <w:pPr>
              <w:jc w:val="right"/>
            </w:pPr>
            <w:r w:rsidRPr="00EB68E3">
              <w:t>27 055</w:t>
            </w:r>
          </w:p>
        </w:tc>
        <w:tc>
          <w:tcPr>
            <w:tcW w:w="717" w:type="pct"/>
            <w:tcBorders>
              <w:top w:val="single" w:sz="4" w:space="0" w:color="auto"/>
              <w:left w:val="nil"/>
              <w:bottom w:val="single" w:sz="4" w:space="0" w:color="auto"/>
              <w:right w:val="single" w:sz="4" w:space="0" w:color="auto"/>
            </w:tcBorders>
            <w:shd w:val="clear" w:color="auto" w:fill="FFFFFF"/>
            <w:noWrap/>
            <w:vAlign w:val="center"/>
            <w:hideMark/>
          </w:tcPr>
          <w:p w14:paraId="6C480397" w14:textId="1BD8C758" w:rsidR="00A4507B" w:rsidRPr="00EB68E3" w:rsidRDefault="00A4507B" w:rsidP="00EE1766">
            <w:pPr>
              <w:jc w:val="right"/>
            </w:pPr>
            <w:r w:rsidRPr="00EB68E3">
              <w:t>56 830</w:t>
            </w:r>
          </w:p>
        </w:tc>
        <w:tc>
          <w:tcPr>
            <w:tcW w:w="745" w:type="pct"/>
            <w:tcBorders>
              <w:top w:val="single" w:sz="4" w:space="0" w:color="auto"/>
              <w:left w:val="nil"/>
              <w:bottom w:val="single" w:sz="4" w:space="0" w:color="auto"/>
              <w:right w:val="single" w:sz="4" w:space="0" w:color="auto"/>
            </w:tcBorders>
            <w:shd w:val="clear" w:color="auto" w:fill="FFFFFF"/>
            <w:vAlign w:val="center"/>
            <w:hideMark/>
          </w:tcPr>
          <w:p w14:paraId="21BEAB9F" w14:textId="78C00202" w:rsidR="00A4507B" w:rsidRPr="00EB68E3" w:rsidRDefault="00A4507B" w:rsidP="00B03798">
            <w:pPr>
              <w:jc w:val="right"/>
            </w:pPr>
            <w:r w:rsidRPr="00EB68E3">
              <w:t>85 %</w:t>
            </w:r>
          </w:p>
        </w:tc>
        <w:tc>
          <w:tcPr>
            <w:tcW w:w="598" w:type="pct"/>
            <w:tcBorders>
              <w:top w:val="single" w:sz="4" w:space="0" w:color="auto"/>
              <w:left w:val="nil"/>
              <w:bottom w:val="single" w:sz="4" w:space="0" w:color="auto"/>
              <w:right w:val="single" w:sz="8" w:space="0" w:color="auto"/>
            </w:tcBorders>
            <w:shd w:val="clear" w:color="auto" w:fill="FFFFFF"/>
            <w:noWrap/>
            <w:vAlign w:val="center"/>
            <w:hideMark/>
          </w:tcPr>
          <w:p w14:paraId="2ACABEAA" w14:textId="666431BD" w:rsidR="00A4507B" w:rsidRPr="00EB68E3" w:rsidRDefault="00A4507B" w:rsidP="00EE1766">
            <w:pPr>
              <w:jc w:val="right"/>
            </w:pPr>
            <w:r w:rsidRPr="00EB68E3">
              <w:t>22 471</w:t>
            </w:r>
          </w:p>
        </w:tc>
      </w:tr>
      <w:tr w:rsidR="00A4507B" w:rsidRPr="00EB68E3" w14:paraId="65518555" w14:textId="77777777" w:rsidTr="006A06D0">
        <w:trPr>
          <w:trHeight w:val="461"/>
        </w:trPr>
        <w:tc>
          <w:tcPr>
            <w:tcW w:w="871" w:type="pct"/>
            <w:tcBorders>
              <w:top w:val="single" w:sz="4" w:space="0" w:color="auto"/>
              <w:left w:val="single" w:sz="8" w:space="0" w:color="auto"/>
              <w:bottom w:val="single" w:sz="4" w:space="0" w:color="auto"/>
              <w:right w:val="single" w:sz="4" w:space="0" w:color="auto"/>
            </w:tcBorders>
            <w:shd w:val="clear" w:color="auto" w:fill="FFFFFF"/>
            <w:vAlign w:val="center"/>
            <w:hideMark/>
          </w:tcPr>
          <w:p w14:paraId="31D9F420" w14:textId="77777777" w:rsidR="00A4507B" w:rsidRPr="00EB68E3" w:rsidRDefault="00A4507B" w:rsidP="00EE1766">
            <w:pPr>
              <w:rPr>
                <w:rFonts w:eastAsia="MS Mincho"/>
                <w:szCs w:val="24"/>
              </w:rPr>
            </w:pPr>
            <w:r w:rsidRPr="00EB68E3">
              <w:t>Koalitio elämän ja perheen puolesta</w:t>
            </w:r>
          </w:p>
        </w:tc>
        <w:tc>
          <w:tcPr>
            <w:tcW w:w="516" w:type="pct"/>
            <w:tcBorders>
              <w:top w:val="single" w:sz="4" w:space="0" w:color="auto"/>
              <w:left w:val="nil"/>
              <w:bottom w:val="single" w:sz="4" w:space="0" w:color="auto"/>
              <w:right w:val="single" w:sz="4" w:space="0" w:color="auto"/>
            </w:tcBorders>
            <w:shd w:val="clear" w:color="auto" w:fill="FFFFFF"/>
            <w:vAlign w:val="center"/>
            <w:hideMark/>
          </w:tcPr>
          <w:p w14:paraId="117744E6" w14:textId="77777777" w:rsidR="00A4507B" w:rsidRPr="00EB68E3" w:rsidRDefault="00A4507B" w:rsidP="00EE1766">
            <w:r w:rsidRPr="00EB68E3">
              <w:t>CLF</w:t>
            </w:r>
          </w:p>
        </w:tc>
        <w:tc>
          <w:tcPr>
            <w:tcW w:w="836" w:type="pct"/>
            <w:tcBorders>
              <w:top w:val="single" w:sz="4" w:space="0" w:color="auto"/>
              <w:left w:val="nil"/>
              <w:bottom w:val="single" w:sz="4" w:space="0" w:color="auto"/>
              <w:right w:val="single" w:sz="4" w:space="0" w:color="auto"/>
            </w:tcBorders>
            <w:shd w:val="clear" w:color="auto" w:fill="FFFFFF"/>
            <w:noWrap/>
            <w:vAlign w:val="center"/>
            <w:hideMark/>
          </w:tcPr>
          <w:p w14:paraId="279AD3CB" w14:textId="77777777" w:rsidR="00A4507B" w:rsidRPr="00EB68E3" w:rsidRDefault="00A4507B" w:rsidP="00EE1766">
            <w:pPr>
              <w:jc w:val="right"/>
            </w:pPr>
            <w:r w:rsidRPr="00EB68E3">
              <w:t>–</w:t>
            </w:r>
          </w:p>
        </w:tc>
        <w:tc>
          <w:tcPr>
            <w:tcW w:w="716" w:type="pct"/>
            <w:tcBorders>
              <w:top w:val="single" w:sz="4" w:space="0" w:color="auto"/>
              <w:left w:val="nil"/>
              <w:bottom w:val="single" w:sz="4" w:space="0" w:color="auto"/>
              <w:right w:val="single" w:sz="4" w:space="0" w:color="auto"/>
            </w:tcBorders>
            <w:shd w:val="clear" w:color="auto" w:fill="FFFFFF"/>
            <w:noWrap/>
            <w:vAlign w:val="center"/>
            <w:hideMark/>
          </w:tcPr>
          <w:p w14:paraId="79BBDAF9" w14:textId="77777777" w:rsidR="00A4507B" w:rsidRPr="00EB68E3" w:rsidRDefault="00A4507B" w:rsidP="00EE1766">
            <w:pPr>
              <w:jc w:val="right"/>
            </w:pPr>
            <w:r w:rsidRPr="00EB68E3">
              <w:t>–</w:t>
            </w:r>
          </w:p>
        </w:tc>
        <w:tc>
          <w:tcPr>
            <w:tcW w:w="717" w:type="pct"/>
            <w:tcBorders>
              <w:top w:val="single" w:sz="4" w:space="0" w:color="auto"/>
              <w:left w:val="nil"/>
              <w:bottom w:val="single" w:sz="4" w:space="0" w:color="auto"/>
              <w:right w:val="single" w:sz="4" w:space="0" w:color="auto"/>
            </w:tcBorders>
            <w:shd w:val="clear" w:color="auto" w:fill="FFFFFF"/>
            <w:noWrap/>
            <w:vAlign w:val="center"/>
            <w:hideMark/>
          </w:tcPr>
          <w:p w14:paraId="36CC868E" w14:textId="77777777" w:rsidR="00A4507B" w:rsidRPr="00EB68E3" w:rsidRDefault="00A4507B" w:rsidP="00EE1766">
            <w:pPr>
              <w:jc w:val="right"/>
            </w:pPr>
            <w:r w:rsidRPr="00EB68E3">
              <w:t>–</w:t>
            </w:r>
          </w:p>
        </w:tc>
        <w:tc>
          <w:tcPr>
            <w:tcW w:w="745" w:type="pct"/>
            <w:tcBorders>
              <w:top w:val="single" w:sz="4" w:space="0" w:color="auto"/>
              <w:left w:val="nil"/>
              <w:bottom w:val="single" w:sz="4" w:space="0" w:color="auto"/>
              <w:right w:val="single" w:sz="4" w:space="0" w:color="auto"/>
            </w:tcBorders>
            <w:shd w:val="clear" w:color="auto" w:fill="FFFFFF"/>
            <w:vAlign w:val="center"/>
            <w:hideMark/>
          </w:tcPr>
          <w:p w14:paraId="5F52D86A" w14:textId="77777777" w:rsidR="00A4507B" w:rsidRPr="00EB68E3" w:rsidRDefault="00A4507B" w:rsidP="00EE1766">
            <w:pPr>
              <w:jc w:val="right"/>
            </w:pPr>
            <w:r w:rsidRPr="00EB68E3">
              <w:t>–</w:t>
            </w:r>
          </w:p>
        </w:tc>
        <w:tc>
          <w:tcPr>
            <w:tcW w:w="598" w:type="pct"/>
            <w:tcBorders>
              <w:top w:val="single" w:sz="4" w:space="0" w:color="auto"/>
              <w:left w:val="nil"/>
              <w:bottom w:val="single" w:sz="4" w:space="0" w:color="auto"/>
              <w:right w:val="single" w:sz="8" w:space="0" w:color="auto"/>
            </w:tcBorders>
            <w:shd w:val="clear" w:color="auto" w:fill="FFFFFF"/>
            <w:noWrap/>
            <w:vAlign w:val="center"/>
            <w:hideMark/>
          </w:tcPr>
          <w:p w14:paraId="08454AC1" w14:textId="77777777" w:rsidR="00A4507B" w:rsidRPr="00EB68E3" w:rsidRDefault="00A4507B" w:rsidP="00EE1766">
            <w:pPr>
              <w:jc w:val="right"/>
            </w:pPr>
            <w:r w:rsidRPr="00EB68E3">
              <w:t>–</w:t>
            </w:r>
          </w:p>
        </w:tc>
      </w:tr>
      <w:tr w:rsidR="00A4507B" w:rsidRPr="00EB68E3" w14:paraId="04488E6F" w14:textId="77777777" w:rsidTr="006A06D0">
        <w:trPr>
          <w:trHeight w:val="461"/>
        </w:trPr>
        <w:tc>
          <w:tcPr>
            <w:tcW w:w="871" w:type="pct"/>
            <w:tcBorders>
              <w:top w:val="single" w:sz="4" w:space="0" w:color="auto"/>
              <w:left w:val="single" w:sz="8" w:space="0" w:color="auto"/>
              <w:bottom w:val="single" w:sz="4" w:space="0" w:color="auto"/>
              <w:right w:val="single" w:sz="4" w:space="0" w:color="auto"/>
            </w:tcBorders>
            <w:shd w:val="clear" w:color="auto" w:fill="FFFFFF"/>
            <w:vAlign w:val="center"/>
            <w:hideMark/>
          </w:tcPr>
          <w:p w14:paraId="03750911" w14:textId="77777777" w:rsidR="00A4507B" w:rsidRPr="00EB68E3" w:rsidRDefault="00A4507B" w:rsidP="00EE1766">
            <w:pPr>
              <w:rPr>
                <w:rFonts w:eastAsia="MS Mincho"/>
                <w:szCs w:val="24"/>
              </w:rPr>
            </w:pPr>
            <w:r w:rsidRPr="00EB68E3">
              <w:rPr>
                <w:b/>
                <w:bCs/>
                <w:szCs w:val="24"/>
              </w:rPr>
              <w:t>Yhteensä</w:t>
            </w:r>
          </w:p>
        </w:tc>
        <w:tc>
          <w:tcPr>
            <w:tcW w:w="516" w:type="pct"/>
            <w:tcBorders>
              <w:top w:val="single" w:sz="4" w:space="0" w:color="auto"/>
              <w:left w:val="nil"/>
              <w:bottom w:val="single" w:sz="4" w:space="0" w:color="auto"/>
              <w:right w:val="single" w:sz="4" w:space="0" w:color="auto"/>
            </w:tcBorders>
            <w:shd w:val="clear" w:color="auto" w:fill="FFFFFF"/>
            <w:vAlign w:val="center"/>
          </w:tcPr>
          <w:p w14:paraId="3BE975F7" w14:textId="77777777" w:rsidR="00A4507B" w:rsidRPr="00EB68E3" w:rsidRDefault="00A4507B" w:rsidP="00EE1766"/>
        </w:tc>
        <w:tc>
          <w:tcPr>
            <w:tcW w:w="836" w:type="pct"/>
            <w:tcBorders>
              <w:top w:val="single" w:sz="4" w:space="0" w:color="auto"/>
              <w:left w:val="nil"/>
              <w:bottom w:val="single" w:sz="4" w:space="0" w:color="auto"/>
              <w:right w:val="single" w:sz="4" w:space="0" w:color="auto"/>
            </w:tcBorders>
            <w:shd w:val="clear" w:color="auto" w:fill="FFFFFF"/>
            <w:noWrap/>
            <w:vAlign w:val="center"/>
            <w:hideMark/>
          </w:tcPr>
          <w:p w14:paraId="065F65B1" w14:textId="05EF6193" w:rsidR="00A4507B" w:rsidRPr="00EB68E3" w:rsidRDefault="00A4507B" w:rsidP="00EE1766">
            <w:pPr>
              <w:jc w:val="right"/>
            </w:pPr>
            <w:r w:rsidRPr="00EB68E3">
              <w:t>5 796 602</w:t>
            </w:r>
          </w:p>
        </w:tc>
        <w:tc>
          <w:tcPr>
            <w:tcW w:w="716" w:type="pct"/>
            <w:tcBorders>
              <w:top w:val="single" w:sz="4" w:space="0" w:color="auto"/>
              <w:left w:val="nil"/>
              <w:bottom w:val="single" w:sz="4" w:space="0" w:color="auto"/>
              <w:right w:val="single" w:sz="4" w:space="0" w:color="auto"/>
            </w:tcBorders>
            <w:shd w:val="clear" w:color="auto" w:fill="FFFFFF"/>
            <w:noWrap/>
            <w:vAlign w:val="center"/>
            <w:hideMark/>
          </w:tcPr>
          <w:p w14:paraId="14CCEC6E" w14:textId="61B31C01" w:rsidR="00A4507B" w:rsidRPr="00EB68E3" w:rsidRDefault="00A4507B" w:rsidP="00EE1766">
            <w:pPr>
              <w:jc w:val="right"/>
            </w:pPr>
            <w:r w:rsidRPr="00EB68E3">
              <w:t>24 723 344</w:t>
            </w:r>
          </w:p>
        </w:tc>
        <w:tc>
          <w:tcPr>
            <w:tcW w:w="717" w:type="pct"/>
            <w:tcBorders>
              <w:top w:val="single" w:sz="4" w:space="0" w:color="auto"/>
              <w:left w:val="nil"/>
              <w:bottom w:val="single" w:sz="4" w:space="0" w:color="auto"/>
              <w:right w:val="single" w:sz="4" w:space="0" w:color="auto"/>
            </w:tcBorders>
            <w:shd w:val="clear" w:color="auto" w:fill="FFFFFF"/>
            <w:noWrap/>
            <w:vAlign w:val="center"/>
            <w:hideMark/>
          </w:tcPr>
          <w:p w14:paraId="1496E31F" w14:textId="3223382D" w:rsidR="00A4507B" w:rsidRPr="00EB68E3" w:rsidRDefault="00A4507B" w:rsidP="00EE1766">
            <w:pPr>
              <w:jc w:val="right"/>
            </w:pPr>
            <w:r w:rsidRPr="00EB68E3">
              <w:t>34 338 065</w:t>
            </w:r>
          </w:p>
        </w:tc>
        <w:tc>
          <w:tcPr>
            <w:tcW w:w="745" w:type="pct"/>
            <w:tcBorders>
              <w:top w:val="single" w:sz="4" w:space="0" w:color="auto"/>
              <w:left w:val="nil"/>
              <w:bottom w:val="single" w:sz="4" w:space="0" w:color="auto"/>
              <w:right w:val="single" w:sz="4" w:space="0" w:color="auto"/>
            </w:tcBorders>
            <w:shd w:val="clear" w:color="auto" w:fill="FFFFFF"/>
            <w:vAlign w:val="center"/>
          </w:tcPr>
          <w:p w14:paraId="7B93E7B6" w14:textId="77777777" w:rsidR="00A4507B" w:rsidRPr="00EB68E3" w:rsidRDefault="00A4507B" w:rsidP="00EE1766">
            <w:pPr>
              <w:jc w:val="right"/>
            </w:pPr>
          </w:p>
        </w:tc>
        <w:tc>
          <w:tcPr>
            <w:tcW w:w="598" w:type="pct"/>
            <w:tcBorders>
              <w:top w:val="single" w:sz="4" w:space="0" w:color="auto"/>
              <w:left w:val="nil"/>
              <w:bottom w:val="single" w:sz="4" w:space="0" w:color="auto"/>
              <w:right w:val="single" w:sz="8" w:space="0" w:color="auto"/>
            </w:tcBorders>
            <w:shd w:val="clear" w:color="auto" w:fill="FFFFFF"/>
            <w:noWrap/>
            <w:vAlign w:val="center"/>
            <w:hideMark/>
          </w:tcPr>
          <w:p w14:paraId="742D2DF2" w14:textId="0C2EE361" w:rsidR="00A4507B" w:rsidRPr="00EB68E3" w:rsidRDefault="00A4507B" w:rsidP="00EE1766">
            <w:pPr>
              <w:jc w:val="right"/>
            </w:pPr>
            <w:r w:rsidRPr="00EB68E3">
              <w:t>-327 530</w:t>
            </w:r>
          </w:p>
        </w:tc>
      </w:tr>
    </w:tbl>
    <w:p w14:paraId="6E8CF2FE" w14:textId="7546B8B0" w:rsidR="00A4507B" w:rsidRPr="00EB68E3" w:rsidRDefault="001A3EF0" w:rsidP="00EE1766">
      <w:pPr>
        <w:pStyle w:val="Normal12Hanging"/>
        <w:spacing w:before="240"/>
      </w:pPr>
      <w:r w:rsidRPr="00EB68E3">
        <w:t>149.</w:t>
      </w:r>
      <w:r w:rsidRPr="00EB68E3">
        <w:tab/>
        <w:t>toteaa, että vuonna 2017 momentin 4 0 3 määrärahat käytettiin seuraavasti</w:t>
      </w:r>
      <w:r w:rsidR="00A4507B" w:rsidRPr="00EB68E3">
        <w:rPr>
          <w:rStyle w:val="FootnoteReference"/>
        </w:rPr>
        <w:footnoteReference w:id="18"/>
      </w:r>
      <w:r w:rsidRPr="00EB68E3">
        <w:t>:</w:t>
      </w:r>
    </w:p>
    <w:tbl>
      <w:tblPr>
        <w:tblW w:w="0" w:type="dxa"/>
        <w:tblInd w:w="93" w:type="dxa"/>
        <w:tblLayout w:type="fixed"/>
        <w:tblLook w:val="04A0" w:firstRow="1" w:lastRow="0" w:firstColumn="1" w:lastColumn="0" w:noHBand="0" w:noVBand="1"/>
      </w:tblPr>
      <w:tblGrid>
        <w:gridCol w:w="2164"/>
        <w:gridCol w:w="1253"/>
        <w:gridCol w:w="993"/>
        <w:gridCol w:w="1275"/>
        <w:gridCol w:w="1418"/>
        <w:gridCol w:w="1417"/>
        <w:gridCol w:w="1440"/>
      </w:tblGrid>
      <w:tr w:rsidR="00A4507B" w:rsidRPr="00EB68E3" w14:paraId="4F2663FD" w14:textId="77777777" w:rsidTr="00A4507B">
        <w:trPr>
          <w:trHeight w:val="1020"/>
        </w:trPr>
        <w:tc>
          <w:tcPr>
            <w:tcW w:w="2164" w:type="dxa"/>
            <w:tcBorders>
              <w:top w:val="single" w:sz="8" w:space="0" w:color="auto"/>
              <w:left w:val="single" w:sz="8" w:space="0" w:color="auto"/>
              <w:bottom w:val="single" w:sz="4" w:space="0" w:color="auto"/>
              <w:right w:val="single" w:sz="4" w:space="0" w:color="auto"/>
            </w:tcBorders>
            <w:shd w:val="clear" w:color="auto" w:fill="FFFFFF"/>
            <w:hideMark/>
          </w:tcPr>
          <w:p w14:paraId="3052DCBB" w14:textId="77777777" w:rsidR="00A4507B" w:rsidRPr="00EB68E3" w:rsidRDefault="00A4507B" w:rsidP="00EE1766">
            <w:r w:rsidRPr="00EB68E3">
              <w:t>Säätiö</w:t>
            </w:r>
          </w:p>
        </w:tc>
        <w:tc>
          <w:tcPr>
            <w:tcW w:w="1253" w:type="dxa"/>
            <w:tcBorders>
              <w:top w:val="single" w:sz="8" w:space="0" w:color="auto"/>
              <w:left w:val="nil"/>
              <w:bottom w:val="single" w:sz="4" w:space="0" w:color="auto"/>
              <w:right w:val="single" w:sz="4" w:space="0" w:color="auto"/>
            </w:tcBorders>
            <w:shd w:val="clear" w:color="auto" w:fill="FFFFFF"/>
            <w:hideMark/>
          </w:tcPr>
          <w:p w14:paraId="75EABF7B" w14:textId="7DD5A938" w:rsidR="00A4507B" w:rsidRPr="00EB68E3" w:rsidRDefault="003C0BD6" w:rsidP="00EE1766">
            <w:r w:rsidRPr="00EB68E3">
              <w:t>Lyhenne</w:t>
            </w:r>
          </w:p>
        </w:tc>
        <w:tc>
          <w:tcPr>
            <w:tcW w:w="993" w:type="dxa"/>
            <w:tcBorders>
              <w:top w:val="single" w:sz="8" w:space="0" w:color="auto"/>
              <w:left w:val="nil"/>
              <w:bottom w:val="single" w:sz="4" w:space="0" w:color="auto"/>
              <w:right w:val="single" w:sz="4" w:space="0" w:color="auto"/>
            </w:tcBorders>
            <w:shd w:val="clear" w:color="auto" w:fill="FFFFFF"/>
            <w:hideMark/>
          </w:tcPr>
          <w:p w14:paraId="49C0D1D0" w14:textId="77777777" w:rsidR="00A4507B" w:rsidRPr="00EB68E3" w:rsidRDefault="00A4507B" w:rsidP="00EE1766">
            <w:r w:rsidRPr="00EB68E3">
              <w:t>Liittyy puolueeseen</w:t>
            </w:r>
          </w:p>
        </w:tc>
        <w:tc>
          <w:tcPr>
            <w:tcW w:w="1275" w:type="dxa"/>
            <w:tcBorders>
              <w:top w:val="single" w:sz="8" w:space="0" w:color="auto"/>
              <w:left w:val="nil"/>
              <w:bottom w:val="single" w:sz="4" w:space="0" w:color="auto"/>
              <w:right w:val="single" w:sz="4" w:space="0" w:color="auto"/>
            </w:tcBorders>
            <w:shd w:val="clear" w:color="auto" w:fill="FFFFFF"/>
            <w:hideMark/>
          </w:tcPr>
          <w:p w14:paraId="053DE36B" w14:textId="77777777" w:rsidR="00A4507B" w:rsidRPr="00EB68E3" w:rsidRDefault="00A4507B" w:rsidP="00EE1766">
            <w:r w:rsidRPr="00EB68E3">
              <w:t>Omat varat</w:t>
            </w:r>
          </w:p>
        </w:tc>
        <w:tc>
          <w:tcPr>
            <w:tcW w:w="1418" w:type="dxa"/>
            <w:tcBorders>
              <w:top w:val="single" w:sz="8" w:space="0" w:color="auto"/>
              <w:left w:val="nil"/>
              <w:bottom w:val="single" w:sz="4" w:space="0" w:color="auto"/>
              <w:right w:val="single" w:sz="4" w:space="0" w:color="auto"/>
            </w:tcBorders>
            <w:shd w:val="clear" w:color="auto" w:fill="FFFFFF"/>
            <w:hideMark/>
          </w:tcPr>
          <w:p w14:paraId="324A44F5" w14:textId="77777777" w:rsidR="00A4507B" w:rsidRPr="00EB68E3" w:rsidRDefault="00A4507B" w:rsidP="00EE1766">
            <w:r w:rsidRPr="00EB68E3">
              <w:t>EP:n lopullinen avustus</w:t>
            </w:r>
          </w:p>
        </w:tc>
        <w:tc>
          <w:tcPr>
            <w:tcW w:w="1417" w:type="dxa"/>
            <w:tcBorders>
              <w:top w:val="single" w:sz="8" w:space="0" w:color="auto"/>
              <w:left w:val="nil"/>
              <w:bottom w:val="single" w:sz="4" w:space="0" w:color="auto"/>
              <w:right w:val="single" w:sz="4" w:space="0" w:color="auto"/>
            </w:tcBorders>
            <w:shd w:val="clear" w:color="auto" w:fill="FFFFFF"/>
            <w:hideMark/>
          </w:tcPr>
          <w:p w14:paraId="6644309C" w14:textId="77777777" w:rsidR="00A4507B" w:rsidRPr="00EB68E3" w:rsidRDefault="00A4507B" w:rsidP="00EE1766">
            <w:r w:rsidRPr="00EB68E3">
              <w:t>Tulot yhteensä</w:t>
            </w:r>
          </w:p>
        </w:tc>
        <w:tc>
          <w:tcPr>
            <w:tcW w:w="1440" w:type="dxa"/>
            <w:tcBorders>
              <w:top w:val="single" w:sz="8" w:space="0" w:color="auto"/>
              <w:left w:val="nil"/>
              <w:bottom w:val="single" w:sz="4" w:space="0" w:color="auto"/>
              <w:right w:val="single" w:sz="8" w:space="0" w:color="auto"/>
            </w:tcBorders>
            <w:shd w:val="clear" w:color="auto" w:fill="FFFFFF"/>
            <w:hideMark/>
          </w:tcPr>
          <w:p w14:paraId="6109C70F" w14:textId="08C9D743" w:rsidR="00A4507B" w:rsidRPr="00EB68E3" w:rsidRDefault="00A4507B" w:rsidP="00EE1766">
            <w:r w:rsidRPr="00EB68E3">
              <w:t>EP:n avustuksen osuus tukikelpoisista menoista (enintään 85 %)</w:t>
            </w:r>
          </w:p>
        </w:tc>
      </w:tr>
      <w:tr w:rsidR="00A4507B" w:rsidRPr="00EB68E3" w14:paraId="0F60FFFA"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0ED6BD13" w14:textId="77777777" w:rsidR="00A4507B" w:rsidRPr="00EB68E3" w:rsidRDefault="00A4507B" w:rsidP="00EE1766">
            <w:r w:rsidRPr="00EB68E3">
              <w:t>Wilfried Martens Centre for European Studies</w:t>
            </w:r>
          </w:p>
        </w:tc>
        <w:tc>
          <w:tcPr>
            <w:tcW w:w="1253" w:type="dxa"/>
            <w:tcBorders>
              <w:top w:val="nil"/>
              <w:left w:val="nil"/>
              <w:bottom w:val="single" w:sz="4" w:space="0" w:color="auto"/>
              <w:right w:val="single" w:sz="4" w:space="0" w:color="auto"/>
            </w:tcBorders>
            <w:shd w:val="clear" w:color="auto" w:fill="FFFFFF"/>
            <w:hideMark/>
          </w:tcPr>
          <w:p w14:paraId="5F204569" w14:textId="77777777" w:rsidR="00A4507B" w:rsidRPr="00EB68E3" w:rsidRDefault="00A4507B" w:rsidP="00EE1766">
            <w:r w:rsidRPr="00EB68E3">
              <w:t>WMCES</w:t>
            </w:r>
          </w:p>
        </w:tc>
        <w:tc>
          <w:tcPr>
            <w:tcW w:w="993" w:type="dxa"/>
            <w:tcBorders>
              <w:top w:val="nil"/>
              <w:left w:val="nil"/>
              <w:bottom w:val="single" w:sz="4" w:space="0" w:color="auto"/>
              <w:right w:val="single" w:sz="4" w:space="0" w:color="auto"/>
            </w:tcBorders>
            <w:shd w:val="clear" w:color="auto" w:fill="FFFFFF"/>
            <w:hideMark/>
          </w:tcPr>
          <w:p w14:paraId="7413C03B" w14:textId="77777777" w:rsidR="00A4507B" w:rsidRPr="00EB68E3" w:rsidRDefault="00A4507B" w:rsidP="00EE1766">
            <w:r w:rsidRPr="00EB68E3">
              <w:t>PPE</w:t>
            </w:r>
          </w:p>
        </w:tc>
        <w:tc>
          <w:tcPr>
            <w:tcW w:w="1275" w:type="dxa"/>
            <w:tcBorders>
              <w:top w:val="nil"/>
              <w:left w:val="nil"/>
              <w:bottom w:val="single" w:sz="4" w:space="0" w:color="auto"/>
              <w:right w:val="single" w:sz="4" w:space="0" w:color="auto"/>
            </w:tcBorders>
            <w:shd w:val="clear" w:color="auto" w:fill="FFFFFF"/>
            <w:noWrap/>
            <w:hideMark/>
          </w:tcPr>
          <w:p w14:paraId="34C297A3" w14:textId="25DF9988" w:rsidR="00A4507B" w:rsidRPr="00EB68E3" w:rsidRDefault="00A4507B" w:rsidP="00EE1766">
            <w:r w:rsidRPr="00EB68E3">
              <w:t xml:space="preserve">1 020 598  </w:t>
            </w:r>
          </w:p>
        </w:tc>
        <w:tc>
          <w:tcPr>
            <w:tcW w:w="1418" w:type="dxa"/>
            <w:tcBorders>
              <w:top w:val="nil"/>
              <w:left w:val="nil"/>
              <w:bottom w:val="single" w:sz="4" w:space="0" w:color="auto"/>
              <w:right w:val="single" w:sz="4" w:space="0" w:color="auto"/>
            </w:tcBorders>
            <w:shd w:val="clear" w:color="auto" w:fill="FFFFFF"/>
            <w:noWrap/>
            <w:hideMark/>
          </w:tcPr>
          <w:p w14:paraId="284019F7" w14:textId="583BC2ED" w:rsidR="00A4507B" w:rsidRPr="00EB68E3" w:rsidRDefault="00A4507B" w:rsidP="00EE1766">
            <w:r w:rsidRPr="00EB68E3">
              <w:t>5 042 165</w:t>
            </w:r>
          </w:p>
        </w:tc>
        <w:tc>
          <w:tcPr>
            <w:tcW w:w="1417" w:type="dxa"/>
            <w:tcBorders>
              <w:top w:val="nil"/>
              <w:left w:val="nil"/>
              <w:bottom w:val="single" w:sz="4" w:space="0" w:color="auto"/>
              <w:right w:val="single" w:sz="4" w:space="0" w:color="auto"/>
            </w:tcBorders>
            <w:shd w:val="clear" w:color="auto" w:fill="FFFFFF"/>
            <w:noWrap/>
            <w:hideMark/>
          </w:tcPr>
          <w:p w14:paraId="3E30D2BA" w14:textId="4DA758FF" w:rsidR="00A4507B" w:rsidRPr="00EB68E3" w:rsidRDefault="00A4507B" w:rsidP="00EE1766">
            <w:r w:rsidRPr="00EB68E3">
              <w:t xml:space="preserve">6 062 764 </w:t>
            </w:r>
          </w:p>
        </w:tc>
        <w:tc>
          <w:tcPr>
            <w:tcW w:w="1440" w:type="dxa"/>
            <w:tcBorders>
              <w:top w:val="nil"/>
              <w:left w:val="nil"/>
              <w:bottom w:val="single" w:sz="4" w:space="0" w:color="auto"/>
              <w:right w:val="single" w:sz="8" w:space="0" w:color="auto"/>
            </w:tcBorders>
            <w:shd w:val="clear" w:color="auto" w:fill="FFFFFF"/>
            <w:noWrap/>
            <w:hideMark/>
          </w:tcPr>
          <w:p w14:paraId="7210F3AC" w14:textId="35283FEF" w:rsidR="00A4507B" w:rsidRPr="00EB68E3" w:rsidRDefault="00A4507B" w:rsidP="00EE1766">
            <w:r w:rsidRPr="00EB68E3">
              <w:t>85 %</w:t>
            </w:r>
          </w:p>
        </w:tc>
      </w:tr>
      <w:tr w:rsidR="00A4507B" w:rsidRPr="00EB68E3" w14:paraId="25689B1C"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1748E247" w14:textId="77777777" w:rsidR="00A4507B" w:rsidRPr="00EB68E3" w:rsidRDefault="00A4507B" w:rsidP="00EE1766">
            <w:r w:rsidRPr="00EB68E3">
              <w:t>Foundation for European Progressive Studies</w:t>
            </w:r>
          </w:p>
        </w:tc>
        <w:tc>
          <w:tcPr>
            <w:tcW w:w="1253" w:type="dxa"/>
            <w:tcBorders>
              <w:top w:val="nil"/>
              <w:left w:val="nil"/>
              <w:bottom w:val="single" w:sz="4" w:space="0" w:color="auto"/>
              <w:right w:val="single" w:sz="4" w:space="0" w:color="auto"/>
            </w:tcBorders>
            <w:shd w:val="clear" w:color="auto" w:fill="FFFFFF"/>
            <w:hideMark/>
          </w:tcPr>
          <w:p w14:paraId="621D8A11" w14:textId="77777777" w:rsidR="00A4507B" w:rsidRPr="00EB68E3" w:rsidRDefault="00A4507B" w:rsidP="00EE1766">
            <w:r w:rsidRPr="00EB68E3">
              <w:t>FEPS</w:t>
            </w:r>
          </w:p>
        </w:tc>
        <w:tc>
          <w:tcPr>
            <w:tcW w:w="993" w:type="dxa"/>
            <w:tcBorders>
              <w:top w:val="nil"/>
              <w:left w:val="nil"/>
              <w:bottom w:val="single" w:sz="4" w:space="0" w:color="auto"/>
              <w:right w:val="single" w:sz="4" w:space="0" w:color="auto"/>
            </w:tcBorders>
            <w:shd w:val="clear" w:color="auto" w:fill="FFFFFF"/>
            <w:hideMark/>
          </w:tcPr>
          <w:p w14:paraId="2246AAEF" w14:textId="77777777" w:rsidR="00A4507B" w:rsidRPr="00EB68E3" w:rsidRDefault="00A4507B" w:rsidP="00EE1766">
            <w:r w:rsidRPr="00EB68E3">
              <w:t>PSE</w:t>
            </w:r>
          </w:p>
        </w:tc>
        <w:tc>
          <w:tcPr>
            <w:tcW w:w="1275" w:type="dxa"/>
            <w:tcBorders>
              <w:top w:val="nil"/>
              <w:left w:val="nil"/>
              <w:bottom w:val="single" w:sz="4" w:space="0" w:color="auto"/>
              <w:right w:val="single" w:sz="4" w:space="0" w:color="auto"/>
            </w:tcBorders>
            <w:shd w:val="clear" w:color="auto" w:fill="FFFFFF"/>
            <w:noWrap/>
            <w:hideMark/>
          </w:tcPr>
          <w:p w14:paraId="0C1856DD" w14:textId="280E0721" w:rsidR="00A4507B" w:rsidRPr="00EB68E3" w:rsidRDefault="00A4507B" w:rsidP="00EE1766">
            <w:r w:rsidRPr="00EB68E3">
              <w:t xml:space="preserve">915 754 </w:t>
            </w:r>
          </w:p>
        </w:tc>
        <w:tc>
          <w:tcPr>
            <w:tcW w:w="1418" w:type="dxa"/>
            <w:tcBorders>
              <w:top w:val="nil"/>
              <w:left w:val="nil"/>
              <w:bottom w:val="single" w:sz="4" w:space="0" w:color="auto"/>
              <w:right w:val="single" w:sz="4" w:space="0" w:color="auto"/>
            </w:tcBorders>
            <w:shd w:val="clear" w:color="auto" w:fill="FFFFFF"/>
            <w:noWrap/>
            <w:hideMark/>
          </w:tcPr>
          <w:p w14:paraId="1CC90D11" w14:textId="192DD4A2" w:rsidR="00A4507B" w:rsidRPr="00EB68E3" w:rsidRDefault="00A4507B" w:rsidP="00EE1766">
            <w:r w:rsidRPr="00EB68E3">
              <w:t xml:space="preserve">4 221 134 </w:t>
            </w:r>
          </w:p>
        </w:tc>
        <w:tc>
          <w:tcPr>
            <w:tcW w:w="1417" w:type="dxa"/>
            <w:tcBorders>
              <w:top w:val="nil"/>
              <w:left w:val="nil"/>
              <w:bottom w:val="single" w:sz="4" w:space="0" w:color="auto"/>
              <w:right w:val="single" w:sz="4" w:space="0" w:color="auto"/>
            </w:tcBorders>
            <w:shd w:val="clear" w:color="auto" w:fill="FFFFFF"/>
            <w:noWrap/>
            <w:hideMark/>
          </w:tcPr>
          <w:p w14:paraId="6807022A" w14:textId="3E232BA8" w:rsidR="00A4507B" w:rsidRPr="00EB68E3" w:rsidRDefault="00A4507B" w:rsidP="00EE1766">
            <w:r w:rsidRPr="00EB68E3">
              <w:t>5 136 888</w:t>
            </w:r>
          </w:p>
        </w:tc>
        <w:tc>
          <w:tcPr>
            <w:tcW w:w="1440" w:type="dxa"/>
            <w:tcBorders>
              <w:top w:val="nil"/>
              <w:left w:val="nil"/>
              <w:bottom w:val="single" w:sz="4" w:space="0" w:color="auto"/>
              <w:right w:val="single" w:sz="8" w:space="0" w:color="auto"/>
            </w:tcBorders>
            <w:shd w:val="clear" w:color="auto" w:fill="FFFFFF"/>
            <w:noWrap/>
            <w:hideMark/>
          </w:tcPr>
          <w:p w14:paraId="6FEAFFEA" w14:textId="64298160" w:rsidR="00A4507B" w:rsidRPr="00EB68E3" w:rsidRDefault="00A4507B" w:rsidP="00B03798">
            <w:r w:rsidRPr="00EB68E3">
              <w:t>85 %</w:t>
            </w:r>
          </w:p>
        </w:tc>
      </w:tr>
      <w:tr w:rsidR="00A4507B" w:rsidRPr="00EB68E3" w14:paraId="1C26F431"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3913589D" w14:textId="77777777" w:rsidR="00A4507B" w:rsidRPr="00EB68E3" w:rsidRDefault="00A4507B" w:rsidP="00EE1766">
            <w:r w:rsidRPr="00EB68E3">
              <w:t>European Liberal Forum</w:t>
            </w:r>
          </w:p>
        </w:tc>
        <w:tc>
          <w:tcPr>
            <w:tcW w:w="1253" w:type="dxa"/>
            <w:tcBorders>
              <w:top w:val="nil"/>
              <w:left w:val="nil"/>
              <w:bottom w:val="single" w:sz="4" w:space="0" w:color="auto"/>
              <w:right w:val="single" w:sz="4" w:space="0" w:color="auto"/>
            </w:tcBorders>
            <w:shd w:val="clear" w:color="auto" w:fill="FFFFFF"/>
            <w:hideMark/>
          </w:tcPr>
          <w:p w14:paraId="363B57E7" w14:textId="77777777" w:rsidR="00A4507B" w:rsidRPr="00EB68E3" w:rsidRDefault="00A4507B" w:rsidP="00EE1766">
            <w:r w:rsidRPr="00EB68E3">
              <w:t>ELF</w:t>
            </w:r>
          </w:p>
        </w:tc>
        <w:tc>
          <w:tcPr>
            <w:tcW w:w="993" w:type="dxa"/>
            <w:tcBorders>
              <w:top w:val="nil"/>
              <w:left w:val="nil"/>
              <w:bottom w:val="single" w:sz="4" w:space="0" w:color="auto"/>
              <w:right w:val="single" w:sz="4" w:space="0" w:color="auto"/>
            </w:tcBorders>
            <w:shd w:val="clear" w:color="auto" w:fill="FFFFFF"/>
            <w:hideMark/>
          </w:tcPr>
          <w:p w14:paraId="1DA7FCBB" w14:textId="77777777" w:rsidR="00A4507B" w:rsidRPr="00EB68E3" w:rsidRDefault="00A4507B" w:rsidP="00EE1766">
            <w:r w:rsidRPr="00EB68E3">
              <w:t>ALDE</w:t>
            </w:r>
          </w:p>
        </w:tc>
        <w:tc>
          <w:tcPr>
            <w:tcW w:w="1275" w:type="dxa"/>
            <w:tcBorders>
              <w:top w:val="nil"/>
              <w:left w:val="nil"/>
              <w:bottom w:val="single" w:sz="4" w:space="0" w:color="auto"/>
              <w:right w:val="single" w:sz="4" w:space="0" w:color="auto"/>
            </w:tcBorders>
            <w:shd w:val="clear" w:color="auto" w:fill="FFFFFF"/>
            <w:noWrap/>
            <w:hideMark/>
          </w:tcPr>
          <w:p w14:paraId="5097542B" w14:textId="664EB1A2" w:rsidR="00A4507B" w:rsidRPr="00EB68E3" w:rsidRDefault="00A4507B" w:rsidP="00EE1766">
            <w:r w:rsidRPr="00EB68E3">
              <w:t xml:space="preserve">254 994 </w:t>
            </w:r>
          </w:p>
        </w:tc>
        <w:tc>
          <w:tcPr>
            <w:tcW w:w="1418" w:type="dxa"/>
            <w:tcBorders>
              <w:top w:val="nil"/>
              <w:left w:val="nil"/>
              <w:bottom w:val="single" w:sz="4" w:space="0" w:color="auto"/>
              <w:right w:val="single" w:sz="4" w:space="0" w:color="auto"/>
            </w:tcBorders>
            <w:shd w:val="clear" w:color="auto" w:fill="FFFFFF"/>
            <w:noWrap/>
            <w:hideMark/>
          </w:tcPr>
          <w:p w14:paraId="5884E557" w14:textId="779A5CCB" w:rsidR="00A4507B" w:rsidRPr="00EB68E3" w:rsidRDefault="00A4507B" w:rsidP="00EE1766">
            <w:r w:rsidRPr="00EB68E3">
              <w:t xml:space="preserve">1 164 869 </w:t>
            </w:r>
          </w:p>
        </w:tc>
        <w:tc>
          <w:tcPr>
            <w:tcW w:w="1417" w:type="dxa"/>
            <w:tcBorders>
              <w:top w:val="nil"/>
              <w:left w:val="nil"/>
              <w:bottom w:val="single" w:sz="4" w:space="0" w:color="auto"/>
              <w:right w:val="single" w:sz="4" w:space="0" w:color="auto"/>
            </w:tcBorders>
            <w:shd w:val="clear" w:color="auto" w:fill="FFFFFF"/>
            <w:noWrap/>
            <w:hideMark/>
          </w:tcPr>
          <w:p w14:paraId="7D5F0DC6" w14:textId="6F504781" w:rsidR="00A4507B" w:rsidRPr="00EB68E3" w:rsidRDefault="00A4507B" w:rsidP="00EE1766">
            <w:r w:rsidRPr="00EB68E3">
              <w:t xml:space="preserve">1 419 863 </w:t>
            </w:r>
          </w:p>
        </w:tc>
        <w:tc>
          <w:tcPr>
            <w:tcW w:w="1440" w:type="dxa"/>
            <w:tcBorders>
              <w:top w:val="nil"/>
              <w:left w:val="nil"/>
              <w:bottom w:val="single" w:sz="4" w:space="0" w:color="auto"/>
              <w:right w:val="single" w:sz="8" w:space="0" w:color="auto"/>
            </w:tcBorders>
            <w:shd w:val="clear" w:color="auto" w:fill="FFFFFF"/>
            <w:noWrap/>
            <w:hideMark/>
          </w:tcPr>
          <w:p w14:paraId="42A05699" w14:textId="275519A4" w:rsidR="00A4507B" w:rsidRPr="00EB68E3" w:rsidRDefault="00A4507B" w:rsidP="00B03798">
            <w:r w:rsidRPr="00EB68E3">
              <w:t>85 %</w:t>
            </w:r>
          </w:p>
        </w:tc>
      </w:tr>
      <w:tr w:rsidR="00A4507B" w:rsidRPr="00EB68E3" w14:paraId="258A2820"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1D72AFA7" w14:textId="77777777" w:rsidR="00A4507B" w:rsidRPr="00EB68E3" w:rsidRDefault="00A4507B" w:rsidP="00EE1766">
            <w:r w:rsidRPr="00EB68E3">
              <w:t>Green European Foundation</w:t>
            </w:r>
          </w:p>
        </w:tc>
        <w:tc>
          <w:tcPr>
            <w:tcW w:w="1253" w:type="dxa"/>
            <w:tcBorders>
              <w:top w:val="nil"/>
              <w:left w:val="nil"/>
              <w:bottom w:val="single" w:sz="4" w:space="0" w:color="auto"/>
              <w:right w:val="single" w:sz="4" w:space="0" w:color="auto"/>
            </w:tcBorders>
            <w:shd w:val="clear" w:color="auto" w:fill="FFFFFF"/>
            <w:hideMark/>
          </w:tcPr>
          <w:p w14:paraId="53C967D1" w14:textId="77777777" w:rsidR="00A4507B" w:rsidRPr="00EB68E3" w:rsidRDefault="00A4507B" w:rsidP="00EE1766">
            <w:r w:rsidRPr="00EB68E3">
              <w:t>GEF</w:t>
            </w:r>
          </w:p>
        </w:tc>
        <w:tc>
          <w:tcPr>
            <w:tcW w:w="993" w:type="dxa"/>
            <w:tcBorders>
              <w:top w:val="nil"/>
              <w:left w:val="nil"/>
              <w:bottom w:val="single" w:sz="4" w:space="0" w:color="auto"/>
              <w:right w:val="single" w:sz="4" w:space="0" w:color="auto"/>
            </w:tcBorders>
            <w:shd w:val="clear" w:color="auto" w:fill="FFFFFF"/>
            <w:hideMark/>
          </w:tcPr>
          <w:p w14:paraId="70A0A812" w14:textId="77777777" w:rsidR="00A4507B" w:rsidRPr="00EB68E3" w:rsidRDefault="00A4507B" w:rsidP="00EE1766">
            <w:r w:rsidRPr="00EB68E3">
              <w:t>EGP</w:t>
            </w:r>
          </w:p>
        </w:tc>
        <w:tc>
          <w:tcPr>
            <w:tcW w:w="1275" w:type="dxa"/>
            <w:tcBorders>
              <w:top w:val="nil"/>
              <w:left w:val="nil"/>
              <w:bottom w:val="single" w:sz="4" w:space="0" w:color="auto"/>
              <w:right w:val="single" w:sz="4" w:space="0" w:color="auto"/>
            </w:tcBorders>
            <w:shd w:val="clear" w:color="auto" w:fill="FFFFFF"/>
            <w:noWrap/>
            <w:hideMark/>
          </w:tcPr>
          <w:p w14:paraId="5E5CB100" w14:textId="75D4047D" w:rsidR="00A4507B" w:rsidRPr="00EB68E3" w:rsidRDefault="00A4507B" w:rsidP="00EE1766">
            <w:r w:rsidRPr="00EB68E3">
              <w:t xml:space="preserve">201 899 </w:t>
            </w:r>
          </w:p>
        </w:tc>
        <w:tc>
          <w:tcPr>
            <w:tcW w:w="1418" w:type="dxa"/>
            <w:tcBorders>
              <w:top w:val="nil"/>
              <w:left w:val="nil"/>
              <w:bottom w:val="single" w:sz="4" w:space="0" w:color="auto"/>
              <w:right w:val="single" w:sz="4" w:space="0" w:color="auto"/>
            </w:tcBorders>
            <w:shd w:val="clear" w:color="auto" w:fill="FFFFFF"/>
            <w:noWrap/>
            <w:hideMark/>
          </w:tcPr>
          <w:p w14:paraId="24FF2D96" w14:textId="3187EF67" w:rsidR="00A4507B" w:rsidRPr="00EB68E3" w:rsidRDefault="00A4507B" w:rsidP="00EE1766">
            <w:r w:rsidRPr="00EB68E3">
              <w:t xml:space="preserve">1 090 052 </w:t>
            </w:r>
          </w:p>
        </w:tc>
        <w:tc>
          <w:tcPr>
            <w:tcW w:w="1417" w:type="dxa"/>
            <w:tcBorders>
              <w:top w:val="nil"/>
              <w:left w:val="nil"/>
              <w:bottom w:val="single" w:sz="4" w:space="0" w:color="auto"/>
              <w:right w:val="single" w:sz="4" w:space="0" w:color="auto"/>
            </w:tcBorders>
            <w:shd w:val="clear" w:color="auto" w:fill="FFFFFF"/>
            <w:noWrap/>
            <w:hideMark/>
          </w:tcPr>
          <w:p w14:paraId="6C848C23" w14:textId="386675E1" w:rsidR="00A4507B" w:rsidRPr="00EB68E3" w:rsidRDefault="00A4507B" w:rsidP="00EE1766">
            <w:r w:rsidRPr="00EB68E3">
              <w:t xml:space="preserve">1 291 951 </w:t>
            </w:r>
          </w:p>
        </w:tc>
        <w:tc>
          <w:tcPr>
            <w:tcW w:w="1440" w:type="dxa"/>
            <w:tcBorders>
              <w:top w:val="nil"/>
              <w:left w:val="nil"/>
              <w:bottom w:val="single" w:sz="4" w:space="0" w:color="auto"/>
              <w:right w:val="single" w:sz="8" w:space="0" w:color="auto"/>
            </w:tcBorders>
            <w:shd w:val="clear" w:color="auto" w:fill="FFFFFF"/>
            <w:noWrap/>
            <w:hideMark/>
          </w:tcPr>
          <w:p w14:paraId="340100D8" w14:textId="06C57349" w:rsidR="00A4507B" w:rsidRPr="00EB68E3" w:rsidRDefault="00A4507B" w:rsidP="00B03798">
            <w:r w:rsidRPr="00EB68E3">
              <w:t>85 %</w:t>
            </w:r>
          </w:p>
        </w:tc>
      </w:tr>
      <w:tr w:rsidR="00A4507B" w:rsidRPr="00EB68E3" w14:paraId="3F8FF1C7"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40321C4E" w14:textId="77777777" w:rsidR="00A4507B" w:rsidRPr="00EB68E3" w:rsidRDefault="00A4507B" w:rsidP="00EE1766">
            <w:r w:rsidRPr="00EB68E3">
              <w:t>Transform Europe</w:t>
            </w:r>
          </w:p>
        </w:tc>
        <w:tc>
          <w:tcPr>
            <w:tcW w:w="1253" w:type="dxa"/>
            <w:tcBorders>
              <w:top w:val="nil"/>
              <w:left w:val="nil"/>
              <w:bottom w:val="single" w:sz="4" w:space="0" w:color="auto"/>
              <w:right w:val="single" w:sz="4" w:space="0" w:color="auto"/>
            </w:tcBorders>
            <w:shd w:val="clear" w:color="auto" w:fill="FFFFFF"/>
            <w:hideMark/>
          </w:tcPr>
          <w:p w14:paraId="5D74BD84" w14:textId="77777777" w:rsidR="00A4507B" w:rsidRPr="00EB68E3" w:rsidRDefault="00A4507B" w:rsidP="00EE1766">
            <w:r w:rsidRPr="00EB68E3">
              <w:t>TE</w:t>
            </w:r>
          </w:p>
        </w:tc>
        <w:tc>
          <w:tcPr>
            <w:tcW w:w="993" w:type="dxa"/>
            <w:tcBorders>
              <w:top w:val="nil"/>
              <w:left w:val="nil"/>
              <w:bottom w:val="single" w:sz="4" w:space="0" w:color="auto"/>
              <w:right w:val="single" w:sz="4" w:space="0" w:color="auto"/>
            </w:tcBorders>
            <w:shd w:val="clear" w:color="auto" w:fill="FFFFFF"/>
            <w:hideMark/>
          </w:tcPr>
          <w:p w14:paraId="62976158" w14:textId="77777777" w:rsidR="00A4507B" w:rsidRPr="00EB68E3" w:rsidRDefault="00A4507B" w:rsidP="00EE1766">
            <w:r w:rsidRPr="00EB68E3">
              <w:t>EL</w:t>
            </w:r>
          </w:p>
        </w:tc>
        <w:tc>
          <w:tcPr>
            <w:tcW w:w="1275" w:type="dxa"/>
            <w:tcBorders>
              <w:top w:val="nil"/>
              <w:left w:val="nil"/>
              <w:bottom w:val="single" w:sz="4" w:space="0" w:color="auto"/>
              <w:right w:val="single" w:sz="4" w:space="0" w:color="auto"/>
            </w:tcBorders>
            <w:shd w:val="clear" w:color="auto" w:fill="FFFFFF"/>
            <w:noWrap/>
            <w:hideMark/>
          </w:tcPr>
          <w:p w14:paraId="647E587D" w14:textId="4DC51ABE" w:rsidR="00A4507B" w:rsidRPr="00EB68E3" w:rsidRDefault="00A4507B" w:rsidP="00EE1766">
            <w:r w:rsidRPr="00EB68E3">
              <w:t xml:space="preserve">229 957 </w:t>
            </w:r>
          </w:p>
        </w:tc>
        <w:tc>
          <w:tcPr>
            <w:tcW w:w="1418" w:type="dxa"/>
            <w:tcBorders>
              <w:top w:val="nil"/>
              <w:left w:val="nil"/>
              <w:bottom w:val="single" w:sz="4" w:space="0" w:color="auto"/>
              <w:right w:val="single" w:sz="4" w:space="0" w:color="auto"/>
            </w:tcBorders>
            <w:shd w:val="clear" w:color="auto" w:fill="FFFFFF"/>
            <w:noWrap/>
            <w:hideMark/>
          </w:tcPr>
          <w:p w14:paraId="5E15A659" w14:textId="1D9FDB58" w:rsidR="00A4507B" w:rsidRPr="00EB68E3" w:rsidRDefault="00A4507B" w:rsidP="00EE1766">
            <w:r w:rsidRPr="00EB68E3">
              <w:t>929 481</w:t>
            </w:r>
          </w:p>
        </w:tc>
        <w:tc>
          <w:tcPr>
            <w:tcW w:w="1417" w:type="dxa"/>
            <w:tcBorders>
              <w:top w:val="nil"/>
              <w:left w:val="nil"/>
              <w:bottom w:val="single" w:sz="4" w:space="0" w:color="auto"/>
              <w:right w:val="single" w:sz="4" w:space="0" w:color="auto"/>
            </w:tcBorders>
            <w:shd w:val="clear" w:color="auto" w:fill="FFFFFF"/>
            <w:noWrap/>
            <w:hideMark/>
          </w:tcPr>
          <w:p w14:paraId="7F9B9698" w14:textId="79045E97" w:rsidR="00A4507B" w:rsidRPr="00EB68E3" w:rsidRDefault="00A4507B" w:rsidP="00EE1766">
            <w:r w:rsidRPr="00EB68E3">
              <w:t xml:space="preserve">1 159 438 </w:t>
            </w:r>
          </w:p>
        </w:tc>
        <w:tc>
          <w:tcPr>
            <w:tcW w:w="1440" w:type="dxa"/>
            <w:tcBorders>
              <w:top w:val="nil"/>
              <w:left w:val="nil"/>
              <w:bottom w:val="single" w:sz="4" w:space="0" w:color="auto"/>
              <w:right w:val="single" w:sz="8" w:space="0" w:color="auto"/>
            </w:tcBorders>
            <w:shd w:val="clear" w:color="auto" w:fill="FFFFFF"/>
            <w:noWrap/>
            <w:hideMark/>
          </w:tcPr>
          <w:p w14:paraId="0EED4580" w14:textId="5FE46EAA" w:rsidR="00A4507B" w:rsidRPr="00EB68E3" w:rsidRDefault="00A4507B" w:rsidP="00B03798">
            <w:r w:rsidRPr="00EB68E3">
              <w:t>85 %</w:t>
            </w:r>
          </w:p>
        </w:tc>
      </w:tr>
      <w:tr w:rsidR="00A4507B" w:rsidRPr="00EB68E3" w14:paraId="15B126E3"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103B3491" w14:textId="77777777" w:rsidR="00A4507B" w:rsidRPr="00EB68E3" w:rsidRDefault="00A4507B" w:rsidP="00EE1766">
            <w:r w:rsidRPr="00EB68E3">
              <w:t>Institute of European Democrats</w:t>
            </w:r>
          </w:p>
        </w:tc>
        <w:tc>
          <w:tcPr>
            <w:tcW w:w="1253" w:type="dxa"/>
            <w:tcBorders>
              <w:top w:val="nil"/>
              <w:left w:val="nil"/>
              <w:bottom w:val="single" w:sz="4" w:space="0" w:color="auto"/>
              <w:right w:val="single" w:sz="4" w:space="0" w:color="auto"/>
            </w:tcBorders>
            <w:shd w:val="clear" w:color="auto" w:fill="FFFFFF"/>
            <w:hideMark/>
          </w:tcPr>
          <w:p w14:paraId="4A5C46E9" w14:textId="77777777" w:rsidR="00A4507B" w:rsidRPr="00EB68E3" w:rsidRDefault="00A4507B" w:rsidP="00EE1766">
            <w:r w:rsidRPr="00EB68E3">
              <w:t>IED</w:t>
            </w:r>
          </w:p>
        </w:tc>
        <w:tc>
          <w:tcPr>
            <w:tcW w:w="993" w:type="dxa"/>
            <w:tcBorders>
              <w:top w:val="nil"/>
              <w:left w:val="nil"/>
              <w:bottom w:val="single" w:sz="4" w:space="0" w:color="auto"/>
              <w:right w:val="single" w:sz="4" w:space="0" w:color="auto"/>
            </w:tcBorders>
            <w:shd w:val="clear" w:color="auto" w:fill="FFFFFF"/>
            <w:hideMark/>
          </w:tcPr>
          <w:p w14:paraId="5119473D" w14:textId="77777777" w:rsidR="00A4507B" w:rsidRPr="00EB68E3" w:rsidRDefault="00A4507B" w:rsidP="00EE1766">
            <w:r w:rsidRPr="00EB68E3">
              <w:t>PDE</w:t>
            </w:r>
          </w:p>
        </w:tc>
        <w:tc>
          <w:tcPr>
            <w:tcW w:w="1275" w:type="dxa"/>
            <w:tcBorders>
              <w:top w:val="nil"/>
              <w:left w:val="nil"/>
              <w:bottom w:val="single" w:sz="4" w:space="0" w:color="auto"/>
              <w:right w:val="single" w:sz="4" w:space="0" w:color="auto"/>
            </w:tcBorders>
            <w:shd w:val="clear" w:color="auto" w:fill="FFFFFF"/>
            <w:noWrap/>
            <w:hideMark/>
          </w:tcPr>
          <w:p w14:paraId="51CECCE5" w14:textId="37ADB8BF" w:rsidR="00A4507B" w:rsidRPr="00EB68E3" w:rsidRDefault="00A4507B" w:rsidP="00EE1766">
            <w:r w:rsidRPr="00EB68E3">
              <w:t>50 768</w:t>
            </w:r>
          </w:p>
        </w:tc>
        <w:tc>
          <w:tcPr>
            <w:tcW w:w="1418" w:type="dxa"/>
            <w:tcBorders>
              <w:top w:val="nil"/>
              <w:left w:val="nil"/>
              <w:bottom w:val="single" w:sz="4" w:space="0" w:color="auto"/>
              <w:right w:val="single" w:sz="4" w:space="0" w:color="auto"/>
            </w:tcBorders>
            <w:shd w:val="clear" w:color="auto" w:fill="FFFFFF"/>
            <w:noWrap/>
            <w:hideMark/>
          </w:tcPr>
          <w:p w14:paraId="05974FF3" w14:textId="1E9554D3" w:rsidR="00A4507B" w:rsidRPr="00EB68E3" w:rsidRDefault="00A4507B" w:rsidP="00EE1766">
            <w:r w:rsidRPr="00EB68E3">
              <w:t xml:space="preserve">264 390 </w:t>
            </w:r>
          </w:p>
        </w:tc>
        <w:tc>
          <w:tcPr>
            <w:tcW w:w="1417" w:type="dxa"/>
            <w:tcBorders>
              <w:top w:val="nil"/>
              <w:left w:val="nil"/>
              <w:bottom w:val="single" w:sz="4" w:space="0" w:color="auto"/>
              <w:right w:val="single" w:sz="4" w:space="0" w:color="auto"/>
            </w:tcBorders>
            <w:shd w:val="clear" w:color="auto" w:fill="FFFFFF"/>
            <w:noWrap/>
            <w:hideMark/>
          </w:tcPr>
          <w:p w14:paraId="18E2E031" w14:textId="61E3E988" w:rsidR="00A4507B" w:rsidRPr="00EB68E3" w:rsidRDefault="00A4507B" w:rsidP="00EE1766">
            <w:r w:rsidRPr="00EB68E3">
              <w:t xml:space="preserve">315 158 </w:t>
            </w:r>
          </w:p>
        </w:tc>
        <w:tc>
          <w:tcPr>
            <w:tcW w:w="1440" w:type="dxa"/>
            <w:tcBorders>
              <w:top w:val="nil"/>
              <w:left w:val="nil"/>
              <w:bottom w:val="single" w:sz="4" w:space="0" w:color="auto"/>
              <w:right w:val="single" w:sz="8" w:space="0" w:color="auto"/>
            </w:tcBorders>
            <w:shd w:val="clear" w:color="auto" w:fill="FFFFFF"/>
            <w:noWrap/>
            <w:hideMark/>
          </w:tcPr>
          <w:p w14:paraId="52BF7325" w14:textId="597663F8" w:rsidR="00A4507B" w:rsidRPr="00EB68E3" w:rsidRDefault="00A4507B" w:rsidP="00B03798">
            <w:r w:rsidRPr="00EB68E3">
              <w:t>85 %</w:t>
            </w:r>
          </w:p>
        </w:tc>
      </w:tr>
      <w:tr w:rsidR="00A4507B" w:rsidRPr="00EB68E3" w14:paraId="52BBBC43"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482DA124" w14:textId="77777777" w:rsidR="00A4507B" w:rsidRPr="00EB68E3" w:rsidRDefault="00A4507B" w:rsidP="00EE1766">
            <w:r w:rsidRPr="00EB68E3">
              <w:t>Centre Maurits Coppieters</w:t>
            </w:r>
          </w:p>
        </w:tc>
        <w:tc>
          <w:tcPr>
            <w:tcW w:w="1253" w:type="dxa"/>
            <w:tcBorders>
              <w:top w:val="nil"/>
              <w:left w:val="nil"/>
              <w:bottom w:val="single" w:sz="4" w:space="0" w:color="auto"/>
              <w:right w:val="single" w:sz="4" w:space="0" w:color="auto"/>
            </w:tcBorders>
            <w:shd w:val="clear" w:color="auto" w:fill="FFFFFF"/>
            <w:hideMark/>
          </w:tcPr>
          <w:p w14:paraId="198BB148" w14:textId="77777777" w:rsidR="00A4507B" w:rsidRPr="00EB68E3" w:rsidRDefault="00A4507B" w:rsidP="00EE1766">
            <w:r w:rsidRPr="00EB68E3">
              <w:t>CMC</w:t>
            </w:r>
          </w:p>
        </w:tc>
        <w:tc>
          <w:tcPr>
            <w:tcW w:w="993" w:type="dxa"/>
            <w:tcBorders>
              <w:top w:val="nil"/>
              <w:left w:val="nil"/>
              <w:bottom w:val="single" w:sz="4" w:space="0" w:color="auto"/>
              <w:right w:val="single" w:sz="4" w:space="0" w:color="auto"/>
            </w:tcBorders>
            <w:shd w:val="clear" w:color="auto" w:fill="FFFFFF"/>
            <w:hideMark/>
          </w:tcPr>
          <w:p w14:paraId="1F1CCA69" w14:textId="77777777" w:rsidR="00A4507B" w:rsidRPr="00EB68E3" w:rsidRDefault="00A4507B" w:rsidP="00EE1766">
            <w:r w:rsidRPr="00EB68E3">
              <w:t>EFA</w:t>
            </w:r>
          </w:p>
        </w:tc>
        <w:tc>
          <w:tcPr>
            <w:tcW w:w="1275" w:type="dxa"/>
            <w:tcBorders>
              <w:top w:val="nil"/>
              <w:left w:val="nil"/>
              <w:bottom w:val="single" w:sz="4" w:space="0" w:color="auto"/>
              <w:right w:val="single" w:sz="4" w:space="0" w:color="auto"/>
            </w:tcBorders>
            <w:shd w:val="clear" w:color="auto" w:fill="FFFFFF"/>
            <w:noWrap/>
            <w:hideMark/>
          </w:tcPr>
          <w:p w14:paraId="2E8DDAEA" w14:textId="7F830029" w:rsidR="00A4507B" w:rsidRPr="00EB68E3" w:rsidRDefault="00A4507B" w:rsidP="00EE1766">
            <w:r w:rsidRPr="00EB68E3">
              <w:t xml:space="preserve">90 867 </w:t>
            </w:r>
          </w:p>
        </w:tc>
        <w:tc>
          <w:tcPr>
            <w:tcW w:w="1418" w:type="dxa"/>
            <w:tcBorders>
              <w:top w:val="nil"/>
              <w:left w:val="nil"/>
              <w:bottom w:val="single" w:sz="4" w:space="0" w:color="auto"/>
              <w:right w:val="single" w:sz="4" w:space="0" w:color="auto"/>
            </w:tcBorders>
            <w:shd w:val="clear" w:color="auto" w:fill="FFFFFF"/>
            <w:noWrap/>
            <w:hideMark/>
          </w:tcPr>
          <w:p w14:paraId="13140266" w14:textId="5FAA2B77" w:rsidR="00A4507B" w:rsidRPr="00EB68E3" w:rsidRDefault="00A4507B" w:rsidP="00EE1766">
            <w:r w:rsidRPr="00EB68E3">
              <w:t xml:space="preserve">365 038 </w:t>
            </w:r>
          </w:p>
        </w:tc>
        <w:tc>
          <w:tcPr>
            <w:tcW w:w="1417" w:type="dxa"/>
            <w:tcBorders>
              <w:top w:val="nil"/>
              <w:left w:val="nil"/>
              <w:bottom w:val="single" w:sz="4" w:space="0" w:color="auto"/>
              <w:right w:val="single" w:sz="4" w:space="0" w:color="auto"/>
            </w:tcBorders>
            <w:shd w:val="clear" w:color="auto" w:fill="FFFFFF"/>
            <w:noWrap/>
            <w:hideMark/>
          </w:tcPr>
          <w:p w14:paraId="01ACD029" w14:textId="1E5256C3" w:rsidR="00A4507B" w:rsidRPr="00EB68E3" w:rsidRDefault="00A4507B" w:rsidP="00EE1766">
            <w:r w:rsidRPr="00EB68E3">
              <w:t xml:space="preserve">455 905 </w:t>
            </w:r>
          </w:p>
        </w:tc>
        <w:tc>
          <w:tcPr>
            <w:tcW w:w="1440" w:type="dxa"/>
            <w:tcBorders>
              <w:top w:val="nil"/>
              <w:left w:val="nil"/>
              <w:bottom w:val="single" w:sz="4" w:space="0" w:color="auto"/>
              <w:right w:val="single" w:sz="8" w:space="0" w:color="auto"/>
            </w:tcBorders>
            <w:shd w:val="clear" w:color="auto" w:fill="FFFFFF"/>
            <w:noWrap/>
            <w:hideMark/>
          </w:tcPr>
          <w:p w14:paraId="5DBA64D9" w14:textId="2DE616BC" w:rsidR="00A4507B" w:rsidRPr="00EB68E3" w:rsidRDefault="00A4507B" w:rsidP="00B03798">
            <w:r w:rsidRPr="00EB68E3">
              <w:t>85 %</w:t>
            </w:r>
          </w:p>
        </w:tc>
      </w:tr>
      <w:tr w:rsidR="00A4507B" w:rsidRPr="00EB68E3" w14:paraId="78E2881C" w14:textId="77777777" w:rsidTr="00A4507B">
        <w:trPr>
          <w:trHeight w:val="827"/>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0732489C" w14:textId="77777777" w:rsidR="00A4507B" w:rsidRPr="00EB68E3" w:rsidRDefault="00A4507B" w:rsidP="00EE1766">
            <w:r w:rsidRPr="00EB68E3">
              <w:t>New Direction - Foundation for European Reform</w:t>
            </w:r>
          </w:p>
        </w:tc>
        <w:tc>
          <w:tcPr>
            <w:tcW w:w="1253" w:type="dxa"/>
            <w:tcBorders>
              <w:top w:val="single" w:sz="4" w:space="0" w:color="auto"/>
              <w:left w:val="nil"/>
              <w:bottom w:val="single" w:sz="4" w:space="0" w:color="auto"/>
              <w:right w:val="single" w:sz="4" w:space="0" w:color="auto"/>
            </w:tcBorders>
            <w:shd w:val="clear" w:color="auto" w:fill="FFFFFF"/>
            <w:hideMark/>
          </w:tcPr>
          <w:p w14:paraId="2F183C39" w14:textId="77777777" w:rsidR="00A4507B" w:rsidRPr="00EB68E3" w:rsidRDefault="00A4507B" w:rsidP="00EE1766">
            <w:r w:rsidRPr="00EB68E3">
              <w:t>ND</w:t>
            </w:r>
          </w:p>
        </w:tc>
        <w:tc>
          <w:tcPr>
            <w:tcW w:w="993" w:type="dxa"/>
            <w:tcBorders>
              <w:top w:val="single" w:sz="4" w:space="0" w:color="auto"/>
              <w:left w:val="nil"/>
              <w:bottom w:val="single" w:sz="4" w:space="0" w:color="auto"/>
              <w:right w:val="single" w:sz="4" w:space="0" w:color="auto"/>
            </w:tcBorders>
            <w:shd w:val="clear" w:color="auto" w:fill="FFFFFF"/>
            <w:hideMark/>
          </w:tcPr>
          <w:p w14:paraId="4FCB2F59" w14:textId="77777777" w:rsidR="00A4507B" w:rsidRPr="00EB68E3" w:rsidRDefault="00A4507B" w:rsidP="00EE1766">
            <w:r w:rsidRPr="00EB68E3">
              <w:t>AECR</w:t>
            </w:r>
          </w:p>
        </w:tc>
        <w:tc>
          <w:tcPr>
            <w:tcW w:w="1275" w:type="dxa"/>
            <w:tcBorders>
              <w:top w:val="single" w:sz="4" w:space="0" w:color="auto"/>
              <w:left w:val="nil"/>
              <w:bottom w:val="single" w:sz="4" w:space="0" w:color="auto"/>
              <w:right w:val="single" w:sz="4" w:space="0" w:color="auto"/>
            </w:tcBorders>
            <w:shd w:val="clear" w:color="auto" w:fill="FFFFFF"/>
            <w:noWrap/>
            <w:hideMark/>
          </w:tcPr>
          <w:p w14:paraId="40E43E9A" w14:textId="57D74B35" w:rsidR="00A4507B" w:rsidRPr="00EB68E3" w:rsidRDefault="00A4507B" w:rsidP="00EE1766">
            <w:r w:rsidRPr="00EB68E3">
              <w:t xml:space="preserve">278 837 </w:t>
            </w:r>
          </w:p>
        </w:tc>
        <w:tc>
          <w:tcPr>
            <w:tcW w:w="1418" w:type="dxa"/>
            <w:tcBorders>
              <w:top w:val="single" w:sz="4" w:space="0" w:color="auto"/>
              <w:left w:val="nil"/>
              <w:bottom w:val="single" w:sz="4" w:space="0" w:color="auto"/>
              <w:right w:val="single" w:sz="4" w:space="0" w:color="auto"/>
            </w:tcBorders>
            <w:shd w:val="clear" w:color="auto" w:fill="FFFFFF"/>
            <w:noWrap/>
            <w:hideMark/>
          </w:tcPr>
          <w:p w14:paraId="0F42688C" w14:textId="6A312978" w:rsidR="00A4507B" w:rsidRPr="00EB68E3" w:rsidRDefault="00A4507B" w:rsidP="00EE1766">
            <w:r w:rsidRPr="00EB68E3">
              <w:t xml:space="preserve">1 412 218 </w:t>
            </w:r>
          </w:p>
        </w:tc>
        <w:tc>
          <w:tcPr>
            <w:tcW w:w="1417" w:type="dxa"/>
            <w:tcBorders>
              <w:top w:val="single" w:sz="4" w:space="0" w:color="auto"/>
              <w:left w:val="nil"/>
              <w:bottom w:val="single" w:sz="4" w:space="0" w:color="auto"/>
              <w:right w:val="single" w:sz="4" w:space="0" w:color="auto"/>
            </w:tcBorders>
            <w:shd w:val="clear" w:color="auto" w:fill="FFFFFF"/>
            <w:noWrap/>
            <w:hideMark/>
          </w:tcPr>
          <w:p w14:paraId="01B18B18" w14:textId="5175C4D1" w:rsidR="00A4507B" w:rsidRPr="00EB68E3" w:rsidRDefault="00A4507B" w:rsidP="00EE1766">
            <w:r w:rsidRPr="00EB68E3">
              <w:t xml:space="preserve">1 691 055 </w:t>
            </w:r>
          </w:p>
        </w:tc>
        <w:tc>
          <w:tcPr>
            <w:tcW w:w="1440" w:type="dxa"/>
            <w:tcBorders>
              <w:top w:val="single" w:sz="4" w:space="0" w:color="auto"/>
              <w:left w:val="nil"/>
              <w:bottom w:val="single" w:sz="4" w:space="0" w:color="auto"/>
              <w:right w:val="single" w:sz="8" w:space="0" w:color="auto"/>
            </w:tcBorders>
            <w:shd w:val="clear" w:color="auto" w:fill="FFFFFF"/>
            <w:noWrap/>
            <w:hideMark/>
          </w:tcPr>
          <w:p w14:paraId="1331CF18" w14:textId="6F02E483" w:rsidR="00A4507B" w:rsidRPr="00EB68E3" w:rsidRDefault="00A4507B" w:rsidP="00B03798">
            <w:r w:rsidRPr="00EB68E3">
              <w:t>85 %</w:t>
            </w:r>
          </w:p>
        </w:tc>
      </w:tr>
      <w:tr w:rsidR="00A4507B" w:rsidRPr="00EB68E3" w14:paraId="2D2C245B" w14:textId="77777777" w:rsidTr="00A4507B">
        <w:trPr>
          <w:trHeight w:val="510"/>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258C9A73" w14:textId="77777777" w:rsidR="00A4507B" w:rsidRPr="00EB68E3" w:rsidRDefault="00A4507B" w:rsidP="00EE1766">
            <w:r w:rsidRPr="00EB68E3">
              <w:t>European Foundation for Freedom</w:t>
            </w:r>
          </w:p>
        </w:tc>
        <w:tc>
          <w:tcPr>
            <w:tcW w:w="1253" w:type="dxa"/>
            <w:tcBorders>
              <w:top w:val="single" w:sz="4" w:space="0" w:color="auto"/>
              <w:left w:val="nil"/>
              <w:bottom w:val="single" w:sz="4" w:space="0" w:color="auto"/>
              <w:right w:val="single" w:sz="4" w:space="0" w:color="auto"/>
            </w:tcBorders>
            <w:shd w:val="clear" w:color="auto" w:fill="FFFFFF"/>
            <w:hideMark/>
          </w:tcPr>
          <w:p w14:paraId="1E0E066B" w14:textId="77777777" w:rsidR="00A4507B" w:rsidRPr="00EB68E3" w:rsidRDefault="00A4507B" w:rsidP="00EE1766">
            <w:r w:rsidRPr="00EB68E3">
              <w:t>EFF</w:t>
            </w:r>
          </w:p>
        </w:tc>
        <w:tc>
          <w:tcPr>
            <w:tcW w:w="993" w:type="dxa"/>
            <w:tcBorders>
              <w:top w:val="single" w:sz="4" w:space="0" w:color="auto"/>
              <w:left w:val="nil"/>
              <w:bottom w:val="single" w:sz="4" w:space="0" w:color="auto"/>
              <w:right w:val="single" w:sz="4" w:space="0" w:color="auto"/>
            </w:tcBorders>
            <w:shd w:val="clear" w:color="auto" w:fill="FFFFFF"/>
            <w:hideMark/>
          </w:tcPr>
          <w:p w14:paraId="1B190C24" w14:textId="77777777" w:rsidR="00A4507B" w:rsidRPr="00EB68E3" w:rsidRDefault="00A4507B" w:rsidP="00EE1766">
            <w:r w:rsidRPr="00EB68E3">
              <w:t>EAF</w:t>
            </w:r>
          </w:p>
        </w:tc>
        <w:tc>
          <w:tcPr>
            <w:tcW w:w="1275" w:type="dxa"/>
            <w:tcBorders>
              <w:top w:val="single" w:sz="4" w:space="0" w:color="auto"/>
              <w:left w:val="nil"/>
              <w:bottom w:val="single" w:sz="4" w:space="0" w:color="auto"/>
              <w:right w:val="single" w:sz="4" w:space="0" w:color="auto"/>
            </w:tcBorders>
            <w:shd w:val="clear" w:color="auto" w:fill="FFFFFF"/>
            <w:noWrap/>
            <w:hideMark/>
          </w:tcPr>
          <w:p w14:paraId="2AF38FAE" w14:textId="77777777" w:rsidR="00A4507B" w:rsidRPr="00EB68E3" w:rsidRDefault="00A4507B" w:rsidP="00EE1766">
            <w:r w:rsidRPr="00EB68E3">
              <w:t xml:space="preserve">– </w:t>
            </w:r>
          </w:p>
        </w:tc>
        <w:tc>
          <w:tcPr>
            <w:tcW w:w="1418" w:type="dxa"/>
            <w:tcBorders>
              <w:top w:val="single" w:sz="4" w:space="0" w:color="auto"/>
              <w:left w:val="nil"/>
              <w:bottom w:val="single" w:sz="4" w:space="0" w:color="auto"/>
              <w:right w:val="single" w:sz="4" w:space="0" w:color="auto"/>
            </w:tcBorders>
            <w:shd w:val="clear" w:color="auto" w:fill="FFFFFF"/>
            <w:noWrap/>
            <w:hideMark/>
          </w:tcPr>
          <w:p w14:paraId="5CDBCE71" w14:textId="77777777" w:rsidR="00A4507B" w:rsidRPr="00EB68E3" w:rsidRDefault="00A4507B" w:rsidP="00EE1766">
            <w:r w:rsidRPr="00EB68E3">
              <w:t xml:space="preserve">– </w:t>
            </w:r>
          </w:p>
        </w:tc>
        <w:tc>
          <w:tcPr>
            <w:tcW w:w="1417" w:type="dxa"/>
            <w:tcBorders>
              <w:top w:val="single" w:sz="4" w:space="0" w:color="auto"/>
              <w:left w:val="nil"/>
              <w:bottom w:val="single" w:sz="4" w:space="0" w:color="auto"/>
              <w:right w:val="single" w:sz="4" w:space="0" w:color="auto"/>
            </w:tcBorders>
            <w:shd w:val="clear" w:color="auto" w:fill="FFFFFF"/>
            <w:noWrap/>
            <w:hideMark/>
          </w:tcPr>
          <w:p w14:paraId="778BA2C8" w14:textId="77777777" w:rsidR="00A4507B" w:rsidRPr="00EB68E3" w:rsidRDefault="00A4507B" w:rsidP="00EE1766">
            <w:r w:rsidRPr="00EB68E3">
              <w:t xml:space="preserve">– </w:t>
            </w:r>
          </w:p>
        </w:tc>
        <w:tc>
          <w:tcPr>
            <w:tcW w:w="1440" w:type="dxa"/>
            <w:tcBorders>
              <w:top w:val="single" w:sz="4" w:space="0" w:color="auto"/>
              <w:left w:val="nil"/>
              <w:bottom w:val="single" w:sz="4" w:space="0" w:color="auto"/>
              <w:right w:val="single" w:sz="8" w:space="0" w:color="auto"/>
            </w:tcBorders>
            <w:shd w:val="clear" w:color="auto" w:fill="FFFFFF"/>
            <w:noWrap/>
            <w:hideMark/>
          </w:tcPr>
          <w:p w14:paraId="42F0DBC6" w14:textId="77777777" w:rsidR="00A4507B" w:rsidRPr="00EB68E3" w:rsidRDefault="00A4507B" w:rsidP="00EE1766">
            <w:r w:rsidRPr="00EB68E3">
              <w:t>–</w:t>
            </w:r>
          </w:p>
        </w:tc>
      </w:tr>
      <w:tr w:rsidR="00A4507B" w:rsidRPr="00EB68E3" w14:paraId="6741C244" w14:textId="77777777" w:rsidTr="00A4507B">
        <w:trPr>
          <w:trHeight w:val="510"/>
        </w:trPr>
        <w:tc>
          <w:tcPr>
            <w:tcW w:w="2164" w:type="dxa"/>
            <w:tcBorders>
              <w:top w:val="nil"/>
              <w:left w:val="single" w:sz="8" w:space="0" w:color="auto"/>
              <w:bottom w:val="single" w:sz="4" w:space="0" w:color="auto"/>
              <w:right w:val="single" w:sz="4" w:space="0" w:color="auto"/>
            </w:tcBorders>
            <w:shd w:val="clear" w:color="auto" w:fill="FFFFFF"/>
            <w:hideMark/>
          </w:tcPr>
          <w:p w14:paraId="117B8057" w14:textId="77777777" w:rsidR="00A4507B" w:rsidRPr="00EB68E3" w:rsidRDefault="00A4507B" w:rsidP="00EE1766">
            <w:r w:rsidRPr="00EB68E3">
              <w:t>Christian Political Foundation for Europe</w:t>
            </w:r>
          </w:p>
        </w:tc>
        <w:tc>
          <w:tcPr>
            <w:tcW w:w="1253" w:type="dxa"/>
            <w:tcBorders>
              <w:top w:val="nil"/>
              <w:left w:val="nil"/>
              <w:bottom w:val="single" w:sz="4" w:space="0" w:color="auto"/>
              <w:right w:val="single" w:sz="4" w:space="0" w:color="auto"/>
            </w:tcBorders>
            <w:shd w:val="clear" w:color="auto" w:fill="FFFFFF"/>
            <w:hideMark/>
          </w:tcPr>
          <w:p w14:paraId="49F755CF" w14:textId="77777777" w:rsidR="00A4507B" w:rsidRPr="00EB68E3" w:rsidRDefault="00A4507B" w:rsidP="00EE1766">
            <w:r w:rsidRPr="00EB68E3">
              <w:t>SALLUX</w:t>
            </w:r>
          </w:p>
        </w:tc>
        <w:tc>
          <w:tcPr>
            <w:tcW w:w="993" w:type="dxa"/>
            <w:tcBorders>
              <w:top w:val="nil"/>
              <w:left w:val="nil"/>
              <w:bottom w:val="single" w:sz="4" w:space="0" w:color="auto"/>
              <w:right w:val="single" w:sz="4" w:space="0" w:color="auto"/>
            </w:tcBorders>
            <w:shd w:val="clear" w:color="auto" w:fill="FFFFFF"/>
            <w:hideMark/>
          </w:tcPr>
          <w:p w14:paraId="30A3B5A0" w14:textId="77777777" w:rsidR="00A4507B" w:rsidRPr="00EB68E3" w:rsidRDefault="00A4507B" w:rsidP="00EE1766">
            <w:r w:rsidRPr="00EB68E3">
              <w:t>ECPM</w:t>
            </w:r>
          </w:p>
        </w:tc>
        <w:tc>
          <w:tcPr>
            <w:tcW w:w="1275" w:type="dxa"/>
            <w:tcBorders>
              <w:top w:val="nil"/>
              <w:left w:val="nil"/>
              <w:bottom w:val="single" w:sz="4" w:space="0" w:color="auto"/>
              <w:right w:val="single" w:sz="4" w:space="0" w:color="auto"/>
            </w:tcBorders>
            <w:shd w:val="clear" w:color="auto" w:fill="FFFFFF"/>
            <w:noWrap/>
            <w:hideMark/>
          </w:tcPr>
          <w:p w14:paraId="137B8349" w14:textId="2E0C5A12" w:rsidR="00A4507B" w:rsidRPr="00EB68E3" w:rsidRDefault="00A4507B" w:rsidP="00EE1766">
            <w:r w:rsidRPr="00EB68E3">
              <w:t xml:space="preserve">69 056 </w:t>
            </w:r>
          </w:p>
        </w:tc>
        <w:tc>
          <w:tcPr>
            <w:tcW w:w="1418" w:type="dxa"/>
            <w:tcBorders>
              <w:top w:val="nil"/>
              <w:left w:val="nil"/>
              <w:bottom w:val="single" w:sz="4" w:space="0" w:color="auto"/>
              <w:right w:val="single" w:sz="4" w:space="0" w:color="auto"/>
            </w:tcBorders>
            <w:shd w:val="clear" w:color="auto" w:fill="FFFFFF"/>
            <w:noWrap/>
            <w:hideMark/>
          </w:tcPr>
          <w:p w14:paraId="046837ED" w14:textId="2AE83DB5" w:rsidR="00A4507B" w:rsidRPr="00EB68E3" w:rsidRDefault="00A4507B" w:rsidP="00EE1766">
            <w:r w:rsidRPr="00EB68E3">
              <w:t>310 164</w:t>
            </w:r>
          </w:p>
        </w:tc>
        <w:tc>
          <w:tcPr>
            <w:tcW w:w="1417" w:type="dxa"/>
            <w:tcBorders>
              <w:top w:val="nil"/>
              <w:left w:val="nil"/>
              <w:bottom w:val="single" w:sz="4" w:space="0" w:color="auto"/>
              <w:right w:val="single" w:sz="4" w:space="0" w:color="auto"/>
            </w:tcBorders>
            <w:shd w:val="clear" w:color="auto" w:fill="FFFFFF"/>
            <w:noWrap/>
            <w:hideMark/>
          </w:tcPr>
          <w:p w14:paraId="2D363F9D" w14:textId="2A940213" w:rsidR="00A4507B" w:rsidRPr="00EB68E3" w:rsidRDefault="00A4507B" w:rsidP="00EE1766">
            <w:r w:rsidRPr="00EB68E3">
              <w:t xml:space="preserve">379 220 </w:t>
            </w:r>
          </w:p>
        </w:tc>
        <w:tc>
          <w:tcPr>
            <w:tcW w:w="1440" w:type="dxa"/>
            <w:tcBorders>
              <w:top w:val="nil"/>
              <w:left w:val="nil"/>
              <w:bottom w:val="single" w:sz="4" w:space="0" w:color="auto"/>
              <w:right w:val="single" w:sz="8" w:space="0" w:color="auto"/>
            </w:tcBorders>
            <w:shd w:val="clear" w:color="auto" w:fill="FFFFFF"/>
            <w:noWrap/>
            <w:hideMark/>
          </w:tcPr>
          <w:p w14:paraId="15332C93" w14:textId="5D057AF6" w:rsidR="00A4507B" w:rsidRPr="00EB68E3" w:rsidRDefault="00A4507B" w:rsidP="00B03798">
            <w:r w:rsidRPr="00EB68E3">
              <w:t>83 %</w:t>
            </w:r>
          </w:p>
        </w:tc>
      </w:tr>
      <w:tr w:rsidR="00A4507B" w:rsidRPr="00EB68E3" w14:paraId="1E5A6167" w14:textId="77777777" w:rsidTr="00A4507B">
        <w:trPr>
          <w:trHeight w:val="510"/>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60C693C0" w14:textId="77777777" w:rsidR="00A4507B" w:rsidRPr="00EB68E3" w:rsidRDefault="00A4507B" w:rsidP="00EE1766">
            <w:r w:rsidRPr="00EB68E3">
              <w:t>Identités &amp; Traditions européennes</w:t>
            </w:r>
          </w:p>
        </w:tc>
        <w:tc>
          <w:tcPr>
            <w:tcW w:w="1253" w:type="dxa"/>
            <w:tcBorders>
              <w:top w:val="single" w:sz="4" w:space="0" w:color="auto"/>
              <w:left w:val="nil"/>
              <w:bottom w:val="single" w:sz="4" w:space="0" w:color="auto"/>
              <w:right w:val="single" w:sz="4" w:space="0" w:color="auto"/>
            </w:tcBorders>
            <w:shd w:val="clear" w:color="auto" w:fill="FFFFFF"/>
            <w:hideMark/>
          </w:tcPr>
          <w:p w14:paraId="3D1F1FEA" w14:textId="77777777" w:rsidR="00A4507B" w:rsidRPr="00EB68E3" w:rsidRDefault="00A4507B" w:rsidP="00EE1766">
            <w:r w:rsidRPr="00EB68E3">
              <w:t>ITE</w:t>
            </w:r>
          </w:p>
        </w:tc>
        <w:tc>
          <w:tcPr>
            <w:tcW w:w="993" w:type="dxa"/>
            <w:tcBorders>
              <w:top w:val="single" w:sz="4" w:space="0" w:color="auto"/>
              <w:left w:val="nil"/>
              <w:bottom w:val="single" w:sz="4" w:space="0" w:color="auto"/>
              <w:right w:val="single" w:sz="4" w:space="0" w:color="auto"/>
            </w:tcBorders>
            <w:shd w:val="clear" w:color="auto" w:fill="FFFFFF"/>
            <w:hideMark/>
          </w:tcPr>
          <w:p w14:paraId="6E1834D0" w14:textId="77777777" w:rsidR="00A4507B" w:rsidRPr="00EB68E3" w:rsidRDefault="00A4507B" w:rsidP="00EE1766">
            <w:r w:rsidRPr="00EB68E3">
              <w:t>AEMN</w:t>
            </w:r>
          </w:p>
        </w:tc>
        <w:tc>
          <w:tcPr>
            <w:tcW w:w="1275" w:type="dxa"/>
            <w:tcBorders>
              <w:top w:val="single" w:sz="4" w:space="0" w:color="auto"/>
              <w:left w:val="nil"/>
              <w:bottom w:val="single" w:sz="4" w:space="0" w:color="auto"/>
              <w:right w:val="single" w:sz="4" w:space="0" w:color="auto"/>
            </w:tcBorders>
            <w:shd w:val="clear" w:color="auto" w:fill="FFFFFF"/>
            <w:noWrap/>
            <w:hideMark/>
          </w:tcPr>
          <w:p w14:paraId="31AF037A" w14:textId="0B206B06" w:rsidR="00A4507B" w:rsidRPr="00EB68E3" w:rsidRDefault="00A4507B" w:rsidP="00EE1766">
            <w:r w:rsidRPr="00EB68E3">
              <w:t xml:space="preserve">43 963 </w:t>
            </w:r>
          </w:p>
        </w:tc>
        <w:tc>
          <w:tcPr>
            <w:tcW w:w="1418" w:type="dxa"/>
            <w:tcBorders>
              <w:top w:val="single" w:sz="4" w:space="0" w:color="auto"/>
              <w:left w:val="nil"/>
              <w:bottom w:val="single" w:sz="4" w:space="0" w:color="auto"/>
              <w:right w:val="single" w:sz="4" w:space="0" w:color="auto"/>
            </w:tcBorders>
            <w:shd w:val="clear" w:color="auto" w:fill="FFFFFF"/>
            <w:noWrap/>
            <w:hideMark/>
          </w:tcPr>
          <w:p w14:paraId="22253929" w14:textId="75B669AB" w:rsidR="00A4507B" w:rsidRPr="00EB68E3" w:rsidRDefault="00A4507B" w:rsidP="00EE1766">
            <w:r w:rsidRPr="00EB68E3">
              <w:t xml:space="preserve">212 402 </w:t>
            </w:r>
          </w:p>
        </w:tc>
        <w:tc>
          <w:tcPr>
            <w:tcW w:w="1417" w:type="dxa"/>
            <w:tcBorders>
              <w:top w:val="single" w:sz="4" w:space="0" w:color="auto"/>
              <w:left w:val="nil"/>
              <w:bottom w:val="single" w:sz="4" w:space="0" w:color="auto"/>
              <w:right w:val="single" w:sz="4" w:space="0" w:color="auto"/>
            </w:tcBorders>
            <w:shd w:val="clear" w:color="auto" w:fill="FFFFFF"/>
            <w:noWrap/>
            <w:hideMark/>
          </w:tcPr>
          <w:p w14:paraId="090EAB92" w14:textId="7200B091" w:rsidR="00A4507B" w:rsidRPr="00EB68E3" w:rsidRDefault="00A4507B" w:rsidP="00EE1766">
            <w:r w:rsidRPr="00EB68E3">
              <w:t xml:space="preserve">256 365 </w:t>
            </w:r>
          </w:p>
        </w:tc>
        <w:tc>
          <w:tcPr>
            <w:tcW w:w="1440" w:type="dxa"/>
            <w:tcBorders>
              <w:top w:val="single" w:sz="4" w:space="0" w:color="auto"/>
              <w:left w:val="nil"/>
              <w:bottom w:val="single" w:sz="4" w:space="0" w:color="auto"/>
              <w:right w:val="single" w:sz="8" w:space="0" w:color="auto"/>
            </w:tcBorders>
            <w:shd w:val="clear" w:color="auto" w:fill="FFFFFF"/>
            <w:hideMark/>
          </w:tcPr>
          <w:p w14:paraId="12D8B311" w14:textId="364B157F" w:rsidR="00A4507B" w:rsidRPr="00EB68E3" w:rsidRDefault="00A4507B" w:rsidP="00B03798">
            <w:r w:rsidRPr="00EB68E3">
              <w:t>85 %</w:t>
            </w:r>
          </w:p>
        </w:tc>
      </w:tr>
      <w:tr w:rsidR="00A4507B" w:rsidRPr="00EB68E3" w14:paraId="73099146" w14:textId="77777777" w:rsidTr="00A4507B">
        <w:trPr>
          <w:trHeight w:val="510"/>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0C57782D" w14:textId="77777777" w:rsidR="00A4507B" w:rsidRPr="00EB68E3" w:rsidRDefault="00A4507B" w:rsidP="00EE1766">
            <w:r w:rsidRPr="00EB68E3">
              <w:t>Foundation for a Europe of Nations and Freedom</w:t>
            </w:r>
          </w:p>
        </w:tc>
        <w:tc>
          <w:tcPr>
            <w:tcW w:w="1253" w:type="dxa"/>
            <w:tcBorders>
              <w:top w:val="single" w:sz="4" w:space="0" w:color="auto"/>
              <w:left w:val="nil"/>
              <w:bottom w:val="single" w:sz="4" w:space="0" w:color="auto"/>
              <w:right w:val="single" w:sz="4" w:space="0" w:color="auto"/>
            </w:tcBorders>
            <w:shd w:val="clear" w:color="auto" w:fill="FFFFFF"/>
            <w:hideMark/>
          </w:tcPr>
          <w:p w14:paraId="12A9FBF7" w14:textId="77777777" w:rsidR="00A4507B" w:rsidRPr="00EB68E3" w:rsidRDefault="00A4507B" w:rsidP="00EE1766">
            <w:r w:rsidRPr="00EB68E3">
              <w:t>FENL</w:t>
            </w:r>
          </w:p>
        </w:tc>
        <w:tc>
          <w:tcPr>
            <w:tcW w:w="993" w:type="dxa"/>
            <w:tcBorders>
              <w:top w:val="single" w:sz="4" w:space="0" w:color="auto"/>
              <w:left w:val="nil"/>
              <w:bottom w:val="single" w:sz="4" w:space="0" w:color="auto"/>
              <w:right w:val="single" w:sz="4" w:space="0" w:color="auto"/>
            </w:tcBorders>
            <w:shd w:val="clear" w:color="auto" w:fill="FFFFFF"/>
            <w:hideMark/>
          </w:tcPr>
          <w:p w14:paraId="1E33ED40" w14:textId="77777777" w:rsidR="00A4507B" w:rsidRPr="00EB68E3" w:rsidRDefault="00A4507B" w:rsidP="00EE1766">
            <w:r w:rsidRPr="00EB68E3">
              <w:t>MENL</w:t>
            </w:r>
          </w:p>
        </w:tc>
        <w:tc>
          <w:tcPr>
            <w:tcW w:w="1275" w:type="dxa"/>
            <w:tcBorders>
              <w:top w:val="single" w:sz="4" w:space="0" w:color="auto"/>
              <w:left w:val="nil"/>
              <w:bottom w:val="single" w:sz="4" w:space="0" w:color="auto"/>
              <w:right w:val="single" w:sz="4" w:space="0" w:color="auto"/>
            </w:tcBorders>
            <w:shd w:val="clear" w:color="auto" w:fill="FFFFFF"/>
            <w:noWrap/>
            <w:hideMark/>
          </w:tcPr>
          <w:p w14:paraId="492184C5" w14:textId="1F8296CD" w:rsidR="00A4507B" w:rsidRPr="00EB68E3" w:rsidRDefault="00A4507B" w:rsidP="00EE1766">
            <w:r w:rsidRPr="00EB68E3">
              <w:t>77 400</w:t>
            </w:r>
          </w:p>
        </w:tc>
        <w:tc>
          <w:tcPr>
            <w:tcW w:w="1418" w:type="dxa"/>
            <w:tcBorders>
              <w:top w:val="single" w:sz="4" w:space="0" w:color="auto"/>
              <w:left w:val="nil"/>
              <w:bottom w:val="single" w:sz="4" w:space="0" w:color="auto"/>
              <w:right w:val="single" w:sz="4" w:space="0" w:color="auto"/>
            </w:tcBorders>
            <w:shd w:val="clear" w:color="auto" w:fill="FFFFFF"/>
            <w:noWrap/>
            <w:hideMark/>
          </w:tcPr>
          <w:p w14:paraId="25EF4F36" w14:textId="6FDFEE24" w:rsidR="00A4507B" w:rsidRPr="00EB68E3" w:rsidRDefault="00A4507B" w:rsidP="00EE1766">
            <w:r w:rsidRPr="00EB68E3">
              <w:t xml:space="preserve">447 972 </w:t>
            </w:r>
          </w:p>
        </w:tc>
        <w:tc>
          <w:tcPr>
            <w:tcW w:w="1417" w:type="dxa"/>
            <w:tcBorders>
              <w:top w:val="single" w:sz="4" w:space="0" w:color="auto"/>
              <w:left w:val="nil"/>
              <w:bottom w:val="single" w:sz="4" w:space="0" w:color="auto"/>
              <w:right w:val="single" w:sz="4" w:space="0" w:color="auto"/>
            </w:tcBorders>
            <w:shd w:val="clear" w:color="auto" w:fill="FFFFFF"/>
            <w:noWrap/>
            <w:hideMark/>
          </w:tcPr>
          <w:p w14:paraId="68BE95B1" w14:textId="7CBFD9B4" w:rsidR="00A4507B" w:rsidRPr="00EB68E3" w:rsidRDefault="00A4507B" w:rsidP="00EE1766">
            <w:r w:rsidRPr="00EB68E3">
              <w:t xml:space="preserve">525 372 </w:t>
            </w:r>
          </w:p>
        </w:tc>
        <w:tc>
          <w:tcPr>
            <w:tcW w:w="1440" w:type="dxa"/>
            <w:tcBorders>
              <w:top w:val="single" w:sz="4" w:space="0" w:color="auto"/>
              <w:left w:val="nil"/>
              <w:bottom w:val="single" w:sz="4" w:space="0" w:color="auto"/>
              <w:right w:val="single" w:sz="8" w:space="0" w:color="auto"/>
            </w:tcBorders>
            <w:shd w:val="clear" w:color="auto" w:fill="FFFFFF"/>
            <w:hideMark/>
          </w:tcPr>
          <w:p w14:paraId="7281A7A6" w14:textId="798472B7" w:rsidR="00A4507B" w:rsidRPr="00EB68E3" w:rsidRDefault="00A4507B" w:rsidP="00B03798">
            <w:r w:rsidRPr="00EB68E3">
              <w:t>85 %</w:t>
            </w:r>
          </w:p>
        </w:tc>
      </w:tr>
      <w:tr w:rsidR="00A4507B" w:rsidRPr="00EB68E3" w14:paraId="6F3D9E60" w14:textId="77777777" w:rsidTr="00A4507B">
        <w:trPr>
          <w:trHeight w:val="510"/>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511721F1" w14:textId="77777777" w:rsidR="00A4507B" w:rsidRPr="00EB68E3" w:rsidRDefault="00A4507B" w:rsidP="00EE1766">
            <w:r w:rsidRPr="00EB68E3">
              <w:t>Europa Terra Nostra</w:t>
            </w:r>
          </w:p>
        </w:tc>
        <w:tc>
          <w:tcPr>
            <w:tcW w:w="1253" w:type="dxa"/>
            <w:tcBorders>
              <w:top w:val="single" w:sz="4" w:space="0" w:color="auto"/>
              <w:left w:val="nil"/>
              <w:bottom w:val="single" w:sz="4" w:space="0" w:color="auto"/>
              <w:right w:val="single" w:sz="4" w:space="0" w:color="auto"/>
            </w:tcBorders>
            <w:shd w:val="clear" w:color="auto" w:fill="FFFFFF"/>
            <w:hideMark/>
          </w:tcPr>
          <w:p w14:paraId="7F7DE999" w14:textId="77777777" w:rsidR="00A4507B" w:rsidRPr="00EB68E3" w:rsidRDefault="00A4507B" w:rsidP="00EE1766">
            <w:r w:rsidRPr="00EB68E3">
              <w:t>ETN</w:t>
            </w:r>
          </w:p>
        </w:tc>
        <w:tc>
          <w:tcPr>
            <w:tcW w:w="993" w:type="dxa"/>
            <w:tcBorders>
              <w:top w:val="single" w:sz="4" w:space="0" w:color="auto"/>
              <w:left w:val="nil"/>
              <w:bottom w:val="single" w:sz="4" w:space="0" w:color="auto"/>
              <w:right w:val="single" w:sz="4" w:space="0" w:color="auto"/>
            </w:tcBorders>
            <w:shd w:val="clear" w:color="auto" w:fill="FFFFFF"/>
            <w:hideMark/>
          </w:tcPr>
          <w:p w14:paraId="1C7784A0" w14:textId="77777777" w:rsidR="00A4507B" w:rsidRPr="00EB68E3" w:rsidRDefault="00A4507B" w:rsidP="00EE1766">
            <w:r w:rsidRPr="00EB68E3">
              <w:t>APF</w:t>
            </w:r>
          </w:p>
        </w:tc>
        <w:tc>
          <w:tcPr>
            <w:tcW w:w="1275" w:type="dxa"/>
            <w:tcBorders>
              <w:top w:val="single" w:sz="4" w:space="0" w:color="auto"/>
              <w:left w:val="nil"/>
              <w:bottom w:val="single" w:sz="4" w:space="0" w:color="auto"/>
              <w:right w:val="single" w:sz="4" w:space="0" w:color="auto"/>
            </w:tcBorders>
            <w:shd w:val="clear" w:color="auto" w:fill="FFFFFF"/>
            <w:noWrap/>
            <w:hideMark/>
          </w:tcPr>
          <w:p w14:paraId="3027B349" w14:textId="670FCDB1" w:rsidR="00A4507B" w:rsidRPr="00EB68E3" w:rsidRDefault="00A4507B" w:rsidP="00EE1766">
            <w:r w:rsidRPr="00EB68E3">
              <w:t xml:space="preserve">37 791 </w:t>
            </w:r>
          </w:p>
        </w:tc>
        <w:tc>
          <w:tcPr>
            <w:tcW w:w="1418" w:type="dxa"/>
            <w:tcBorders>
              <w:top w:val="single" w:sz="4" w:space="0" w:color="auto"/>
              <w:left w:val="nil"/>
              <w:bottom w:val="single" w:sz="4" w:space="0" w:color="auto"/>
              <w:right w:val="single" w:sz="4" w:space="0" w:color="auto"/>
            </w:tcBorders>
            <w:shd w:val="clear" w:color="auto" w:fill="FFFFFF"/>
            <w:noWrap/>
            <w:hideMark/>
          </w:tcPr>
          <w:p w14:paraId="7E15C418" w14:textId="6452F084" w:rsidR="00A4507B" w:rsidRPr="00EB68E3" w:rsidRDefault="00A4507B" w:rsidP="00EE1766">
            <w:r w:rsidRPr="00EB68E3">
              <w:t xml:space="preserve">41 428 </w:t>
            </w:r>
          </w:p>
        </w:tc>
        <w:tc>
          <w:tcPr>
            <w:tcW w:w="1417" w:type="dxa"/>
            <w:tcBorders>
              <w:top w:val="single" w:sz="4" w:space="0" w:color="auto"/>
              <w:left w:val="nil"/>
              <w:bottom w:val="single" w:sz="4" w:space="0" w:color="auto"/>
              <w:right w:val="single" w:sz="4" w:space="0" w:color="auto"/>
            </w:tcBorders>
            <w:shd w:val="clear" w:color="auto" w:fill="FFFFFF"/>
            <w:noWrap/>
            <w:hideMark/>
          </w:tcPr>
          <w:p w14:paraId="2410BEFD" w14:textId="5CE1E366" w:rsidR="00A4507B" w:rsidRPr="00EB68E3" w:rsidRDefault="00A4507B" w:rsidP="00EE1766">
            <w:r w:rsidRPr="00EB68E3">
              <w:t xml:space="preserve">79 219 </w:t>
            </w:r>
          </w:p>
        </w:tc>
        <w:tc>
          <w:tcPr>
            <w:tcW w:w="1440" w:type="dxa"/>
            <w:tcBorders>
              <w:top w:val="single" w:sz="4" w:space="0" w:color="auto"/>
              <w:left w:val="nil"/>
              <w:bottom w:val="single" w:sz="4" w:space="0" w:color="auto"/>
              <w:right w:val="single" w:sz="8" w:space="0" w:color="auto"/>
            </w:tcBorders>
            <w:shd w:val="clear" w:color="auto" w:fill="FFFFFF"/>
            <w:hideMark/>
          </w:tcPr>
          <w:p w14:paraId="317BA389" w14:textId="6931BE8E" w:rsidR="00A4507B" w:rsidRPr="00EB68E3" w:rsidRDefault="00A4507B" w:rsidP="00B03798">
            <w:r w:rsidRPr="00EB68E3">
              <w:t>85 %</w:t>
            </w:r>
          </w:p>
        </w:tc>
      </w:tr>
      <w:tr w:rsidR="00A4507B" w:rsidRPr="00EB68E3" w14:paraId="1DCD3D20" w14:textId="77777777" w:rsidTr="00A4507B">
        <w:trPr>
          <w:trHeight w:val="510"/>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29F1C063" w14:textId="77777777" w:rsidR="00A4507B" w:rsidRPr="00EB68E3" w:rsidRDefault="00A4507B" w:rsidP="00EE1766">
            <w:r w:rsidRPr="00EB68E3">
              <w:t>Pegasus-säätiö</w:t>
            </w:r>
          </w:p>
        </w:tc>
        <w:tc>
          <w:tcPr>
            <w:tcW w:w="1253" w:type="dxa"/>
            <w:tcBorders>
              <w:top w:val="single" w:sz="4" w:space="0" w:color="auto"/>
              <w:left w:val="nil"/>
              <w:bottom w:val="single" w:sz="4" w:space="0" w:color="auto"/>
              <w:right w:val="single" w:sz="4" w:space="0" w:color="auto"/>
            </w:tcBorders>
            <w:shd w:val="clear" w:color="auto" w:fill="FFFFFF"/>
            <w:hideMark/>
          </w:tcPr>
          <w:p w14:paraId="3A6E6504" w14:textId="77777777" w:rsidR="00A4507B" w:rsidRPr="00EB68E3" w:rsidRDefault="00A4507B" w:rsidP="00EE1766">
            <w:r w:rsidRPr="00EB68E3">
              <w:t>FP</w:t>
            </w:r>
          </w:p>
        </w:tc>
        <w:tc>
          <w:tcPr>
            <w:tcW w:w="993" w:type="dxa"/>
            <w:tcBorders>
              <w:top w:val="single" w:sz="4" w:space="0" w:color="auto"/>
              <w:left w:val="nil"/>
              <w:bottom w:val="single" w:sz="4" w:space="0" w:color="auto"/>
              <w:right w:val="single" w:sz="4" w:space="0" w:color="auto"/>
            </w:tcBorders>
            <w:shd w:val="clear" w:color="auto" w:fill="FFFFFF"/>
            <w:hideMark/>
          </w:tcPr>
          <w:p w14:paraId="38261622" w14:textId="77777777" w:rsidR="00A4507B" w:rsidRPr="00EB68E3" w:rsidRDefault="00A4507B" w:rsidP="00EE1766">
            <w:r w:rsidRPr="00EB68E3">
              <w:t>CLF</w:t>
            </w:r>
            <w:bookmarkStart w:id="9" w:name="_GoBack"/>
            <w:bookmarkEnd w:id="9"/>
          </w:p>
        </w:tc>
        <w:tc>
          <w:tcPr>
            <w:tcW w:w="1275" w:type="dxa"/>
            <w:tcBorders>
              <w:top w:val="single" w:sz="4" w:space="0" w:color="auto"/>
              <w:left w:val="nil"/>
              <w:bottom w:val="single" w:sz="4" w:space="0" w:color="auto"/>
              <w:right w:val="single" w:sz="4" w:space="0" w:color="auto"/>
            </w:tcBorders>
            <w:shd w:val="clear" w:color="auto" w:fill="FFFFFF"/>
            <w:noWrap/>
            <w:hideMark/>
          </w:tcPr>
          <w:p w14:paraId="282BDB5D" w14:textId="77777777" w:rsidR="00A4507B" w:rsidRPr="00EB68E3" w:rsidRDefault="00A4507B" w:rsidP="00EE1766">
            <w:r w:rsidRPr="00EB68E3">
              <w:t>–</w:t>
            </w:r>
          </w:p>
        </w:tc>
        <w:tc>
          <w:tcPr>
            <w:tcW w:w="1418" w:type="dxa"/>
            <w:tcBorders>
              <w:top w:val="single" w:sz="4" w:space="0" w:color="auto"/>
              <w:left w:val="nil"/>
              <w:bottom w:val="single" w:sz="4" w:space="0" w:color="auto"/>
              <w:right w:val="single" w:sz="4" w:space="0" w:color="auto"/>
            </w:tcBorders>
            <w:shd w:val="clear" w:color="auto" w:fill="FFFFFF"/>
            <w:noWrap/>
            <w:hideMark/>
          </w:tcPr>
          <w:p w14:paraId="358B3D6D" w14:textId="77777777" w:rsidR="00A4507B" w:rsidRPr="00EB68E3" w:rsidRDefault="00A4507B" w:rsidP="00EE1766">
            <w:r w:rsidRPr="00EB68E3">
              <w:t>–</w:t>
            </w:r>
          </w:p>
        </w:tc>
        <w:tc>
          <w:tcPr>
            <w:tcW w:w="1417" w:type="dxa"/>
            <w:tcBorders>
              <w:top w:val="single" w:sz="4" w:space="0" w:color="auto"/>
              <w:left w:val="nil"/>
              <w:bottom w:val="single" w:sz="4" w:space="0" w:color="auto"/>
              <w:right w:val="single" w:sz="4" w:space="0" w:color="auto"/>
            </w:tcBorders>
            <w:shd w:val="clear" w:color="auto" w:fill="FFFFFF"/>
            <w:noWrap/>
            <w:hideMark/>
          </w:tcPr>
          <w:p w14:paraId="39C052BE" w14:textId="77777777" w:rsidR="00A4507B" w:rsidRPr="00EB68E3" w:rsidRDefault="00A4507B" w:rsidP="00EE1766">
            <w:r w:rsidRPr="00EB68E3">
              <w:t>–</w:t>
            </w:r>
          </w:p>
        </w:tc>
        <w:tc>
          <w:tcPr>
            <w:tcW w:w="1440" w:type="dxa"/>
            <w:tcBorders>
              <w:top w:val="single" w:sz="4" w:space="0" w:color="auto"/>
              <w:left w:val="nil"/>
              <w:bottom w:val="single" w:sz="4" w:space="0" w:color="auto"/>
              <w:right w:val="single" w:sz="8" w:space="0" w:color="auto"/>
            </w:tcBorders>
            <w:shd w:val="clear" w:color="auto" w:fill="FFFFFF"/>
            <w:hideMark/>
          </w:tcPr>
          <w:p w14:paraId="22331C31" w14:textId="77777777" w:rsidR="00A4507B" w:rsidRPr="00EB68E3" w:rsidRDefault="00A4507B" w:rsidP="00EE1766">
            <w:r w:rsidRPr="00EB68E3">
              <w:t>–</w:t>
            </w:r>
          </w:p>
        </w:tc>
      </w:tr>
      <w:tr w:rsidR="00A4507B" w:rsidRPr="00EB68E3" w14:paraId="1CFD230C" w14:textId="77777777" w:rsidTr="00A4507B">
        <w:trPr>
          <w:trHeight w:val="510"/>
        </w:trPr>
        <w:tc>
          <w:tcPr>
            <w:tcW w:w="2164" w:type="dxa"/>
            <w:tcBorders>
              <w:top w:val="single" w:sz="4" w:space="0" w:color="auto"/>
              <w:left w:val="single" w:sz="8" w:space="0" w:color="auto"/>
              <w:bottom w:val="single" w:sz="4" w:space="0" w:color="auto"/>
              <w:right w:val="single" w:sz="4" w:space="0" w:color="auto"/>
            </w:tcBorders>
            <w:shd w:val="clear" w:color="auto" w:fill="FFFFFF"/>
            <w:hideMark/>
          </w:tcPr>
          <w:p w14:paraId="65AEA660" w14:textId="77777777" w:rsidR="00A4507B" w:rsidRPr="00EB68E3" w:rsidRDefault="00A4507B" w:rsidP="00EE1766">
            <w:r w:rsidRPr="00EB68E3">
              <w:t>Yhteensä</w:t>
            </w:r>
          </w:p>
        </w:tc>
        <w:tc>
          <w:tcPr>
            <w:tcW w:w="1253" w:type="dxa"/>
            <w:tcBorders>
              <w:top w:val="single" w:sz="4" w:space="0" w:color="auto"/>
              <w:left w:val="nil"/>
              <w:bottom w:val="single" w:sz="4" w:space="0" w:color="auto"/>
              <w:right w:val="single" w:sz="4" w:space="0" w:color="auto"/>
            </w:tcBorders>
            <w:shd w:val="clear" w:color="auto" w:fill="FFFFFF"/>
          </w:tcPr>
          <w:p w14:paraId="7831A217" w14:textId="77777777" w:rsidR="00A4507B" w:rsidRPr="00EB68E3" w:rsidRDefault="00A4507B" w:rsidP="00EE1766"/>
        </w:tc>
        <w:tc>
          <w:tcPr>
            <w:tcW w:w="993" w:type="dxa"/>
            <w:tcBorders>
              <w:top w:val="single" w:sz="4" w:space="0" w:color="auto"/>
              <w:left w:val="nil"/>
              <w:bottom w:val="single" w:sz="4" w:space="0" w:color="auto"/>
              <w:right w:val="single" w:sz="4" w:space="0" w:color="auto"/>
            </w:tcBorders>
            <w:shd w:val="clear" w:color="auto" w:fill="FFFFFF"/>
          </w:tcPr>
          <w:p w14:paraId="232437CE" w14:textId="77777777" w:rsidR="00A4507B" w:rsidRPr="00EB68E3" w:rsidRDefault="00A4507B" w:rsidP="00EE1766"/>
        </w:tc>
        <w:tc>
          <w:tcPr>
            <w:tcW w:w="1275" w:type="dxa"/>
            <w:tcBorders>
              <w:top w:val="single" w:sz="4" w:space="0" w:color="auto"/>
              <w:left w:val="nil"/>
              <w:bottom w:val="single" w:sz="4" w:space="0" w:color="auto"/>
              <w:right w:val="single" w:sz="4" w:space="0" w:color="auto"/>
            </w:tcBorders>
            <w:shd w:val="clear" w:color="auto" w:fill="FFFFFF"/>
            <w:noWrap/>
            <w:hideMark/>
          </w:tcPr>
          <w:p w14:paraId="3F7D9F98" w14:textId="366B1ACC" w:rsidR="00A4507B" w:rsidRPr="00EB68E3" w:rsidRDefault="00A4507B" w:rsidP="00EE1766">
            <w:r w:rsidRPr="00EB68E3">
              <w:t xml:space="preserve">3 271 884 </w:t>
            </w:r>
          </w:p>
        </w:tc>
        <w:tc>
          <w:tcPr>
            <w:tcW w:w="1418" w:type="dxa"/>
            <w:tcBorders>
              <w:top w:val="single" w:sz="4" w:space="0" w:color="auto"/>
              <w:left w:val="nil"/>
              <w:bottom w:val="single" w:sz="4" w:space="0" w:color="auto"/>
              <w:right w:val="single" w:sz="4" w:space="0" w:color="auto"/>
            </w:tcBorders>
            <w:shd w:val="clear" w:color="auto" w:fill="FFFFFF"/>
            <w:noWrap/>
            <w:hideMark/>
          </w:tcPr>
          <w:p w14:paraId="5160682E" w14:textId="77777777" w:rsidR="00A4507B" w:rsidRPr="00EB68E3" w:rsidRDefault="00A4507B" w:rsidP="00EE1766">
            <w:r w:rsidRPr="00EB68E3">
              <w:t>15 501 313</w:t>
            </w:r>
          </w:p>
        </w:tc>
        <w:tc>
          <w:tcPr>
            <w:tcW w:w="1417" w:type="dxa"/>
            <w:tcBorders>
              <w:top w:val="single" w:sz="4" w:space="0" w:color="auto"/>
              <w:left w:val="nil"/>
              <w:bottom w:val="single" w:sz="4" w:space="0" w:color="auto"/>
              <w:right w:val="single" w:sz="4" w:space="0" w:color="auto"/>
            </w:tcBorders>
            <w:shd w:val="clear" w:color="auto" w:fill="FFFFFF"/>
            <w:noWrap/>
            <w:hideMark/>
          </w:tcPr>
          <w:p w14:paraId="7A897E01" w14:textId="77777777" w:rsidR="00A4507B" w:rsidRPr="00EB68E3" w:rsidRDefault="00A4507B" w:rsidP="00EE1766">
            <w:r w:rsidRPr="00EB68E3">
              <w:t xml:space="preserve">18 773 197 </w:t>
            </w:r>
          </w:p>
        </w:tc>
        <w:tc>
          <w:tcPr>
            <w:tcW w:w="1440" w:type="dxa"/>
            <w:tcBorders>
              <w:top w:val="single" w:sz="4" w:space="0" w:color="auto"/>
              <w:left w:val="nil"/>
              <w:bottom w:val="single" w:sz="4" w:space="0" w:color="auto"/>
              <w:right w:val="single" w:sz="8" w:space="0" w:color="auto"/>
            </w:tcBorders>
            <w:shd w:val="clear" w:color="auto" w:fill="FFFFFF"/>
            <w:hideMark/>
          </w:tcPr>
          <w:p w14:paraId="07B3EFA4" w14:textId="77777777" w:rsidR="00A4507B" w:rsidRPr="00EB68E3" w:rsidRDefault="00A4507B" w:rsidP="00EE1766"/>
        </w:tc>
      </w:tr>
    </w:tbl>
    <w:p w14:paraId="36364D3D" w14:textId="79ED9371" w:rsidR="00C21D04" w:rsidRPr="00EB68E3" w:rsidRDefault="00C21D04" w:rsidP="00330D1D">
      <w:pPr>
        <w:pStyle w:val="Normal12Hanging"/>
        <w:ind w:left="0" w:firstLine="0"/>
      </w:pPr>
    </w:p>
    <w:p w14:paraId="681E5DD7" w14:textId="6B562AD1" w:rsidR="00330D1D" w:rsidRPr="00EB68E3" w:rsidRDefault="00D14982" w:rsidP="00330D1D">
      <w:pPr>
        <w:pStyle w:val="PageHeading"/>
      </w:pPr>
      <w:r w:rsidRPr="00EB68E3">
        <w:br w:type="page"/>
      </w:r>
      <w:bookmarkStart w:id="10" w:name="ProcPageRR"/>
      <w:bookmarkStart w:id="11" w:name="_Toc3545227"/>
      <w:r w:rsidRPr="00EB68E3">
        <w:t>TIEDOT HYVÄKSYMISESTÄ</w:t>
      </w:r>
      <w:r w:rsidRPr="00EB68E3">
        <w:br/>
        <w:t>ASIASTA VASTAAVASSA VALIOKUNNASSA</w:t>
      </w:r>
      <w:bookmarkEnd w:id="1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30D1D" w:rsidRPr="00EB68E3" w14:paraId="3250412A"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02F145" w14:textId="77777777" w:rsidR="00330D1D" w:rsidRPr="00EB68E3" w:rsidRDefault="00330D1D">
            <w:pPr>
              <w:autoSpaceDE w:val="0"/>
              <w:autoSpaceDN w:val="0"/>
              <w:adjustRightInd w:val="0"/>
              <w:rPr>
                <w:b/>
                <w:bCs/>
                <w:color w:val="000000"/>
                <w:sz w:val="20"/>
              </w:rPr>
            </w:pPr>
            <w:r w:rsidRPr="00EB68E3">
              <w:rPr>
                <w:b/>
                <w:bCs/>
                <w:color w:val="000000"/>
                <w:sz w:val="20"/>
              </w:rPr>
              <w:t>Hyväksytty (pvä)</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BEEE10C" w14:textId="77777777" w:rsidR="00330D1D" w:rsidRPr="00EB68E3" w:rsidRDefault="00330D1D">
            <w:pPr>
              <w:autoSpaceDE w:val="0"/>
              <w:autoSpaceDN w:val="0"/>
              <w:adjustRightInd w:val="0"/>
              <w:rPr>
                <w:color w:val="000000"/>
                <w:sz w:val="20"/>
              </w:rPr>
            </w:pPr>
            <w:r w:rsidRPr="00EB68E3">
              <w:rPr>
                <w:color w:val="000000"/>
                <w:sz w:val="20"/>
              </w:rPr>
              <w:t>20.2.2019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63C624C" w14:textId="77777777" w:rsidR="00330D1D" w:rsidRPr="00EB68E3" w:rsidRDefault="00330D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593EEC0" w14:textId="77777777" w:rsidR="00330D1D" w:rsidRPr="00EB68E3" w:rsidRDefault="00330D1D">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73B203A" w14:textId="77777777" w:rsidR="00330D1D" w:rsidRPr="00EB68E3" w:rsidRDefault="00330D1D">
            <w:pPr>
              <w:autoSpaceDE w:val="0"/>
              <w:autoSpaceDN w:val="0"/>
              <w:adjustRightInd w:val="0"/>
              <w:rPr>
                <w:rFonts w:ascii="sans-serif" w:hAnsi="sans-serif" w:cs="sans-serif"/>
                <w:color w:val="000000"/>
                <w:szCs w:val="24"/>
              </w:rPr>
            </w:pPr>
          </w:p>
        </w:tc>
      </w:tr>
      <w:tr w:rsidR="00330D1D" w:rsidRPr="00EB68E3" w14:paraId="1C71F2FE"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BE0B7E8" w14:textId="77777777" w:rsidR="00330D1D" w:rsidRPr="00EB68E3" w:rsidRDefault="00330D1D">
            <w:pPr>
              <w:autoSpaceDE w:val="0"/>
              <w:autoSpaceDN w:val="0"/>
              <w:adjustRightInd w:val="0"/>
              <w:rPr>
                <w:b/>
                <w:bCs/>
                <w:color w:val="000000"/>
                <w:sz w:val="20"/>
              </w:rPr>
            </w:pPr>
            <w:r w:rsidRPr="00EB68E3">
              <w:rPr>
                <w:b/>
                <w:bCs/>
                <w:color w:val="000000"/>
                <w:sz w:val="20"/>
              </w:rPr>
              <w:t>Lopullisen äänestyksen tulos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6FC1C59" w14:textId="77777777" w:rsidR="00330D1D" w:rsidRPr="00EB68E3" w:rsidRDefault="00330D1D">
            <w:pPr>
              <w:autoSpaceDE w:val="0"/>
              <w:autoSpaceDN w:val="0"/>
              <w:adjustRightInd w:val="0"/>
              <w:rPr>
                <w:color w:val="000000"/>
                <w:sz w:val="20"/>
              </w:rPr>
            </w:pPr>
            <w:r w:rsidRPr="00EB68E3">
              <w:rPr>
                <w:color w:val="000000"/>
                <w:sz w:val="20"/>
              </w:rPr>
              <w:t>+:</w:t>
            </w:r>
          </w:p>
          <w:p w14:paraId="10D82660" w14:textId="77777777" w:rsidR="00330D1D" w:rsidRPr="00EB68E3" w:rsidRDefault="00330D1D">
            <w:pPr>
              <w:autoSpaceDE w:val="0"/>
              <w:autoSpaceDN w:val="0"/>
              <w:adjustRightInd w:val="0"/>
              <w:rPr>
                <w:color w:val="000000"/>
                <w:sz w:val="20"/>
              </w:rPr>
            </w:pPr>
            <w:r w:rsidRPr="00EB68E3">
              <w:rPr>
                <w:color w:val="000000"/>
                <w:sz w:val="20"/>
              </w:rPr>
              <w:t>–:</w:t>
            </w:r>
          </w:p>
          <w:p w14:paraId="4F44F283" w14:textId="77777777" w:rsidR="00330D1D" w:rsidRPr="00EB68E3" w:rsidRDefault="00330D1D">
            <w:pPr>
              <w:autoSpaceDE w:val="0"/>
              <w:autoSpaceDN w:val="0"/>
              <w:adjustRightInd w:val="0"/>
              <w:rPr>
                <w:color w:val="000000"/>
                <w:sz w:val="20"/>
              </w:rPr>
            </w:pPr>
            <w:r w:rsidRPr="00EB68E3">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31869ED" w14:textId="77777777" w:rsidR="00330D1D" w:rsidRPr="00EB68E3" w:rsidRDefault="00330D1D">
            <w:pPr>
              <w:autoSpaceDE w:val="0"/>
              <w:autoSpaceDN w:val="0"/>
              <w:adjustRightInd w:val="0"/>
              <w:rPr>
                <w:color w:val="000000"/>
                <w:sz w:val="20"/>
              </w:rPr>
            </w:pPr>
            <w:r w:rsidRPr="00EB68E3">
              <w:rPr>
                <w:color w:val="000000"/>
                <w:sz w:val="20"/>
              </w:rPr>
              <w:t>20</w:t>
            </w:r>
          </w:p>
          <w:p w14:paraId="7AA476DF" w14:textId="77777777" w:rsidR="00330D1D" w:rsidRPr="00EB68E3" w:rsidRDefault="00330D1D">
            <w:pPr>
              <w:autoSpaceDE w:val="0"/>
              <w:autoSpaceDN w:val="0"/>
              <w:adjustRightInd w:val="0"/>
              <w:rPr>
                <w:color w:val="000000"/>
                <w:sz w:val="20"/>
              </w:rPr>
            </w:pPr>
            <w:r w:rsidRPr="00EB68E3">
              <w:rPr>
                <w:color w:val="000000"/>
                <w:sz w:val="20"/>
              </w:rPr>
              <w:t>4</w:t>
            </w:r>
          </w:p>
          <w:p w14:paraId="127137AF" w14:textId="77777777" w:rsidR="00330D1D" w:rsidRPr="00EB68E3" w:rsidRDefault="00330D1D">
            <w:pPr>
              <w:autoSpaceDE w:val="0"/>
              <w:autoSpaceDN w:val="0"/>
              <w:adjustRightInd w:val="0"/>
              <w:rPr>
                <w:color w:val="000000"/>
                <w:sz w:val="20"/>
              </w:rPr>
            </w:pPr>
            <w:r w:rsidRPr="00EB68E3">
              <w:rPr>
                <w:color w:val="000000"/>
                <w:sz w:val="20"/>
              </w:rPr>
              <w:t>0</w:t>
            </w:r>
          </w:p>
        </w:tc>
      </w:tr>
      <w:tr w:rsidR="00330D1D" w:rsidRPr="00EB68E3" w14:paraId="21EDA97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A83B983" w14:textId="77777777" w:rsidR="00330D1D" w:rsidRPr="00EB68E3" w:rsidRDefault="00330D1D">
            <w:pPr>
              <w:autoSpaceDE w:val="0"/>
              <w:autoSpaceDN w:val="0"/>
              <w:adjustRightInd w:val="0"/>
              <w:rPr>
                <w:b/>
                <w:bCs/>
                <w:color w:val="000000"/>
                <w:sz w:val="20"/>
              </w:rPr>
            </w:pPr>
            <w:r w:rsidRPr="00EB68E3">
              <w:rPr>
                <w:b/>
                <w:bCs/>
                <w:color w:val="000000"/>
                <w:sz w:val="20"/>
              </w:rPr>
              <w:t>Lopullisessa äänestyksessä läsnä olleet jäsenet</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A70BC1F" w14:textId="77777777" w:rsidR="00330D1D" w:rsidRPr="00EB68E3" w:rsidRDefault="00330D1D">
            <w:pPr>
              <w:autoSpaceDE w:val="0"/>
              <w:autoSpaceDN w:val="0"/>
              <w:adjustRightInd w:val="0"/>
              <w:rPr>
                <w:color w:val="000000"/>
                <w:sz w:val="20"/>
              </w:rPr>
            </w:pPr>
            <w:r w:rsidRPr="00EB68E3">
              <w:rPr>
                <w:color w:val="000000"/>
                <w:sz w:val="20"/>
              </w:rPr>
              <w:t>Nedzhmi Ali, Inés Ayala Sender, Zigmantas Balčytis, Dennis de Jong, Tamás Deutsch, Martina Dlabajová, Luke Ming Flanagan, Ingeborg Gräßle, Jean-François Jalkh, Wolf Klinz, Bogusław Liberadzki, Georgi Pirinski, José Ignacio Salafranca Sánchez-Neyra, Petri Sarvamaa, Claudia Schmidt, Bart Staes, Derek Vaughan, Tomáš Zdechovský, Joachim Zeller</w:t>
            </w:r>
          </w:p>
        </w:tc>
      </w:tr>
      <w:tr w:rsidR="00330D1D" w:rsidRPr="00EB68E3" w14:paraId="1C13D81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58AD02F" w14:textId="77777777" w:rsidR="00330D1D" w:rsidRPr="00EB68E3" w:rsidRDefault="00330D1D">
            <w:pPr>
              <w:autoSpaceDE w:val="0"/>
              <w:autoSpaceDN w:val="0"/>
              <w:adjustRightInd w:val="0"/>
              <w:rPr>
                <w:b/>
                <w:bCs/>
                <w:color w:val="000000"/>
                <w:sz w:val="20"/>
              </w:rPr>
            </w:pPr>
            <w:r w:rsidRPr="00EB68E3">
              <w:rPr>
                <w:b/>
                <w:bCs/>
                <w:color w:val="000000"/>
                <w:sz w:val="20"/>
              </w:rPr>
              <w:t>Lopullisessa äänestyksessä läsnä olleet varajäsenet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9617D62" w14:textId="77777777" w:rsidR="00330D1D" w:rsidRPr="00EB68E3" w:rsidRDefault="00330D1D">
            <w:pPr>
              <w:autoSpaceDE w:val="0"/>
              <w:autoSpaceDN w:val="0"/>
              <w:adjustRightInd w:val="0"/>
              <w:rPr>
                <w:color w:val="000000"/>
                <w:sz w:val="20"/>
              </w:rPr>
            </w:pPr>
            <w:r w:rsidRPr="00EB68E3">
              <w:rPr>
                <w:color w:val="000000"/>
                <w:sz w:val="20"/>
              </w:rPr>
              <w:t>José Blanco López, Julia Pitera</w:t>
            </w:r>
          </w:p>
        </w:tc>
      </w:tr>
      <w:tr w:rsidR="00330D1D" w:rsidRPr="00EB68E3" w14:paraId="0E2DF87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4054D83F" w14:textId="77777777" w:rsidR="00330D1D" w:rsidRPr="00EB68E3" w:rsidRDefault="00330D1D">
            <w:pPr>
              <w:autoSpaceDE w:val="0"/>
              <w:autoSpaceDN w:val="0"/>
              <w:adjustRightInd w:val="0"/>
              <w:rPr>
                <w:b/>
                <w:bCs/>
                <w:color w:val="000000"/>
                <w:sz w:val="20"/>
              </w:rPr>
            </w:pPr>
            <w:r w:rsidRPr="00EB68E3">
              <w:rPr>
                <w:b/>
                <w:bCs/>
                <w:color w:val="000000"/>
                <w:sz w:val="20"/>
              </w:rPr>
              <w:t>Lopullisessa äänestyksessä läsnä olleet sijaiset (200 art. 2 kohta)</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1F8BB16" w14:textId="77777777" w:rsidR="00330D1D" w:rsidRPr="00EB68E3" w:rsidRDefault="00330D1D">
            <w:pPr>
              <w:autoSpaceDE w:val="0"/>
              <w:autoSpaceDN w:val="0"/>
              <w:adjustRightInd w:val="0"/>
              <w:rPr>
                <w:color w:val="000000"/>
                <w:sz w:val="20"/>
              </w:rPr>
            </w:pPr>
            <w:r w:rsidRPr="00EB68E3">
              <w:rPr>
                <w:color w:val="000000"/>
                <w:sz w:val="20"/>
              </w:rPr>
              <w:t>Rosa D’Amato, John Flack, Czesław Hoc</w:t>
            </w:r>
          </w:p>
        </w:tc>
      </w:tr>
    </w:tbl>
    <w:p w14:paraId="14A09211" w14:textId="77777777" w:rsidR="00330D1D" w:rsidRPr="00EB68E3" w:rsidRDefault="00330D1D">
      <w:pPr>
        <w:autoSpaceDE w:val="0"/>
        <w:autoSpaceDN w:val="0"/>
        <w:adjustRightInd w:val="0"/>
        <w:rPr>
          <w:rFonts w:ascii="Arial" w:hAnsi="Arial" w:cs="Arial"/>
          <w:szCs w:val="24"/>
        </w:rPr>
      </w:pPr>
    </w:p>
    <w:bookmarkEnd w:id="10"/>
    <w:p w14:paraId="5EACDA6B" w14:textId="62EE4EE9" w:rsidR="00D14982" w:rsidRPr="00EB68E3" w:rsidRDefault="00D14982" w:rsidP="00330D1D">
      <w:pPr>
        <w:sectPr w:rsidR="00D14982" w:rsidRPr="00EB68E3" w:rsidSect="00D14982">
          <w:headerReference w:type="even" r:id="rId16"/>
          <w:headerReference w:type="default" r:id="rId17"/>
          <w:headerReference w:type="first" r:id="rId18"/>
          <w:footerReference w:type="first" r:id="rId19"/>
          <w:footnotePr>
            <w:numRestart w:val="eachPage"/>
          </w:footnotePr>
          <w:endnotePr>
            <w:numFmt w:val="decimal"/>
          </w:endnotePr>
          <w:pgSz w:w="11906" w:h="16838" w:code="9"/>
          <w:pgMar w:top="1134" w:right="1418" w:bottom="1418" w:left="1418" w:header="567" w:footer="567" w:gutter="0"/>
          <w:cols w:space="720"/>
          <w:noEndnote/>
          <w:docGrid w:linePitch="326"/>
        </w:sectPr>
      </w:pPr>
    </w:p>
    <w:p w14:paraId="4CE63B58" w14:textId="77777777" w:rsidR="00D14982" w:rsidRPr="00EB68E3" w:rsidRDefault="00D14982" w:rsidP="00DE6C07">
      <w:pPr>
        <w:jc w:val="center"/>
        <w:rPr>
          <w:b/>
          <w:szCs w:val="24"/>
        </w:rPr>
      </w:pPr>
      <w:bookmarkStart w:id="14" w:name="RollCallPageRR"/>
      <w:r w:rsidRPr="00EB68E3">
        <w:rPr>
          <w:b/>
          <w:szCs w:val="24"/>
        </w:rPr>
        <w:t>Nimenhuutoäänestys tarkistuksesta 88</w:t>
      </w:r>
    </w:p>
    <w:p w14:paraId="377F7224" w14:textId="77777777" w:rsidR="00D14982" w:rsidRPr="00EB68E3" w:rsidRDefault="00D14982" w:rsidP="00D14982"/>
    <w:p w14:paraId="2F4A9A62" w14:textId="77777777" w:rsidR="00D14982" w:rsidRPr="00EB68E3" w:rsidRDefault="00D14982" w:rsidP="00D14982"/>
    <w:p w14:paraId="5C116A21" w14:textId="60072490" w:rsidR="00D14982" w:rsidRPr="00EB68E3" w:rsidRDefault="00D14982" w:rsidP="001849E4">
      <w:pPr>
        <w:jc w:val="center"/>
        <w:rPr>
          <w:b/>
          <w:szCs w:val="24"/>
        </w:rPr>
      </w:pPr>
      <w:bookmarkStart w:id="15" w:name="_Toc1569189"/>
      <w:r w:rsidRPr="00EB68E3">
        <w:rPr>
          <w:b/>
          <w:szCs w:val="24"/>
        </w:rPr>
        <w:t>LOPULLINEN ÄÄNESTYS NIMENHUUTOÄÄNESTYKSENÄ</w:t>
      </w:r>
      <w:r w:rsidRPr="00EB68E3">
        <w:rPr>
          <w:b/>
          <w:szCs w:val="24"/>
        </w:rPr>
        <w:br/>
        <w:t>ASIASTA VASTAAVASSA VALIOKUNNASSA</w:t>
      </w:r>
      <w:bookmarkEnd w:id="15"/>
    </w:p>
    <w:p w14:paraId="0D128394" w14:textId="77777777" w:rsidR="001E6370" w:rsidRPr="00EB68E3" w:rsidRDefault="001E6370" w:rsidP="001849E4">
      <w:pPr>
        <w:jc w:val="center"/>
        <w:rPr>
          <w:szCs w:val="24"/>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4982" w:rsidRPr="00EB68E3" w14:paraId="5B3B8DF7" w14:textId="77777777" w:rsidTr="007F7513">
        <w:trPr>
          <w:cantSplit/>
        </w:trPr>
        <w:tc>
          <w:tcPr>
            <w:tcW w:w="1701" w:type="dxa"/>
            <w:shd w:val="pct10" w:color="000000" w:fill="FFFFFF"/>
            <w:vAlign w:val="center"/>
          </w:tcPr>
          <w:p w14:paraId="23216D99" w14:textId="77777777" w:rsidR="00D14982" w:rsidRPr="00EB68E3" w:rsidRDefault="00D14982" w:rsidP="007F7513">
            <w:pPr>
              <w:spacing w:before="120" w:after="120"/>
              <w:jc w:val="center"/>
              <w:rPr>
                <w:b/>
                <w:sz w:val="20"/>
              </w:rPr>
            </w:pPr>
            <w:r w:rsidRPr="00EB68E3">
              <w:rPr>
                <w:b/>
                <w:sz w:val="20"/>
              </w:rPr>
              <w:t>10</w:t>
            </w:r>
          </w:p>
        </w:tc>
        <w:tc>
          <w:tcPr>
            <w:tcW w:w="7371" w:type="dxa"/>
            <w:shd w:val="pct10" w:color="000000" w:fill="FFFFFF"/>
          </w:tcPr>
          <w:p w14:paraId="547658DA" w14:textId="77777777" w:rsidR="00D14982" w:rsidRPr="00EB68E3" w:rsidRDefault="00D14982" w:rsidP="007F7513">
            <w:pPr>
              <w:spacing w:before="120" w:after="120"/>
              <w:jc w:val="center"/>
              <w:rPr>
                <w:rFonts w:ascii="Arial" w:hAnsi="Arial" w:cs="Arial"/>
                <w:b/>
                <w:sz w:val="28"/>
                <w:szCs w:val="28"/>
              </w:rPr>
            </w:pPr>
            <w:r w:rsidRPr="00EB68E3">
              <w:rPr>
                <w:rFonts w:ascii="Arial" w:hAnsi="Arial"/>
                <w:b/>
                <w:sz w:val="28"/>
                <w:szCs w:val="28"/>
              </w:rPr>
              <w:t>+</w:t>
            </w:r>
          </w:p>
        </w:tc>
      </w:tr>
      <w:tr w:rsidR="00D14982" w:rsidRPr="00EB68E3" w14:paraId="5E7C0A82" w14:textId="77777777" w:rsidTr="007F7513">
        <w:trPr>
          <w:cantSplit/>
        </w:trPr>
        <w:tc>
          <w:tcPr>
            <w:tcW w:w="1701" w:type="dxa"/>
            <w:shd w:val="clear" w:color="auto" w:fill="FFFFFF"/>
          </w:tcPr>
          <w:p w14:paraId="16C236B7" w14:textId="77777777" w:rsidR="00D14982" w:rsidRPr="00EB68E3" w:rsidRDefault="00D14982" w:rsidP="007F7513">
            <w:pPr>
              <w:spacing w:before="120" w:after="120"/>
            </w:pPr>
            <w:r w:rsidRPr="00EB68E3">
              <w:t>ALDE</w:t>
            </w:r>
          </w:p>
          <w:p w14:paraId="33B9D93B" w14:textId="77777777" w:rsidR="00D14982" w:rsidRPr="00EB68E3" w:rsidRDefault="00D14982" w:rsidP="007F7513">
            <w:pPr>
              <w:spacing w:before="120" w:after="120"/>
            </w:pPr>
            <w:r w:rsidRPr="00EB68E3">
              <w:t>EFDD</w:t>
            </w:r>
          </w:p>
          <w:p w14:paraId="7BCF8299" w14:textId="77777777" w:rsidR="00D14982" w:rsidRPr="00EB68E3" w:rsidRDefault="00D14982" w:rsidP="007F7513">
            <w:pPr>
              <w:spacing w:before="120" w:after="120"/>
            </w:pPr>
            <w:r w:rsidRPr="00EB68E3">
              <w:t>GUE/NGL</w:t>
            </w:r>
          </w:p>
          <w:p w14:paraId="62D22370" w14:textId="77777777" w:rsidR="00D14982" w:rsidRPr="00EB68E3" w:rsidRDefault="00D14982" w:rsidP="007F7513">
            <w:pPr>
              <w:spacing w:before="120" w:after="120"/>
            </w:pPr>
            <w:r w:rsidRPr="00EB68E3">
              <w:t>S&amp;D</w:t>
            </w:r>
          </w:p>
          <w:p w14:paraId="32A66345" w14:textId="77777777" w:rsidR="00D14982" w:rsidRPr="00EB68E3" w:rsidRDefault="00D14982" w:rsidP="007F7513">
            <w:pPr>
              <w:spacing w:before="120" w:after="120"/>
            </w:pPr>
            <w:r w:rsidRPr="00EB68E3">
              <w:t>Verts/ALE</w:t>
            </w:r>
          </w:p>
        </w:tc>
        <w:tc>
          <w:tcPr>
            <w:tcW w:w="7371" w:type="dxa"/>
            <w:shd w:val="clear" w:color="auto" w:fill="FFFFFF"/>
          </w:tcPr>
          <w:p w14:paraId="343B10E7" w14:textId="77777777" w:rsidR="00D14982" w:rsidRPr="00EB68E3" w:rsidRDefault="00D14982" w:rsidP="007F7513">
            <w:pPr>
              <w:spacing w:before="120" w:after="120"/>
              <w:rPr>
                <w:sz w:val="20"/>
              </w:rPr>
            </w:pPr>
            <w:r w:rsidRPr="00EB68E3">
              <w:rPr>
                <w:sz w:val="20"/>
              </w:rPr>
              <w:t>Nedzhmi Ali</w:t>
            </w:r>
          </w:p>
          <w:p w14:paraId="590448A8" w14:textId="77777777" w:rsidR="00D14982" w:rsidRPr="00EB68E3" w:rsidRDefault="00D14982" w:rsidP="007F7513">
            <w:pPr>
              <w:spacing w:before="120" w:after="120"/>
              <w:rPr>
                <w:sz w:val="20"/>
              </w:rPr>
            </w:pPr>
            <w:r w:rsidRPr="00EB68E3">
              <w:rPr>
                <w:sz w:val="20"/>
              </w:rPr>
              <w:t>Rosa D'Amato</w:t>
            </w:r>
          </w:p>
          <w:p w14:paraId="14642D99" w14:textId="77777777" w:rsidR="00D14982" w:rsidRPr="00EB68E3" w:rsidRDefault="00D14982" w:rsidP="007F7513">
            <w:pPr>
              <w:spacing w:before="120" w:after="120"/>
              <w:rPr>
                <w:sz w:val="20"/>
              </w:rPr>
            </w:pPr>
            <w:r w:rsidRPr="00EB68E3">
              <w:rPr>
                <w:sz w:val="20"/>
              </w:rPr>
              <w:t>Dennis de Jong</w:t>
            </w:r>
          </w:p>
          <w:p w14:paraId="623614E1" w14:textId="77777777" w:rsidR="00D14982" w:rsidRPr="00EB68E3" w:rsidRDefault="00D14982" w:rsidP="007F7513">
            <w:pPr>
              <w:spacing w:before="120" w:after="120"/>
              <w:rPr>
                <w:sz w:val="20"/>
              </w:rPr>
            </w:pPr>
            <w:r w:rsidRPr="00EB68E3">
              <w:rPr>
                <w:sz w:val="20"/>
              </w:rPr>
              <w:t>Inés Ayala Sender, Zigmantas Balčytis, José Blanco López, Bogusław Liberadzki, Georgi Pirinski, Derek Vaughan</w:t>
            </w:r>
          </w:p>
          <w:p w14:paraId="4FCBF4D2" w14:textId="77777777" w:rsidR="00D14982" w:rsidRPr="00EB68E3" w:rsidRDefault="00D14982" w:rsidP="007F7513">
            <w:pPr>
              <w:spacing w:before="120" w:after="120"/>
              <w:rPr>
                <w:sz w:val="20"/>
              </w:rPr>
            </w:pPr>
            <w:r w:rsidRPr="00EB68E3">
              <w:rPr>
                <w:sz w:val="20"/>
              </w:rPr>
              <w:t>Bart Staes</w:t>
            </w:r>
          </w:p>
        </w:tc>
      </w:tr>
    </w:tbl>
    <w:p w14:paraId="57ABFE7B" w14:textId="77777777" w:rsidR="00D14982" w:rsidRPr="00EB68E3" w:rsidRDefault="00D14982" w:rsidP="00D1498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4982" w:rsidRPr="00EB68E3" w14:paraId="1B145B02" w14:textId="77777777" w:rsidTr="007F7513">
        <w:trPr>
          <w:cantSplit/>
        </w:trPr>
        <w:tc>
          <w:tcPr>
            <w:tcW w:w="1701" w:type="dxa"/>
            <w:shd w:val="pct10" w:color="000000" w:fill="FFFFFF"/>
            <w:vAlign w:val="center"/>
          </w:tcPr>
          <w:p w14:paraId="7C4EAC0A" w14:textId="77777777" w:rsidR="00D14982" w:rsidRPr="00EB68E3" w:rsidRDefault="00D14982" w:rsidP="007F7513">
            <w:pPr>
              <w:spacing w:before="120" w:after="120"/>
              <w:jc w:val="center"/>
              <w:rPr>
                <w:b/>
                <w:sz w:val="20"/>
              </w:rPr>
            </w:pPr>
            <w:r w:rsidRPr="00EB68E3">
              <w:rPr>
                <w:b/>
                <w:sz w:val="20"/>
              </w:rPr>
              <w:t>10</w:t>
            </w:r>
          </w:p>
        </w:tc>
        <w:tc>
          <w:tcPr>
            <w:tcW w:w="7371" w:type="dxa"/>
            <w:shd w:val="pct10" w:color="000000" w:fill="FFFFFF"/>
          </w:tcPr>
          <w:p w14:paraId="712B0965" w14:textId="77777777" w:rsidR="00D14982" w:rsidRPr="00EB68E3" w:rsidRDefault="00D14982" w:rsidP="007F7513">
            <w:pPr>
              <w:spacing w:before="120" w:after="120"/>
              <w:jc w:val="center"/>
              <w:rPr>
                <w:sz w:val="28"/>
                <w:szCs w:val="28"/>
              </w:rPr>
            </w:pPr>
            <w:r w:rsidRPr="00EB68E3">
              <w:rPr>
                <w:rFonts w:ascii="Arial" w:hAnsi="Arial"/>
                <w:b/>
                <w:sz w:val="28"/>
                <w:szCs w:val="28"/>
              </w:rPr>
              <w:t>-</w:t>
            </w:r>
          </w:p>
        </w:tc>
      </w:tr>
      <w:tr w:rsidR="00D14982" w:rsidRPr="00EB68E3" w14:paraId="17FA9E50" w14:textId="77777777" w:rsidTr="007F7513">
        <w:trPr>
          <w:cantSplit/>
        </w:trPr>
        <w:tc>
          <w:tcPr>
            <w:tcW w:w="1701" w:type="dxa"/>
            <w:shd w:val="clear" w:color="auto" w:fill="FFFFFF"/>
          </w:tcPr>
          <w:p w14:paraId="76F4242E" w14:textId="77777777" w:rsidR="00D14982" w:rsidRPr="00EB68E3" w:rsidRDefault="00D14982" w:rsidP="007F7513">
            <w:pPr>
              <w:spacing w:before="120" w:after="120"/>
            </w:pPr>
            <w:r w:rsidRPr="00EB68E3">
              <w:t>ENF Group</w:t>
            </w:r>
          </w:p>
          <w:p w14:paraId="0F1CEB5B" w14:textId="77777777" w:rsidR="00D14982" w:rsidRPr="00EB68E3" w:rsidRDefault="00D14982" w:rsidP="007F7513">
            <w:pPr>
              <w:spacing w:before="120" w:after="120"/>
            </w:pPr>
            <w:r w:rsidRPr="00EB68E3">
              <w:t>GUE/NGL</w:t>
            </w:r>
          </w:p>
          <w:p w14:paraId="637DB23C" w14:textId="77777777" w:rsidR="00D14982" w:rsidRPr="00EB68E3" w:rsidRDefault="00D14982" w:rsidP="007F7513">
            <w:pPr>
              <w:spacing w:before="120" w:after="120"/>
            </w:pPr>
            <w:r w:rsidRPr="00EB68E3">
              <w:t>PPE</w:t>
            </w:r>
          </w:p>
        </w:tc>
        <w:tc>
          <w:tcPr>
            <w:tcW w:w="7371" w:type="dxa"/>
            <w:shd w:val="clear" w:color="auto" w:fill="FFFFFF"/>
          </w:tcPr>
          <w:p w14:paraId="682BA021" w14:textId="77777777" w:rsidR="00D14982" w:rsidRPr="00EB68E3" w:rsidRDefault="00D14982" w:rsidP="007F7513">
            <w:pPr>
              <w:spacing w:before="120" w:after="120"/>
              <w:rPr>
                <w:sz w:val="20"/>
              </w:rPr>
            </w:pPr>
            <w:r w:rsidRPr="00EB68E3">
              <w:rPr>
                <w:sz w:val="20"/>
              </w:rPr>
              <w:t>Jean</w:t>
            </w:r>
            <w:r w:rsidRPr="00EB68E3">
              <w:rPr>
                <w:sz w:val="20"/>
              </w:rPr>
              <w:noBreakHyphen/>
              <w:t>François Jalkh</w:t>
            </w:r>
          </w:p>
          <w:p w14:paraId="6CAB0740" w14:textId="77777777" w:rsidR="00D14982" w:rsidRPr="00EB68E3" w:rsidRDefault="00D14982" w:rsidP="007F7513">
            <w:pPr>
              <w:spacing w:before="120" w:after="120"/>
              <w:rPr>
                <w:sz w:val="20"/>
              </w:rPr>
            </w:pPr>
            <w:r w:rsidRPr="00EB68E3">
              <w:rPr>
                <w:sz w:val="20"/>
              </w:rPr>
              <w:t>Luke Ming Flanagan</w:t>
            </w:r>
          </w:p>
          <w:p w14:paraId="7842065A" w14:textId="77777777" w:rsidR="00D14982" w:rsidRPr="00EB68E3" w:rsidRDefault="00D14982" w:rsidP="007F7513">
            <w:pPr>
              <w:spacing w:before="120" w:after="120"/>
              <w:rPr>
                <w:sz w:val="20"/>
              </w:rPr>
            </w:pPr>
            <w:r w:rsidRPr="00EB68E3">
              <w:rPr>
                <w:sz w:val="20"/>
              </w:rPr>
              <w:t>Tamás Deutsch, Ingeborg Gräßle, Julia Pitera, José Ignacio Salafranca Sánchez</w:t>
            </w:r>
            <w:r w:rsidRPr="00EB68E3">
              <w:rPr>
                <w:sz w:val="20"/>
              </w:rPr>
              <w:noBreakHyphen/>
              <w:t>Neyra, Petri Sarvamaa, Claudia Schmidt, Tomáš Zdechovský, Joachim Zeller</w:t>
            </w:r>
          </w:p>
        </w:tc>
      </w:tr>
    </w:tbl>
    <w:p w14:paraId="04982108" w14:textId="77777777" w:rsidR="00D14982" w:rsidRPr="00EB68E3" w:rsidRDefault="00D14982" w:rsidP="00D1498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4982" w:rsidRPr="00EB68E3" w14:paraId="183B58AF" w14:textId="77777777" w:rsidTr="007F7513">
        <w:trPr>
          <w:cantSplit/>
        </w:trPr>
        <w:tc>
          <w:tcPr>
            <w:tcW w:w="1701" w:type="dxa"/>
            <w:shd w:val="pct10" w:color="000000" w:fill="FFFFFF"/>
            <w:vAlign w:val="center"/>
          </w:tcPr>
          <w:p w14:paraId="5B37EBB3" w14:textId="77777777" w:rsidR="00D14982" w:rsidRPr="00EB68E3" w:rsidRDefault="00D14982" w:rsidP="007F7513">
            <w:pPr>
              <w:spacing w:before="120" w:after="120"/>
              <w:jc w:val="center"/>
              <w:rPr>
                <w:b/>
                <w:sz w:val="20"/>
              </w:rPr>
            </w:pPr>
            <w:r w:rsidRPr="00EB68E3">
              <w:rPr>
                <w:b/>
                <w:sz w:val="20"/>
              </w:rPr>
              <w:t>1</w:t>
            </w:r>
          </w:p>
        </w:tc>
        <w:tc>
          <w:tcPr>
            <w:tcW w:w="7371" w:type="dxa"/>
            <w:shd w:val="pct10" w:color="000000" w:fill="FFFFFF"/>
          </w:tcPr>
          <w:p w14:paraId="0B5A09EC" w14:textId="77777777" w:rsidR="00D14982" w:rsidRPr="00EB68E3" w:rsidRDefault="00D14982" w:rsidP="007F7513">
            <w:pPr>
              <w:spacing w:before="120" w:after="120"/>
              <w:jc w:val="center"/>
              <w:rPr>
                <w:sz w:val="28"/>
                <w:szCs w:val="28"/>
              </w:rPr>
            </w:pPr>
            <w:r w:rsidRPr="00EB68E3">
              <w:rPr>
                <w:rFonts w:ascii="Arial" w:hAnsi="Arial"/>
                <w:b/>
                <w:sz w:val="28"/>
                <w:szCs w:val="28"/>
              </w:rPr>
              <w:t>0</w:t>
            </w:r>
          </w:p>
        </w:tc>
      </w:tr>
      <w:tr w:rsidR="00D14982" w:rsidRPr="00EB68E3" w14:paraId="2E087159" w14:textId="77777777" w:rsidTr="007F7513">
        <w:trPr>
          <w:cantSplit/>
        </w:trPr>
        <w:tc>
          <w:tcPr>
            <w:tcW w:w="1701" w:type="dxa"/>
            <w:shd w:val="clear" w:color="auto" w:fill="FFFFFF"/>
          </w:tcPr>
          <w:p w14:paraId="37C60306" w14:textId="77777777" w:rsidR="00D14982" w:rsidRPr="00EB68E3" w:rsidRDefault="00D14982" w:rsidP="007F7513">
            <w:pPr>
              <w:spacing w:before="120" w:after="120"/>
              <w:rPr>
                <w:sz w:val="20"/>
              </w:rPr>
            </w:pPr>
            <w:r w:rsidRPr="00EB68E3">
              <w:t>ALDE</w:t>
            </w:r>
            <w:bookmarkStart w:id="16" w:name="DocEPLastPosition"/>
            <w:bookmarkEnd w:id="16"/>
          </w:p>
        </w:tc>
        <w:tc>
          <w:tcPr>
            <w:tcW w:w="7371" w:type="dxa"/>
            <w:shd w:val="clear" w:color="auto" w:fill="FFFFFF"/>
          </w:tcPr>
          <w:p w14:paraId="426EC1AA" w14:textId="77777777" w:rsidR="00D14982" w:rsidRPr="00EB68E3" w:rsidRDefault="00D14982" w:rsidP="007F7513">
            <w:pPr>
              <w:spacing w:before="120" w:after="120"/>
              <w:rPr>
                <w:sz w:val="20"/>
              </w:rPr>
            </w:pPr>
            <w:r w:rsidRPr="00EB68E3">
              <w:rPr>
                <w:sz w:val="20"/>
              </w:rPr>
              <w:t>Martina Dlabajová</w:t>
            </w:r>
          </w:p>
        </w:tc>
      </w:tr>
    </w:tbl>
    <w:p w14:paraId="14F12DF7" w14:textId="77777777" w:rsidR="00D14982" w:rsidRPr="00EB68E3" w:rsidRDefault="00D14982" w:rsidP="00D14982">
      <w:pPr>
        <w:pStyle w:val="Normal12"/>
      </w:pPr>
    </w:p>
    <w:p w14:paraId="037D0CEA" w14:textId="77777777" w:rsidR="00D14982" w:rsidRPr="00EB68E3" w:rsidRDefault="00D14982" w:rsidP="00D14982">
      <w:r w:rsidRPr="00EB68E3">
        <w:t>Symbolien selitys:</w:t>
      </w:r>
    </w:p>
    <w:p w14:paraId="6F65189D" w14:textId="77777777" w:rsidR="00D14982" w:rsidRPr="00EB68E3" w:rsidRDefault="00D14982" w:rsidP="00D14982">
      <w:pPr>
        <w:pStyle w:val="NormalTabs"/>
      </w:pPr>
      <w:r w:rsidRPr="00EB68E3">
        <w:t>+</w:t>
      </w:r>
      <w:r w:rsidRPr="00EB68E3">
        <w:tab/>
        <w:t>:</w:t>
      </w:r>
      <w:r w:rsidRPr="00EB68E3">
        <w:tab/>
        <w:t>puolesta</w:t>
      </w:r>
    </w:p>
    <w:p w14:paraId="146E344D" w14:textId="77777777" w:rsidR="00D14982" w:rsidRPr="00EB68E3" w:rsidRDefault="00D14982" w:rsidP="00D14982">
      <w:pPr>
        <w:pStyle w:val="NormalTabs"/>
      </w:pPr>
      <w:r w:rsidRPr="00EB68E3">
        <w:t>-</w:t>
      </w:r>
      <w:r w:rsidRPr="00EB68E3">
        <w:tab/>
        <w:t>:</w:t>
      </w:r>
      <w:r w:rsidRPr="00EB68E3">
        <w:tab/>
        <w:t>vastaan</w:t>
      </w:r>
    </w:p>
    <w:p w14:paraId="62D92BC9" w14:textId="77777777" w:rsidR="00D14982" w:rsidRPr="00EB68E3" w:rsidRDefault="00D14982" w:rsidP="00D14982">
      <w:pPr>
        <w:pStyle w:val="NormalTabs"/>
      </w:pPr>
      <w:r w:rsidRPr="00EB68E3">
        <w:t>0</w:t>
      </w:r>
      <w:r w:rsidRPr="00EB68E3">
        <w:tab/>
        <w:t>:</w:t>
      </w:r>
      <w:r w:rsidRPr="00EB68E3">
        <w:tab/>
        <w:t>tyhjää</w:t>
      </w:r>
    </w:p>
    <w:p w14:paraId="4071B89A" w14:textId="77777777" w:rsidR="00D14982" w:rsidRPr="00EB68E3" w:rsidRDefault="00D14982" w:rsidP="00D14982"/>
    <w:p w14:paraId="14B7A691" w14:textId="5FC43A51" w:rsidR="00D14982" w:rsidRPr="00EB68E3" w:rsidRDefault="00D14982" w:rsidP="00D14982">
      <w:pPr>
        <w:pStyle w:val="PageHeading"/>
      </w:pPr>
      <w:r w:rsidRPr="00EB68E3">
        <w:br w:type="page"/>
      </w:r>
      <w:bookmarkStart w:id="17" w:name="_Toc3545228"/>
      <w:r w:rsidRPr="00EB68E3">
        <w:t>LOPULLINEN ÄÄNESTYS NIMENHUUTOÄÄNESTYKSENÄ</w:t>
      </w:r>
      <w:r w:rsidRPr="00EB68E3">
        <w:br/>
        <w:t>ASIASTA VASTAAVASSA VALIOKUNNASSA</w:t>
      </w:r>
      <w:bookmarkEnd w:id="1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4982" w:rsidRPr="00EB68E3" w14:paraId="0B28FFE0" w14:textId="77777777" w:rsidTr="007F7513">
        <w:trPr>
          <w:cantSplit/>
        </w:trPr>
        <w:tc>
          <w:tcPr>
            <w:tcW w:w="1701" w:type="dxa"/>
            <w:shd w:val="pct10" w:color="000000" w:fill="FFFFFF"/>
            <w:vAlign w:val="center"/>
          </w:tcPr>
          <w:p w14:paraId="647DBDF3" w14:textId="019CCCDF" w:rsidR="00D14982" w:rsidRPr="00EB68E3" w:rsidRDefault="00D14982" w:rsidP="007F7513">
            <w:pPr>
              <w:spacing w:before="120" w:after="120"/>
              <w:jc w:val="center"/>
              <w:rPr>
                <w:b/>
                <w:sz w:val="20"/>
              </w:rPr>
            </w:pPr>
            <w:r w:rsidRPr="00EB68E3">
              <w:rPr>
                <w:b/>
                <w:sz w:val="20"/>
              </w:rPr>
              <w:t>20</w:t>
            </w:r>
          </w:p>
        </w:tc>
        <w:tc>
          <w:tcPr>
            <w:tcW w:w="7371" w:type="dxa"/>
            <w:shd w:val="pct10" w:color="000000" w:fill="FFFFFF"/>
          </w:tcPr>
          <w:p w14:paraId="46ECF2BC" w14:textId="77777777" w:rsidR="00D14982" w:rsidRPr="00EB68E3" w:rsidRDefault="00D14982" w:rsidP="007F7513">
            <w:pPr>
              <w:spacing w:before="120" w:after="120"/>
              <w:jc w:val="center"/>
              <w:rPr>
                <w:rFonts w:ascii="Arial" w:hAnsi="Arial" w:cs="Arial"/>
                <w:b/>
                <w:sz w:val="28"/>
                <w:szCs w:val="28"/>
              </w:rPr>
            </w:pPr>
            <w:r w:rsidRPr="00EB68E3">
              <w:rPr>
                <w:rFonts w:ascii="Arial" w:hAnsi="Arial"/>
                <w:b/>
                <w:sz w:val="28"/>
                <w:szCs w:val="28"/>
              </w:rPr>
              <w:t>+</w:t>
            </w:r>
          </w:p>
        </w:tc>
      </w:tr>
      <w:tr w:rsidR="00D14982" w:rsidRPr="00EB68E3" w14:paraId="4F080EDD" w14:textId="77777777" w:rsidTr="007F7513">
        <w:trPr>
          <w:cantSplit/>
        </w:trPr>
        <w:tc>
          <w:tcPr>
            <w:tcW w:w="1701" w:type="dxa"/>
            <w:shd w:val="clear" w:color="auto" w:fill="FFFFFF"/>
          </w:tcPr>
          <w:p w14:paraId="3EECE53B" w14:textId="7BF7708F" w:rsidR="00D14982" w:rsidRPr="00EB68E3" w:rsidRDefault="00D14982" w:rsidP="007F7513">
            <w:pPr>
              <w:spacing w:before="120" w:after="120"/>
              <w:rPr>
                <w:sz w:val="20"/>
              </w:rPr>
            </w:pPr>
            <w:r w:rsidRPr="00EB68E3">
              <w:rPr>
                <w:sz w:val="20"/>
              </w:rPr>
              <w:t>ALDE</w:t>
            </w:r>
          </w:p>
        </w:tc>
        <w:tc>
          <w:tcPr>
            <w:tcW w:w="7371" w:type="dxa"/>
            <w:shd w:val="clear" w:color="auto" w:fill="FFFFFF"/>
          </w:tcPr>
          <w:p w14:paraId="2122CC65" w14:textId="154D00E8" w:rsidR="00D14982" w:rsidRPr="00EB68E3" w:rsidRDefault="00D14982" w:rsidP="007F7513">
            <w:pPr>
              <w:spacing w:before="120" w:after="120"/>
              <w:rPr>
                <w:sz w:val="20"/>
              </w:rPr>
            </w:pPr>
            <w:r w:rsidRPr="00EB68E3">
              <w:rPr>
                <w:sz w:val="20"/>
              </w:rPr>
              <w:t>Nedzhmi Ali, Martina Dlabajová, Wolf Klinz</w:t>
            </w:r>
          </w:p>
        </w:tc>
      </w:tr>
      <w:tr w:rsidR="00D14982" w:rsidRPr="00EB68E3" w14:paraId="3D57F5CF" w14:textId="77777777" w:rsidTr="007F7513">
        <w:trPr>
          <w:cantSplit/>
        </w:trPr>
        <w:tc>
          <w:tcPr>
            <w:tcW w:w="1701" w:type="dxa"/>
            <w:shd w:val="clear" w:color="auto" w:fill="FFFFFF"/>
          </w:tcPr>
          <w:p w14:paraId="171E48BB" w14:textId="2436C22E" w:rsidR="00D14982" w:rsidRPr="00EB68E3" w:rsidRDefault="00D14982" w:rsidP="007F7513">
            <w:pPr>
              <w:spacing w:before="120" w:after="120"/>
              <w:rPr>
                <w:sz w:val="20"/>
              </w:rPr>
            </w:pPr>
            <w:r w:rsidRPr="00EB68E3">
              <w:rPr>
                <w:sz w:val="20"/>
              </w:rPr>
              <w:t>ENF</w:t>
            </w:r>
          </w:p>
        </w:tc>
        <w:tc>
          <w:tcPr>
            <w:tcW w:w="7371" w:type="dxa"/>
            <w:shd w:val="clear" w:color="auto" w:fill="FFFFFF"/>
          </w:tcPr>
          <w:p w14:paraId="7FD8DB09" w14:textId="72E4E994" w:rsidR="00D14982" w:rsidRPr="00EB68E3" w:rsidRDefault="00D14982" w:rsidP="007F7513">
            <w:pPr>
              <w:spacing w:before="120" w:after="120"/>
              <w:rPr>
                <w:sz w:val="20"/>
              </w:rPr>
            </w:pPr>
            <w:r w:rsidRPr="00EB68E3">
              <w:rPr>
                <w:sz w:val="20"/>
              </w:rPr>
              <w:t>Jean-François Jalkh</w:t>
            </w:r>
          </w:p>
        </w:tc>
      </w:tr>
      <w:tr w:rsidR="00D14982" w:rsidRPr="00EB68E3" w14:paraId="60BDA72D" w14:textId="77777777" w:rsidTr="007F7513">
        <w:trPr>
          <w:cantSplit/>
        </w:trPr>
        <w:tc>
          <w:tcPr>
            <w:tcW w:w="1701" w:type="dxa"/>
            <w:shd w:val="clear" w:color="auto" w:fill="FFFFFF"/>
          </w:tcPr>
          <w:p w14:paraId="6C3017DB" w14:textId="2FDAEEBF" w:rsidR="00D14982" w:rsidRPr="00EB68E3" w:rsidRDefault="00D14982" w:rsidP="007F7513">
            <w:pPr>
              <w:spacing w:before="120" w:after="120"/>
              <w:rPr>
                <w:sz w:val="20"/>
              </w:rPr>
            </w:pPr>
            <w:r w:rsidRPr="00EB68E3">
              <w:rPr>
                <w:sz w:val="20"/>
              </w:rPr>
              <w:t>GUE/NGL</w:t>
            </w:r>
          </w:p>
        </w:tc>
        <w:tc>
          <w:tcPr>
            <w:tcW w:w="7371" w:type="dxa"/>
            <w:shd w:val="clear" w:color="auto" w:fill="FFFFFF"/>
          </w:tcPr>
          <w:p w14:paraId="0C1019E2" w14:textId="730A18E5" w:rsidR="00D14982" w:rsidRPr="00EB68E3" w:rsidRDefault="00D14982" w:rsidP="007F7513">
            <w:pPr>
              <w:spacing w:before="120" w:after="120"/>
              <w:rPr>
                <w:sz w:val="20"/>
              </w:rPr>
            </w:pPr>
            <w:r w:rsidRPr="00EB68E3">
              <w:rPr>
                <w:sz w:val="20"/>
              </w:rPr>
              <w:t>Luke Ming Flanagan, Dennis de Jong</w:t>
            </w:r>
          </w:p>
        </w:tc>
      </w:tr>
      <w:tr w:rsidR="00D14982" w:rsidRPr="00EB68E3" w14:paraId="308C662D" w14:textId="77777777" w:rsidTr="007F7513">
        <w:trPr>
          <w:cantSplit/>
        </w:trPr>
        <w:tc>
          <w:tcPr>
            <w:tcW w:w="1701" w:type="dxa"/>
            <w:shd w:val="clear" w:color="auto" w:fill="FFFFFF"/>
          </w:tcPr>
          <w:p w14:paraId="006038EA" w14:textId="59FE7C08" w:rsidR="00D14982" w:rsidRPr="00EB68E3" w:rsidRDefault="00D14982" w:rsidP="007F7513">
            <w:pPr>
              <w:spacing w:before="120" w:after="120"/>
              <w:rPr>
                <w:sz w:val="20"/>
              </w:rPr>
            </w:pPr>
            <w:r w:rsidRPr="00EB68E3">
              <w:rPr>
                <w:sz w:val="20"/>
              </w:rPr>
              <w:t>PPE</w:t>
            </w:r>
          </w:p>
        </w:tc>
        <w:tc>
          <w:tcPr>
            <w:tcW w:w="7371" w:type="dxa"/>
            <w:shd w:val="clear" w:color="auto" w:fill="FFFFFF"/>
          </w:tcPr>
          <w:p w14:paraId="067423C1" w14:textId="6A63CD65" w:rsidR="00D14982" w:rsidRPr="00EB68E3" w:rsidRDefault="00D14982" w:rsidP="007F7513">
            <w:pPr>
              <w:spacing w:before="120" w:after="120"/>
              <w:rPr>
                <w:sz w:val="20"/>
              </w:rPr>
            </w:pPr>
            <w:r w:rsidRPr="00EB68E3">
              <w:rPr>
                <w:sz w:val="20"/>
              </w:rPr>
              <w:t>Tamás Deutsch, Ingeborg Gräßle, Julia Pitera, José Ignacio Salafranca Sánchez-Neyra, Petri Sarvamaa, Claudia Schmidt, Tomáš Zdechovský, Joachim Zeller</w:t>
            </w:r>
          </w:p>
        </w:tc>
      </w:tr>
      <w:tr w:rsidR="00D14982" w:rsidRPr="00EB68E3" w14:paraId="098C5AAD" w14:textId="77777777" w:rsidTr="007F7513">
        <w:trPr>
          <w:cantSplit/>
        </w:trPr>
        <w:tc>
          <w:tcPr>
            <w:tcW w:w="1701" w:type="dxa"/>
            <w:shd w:val="clear" w:color="auto" w:fill="FFFFFF"/>
          </w:tcPr>
          <w:p w14:paraId="3F5EBB2C" w14:textId="2A2CBCCC" w:rsidR="00D14982" w:rsidRPr="00EB68E3" w:rsidRDefault="00D14982" w:rsidP="007F7513">
            <w:pPr>
              <w:spacing w:before="120" w:after="120"/>
              <w:rPr>
                <w:sz w:val="20"/>
              </w:rPr>
            </w:pPr>
            <w:r w:rsidRPr="00EB68E3">
              <w:rPr>
                <w:sz w:val="20"/>
              </w:rPr>
              <w:t>S&amp;D</w:t>
            </w:r>
          </w:p>
        </w:tc>
        <w:tc>
          <w:tcPr>
            <w:tcW w:w="7371" w:type="dxa"/>
            <w:shd w:val="clear" w:color="auto" w:fill="FFFFFF"/>
          </w:tcPr>
          <w:p w14:paraId="303F5AD5" w14:textId="2BF7C818" w:rsidR="00D14982" w:rsidRPr="00EB68E3" w:rsidRDefault="00D14982" w:rsidP="007F7513">
            <w:pPr>
              <w:spacing w:before="120" w:after="120"/>
              <w:rPr>
                <w:sz w:val="20"/>
              </w:rPr>
            </w:pPr>
            <w:r w:rsidRPr="00EB68E3">
              <w:rPr>
                <w:sz w:val="20"/>
              </w:rPr>
              <w:t>Inés Ayala Sender, Zigmantas Balčytis, Bogusław Liberadzki, Georgi Pirinski, Derek Vaughan</w:t>
            </w:r>
          </w:p>
        </w:tc>
      </w:tr>
      <w:tr w:rsidR="00D14982" w:rsidRPr="00EB68E3" w14:paraId="7CA914FF" w14:textId="77777777" w:rsidTr="007F7513">
        <w:trPr>
          <w:cantSplit/>
        </w:trPr>
        <w:tc>
          <w:tcPr>
            <w:tcW w:w="1701" w:type="dxa"/>
            <w:shd w:val="clear" w:color="auto" w:fill="FFFFFF"/>
          </w:tcPr>
          <w:p w14:paraId="256AE543" w14:textId="5FEE92AA" w:rsidR="00D14982" w:rsidRPr="00EB68E3" w:rsidRDefault="00D14982" w:rsidP="007F7513">
            <w:pPr>
              <w:spacing w:before="120" w:after="120"/>
              <w:rPr>
                <w:sz w:val="20"/>
              </w:rPr>
            </w:pPr>
            <w:r w:rsidRPr="00EB68E3">
              <w:rPr>
                <w:sz w:val="20"/>
              </w:rPr>
              <w:t>VERTS/ALE</w:t>
            </w:r>
          </w:p>
        </w:tc>
        <w:tc>
          <w:tcPr>
            <w:tcW w:w="7371" w:type="dxa"/>
            <w:shd w:val="clear" w:color="auto" w:fill="FFFFFF"/>
          </w:tcPr>
          <w:p w14:paraId="10EA0406" w14:textId="4983E037" w:rsidR="00D14982" w:rsidRPr="00EB68E3" w:rsidRDefault="00D14982" w:rsidP="007F7513">
            <w:pPr>
              <w:spacing w:before="120" w:after="120"/>
              <w:rPr>
                <w:sz w:val="20"/>
              </w:rPr>
            </w:pPr>
            <w:r w:rsidRPr="00EB68E3">
              <w:rPr>
                <w:sz w:val="20"/>
              </w:rPr>
              <w:t>Bart Staes</w:t>
            </w:r>
          </w:p>
        </w:tc>
      </w:tr>
    </w:tbl>
    <w:p w14:paraId="032F1BC4" w14:textId="77777777" w:rsidR="00D14982" w:rsidRPr="00EB68E3" w:rsidRDefault="00D14982" w:rsidP="007F751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4982" w:rsidRPr="00EB68E3" w14:paraId="25C29E22" w14:textId="77777777" w:rsidTr="007F7513">
        <w:trPr>
          <w:cantSplit/>
        </w:trPr>
        <w:tc>
          <w:tcPr>
            <w:tcW w:w="1701" w:type="dxa"/>
            <w:shd w:val="pct10" w:color="000000" w:fill="FFFFFF"/>
            <w:vAlign w:val="center"/>
          </w:tcPr>
          <w:p w14:paraId="4148DBC3" w14:textId="72D1A840" w:rsidR="00D14982" w:rsidRPr="00EB68E3" w:rsidRDefault="00D14982" w:rsidP="007F7513">
            <w:pPr>
              <w:spacing w:before="120" w:after="120"/>
              <w:jc w:val="center"/>
              <w:rPr>
                <w:b/>
                <w:sz w:val="20"/>
              </w:rPr>
            </w:pPr>
            <w:r w:rsidRPr="00EB68E3">
              <w:rPr>
                <w:b/>
                <w:sz w:val="20"/>
              </w:rPr>
              <w:t>4</w:t>
            </w:r>
          </w:p>
        </w:tc>
        <w:tc>
          <w:tcPr>
            <w:tcW w:w="7371" w:type="dxa"/>
            <w:shd w:val="pct10" w:color="000000" w:fill="FFFFFF"/>
          </w:tcPr>
          <w:p w14:paraId="23238C1B" w14:textId="77777777" w:rsidR="00D14982" w:rsidRPr="00EB68E3" w:rsidRDefault="00D14982" w:rsidP="007F7513">
            <w:pPr>
              <w:spacing w:before="120" w:after="120"/>
              <w:jc w:val="center"/>
              <w:rPr>
                <w:sz w:val="28"/>
                <w:szCs w:val="28"/>
              </w:rPr>
            </w:pPr>
            <w:r w:rsidRPr="00EB68E3">
              <w:rPr>
                <w:rFonts w:ascii="Arial" w:hAnsi="Arial"/>
                <w:b/>
                <w:sz w:val="28"/>
                <w:szCs w:val="28"/>
              </w:rPr>
              <w:t>-</w:t>
            </w:r>
          </w:p>
        </w:tc>
      </w:tr>
      <w:tr w:rsidR="00D14982" w:rsidRPr="00EB68E3" w14:paraId="02CA33BC" w14:textId="77777777" w:rsidTr="007F7513">
        <w:trPr>
          <w:cantSplit/>
        </w:trPr>
        <w:tc>
          <w:tcPr>
            <w:tcW w:w="1701" w:type="dxa"/>
            <w:shd w:val="clear" w:color="auto" w:fill="FFFFFF"/>
          </w:tcPr>
          <w:p w14:paraId="36394C47" w14:textId="773E18B5" w:rsidR="00D14982" w:rsidRPr="00EB68E3" w:rsidRDefault="00D14982" w:rsidP="007F7513">
            <w:pPr>
              <w:spacing w:before="120" w:after="120"/>
              <w:rPr>
                <w:sz w:val="20"/>
              </w:rPr>
            </w:pPr>
            <w:r w:rsidRPr="00EB68E3">
              <w:rPr>
                <w:sz w:val="20"/>
              </w:rPr>
              <w:t>ECR</w:t>
            </w:r>
          </w:p>
        </w:tc>
        <w:tc>
          <w:tcPr>
            <w:tcW w:w="7371" w:type="dxa"/>
            <w:shd w:val="clear" w:color="auto" w:fill="FFFFFF"/>
          </w:tcPr>
          <w:p w14:paraId="4F301609" w14:textId="45069E14" w:rsidR="00D14982" w:rsidRPr="00EB68E3" w:rsidRDefault="00D14982" w:rsidP="007F7513">
            <w:pPr>
              <w:spacing w:before="120" w:after="120"/>
              <w:rPr>
                <w:sz w:val="20"/>
              </w:rPr>
            </w:pPr>
            <w:r w:rsidRPr="00EB68E3">
              <w:rPr>
                <w:sz w:val="20"/>
              </w:rPr>
              <w:t>John Flack, Czesław Hoc</w:t>
            </w:r>
          </w:p>
        </w:tc>
      </w:tr>
      <w:tr w:rsidR="00D14982" w:rsidRPr="00EB68E3" w14:paraId="7FFFE7C1" w14:textId="77777777" w:rsidTr="007F7513">
        <w:trPr>
          <w:cantSplit/>
        </w:trPr>
        <w:tc>
          <w:tcPr>
            <w:tcW w:w="1701" w:type="dxa"/>
            <w:shd w:val="clear" w:color="auto" w:fill="FFFFFF"/>
          </w:tcPr>
          <w:p w14:paraId="211CDD15" w14:textId="753F4CB5" w:rsidR="00D14982" w:rsidRPr="00EB68E3" w:rsidRDefault="00D14982" w:rsidP="007F7513">
            <w:pPr>
              <w:spacing w:before="120" w:after="120"/>
              <w:rPr>
                <w:sz w:val="20"/>
              </w:rPr>
            </w:pPr>
            <w:r w:rsidRPr="00EB68E3">
              <w:rPr>
                <w:sz w:val="20"/>
              </w:rPr>
              <w:t>EFDD</w:t>
            </w:r>
          </w:p>
        </w:tc>
        <w:tc>
          <w:tcPr>
            <w:tcW w:w="7371" w:type="dxa"/>
            <w:shd w:val="clear" w:color="auto" w:fill="FFFFFF"/>
          </w:tcPr>
          <w:p w14:paraId="6B5A3DC0" w14:textId="3A066DBE" w:rsidR="00D14982" w:rsidRPr="00EB68E3" w:rsidRDefault="00D14982" w:rsidP="007F7513">
            <w:pPr>
              <w:spacing w:before="120" w:after="120"/>
              <w:rPr>
                <w:sz w:val="20"/>
              </w:rPr>
            </w:pPr>
            <w:r w:rsidRPr="00EB68E3">
              <w:rPr>
                <w:sz w:val="20"/>
              </w:rPr>
              <w:t>Rosa D'Amato</w:t>
            </w:r>
          </w:p>
        </w:tc>
      </w:tr>
      <w:tr w:rsidR="00D14982" w:rsidRPr="00EB68E3" w14:paraId="4583FC18" w14:textId="77777777" w:rsidTr="007F7513">
        <w:trPr>
          <w:cantSplit/>
        </w:trPr>
        <w:tc>
          <w:tcPr>
            <w:tcW w:w="1701" w:type="dxa"/>
            <w:shd w:val="clear" w:color="auto" w:fill="FFFFFF"/>
          </w:tcPr>
          <w:p w14:paraId="6085E3F2" w14:textId="2B797052" w:rsidR="00D14982" w:rsidRPr="00EB68E3" w:rsidRDefault="00D14982" w:rsidP="007F7513">
            <w:pPr>
              <w:spacing w:before="120" w:after="120"/>
              <w:rPr>
                <w:sz w:val="20"/>
              </w:rPr>
            </w:pPr>
            <w:r w:rsidRPr="00EB68E3">
              <w:rPr>
                <w:sz w:val="20"/>
              </w:rPr>
              <w:t>S&amp;D</w:t>
            </w:r>
          </w:p>
        </w:tc>
        <w:tc>
          <w:tcPr>
            <w:tcW w:w="7371" w:type="dxa"/>
            <w:shd w:val="clear" w:color="auto" w:fill="FFFFFF"/>
          </w:tcPr>
          <w:p w14:paraId="0B86980E" w14:textId="420DBAB3" w:rsidR="00D14982" w:rsidRPr="00EB68E3" w:rsidRDefault="00D14982" w:rsidP="007F7513">
            <w:pPr>
              <w:spacing w:before="120" w:after="120"/>
              <w:rPr>
                <w:sz w:val="20"/>
              </w:rPr>
            </w:pPr>
            <w:r w:rsidRPr="00EB68E3">
              <w:rPr>
                <w:sz w:val="20"/>
              </w:rPr>
              <w:t>José Blanco López</w:t>
            </w:r>
          </w:p>
        </w:tc>
      </w:tr>
    </w:tbl>
    <w:p w14:paraId="222F6C52" w14:textId="77777777" w:rsidR="00D14982" w:rsidRPr="00EB68E3" w:rsidRDefault="00D14982" w:rsidP="007F7513"/>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14982" w:rsidRPr="00EB68E3" w14:paraId="7E1894C4" w14:textId="77777777" w:rsidTr="007F7513">
        <w:trPr>
          <w:cantSplit/>
        </w:trPr>
        <w:tc>
          <w:tcPr>
            <w:tcW w:w="1701" w:type="dxa"/>
            <w:shd w:val="pct10" w:color="000000" w:fill="FFFFFF"/>
            <w:vAlign w:val="center"/>
          </w:tcPr>
          <w:p w14:paraId="105B4209" w14:textId="6B87539A" w:rsidR="00D14982" w:rsidRPr="00EB68E3" w:rsidRDefault="00D14982" w:rsidP="007F7513">
            <w:pPr>
              <w:spacing w:before="120" w:after="120"/>
              <w:jc w:val="center"/>
              <w:rPr>
                <w:b/>
                <w:sz w:val="20"/>
              </w:rPr>
            </w:pPr>
            <w:r w:rsidRPr="00EB68E3">
              <w:rPr>
                <w:b/>
                <w:sz w:val="20"/>
              </w:rPr>
              <w:t>0</w:t>
            </w:r>
          </w:p>
        </w:tc>
        <w:tc>
          <w:tcPr>
            <w:tcW w:w="7371" w:type="dxa"/>
            <w:shd w:val="pct10" w:color="000000" w:fill="FFFFFF"/>
          </w:tcPr>
          <w:p w14:paraId="18011F40" w14:textId="77777777" w:rsidR="00D14982" w:rsidRPr="00EB68E3" w:rsidRDefault="00D14982" w:rsidP="007F7513">
            <w:pPr>
              <w:spacing w:before="120" w:after="120"/>
              <w:jc w:val="center"/>
              <w:rPr>
                <w:sz w:val="28"/>
                <w:szCs w:val="28"/>
              </w:rPr>
            </w:pPr>
            <w:r w:rsidRPr="00EB68E3">
              <w:rPr>
                <w:rFonts w:ascii="Arial" w:hAnsi="Arial"/>
                <w:b/>
                <w:sz w:val="28"/>
                <w:szCs w:val="28"/>
              </w:rPr>
              <w:t>0</w:t>
            </w:r>
          </w:p>
        </w:tc>
      </w:tr>
      <w:tr w:rsidR="00D14982" w:rsidRPr="00EB68E3" w14:paraId="39B4C34B" w14:textId="77777777" w:rsidTr="007F7513">
        <w:trPr>
          <w:cantSplit/>
        </w:trPr>
        <w:tc>
          <w:tcPr>
            <w:tcW w:w="1701" w:type="dxa"/>
            <w:shd w:val="clear" w:color="auto" w:fill="FFFFFF"/>
          </w:tcPr>
          <w:p w14:paraId="10101E17" w14:textId="5477820C" w:rsidR="00D14982" w:rsidRPr="00EB68E3" w:rsidRDefault="00D14982" w:rsidP="007F7513">
            <w:pPr>
              <w:spacing w:before="120" w:after="120"/>
              <w:rPr>
                <w:sz w:val="20"/>
              </w:rPr>
            </w:pPr>
          </w:p>
        </w:tc>
        <w:tc>
          <w:tcPr>
            <w:tcW w:w="7371" w:type="dxa"/>
            <w:shd w:val="clear" w:color="auto" w:fill="FFFFFF"/>
          </w:tcPr>
          <w:p w14:paraId="555F07A2" w14:textId="4C9FC8EA" w:rsidR="00D14982" w:rsidRPr="00EB68E3" w:rsidRDefault="00D14982" w:rsidP="007F7513">
            <w:pPr>
              <w:spacing w:before="120" w:after="120"/>
              <w:rPr>
                <w:sz w:val="20"/>
              </w:rPr>
            </w:pPr>
          </w:p>
        </w:tc>
      </w:tr>
    </w:tbl>
    <w:p w14:paraId="66B4EE3C" w14:textId="77777777" w:rsidR="00D14982" w:rsidRPr="00EB68E3" w:rsidRDefault="00D14982" w:rsidP="007F7513">
      <w:pPr>
        <w:pStyle w:val="Normal12"/>
      </w:pPr>
    </w:p>
    <w:p w14:paraId="46245368" w14:textId="5A59D389" w:rsidR="00D14982" w:rsidRPr="00EB68E3" w:rsidRDefault="00D14982" w:rsidP="007F7513">
      <w:r w:rsidRPr="00EB68E3">
        <w:t>Symbolien selitys:</w:t>
      </w:r>
    </w:p>
    <w:p w14:paraId="7AA08DED" w14:textId="1CA4100E" w:rsidR="00D14982" w:rsidRPr="00EB68E3" w:rsidRDefault="00D14982" w:rsidP="007F7513">
      <w:pPr>
        <w:pStyle w:val="NormalTabs"/>
      </w:pPr>
      <w:r w:rsidRPr="00EB68E3">
        <w:t>+</w:t>
      </w:r>
      <w:r w:rsidRPr="00EB68E3">
        <w:tab/>
        <w:t>:</w:t>
      </w:r>
      <w:r w:rsidRPr="00EB68E3">
        <w:tab/>
        <w:t>puolesta</w:t>
      </w:r>
    </w:p>
    <w:p w14:paraId="7C71B26F" w14:textId="335EB8F4" w:rsidR="00D14982" w:rsidRPr="00EB68E3" w:rsidRDefault="00D14982" w:rsidP="007F7513">
      <w:pPr>
        <w:pStyle w:val="NormalTabs"/>
      </w:pPr>
      <w:r w:rsidRPr="00EB68E3">
        <w:t>-</w:t>
      </w:r>
      <w:r w:rsidRPr="00EB68E3">
        <w:tab/>
        <w:t>:</w:t>
      </w:r>
      <w:r w:rsidRPr="00EB68E3">
        <w:tab/>
        <w:t>vastaan</w:t>
      </w:r>
    </w:p>
    <w:p w14:paraId="30D7378C" w14:textId="5ACEF3D5" w:rsidR="00D14982" w:rsidRPr="00EB68E3" w:rsidRDefault="00D14982" w:rsidP="007F7513">
      <w:pPr>
        <w:pStyle w:val="NormalTabs"/>
      </w:pPr>
      <w:r w:rsidRPr="00EB68E3">
        <w:t>0</w:t>
      </w:r>
      <w:r w:rsidRPr="00EB68E3">
        <w:tab/>
        <w:t>:</w:t>
      </w:r>
      <w:r w:rsidRPr="00EB68E3">
        <w:tab/>
        <w:t>tyhjää</w:t>
      </w:r>
    </w:p>
    <w:p w14:paraId="4B7ACD00" w14:textId="77777777" w:rsidR="00D14982" w:rsidRPr="00EB68E3" w:rsidRDefault="00D14982" w:rsidP="007F7513"/>
    <w:bookmarkEnd w:id="14"/>
    <w:p w14:paraId="1D496C74" w14:textId="134D0EF9" w:rsidR="00D14982" w:rsidRPr="00EB68E3" w:rsidRDefault="00D14982" w:rsidP="00D14982"/>
    <w:sectPr w:rsidR="00D14982" w:rsidRPr="00EB68E3" w:rsidSect="00D14982">
      <w:footnotePr>
        <w:numRestart w:val="eachPage"/>
      </w:footnotePr>
      <w:endnotePr>
        <w:numFmt w:val="decimal"/>
      </w:endnotePr>
      <w:pgSz w:w="11906" w:h="16838" w:code="9"/>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E65B0" w14:textId="77777777" w:rsidR="000D3095" w:rsidRPr="00EB68E3" w:rsidRDefault="000D3095">
      <w:r w:rsidRPr="00EB68E3">
        <w:separator/>
      </w:r>
    </w:p>
  </w:endnote>
  <w:endnote w:type="continuationSeparator" w:id="0">
    <w:p w14:paraId="40E57358" w14:textId="77777777" w:rsidR="000D3095" w:rsidRPr="00EB68E3" w:rsidRDefault="000D3095">
      <w:r w:rsidRPr="00EB68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5FBC" w14:textId="59B807F8" w:rsidR="000D3095" w:rsidRPr="00EB68E3" w:rsidRDefault="000D3095" w:rsidP="00EB68E3">
    <w:pPr>
      <w:pStyle w:val="Footer"/>
    </w:pPr>
    <w:r w:rsidRPr="00EB68E3">
      <w:t>PE</w:t>
    </w:r>
    <w:r w:rsidRPr="00EB68E3">
      <w:rPr>
        <w:rStyle w:val="HideTWBExt"/>
        <w:noProof w:val="0"/>
      </w:rPr>
      <w:t>&lt;NoPE&gt;</w:t>
    </w:r>
    <w:r w:rsidRPr="00EB68E3">
      <w:t>626.836</w:t>
    </w:r>
    <w:r w:rsidRPr="00EB68E3">
      <w:rPr>
        <w:rStyle w:val="HideTWBExt"/>
        <w:noProof w:val="0"/>
      </w:rPr>
      <w:t>&lt;/NoPE&gt;&lt;Version&gt;</w:t>
    </w:r>
    <w:r w:rsidRPr="00EB68E3">
      <w:t>v02-00</w:t>
    </w:r>
    <w:r w:rsidRPr="00EB68E3">
      <w:rPr>
        <w:rStyle w:val="HideTWBExt"/>
        <w:noProof w:val="0"/>
      </w:rPr>
      <w:t>&lt;/Version&gt;</w:t>
    </w:r>
    <w:r w:rsidRPr="00EB68E3">
      <w:tab/>
    </w:r>
    <w:r w:rsidRPr="00EB68E3">
      <w:fldChar w:fldCharType="begin"/>
    </w:r>
    <w:r w:rsidRPr="00EB68E3">
      <w:instrText xml:space="preserve"> PAGE  \* MERGEFORMAT </w:instrText>
    </w:r>
    <w:r w:rsidRPr="00EB68E3">
      <w:fldChar w:fldCharType="separate"/>
    </w:r>
    <w:r w:rsidR="008F0E9E">
      <w:rPr>
        <w:noProof/>
      </w:rPr>
      <w:t>36</w:t>
    </w:r>
    <w:r w:rsidRPr="00EB68E3">
      <w:fldChar w:fldCharType="end"/>
    </w:r>
    <w:r w:rsidRPr="00EB68E3">
      <w:t>/</w:t>
    </w:r>
    <w:r>
      <w:rPr>
        <w:noProof/>
      </w:rPr>
      <w:fldChar w:fldCharType="begin"/>
    </w:r>
    <w:r>
      <w:rPr>
        <w:noProof/>
      </w:rPr>
      <w:instrText xml:space="preserve"> NUMPAGES  \* MERGEFORMAT </w:instrText>
    </w:r>
    <w:r>
      <w:rPr>
        <w:noProof/>
      </w:rPr>
      <w:fldChar w:fldCharType="separate"/>
    </w:r>
    <w:r w:rsidR="008F0E9E">
      <w:rPr>
        <w:noProof/>
      </w:rPr>
      <w:t>38</w:t>
    </w:r>
    <w:r>
      <w:rPr>
        <w:noProof/>
      </w:rPr>
      <w:fldChar w:fldCharType="end"/>
    </w:r>
    <w:r w:rsidRPr="00EB68E3">
      <w:tab/>
    </w:r>
    <w:r w:rsidRPr="00EB68E3">
      <w:rPr>
        <w:rStyle w:val="HideTWBExt"/>
        <w:noProof w:val="0"/>
      </w:rPr>
      <w:t>&lt;PathFdR&gt;</w:t>
    </w:r>
    <w:r w:rsidRPr="00EB68E3">
      <w:t>RR\1178243FI.docx</w:t>
    </w:r>
    <w:r w:rsidRPr="00EB68E3">
      <w:rPr>
        <w:rStyle w:val="HideTWBExt"/>
        <w:noProof w:val="0"/>
      </w:rPr>
      <w:t>&lt;/PathFdR&gt;</w:t>
    </w:r>
  </w:p>
  <w:p w14:paraId="0EB3E140" w14:textId="3C8AD575" w:rsidR="000D3095" w:rsidRPr="00EB68E3" w:rsidRDefault="000D3095" w:rsidP="00696D5B">
    <w:pPr>
      <w:pStyle w:val="Footer2"/>
      <w:ind w:left="-284" w:hanging="142"/>
    </w:pPr>
    <w:r w:rsidRPr="00EB68E3">
      <w:t>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526A" w14:textId="259F9395" w:rsidR="000D3095" w:rsidRPr="00EB68E3" w:rsidRDefault="000D3095" w:rsidP="00EB68E3">
    <w:pPr>
      <w:pStyle w:val="Footer"/>
    </w:pPr>
    <w:r w:rsidRPr="00EB68E3">
      <w:rPr>
        <w:rStyle w:val="HideTWBExt"/>
        <w:noProof w:val="0"/>
      </w:rPr>
      <w:t>&lt;PathFdR&gt;</w:t>
    </w:r>
    <w:r w:rsidRPr="00EB68E3">
      <w:t>RR\1178243FI.docx</w:t>
    </w:r>
    <w:r w:rsidRPr="00EB68E3">
      <w:rPr>
        <w:rStyle w:val="HideTWBExt"/>
        <w:noProof w:val="0"/>
      </w:rPr>
      <w:t>&lt;/PathFdR&gt;</w:t>
    </w:r>
    <w:r w:rsidRPr="00EB68E3">
      <w:tab/>
    </w:r>
    <w:r w:rsidRPr="00EB68E3">
      <w:fldChar w:fldCharType="begin"/>
    </w:r>
    <w:r w:rsidRPr="00EB68E3">
      <w:instrText xml:space="preserve"> PAGE  \* MERGEFORMAT </w:instrText>
    </w:r>
    <w:r w:rsidRPr="00EB68E3">
      <w:fldChar w:fldCharType="separate"/>
    </w:r>
    <w:r w:rsidR="008F0E9E">
      <w:rPr>
        <w:noProof/>
      </w:rPr>
      <w:t>29</w:t>
    </w:r>
    <w:r w:rsidRPr="00EB68E3">
      <w:fldChar w:fldCharType="end"/>
    </w:r>
    <w:r w:rsidRPr="00EB68E3">
      <w:t>/</w:t>
    </w:r>
    <w:r>
      <w:rPr>
        <w:noProof/>
      </w:rPr>
      <w:fldChar w:fldCharType="begin"/>
    </w:r>
    <w:r>
      <w:rPr>
        <w:noProof/>
      </w:rPr>
      <w:instrText xml:space="preserve"> NUMPAGES  \* MERGEFORMAT </w:instrText>
    </w:r>
    <w:r>
      <w:rPr>
        <w:noProof/>
      </w:rPr>
      <w:fldChar w:fldCharType="separate"/>
    </w:r>
    <w:r w:rsidR="008F0E9E">
      <w:rPr>
        <w:noProof/>
      </w:rPr>
      <w:t>38</w:t>
    </w:r>
    <w:r>
      <w:rPr>
        <w:noProof/>
      </w:rPr>
      <w:fldChar w:fldCharType="end"/>
    </w:r>
    <w:r w:rsidRPr="00EB68E3">
      <w:tab/>
      <w:t>PE</w:t>
    </w:r>
    <w:r w:rsidRPr="00EB68E3">
      <w:rPr>
        <w:rStyle w:val="HideTWBExt"/>
        <w:noProof w:val="0"/>
      </w:rPr>
      <w:t>&lt;NoPE&gt;</w:t>
    </w:r>
    <w:r w:rsidRPr="00EB68E3">
      <w:t>626.836</w:t>
    </w:r>
    <w:r w:rsidRPr="00EB68E3">
      <w:rPr>
        <w:rStyle w:val="HideTWBExt"/>
        <w:noProof w:val="0"/>
      </w:rPr>
      <w:t>&lt;/NoPE&gt;&lt;Version&gt;</w:t>
    </w:r>
    <w:r w:rsidRPr="00EB68E3">
      <w:t>v02-00</w:t>
    </w:r>
    <w:r w:rsidRPr="00EB68E3">
      <w:rPr>
        <w:rStyle w:val="HideTWBExt"/>
        <w:noProof w:val="0"/>
      </w:rPr>
      <w:t>&lt;/Version&gt;</w:t>
    </w:r>
  </w:p>
  <w:p w14:paraId="47AFF47D" w14:textId="6AA5A094" w:rsidR="000D3095" w:rsidRPr="00EB68E3" w:rsidRDefault="000D3095" w:rsidP="00EB68E3">
    <w:pPr>
      <w:pStyle w:val="Footer2"/>
    </w:pPr>
    <w:r w:rsidRPr="00EB68E3">
      <w:tab/>
      <w:t>FI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8121" w14:textId="77777777" w:rsidR="000D3095" w:rsidRPr="00EB68E3" w:rsidRDefault="000D3095" w:rsidP="00EB68E3">
    <w:pPr>
      <w:pStyle w:val="Footer"/>
    </w:pPr>
    <w:r w:rsidRPr="00EB68E3">
      <w:rPr>
        <w:rStyle w:val="HideTWBExt"/>
        <w:noProof w:val="0"/>
      </w:rPr>
      <w:t>&lt;PathFdR&gt;</w:t>
    </w:r>
    <w:r w:rsidRPr="00EB68E3">
      <w:t>RR\1178243FI.docx</w:t>
    </w:r>
    <w:r w:rsidRPr="00EB68E3">
      <w:rPr>
        <w:rStyle w:val="HideTWBExt"/>
        <w:noProof w:val="0"/>
      </w:rPr>
      <w:t>&lt;/PathFdR&gt;</w:t>
    </w:r>
    <w:r w:rsidRPr="00EB68E3">
      <w:tab/>
    </w:r>
    <w:r w:rsidRPr="00EB68E3">
      <w:tab/>
      <w:t>PE</w:t>
    </w:r>
    <w:r w:rsidRPr="00EB68E3">
      <w:rPr>
        <w:rStyle w:val="HideTWBExt"/>
        <w:noProof w:val="0"/>
      </w:rPr>
      <w:t>&lt;NoPE&gt;</w:t>
    </w:r>
    <w:r w:rsidRPr="00EB68E3">
      <w:t>626.836</w:t>
    </w:r>
    <w:r w:rsidRPr="00EB68E3">
      <w:rPr>
        <w:rStyle w:val="HideTWBExt"/>
        <w:noProof w:val="0"/>
      </w:rPr>
      <w:t>&lt;/NoPE&gt;&lt;Version&gt;</w:t>
    </w:r>
    <w:r w:rsidRPr="00EB68E3">
      <w:t>v02-00</w:t>
    </w:r>
    <w:r w:rsidRPr="00EB68E3">
      <w:rPr>
        <w:rStyle w:val="HideTWBExt"/>
        <w:noProof w:val="0"/>
      </w:rPr>
      <w:t>&lt;/Version&gt;</w:t>
    </w:r>
  </w:p>
  <w:p w14:paraId="5F43E81E" w14:textId="06332DA1" w:rsidR="000D3095" w:rsidRPr="00EB68E3" w:rsidRDefault="000D3095" w:rsidP="00EB68E3">
    <w:pPr>
      <w:pStyle w:val="Footer2"/>
      <w:tabs>
        <w:tab w:val="center" w:pos="4535"/>
      </w:tabs>
    </w:pPr>
    <w:r w:rsidRPr="00EB68E3">
      <w:t>FI</w:t>
    </w:r>
    <w:r w:rsidRPr="00EB68E3">
      <w:tab/>
    </w:r>
    <w:r w:rsidRPr="00EB68E3">
      <w:rPr>
        <w:b w:val="0"/>
        <w:i/>
        <w:color w:val="C0C0C0"/>
        <w:sz w:val="22"/>
      </w:rPr>
      <w:t>Moninaisuudessaan yhtenäinen</w:t>
    </w:r>
    <w:r w:rsidRPr="00EB68E3">
      <w:tab/>
      <w:t>FI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6083" w14:textId="46902D4C" w:rsidR="000D3095" w:rsidRPr="00EB68E3" w:rsidRDefault="000D3095" w:rsidP="00EB68E3">
    <w:pPr>
      <w:pStyle w:val="Footer"/>
    </w:pPr>
    <w:r w:rsidRPr="00EB68E3">
      <w:rPr>
        <w:rStyle w:val="HideTWBExt"/>
        <w:noProof w:val="0"/>
      </w:rPr>
      <w:t>&lt;PathFdR&gt;</w:t>
    </w:r>
    <w:r w:rsidRPr="00EB68E3">
      <w:t>RR\1178243FI.docx</w:t>
    </w:r>
    <w:r w:rsidRPr="00EB68E3">
      <w:rPr>
        <w:rStyle w:val="HideTWBExt"/>
        <w:noProof w:val="0"/>
      </w:rPr>
      <w:t>&lt;/PathFdR&gt;</w:t>
    </w:r>
    <w:r w:rsidRPr="00EB68E3">
      <w:tab/>
    </w:r>
    <w:r w:rsidRPr="00EB68E3">
      <w:fldChar w:fldCharType="begin"/>
    </w:r>
    <w:r w:rsidRPr="00EB68E3">
      <w:instrText xml:space="preserve"> PAGE  \* MERGEFORMAT </w:instrText>
    </w:r>
    <w:r w:rsidRPr="00EB68E3">
      <w:fldChar w:fldCharType="separate"/>
    </w:r>
    <w:r w:rsidR="008F0E9E">
      <w:rPr>
        <w:noProof/>
      </w:rPr>
      <w:t>35</w:t>
    </w:r>
    <w:r w:rsidRPr="00EB68E3">
      <w:fldChar w:fldCharType="end"/>
    </w:r>
    <w:r w:rsidRPr="00EB68E3">
      <w:t>/</w:t>
    </w:r>
    <w:r>
      <w:rPr>
        <w:noProof/>
      </w:rPr>
      <w:fldChar w:fldCharType="begin"/>
    </w:r>
    <w:r>
      <w:rPr>
        <w:noProof/>
      </w:rPr>
      <w:instrText xml:space="preserve"> NUMPAGES  \* MERGEFORMAT </w:instrText>
    </w:r>
    <w:r>
      <w:rPr>
        <w:noProof/>
      </w:rPr>
      <w:fldChar w:fldCharType="separate"/>
    </w:r>
    <w:r w:rsidR="008F0E9E">
      <w:rPr>
        <w:noProof/>
      </w:rPr>
      <w:t>38</w:t>
    </w:r>
    <w:r>
      <w:rPr>
        <w:noProof/>
      </w:rPr>
      <w:fldChar w:fldCharType="end"/>
    </w:r>
    <w:r w:rsidRPr="00EB68E3">
      <w:tab/>
      <w:t>PE</w:t>
    </w:r>
    <w:r w:rsidRPr="00EB68E3">
      <w:rPr>
        <w:rStyle w:val="HideTWBExt"/>
        <w:noProof w:val="0"/>
      </w:rPr>
      <w:t>&lt;NoPE&gt;</w:t>
    </w:r>
    <w:r w:rsidRPr="00EB68E3">
      <w:t>626.836</w:t>
    </w:r>
    <w:r w:rsidRPr="00EB68E3">
      <w:rPr>
        <w:rStyle w:val="HideTWBExt"/>
        <w:noProof w:val="0"/>
      </w:rPr>
      <w:t>&lt;/NoPE&gt;&lt;Version&gt;</w:t>
    </w:r>
    <w:r w:rsidRPr="00EB68E3">
      <w:t>v02-00</w:t>
    </w:r>
    <w:r w:rsidRPr="00EB68E3">
      <w:rPr>
        <w:rStyle w:val="HideTWBExt"/>
        <w:noProof w:val="0"/>
      </w:rPr>
      <w:t>&lt;/Version&gt;</w:t>
    </w:r>
  </w:p>
  <w:p w14:paraId="356B4DF1" w14:textId="77777777" w:rsidR="000D3095" w:rsidRPr="00EB68E3" w:rsidRDefault="000D3095" w:rsidP="000D3095">
    <w:pPr>
      <w:pStyle w:val="Footer2"/>
      <w:tabs>
        <w:tab w:val="clear" w:pos="9921"/>
        <w:tab w:val="right" w:pos="15845"/>
      </w:tabs>
    </w:pPr>
    <w:r w:rsidRPr="00EB68E3">
      <w:tab/>
      <w:t>FI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DA9E" w14:textId="77777777" w:rsidR="000D3095" w:rsidRPr="00521511" w:rsidRDefault="000D3095">
    <w:pPr>
      <w:pStyle w:val="Footer"/>
      <w:rPr>
        <w:lang w:val="en-GB"/>
      </w:rPr>
    </w:pPr>
    <w:bookmarkStart w:id="12" w:name="InsideFooter"/>
    <w:r w:rsidRPr="00521511">
      <w:rPr>
        <w:rStyle w:val="HideTWBExt"/>
        <w:noProof w:val="0"/>
        <w:lang w:val="en-GB"/>
      </w:rPr>
      <w:t>&lt;PathFdR&gt;</w:t>
    </w:r>
    <w:r w:rsidRPr="00521511">
      <w:rPr>
        <w:lang w:val="en-GB"/>
      </w:rPr>
      <w:t>PR\1160600EN.docx</w:t>
    </w:r>
    <w:r w:rsidRPr="00521511">
      <w:rPr>
        <w:rStyle w:val="HideTWBExt"/>
        <w:noProof w:val="0"/>
        <w:lang w:val="en-GB"/>
      </w:rPr>
      <w:t>&lt;/PathFdR&gt;</w:t>
    </w:r>
    <w:bookmarkEnd w:id="12"/>
    <w:r w:rsidRPr="00521511">
      <w:rPr>
        <w:lang w:val="en-GB"/>
      </w:rPr>
      <w:tab/>
    </w:r>
    <w:r w:rsidRPr="00521511">
      <w:rPr>
        <w:lang w:val="en-GB"/>
      </w:rPr>
      <w:tab/>
    </w:r>
    <w:bookmarkStart w:id="13" w:name="OutsideFooter"/>
    <w:r w:rsidRPr="00521511">
      <w:rPr>
        <w:lang w:val="en-GB"/>
      </w:rPr>
      <w:t>PE</w:t>
    </w:r>
    <w:r w:rsidRPr="00521511">
      <w:rPr>
        <w:rStyle w:val="HideTWBExt"/>
        <w:noProof w:val="0"/>
        <w:lang w:val="en-GB"/>
      </w:rPr>
      <w:t>&lt;NoPE&gt;</w:t>
    </w:r>
    <w:r w:rsidRPr="00521511">
      <w:rPr>
        <w:lang w:val="en-GB"/>
      </w:rPr>
      <w:t>626.836</w:t>
    </w:r>
    <w:r w:rsidRPr="00521511">
      <w:rPr>
        <w:rStyle w:val="HideTWBExt"/>
        <w:noProof w:val="0"/>
        <w:lang w:val="en-GB"/>
      </w:rPr>
      <w:t>&lt;/NoPE&gt;&lt;Version&gt;</w:t>
    </w:r>
    <w:r w:rsidRPr="00521511">
      <w:rPr>
        <w:lang w:val="en-GB"/>
      </w:rPr>
      <w:t>v01-00</w:t>
    </w:r>
    <w:r w:rsidRPr="00521511">
      <w:rPr>
        <w:rStyle w:val="HideTWBExt"/>
        <w:noProof w:val="0"/>
        <w:lang w:val="en-GB"/>
      </w:rPr>
      <w:t>&lt;/Version&gt;</w:t>
    </w:r>
    <w:bookmarkEnd w:id="13"/>
  </w:p>
  <w:p w14:paraId="5291B797" w14:textId="6F9C0DD4" w:rsidR="000D3095" w:rsidRPr="00521511" w:rsidRDefault="000D3095" w:rsidP="00724322">
    <w:pPr>
      <w:pStyle w:val="Footer2"/>
      <w:tabs>
        <w:tab w:val="center" w:pos="4536"/>
      </w:tabs>
      <w:rPr>
        <w:lang w:val="en-GB"/>
      </w:rPr>
    </w:pPr>
    <w:r>
      <w:fldChar w:fldCharType="begin"/>
    </w:r>
    <w:r w:rsidRPr="00521511">
      <w:rPr>
        <w:lang w:val="en-GB"/>
      </w:rPr>
      <w:instrText xml:space="preserve"> DOCPROPERTY "&lt;Extension&gt;" </w:instrText>
    </w:r>
    <w:r>
      <w:fldChar w:fldCharType="separate"/>
    </w:r>
    <w:r w:rsidR="008F0E9E">
      <w:rPr>
        <w:lang w:val="en-GB"/>
      </w:rPr>
      <w:t>FI</w:t>
    </w:r>
    <w:r>
      <w:fldChar w:fldCharType="end"/>
    </w:r>
    <w:r w:rsidRPr="00521511">
      <w:rPr>
        <w:color w:val="C0C0C0"/>
        <w:lang w:val="en-GB"/>
      </w:rPr>
      <w:tab/>
    </w:r>
    <w:r w:rsidRPr="00521511">
      <w:rPr>
        <w:b w:val="0"/>
        <w:i/>
        <w:color w:val="C0C0C0"/>
        <w:sz w:val="22"/>
        <w:szCs w:val="22"/>
        <w:lang w:val="en-GB"/>
      </w:rPr>
      <w:t>United in diversity</w:t>
    </w:r>
    <w:r w:rsidRPr="00521511">
      <w:rPr>
        <w:color w:val="C0C0C0"/>
        <w:lang w:val="en-GB"/>
      </w:rPr>
      <w:tab/>
    </w:r>
    <w:r>
      <w:fldChar w:fldCharType="begin"/>
    </w:r>
    <w:r w:rsidRPr="00521511">
      <w:rPr>
        <w:lang w:val="en-GB"/>
      </w:rPr>
      <w:instrText xml:space="preserve"> DOCPROPERTY "&lt;Extension&gt;" </w:instrText>
    </w:r>
    <w:r>
      <w:fldChar w:fldCharType="separate"/>
    </w:r>
    <w:r w:rsidR="008F0E9E">
      <w:rPr>
        <w:lang w:val="en-GB"/>
      </w:rPr>
      <w:t>FI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B06D" w14:textId="77777777" w:rsidR="000D3095" w:rsidRPr="00EB68E3" w:rsidRDefault="000D3095">
      <w:r w:rsidRPr="00EB68E3">
        <w:separator/>
      </w:r>
    </w:p>
  </w:footnote>
  <w:footnote w:type="continuationSeparator" w:id="0">
    <w:p w14:paraId="49CE7DF3" w14:textId="77777777" w:rsidR="000D3095" w:rsidRPr="00EB68E3" w:rsidRDefault="000D3095">
      <w:r w:rsidRPr="00EB68E3">
        <w:continuationSeparator/>
      </w:r>
    </w:p>
  </w:footnote>
  <w:footnote w:id="1">
    <w:p w14:paraId="4AE699C4" w14:textId="77777777" w:rsidR="000D3095" w:rsidRPr="00EB68E3" w:rsidRDefault="000D3095" w:rsidP="00A4507B">
      <w:pPr>
        <w:pStyle w:val="FootnoteText"/>
      </w:pPr>
      <w:r w:rsidRPr="00EB68E3">
        <w:rPr>
          <w:rStyle w:val="FootnoteReference"/>
        </w:rPr>
        <w:footnoteRef/>
      </w:r>
      <w:r w:rsidRPr="00EB68E3">
        <w:t xml:space="preserve"> EUVL L 51, 28.2.2017.</w:t>
      </w:r>
    </w:p>
  </w:footnote>
  <w:footnote w:id="2">
    <w:p w14:paraId="0BA5C0A2" w14:textId="77777777" w:rsidR="000D3095" w:rsidRPr="00EB68E3" w:rsidRDefault="000D3095" w:rsidP="00A4507B">
      <w:pPr>
        <w:pStyle w:val="FootnoteText"/>
      </w:pPr>
      <w:r w:rsidRPr="00EB68E3">
        <w:rPr>
          <w:rStyle w:val="FootnoteReference"/>
        </w:rPr>
        <w:footnoteRef/>
      </w:r>
      <w:r w:rsidRPr="00EB68E3">
        <w:t xml:space="preserve"> EUVL C 348, 28.9.2018, s. 1.</w:t>
      </w:r>
    </w:p>
  </w:footnote>
  <w:footnote w:id="3">
    <w:p w14:paraId="70DBC4D1" w14:textId="0C9EF625" w:rsidR="000D3095" w:rsidRPr="00EB68E3" w:rsidRDefault="000D3095" w:rsidP="00A4507B">
      <w:pPr>
        <w:pStyle w:val="FootnoteText"/>
      </w:pPr>
      <w:r w:rsidRPr="00EB68E3">
        <w:rPr>
          <w:rStyle w:val="FootnoteReference"/>
        </w:rPr>
        <w:footnoteRef/>
      </w:r>
      <w:r w:rsidRPr="00EB68E3">
        <w:t xml:space="preserve"> EUVL C 411, 13.11.2018, s. 1.</w:t>
      </w:r>
    </w:p>
  </w:footnote>
  <w:footnote w:id="4">
    <w:p w14:paraId="3A1A6815" w14:textId="77777777" w:rsidR="000D3095" w:rsidRPr="00EB68E3" w:rsidRDefault="000D3095" w:rsidP="00A4507B">
      <w:pPr>
        <w:pStyle w:val="FootnoteText"/>
      </w:pPr>
      <w:r w:rsidRPr="00EB68E3">
        <w:rPr>
          <w:rStyle w:val="FootnoteReference"/>
        </w:rPr>
        <w:footnoteRef/>
      </w:r>
      <w:r w:rsidRPr="00EB68E3">
        <w:t xml:space="preserve"> EUVL C 357, 4.10.2018, s. 1.</w:t>
      </w:r>
    </w:p>
  </w:footnote>
  <w:footnote w:id="5">
    <w:p w14:paraId="2217C5AC" w14:textId="77777777" w:rsidR="000D3095" w:rsidRPr="00EB68E3" w:rsidRDefault="000D3095" w:rsidP="00A4507B">
      <w:pPr>
        <w:pStyle w:val="FootnoteText"/>
      </w:pPr>
      <w:r w:rsidRPr="00EB68E3">
        <w:rPr>
          <w:rStyle w:val="FootnoteReference"/>
        </w:rPr>
        <w:footnoteRef/>
      </w:r>
      <w:r w:rsidRPr="00EB68E3">
        <w:t xml:space="preserve"> EUVL C 357, 4.10.2018, s. 9.</w:t>
      </w:r>
    </w:p>
  </w:footnote>
  <w:footnote w:id="6">
    <w:p w14:paraId="05071B60" w14:textId="77777777" w:rsidR="000D3095" w:rsidRPr="00EB68E3" w:rsidRDefault="000D3095" w:rsidP="00A4507B">
      <w:pPr>
        <w:pStyle w:val="FootnoteText"/>
      </w:pPr>
      <w:r w:rsidRPr="00EB68E3">
        <w:rPr>
          <w:rStyle w:val="FootnoteReference"/>
        </w:rPr>
        <w:footnoteRef/>
      </w:r>
      <w:r w:rsidRPr="00EB68E3">
        <w:t xml:space="preserve"> EUVL L 298, 26.10.2012, s. 1.</w:t>
      </w:r>
    </w:p>
  </w:footnote>
  <w:footnote w:id="7">
    <w:p w14:paraId="7CB1D4B7" w14:textId="77777777" w:rsidR="000D3095" w:rsidRPr="00EB68E3" w:rsidRDefault="000D3095" w:rsidP="00A4507B">
      <w:pPr>
        <w:pStyle w:val="FootnoteText"/>
      </w:pPr>
      <w:r w:rsidRPr="00EB68E3">
        <w:rPr>
          <w:rStyle w:val="FootnoteReference"/>
        </w:rPr>
        <w:footnoteRef/>
      </w:r>
      <w:r w:rsidRPr="00EB68E3">
        <w:t xml:space="preserve"> </w:t>
      </w:r>
      <w:r w:rsidRPr="00EB68E3">
        <w:rPr>
          <w:snapToGrid w:val="0"/>
        </w:rPr>
        <w:t>EUVL L 193, 30.7.2018, s. 1.</w:t>
      </w:r>
    </w:p>
  </w:footnote>
  <w:footnote w:id="8">
    <w:p w14:paraId="4D3A5C14" w14:textId="77777777" w:rsidR="000D3095" w:rsidRPr="00EB68E3" w:rsidRDefault="000D3095" w:rsidP="00A4507B">
      <w:pPr>
        <w:pStyle w:val="FootnoteText"/>
      </w:pPr>
      <w:r w:rsidRPr="00EB68E3">
        <w:rPr>
          <w:rStyle w:val="FootnoteReference"/>
        </w:rPr>
        <w:footnoteRef/>
      </w:r>
      <w:r w:rsidRPr="00EB68E3">
        <w:t xml:space="preserve"> PE 422.541/Bur.</w:t>
      </w:r>
    </w:p>
  </w:footnote>
  <w:footnote w:id="9">
    <w:p w14:paraId="0F0B499F" w14:textId="014198C1" w:rsidR="000D3095" w:rsidRPr="00EB68E3" w:rsidRDefault="000D3095" w:rsidP="00BE32E9">
      <w:pPr>
        <w:pStyle w:val="FootnoteText"/>
      </w:pPr>
      <w:r w:rsidRPr="00EB68E3">
        <w:rPr>
          <w:rStyle w:val="FootnoteReference"/>
        </w:rPr>
        <w:footnoteRef/>
      </w:r>
      <w:r w:rsidRPr="00EB68E3">
        <w:t xml:space="preserve"> Neuvoston asetus (EU, Euratom) N:o 1311/2013, annettu 2. joulukuuta 2013, vuosia 2014–2020 koskevan monivuotisen rahoituskehyksen vahvistamisesta.</w:t>
      </w:r>
    </w:p>
  </w:footnote>
  <w:footnote w:id="10">
    <w:p w14:paraId="47DCD2A4" w14:textId="77777777" w:rsidR="000D3095" w:rsidRPr="000D3095" w:rsidRDefault="000D3095" w:rsidP="006E46BD">
      <w:pPr>
        <w:pStyle w:val="FootnoteText"/>
        <w:rPr>
          <w:lang w:val="sv-SE"/>
        </w:rPr>
      </w:pPr>
      <w:r w:rsidRPr="00EB68E3">
        <w:rPr>
          <w:rStyle w:val="FootnoteReference"/>
        </w:rPr>
        <w:footnoteRef/>
      </w:r>
      <w:r w:rsidRPr="000D3095">
        <w:rPr>
          <w:lang w:val="sv-SE"/>
        </w:rPr>
        <w:t xml:space="preserve"> P7_TA(2013)0498</w:t>
      </w:r>
    </w:p>
  </w:footnote>
  <w:footnote w:id="11">
    <w:p w14:paraId="4F45FB30" w14:textId="2B8CA361" w:rsidR="000D3095" w:rsidRPr="000D3095" w:rsidRDefault="000D3095">
      <w:pPr>
        <w:pStyle w:val="FootnoteText"/>
        <w:rPr>
          <w:lang w:val="sv-SE"/>
        </w:rPr>
      </w:pPr>
      <w:r w:rsidRPr="00EB68E3">
        <w:rPr>
          <w:rStyle w:val="FootnoteReference"/>
        </w:rPr>
        <w:footnoteRef/>
      </w:r>
      <w:r w:rsidRPr="000D3095">
        <w:rPr>
          <w:lang w:val="sv-SE"/>
        </w:rPr>
        <w:t xml:space="preserve"> EUVL C 436, 24.11.2016, s. 2.</w:t>
      </w:r>
    </w:p>
  </w:footnote>
  <w:footnote w:id="12">
    <w:p w14:paraId="575558E8" w14:textId="00DC1C27" w:rsidR="000D3095" w:rsidRPr="000D3095" w:rsidRDefault="000D3095" w:rsidP="00BE32E9">
      <w:pPr>
        <w:pStyle w:val="FootnoteText"/>
        <w:rPr>
          <w:lang w:val="sv-SE"/>
        </w:rPr>
      </w:pPr>
      <w:r w:rsidRPr="00EB68E3">
        <w:rPr>
          <w:rStyle w:val="FootnoteReference"/>
        </w:rPr>
        <w:footnoteRef/>
      </w:r>
      <w:r w:rsidRPr="000D3095">
        <w:rPr>
          <w:lang w:val="sv-SE"/>
        </w:rPr>
        <w:t xml:space="preserve"> http://www.europarl.europa.eu/sides/getDoc.do?pubRef=-//EP//TEXT+TA+P7-TA-2012-0306+0+DOC+XML+V0//FI</w:t>
      </w:r>
    </w:p>
  </w:footnote>
  <w:footnote w:id="13">
    <w:p w14:paraId="752AAAE8" w14:textId="2F02227D" w:rsidR="000D3095" w:rsidRPr="00EB68E3" w:rsidRDefault="000D3095" w:rsidP="00A4507B">
      <w:pPr>
        <w:pStyle w:val="FootnoteText"/>
      </w:pPr>
      <w:r w:rsidRPr="00EB68E3">
        <w:rPr>
          <w:rStyle w:val="FootnoteReference"/>
        </w:rPr>
        <w:footnoteRef/>
      </w:r>
      <w:r w:rsidRPr="00EB68E3">
        <w:t xml:space="preserve"> Komission delegoitu asetus (EU) N:o 1268/2012, annettu 29. lokakuuta 2012, unionin yleiseen talousarvioon sovellettavista</w:t>
      </w:r>
      <w:r>
        <w:t xml:space="preserve"> </w:t>
      </w:r>
      <w:r w:rsidRPr="00EB68E3">
        <w:t>varainhoitosäännöistä annetun Euroopan parlamentin ja neuvoston asetuksen (EU, Euratom)</w:t>
      </w:r>
      <w:r>
        <w:t xml:space="preserve"> N:o </w:t>
      </w:r>
      <w:r w:rsidRPr="00EB68E3">
        <w:t>966/2012</w:t>
      </w:r>
      <w:r>
        <w:t xml:space="preserve"> </w:t>
      </w:r>
      <w:r w:rsidRPr="00EB68E3">
        <w:t xml:space="preserve">soveltamissäännöistä </w:t>
      </w:r>
      <w:r>
        <w:t>(EUVL L 362, 31.12.2012, s. 1).</w:t>
      </w:r>
    </w:p>
  </w:footnote>
  <w:footnote w:id="14">
    <w:p w14:paraId="00EB7029" w14:textId="77777777" w:rsidR="000D3095" w:rsidRPr="00EB68E3" w:rsidRDefault="000D3095" w:rsidP="00A4507B">
      <w:pPr>
        <w:pStyle w:val="FootnoteText"/>
      </w:pPr>
      <w:r w:rsidRPr="00EB68E3">
        <w:rPr>
          <w:rStyle w:val="FootnoteReference"/>
        </w:rPr>
        <w:footnoteRef/>
      </w:r>
      <w:r w:rsidRPr="00EB68E3">
        <w:t xml:space="preserve"> Sisältää vuonna 2016 tehdyt käyttöoikeussopimukset, joille ei ollut vahvistettu oikeudellista kehystä.</w:t>
      </w:r>
    </w:p>
  </w:footnote>
  <w:footnote w:id="15">
    <w:p w14:paraId="633A7B55" w14:textId="77777777" w:rsidR="000D3095" w:rsidRPr="00EB68E3" w:rsidRDefault="000D3095" w:rsidP="00A4507B">
      <w:pPr>
        <w:pStyle w:val="FootnoteText"/>
      </w:pPr>
      <w:r w:rsidRPr="00EB68E3">
        <w:rPr>
          <w:rStyle w:val="FootnoteReference"/>
        </w:rPr>
        <w:footnoteRef/>
      </w:r>
      <w:r w:rsidRPr="00EB68E3">
        <w:t xml:space="preserve"> Sisältää vuonna 2016 tehdyt käyttöoikeussopimukset, joille ei ollut vahvistettu oikeudellista kehystä.</w:t>
      </w:r>
    </w:p>
  </w:footnote>
  <w:footnote w:id="16">
    <w:p w14:paraId="559A4CB0" w14:textId="77777777" w:rsidR="000D3095" w:rsidRPr="00EB68E3" w:rsidRDefault="000D3095" w:rsidP="00A4507B">
      <w:pPr>
        <w:pStyle w:val="FootnoteText"/>
      </w:pPr>
      <w:r w:rsidRPr="00EB68E3">
        <w:rPr>
          <w:rStyle w:val="FootnoteReference"/>
        </w:rPr>
        <w:footnoteRef/>
      </w:r>
      <w:r w:rsidRPr="00EB68E3">
        <w:t xml:space="preserve"> Kaikki määrät on ilmaistu tuhansina euroina.</w:t>
      </w:r>
    </w:p>
  </w:footnote>
  <w:footnote w:id="17">
    <w:p w14:paraId="1B7CD4F4" w14:textId="77777777" w:rsidR="000D3095" w:rsidRPr="00EB68E3" w:rsidRDefault="000D3095" w:rsidP="00A4507B">
      <w:pPr>
        <w:pStyle w:val="FootnoteText"/>
      </w:pPr>
      <w:r w:rsidRPr="00EB68E3">
        <w:rPr>
          <w:rStyle w:val="FootnoteReference"/>
        </w:rPr>
        <w:footnoteRef/>
      </w:r>
      <w:r w:rsidRPr="00EB68E3">
        <w:t xml:space="preserve"> Tulojen kokonaismäärä sisältää edelliseltä vuodelta varainhoitoasetuksen 125 artiklan 6 kohdan mukaisesti siirretyn määrän.</w:t>
      </w:r>
    </w:p>
  </w:footnote>
  <w:footnote w:id="18">
    <w:p w14:paraId="1F026664" w14:textId="77777777" w:rsidR="000D3095" w:rsidRPr="00EB68E3" w:rsidRDefault="000D3095" w:rsidP="00A4507B">
      <w:pPr>
        <w:pStyle w:val="FootnoteText"/>
        <w:rPr>
          <w:u w:val="single"/>
        </w:rPr>
      </w:pPr>
      <w:r w:rsidRPr="00EB68E3">
        <w:rPr>
          <w:rStyle w:val="FootnoteReference"/>
        </w:rPr>
        <w:footnoteRef/>
      </w:r>
      <w:r w:rsidRPr="00EB68E3">
        <w:t xml:space="preserve"> Kaikki määrät on ilmaistu tuhansina euroina.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7452" w14:textId="77777777" w:rsidR="008F0E9E" w:rsidRDefault="008F0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06EC" w14:textId="77777777" w:rsidR="008F0E9E" w:rsidRDefault="008F0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744D" w14:textId="77777777" w:rsidR="008F0E9E" w:rsidRDefault="008F0E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F48F" w14:textId="77777777" w:rsidR="000D3095" w:rsidRDefault="000D30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4008" w14:textId="77777777" w:rsidR="000D3095" w:rsidRDefault="000D30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653B" w14:textId="77777777" w:rsidR="000D3095" w:rsidRDefault="000D3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91318"/>
    <w:multiLevelType w:val="hybridMultilevel"/>
    <w:tmpl w:val="143224D2"/>
    <w:lvl w:ilvl="0" w:tplc="018CD448">
      <w:start w:val="1"/>
      <w:numFmt w:val="upperLetter"/>
      <w:lvlText w:val="%1."/>
      <w:lvlJc w:val="left"/>
      <w:pPr>
        <w:tabs>
          <w:tab w:val="num" w:pos="360"/>
        </w:tabs>
        <w:ind w:left="360" w:hanging="360"/>
      </w:pPr>
      <w:rPr>
        <w:rFonts w:hint="default"/>
      </w:rPr>
    </w:lvl>
    <w:lvl w:ilvl="1" w:tplc="6316B624" w:tentative="1">
      <w:start w:val="1"/>
      <w:numFmt w:val="lowerLetter"/>
      <w:lvlText w:val="%2."/>
      <w:lvlJc w:val="left"/>
      <w:pPr>
        <w:tabs>
          <w:tab w:val="num" w:pos="1080"/>
        </w:tabs>
        <w:ind w:left="1080" w:hanging="360"/>
      </w:pPr>
    </w:lvl>
    <w:lvl w:ilvl="2" w:tplc="F4E0B5B2" w:tentative="1">
      <w:start w:val="1"/>
      <w:numFmt w:val="lowerRoman"/>
      <w:lvlText w:val="%3."/>
      <w:lvlJc w:val="right"/>
      <w:pPr>
        <w:tabs>
          <w:tab w:val="num" w:pos="1800"/>
        </w:tabs>
        <w:ind w:left="1800" w:hanging="180"/>
      </w:pPr>
    </w:lvl>
    <w:lvl w:ilvl="3" w:tplc="0C545CCA" w:tentative="1">
      <w:start w:val="1"/>
      <w:numFmt w:val="decimal"/>
      <w:lvlText w:val="%4."/>
      <w:lvlJc w:val="left"/>
      <w:pPr>
        <w:tabs>
          <w:tab w:val="num" w:pos="2520"/>
        </w:tabs>
        <w:ind w:left="2520" w:hanging="360"/>
      </w:pPr>
    </w:lvl>
    <w:lvl w:ilvl="4" w:tplc="44EA1CD0" w:tentative="1">
      <w:start w:val="1"/>
      <w:numFmt w:val="lowerLetter"/>
      <w:lvlText w:val="%5."/>
      <w:lvlJc w:val="left"/>
      <w:pPr>
        <w:tabs>
          <w:tab w:val="num" w:pos="3240"/>
        </w:tabs>
        <w:ind w:left="3240" w:hanging="360"/>
      </w:pPr>
    </w:lvl>
    <w:lvl w:ilvl="5" w:tplc="D4C04856" w:tentative="1">
      <w:start w:val="1"/>
      <w:numFmt w:val="lowerRoman"/>
      <w:lvlText w:val="%6."/>
      <w:lvlJc w:val="right"/>
      <w:pPr>
        <w:tabs>
          <w:tab w:val="num" w:pos="3960"/>
        </w:tabs>
        <w:ind w:left="3960" w:hanging="180"/>
      </w:pPr>
    </w:lvl>
    <w:lvl w:ilvl="6" w:tplc="99A035CA" w:tentative="1">
      <w:start w:val="1"/>
      <w:numFmt w:val="decimal"/>
      <w:lvlText w:val="%7."/>
      <w:lvlJc w:val="left"/>
      <w:pPr>
        <w:tabs>
          <w:tab w:val="num" w:pos="4680"/>
        </w:tabs>
        <w:ind w:left="4680" w:hanging="360"/>
      </w:pPr>
    </w:lvl>
    <w:lvl w:ilvl="7" w:tplc="0F9C54C0" w:tentative="1">
      <w:start w:val="1"/>
      <w:numFmt w:val="lowerLetter"/>
      <w:lvlText w:val="%8."/>
      <w:lvlJc w:val="left"/>
      <w:pPr>
        <w:tabs>
          <w:tab w:val="num" w:pos="5400"/>
        </w:tabs>
        <w:ind w:left="5400" w:hanging="360"/>
      </w:pPr>
    </w:lvl>
    <w:lvl w:ilvl="8" w:tplc="BFFCA312" w:tentative="1">
      <w:start w:val="1"/>
      <w:numFmt w:val="lowerRoman"/>
      <w:lvlText w:val="%9."/>
      <w:lvlJc w:val="right"/>
      <w:pPr>
        <w:tabs>
          <w:tab w:val="num" w:pos="6120"/>
        </w:tabs>
        <w:ind w:left="6120" w:hanging="180"/>
      </w:pPr>
    </w:lvl>
  </w:abstractNum>
  <w:abstractNum w:abstractNumId="11" w15:restartNumberingAfterBreak="0">
    <w:nsid w:val="462D6E49"/>
    <w:multiLevelType w:val="hybridMultilevel"/>
    <w:tmpl w:val="78B8CEFC"/>
    <w:lvl w:ilvl="0" w:tplc="7416D42E">
      <w:start w:val="1"/>
      <w:numFmt w:val="decimal"/>
      <w:lvlText w:val="%1."/>
      <w:lvlJc w:val="left"/>
      <w:pPr>
        <w:tabs>
          <w:tab w:val="num" w:pos="720"/>
        </w:tabs>
        <w:ind w:left="720" w:hanging="360"/>
      </w:pPr>
    </w:lvl>
    <w:lvl w:ilvl="1" w:tplc="9374364A" w:tentative="1">
      <w:start w:val="1"/>
      <w:numFmt w:val="lowerLetter"/>
      <w:lvlText w:val="%2."/>
      <w:lvlJc w:val="left"/>
      <w:pPr>
        <w:tabs>
          <w:tab w:val="num" w:pos="1440"/>
        </w:tabs>
        <w:ind w:left="1440" w:hanging="360"/>
      </w:pPr>
    </w:lvl>
    <w:lvl w:ilvl="2" w:tplc="25A0F234" w:tentative="1">
      <w:start w:val="1"/>
      <w:numFmt w:val="lowerRoman"/>
      <w:lvlText w:val="%3."/>
      <w:lvlJc w:val="right"/>
      <w:pPr>
        <w:tabs>
          <w:tab w:val="num" w:pos="2160"/>
        </w:tabs>
        <w:ind w:left="2160" w:hanging="180"/>
      </w:pPr>
    </w:lvl>
    <w:lvl w:ilvl="3" w:tplc="6EF8827E" w:tentative="1">
      <w:start w:val="1"/>
      <w:numFmt w:val="decimal"/>
      <w:lvlText w:val="%4."/>
      <w:lvlJc w:val="left"/>
      <w:pPr>
        <w:tabs>
          <w:tab w:val="num" w:pos="2880"/>
        </w:tabs>
        <w:ind w:left="2880" w:hanging="360"/>
      </w:pPr>
    </w:lvl>
    <w:lvl w:ilvl="4" w:tplc="BB90205C" w:tentative="1">
      <w:start w:val="1"/>
      <w:numFmt w:val="lowerLetter"/>
      <w:lvlText w:val="%5."/>
      <w:lvlJc w:val="left"/>
      <w:pPr>
        <w:tabs>
          <w:tab w:val="num" w:pos="3600"/>
        </w:tabs>
        <w:ind w:left="3600" w:hanging="360"/>
      </w:pPr>
    </w:lvl>
    <w:lvl w:ilvl="5" w:tplc="AB98749E" w:tentative="1">
      <w:start w:val="1"/>
      <w:numFmt w:val="lowerRoman"/>
      <w:lvlText w:val="%6."/>
      <w:lvlJc w:val="right"/>
      <w:pPr>
        <w:tabs>
          <w:tab w:val="num" w:pos="4320"/>
        </w:tabs>
        <w:ind w:left="4320" w:hanging="180"/>
      </w:pPr>
    </w:lvl>
    <w:lvl w:ilvl="6" w:tplc="47D8A9B2" w:tentative="1">
      <w:start w:val="1"/>
      <w:numFmt w:val="decimal"/>
      <w:lvlText w:val="%7."/>
      <w:lvlJc w:val="left"/>
      <w:pPr>
        <w:tabs>
          <w:tab w:val="num" w:pos="5040"/>
        </w:tabs>
        <w:ind w:left="5040" w:hanging="360"/>
      </w:pPr>
    </w:lvl>
    <w:lvl w:ilvl="7" w:tplc="A96AC462" w:tentative="1">
      <w:start w:val="1"/>
      <w:numFmt w:val="lowerLetter"/>
      <w:lvlText w:val="%8."/>
      <w:lvlJc w:val="left"/>
      <w:pPr>
        <w:tabs>
          <w:tab w:val="num" w:pos="5760"/>
        </w:tabs>
        <w:ind w:left="5760" w:hanging="360"/>
      </w:pPr>
    </w:lvl>
    <w:lvl w:ilvl="8" w:tplc="743E072A" w:tentative="1">
      <w:start w:val="1"/>
      <w:numFmt w:val="lowerRoman"/>
      <w:lvlText w:val="%9."/>
      <w:lvlJc w:val="right"/>
      <w:pPr>
        <w:tabs>
          <w:tab w:val="num" w:pos="6480"/>
        </w:tabs>
        <w:ind w:left="6480" w:hanging="180"/>
      </w:pPr>
    </w:lvl>
  </w:abstractNum>
  <w:abstractNum w:abstractNumId="12" w15:restartNumberingAfterBreak="0">
    <w:nsid w:val="5F4938BA"/>
    <w:multiLevelType w:val="hybridMultilevel"/>
    <w:tmpl w:val="4D6EFFB6"/>
    <w:lvl w:ilvl="0" w:tplc="9D22A346">
      <w:numFmt w:val="bullet"/>
      <w:lvlText w:val="-"/>
      <w:lvlJc w:val="left"/>
      <w:pPr>
        <w:ind w:left="1080" w:hanging="360"/>
      </w:pPr>
      <w:rPr>
        <w:rFonts w:ascii="Times New Roman" w:eastAsiaTheme="minorHAnsi" w:hAnsi="Times New Roman" w:cs="Times New Roman" w:hint="default"/>
        <w:b/>
        <w: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nl-NL" w:vendorID="64" w:dllVersion="131078" w:nlCheck="1" w:checkStyle="0"/>
  <w:activeWritingStyle w:appName="MSWord" w:lang="en-US"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OPINMNU" w:val=" 1"/>
    <w:docVar w:name="CopyToNetwork" w:val="-1"/>
    <w:docVar w:name="DECISIONMNU" w:val=" 3"/>
    <w:docVar w:name="DOCDT" w:val="27/02/2019"/>
    <w:docVar w:name="FN1DT" w:val="28/02/2017"/>
    <w:docVar w:name="FN2DT" w:val="28/09/2018"/>
    <w:docVar w:name="FN3DT" w:val="..."/>
    <w:docVar w:name="FN4DT" w:val="..."/>
    <w:docVar w:name="FN5DT" w:val="..."/>
    <w:docVar w:name="LastAMInserted" w:val="85"/>
    <w:docVar w:name="LastEditedSection" w:val=" 1"/>
    <w:docVar w:name="NumberAMInserted" w:val="85"/>
    <w:docVar w:name="strDocTypeID" w:val="PR_DEC_EP"/>
    <w:docVar w:name="strSubDir" w:val="626"/>
    <w:docVar w:name="TXTBUDYEAR" w:val="2017"/>
    <w:docVar w:name="TXTFN1" w:val="51"/>
    <w:docVar w:name="TXTFN3" w:val="…"/>
    <w:docVar w:name="TXTFN4" w:val="…"/>
    <w:docVar w:name="TXTFN5" w:val="…"/>
    <w:docVar w:name="TXTLANGUE" w:val="FI"/>
    <w:docVar w:name="TXTLANGUEMIN" w:val="fi"/>
    <w:docVar w:name="TXTNRCACCOUNTS" w:val="0319"/>
    <w:docVar w:name="TXTNRCOMACCOUNTS" w:val="(2018"/>
    <w:docVar w:name="TXTNRDEC" w:val="2018/2167"/>
    <w:docVar w:name="TXTNRPE" w:val="626.836"/>
    <w:docVar w:name="TXTPEorAP" w:val="PE"/>
    <w:docVar w:name="TXTPG2" w:val="1"/>
    <w:docVar w:name="TXTPG3" w:val="…"/>
    <w:docVar w:name="TXTPG4" w:val="…"/>
    <w:docVar w:name="TXTPG5" w:val="…"/>
    <w:docVar w:name="TXTROUTE" w:val="RR\1178243FI.docx"/>
    <w:docVar w:name="TXTVERSION" w:val="02-00"/>
  </w:docVars>
  <w:rsids>
    <w:rsidRoot w:val="00A60F2B"/>
    <w:rsid w:val="00023576"/>
    <w:rsid w:val="000347BD"/>
    <w:rsid w:val="000369BD"/>
    <w:rsid w:val="00040D5F"/>
    <w:rsid w:val="000A63AD"/>
    <w:rsid w:val="000C2E95"/>
    <w:rsid w:val="000D3095"/>
    <w:rsid w:val="000F24DB"/>
    <w:rsid w:val="00117AC5"/>
    <w:rsid w:val="00121855"/>
    <w:rsid w:val="001313BA"/>
    <w:rsid w:val="00160835"/>
    <w:rsid w:val="001659C1"/>
    <w:rsid w:val="00165B7F"/>
    <w:rsid w:val="0017457A"/>
    <w:rsid w:val="00176B5B"/>
    <w:rsid w:val="001843E4"/>
    <w:rsid w:val="001849E4"/>
    <w:rsid w:val="001A0B84"/>
    <w:rsid w:val="001A3EF0"/>
    <w:rsid w:val="001A67C3"/>
    <w:rsid w:val="001B4394"/>
    <w:rsid w:val="001B4494"/>
    <w:rsid w:val="001B7898"/>
    <w:rsid w:val="001C07FB"/>
    <w:rsid w:val="001C1927"/>
    <w:rsid w:val="001C295D"/>
    <w:rsid w:val="001C66BC"/>
    <w:rsid w:val="001D3DA3"/>
    <w:rsid w:val="001D68F9"/>
    <w:rsid w:val="001E6370"/>
    <w:rsid w:val="001F6500"/>
    <w:rsid w:val="001F7BA4"/>
    <w:rsid w:val="00201207"/>
    <w:rsid w:val="00201AB5"/>
    <w:rsid w:val="00211CE5"/>
    <w:rsid w:val="0021235E"/>
    <w:rsid w:val="002206FF"/>
    <w:rsid w:val="00263C6D"/>
    <w:rsid w:val="00282028"/>
    <w:rsid w:val="002859FB"/>
    <w:rsid w:val="0029389B"/>
    <w:rsid w:val="002B1A41"/>
    <w:rsid w:val="002B6C2C"/>
    <w:rsid w:val="002C2179"/>
    <w:rsid w:val="002E2AB4"/>
    <w:rsid w:val="0031532E"/>
    <w:rsid w:val="00324A7F"/>
    <w:rsid w:val="00325E99"/>
    <w:rsid w:val="00330D1D"/>
    <w:rsid w:val="00356646"/>
    <w:rsid w:val="00357515"/>
    <w:rsid w:val="003637EE"/>
    <w:rsid w:val="003A44C6"/>
    <w:rsid w:val="003B0061"/>
    <w:rsid w:val="003B462D"/>
    <w:rsid w:val="003B4B4A"/>
    <w:rsid w:val="003B745E"/>
    <w:rsid w:val="003C0BD6"/>
    <w:rsid w:val="003C3C13"/>
    <w:rsid w:val="003C4CB8"/>
    <w:rsid w:val="003F252A"/>
    <w:rsid w:val="003F79B9"/>
    <w:rsid w:val="00404619"/>
    <w:rsid w:val="004054C9"/>
    <w:rsid w:val="00414D63"/>
    <w:rsid w:val="0044252A"/>
    <w:rsid w:val="00451A58"/>
    <w:rsid w:val="00460C2F"/>
    <w:rsid w:val="00464897"/>
    <w:rsid w:val="00465A62"/>
    <w:rsid w:val="004800A4"/>
    <w:rsid w:val="004A090F"/>
    <w:rsid w:val="004C1B68"/>
    <w:rsid w:val="004F1B77"/>
    <w:rsid w:val="00521511"/>
    <w:rsid w:val="00521E25"/>
    <w:rsid w:val="005344BF"/>
    <w:rsid w:val="00535A98"/>
    <w:rsid w:val="0053757C"/>
    <w:rsid w:val="00550807"/>
    <w:rsid w:val="005513AA"/>
    <w:rsid w:val="00566BD6"/>
    <w:rsid w:val="00575DB9"/>
    <w:rsid w:val="00584A0E"/>
    <w:rsid w:val="005C3700"/>
    <w:rsid w:val="005D6EC8"/>
    <w:rsid w:val="005E1E2C"/>
    <w:rsid w:val="005E422C"/>
    <w:rsid w:val="005F0308"/>
    <w:rsid w:val="006106A6"/>
    <w:rsid w:val="006450B9"/>
    <w:rsid w:val="00646B22"/>
    <w:rsid w:val="0065460D"/>
    <w:rsid w:val="00673271"/>
    <w:rsid w:val="00685622"/>
    <w:rsid w:val="00686B65"/>
    <w:rsid w:val="006946CD"/>
    <w:rsid w:val="00696D5B"/>
    <w:rsid w:val="006A06D0"/>
    <w:rsid w:val="006A5C29"/>
    <w:rsid w:val="006B0ED0"/>
    <w:rsid w:val="006C1151"/>
    <w:rsid w:val="006C71DE"/>
    <w:rsid w:val="006E3563"/>
    <w:rsid w:val="006E46BD"/>
    <w:rsid w:val="006E7EFE"/>
    <w:rsid w:val="006F2248"/>
    <w:rsid w:val="006F5152"/>
    <w:rsid w:val="0070602E"/>
    <w:rsid w:val="0070631D"/>
    <w:rsid w:val="00723CB4"/>
    <w:rsid w:val="00724322"/>
    <w:rsid w:val="00724852"/>
    <w:rsid w:val="00727A40"/>
    <w:rsid w:val="00742B5F"/>
    <w:rsid w:val="00743AF3"/>
    <w:rsid w:val="00775965"/>
    <w:rsid w:val="007B45A2"/>
    <w:rsid w:val="007B64AF"/>
    <w:rsid w:val="007E66D3"/>
    <w:rsid w:val="007E7A1E"/>
    <w:rsid w:val="007F7513"/>
    <w:rsid w:val="008133FE"/>
    <w:rsid w:val="00827BFA"/>
    <w:rsid w:val="00830F5E"/>
    <w:rsid w:val="00835775"/>
    <w:rsid w:val="00840C5A"/>
    <w:rsid w:val="00850AE5"/>
    <w:rsid w:val="0086406C"/>
    <w:rsid w:val="008C5D7C"/>
    <w:rsid w:val="008D1DB3"/>
    <w:rsid w:val="008E2237"/>
    <w:rsid w:val="008F0E9E"/>
    <w:rsid w:val="008F24E6"/>
    <w:rsid w:val="008F5D2B"/>
    <w:rsid w:val="008F7F52"/>
    <w:rsid w:val="00903B2F"/>
    <w:rsid w:val="00924FA3"/>
    <w:rsid w:val="00935ECD"/>
    <w:rsid w:val="00942864"/>
    <w:rsid w:val="00965373"/>
    <w:rsid w:val="009722C6"/>
    <w:rsid w:val="009A362F"/>
    <w:rsid w:val="009B29CC"/>
    <w:rsid w:val="009B322C"/>
    <w:rsid w:val="009D1CAF"/>
    <w:rsid w:val="009E0EC5"/>
    <w:rsid w:val="00A11401"/>
    <w:rsid w:val="00A414A1"/>
    <w:rsid w:val="00A4507B"/>
    <w:rsid w:val="00A50440"/>
    <w:rsid w:val="00A60189"/>
    <w:rsid w:val="00A60F2B"/>
    <w:rsid w:val="00A9011D"/>
    <w:rsid w:val="00A905CF"/>
    <w:rsid w:val="00A92EDD"/>
    <w:rsid w:val="00AA273F"/>
    <w:rsid w:val="00AA5388"/>
    <w:rsid w:val="00AB2E7A"/>
    <w:rsid w:val="00AB4789"/>
    <w:rsid w:val="00AB5779"/>
    <w:rsid w:val="00AE557A"/>
    <w:rsid w:val="00AE7693"/>
    <w:rsid w:val="00B03798"/>
    <w:rsid w:val="00B056D4"/>
    <w:rsid w:val="00B05F16"/>
    <w:rsid w:val="00B22620"/>
    <w:rsid w:val="00B22BC5"/>
    <w:rsid w:val="00B24C3E"/>
    <w:rsid w:val="00B3664C"/>
    <w:rsid w:val="00B41C2D"/>
    <w:rsid w:val="00B5088A"/>
    <w:rsid w:val="00B5383E"/>
    <w:rsid w:val="00B55069"/>
    <w:rsid w:val="00B72DEC"/>
    <w:rsid w:val="00B87BBC"/>
    <w:rsid w:val="00B92EFF"/>
    <w:rsid w:val="00B9624E"/>
    <w:rsid w:val="00BB18C8"/>
    <w:rsid w:val="00BB507C"/>
    <w:rsid w:val="00BC34FD"/>
    <w:rsid w:val="00BE32E9"/>
    <w:rsid w:val="00BF0771"/>
    <w:rsid w:val="00C1531C"/>
    <w:rsid w:val="00C164BA"/>
    <w:rsid w:val="00C1774A"/>
    <w:rsid w:val="00C21D04"/>
    <w:rsid w:val="00C23D5B"/>
    <w:rsid w:val="00C455F5"/>
    <w:rsid w:val="00C457E0"/>
    <w:rsid w:val="00C57015"/>
    <w:rsid w:val="00C62982"/>
    <w:rsid w:val="00C77FC5"/>
    <w:rsid w:val="00C8232D"/>
    <w:rsid w:val="00C846E9"/>
    <w:rsid w:val="00C87662"/>
    <w:rsid w:val="00CC1415"/>
    <w:rsid w:val="00CE2CF5"/>
    <w:rsid w:val="00CE4B0A"/>
    <w:rsid w:val="00D0466A"/>
    <w:rsid w:val="00D06428"/>
    <w:rsid w:val="00D06F13"/>
    <w:rsid w:val="00D14982"/>
    <w:rsid w:val="00D17A0F"/>
    <w:rsid w:val="00D25655"/>
    <w:rsid w:val="00D315B0"/>
    <w:rsid w:val="00D55AED"/>
    <w:rsid w:val="00D62114"/>
    <w:rsid w:val="00D821F5"/>
    <w:rsid w:val="00D977CE"/>
    <w:rsid w:val="00DD30DC"/>
    <w:rsid w:val="00DE6C07"/>
    <w:rsid w:val="00DF3A04"/>
    <w:rsid w:val="00E16948"/>
    <w:rsid w:val="00E52B4D"/>
    <w:rsid w:val="00E56DE4"/>
    <w:rsid w:val="00E671BE"/>
    <w:rsid w:val="00E7150E"/>
    <w:rsid w:val="00E738EF"/>
    <w:rsid w:val="00E964BB"/>
    <w:rsid w:val="00EA5769"/>
    <w:rsid w:val="00EB68E3"/>
    <w:rsid w:val="00ED7D1A"/>
    <w:rsid w:val="00EE085A"/>
    <w:rsid w:val="00EE1766"/>
    <w:rsid w:val="00EE411E"/>
    <w:rsid w:val="00EE538B"/>
    <w:rsid w:val="00EE695F"/>
    <w:rsid w:val="00EF4BC7"/>
    <w:rsid w:val="00EF7E15"/>
    <w:rsid w:val="00F104A3"/>
    <w:rsid w:val="00F21C7F"/>
    <w:rsid w:val="00F21D6D"/>
    <w:rsid w:val="00F2573D"/>
    <w:rsid w:val="00F37BF4"/>
    <w:rsid w:val="00F51811"/>
    <w:rsid w:val="00F537AA"/>
    <w:rsid w:val="00F608E1"/>
    <w:rsid w:val="00F63F76"/>
    <w:rsid w:val="00F65627"/>
    <w:rsid w:val="00F81FBC"/>
    <w:rsid w:val="00F86EAC"/>
    <w:rsid w:val="00F93DCA"/>
    <w:rsid w:val="00F94794"/>
    <w:rsid w:val="00F96A5D"/>
    <w:rsid w:val="00F97ECB"/>
    <w:rsid w:val="00FA051D"/>
    <w:rsid w:val="00FA6861"/>
    <w:rsid w:val="00FB6BDA"/>
    <w:rsid w:val="00FB7B5F"/>
    <w:rsid w:val="00FC02BA"/>
    <w:rsid w:val="00FD18F9"/>
    <w:rsid w:val="00FD509E"/>
    <w:rsid w:val="00FE01B8"/>
    <w:rsid w:val="00FE4D80"/>
    <w:rsid w:val="00F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6A5847"/>
  <w15:chartTrackingRefBased/>
  <w15:docId w15:val="{68AE963A-621B-4E92-8F59-BCE26A1B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spacing w:before="240" w:after="60"/>
      <w:outlineLvl w:val="3"/>
    </w:pPr>
    <w:rPr>
      <w:rFonts w:ascii="Arial" w:hAnsi="Arial"/>
      <w:b/>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link w:val="FooterChar"/>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semiHidden/>
    <w:rsid w:val="00FD18F9"/>
    <w:pPr>
      <w:spacing w:after="0"/>
    </w:p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5F030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F81FBC"/>
    <w:pPr>
      <w:tabs>
        <w:tab w:val="left" w:pos="567"/>
      </w:tabs>
    </w:pPr>
  </w:style>
  <w:style w:type="paragraph" w:customStyle="1" w:styleId="RefProc">
    <w:name w:val="RefProc"/>
    <w:basedOn w:val="Normal"/>
    <w:rsid w:val="00CC1415"/>
    <w:pPr>
      <w:spacing w:before="240" w:after="240"/>
      <w:jc w:val="right"/>
    </w:pPr>
    <w:rPr>
      <w:rFonts w:ascii="Arial" w:hAnsi="Arial"/>
      <w:b/>
      <w:caps/>
    </w:rPr>
  </w:style>
  <w:style w:type="paragraph" w:customStyle="1" w:styleId="TypeDoc">
    <w:name w:val="TypeDoc"/>
    <w:basedOn w:val="Normal24"/>
    <w:pPr>
      <w:spacing w:before="480"/>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link w:val="HeaderChar"/>
    <w:pPr>
      <w:tabs>
        <w:tab w:val="center" w:pos="4153"/>
        <w:tab w:val="right" w:pos="8306"/>
      </w:tabs>
    </w:pPr>
  </w:style>
  <w:style w:type="paragraph" w:customStyle="1" w:styleId="EPTerm">
    <w:name w:val="EPTerm"/>
    <w:basedOn w:val="Normal"/>
    <w:next w:val="Normal"/>
    <w:rsid w:val="005F0308"/>
    <w:pPr>
      <w:spacing w:after="80"/>
    </w:pPr>
    <w:rPr>
      <w:rFonts w:ascii="Arial" w:hAnsi="Arial" w:cs="Arial"/>
      <w:sz w:val="20"/>
      <w:szCs w:val="22"/>
    </w:rPr>
  </w:style>
  <w:style w:type="paragraph" w:customStyle="1" w:styleId="Normal12a12bHanging">
    <w:name w:val="Normal12a12bHanging"/>
    <w:basedOn w:val="Normal12a12b"/>
    <w:rsid w:val="00E7150E"/>
    <w:pPr>
      <w:ind w:left="567" w:hanging="567"/>
    </w:pPr>
  </w:style>
  <w:style w:type="paragraph" w:customStyle="1" w:styleId="Normal24BoldCentre">
    <w:name w:val="Normal24BoldCentre"/>
    <w:basedOn w:val="Normal"/>
    <w:next w:val="Normal12Hanging"/>
    <w:pPr>
      <w:spacing w:after="480"/>
      <w:jc w:val="center"/>
    </w:pPr>
    <w:rPr>
      <w:b/>
      <w:noProof/>
    </w:rPr>
  </w:style>
  <w:style w:type="paragraph" w:styleId="TOC2">
    <w:name w:val="toc 2"/>
    <w:basedOn w:val="Normal"/>
    <w:next w:val="Normal"/>
    <w:semiHidden/>
    <w:pPr>
      <w:ind w:left="227"/>
    </w:pPr>
  </w:style>
  <w:style w:type="table" w:styleId="TableGrid">
    <w:name w:val="Table Grid"/>
    <w:basedOn w:val="TableNormal"/>
    <w:uiPriority w:val="39"/>
    <w:rsid w:val="0072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rsid w:val="00FD18F9"/>
    <w:pPr>
      <w:spacing w:after="240"/>
    </w:pPr>
  </w:style>
  <w:style w:type="paragraph" w:customStyle="1" w:styleId="ZCommittee">
    <w:name w:val="ZCommittee"/>
    <w:basedOn w:val="Normal"/>
    <w:next w:val="Normal"/>
    <w:rsid w:val="00724322"/>
    <w:pPr>
      <w:jc w:val="center"/>
    </w:pPr>
    <w:rPr>
      <w:rFonts w:ascii="Arial" w:hAnsi="Arial" w:cs="Arial"/>
      <w:i/>
      <w:sz w:val="22"/>
      <w:szCs w:val="22"/>
    </w:rPr>
  </w:style>
  <w:style w:type="paragraph" w:customStyle="1" w:styleId="LineTop">
    <w:name w:val="LineTop"/>
    <w:basedOn w:val="Normal"/>
    <w:next w:val="ZCommittee"/>
    <w:rsid w:val="00724322"/>
    <w:pPr>
      <w:pBdr>
        <w:top w:val="single" w:sz="4" w:space="1" w:color="auto"/>
      </w:pBdr>
      <w:jc w:val="center"/>
    </w:pPr>
    <w:rPr>
      <w:rFonts w:ascii="Arial" w:hAnsi="Arial"/>
      <w:sz w:val="16"/>
      <w:szCs w:val="16"/>
    </w:rPr>
  </w:style>
  <w:style w:type="paragraph" w:customStyle="1" w:styleId="LineBottom">
    <w:name w:val="LineBottom"/>
    <w:basedOn w:val="Normal"/>
    <w:next w:val="Normal"/>
    <w:rsid w:val="00724322"/>
    <w:pPr>
      <w:pBdr>
        <w:bottom w:val="single" w:sz="4" w:space="1" w:color="auto"/>
      </w:pBdr>
      <w:spacing w:after="840"/>
      <w:jc w:val="center"/>
    </w:pPr>
    <w:rPr>
      <w:rFonts w:ascii="Arial" w:hAnsi="Arial"/>
      <w:sz w:val="16"/>
      <w:szCs w:val="16"/>
    </w:rPr>
  </w:style>
  <w:style w:type="paragraph" w:customStyle="1" w:styleId="EPLogo">
    <w:name w:val="EPLogo"/>
    <w:basedOn w:val="Normal"/>
    <w:qFormat/>
    <w:rsid w:val="005F0308"/>
    <w:pPr>
      <w:jc w:val="right"/>
    </w:pPr>
  </w:style>
  <w:style w:type="paragraph" w:styleId="FootnoteText">
    <w:name w:val="footnote text"/>
    <w:basedOn w:val="Normal"/>
    <w:link w:val="FootnoteTextChar"/>
    <w:rsid w:val="00040D5F"/>
    <w:rPr>
      <w:sz w:val="20"/>
    </w:rPr>
  </w:style>
  <w:style w:type="character" w:customStyle="1" w:styleId="FootnoteTextChar">
    <w:name w:val="Footnote Text Char"/>
    <w:basedOn w:val="DefaultParagraphFont"/>
    <w:link w:val="FootnoteText"/>
    <w:rsid w:val="00040D5F"/>
  </w:style>
  <w:style w:type="character" w:styleId="FootnoteReference">
    <w:name w:val="footnote reference"/>
    <w:basedOn w:val="DefaultParagraphFont"/>
    <w:rsid w:val="00040D5F"/>
    <w:rPr>
      <w:vertAlign w:val="superscript"/>
    </w:rPr>
  </w:style>
  <w:style w:type="paragraph" w:styleId="BalloonText">
    <w:name w:val="Balloon Text"/>
    <w:basedOn w:val="Normal"/>
    <w:link w:val="BalloonTextChar"/>
    <w:rsid w:val="00B22BC5"/>
    <w:rPr>
      <w:rFonts w:ascii="Segoe UI" w:hAnsi="Segoe UI" w:cs="Segoe UI"/>
      <w:sz w:val="18"/>
      <w:szCs w:val="18"/>
    </w:rPr>
  </w:style>
  <w:style w:type="character" w:customStyle="1" w:styleId="BalloonTextChar">
    <w:name w:val="Balloon Text Char"/>
    <w:basedOn w:val="DefaultParagraphFont"/>
    <w:link w:val="BalloonText"/>
    <w:rsid w:val="00B22BC5"/>
    <w:rPr>
      <w:rFonts w:ascii="Segoe UI" w:hAnsi="Segoe UI" w:cs="Segoe UI"/>
      <w:sz w:val="18"/>
      <w:szCs w:val="18"/>
    </w:rPr>
  </w:style>
  <w:style w:type="character" w:customStyle="1" w:styleId="Heading1Char">
    <w:name w:val="Heading 1 Char"/>
    <w:link w:val="Heading1"/>
    <w:rsid w:val="00A4507B"/>
    <w:rPr>
      <w:rFonts w:ascii="Arial" w:hAnsi="Arial"/>
      <w:b/>
      <w:kern w:val="28"/>
      <w:sz w:val="28"/>
    </w:rPr>
  </w:style>
  <w:style w:type="character" w:customStyle="1" w:styleId="Heading2Char">
    <w:name w:val="Heading 2 Char"/>
    <w:link w:val="Heading2"/>
    <w:rsid w:val="00A4507B"/>
    <w:rPr>
      <w:rFonts w:ascii="Arial" w:hAnsi="Arial"/>
      <w:b/>
      <w:i/>
      <w:sz w:val="24"/>
    </w:rPr>
  </w:style>
  <w:style w:type="character" w:customStyle="1" w:styleId="Heading3Char">
    <w:name w:val="Heading 3 Char"/>
    <w:link w:val="Heading3"/>
    <w:rsid w:val="00A4507B"/>
    <w:rPr>
      <w:rFonts w:ascii="Arial" w:hAnsi="Arial"/>
      <w:sz w:val="24"/>
    </w:rPr>
  </w:style>
  <w:style w:type="character" w:customStyle="1" w:styleId="Heading4Char">
    <w:name w:val="Heading 4 Char"/>
    <w:link w:val="Heading4"/>
    <w:rsid w:val="00A4507B"/>
    <w:rPr>
      <w:rFonts w:ascii="Arial" w:hAnsi="Arial"/>
      <w:b/>
      <w:sz w:val="24"/>
    </w:rPr>
  </w:style>
  <w:style w:type="character" w:customStyle="1" w:styleId="Heading5Char">
    <w:name w:val="Heading 5 Char"/>
    <w:link w:val="Heading5"/>
    <w:rsid w:val="00A4507B"/>
    <w:rPr>
      <w:sz w:val="22"/>
    </w:rPr>
  </w:style>
  <w:style w:type="character" w:customStyle="1" w:styleId="Heading6Char">
    <w:name w:val="Heading 6 Char"/>
    <w:link w:val="Heading6"/>
    <w:rsid w:val="00A4507B"/>
    <w:rPr>
      <w:i/>
      <w:sz w:val="22"/>
    </w:rPr>
  </w:style>
  <w:style w:type="character" w:customStyle="1" w:styleId="Heading7Char">
    <w:name w:val="Heading 7 Char"/>
    <w:link w:val="Heading7"/>
    <w:rsid w:val="00A4507B"/>
    <w:rPr>
      <w:rFonts w:ascii="Arial" w:hAnsi="Arial"/>
      <w:sz w:val="24"/>
    </w:rPr>
  </w:style>
  <w:style w:type="character" w:customStyle="1" w:styleId="Heading8Char">
    <w:name w:val="Heading 8 Char"/>
    <w:link w:val="Heading8"/>
    <w:rsid w:val="00A4507B"/>
    <w:rPr>
      <w:rFonts w:ascii="Arial" w:hAnsi="Arial"/>
      <w:i/>
      <w:sz w:val="24"/>
    </w:rPr>
  </w:style>
  <w:style w:type="character" w:customStyle="1" w:styleId="Heading9Char">
    <w:name w:val="Heading 9 Char"/>
    <w:link w:val="Heading9"/>
    <w:rsid w:val="00A4507B"/>
    <w:rPr>
      <w:rFonts w:ascii="Arial" w:hAnsi="Arial"/>
      <w:b/>
      <w:i/>
      <w:sz w:val="18"/>
    </w:rPr>
  </w:style>
  <w:style w:type="character" w:styleId="Hyperlink">
    <w:name w:val="Hyperlink"/>
    <w:uiPriority w:val="99"/>
    <w:unhideWhenUsed/>
    <w:rsid w:val="00A4507B"/>
    <w:rPr>
      <w:color w:val="0000FF"/>
      <w:u w:val="single"/>
    </w:rPr>
  </w:style>
  <w:style w:type="character" w:styleId="FollowedHyperlink">
    <w:name w:val="FollowedHyperlink"/>
    <w:uiPriority w:val="99"/>
    <w:unhideWhenUsed/>
    <w:rsid w:val="00A4507B"/>
    <w:rPr>
      <w:color w:val="954F72"/>
      <w:u w:val="single"/>
    </w:rPr>
  </w:style>
  <w:style w:type="paragraph" w:customStyle="1" w:styleId="msonormal0">
    <w:name w:val="msonormal"/>
    <w:basedOn w:val="Normal"/>
    <w:rsid w:val="00A4507B"/>
    <w:pPr>
      <w:widowControl/>
      <w:spacing w:before="100" w:beforeAutospacing="1" w:after="100" w:afterAutospacing="1"/>
    </w:pPr>
    <w:rPr>
      <w:szCs w:val="24"/>
    </w:rPr>
  </w:style>
  <w:style w:type="character" w:customStyle="1" w:styleId="HeaderChar">
    <w:name w:val="Header Char"/>
    <w:link w:val="Header"/>
    <w:rsid w:val="00A4507B"/>
    <w:rPr>
      <w:sz w:val="24"/>
    </w:rPr>
  </w:style>
  <w:style w:type="character" w:customStyle="1" w:styleId="FooterChar">
    <w:name w:val="Footer Char"/>
    <w:link w:val="Footer"/>
    <w:rsid w:val="00A4507B"/>
    <w:rPr>
      <w:sz w:val="22"/>
    </w:rPr>
  </w:style>
  <w:style w:type="character" w:styleId="Emphasis">
    <w:name w:val="Emphasis"/>
    <w:uiPriority w:val="20"/>
    <w:qFormat/>
    <w:rsid w:val="00F21D6D"/>
    <w:rPr>
      <w:i/>
      <w:iCs/>
    </w:rPr>
  </w:style>
  <w:style w:type="character" w:styleId="CommentReference">
    <w:name w:val="annotation reference"/>
    <w:basedOn w:val="DefaultParagraphFont"/>
    <w:rsid w:val="00F63F76"/>
    <w:rPr>
      <w:sz w:val="16"/>
      <w:szCs w:val="16"/>
    </w:rPr>
  </w:style>
  <w:style w:type="paragraph" w:styleId="CommentText">
    <w:name w:val="annotation text"/>
    <w:basedOn w:val="Normal"/>
    <w:link w:val="CommentTextChar"/>
    <w:rsid w:val="00F63F76"/>
    <w:rPr>
      <w:sz w:val="20"/>
    </w:rPr>
  </w:style>
  <w:style w:type="character" w:customStyle="1" w:styleId="CommentTextChar">
    <w:name w:val="Comment Text Char"/>
    <w:basedOn w:val="DefaultParagraphFont"/>
    <w:link w:val="CommentText"/>
    <w:rsid w:val="00F63F76"/>
  </w:style>
  <w:style w:type="paragraph" w:styleId="CommentSubject">
    <w:name w:val="annotation subject"/>
    <w:basedOn w:val="CommentText"/>
    <w:next w:val="CommentText"/>
    <w:link w:val="CommentSubjectChar"/>
    <w:rsid w:val="00F63F76"/>
    <w:rPr>
      <w:b/>
      <w:bCs/>
    </w:rPr>
  </w:style>
  <w:style w:type="character" w:customStyle="1" w:styleId="CommentSubjectChar">
    <w:name w:val="Comment Subject Char"/>
    <w:basedOn w:val="CommentTextChar"/>
    <w:link w:val="CommentSubject"/>
    <w:rsid w:val="00F63F76"/>
    <w:rPr>
      <w:b/>
      <w:bCs/>
    </w:rPr>
  </w:style>
  <w:style w:type="character" w:customStyle="1" w:styleId="Sup">
    <w:name w:val="Sup"/>
    <w:rsid w:val="00BE32E9"/>
    <w:rPr>
      <w:color w:val="000000"/>
      <w:vertAlign w:val="superscript"/>
    </w:rPr>
  </w:style>
  <w:style w:type="character" w:customStyle="1" w:styleId="Normal12HangingChar">
    <w:name w:val="Normal12Hanging Char"/>
    <w:link w:val="Normal12Hanging"/>
    <w:rsid w:val="00BE32E9"/>
    <w:rPr>
      <w:sz w:val="24"/>
    </w:rPr>
  </w:style>
  <w:style w:type="character" w:customStyle="1" w:styleId="SupBoldItalic">
    <w:name w:val="SupBoldItalic"/>
    <w:rsid w:val="00BE32E9"/>
    <w:rPr>
      <w:b/>
      <w:i/>
      <w:color w:val="000000"/>
      <w:vertAlign w:val="superscript"/>
    </w:rPr>
  </w:style>
  <w:style w:type="paragraph" w:styleId="ListParagraph">
    <w:name w:val="List Paragraph"/>
    <w:basedOn w:val="Normal"/>
    <w:uiPriority w:val="34"/>
    <w:qFormat/>
    <w:rsid w:val="00F537AA"/>
    <w:pPr>
      <w:widowControl/>
      <w:ind w:left="720"/>
      <w:contextualSpacing/>
      <w:jc w:val="both"/>
    </w:pPr>
    <w:rPr>
      <w:rFonts w:eastAsia="Calibri"/>
      <w:szCs w:val="24"/>
      <w:lang w:eastAsia="en-US"/>
    </w:rPr>
  </w:style>
  <w:style w:type="paragraph" w:customStyle="1" w:styleId="NormalTabs">
    <w:name w:val="NormalTabs"/>
    <w:basedOn w:val="Normal"/>
    <w:qFormat/>
    <w:rsid w:val="00C23D5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852">
      <w:bodyDiv w:val="1"/>
      <w:marLeft w:val="0"/>
      <w:marRight w:val="0"/>
      <w:marTop w:val="0"/>
      <w:marBottom w:val="0"/>
      <w:divBdr>
        <w:top w:val="none" w:sz="0" w:space="0" w:color="auto"/>
        <w:left w:val="none" w:sz="0" w:space="0" w:color="auto"/>
        <w:bottom w:val="none" w:sz="0" w:space="0" w:color="auto"/>
        <w:right w:val="none" w:sz="0" w:space="0" w:color="auto"/>
      </w:divBdr>
    </w:div>
    <w:div w:id="224535812">
      <w:bodyDiv w:val="1"/>
      <w:marLeft w:val="0"/>
      <w:marRight w:val="0"/>
      <w:marTop w:val="0"/>
      <w:marBottom w:val="0"/>
      <w:divBdr>
        <w:top w:val="none" w:sz="0" w:space="0" w:color="auto"/>
        <w:left w:val="none" w:sz="0" w:space="0" w:color="auto"/>
        <w:bottom w:val="none" w:sz="0" w:space="0" w:color="auto"/>
        <w:right w:val="none" w:sz="0" w:space="0" w:color="auto"/>
      </w:divBdr>
    </w:div>
    <w:div w:id="927811865">
      <w:bodyDiv w:val="1"/>
      <w:marLeft w:val="0"/>
      <w:marRight w:val="0"/>
      <w:marTop w:val="0"/>
      <w:marBottom w:val="0"/>
      <w:divBdr>
        <w:top w:val="none" w:sz="0" w:space="0" w:color="auto"/>
        <w:left w:val="none" w:sz="0" w:space="0" w:color="auto"/>
        <w:bottom w:val="none" w:sz="0" w:space="0" w:color="auto"/>
        <w:right w:val="none" w:sz="0" w:space="0" w:color="auto"/>
      </w:divBdr>
    </w:div>
    <w:div w:id="945624468">
      <w:bodyDiv w:val="1"/>
      <w:marLeft w:val="0"/>
      <w:marRight w:val="0"/>
      <w:marTop w:val="0"/>
      <w:marBottom w:val="0"/>
      <w:divBdr>
        <w:top w:val="none" w:sz="0" w:space="0" w:color="auto"/>
        <w:left w:val="none" w:sz="0" w:space="0" w:color="auto"/>
        <w:bottom w:val="none" w:sz="0" w:space="0" w:color="auto"/>
        <w:right w:val="none" w:sz="0" w:space="0" w:color="auto"/>
      </w:divBdr>
    </w:div>
    <w:div w:id="958226330">
      <w:bodyDiv w:val="1"/>
      <w:marLeft w:val="0"/>
      <w:marRight w:val="0"/>
      <w:marTop w:val="0"/>
      <w:marBottom w:val="0"/>
      <w:divBdr>
        <w:top w:val="none" w:sz="0" w:space="0" w:color="auto"/>
        <w:left w:val="none" w:sz="0" w:space="0" w:color="auto"/>
        <w:bottom w:val="none" w:sz="0" w:space="0" w:color="auto"/>
        <w:right w:val="none" w:sz="0" w:space="0" w:color="auto"/>
      </w:divBdr>
    </w:div>
    <w:div w:id="1066957520">
      <w:bodyDiv w:val="1"/>
      <w:marLeft w:val="0"/>
      <w:marRight w:val="0"/>
      <w:marTop w:val="0"/>
      <w:marBottom w:val="0"/>
      <w:divBdr>
        <w:top w:val="none" w:sz="0" w:space="0" w:color="auto"/>
        <w:left w:val="none" w:sz="0" w:space="0" w:color="auto"/>
        <w:bottom w:val="none" w:sz="0" w:space="0" w:color="auto"/>
        <w:right w:val="none" w:sz="0" w:space="0" w:color="auto"/>
      </w:divBdr>
    </w:div>
    <w:div w:id="1083645542">
      <w:bodyDiv w:val="1"/>
      <w:marLeft w:val="0"/>
      <w:marRight w:val="0"/>
      <w:marTop w:val="0"/>
      <w:marBottom w:val="0"/>
      <w:divBdr>
        <w:top w:val="none" w:sz="0" w:space="0" w:color="auto"/>
        <w:left w:val="none" w:sz="0" w:space="0" w:color="auto"/>
        <w:bottom w:val="none" w:sz="0" w:space="0" w:color="auto"/>
        <w:right w:val="none" w:sz="0" w:space="0" w:color="auto"/>
      </w:divBdr>
    </w:div>
    <w:div w:id="1240139025">
      <w:bodyDiv w:val="1"/>
      <w:marLeft w:val="0"/>
      <w:marRight w:val="0"/>
      <w:marTop w:val="0"/>
      <w:marBottom w:val="0"/>
      <w:divBdr>
        <w:top w:val="none" w:sz="0" w:space="0" w:color="auto"/>
        <w:left w:val="none" w:sz="0" w:space="0" w:color="auto"/>
        <w:bottom w:val="none" w:sz="0" w:space="0" w:color="auto"/>
        <w:right w:val="none" w:sz="0" w:space="0" w:color="auto"/>
      </w:divBdr>
    </w:div>
    <w:div w:id="1324746514">
      <w:bodyDiv w:val="1"/>
      <w:marLeft w:val="0"/>
      <w:marRight w:val="0"/>
      <w:marTop w:val="0"/>
      <w:marBottom w:val="0"/>
      <w:divBdr>
        <w:top w:val="none" w:sz="0" w:space="0" w:color="auto"/>
        <w:left w:val="none" w:sz="0" w:space="0" w:color="auto"/>
        <w:bottom w:val="none" w:sz="0" w:space="0" w:color="auto"/>
        <w:right w:val="none" w:sz="0" w:space="0" w:color="auto"/>
      </w:divBdr>
    </w:div>
    <w:div w:id="1408846354">
      <w:bodyDiv w:val="1"/>
      <w:marLeft w:val="0"/>
      <w:marRight w:val="0"/>
      <w:marTop w:val="0"/>
      <w:marBottom w:val="0"/>
      <w:divBdr>
        <w:top w:val="none" w:sz="0" w:space="0" w:color="auto"/>
        <w:left w:val="none" w:sz="0" w:space="0" w:color="auto"/>
        <w:bottom w:val="none" w:sz="0" w:space="0" w:color="auto"/>
        <w:right w:val="none" w:sz="0" w:space="0" w:color="auto"/>
      </w:divBdr>
    </w:div>
    <w:div w:id="1431924520">
      <w:bodyDiv w:val="1"/>
      <w:marLeft w:val="0"/>
      <w:marRight w:val="0"/>
      <w:marTop w:val="0"/>
      <w:marBottom w:val="0"/>
      <w:divBdr>
        <w:top w:val="none" w:sz="0" w:space="0" w:color="auto"/>
        <w:left w:val="none" w:sz="0" w:space="0" w:color="auto"/>
        <w:bottom w:val="none" w:sz="0" w:space="0" w:color="auto"/>
        <w:right w:val="none" w:sz="0" w:space="0" w:color="auto"/>
      </w:divBdr>
    </w:div>
    <w:div w:id="1698460364">
      <w:bodyDiv w:val="1"/>
      <w:marLeft w:val="0"/>
      <w:marRight w:val="0"/>
      <w:marTop w:val="0"/>
      <w:marBottom w:val="0"/>
      <w:divBdr>
        <w:top w:val="none" w:sz="0" w:space="0" w:color="auto"/>
        <w:left w:val="none" w:sz="0" w:space="0" w:color="auto"/>
        <w:bottom w:val="none" w:sz="0" w:space="0" w:color="auto"/>
        <w:right w:val="none" w:sz="0" w:space="0" w:color="auto"/>
      </w:divBdr>
    </w:div>
    <w:div w:id="1714619951">
      <w:bodyDiv w:val="1"/>
      <w:marLeft w:val="0"/>
      <w:marRight w:val="0"/>
      <w:marTop w:val="0"/>
      <w:marBottom w:val="0"/>
      <w:divBdr>
        <w:top w:val="none" w:sz="0" w:space="0" w:color="auto"/>
        <w:left w:val="none" w:sz="0" w:space="0" w:color="auto"/>
        <w:bottom w:val="none" w:sz="0" w:space="0" w:color="auto"/>
        <w:right w:val="none" w:sz="0" w:space="0" w:color="auto"/>
      </w:divBdr>
    </w:div>
    <w:div w:id="1900705991">
      <w:bodyDiv w:val="1"/>
      <w:marLeft w:val="0"/>
      <w:marRight w:val="0"/>
      <w:marTop w:val="0"/>
      <w:marBottom w:val="0"/>
      <w:divBdr>
        <w:top w:val="none" w:sz="0" w:space="0" w:color="auto"/>
        <w:left w:val="none" w:sz="0" w:space="0" w:color="auto"/>
        <w:bottom w:val="none" w:sz="0" w:space="0" w:color="auto"/>
        <w:right w:val="none" w:sz="0" w:space="0" w:color="auto"/>
      </w:divBdr>
    </w:div>
    <w:div w:id="21168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E193-1E13-4917-AA87-FFFD4E20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9911</Words>
  <Characters>78603</Characters>
  <Application>Microsoft Office Word</Application>
  <DocSecurity>0</DocSecurity>
  <Lines>1965</Lines>
  <Paragraphs>962</Paragraphs>
  <ScaleCrop>false</ScaleCrop>
  <HeadingPairs>
    <vt:vector size="2" baseType="variant">
      <vt:variant>
        <vt:lpstr>Title</vt:lpstr>
      </vt:variant>
      <vt:variant>
        <vt:i4>1</vt:i4>
      </vt:variant>
    </vt:vector>
  </HeadingPairs>
  <TitlesOfParts>
    <vt:vector size="1" baseType="lpstr">
      <vt:lpstr>PR_Dec_EP</vt:lpstr>
    </vt:vector>
  </TitlesOfParts>
  <Company/>
  <LinksUpToDate>false</LinksUpToDate>
  <CharactersWithSpaces>87552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PR_Dec_EP</dc:title>
  <dc:subject/>
  <dc:creator>BROECKX Fanny</dc:creator>
  <cp:keywords/>
  <dc:description/>
  <cp:lastModifiedBy>LARM Elina</cp:lastModifiedBy>
  <cp:revision>2</cp:revision>
  <cp:lastPrinted>2019-02-21T08:02:00Z</cp:lastPrinted>
  <dcterms:created xsi:type="dcterms:W3CDTF">2019-03-15T11:26:00Z</dcterms:created>
  <dcterms:modified xsi:type="dcterms:W3CDTF">2019-03-15T11:26:00Z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9.5.0 Build [20181001]</vt:lpwstr>
  </property>
  <property fmtid="{D5CDD505-2E9C-101B-9397-08002B2CF9AE}" pid="3" name="LastEdited with">
    <vt:lpwstr>9.5.1 Build [20181101]</vt:lpwstr>
  </property>
  <property fmtid="{D5CDD505-2E9C-101B-9397-08002B2CF9AE}" pid="4" name="&lt;FdR&gt;">
    <vt:lpwstr>1178243</vt:lpwstr>
  </property>
  <property fmtid="{D5CDD505-2E9C-101B-9397-08002B2CF9AE}" pid="5" name="&lt;Type&gt;">
    <vt:lpwstr>RR</vt:lpwstr>
  </property>
  <property fmtid="{D5CDD505-2E9C-101B-9397-08002B2CF9AE}" pid="6" name="&lt;ModelCod&gt;">
    <vt:lpwstr>\\eiciBRUpr1\pdocep$\DocEP\DOCS\General\PR\PR_BUD\DEC\PR_DEC_EP.dot(27/09/2017 18:25:47)</vt:lpwstr>
  </property>
  <property fmtid="{D5CDD505-2E9C-101B-9397-08002B2CF9AE}" pid="7" name="&lt;ModelTra&gt;">
    <vt:lpwstr>\\eiciBRUpr1\pdocep$\DocEP\TRANSFIL\EN\PR_DEC_EP.EN(23/11/2017 16:03:44)</vt:lpwstr>
  </property>
  <property fmtid="{D5CDD505-2E9C-101B-9397-08002B2CF9AE}" pid="8" name="&lt;Model&gt;">
    <vt:lpwstr>PR_DEC_EP</vt:lpwstr>
  </property>
  <property fmtid="{D5CDD505-2E9C-101B-9397-08002B2CF9AE}" pid="9" name="FooterPath">
    <vt:lpwstr>RR\1178243FI.docx</vt:lpwstr>
  </property>
  <property fmtid="{D5CDD505-2E9C-101B-9397-08002B2CF9AE}" pid="10" name="PE number">
    <vt:lpwstr>626.836</vt:lpwstr>
  </property>
  <property fmtid="{D5CDD505-2E9C-101B-9397-08002B2CF9AE}" pid="11" name="SubscribeElise">
    <vt:lpwstr/>
  </property>
  <property fmtid="{D5CDD505-2E9C-101B-9397-08002B2CF9AE}" pid="12" name="SendToEpades">
    <vt:lpwstr/>
  </property>
  <property fmtid="{D5CDD505-2E9C-101B-9397-08002B2CF9AE}" pid="13" name="SDLStudio">
    <vt:lpwstr/>
  </property>
  <property fmtid="{D5CDD505-2E9C-101B-9397-08002B2CF9AE}" pid="14" name="&lt;Extension&gt;">
    <vt:lpwstr>FI</vt:lpwstr>
  </property>
  <property fmtid="{D5CDD505-2E9C-101B-9397-08002B2CF9AE}" pid="15" name="Bookout">
    <vt:lpwstr>OK - 2019/03/15 12:26</vt:lpwstr>
  </property>
</Properties>
</file>