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1D00A2" w14:paraId="0A7BF33B" w14:textId="77777777" w:rsidTr="00947D32">
        <w:trPr>
          <w:trHeight w:hRule="exact" w:val="1418"/>
        </w:trPr>
        <w:tc>
          <w:tcPr>
            <w:tcW w:w="6804" w:type="dxa"/>
            <w:shd w:val="clear" w:color="auto" w:fill="auto"/>
            <w:vAlign w:val="center"/>
          </w:tcPr>
          <w:p w14:paraId="62E99A11" w14:textId="77777777" w:rsidR="00D46466" w:rsidRPr="001D00A2" w:rsidRDefault="005E7355" w:rsidP="00947D32">
            <w:pPr>
              <w:pStyle w:val="EPName"/>
            </w:pPr>
            <w:r w:rsidRPr="001D00A2">
              <w:t>Euroopan parlamentti</w:t>
            </w:r>
          </w:p>
          <w:p w14:paraId="36C86A60" w14:textId="77777777" w:rsidR="00D46466" w:rsidRPr="001D00A2" w:rsidRDefault="009C06AB" w:rsidP="009C06AB">
            <w:pPr>
              <w:pStyle w:val="EPTerm"/>
              <w:rPr>
                <w:rStyle w:val="HideTWBExt"/>
                <w:noProof w:val="0"/>
                <w:vanish w:val="0"/>
                <w:color w:val="auto"/>
              </w:rPr>
            </w:pPr>
            <w:r w:rsidRPr="001D00A2">
              <w:t>2014-2019</w:t>
            </w:r>
          </w:p>
        </w:tc>
        <w:tc>
          <w:tcPr>
            <w:tcW w:w="2268" w:type="dxa"/>
            <w:shd w:val="clear" w:color="auto" w:fill="auto"/>
          </w:tcPr>
          <w:p w14:paraId="41A5A371" w14:textId="77777777" w:rsidR="00D46466" w:rsidRPr="001D00A2" w:rsidRDefault="00335B47" w:rsidP="00947D32">
            <w:pPr>
              <w:pStyle w:val="EPLogo"/>
            </w:pPr>
            <w:r w:rsidRPr="001D00A2">
              <w:drawing>
                <wp:inline distT="0" distB="0" distL="0" distR="0" wp14:anchorId="63B7CC57" wp14:editId="1D270AD6">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502ED55B" w14:textId="77777777" w:rsidR="00390068" w:rsidRPr="001D00A2" w:rsidRDefault="00390068" w:rsidP="00390068">
      <w:pPr>
        <w:pStyle w:val="LineTop"/>
      </w:pPr>
    </w:p>
    <w:p w14:paraId="2FBBE35E" w14:textId="58AAC863" w:rsidR="00390068" w:rsidRPr="001D00A2" w:rsidRDefault="00A5625F" w:rsidP="00390068">
      <w:pPr>
        <w:pStyle w:val="ZCommittee"/>
      </w:pPr>
      <w:r w:rsidRPr="001D00A2">
        <w:t>Istuntoasiakirja</w:t>
      </w:r>
    </w:p>
    <w:p w14:paraId="560E68C9" w14:textId="77777777" w:rsidR="00390068" w:rsidRPr="001D00A2" w:rsidRDefault="00390068" w:rsidP="00390068">
      <w:pPr>
        <w:pStyle w:val="LineBottom"/>
      </w:pPr>
    </w:p>
    <w:p w14:paraId="01D6C67B" w14:textId="09DEE18F" w:rsidR="00C1531C" w:rsidRPr="001D00A2" w:rsidRDefault="00A5625F">
      <w:pPr>
        <w:pStyle w:val="RefProc"/>
      </w:pPr>
      <w:r w:rsidRPr="001D00A2">
        <w:rPr>
          <w:rStyle w:val="HideTWBExt"/>
          <w:noProof w:val="0"/>
        </w:rPr>
        <w:t>&lt;NoDocSe&gt;</w:t>
      </w:r>
      <w:r w:rsidRPr="001D00A2">
        <w:t>A8-0139/2019</w:t>
      </w:r>
      <w:r w:rsidRPr="001D00A2">
        <w:rPr>
          <w:rStyle w:val="HideTWBExt"/>
          <w:noProof w:val="0"/>
        </w:rPr>
        <w:t>&lt;/NoDocSe&gt;</w:t>
      </w:r>
    </w:p>
    <w:p w14:paraId="27891FE5" w14:textId="156392BE" w:rsidR="00C1531C" w:rsidRPr="001D00A2" w:rsidRDefault="00C1531C">
      <w:pPr>
        <w:pStyle w:val="ZDate"/>
      </w:pPr>
      <w:r w:rsidRPr="001D00A2">
        <w:rPr>
          <w:rStyle w:val="HideTWBExt"/>
          <w:noProof w:val="0"/>
        </w:rPr>
        <w:t>&lt;Date&gt;</w:t>
      </w:r>
      <w:r w:rsidRPr="001D00A2">
        <w:rPr>
          <w:rStyle w:val="HideTWBInt"/>
        </w:rPr>
        <w:t>{01/03/2019}</w:t>
      </w:r>
      <w:r w:rsidRPr="001D00A2">
        <w:t>1.3.2019</w:t>
      </w:r>
      <w:r w:rsidRPr="001D00A2">
        <w:rPr>
          <w:rStyle w:val="HideTWBExt"/>
          <w:noProof w:val="0"/>
        </w:rPr>
        <w:t>&lt;/Date&gt;</w:t>
      </w:r>
    </w:p>
    <w:p w14:paraId="52996B69" w14:textId="39F2E2C6" w:rsidR="00C1531C" w:rsidRPr="001D00A2" w:rsidRDefault="00C1531C">
      <w:pPr>
        <w:pStyle w:val="TypeDoc"/>
      </w:pPr>
      <w:r w:rsidRPr="001D00A2">
        <w:rPr>
          <w:rStyle w:val="HideTWBExt"/>
          <w:b w:val="0"/>
          <w:noProof w:val="0"/>
        </w:rPr>
        <w:t>&lt;TitreType&gt;</w:t>
      </w:r>
      <w:r w:rsidRPr="001D00A2">
        <w:t>MIETINTÖ</w:t>
      </w:r>
      <w:r w:rsidRPr="001D00A2">
        <w:rPr>
          <w:rStyle w:val="HideTWBExt"/>
          <w:b w:val="0"/>
          <w:noProof w:val="0"/>
        </w:rPr>
        <w:t>&lt;/TitreType&gt;</w:t>
      </w:r>
    </w:p>
    <w:p w14:paraId="62BA761B" w14:textId="77777777" w:rsidR="00C1531C" w:rsidRPr="001D00A2" w:rsidRDefault="00C1531C">
      <w:pPr>
        <w:pStyle w:val="CoverNormal"/>
      </w:pPr>
      <w:r w:rsidRPr="001D00A2">
        <w:rPr>
          <w:rStyle w:val="HideTWBExt"/>
          <w:noProof w:val="0"/>
        </w:rPr>
        <w:t>&lt;Titre&gt;</w:t>
      </w:r>
      <w:r w:rsidRPr="001D00A2">
        <w:t>vastuuvapauden myöntämisestä Euroopan huumausaineiden ja niiden väärinkäytön seurantakeskuksen (EMCDDA) talousarvion toteuttamisesta varainhoitovuonna 2017</w:t>
      </w:r>
      <w:r w:rsidRPr="001D00A2">
        <w:rPr>
          <w:rStyle w:val="HideTWBExt"/>
          <w:noProof w:val="0"/>
        </w:rPr>
        <w:t>&lt;/Titre&gt;</w:t>
      </w:r>
    </w:p>
    <w:p w14:paraId="2651D748" w14:textId="77777777" w:rsidR="00C1531C" w:rsidRPr="001D00A2" w:rsidRDefault="005C689E">
      <w:pPr>
        <w:pStyle w:val="Cover24"/>
      </w:pPr>
      <w:r w:rsidRPr="001D00A2">
        <w:rPr>
          <w:rStyle w:val="HideTWBExt"/>
          <w:noProof w:val="0"/>
        </w:rPr>
        <w:t>&lt;DocRef&gt;</w:t>
      </w:r>
      <w:r w:rsidRPr="001D00A2">
        <w:t>(2018/2181(DEC))</w:t>
      </w:r>
      <w:r w:rsidRPr="001D00A2">
        <w:rPr>
          <w:rStyle w:val="HideTWBExt"/>
          <w:noProof w:val="0"/>
        </w:rPr>
        <w:t>&lt;/DocRef&gt;</w:t>
      </w:r>
    </w:p>
    <w:p w14:paraId="2CBCA718" w14:textId="77777777" w:rsidR="00C1531C" w:rsidRPr="001D00A2" w:rsidRDefault="00C1531C">
      <w:pPr>
        <w:pStyle w:val="Cover24"/>
      </w:pPr>
      <w:r w:rsidRPr="001D00A2">
        <w:rPr>
          <w:rStyle w:val="HideTWBExt"/>
          <w:noProof w:val="0"/>
        </w:rPr>
        <w:t>&lt;Commission&gt;</w:t>
      </w:r>
      <w:r w:rsidRPr="001D00A2">
        <w:rPr>
          <w:rStyle w:val="HideTWBInt"/>
        </w:rPr>
        <w:t>{CONT}</w:t>
      </w:r>
      <w:r w:rsidRPr="001D00A2">
        <w:t>Talousarvion valvontavaliokunta</w:t>
      </w:r>
      <w:r w:rsidRPr="001D00A2">
        <w:rPr>
          <w:rStyle w:val="HideTWBExt"/>
          <w:noProof w:val="0"/>
        </w:rPr>
        <w:t>&lt;/Commission&gt;</w:t>
      </w:r>
    </w:p>
    <w:p w14:paraId="45B6C06E" w14:textId="7804DFF8" w:rsidR="008C4202" w:rsidRPr="001D00A2" w:rsidRDefault="005E7355">
      <w:pPr>
        <w:pStyle w:val="Cover24"/>
      </w:pPr>
      <w:r w:rsidRPr="001D00A2">
        <w:t xml:space="preserve">Esittelijä: </w:t>
      </w:r>
      <w:r w:rsidRPr="001D00A2">
        <w:rPr>
          <w:rStyle w:val="HideTWBExt"/>
          <w:noProof w:val="0"/>
        </w:rPr>
        <w:t>&lt;Depute&gt;</w:t>
      </w:r>
      <w:r w:rsidRPr="001D00A2">
        <w:t>Petri Sarvamaa</w:t>
      </w:r>
      <w:r w:rsidRPr="001D00A2">
        <w:rPr>
          <w:rStyle w:val="HideTWBExt"/>
          <w:noProof w:val="0"/>
        </w:rPr>
        <w:t>&lt;/Depute&gt;</w:t>
      </w:r>
    </w:p>
    <w:p w14:paraId="608BD2F7" w14:textId="77777777" w:rsidR="00C1531C" w:rsidRPr="001D00A2" w:rsidRDefault="00C1531C" w:rsidP="00D46466">
      <w:pPr>
        <w:widowControl/>
        <w:tabs>
          <w:tab w:val="center" w:pos="4677"/>
        </w:tabs>
      </w:pPr>
      <w:r w:rsidRPr="001D00A2">
        <w:br w:type="page"/>
      </w:r>
    </w:p>
    <w:p w14:paraId="6F293DE5" w14:textId="77777777" w:rsidR="00C1531C" w:rsidRPr="001D00A2" w:rsidRDefault="005E7355" w:rsidP="00D46466">
      <w:pPr>
        <w:widowControl/>
        <w:tabs>
          <w:tab w:val="center" w:pos="4677"/>
        </w:tabs>
      </w:pPr>
      <w:r w:rsidRPr="001D00A2">
        <w:lastRenderedPageBreak/>
        <w:t>PR_DEC_Agencies</w:t>
      </w:r>
    </w:p>
    <w:p w14:paraId="1C38772D" w14:textId="77777777" w:rsidR="00C1531C" w:rsidRPr="001D00A2" w:rsidRDefault="005E7355">
      <w:pPr>
        <w:pStyle w:val="TOCHeading"/>
      </w:pPr>
      <w:r w:rsidRPr="001D00A2">
        <w:t>SISÄLTÖ</w:t>
      </w:r>
    </w:p>
    <w:p w14:paraId="5D6B39B2" w14:textId="77777777" w:rsidR="003B31F9" w:rsidRDefault="005E7355" w:rsidP="000B47E5">
      <w:pPr>
        <w:pStyle w:val="TOCPage"/>
        <w:rPr>
          <w:noProof/>
        </w:rPr>
      </w:pPr>
      <w:r w:rsidRPr="001D00A2">
        <w:t>Sivu</w:t>
      </w:r>
      <w:r w:rsidR="00C1531C" w:rsidRPr="001D00A2">
        <w:fldChar w:fldCharType="begin"/>
      </w:r>
      <w:r w:rsidR="00C1531C" w:rsidRPr="001D00A2">
        <w:instrText xml:space="preserve"> TOC \t "PageHeading</w:instrText>
      </w:r>
      <w:r w:rsidR="003B31F9">
        <w:instrText>;</w:instrText>
      </w:r>
      <w:r w:rsidR="00FD18F9" w:rsidRPr="001D00A2">
        <w:instrText>3</w:instrText>
      </w:r>
      <w:r w:rsidR="00C1531C" w:rsidRPr="001D00A2">
        <w:instrText xml:space="preserve">" </w:instrText>
      </w:r>
      <w:r w:rsidR="00C1531C" w:rsidRPr="001D00A2">
        <w:fldChar w:fldCharType="separate"/>
      </w:r>
    </w:p>
    <w:p w14:paraId="75914DDC" w14:textId="36E42FBB" w:rsidR="003B31F9" w:rsidRDefault="003B31F9">
      <w:pPr>
        <w:pStyle w:val="TOC3"/>
        <w:tabs>
          <w:tab w:val="right" w:leader="dot" w:pos="9060"/>
        </w:tabs>
        <w:rPr>
          <w:rFonts w:asciiTheme="minorHAnsi" w:eastAsiaTheme="minorEastAsia" w:hAnsiTheme="minorHAnsi" w:cstheme="minorBidi"/>
          <w:noProof/>
          <w:sz w:val="22"/>
          <w:szCs w:val="22"/>
          <w:lang w:val="en-GB"/>
        </w:rPr>
      </w:pPr>
      <w:r>
        <w:rPr>
          <w:noProof/>
        </w:rPr>
        <w:t>1. EUROOPAN PARLAMENTIN PÄÄTÖSEHDOTUS</w:t>
      </w:r>
      <w:r>
        <w:rPr>
          <w:noProof/>
        </w:rPr>
        <w:tab/>
      </w:r>
      <w:r>
        <w:rPr>
          <w:noProof/>
        </w:rPr>
        <w:fldChar w:fldCharType="begin"/>
      </w:r>
      <w:r>
        <w:rPr>
          <w:noProof/>
        </w:rPr>
        <w:instrText xml:space="preserve"> PAGEREF _Toc3820350 \h </w:instrText>
      </w:r>
      <w:r>
        <w:rPr>
          <w:noProof/>
        </w:rPr>
      </w:r>
      <w:r>
        <w:rPr>
          <w:noProof/>
        </w:rPr>
        <w:fldChar w:fldCharType="separate"/>
      </w:r>
      <w:r>
        <w:rPr>
          <w:noProof/>
        </w:rPr>
        <w:t>3</w:t>
      </w:r>
      <w:r>
        <w:rPr>
          <w:noProof/>
        </w:rPr>
        <w:fldChar w:fldCharType="end"/>
      </w:r>
    </w:p>
    <w:p w14:paraId="6264D5D9" w14:textId="29BD35D4" w:rsidR="003B31F9" w:rsidRDefault="003B31F9">
      <w:pPr>
        <w:pStyle w:val="TOC3"/>
        <w:tabs>
          <w:tab w:val="right" w:leader="dot" w:pos="9060"/>
        </w:tabs>
        <w:rPr>
          <w:rFonts w:asciiTheme="minorHAnsi" w:eastAsiaTheme="minorEastAsia" w:hAnsiTheme="minorHAnsi" w:cstheme="minorBidi"/>
          <w:noProof/>
          <w:sz w:val="22"/>
          <w:szCs w:val="22"/>
          <w:lang w:val="en-GB"/>
        </w:rPr>
      </w:pPr>
      <w:r>
        <w:rPr>
          <w:noProof/>
        </w:rPr>
        <w:t>2. EUROOPAN PARLAMENTIN PÄÄTÖSEHDOTUS</w:t>
      </w:r>
      <w:r>
        <w:rPr>
          <w:noProof/>
        </w:rPr>
        <w:tab/>
      </w:r>
      <w:r>
        <w:rPr>
          <w:noProof/>
        </w:rPr>
        <w:fldChar w:fldCharType="begin"/>
      </w:r>
      <w:r>
        <w:rPr>
          <w:noProof/>
        </w:rPr>
        <w:instrText xml:space="preserve"> PAGEREF _Toc3820351 \h </w:instrText>
      </w:r>
      <w:r>
        <w:rPr>
          <w:noProof/>
        </w:rPr>
      </w:r>
      <w:r>
        <w:rPr>
          <w:noProof/>
        </w:rPr>
        <w:fldChar w:fldCharType="separate"/>
      </w:r>
      <w:r>
        <w:rPr>
          <w:noProof/>
        </w:rPr>
        <w:t>5</w:t>
      </w:r>
      <w:r>
        <w:rPr>
          <w:noProof/>
        </w:rPr>
        <w:fldChar w:fldCharType="end"/>
      </w:r>
    </w:p>
    <w:p w14:paraId="516CD972" w14:textId="1967332A" w:rsidR="003B31F9" w:rsidRDefault="003B31F9">
      <w:pPr>
        <w:pStyle w:val="TOC3"/>
        <w:tabs>
          <w:tab w:val="right" w:leader="dot" w:pos="9060"/>
        </w:tabs>
        <w:rPr>
          <w:rFonts w:asciiTheme="minorHAnsi" w:eastAsiaTheme="minorEastAsia" w:hAnsiTheme="minorHAnsi" w:cstheme="minorBidi"/>
          <w:noProof/>
          <w:sz w:val="22"/>
          <w:szCs w:val="22"/>
          <w:lang w:val="en-GB"/>
        </w:rPr>
      </w:pPr>
      <w:r>
        <w:rPr>
          <w:noProof/>
        </w:rPr>
        <w:t>3. EUROOPAN PARLAMENTIN PÄÄTÖSLAUSELMAESITYS</w:t>
      </w:r>
      <w:r>
        <w:rPr>
          <w:noProof/>
        </w:rPr>
        <w:tab/>
      </w:r>
      <w:r>
        <w:rPr>
          <w:noProof/>
        </w:rPr>
        <w:fldChar w:fldCharType="begin"/>
      </w:r>
      <w:r>
        <w:rPr>
          <w:noProof/>
        </w:rPr>
        <w:instrText xml:space="preserve"> PAGEREF _Toc3820352 \h </w:instrText>
      </w:r>
      <w:r>
        <w:rPr>
          <w:noProof/>
        </w:rPr>
      </w:r>
      <w:r>
        <w:rPr>
          <w:noProof/>
        </w:rPr>
        <w:fldChar w:fldCharType="separate"/>
      </w:r>
      <w:r>
        <w:rPr>
          <w:noProof/>
        </w:rPr>
        <w:t>7</w:t>
      </w:r>
      <w:r>
        <w:rPr>
          <w:noProof/>
        </w:rPr>
        <w:fldChar w:fldCharType="end"/>
      </w:r>
    </w:p>
    <w:p w14:paraId="57DECEAB" w14:textId="76A45E99" w:rsidR="003B31F9" w:rsidRDefault="003B31F9">
      <w:pPr>
        <w:pStyle w:val="TOC3"/>
        <w:tabs>
          <w:tab w:val="right" w:leader="dot" w:pos="9060"/>
        </w:tabs>
        <w:rPr>
          <w:rFonts w:asciiTheme="minorHAnsi" w:eastAsiaTheme="minorEastAsia" w:hAnsiTheme="minorHAnsi" w:cstheme="minorBidi"/>
          <w:noProof/>
          <w:sz w:val="22"/>
          <w:szCs w:val="22"/>
          <w:lang w:val="en-GB"/>
        </w:rPr>
      </w:pPr>
      <w:r>
        <w:rPr>
          <w:noProof/>
        </w:rPr>
        <w:t xml:space="preserve">LAUSUNTO </w:t>
      </w:r>
      <w:r w:rsidRPr="007A062F">
        <w:rPr>
          <w:caps/>
          <w:noProof/>
        </w:rPr>
        <w:t>kansalaisvapauksien sekä oikeus- ja sisäasioiden valiokunnalta</w:t>
      </w:r>
      <w:r>
        <w:rPr>
          <w:noProof/>
        </w:rPr>
        <w:tab/>
      </w:r>
      <w:r>
        <w:rPr>
          <w:noProof/>
        </w:rPr>
        <w:fldChar w:fldCharType="begin"/>
      </w:r>
      <w:r>
        <w:rPr>
          <w:noProof/>
        </w:rPr>
        <w:instrText xml:space="preserve"> PAGEREF _Toc3820353 \h </w:instrText>
      </w:r>
      <w:r>
        <w:rPr>
          <w:noProof/>
        </w:rPr>
      </w:r>
      <w:r>
        <w:rPr>
          <w:noProof/>
        </w:rPr>
        <w:fldChar w:fldCharType="separate"/>
      </w:r>
      <w:r>
        <w:rPr>
          <w:noProof/>
        </w:rPr>
        <w:t>10</w:t>
      </w:r>
      <w:r>
        <w:rPr>
          <w:noProof/>
        </w:rPr>
        <w:fldChar w:fldCharType="end"/>
      </w:r>
    </w:p>
    <w:p w14:paraId="19AB5150" w14:textId="6DC5E42E" w:rsidR="003B31F9" w:rsidRDefault="003B31F9">
      <w:pPr>
        <w:pStyle w:val="TOC3"/>
        <w:tabs>
          <w:tab w:val="right" w:leader="dot" w:pos="9060"/>
        </w:tabs>
        <w:rPr>
          <w:rFonts w:asciiTheme="minorHAnsi" w:eastAsiaTheme="minorEastAsia" w:hAnsiTheme="minorHAnsi" w:cstheme="minorBidi"/>
          <w:noProof/>
          <w:sz w:val="22"/>
          <w:szCs w:val="22"/>
          <w:lang w:val="en-GB"/>
        </w:rPr>
      </w:pPr>
      <w:r>
        <w:rPr>
          <w:noProof/>
        </w:rPr>
        <w:t>TIEDOT HYVÄKSYMISESTÄ ASIASTA VASTAAVASSA VALIOKUNNASSA</w:t>
      </w:r>
      <w:r>
        <w:rPr>
          <w:noProof/>
        </w:rPr>
        <w:tab/>
      </w:r>
      <w:r>
        <w:rPr>
          <w:noProof/>
        </w:rPr>
        <w:fldChar w:fldCharType="begin"/>
      </w:r>
      <w:r>
        <w:rPr>
          <w:noProof/>
        </w:rPr>
        <w:instrText xml:space="preserve"> PAGEREF _Toc3820354 \h </w:instrText>
      </w:r>
      <w:r>
        <w:rPr>
          <w:noProof/>
        </w:rPr>
      </w:r>
      <w:r>
        <w:rPr>
          <w:noProof/>
        </w:rPr>
        <w:fldChar w:fldCharType="separate"/>
      </w:r>
      <w:r>
        <w:rPr>
          <w:noProof/>
        </w:rPr>
        <w:t>14</w:t>
      </w:r>
      <w:r>
        <w:rPr>
          <w:noProof/>
        </w:rPr>
        <w:fldChar w:fldCharType="end"/>
      </w:r>
    </w:p>
    <w:p w14:paraId="5C5B1FB6" w14:textId="47FBFD1A" w:rsidR="003B31F9" w:rsidRDefault="003B31F9">
      <w:pPr>
        <w:pStyle w:val="TOC3"/>
        <w:tabs>
          <w:tab w:val="right" w:leader="dot" w:pos="9060"/>
        </w:tabs>
        <w:rPr>
          <w:rFonts w:asciiTheme="minorHAnsi" w:eastAsiaTheme="minorEastAsia" w:hAnsiTheme="minorHAnsi" w:cstheme="minorBidi"/>
          <w:noProof/>
          <w:sz w:val="22"/>
          <w:szCs w:val="22"/>
          <w:lang w:val="en-GB"/>
        </w:rPr>
      </w:pPr>
      <w:r>
        <w:rPr>
          <w:noProof/>
        </w:rPr>
        <w:t>LOPULLINEN ÄÄNESTYS NIMENHUUTOÄÄNESTYKSENÄ ASIASTA VASTAAVASSA VALIOKUNNASSA</w:t>
      </w:r>
      <w:r>
        <w:rPr>
          <w:noProof/>
        </w:rPr>
        <w:tab/>
      </w:r>
      <w:r>
        <w:rPr>
          <w:noProof/>
        </w:rPr>
        <w:fldChar w:fldCharType="begin"/>
      </w:r>
      <w:r>
        <w:rPr>
          <w:noProof/>
        </w:rPr>
        <w:instrText xml:space="preserve"> PAGEREF _Toc3820355 \h </w:instrText>
      </w:r>
      <w:r>
        <w:rPr>
          <w:noProof/>
        </w:rPr>
      </w:r>
      <w:r>
        <w:rPr>
          <w:noProof/>
        </w:rPr>
        <w:fldChar w:fldCharType="separate"/>
      </w:r>
      <w:r>
        <w:rPr>
          <w:noProof/>
        </w:rPr>
        <w:t>15</w:t>
      </w:r>
      <w:r>
        <w:rPr>
          <w:noProof/>
        </w:rPr>
        <w:fldChar w:fldCharType="end"/>
      </w:r>
    </w:p>
    <w:p w14:paraId="24031367" w14:textId="77777777" w:rsidR="00C1531C" w:rsidRPr="001D00A2" w:rsidRDefault="00C1531C">
      <w:pPr>
        <w:pStyle w:val="PageHeading"/>
      </w:pPr>
      <w:r w:rsidRPr="001D00A2">
        <w:rPr>
          <w:rFonts w:ascii="Times New Roman" w:hAnsi="Times New Roman"/>
        </w:rPr>
        <w:fldChar w:fldCharType="end"/>
      </w:r>
    </w:p>
    <w:p w14:paraId="250C2F5C" w14:textId="77777777" w:rsidR="00C1531C" w:rsidRPr="001D00A2" w:rsidRDefault="00C1531C" w:rsidP="004D13BA">
      <w:pPr>
        <w:pStyle w:val="PageHeading"/>
      </w:pPr>
      <w:r w:rsidRPr="001D00A2">
        <w:br w:type="page"/>
      </w:r>
      <w:bookmarkStart w:id="0" w:name="Decision1"/>
      <w:bookmarkStart w:id="1" w:name="_Toc26759888"/>
      <w:bookmarkStart w:id="2" w:name="_Toc86200285"/>
      <w:bookmarkStart w:id="3" w:name="_Toc3820350"/>
      <w:r w:rsidRPr="001D00A2">
        <w:lastRenderedPageBreak/>
        <w:t>1. EUROOPAN PARLAMENTIN PÄÄTÖSEHDOTUS</w:t>
      </w:r>
      <w:bookmarkEnd w:id="3"/>
    </w:p>
    <w:p w14:paraId="5F81A733" w14:textId="77777777" w:rsidR="00C1531C" w:rsidRPr="001D00A2" w:rsidRDefault="005E7355">
      <w:pPr>
        <w:pStyle w:val="NormalBold"/>
      </w:pPr>
      <w:bookmarkStart w:id="4" w:name="DecisionTitle1"/>
      <w:bookmarkEnd w:id="0"/>
      <w:r w:rsidRPr="001D00A2">
        <w:t>vastuuvapauden myöntämisestä Euroopan huumausaineiden ja niiden väärinkäytön seurantakeskuksen talousarvion toteuttamisesta varainhoitovuonna 2017</w:t>
      </w:r>
    </w:p>
    <w:bookmarkEnd w:id="4"/>
    <w:p w14:paraId="0BF83402" w14:textId="77777777" w:rsidR="00C1531C" w:rsidRPr="001D00A2" w:rsidRDefault="005E7355">
      <w:pPr>
        <w:pStyle w:val="Normal12Bold"/>
      </w:pPr>
      <w:r w:rsidRPr="001D00A2">
        <w:t>(2018/2181(DEC))</w:t>
      </w:r>
    </w:p>
    <w:p w14:paraId="4BEFFA75" w14:textId="77777777" w:rsidR="00C1531C" w:rsidRPr="001D00A2" w:rsidRDefault="005E7355">
      <w:pPr>
        <w:pStyle w:val="Normal12"/>
      </w:pPr>
      <w:r w:rsidRPr="001D00A2">
        <w:rPr>
          <w:i/>
        </w:rPr>
        <w:t>Euroopan parlamentti</w:t>
      </w:r>
      <w:r w:rsidRPr="001D00A2">
        <w:t>, joka</w:t>
      </w:r>
    </w:p>
    <w:p w14:paraId="50682A27" w14:textId="77777777" w:rsidR="000E4EA7" w:rsidRPr="001D00A2" w:rsidRDefault="00C1531C" w:rsidP="000E4EA7">
      <w:pPr>
        <w:pStyle w:val="Normal12Hanging"/>
      </w:pPr>
      <w:r w:rsidRPr="001D00A2">
        <w:t>–</w:t>
      </w:r>
      <w:r w:rsidRPr="001D00A2">
        <w:tab/>
        <w:t>ottaa huomioon Euroopan huumausaineiden ja niiden väärinkäytön seurantakeskuksen lopullisen tilinpäätöksen varainhoitovuodelta 2017,</w:t>
      </w:r>
    </w:p>
    <w:p w14:paraId="4725F73B" w14:textId="77777777" w:rsidR="000E4EA7" w:rsidRPr="001D00A2" w:rsidRDefault="000E4EA7" w:rsidP="000E4EA7">
      <w:pPr>
        <w:pStyle w:val="Normal12Hanging"/>
      </w:pPr>
      <w:r w:rsidRPr="001D00A2">
        <w:t>–</w:t>
      </w:r>
      <w:r w:rsidRPr="001D00A2">
        <w:tab/>
        <w:t>ottaa huomioon tilintarkastustuomioistuimen kertomuksen Euroopan huumausaineiden ja niiden väärinkäytön seurantakeskuksen tilinpäätöksestä varainhoitovuodelta 2017 sekä keskuksen vastauksen</w:t>
      </w:r>
      <w:r w:rsidRPr="001D00A2">
        <w:rPr>
          <w:rStyle w:val="FootnoteReference"/>
        </w:rPr>
        <w:footnoteReference w:id="1"/>
      </w:r>
      <w:r w:rsidRPr="001D00A2">
        <w:t>,</w:t>
      </w:r>
    </w:p>
    <w:p w14:paraId="168A5CD7" w14:textId="77777777" w:rsidR="000E4EA7" w:rsidRPr="001D00A2" w:rsidRDefault="000E4EA7" w:rsidP="000E4EA7">
      <w:pPr>
        <w:pStyle w:val="Normal12Hanging"/>
      </w:pPr>
      <w:r w:rsidRPr="001D00A2">
        <w:t>–</w:t>
      </w:r>
      <w:r w:rsidRPr="001D00A2">
        <w:tab/>
        <w:t>ottaa huomioon tilintarkastustuomioistuimen Euroopan unionin toiminnasta tehdyn sopimuksen 287 artiklan mukaisesti antaman varainhoitovuotta 2017 koskevan lausuman</w:t>
      </w:r>
      <w:r w:rsidRPr="001D00A2">
        <w:rPr>
          <w:rStyle w:val="FootnoteReference"/>
        </w:rPr>
        <w:footnoteReference w:id="2"/>
      </w:r>
      <w:r w:rsidRPr="001D00A2">
        <w:t xml:space="preserve"> tilien luotettavuudesta sekä tilien perustana olevien toimien laillisuudesta ja asianmukaisuudesta (sääntöjenmukaisuudesta),</w:t>
      </w:r>
    </w:p>
    <w:p w14:paraId="551865BE" w14:textId="55C3F0B1" w:rsidR="000E4EA7" w:rsidRPr="001D00A2" w:rsidRDefault="000E4EA7" w:rsidP="000E4EA7">
      <w:pPr>
        <w:pStyle w:val="Normal12Hanging"/>
      </w:pPr>
      <w:r w:rsidRPr="001D00A2">
        <w:t>–</w:t>
      </w:r>
      <w:r w:rsidRPr="001D00A2">
        <w:tab/>
        <w:t>ottaa huomioon neuvoston 12. helmikuuta 2019 antaman suosituksen varainhoitovuoden 2017 talousarvion toteuttamista koskevan vastuuvapauden myöntämisestä keskukselle (05825/2019 – C8</w:t>
      </w:r>
      <w:r w:rsidRPr="001D00A2">
        <w:noBreakHyphen/>
        <w:t>0071/2019),</w:t>
      </w:r>
    </w:p>
    <w:p w14:paraId="2404085C" w14:textId="77777777" w:rsidR="000E4EA7" w:rsidRPr="001D00A2" w:rsidRDefault="000E4EA7" w:rsidP="000E4EA7">
      <w:pPr>
        <w:pStyle w:val="Normal12Hanging"/>
      </w:pPr>
      <w:r w:rsidRPr="001D00A2">
        <w:t>–</w:t>
      </w:r>
      <w:r w:rsidRPr="001D00A2">
        <w:tab/>
        <w:t>ottaa huomioon Euroopan unionin toiminnasta tehdyn sopimuksen 319 artiklan,</w:t>
      </w:r>
    </w:p>
    <w:p w14:paraId="49C17F32" w14:textId="77777777" w:rsidR="000E4EA7" w:rsidRPr="001D00A2" w:rsidRDefault="000E4EA7" w:rsidP="000E4EA7">
      <w:pPr>
        <w:pStyle w:val="Normal12Hanging"/>
      </w:pPr>
      <w:r w:rsidRPr="001D00A2">
        <w:t>–</w:t>
      </w:r>
      <w:r w:rsidRPr="001D00A2">
        <w:tab/>
        <w:t>ottaa huomioon unionin yleiseen talousarvioon sovellettavista varainhoitosäännöistä ja neuvoston asetuksen (EY, Euratom) N:o 1605/2002 kumoamisesta 25. lokakuuta 2012 annetun Euroopan parlamentin ja neuvoston asetuksen (EU, Euratom) N:o 966/2012</w:t>
      </w:r>
      <w:r w:rsidRPr="001D00A2">
        <w:rPr>
          <w:rStyle w:val="FootnoteReference"/>
        </w:rPr>
        <w:footnoteReference w:id="3"/>
      </w:r>
      <w:r w:rsidRPr="001D00A2">
        <w:t xml:space="preserve"> ja erityisesti sen 208 artiklan,</w:t>
      </w:r>
    </w:p>
    <w:p w14:paraId="1F398FD6" w14:textId="77777777" w:rsidR="000E4EA7" w:rsidRPr="001D00A2" w:rsidRDefault="000E4EA7" w:rsidP="000E4EA7">
      <w:pPr>
        <w:pStyle w:val="Normal12Hanging"/>
      </w:pPr>
      <w:r w:rsidRPr="001D00A2">
        <w:t>–</w:t>
      </w:r>
      <w:r w:rsidRPr="001D00A2">
        <w:tab/>
        <w:t>ottaa huomioon unionin yleiseen talousarvioon sovellettavista varainhoitosäännöistä, asetusten (EU) N:o 1296/2013, (EU) N:o 1301/2013, (EU) N:o 1303/2013, (EU) N:o 1304/2013, (EU) N:o 1309/2013, (EU) N:o 1316/2013, (EU) N:o 223/2014, (EU) N:o 283/2014 ja päätöksen N:o 541/2014/EU muuttamisesta sekä asetuksen (EU, Euratom) N:o 966/2012 kumoamisesta 18. heinäkuuta 2018 annetun Euroopan parlamentin ja neuvoston asetuksen (EU, Euratom) 2018/1046</w:t>
      </w:r>
      <w:r w:rsidRPr="001D00A2">
        <w:rPr>
          <w:rStyle w:val="FootnoteReference"/>
        </w:rPr>
        <w:footnoteReference w:id="4"/>
      </w:r>
      <w:r w:rsidRPr="001D00A2">
        <w:t xml:space="preserve"> ja erityisesti sen 70 artiklan,</w:t>
      </w:r>
    </w:p>
    <w:p w14:paraId="7E4FC314" w14:textId="77777777" w:rsidR="000E4EA7" w:rsidRPr="001D00A2" w:rsidRDefault="000E4EA7" w:rsidP="000E4EA7">
      <w:pPr>
        <w:pStyle w:val="Normal12Hanging"/>
      </w:pPr>
      <w:r w:rsidRPr="001D00A2">
        <w:t>–</w:t>
      </w:r>
      <w:r w:rsidRPr="001D00A2">
        <w:tab/>
        <w:t>ottaa huomioon Euroopan huumausaineiden ja niiden väärinkäytön seurantakeskuksesta 12. joulukuuta 2006 annetun Euroopan parlamentin ja neuvoston asetuksen (EY) N:o 1920/2006</w:t>
      </w:r>
      <w:r w:rsidRPr="001D00A2">
        <w:rPr>
          <w:rStyle w:val="FootnoteReference"/>
        </w:rPr>
        <w:footnoteReference w:id="5"/>
      </w:r>
      <w:r w:rsidRPr="001D00A2">
        <w:t xml:space="preserve"> ja erityisesti sen 15 artiklan,</w:t>
      </w:r>
    </w:p>
    <w:p w14:paraId="54FBDB43" w14:textId="77777777" w:rsidR="000E4EA7" w:rsidRPr="001D00A2" w:rsidRDefault="000E4EA7" w:rsidP="003B31F9">
      <w:pPr>
        <w:pStyle w:val="Normal12Hanging"/>
        <w:widowControl/>
      </w:pPr>
      <w:r w:rsidRPr="001D00A2">
        <w:t>–</w:t>
      </w:r>
      <w:r w:rsidRPr="001D00A2">
        <w:tab/>
        <w:t>ottaa huomioon Euroopan parlamentin ja neuvoston asetuksen (EU, Euratom) N:o 966/2012 208 artiklassa tarkoitettuja elimiä koskevasta varainhoidon puiteasetuksesta 30. syyskuuta 2013 annetun komission delegoidun asetuksen (EU) N:o 1271/2013</w:t>
      </w:r>
      <w:r w:rsidRPr="001D00A2">
        <w:rPr>
          <w:rStyle w:val="FootnoteReference"/>
        </w:rPr>
        <w:footnoteReference w:id="6"/>
      </w:r>
      <w:r w:rsidRPr="001D00A2">
        <w:t xml:space="preserve"> ja erityisesti sen 108 artiklan,</w:t>
      </w:r>
    </w:p>
    <w:p w14:paraId="5D178310" w14:textId="77777777" w:rsidR="000E4EA7" w:rsidRPr="001D00A2" w:rsidRDefault="000E4EA7" w:rsidP="000E4EA7">
      <w:pPr>
        <w:pStyle w:val="Normal12Hanging"/>
      </w:pPr>
      <w:r w:rsidRPr="001D00A2">
        <w:t>–</w:t>
      </w:r>
      <w:r w:rsidRPr="001D00A2">
        <w:tab/>
        <w:t>ottaa huomioon työjärjestyksen 94 artiklan ja liitteen IV,</w:t>
      </w:r>
    </w:p>
    <w:p w14:paraId="6A0BE1F7" w14:textId="690CA342" w:rsidR="000E4EA7" w:rsidRPr="001D00A2" w:rsidRDefault="000E4EA7" w:rsidP="000E4EA7">
      <w:pPr>
        <w:pStyle w:val="Normal12Hanging"/>
      </w:pPr>
      <w:r w:rsidRPr="001D00A2">
        <w:t>–</w:t>
      </w:r>
      <w:r w:rsidRPr="001D00A2">
        <w:tab/>
        <w:t>ottaa huomioon talousarvion valvontavaliokunnan mietinnön sekä kansalaisvapauksien sekä oikeus- ja sisäasioiden valiokunnan lausunnon (A8-0139/2019),</w:t>
      </w:r>
    </w:p>
    <w:p w14:paraId="64E8A2CF" w14:textId="77777777" w:rsidR="000E4EA7" w:rsidRPr="001D00A2" w:rsidRDefault="000E4EA7" w:rsidP="000E4EA7">
      <w:pPr>
        <w:pStyle w:val="Normal12Hanging"/>
      </w:pPr>
      <w:r w:rsidRPr="001D00A2">
        <w:t>1.</w:t>
      </w:r>
      <w:r w:rsidRPr="001D00A2">
        <w:tab/>
        <w:t>myöntää Euroopan huumausaineiden ja niiden väärinkäytön seurantakeskuksen johtajalle vastuuvapauden keskuksen talousarvion toteuttamisesta varainhoitovuonna 2017;</w:t>
      </w:r>
    </w:p>
    <w:p w14:paraId="4BBAD67C" w14:textId="77777777" w:rsidR="000E4EA7" w:rsidRPr="001D00A2" w:rsidRDefault="000E4EA7" w:rsidP="000E4EA7">
      <w:pPr>
        <w:pStyle w:val="Normal12Hanging"/>
      </w:pPr>
      <w:r w:rsidRPr="001D00A2">
        <w:t>2.</w:t>
      </w:r>
      <w:r w:rsidRPr="001D00A2">
        <w:tab/>
        <w:t>esittää huomautuksensa oheisessa päätöslauselmassa;</w:t>
      </w:r>
    </w:p>
    <w:p w14:paraId="59C3337A" w14:textId="77777777" w:rsidR="00C1531C" w:rsidRPr="001D00A2" w:rsidRDefault="000E4EA7" w:rsidP="000E4EA7">
      <w:pPr>
        <w:pStyle w:val="Normal12Hanging"/>
      </w:pPr>
      <w:r w:rsidRPr="001D00A2">
        <w:t>3.</w:t>
      </w:r>
      <w:r w:rsidRPr="001D00A2">
        <w:tab/>
        <w:t xml:space="preserve">kehottaa puhemiestä välittämään tämän päätöksen ja siihen erottamattomasti kuuluvan päätöslauselman Euroopan huumausaineiden ja niiden väärinkäytön seurantakeskuksen johtajalle, neuvostolle, komissiolle ja tilintarkastustuomioistuimelle sekä huolehtimaan niiden julkaisemisesta </w:t>
      </w:r>
      <w:r w:rsidRPr="001D00A2">
        <w:rPr>
          <w:i/>
        </w:rPr>
        <w:t>Euroopan unionin virallisessa lehdessä</w:t>
      </w:r>
      <w:r w:rsidRPr="001D00A2">
        <w:t xml:space="preserve"> (L-sarja).</w:t>
      </w:r>
    </w:p>
    <w:p w14:paraId="309AC6C2" w14:textId="77777777" w:rsidR="00C1531C" w:rsidRPr="001D00A2" w:rsidRDefault="00C1531C" w:rsidP="004D13BA">
      <w:pPr>
        <w:pStyle w:val="PageHeading"/>
      </w:pPr>
      <w:r w:rsidRPr="001D00A2">
        <w:br w:type="page"/>
      </w:r>
      <w:bookmarkStart w:id="5" w:name="Decision2"/>
      <w:bookmarkStart w:id="6" w:name="_Toc3820351"/>
      <w:r w:rsidRPr="001D00A2">
        <w:t>2. EUROOPAN PARLAMENTIN PÄÄTÖSEHDOTUS</w:t>
      </w:r>
      <w:bookmarkEnd w:id="6"/>
    </w:p>
    <w:p w14:paraId="3CC7C87C" w14:textId="77777777" w:rsidR="00C1531C" w:rsidRPr="001D00A2" w:rsidRDefault="005E7355">
      <w:pPr>
        <w:pStyle w:val="NormalBold"/>
      </w:pPr>
      <w:bookmarkStart w:id="7" w:name="DecisionTitle2"/>
      <w:bookmarkEnd w:id="5"/>
      <w:r w:rsidRPr="001D00A2">
        <w:t>Euroopan huumausaineiden ja niiden väärinkäytön seurantakeskuksen varainhoitovuoden 2017 tilien päättämisestä</w:t>
      </w:r>
    </w:p>
    <w:bookmarkEnd w:id="7"/>
    <w:p w14:paraId="576305E0" w14:textId="77777777" w:rsidR="00C1531C" w:rsidRPr="001D00A2" w:rsidRDefault="005E7355">
      <w:pPr>
        <w:pStyle w:val="Normal12Bold"/>
      </w:pPr>
      <w:r w:rsidRPr="001D00A2">
        <w:t>(2018/2181(DEC))</w:t>
      </w:r>
    </w:p>
    <w:p w14:paraId="0CE5517F" w14:textId="77777777" w:rsidR="00C1531C" w:rsidRPr="001D00A2" w:rsidRDefault="005E7355">
      <w:pPr>
        <w:pStyle w:val="Normal12"/>
      </w:pPr>
      <w:r w:rsidRPr="001D00A2">
        <w:rPr>
          <w:i/>
        </w:rPr>
        <w:t>Euroopan parlamentti</w:t>
      </w:r>
      <w:r w:rsidRPr="001D00A2">
        <w:t>, joka</w:t>
      </w:r>
    </w:p>
    <w:p w14:paraId="547436EC" w14:textId="77777777" w:rsidR="000E4EA7" w:rsidRPr="001D00A2" w:rsidRDefault="009A1AE4" w:rsidP="000E4EA7">
      <w:pPr>
        <w:pStyle w:val="Normal12Hanging"/>
      </w:pPr>
      <w:r w:rsidRPr="001D00A2">
        <w:t>–</w:t>
      </w:r>
      <w:r w:rsidRPr="001D00A2">
        <w:tab/>
        <w:t>ottaa huomioon Euroopan huumausaineiden ja niiden väärinkäytön seurantakeskuksen lopullisen tilinpäätöksen varainhoitovuodelta 2017,</w:t>
      </w:r>
    </w:p>
    <w:p w14:paraId="096BE802" w14:textId="77777777" w:rsidR="000E4EA7" w:rsidRPr="001D00A2" w:rsidRDefault="000E4EA7" w:rsidP="000E4EA7">
      <w:pPr>
        <w:pStyle w:val="Normal12Hanging"/>
      </w:pPr>
      <w:r w:rsidRPr="001D00A2">
        <w:t>–</w:t>
      </w:r>
      <w:r w:rsidRPr="001D00A2">
        <w:tab/>
        <w:t>ottaa huomioon tilintarkastustuomioistuimen kertomuksen Euroopan huumausaineiden ja niiden väärinkäytön seurantakeskuksen tilinpäätöksestä varainhoitovuodelta 2017 sekä keskuksen vastauksen</w:t>
      </w:r>
      <w:r w:rsidRPr="001D00A2">
        <w:rPr>
          <w:rStyle w:val="FootnoteReference"/>
        </w:rPr>
        <w:footnoteReference w:id="7"/>
      </w:r>
      <w:r w:rsidRPr="001D00A2">
        <w:t>,</w:t>
      </w:r>
    </w:p>
    <w:p w14:paraId="0BB05A43" w14:textId="77777777" w:rsidR="000E4EA7" w:rsidRPr="001D00A2" w:rsidRDefault="000E4EA7" w:rsidP="000E4EA7">
      <w:pPr>
        <w:pStyle w:val="Normal12Hanging"/>
      </w:pPr>
      <w:r w:rsidRPr="001D00A2">
        <w:t>–</w:t>
      </w:r>
      <w:r w:rsidRPr="001D00A2">
        <w:tab/>
        <w:t>ottaa huomioon tilintarkastustuomioistuimen Euroopan unionin toiminnasta tehdyn sopimuksen 287 artiklan mukaisesti antaman varainhoitovuotta 2017 koskevan lausuman</w:t>
      </w:r>
      <w:r w:rsidRPr="001D00A2">
        <w:rPr>
          <w:rStyle w:val="FootnoteReference"/>
        </w:rPr>
        <w:footnoteReference w:id="8"/>
      </w:r>
      <w:r w:rsidRPr="001D00A2">
        <w:t xml:space="preserve"> tilien luotettavuudesta sekä tilien perustana olevien toimien laillisuudesta ja asianmukaisuudesta (sääntöjenmukaisuudesta),</w:t>
      </w:r>
    </w:p>
    <w:p w14:paraId="07838566" w14:textId="58F588CC" w:rsidR="000E4EA7" w:rsidRPr="001D00A2" w:rsidRDefault="000E4EA7" w:rsidP="000E4EA7">
      <w:pPr>
        <w:pStyle w:val="Normal12Hanging"/>
      </w:pPr>
      <w:r w:rsidRPr="001D00A2">
        <w:t>–</w:t>
      </w:r>
      <w:r w:rsidRPr="001D00A2">
        <w:tab/>
        <w:t>ottaa huomioon neuvoston 12. helmikuuta 2019 antaman suosituksen varainhoitovuoden 2017 talousarvion toteuttamista koskevan vastuuvapauden myöntämisestä keskukselle (058250000/2019 – C8</w:t>
      </w:r>
      <w:r w:rsidRPr="001D00A2">
        <w:noBreakHyphen/>
        <w:t>0071/2019),</w:t>
      </w:r>
    </w:p>
    <w:p w14:paraId="5BA1515A" w14:textId="77777777" w:rsidR="000E4EA7" w:rsidRPr="001D00A2" w:rsidRDefault="000E4EA7" w:rsidP="000E4EA7">
      <w:pPr>
        <w:pStyle w:val="Normal12Hanging"/>
      </w:pPr>
      <w:r w:rsidRPr="001D00A2">
        <w:t>–</w:t>
      </w:r>
      <w:r w:rsidRPr="001D00A2">
        <w:tab/>
        <w:t>ottaa huomioon Euroopan unionin toiminnasta tehdyn sopimuksen 319 artiklan,</w:t>
      </w:r>
    </w:p>
    <w:p w14:paraId="56BAC57B" w14:textId="77777777" w:rsidR="000E4EA7" w:rsidRPr="001D00A2" w:rsidRDefault="000E4EA7" w:rsidP="000E4EA7">
      <w:pPr>
        <w:pStyle w:val="Normal12Hanging"/>
      </w:pPr>
      <w:r w:rsidRPr="001D00A2">
        <w:t>–</w:t>
      </w:r>
      <w:r w:rsidRPr="001D00A2">
        <w:tab/>
        <w:t>ottaa huomioon unionin yleiseen talousarvioon sovellettavista varainhoitosäännöistä ja neuvoston asetuksen (EY, Euratom) N:o 1605/2002 kumoamisesta 25. lokakuuta 2012 annetun Euroopan parlamentin ja neuvoston asetuksen (EU, Euratom) N:o 966/2012</w:t>
      </w:r>
      <w:r w:rsidRPr="001D00A2">
        <w:rPr>
          <w:rStyle w:val="FootnoteReference"/>
        </w:rPr>
        <w:footnoteReference w:id="9"/>
      </w:r>
      <w:r w:rsidRPr="001D00A2">
        <w:t xml:space="preserve"> ja erityisesti sen 208 artiklan,</w:t>
      </w:r>
    </w:p>
    <w:p w14:paraId="5636ED14" w14:textId="77777777" w:rsidR="000E4EA7" w:rsidRPr="001D00A2" w:rsidRDefault="000E4EA7" w:rsidP="000E4EA7">
      <w:pPr>
        <w:pStyle w:val="Normal12Hanging"/>
      </w:pPr>
      <w:r w:rsidRPr="001D00A2">
        <w:t>–</w:t>
      </w:r>
      <w:r w:rsidRPr="001D00A2">
        <w:tab/>
        <w:t>ottaa huomioon unionin yleiseen talousarvioon sovellettavista varainhoitosäännöistä, asetusten (EU) N:o 1296/2013, (EU) N:o 1301/2013, (EU) N:o 1303/2013, (EU) N:o 1304/2013, (EU) N:o 1309/2013, (EU) N:o 1316/2013, (EU) N:o 223/2014, (EU) N:o 283/2014 ja päätöksen N:o 541/2014/EU muuttamisesta sekä asetuksen (EU, Euratom) N:o 966/2012 kumoamisesta 18. heinäkuuta 2018 annetun Euroopan parlamentin ja neuvoston asetuksen (EU, Euratom) 2018/1046</w:t>
      </w:r>
      <w:r w:rsidRPr="001D00A2">
        <w:rPr>
          <w:rStyle w:val="FootnoteReference"/>
        </w:rPr>
        <w:footnoteReference w:id="10"/>
      </w:r>
      <w:r w:rsidRPr="001D00A2">
        <w:t xml:space="preserve"> ja erityisesti sen 70 artiklan,</w:t>
      </w:r>
    </w:p>
    <w:p w14:paraId="1431F99A" w14:textId="77777777" w:rsidR="000E4EA7" w:rsidRPr="001D00A2" w:rsidRDefault="000E4EA7" w:rsidP="000E4EA7">
      <w:pPr>
        <w:pStyle w:val="Normal12Hanging"/>
      </w:pPr>
      <w:r w:rsidRPr="001D00A2">
        <w:t>–</w:t>
      </w:r>
      <w:r w:rsidRPr="001D00A2">
        <w:tab/>
        <w:t>ottaa huomioon Euroopan huumausaineiden ja niiden väärinkäytön seurantakeskuksesta 12. joulukuuta 2006 annetun Euroopan parlamentin ja neuvoston asetuksen (EY) N:o 1920/2006</w:t>
      </w:r>
      <w:r w:rsidRPr="001D00A2">
        <w:rPr>
          <w:rStyle w:val="FootnoteReference"/>
        </w:rPr>
        <w:footnoteReference w:id="11"/>
      </w:r>
      <w:r w:rsidRPr="001D00A2">
        <w:t xml:space="preserve"> ja erityisesti sen 15 artiklan,</w:t>
      </w:r>
    </w:p>
    <w:p w14:paraId="5C413A8C" w14:textId="77777777" w:rsidR="000E4EA7" w:rsidRPr="001D00A2" w:rsidRDefault="000E4EA7" w:rsidP="003B31F9">
      <w:pPr>
        <w:pStyle w:val="Normal12Hanging"/>
        <w:widowControl/>
      </w:pPr>
      <w:r w:rsidRPr="001D00A2">
        <w:t>–</w:t>
      </w:r>
      <w:r w:rsidRPr="001D00A2">
        <w:tab/>
        <w:t>ottaa huomioon Euroopan parlamentin ja neuvoston asetuksen (EU, Euratom) N:o 966/2012 208 artiklassa tarkoitettuja elimiä koskevasta varainhoidon puiteasetuksesta 30. syyskuuta 2013 annetun komission delegoidun asetuksen (EU) N:o 1271/2013</w:t>
      </w:r>
      <w:r w:rsidRPr="001D00A2">
        <w:rPr>
          <w:rStyle w:val="FootnoteReference"/>
        </w:rPr>
        <w:footnoteReference w:id="12"/>
      </w:r>
      <w:r w:rsidRPr="001D00A2">
        <w:t xml:space="preserve"> ja erityisesti sen 108 artiklan,</w:t>
      </w:r>
    </w:p>
    <w:p w14:paraId="4D6FF024" w14:textId="77777777" w:rsidR="000E4EA7" w:rsidRPr="001D00A2" w:rsidRDefault="000E4EA7" w:rsidP="000E4EA7">
      <w:pPr>
        <w:pStyle w:val="Normal12Hanging"/>
      </w:pPr>
      <w:r w:rsidRPr="001D00A2">
        <w:t>–</w:t>
      </w:r>
      <w:r w:rsidRPr="001D00A2">
        <w:tab/>
        <w:t>ottaa huomioon työjärjestyksen 94 artiklan ja liitteen IV,</w:t>
      </w:r>
    </w:p>
    <w:p w14:paraId="5A5C6267" w14:textId="2BA81022" w:rsidR="000E4EA7" w:rsidRPr="001D00A2" w:rsidRDefault="000E4EA7" w:rsidP="000E4EA7">
      <w:pPr>
        <w:pStyle w:val="Normal12Hanging"/>
      </w:pPr>
      <w:r w:rsidRPr="001D00A2">
        <w:t>–</w:t>
      </w:r>
      <w:r w:rsidRPr="001D00A2">
        <w:tab/>
        <w:t>ottaa huomioon talousarvion valvontavaliokunnan mietinnön sekä kansalaisvapauksien sekä oikeus- ja sisäasioiden valiokunnan lausunnon (A8-0139/2019),</w:t>
      </w:r>
    </w:p>
    <w:p w14:paraId="2537F4A4" w14:textId="77777777" w:rsidR="000E4EA7" w:rsidRPr="001D00A2" w:rsidRDefault="000E4EA7" w:rsidP="000E4EA7">
      <w:pPr>
        <w:pStyle w:val="Normal12Hanging"/>
      </w:pPr>
      <w:r w:rsidRPr="001D00A2">
        <w:t>1.</w:t>
      </w:r>
      <w:r w:rsidRPr="001D00A2">
        <w:tab/>
        <w:t>hyväksyy Euroopan huumausaineiden ja niiden väärinkäytön seurantakeskuksen varainhoitovuoden 2017 tilien päättämisen;</w:t>
      </w:r>
    </w:p>
    <w:p w14:paraId="6EB10EA4" w14:textId="77777777" w:rsidR="000E4EA7" w:rsidRPr="001D00A2" w:rsidRDefault="000E4EA7" w:rsidP="000E4EA7">
      <w:pPr>
        <w:pStyle w:val="Normal12Hanging"/>
      </w:pPr>
      <w:r w:rsidRPr="001D00A2">
        <w:t>2.</w:t>
      </w:r>
      <w:r w:rsidRPr="001D00A2">
        <w:tab/>
        <w:t xml:space="preserve">kehottaa puhemiestä välittämään tämän päätöksen Euroopan huumausaineiden ja niiden väärinkäytön seurantakeskuksen johtajalle, neuvostolle, komissiolle ja tilintarkastustuomioistuimelle sekä huolehtimaan sen julkaisemisesta </w:t>
      </w:r>
      <w:r w:rsidRPr="001D00A2">
        <w:rPr>
          <w:i/>
        </w:rPr>
        <w:t>Euroopan unionin virallisessa lehdessä</w:t>
      </w:r>
      <w:r w:rsidRPr="001D00A2">
        <w:t xml:space="preserve"> (L-sarja).</w:t>
      </w:r>
    </w:p>
    <w:p w14:paraId="198BAC55" w14:textId="77777777" w:rsidR="00C1531C" w:rsidRPr="001D00A2" w:rsidRDefault="00C1531C" w:rsidP="000E4EA7">
      <w:pPr>
        <w:pStyle w:val="PageHeading"/>
      </w:pPr>
      <w:r w:rsidRPr="001D00A2">
        <w:br w:type="page"/>
      </w:r>
      <w:bookmarkStart w:id="8" w:name="Resolution"/>
      <w:bookmarkStart w:id="9" w:name="_Toc3820352"/>
      <w:bookmarkEnd w:id="1"/>
      <w:bookmarkEnd w:id="2"/>
      <w:r w:rsidRPr="001D00A2">
        <w:t>3. EUROOPAN PARLAMENTIN PÄÄTÖSLAUSELMAESITYS</w:t>
      </w:r>
      <w:bookmarkEnd w:id="9"/>
    </w:p>
    <w:p w14:paraId="1E5EEB02" w14:textId="77777777" w:rsidR="00C1531C" w:rsidRPr="001D00A2" w:rsidRDefault="005E7355">
      <w:pPr>
        <w:pStyle w:val="NormalBold"/>
      </w:pPr>
      <w:bookmarkStart w:id="10" w:name="ResolutionTitle"/>
      <w:bookmarkEnd w:id="8"/>
      <w:r w:rsidRPr="001D00A2">
        <w:t>joka sisältää huomautukset, jotka ovat erottamaton osa päätöstä vastuuvapauden myöntämisestä Euroopan huumausaineiden ja niiden väärinkäytön seurantakeskuksen talousarvion toteuttamisesta varainhoitovuonna 2017</w:t>
      </w:r>
    </w:p>
    <w:bookmarkEnd w:id="10"/>
    <w:p w14:paraId="3A6A730F" w14:textId="77777777" w:rsidR="00C1531C" w:rsidRPr="001D00A2" w:rsidRDefault="005E7355">
      <w:pPr>
        <w:pStyle w:val="Normal12Bold"/>
      </w:pPr>
      <w:r w:rsidRPr="001D00A2">
        <w:t>(2018/2181(DEC))</w:t>
      </w:r>
    </w:p>
    <w:p w14:paraId="20CCDD4B" w14:textId="77777777" w:rsidR="00C1531C" w:rsidRPr="001D00A2" w:rsidRDefault="005E7355">
      <w:pPr>
        <w:pStyle w:val="Normal12"/>
      </w:pPr>
      <w:r w:rsidRPr="001D00A2">
        <w:rPr>
          <w:i/>
        </w:rPr>
        <w:t>Euroopan parlamentti</w:t>
      </w:r>
      <w:r w:rsidRPr="001D00A2">
        <w:t>, joka</w:t>
      </w:r>
    </w:p>
    <w:p w14:paraId="6E524DBA" w14:textId="77777777" w:rsidR="00A35902" w:rsidRPr="001D00A2" w:rsidRDefault="00A35902" w:rsidP="00A35902">
      <w:pPr>
        <w:pStyle w:val="Normal12Hanging"/>
      </w:pPr>
      <w:r w:rsidRPr="001D00A2">
        <w:t>–</w:t>
      </w:r>
      <w:r w:rsidRPr="001D00A2">
        <w:tab/>
        <w:t>ottaa huomioon päätöksensä vastuuvapauden myöntämisestä Euroopan huumausaineiden ja niiden väärinkäytön seurantakeskuksen talousarvion toteuttamisesta varainhoitovuonna 2017,</w:t>
      </w:r>
    </w:p>
    <w:p w14:paraId="667CBD59" w14:textId="77777777" w:rsidR="00A35902" w:rsidRPr="001D00A2" w:rsidRDefault="00A35902" w:rsidP="00A35902">
      <w:pPr>
        <w:pStyle w:val="Normal12Hanging"/>
      </w:pPr>
      <w:r w:rsidRPr="001D00A2">
        <w:t>–</w:t>
      </w:r>
      <w:r w:rsidRPr="001D00A2">
        <w:tab/>
        <w:t>ottaa huomioon työjärjestyksen 94 artiklan ja liitteen IV,</w:t>
      </w:r>
    </w:p>
    <w:p w14:paraId="5A78E502" w14:textId="5B8F214B" w:rsidR="00A35902" w:rsidRPr="001D00A2" w:rsidRDefault="00A35902" w:rsidP="00A35902">
      <w:pPr>
        <w:pStyle w:val="Normal12Hanging"/>
      </w:pPr>
      <w:r w:rsidRPr="001D00A2">
        <w:t>–</w:t>
      </w:r>
      <w:r w:rsidRPr="001D00A2">
        <w:tab/>
        <w:t>ottaa huomioon talousarvion valvontavaliokunnan mietinnön sekä kansalaisvapauksien sekä oikeus- ja sisäasioiden valiokunnan lausunnon (A8-0139/2019),</w:t>
      </w:r>
    </w:p>
    <w:p w14:paraId="6AF66A38" w14:textId="6D30386E" w:rsidR="007A312E" w:rsidRPr="001D00A2" w:rsidRDefault="002949DB" w:rsidP="007A312E">
      <w:pPr>
        <w:pStyle w:val="Normal12Hanging"/>
      </w:pPr>
      <w:r w:rsidRPr="001D00A2">
        <w:t>A.</w:t>
      </w:r>
      <w:r w:rsidRPr="001D00A2">
        <w:tab/>
        <w:t>toteaa, että Euroopan huumausaineiden ja niiden väärinkäytön seurantakeskuksen tulo- ja menotaulukon</w:t>
      </w:r>
      <w:r w:rsidR="007A312E" w:rsidRPr="001D00A2">
        <w:rPr>
          <w:rStyle w:val="FootnoteReference"/>
        </w:rPr>
        <w:footnoteReference w:id="13"/>
      </w:r>
      <w:r w:rsidRPr="001D00A2">
        <w:t xml:space="preserve"> mukaan sen lopullinen talousarvio varainhoitovuodeksi 2017 oli 15 828 389 euroa, mikä merkitsee 2,64 prosentin lisäystä vuoteen 2016 verrattuna; toteaa, että keskuksen talousarvio rahoitetaan pääasiassa unionin talousarviosta;</w:t>
      </w:r>
    </w:p>
    <w:p w14:paraId="0A55E726" w14:textId="42E12BBA" w:rsidR="007A312E" w:rsidRPr="001D00A2" w:rsidRDefault="007A312E" w:rsidP="007A312E">
      <w:pPr>
        <w:pStyle w:val="Normal12Hanging"/>
      </w:pPr>
      <w:r w:rsidRPr="001D00A2">
        <w:t>B.</w:t>
      </w:r>
      <w:r w:rsidRPr="001D00A2">
        <w:tab/>
        <w:t>ottaa huomioon, että tilintarkastustuomioistuin toteaa kertomuksessaan Euroopan huumausaineiden ja niiden väärinkäytön seurantakeskuksen tilinpäätöksestä varainhoitovuodelta 2017 saaneensa kohtuullisen varmuuden siitä, että keskuksen tilit olivat luotettavat ja tilien perustana olevat toimet olivat lailliset ja sääntöjenmukaiset;</w:t>
      </w:r>
    </w:p>
    <w:p w14:paraId="1C915993" w14:textId="77777777" w:rsidR="007A312E" w:rsidRPr="001D00A2" w:rsidRDefault="007A312E" w:rsidP="007A312E">
      <w:pPr>
        <w:pStyle w:val="Normal12Hanging"/>
        <w:ind w:left="357" w:hanging="357"/>
        <w:rPr>
          <w:b/>
          <w:i/>
          <w:szCs w:val="24"/>
        </w:rPr>
      </w:pPr>
      <w:r w:rsidRPr="001D00A2">
        <w:rPr>
          <w:b/>
          <w:i/>
          <w:szCs w:val="24"/>
        </w:rPr>
        <w:t>Talousarvio- ja varainhallinto</w:t>
      </w:r>
    </w:p>
    <w:p w14:paraId="0F261BCC" w14:textId="1840EC08" w:rsidR="007A312E" w:rsidRPr="001D00A2" w:rsidRDefault="007A312E" w:rsidP="007A312E">
      <w:pPr>
        <w:pStyle w:val="Normal12Hanging"/>
      </w:pPr>
      <w:r w:rsidRPr="001D00A2">
        <w:t>1.</w:t>
      </w:r>
      <w:r w:rsidRPr="001D00A2">
        <w:tab/>
        <w:t xml:space="preserve">panee tyytyväisenä merkille, että varainhoitovuonna 2017 toteutetun talousarvion seurannan tuloksena talousarvion toteutusaste oli 100 prosenttia, mikä merkitsee lievää 0,05 prosentin lisäystä vuoteen 2016 verrattuna; panee merkille, että maksumäärärahojen käyttöaste oli 94,70 prosenttia, mikä merkitsee 0,94 prosentin vähennystä edellisvuoteen verrattuna; </w:t>
      </w:r>
    </w:p>
    <w:p w14:paraId="440507D9" w14:textId="77777777" w:rsidR="007A312E" w:rsidRPr="001D00A2" w:rsidRDefault="007A312E" w:rsidP="007A312E">
      <w:pPr>
        <w:pStyle w:val="Normal12Hanging"/>
        <w:ind w:left="357" w:hanging="357"/>
        <w:rPr>
          <w:b/>
          <w:i/>
          <w:szCs w:val="24"/>
        </w:rPr>
      </w:pPr>
      <w:r w:rsidRPr="001D00A2">
        <w:rPr>
          <w:b/>
          <w:i/>
          <w:szCs w:val="24"/>
        </w:rPr>
        <w:t>Määrärahasiirtojen peruuntuminen</w:t>
      </w:r>
    </w:p>
    <w:p w14:paraId="100AE627" w14:textId="0DABB844" w:rsidR="007A312E" w:rsidRPr="001D00A2" w:rsidRDefault="007A312E" w:rsidP="007A312E">
      <w:pPr>
        <w:pStyle w:val="Normal12Hanging"/>
      </w:pPr>
      <w:r w:rsidRPr="001D00A2">
        <w:t>2.</w:t>
      </w:r>
      <w:r w:rsidRPr="001D00A2">
        <w:tab/>
        <w:t xml:space="preserve">panee merkille, että vuodelta 2016 vuodelle 2017 siirrettyjä määrärahoja peruttiin 18 245 euroa, mikä on 3,90 prosenttia siirretystä kokonaismäärästä ja merkitsee 0,15 prosentin lisäystä vuoteen 2016 verrattuna; </w:t>
      </w:r>
    </w:p>
    <w:p w14:paraId="0D2C233D" w14:textId="77777777" w:rsidR="007A312E" w:rsidRPr="001D00A2" w:rsidRDefault="007A312E" w:rsidP="007A312E">
      <w:pPr>
        <w:pStyle w:val="Normal12Hanging"/>
        <w:ind w:left="357" w:hanging="357"/>
        <w:rPr>
          <w:b/>
          <w:i/>
          <w:szCs w:val="24"/>
        </w:rPr>
      </w:pPr>
      <w:r w:rsidRPr="001D00A2">
        <w:rPr>
          <w:b/>
          <w:i/>
          <w:szCs w:val="24"/>
        </w:rPr>
        <w:t>Toiminnan tuloksellisuus</w:t>
      </w:r>
    </w:p>
    <w:p w14:paraId="7150900F" w14:textId="7101FAFD" w:rsidR="007A312E" w:rsidRPr="001D00A2" w:rsidRDefault="007A312E" w:rsidP="003B31F9">
      <w:pPr>
        <w:pStyle w:val="Normal12Hanging"/>
        <w:widowControl/>
      </w:pPr>
      <w:r w:rsidRPr="001D00A2">
        <w:t>3.</w:t>
      </w:r>
      <w:r w:rsidRPr="001D00A2">
        <w:tab/>
        <w:t>panee tyytyväisenä merkille, että keskus mittaa 50 keskeisen tulosindikaattorin avulla 68 vuosittaisen tavoitteen saavuttamista, jotka on jaettu kahdeksaan strategiseen tavoitteeseen, jotta voidaan arvioida sen toiminnasta saatavaa lisäarvoa ja parantaa sen budjettihallintoa;</w:t>
      </w:r>
      <w:r w:rsidRPr="001D00A2">
        <w:rPr>
          <w:rStyle w:val="FootnoteReference"/>
        </w:rPr>
        <w:t xml:space="preserve"> </w:t>
      </w:r>
    </w:p>
    <w:p w14:paraId="3AB3726E" w14:textId="77777777" w:rsidR="007A312E" w:rsidRPr="001D00A2" w:rsidRDefault="007A312E" w:rsidP="003B31F9">
      <w:pPr>
        <w:pStyle w:val="Normal12Hanging"/>
        <w:widowControl/>
      </w:pPr>
      <w:r w:rsidRPr="001D00A2">
        <w:t>4.</w:t>
      </w:r>
      <w:r w:rsidRPr="001D00A2">
        <w:tab/>
        <w:t>toteaa, että keskus on saavuttanut 90 prosenttia vuodeksi 2017 asetetuista vuosittaisista tavoitteista ja pannut onnistuneesti täytäntöön vuoteen 2025 ulottuvan strategiansa ensimmäisen vuoden;</w:t>
      </w:r>
    </w:p>
    <w:p w14:paraId="1139BDDB" w14:textId="53575A6E" w:rsidR="007A312E" w:rsidRPr="001D00A2" w:rsidRDefault="007A312E" w:rsidP="007A312E">
      <w:pPr>
        <w:pStyle w:val="Normal12Hanging"/>
      </w:pPr>
      <w:r w:rsidRPr="001D00A2">
        <w:t>5.</w:t>
      </w:r>
      <w:r w:rsidRPr="001D00A2">
        <w:tab/>
        <w:t>panee tyytyväisenä merkille, että keskus jakaa Euroopan meriturvallisuusviraston kanssa yritys- ja tukipalveluja koskevia synergiaetuja ja Lissabonissa sijaitsevien yhteisten tilojen hallinnoinnin; toteaa, että muiden unionin virastojen kanssa on otettu käyttöön toiminnallisia synergioita oikeus- ja sisäasioiden sekä terveydenhuollon aloilla;</w:t>
      </w:r>
    </w:p>
    <w:p w14:paraId="6F353081" w14:textId="77777777" w:rsidR="007A312E" w:rsidRPr="001D00A2" w:rsidRDefault="007A312E" w:rsidP="007A312E">
      <w:pPr>
        <w:pStyle w:val="Normal12Hanging"/>
        <w:rPr>
          <w:b/>
          <w:i/>
        </w:rPr>
      </w:pPr>
      <w:r w:rsidRPr="001D00A2">
        <w:rPr>
          <w:b/>
          <w:i/>
        </w:rPr>
        <w:t>Henkilöstöpolitiikka</w:t>
      </w:r>
    </w:p>
    <w:p w14:paraId="6692BCAC" w14:textId="59352253" w:rsidR="007A312E" w:rsidRPr="001D00A2" w:rsidRDefault="007A312E" w:rsidP="007A312E">
      <w:pPr>
        <w:pStyle w:val="Normal12Hanging"/>
      </w:pPr>
      <w:r w:rsidRPr="001D00A2">
        <w:t>6.</w:t>
      </w:r>
      <w:r w:rsidRPr="001D00A2">
        <w:tab/>
        <w:t>panee merkille, että 31. joulukuuta 2017 henkilöstötaulukosta oli täytettynä 93,51 prosenttia ja että unionin talousarviossa hyväksytyistä 77 virasta ja väliaikaisesta toimesta 72 oli täytettynä (verrattuna 79 hyväksyttyyn toimeen vuonna 2016); panee merkille, että vuonna 2017 keskuksen palveluksessa työskenteli lisäksi 29 sopimussuhteista toimihenkilöä ja yksi kansallinen asiantuntija;</w:t>
      </w:r>
    </w:p>
    <w:p w14:paraId="265CFD69" w14:textId="77777777" w:rsidR="007A312E" w:rsidRPr="001D00A2" w:rsidRDefault="007A312E" w:rsidP="007A312E">
      <w:pPr>
        <w:pStyle w:val="Normal12Hanging"/>
        <w:rPr>
          <w:szCs w:val="24"/>
        </w:rPr>
      </w:pPr>
      <w:r w:rsidRPr="001D00A2">
        <w:t>7.</w:t>
      </w:r>
      <w:r w:rsidRPr="001D00A2">
        <w:tab/>
        <w:t>toteaa, että keskuksella on yleiset määräykset sellaisen työkulttuurin luomisesta ja ylläpitämisestä, joka perustuu ihmisarvoon ja kunnioitukseen, jotta voidaan estää ja torjua häirintää; toteaa, että keskus tarjoaa mahdollisuuden luottamukselliseen neuvontaan;</w:t>
      </w:r>
    </w:p>
    <w:p w14:paraId="58726056" w14:textId="4EE74B9F" w:rsidR="007A312E" w:rsidRPr="001D00A2" w:rsidRDefault="007A312E" w:rsidP="007A312E">
      <w:pPr>
        <w:pStyle w:val="Normal12Hanging"/>
      </w:pPr>
      <w:r w:rsidRPr="001D00A2">
        <w:t>8.</w:t>
      </w:r>
      <w:r w:rsidRPr="001D00A2">
        <w:tab/>
        <w:t>pitää myönteisenä, että tilintarkastustuomioistuin ehdottaa työpaikkailmoitusten julkaisemista myös EU:n henkilöstövalintatoimiston verkkosivustolla, jotta voidaan saada lisää julkisuutta; panee merkille, että keskuksen vastauksen mukaan se on sitoutunut arvioimaan tämän toimen kustannus-hyötysuhdetta ja aikoo lisäksi julkaista kaikki tulevat avoimet työpaikat unionin virastojen verkoston luomalla virastojen välisellä työpaikkasivustolla;</w:t>
      </w:r>
      <w:r w:rsidRPr="001D00A2">
        <w:rPr>
          <w:rStyle w:val="FootnoteReference"/>
          <w:sz w:val="23"/>
          <w:szCs w:val="23"/>
        </w:rPr>
        <w:t xml:space="preserve"> </w:t>
      </w:r>
    </w:p>
    <w:p w14:paraId="36E6B01D" w14:textId="77777777" w:rsidR="007A312E" w:rsidRPr="001D00A2" w:rsidRDefault="007A312E" w:rsidP="007A312E">
      <w:pPr>
        <w:pStyle w:val="Normal12Hanging"/>
        <w:ind w:left="0" w:firstLine="0"/>
        <w:rPr>
          <w:b/>
          <w:i/>
        </w:rPr>
      </w:pPr>
      <w:r w:rsidRPr="001D00A2">
        <w:rPr>
          <w:b/>
          <w:i/>
        </w:rPr>
        <w:t>Hankinnat</w:t>
      </w:r>
    </w:p>
    <w:p w14:paraId="4AFF1F74" w14:textId="2E282509" w:rsidR="007A312E" w:rsidRPr="001D00A2" w:rsidRDefault="007A312E" w:rsidP="007A312E">
      <w:pPr>
        <w:pStyle w:val="Normal12Hanging"/>
      </w:pPr>
      <w:r w:rsidRPr="001D00A2">
        <w:t>9.</w:t>
      </w:r>
      <w:r w:rsidRPr="001D00A2">
        <w:tab/>
        <w:t>panee tyytyväisenä merkille, että keskus otti käyttöön hankintasuunnitelman, joka toteutettiin onnistuneesti tiiviissä yhteistyössä kaikkien yksikköjen kanssa;</w:t>
      </w:r>
    </w:p>
    <w:p w14:paraId="38667397" w14:textId="6672A75C" w:rsidR="007A312E" w:rsidRPr="001D00A2" w:rsidRDefault="007A312E" w:rsidP="007A312E">
      <w:pPr>
        <w:pStyle w:val="Normal12Hanging"/>
      </w:pPr>
      <w:r w:rsidRPr="001D00A2">
        <w:t>10.</w:t>
      </w:r>
      <w:r w:rsidRPr="001D00A2">
        <w:tab/>
        <w:t>panee tilintarkastustuomioistuimen kertomuksesta merkille, ettei keskus ollut vielä vuoden 2017 loppuun mennessä ottanut käyttöön yhtään komission käyttöön asettamista välineistä, joiden tarkoituksena oli ottaa käyttöön keskitetty ratkaisu julkisiin hankintamenettelyihin osallistuvien kolmansien osapuolten kanssa käytävää sähköistä tiedonvaihtoa varten (sähköinen hankintamenettely); toteaa, että keskuksen vastauksen mukaan keskus on ottanut käyttöön sähköiseen laskutukseen tarvittavia välineitä ja on suunnitellut valmistelutoimia, joita tarvitaan sähköisen tarjouskilpailun ja tarjousten sähköisen toimittamisen käyttöön ottamiseksi vuoden 2018 lokakuusta lähtien, kuten asiaa koskevassa lainsäädäntökehyksessä edellytetään; kehottaa keskusta tiedottamaan vastuuvapauden myöntävälle viranomaiselle asian edistymisestä;</w:t>
      </w:r>
    </w:p>
    <w:p w14:paraId="4D6D4883" w14:textId="58F063C3" w:rsidR="007A312E" w:rsidRPr="001D00A2" w:rsidRDefault="007A312E" w:rsidP="007A312E">
      <w:pPr>
        <w:pStyle w:val="Normal12Hanging"/>
        <w:ind w:left="357" w:hanging="357"/>
        <w:rPr>
          <w:b/>
          <w:i/>
          <w:szCs w:val="24"/>
        </w:rPr>
      </w:pPr>
      <w:r w:rsidRPr="001D00A2">
        <w:rPr>
          <w:b/>
          <w:i/>
          <w:szCs w:val="24"/>
        </w:rPr>
        <w:t>Eturistiriitojen ennaltaehkäisy ja hallinta sekä avoimuus</w:t>
      </w:r>
    </w:p>
    <w:p w14:paraId="7483AF90" w14:textId="578B7320" w:rsidR="007A312E" w:rsidRPr="001D00A2" w:rsidRDefault="007A312E" w:rsidP="003B31F9">
      <w:pPr>
        <w:pStyle w:val="Normal12Hanging"/>
        <w:widowControl/>
      </w:pPr>
      <w:r w:rsidRPr="001D00A2">
        <w:t>11.</w:t>
      </w:r>
      <w:r w:rsidRPr="001D00A2">
        <w:tab/>
        <w:t>panee tilintarkastustuomioistuimen kertomuksesta merkille, että on aiheellista vahvistaa tilinpitäjän riippumattomuutta velvoittamalla hänet raportoimaan suoraan keskuksen johtajalle ja hallintoneuvostolle; panee merkille, että keskuksen vastauksen mukaan tämänhetkinen organisaatiorakenne ei ole vaikuttanut tilinpitäjien riippumattomuuteen; toteaa, että keskus on kuitenkin valmis noudattamaan tilintarkastustuomioistuimen suositusta;</w:t>
      </w:r>
      <w:r w:rsidRPr="001D00A2">
        <w:rPr>
          <w:sz w:val="23"/>
          <w:szCs w:val="23"/>
        </w:rPr>
        <w:t xml:space="preserve"> </w:t>
      </w:r>
    </w:p>
    <w:p w14:paraId="7AF32FAE" w14:textId="77777777" w:rsidR="007A312E" w:rsidRPr="001D00A2" w:rsidRDefault="007A312E" w:rsidP="007A312E">
      <w:pPr>
        <w:pStyle w:val="Normal12Hanging"/>
        <w:ind w:left="357" w:hanging="357"/>
        <w:rPr>
          <w:b/>
          <w:i/>
          <w:szCs w:val="24"/>
        </w:rPr>
      </w:pPr>
      <w:r w:rsidRPr="001D00A2">
        <w:rPr>
          <w:b/>
          <w:i/>
          <w:szCs w:val="24"/>
        </w:rPr>
        <w:t>Sisäinen valvonta</w:t>
      </w:r>
    </w:p>
    <w:p w14:paraId="5E791687" w14:textId="37FFBBF5" w:rsidR="007A312E" w:rsidRPr="001D00A2" w:rsidRDefault="007A312E" w:rsidP="007A312E">
      <w:pPr>
        <w:pStyle w:val="Normal12Hanging"/>
      </w:pPr>
      <w:r w:rsidRPr="001D00A2">
        <w:t>12.</w:t>
      </w:r>
      <w:r w:rsidRPr="001D00A2">
        <w:tab/>
        <w:t xml:space="preserve">toteaa, että komission sisäinen tarkastus korosti, että on tärkeää laatia analyysi tiedonkeruu-, validointi- ja laadunvarmistusprosessien tarpeista ja tarkistaa tietojen laadunvalvontakehystä ja mukauttaa se vuoteen 2025 ulottuvaan keskuksen strategiaan; huomauttaa, että keskus otti joulukuussa 2017 käyttöön toimintasuunnitelman näiden suositusten käsittelemiseksi; kehottaa keskusta tiedottamaan vastuuvapauden myöntävälle viranomaiselle asian edistymisestä; </w:t>
      </w:r>
    </w:p>
    <w:p w14:paraId="66621DAB" w14:textId="5E899730" w:rsidR="007A312E" w:rsidRPr="001D00A2" w:rsidRDefault="007A312E" w:rsidP="007A312E">
      <w:pPr>
        <w:pStyle w:val="Normal12Hanging"/>
      </w:pPr>
      <w:r w:rsidRPr="001D00A2">
        <w:t>13.</w:t>
      </w:r>
      <w:r w:rsidRPr="001D00A2">
        <w:tab/>
        <w:t>pitää valitettavana, että yhtä ”tärkeäksi” luokitelluista suosituksista, joka sisältyi komission sisäisen tarkastuksen vuoden 2013 talousarviota ja seurantaa koskevaan tarkastukseen, ei ole pantu täysimääräisesti täytäntöön; toteaa huolestuneena, että tilintarkastustuomioistuimen kertomuksen mukaan useat komission sisäisen tarkastuksen vuoden 2015 tietotekniikkahankkeiden hallinnointia koskevaan tarkastukseen sisältyvät suositukset on pantu vain osittain täytäntöön ja ne ovat edelleen kesken; kehottaa keskusta tiedottamaan vastuuvapauden myöntävälle viranomaiselle näiden suositusten täytäntöönpanosta;</w:t>
      </w:r>
    </w:p>
    <w:p w14:paraId="5D192726" w14:textId="77777777" w:rsidR="009C06AB" w:rsidRPr="001D00A2" w:rsidRDefault="009C06AB" w:rsidP="00B844BC">
      <w:pPr>
        <w:pStyle w:val="Normal12Centre"/>
      </w:pPr>
      <w:r w:rsidRPr="001D00A2">
        <w:t>o</w:t>
      </w:r>
    </w:p>
    <w:p w14:paraId="28FFCA94" w14:textId="77777777" w:rsidR="00B844BC" w:rsidRPr="001D00A2" w:rsidRDefault="009C06AB" w:rsidP="00B844BC">
      <w:pPr>
        <w:pStyle w:val="Normal12Centre"/>
      </w:pPr>
      <w:r w:rsidRPr="001D00A2">
        <w:t>o     o</w:t>
      </w:r>
    </w:p>
    <w:p w14:paraId="780B4736" w14:textId="1701F52A" w:rsidR="00A5625F" w:rsidRPr="001D00A2" w:rsidRDefault="006D4388" w:rsidP="00A35902">
      <w:pPr>
        <w:pStyle w:val="Normal12Hanging"/>
      </w:pPr>
      <w:r w:rsidRPr="001D00A2">
        <w:t>14.</w:t>
      </w:r>
      <w:r w:rsidRPr="001D00A2">
        <w:tab/>
        <w:t>viittaa vastuuvapauden myöntämistä koskevaan päätökseen liittyvien muiden, luonteeltaan yleisten huomautusten osalta erillisvirastojen toiminnan tuloksellisuudesta, varainhoidosta ja sen valvonnasta ... 2019 antamaansa päätöslauselmaan</w:t>
      </w:r>
      <w:r w:rsidR="009C06AB" w:rsidRPr="001D00A2">
        <w:rPr>
          <w:rStyle w:val="FootnoteReference"/>
        </w:rPr>
        <w:footnoteReference w:id="14"/>
      </w:r>
      <w:r w:rsidRPr="001D00A2">
        <w:t>.</w:t>
      </w:r>
    </w:p>
    <w:p w14:paraId="24357BE3" w14:textId="77777777" w:rsidR="008C4202" w:rsidRPr="001D00A2" w:rsidRDefault="008C4202" w:rsidP="00A5625F">
      <w:pPr>
        <w:sectPr w:rsidR="008C4202" w:rsidRPr="001D00A2" w:rsidSect="001D00A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pPr>
    </w:p>
    <w:p w14:paraId="7ECCEF36" w14:textId="25F821E0" w:rsidR="00841D8C" w:rsidRPr="001D00A2" w:rsidRDefault="00841D8C" w:rsidP="00A5625F"/>
    <w:p w14:paraId="3B385B54" w14:textId="7BC6BC21" w:rsidR="008C4202" w:rsidRPr="001D00A2" w:rsidRDefault="008C4202" w:rsidP="00A5625F"/>
    <w:p w14:paraId="7AD9AAB1" w14:textId="45048C03" w:rsidR="008C4202" w:rsidRPr="001D00A2" w:rsidRDefault="008C4202" w:rsidP="008C4202"/>
    <w:p w14:paraId="0B763733" w14:textId="77777777" w:rsidR="008C4202" w:rsidRPr="001D00A2" w:rsidRDefault="008C4202" w:rsidP="008C4202">
      <w:pPr>
        <w:pStyle w:val="ZDate"/>
        <w:spacing w:after="480"/>
      </w:pPr>
      <w:r w:rsidRPr="001D00A2">
        <w:rPr>
          <w:rStyle w:val="HideTWBExt"/>
          <w:noProof w:val="0"/>
        </w:rPr>
        <w:t>&lt;Date&gt;</w:t>
      </w:r>
      <w:r w:rsidRPr="001D00A2">
        <w:rPr>
          <w:rStyle w:val="HideTWBInt"/>
        </w:rPr>
        <w:t>{17/01/2019}</w:t>
      </w:r>
      <w:r w:rsidRPr="001D00A2">
        <w:t>17.1.2019</w:t>
      </w:r>
      <w:r w:rsidRPr="001D00A2">
        <w:rPr>
          <w:rStyle w:val="HideTWBExt"/>
          <w:noProof w:val="0"/>
        </w:rPr>
        <w:t>&lt;/Date&gt;</w:t>
      </w:r>
    </w:p>
    <w:p w14:paraId="44F02A6A" w14:textId="62219252" w:rsidR="008C4202" w:rsidRPr="001D00A2" w:rsidRDefault="008C4202" w:rsidP="008C4202">
      <w:pPr>
        <w:pStyle w:val="PageHeading"/>
        <w:spacing w:before="0" w:after="720"/>
      </w:pPr>
      <w:bookmarkStart w:id="11" w:name="_Toc3820353"/>
      <w:r w:rsidRPr="001D00A2">
        <w:t xml:space="preserve">LAUSUNTO </w:t>
      </w:r>
      <w:r w:rsidRPr="001D00A2">
        <w:rPr>
          <w:rStyle w:val="HideTWBExt"/>
          <w:noProof w:val="0"/>
        </w:rPr>
        <w:t>&lt;CommissionResp&gt;</w:t>
      </w:r>
      <w:bookmarkStart w:id="12" w:name="OpinionToc_1"/>
      <w:r w:rsidRPr="001D00A2">
        <w:rPr>
          <w:caps/>
        </w:rPr>
        <w:t>kansalaisvapauksien sekä oikeus- ja sisäasioiden valiokunnalta</w:t>
      </w:r>
      <w:bookmarkEnd w:id="12"/>
      <w:bookmarkEnd w:id="11"/>
      <w:r w:rsidRPr="001D00A2">
        <w:rPr>
          <w:rStyle w:val="HideTWBExt"/>
          <w:noProof w:val="0"/>
        </w:rPr>
        <w:t>&lt;/CommissionResp&gt;</w:t>
      </w:r>
    </w:p>
    <w:p w14:paraId="4C980F48" w14:textId="77777777" w:rsidR="008C4202" w:rsidRPr="001D00A2" w:rsidRDefault="008C4202" w:rsidP="008C4202">
      <w:pPr>
        <w:pStyle w:val="Cover24"/>
        <w:ind w:left="0"/>
      </w:pPr>
      <w:r w:rsidRPr="001D00A2">
        <w:rPr>
          <w:rStyle w:val="HideTWBExt"/>
          <w:noProof w:val="0"/>
        </w:rPr>
        <w:t>&lt;CommissionInt&gt;</w:t>
      </w:r>
      <w:r w:rsidRPr="001D00A2">
        <w:t>talousarvion valvontavaliokunnalle</w:t>
      </w:r>
      <w:r w:rsidRPr="001D00A2">
        <w:rPr>
          <w:rStyle w:val="HideTWBExt"/>
          <w:noProof w:val="0"/>
        </w:rPr>
        <w:t>&lt;/CommissionInt&gt;</w:t>
      </w:r>
    </w:p>
    <w:p w14:paraId="008F10C8" w14:textId="77777777" w:rsidR="008C4202" w:rsidRPr="001D00A2" w:rsidRDefault="008C4202" w:rsidP="008C4202">
      <w:pPr>
        <w:pStyle w:val="CoverNormal"/>
        <w:ind w:left="0"/>
      </w:pPr>
      <w:r w:rsidRPr="001D00A2">
        <w:rPr>
          <w:rStyle w:val="HideTWBExt"/>
          <w:noProof w:val="0"/>
        </w:rPr>
        <w:t>&lt;Titre&gt;</w:t>
      </w:r>
      <w:r w:rsidRPr="001D00A2">
        <w:t>vastuuvapauden myöntämisestä Euroopan huumausaineiden ja niiden väärinkäytön seurantakeskuksen talousarvion toteuttamisesta varainhoitovuonna 2017</w:t>
      </w:r>
      <w:r w:rsidRPr="001D00A2">
        <w:rPr>
          <w:rStyle w:val="HideTWBExt"/>
          <w:noProof w:val="0"/>
        </w:rPr>
        <w:t>&lt;/Titre&gt;</w:t>
      </w:r>
    </w:p>
    <w:p w14:paraId="0B83710C" w14:textId="77777777" w:rsidR="008C4202" w:rsidRPr="001D00A2" w:rsidRDefault="008C4202" w:rsidP="008C4202">
      <w:pPr>
        <w:pStyle w:val="Cover24"/>
        <w:ind w:left="0"/>
      </w:pPr>
      <w:r w:rsidRPr="001D00A2">
        <w:rPr>
          <w:rStyle w:val="HideTWBExt"/>
          <w:noProof w:val="0"/>
        </w:rPr>
        <w:t>&lt;DocRef&gt;</w:t>
      </w:r>
      <w:r w:rsidRPr="001D00A2">
        <w:t>(2018/2181(DEC))</w:t>
      </w:r>
      <w:r w:rsidRPr="001D00A2">
        <w:rPr>
          <w:rStyle w:val="HideTWBExt"/>
          <w:noProof w:val="0"/>
        </w:rPr>
        <w:t>&lt;/DocRef&gt;</w:t>
      </w:r>
    </w:p>
    <w:p w14:paraId="4C94892A" w14:textId="77777777" w:rsidR="008C4202" w:rsidRPr="001D00A2" w:rsidRDefault="008C4202" w:rsidP="008C4202">
      <w:pPr>
        <w:pStyle w:val="Cover24"/>
        <w:ind w:left="0"/>
      </w:pPr>
      <w:r w:rsidRPr="001D00A2">
        <w:t xml:space="preserve">Valmistelija: </w:t>
      </w:r>
      <w:r w:rsidRPr="001D00A2">
        <w:rPr>
          <w:rStyle w:val="HideTWBExt"/>
          <w:noProof w:val="0"/>
        </w:rPr>
        <w:t>&lt;Depute&gt;</w:t>
      </w:r>
      <w:r w:rsidRPr="001D00A2">
        <w:t>Romeo Franz</w:t>
      </w:r>
      <w:r w:rsidRPr="001D00A2">
        <w:rPr>
          <w:rStyle w:val="HideTWBExt"/>
          <w:noProof w:val="0"/>
        </w:rPr>
        <w:t>&lt;/Depute&gt;</w:t>
      </w:r>
    </w:p>
    <w:p w14:paraId="795EF140" w14:textId="77777777" w:rsidR="008C4202" w:rsidRPr="001D00A2" w:rsidRDefault="008C4202" w:rsidP="008C4202">
      <w:pPr>
        <w:pStyle w:val="CoverNormal"/>
        <w:ind w:left="0"/>
      </w:pPr>
    </w:p>
    <w:p w14:paraId="4A5A1671" w14:textId="50E10885" w:rsidR="008C4202" w:rsidRPr="001D00A2" w:rsidRDefault="008C4202" w:rsidP="00D2145E">
      <w:pPr>
        <w:widowControl/>
        <w:tabs>
          <w:tab w:val="center" w:pos="4677"/>
        </w:tabs>
      </w:pPr>
    </w:p>
    <w:p w14:paraId="7D1BBFFE" w14:textId="5C60F81D" w:rsidR="008C4202" w:rsidRPr="001D00A2" w:rsidRDefault="008C4202" w:rsidP="00D2145E">
      <w:pPr>
        <w:widowControl/>
        <w:tabs>
          <w:tab w:val="center" w:pos="4677"/>
        </w:tabs>
      </w:pPr>
    </w:p>
    <w:p w14:paraId="2CA17666" w14:textId="1ED1A2E6" w:rsidR="008C4202" w:rsidRPr="001D00A2" w:rsidRDefault="008C4202" w:rsidP="00D2145E">
      <w:pPr>
        <w:pStyle w:val="PageHeadingNotTOC"/>
      </w:pPr>
      <w:r w:rsidRPr="001D00A2">
        <w:t>EHDOTUKSET</w:t>
      </w:r>
    </w:p>
    <w:p w14:paraId="4947FC19" w14:textId="77777777" w:rsidR="008C4202" w:rsidRPr="001D00A2" w:rsidRDefault="008C4202" w:rsidP="00D2145E">
      <w:pPr>
        <w:pStyle w:val="Normal12"/>
      </w:pPr>
      <w:r w:rsidRPr="001D00A2">
        <w:t>Kansalaisvapauksien sekä oikeus- ja sisäasioiden valiokunta pyytää asiasta vastaavaa talousarvion valvontavaliokuntaa sisällyttämään seuraavat ehdotukset päätöslauselmaesitykseen, jonka se myöhemmin hyväksyy:</w:t>
      </w:r>
    </w:p>
    <w:p w14:paraId="699F2B23" w14:textId="77777777" w:rsidR="008C4202" w:rsidRPr="001D00A2" w:rsidRDefault="008C4202" w:rsidP="00D2145E">
      <w:pPr>
        <w:pStyle w:val="Normal12Hanging"/>
      </w:pPr>
      <w:bookmarkStart w:id="13" w:name="restart"/>
      <w:r w:rsidRPr="001D00A2">
        <w:t>1.</w:t>
      </w:r>
      <w:r w:rsidRPr="001D00A2">
        <w:tab/>
        <w:t>panee tyytyväisenä merkille tilintarkastustuomioistuimen päätelmät, joiden mukaan Euroopan huumausaineiden ja niiden väärinkäytön seurantakeskuksen tilinpäätös antaa oikeat ja riittävät tiedot seurantakeskuksen taloudellista asemasta 31. joulukuuta 2017 ja sen toimet olivat lailliset ja sääntöjenmukaiset; pitää myönteisenä, että tilintarkastustuomioistuimella ei ollut huomautettavaa keskuksen vuoden 2017 talousarvion toteutuksesta;</w:t>
      </w:r>
    </w:p>
    <w:bookmarkEnd w:id="13"/>
    <w:p w14:paraId="1A46D8AD" w14:textId="77777777" w:rsidR="008C4202" w:rsidRPr="001D00A2" w:rsidRDefault="008C4202" w:rsidP="00D2145E">
      <w:pPr>
        <w:pStyle w:val="Normal12Hanging"/>
      </w:pPr>
      <w:r w:rsidRPr="001D00A2">
        <w:t>2.</w:t>
      </w:r>
      <w:r w:rsidRPr="001D00A2">
        <w:tab/>
        <w:t>panee merkille, että keskuksen tilinpitäjän esimiehenä toimii hallinto- ja yrityspalveluista vastaavan osaston päällikkö eikä keskuksen johtaja, kuten tilintarkastustuomioistuin on suositellut kaikille erillisvirastoille; panee merkille, että keskuksen mukaan nykyinen raportointi on oikeassa suhteessa organisaation kokoon eikä vaikuta tilinpitäjän riippumattomuuteen; pyytää kuitenkin, että keskus noudattaa tiukasti tilintarkastustuomioistuimen suositusta ja velvoittaa tilinpitäjän raportoimaan suoraan keskuksen johtajalle hallinnollisista asioista ja hallintoneuvostolle toiminnallisista näkökohdista; kannustaa keskusta siirtämään kirjanpitotoimintonsa komission tilinpitäjälle sopimuksella, koska tämä lisää tilinpäätöksen laatimisen tehokkuutta ja varmistaa sen luotettavuuden;</w:t>
      </w:r>
    </w:p>
    <w:p w14:paraId="2AF31B19" w14:textId="77777777" w:rsidR="008C4202" w:rsidRPr="001D00A2" w:rsidRDefault="008C4202" w:rsidP="003B31F9">
      <w:pPr>
        <w:pStyle w:val="Normal12Hanging"/>
        <w:widowControl/>
      </w:pPr>
      <w:r w:rsidRPr="001D00A2">
        <w:t>3.</w:t>
      </w:r>
      <w:r w:rsidRPr="001D00A2">
        <w:tab/>
        <w:t>pitää valitettavana, että ke</w:t>
      </w:r>
      <w:bookmarkStart w:id="14" w:name="_GoBack"/>
      <w:bookmarkEnd w:id="14"/>
      <w:r w:rsidRPr="001D00A2">
        <w:t>skus ei ollut toteuttanut vuoden 2017 lopussa komission sisäisen tarkastuksen tammikuussa 2016 antamaa suositusta tietoteknisten hankkeiden hallinnoinnin parantamisesta; vaatii erityisesti, että keskus kehittää kattavan pitkän aikavälin strategisen näkemyksen ydintoimintaprosesseja tukevista tietoteknisistä järjestelmistään ja hyväksyy keskuksen tarpeita vastaavat tietoteknisten hankkeiden ja järjestelmien hallinnointimenetelmät; kehottaa keskusta toteuttamaan tämän vuoden 2016 tarkastuksen johdosta annetun avoimen suosituksen mahdollisimman pian;</w:t>
      </w:r>
    </w:p>
    <w:p w14:paraId="4B63550A" w14:textId="77777777" w:rsidR="008C4202" w:rsidRPr="001D00A2" w:rsidRDefault="008C4202" w:rsidP="00D2145E">
      <w:pPr>
        <w:pStyle w:val="Normal12Hanging"/>
      </w:pPr>
      <w:r w:rsidRPr="001D00A2">
        <w:t>4.</w:t>
      </w:r>
      <w:r w:rsidRPr="001D00A2">
        <w:tab/>
        <w:t>panee merkille tilintarkastustuomioistuimen ehdotukset avoimia toimia koskevien ilmoitusten julkistamisesta myös EU:n henkilöstövalintatoimiston (EPSO) verkkosivuilla; panee merkille keskuksen huolen käännöskustannusten kasvusta sen vuoksi, että EPSO edellyttää avoimia toimia koskevien ilmoitusten julkaisemista kaikilla unionin toimielinten virallisilla kielillä; pyytää näin ollen, että seurantakeskus julkaisee edelleen kaikki avoimia toimia koskevat ilmoituksensa virastojen välisellä työpaikkasivustolla, jonka EU-virastojen välinen verkosto on luonut, ja tarvittaessa myös EPSOn verkkosivustolla;</w:t>
      </w:r>
    </w:p>
    <w:p w14:paraId="3CC23AFF" w14:textId="77777777" w:rsidR="008C4202" w:rsidRPr="001D00A2" w:rsidRDefault="008C4202" w:rsidP="00D2145E">
      <w:pPr>
        <w:pStyle w:val="Normal12Hanging"/>
      </w:pPr>
      <w:r w:rsidRPr="001D00A2">
        <w:t>5.</w:t>
      </w:r>
      <w:r w:rsidRPr="001D00A2">
        <w:tab/>
        <w:t>panee tyytyväisenä merkille, että keskus on sitoutunut panemaan täytäntöön suositukset, jotka komission sisäisen tarkastuksen osasto esitti vuonna 2017 julkaisemassaan tarkastuskertomuksessa ”Management of Data Collection, Validation and Quality Assurance” keskuksen tiedonkeruun hallinnasta, varmennuksesta ja laadunvarmistuksesta; korostaa, että seurantakeskuksen on tärkeää täyttää sitoumuksensa.</w:t>
      </w:r>
    </w:p>
    <w:p w14:paraId="025E24BA" w14:textId="77777777" w:rsidR="008C4202" w:rsidRPr="001D00A2" w:rsidRDefault="008C4202" w:rsidP="00D2145E">
      <w:pPr>
        <w:pStyle w:val="PageHeadingNotTOC"/>
      </w:pPr>
      <w:r w:rsidRPr="001D00A2">
        <w:br w:type="page"/>
        <w:t>TIEDOT HYVÄKSYMISESTÄ</w:t>
      </w:r>
      <w:r w:rsidRPr="001D00A2">
        <w:br/>
        <w:t>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C4202" w:rsidRPr="001D00A2" w14:paraId="655C390A" w14:textId="77777777" w:rsidTr="00A12BC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B3B01C" w14:textId="77777777" w:rsidR="008C4202" w:rsidRPr="001D00A2" w:rsidRDefault="008C4202" w:rsidP="00A12BCF">
            <w:pPr>
              <w:autoSpaceDE w:val="0"/>
              <w:autoSpaceDN w:val="0"/>
              <w:adjustRightInd w:val="0"/>
              <w:rPr>
                <w:b/>
                <w:bCs/>
                <w:color w:val="000000"/>
                <w:sz w:val="20"/>
              </w:rPr>
            </w:pPr>
            <w:r w:rsidRPr="001D00A2">
              <w:rPr>
                <w:b/>
                <w:bCs/>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8781963" w14:textId="77777777" w:rsidR="008C4202" w:rsidRPr="001D00A2" w:rsidRDefault="008C4202" w:rsidP="00A12BCF">
            <w:pPr>
              <w:autoSpaceDE w:val="0"/>
              <w:autoSpaceDN w:val="0"/>
              <w:adjustRightInd w:val="0"/>
              <w:rPr>
                <w:color w:val="000000"/>
                <w:sz w:val="20"/>
              </w:rPr>
            </w:pPr>
            <w:r w:rsidRPr="001D00A2">
              <w:rPr>
                <w:color w:val="000000"/>
                <w:sz w:val="20"/>
              </w:rPr>
              <w:t>10.1.2019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272B511" w14:textId="77777777" w:rsidR="008C4202" w:rsidRPr="001D00A2" w:rsidRDefault="008C4202" w:rsidP="00A12BC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5993FAB" w14:textId="77777777" w:rsidR="008C4202" w:rsidRPr="001D00A2" w:rsidRDefault="008C4202" w:rsidP="00A12BC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32C4B93" w14:textId="77777777" w:rsidR="008C4202" w:rsidRPr="001D00A2" w:rsidRDefault="008C4202" w:rsidP="00A12BCF">
            <w:pPr>
              <w:autoSpaceDE w:val="0"/>
              <w:autoSpaceDN w:val="0"/>
              <w:adjustRightInd w:val="0"/>
              <w:rPr>
                <w:rFonts w:ascii="sans-serif" w:hAnsi="sans-serif" w:cs="sans-serif"/>
                <w:color w:val="000000"/>
                <w:szCs w:val="24"/>
              </w:rPr>
            </w:pPr>
          </w:p>
        </w:tc>
      </w:tr>
      <w:tr w:rsidR="008C4202" w:rsidRPr="001D00A2" w14:paraId="0E20E464" w14:textId="77777777" w:rsidTr="00A12BC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E053164" w14:textId="77777777" w:rsidR="008C4202" w:rsidRPr="001D00A2" w:rsidRDefault="008C4202" w:rsidP="00A12BCF">
            <w:pPr>
              <w:autoSpaceDE w:val="0"/>
              <w:autoSpaceDN w:val="0"/>
              <w:adjustRightInd w:val="0"/>
              <w:rPr>
                <w:b/>
                <w:bCs/>
                <w:color w:val="000000"/>
                <w:sz w:val="20"/>
              </w:rPr>
            </w:pPr>
            <w:r w:rsidRPr="001D00A2">
              <w:rPr>
                <w:b/>
                <w:bCs/>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8448D5D" w14:textId="77777777" w:rsidR="008C4202" w:rsidRPr="001D00A2" w:rsidRDefault="008C4202" w:rsidP="00A12BCF">
            <w:pPr>
              <w:autoSpaceDE w:val="0"/>
              <w:autoSpaceDN w:val="0"/>
              <w:adjustRightInd w:val="0"/>
              <w:rPr>
                <w:color w:val="000000"/>
                <w:sz w:val="20"/>
              </w:rPr>
            </w:pPr>
            <w:r w:rsidRPr="001D00A2">
              <w:rPr>
                <w:color w:val="000000"/>
                <w:sz w:val="20"/>
              </w:rPr>
              <w:t>+:</w:t>
            </w:r>
          </w:p>
          <w:p w14:paraId="08EFFFEE" w14:textId="77777777" w:rsidR="008C4202" w:rsidRPr="001D00A2" w:rsidRDefault="008C4202" w:rsidP="00A12BCF">
            <w:pPr>
              <w:autoSpaceDE w:val="0"/>
              <w:autoSpaceDN w:val="0"/>
              <w:adjustRightInd w:val="0"/>
              <w:rPr>
                <w:color w:val="000000"/>
                <w:sz w:val="20"/>
              </w:rPr>
            </w:pPr>
            <w:r w:rsidRPr="001D00A2">
              <w:rPr>
                <w:color w:val="000000"/>
                <w:sz w:val="20"/>
              </w:rPr>
              <w:t>–:</w:t>
            </w:r>
          </w:p>
          <w:p w14:paraId="7A3A0A73" w14:textId="77777777" w:rsidR="008C4202" w:rsidRPr="001D00A2" w:rsidRDefault="008C4202" w:rsidP="00A12BCF">
            <w:pPr>
              <w:autoSpaceDE w:val="0"/>
              <w:autoSpaceDN w:val="0"/>
              <w:adjustRightInd w:val="0"/>
              <w:rPr>
                <w:color w:val="000000"/>
                <w:sz w:val="20"/>
              </w:rPr>
            </w:pPr>
            <w:r w:rsidRPr="001D00A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FAFD870" w14:textId="77777777" w:rsidR="008C4202" w:rsidRPr="001D00A2" w:rsidRDefault="008C4202" w:rsidP="00A12BCF">
            <w:pPr>
              <w:autoSpaceDE w:val="0"/>
              <w:autoSpaceDN w:val="0"/>
              <w:adjustRightInd w:val="0"/>
              <w:rPr>
                <w:color w:val="000000"/>
                <w:sz w:val="20"/>
              </w:rPr>
            </w:pPr>
            <w:r w:rsidRPr="001D00A2">
              <w:rPr>
                <w:color w:val="000000"/>
                <w:sz w:val="20"/>
              </w:rPr>
              <w:t>43</w:t>
            </w:r>
          </w:p>
          <w:p w14:paraId="380F0180" w14:textId="77777777" w:rsidR="008C4202" w:rsidRPr="001D00A2" w:rsidRDefault="008C4202" w:rsidP="00A12BCF">
            <w:pPr>
              <w:autoSpaceDE w:val="0"/>
              <w:autoSpaceDN w:val="0"/>
              <w:adjustRightInd w:val="0"/>
              <w:rPr>
                <w:color w:val="000000"/>
                <w:sz w:val="20"/>
              </w:rPr>
            </w:pPr>
            <w:r w:rsidRPr="001D00A2">
              <w:rPr>
                <w:color w:val="000000"/>
                <w:sz w:val="20"/>
              </w:rPr>
              <w:t>2</w:t>
            </w:r>
          </w:p>
          <w:p w14:paraId="32B969E9" w14:textId="77777777" w:rsidR="008C4202" w:rsidRPr="001D00A2" w:rsidRDefault="008C4202" w:rsidP="00A12BCF">
            <w:pPr>
              <w:autoSpaceDE w:val="0"/>
              <w:autoSpaceDN w:val="0"/>
              <w:adjustRightInd w:val="0"/>
              <w:rPr>
                <w:color w:val="000000"/>
                <w:sz w:val="20"/>
              </w:rPr>
            </w:pPr>
            <w:r w:rsidRPr="001D00A2">
              <w:rPr>
                <w:color w:val="000000"/>
                <w:sz w:val="20"/>
              </w:rPr>
              <w:t>1</w:t>
            </w:r>
          </w:p>
        </w:tc>
      </w:tr>
      <w:tr w:rsidR="008C4202" w:rsidRPr="001D00A2" w14:paraId="34295D3C" w14:textId="77777777" w:rsidTr="00A12BC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EE69484" w14:textId="77777777" w:rsidR="008C4202" w:rsidRPr="001D00A2" w:rsidRDefault="008C4202" w:rsidP="00A12BCF">
            <w:pPr>
              <w:autoSpaceDE w:val="0"/>
              <w:autoSpaceDN w:val="0"/>
              <w:adjustRightInd w:val="0"/>
              <w:rPr>
                <w:b/>
                <w:bCs/>
                <w:color w:val="000000"/>
                <w:sz w:val="20"/>
              </w:rPr>
            </w:pPr>
            <w:r w:rsidRPr="001D00A2">
              <w:rPr>
                <w:b/>
                <w:bCs/>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EDC4AAC" w14:textId="77777777" w:rsidR="008C4202" w:rsidRPr="001D00A2" w:rsidRDefault="008C4202" w:rsidP="00A12BCF">
            <w:pPr>
              <w:autoSpaceDE w:val="0"/>
              <w:autoSpaceDN w:val="0"/>
              <w:adjustRightInd w:val="0"/>
              <w:rPr>
                <w:color w:val="000000"/>
                <w:sz w:val="20"/>
              </w:rPr>
            </w:pPr>
            <w:r w:rsidRPr="001D00A2">
              <w:rPr>
                <w:color w:val="000000"/>
                <w:sz w:val="20"/>
              </w:rPr>
              <w:t>Asim Ademov, Martina Anderson, Heinz K. Becker, Monika Beňová, Michał Boni, Caterina Chinnici, Rachida Dati, Frank Engel, Laura Ferrara, Romeo Franz, Kinga Gál, Ana Gomes, Nathalie Griesbeck, Sylvie Guillaume, Monika Hohlmeier, Sophia in ‘t Veld, Cécile Kashetu Kyenge, Monica Macovei, Roberta Metsola, Claude Moraes, Ivari Padar, Judith Sargentini, Csaba Sógor, Helga Stevens, Traian Ungureanu, Bodil Valero, Marie-Christine Vergiat, Udo Voigt, Josef Weidenholzer, Cecilia Wikström, Kristina Winberg, Tomáš Zdechovský, Auke Zijlstra</w:t>
            </w:r>
          </w:p>
        </w:tc>
      </w:tr>
      <w:tr w:rsidR="008C4202" w:rsidRPr="001D00A2" w14:paraId="36A78ADA" w14:textId="77777777" w:rsidTr="00A12BC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1EA9BD7" w14:textId="77777777" w:rsidR="008C4202" w:rsidRPr="001D00A2" w:rsidRDefault="008C4202" w:rsidP="00A12BCF">
            <w:pPr>
              <w:autoSpaceDE w:val="0"/>
              <w:autoSpaceDN w:val="0"/>
              <w:adjustRightInd w:val="0"/>
              <w:rPr>
                <w:b/>
                <w:bCs/>
                <w:color w:val="000000"/>
                <w:sz w:val="20"/>
              </w:rPr>
            </w:pPr>
            <w:r w:rsidRPr="001D00A2">
              <w:rPr>
                <w:b/>
                <w:bCs/>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069672B" w14:textId="77777777" w:rsidR="008C4202" w:rsidRPr="001D00A2" w:rsidRDefault="008C4202" w:rsidP="00A12BCF">
            <w:pPr>
              <w:autoSpaceDE w:val="0"/>
              <w:autoSpaceDN w:val="0"/>
              <w:adjustRightInd w:val="0"/>
              <w:rPr>
                <w:color w:val="000000"/>
                <w:sz w:val="20"/>
              </w:rPr>
            </w:pPr>
            <w:r w:rsidRPr="001D00A2">
              <w:rPr>
                <w:color w:val="000000"/>
                <w:sz w:val="20"/>
              </w:rPr>
              <w:t>Dennis de Jong, Anna Hedh, Lívia Járóka, Marek Jurek, Jean Lambert, Jeroen Lenaers, Andrejs Mamikins, Angelika Mlinar, Maite Pagazaurtundúa Ruiz, Christine Revault d’Allonnes Bonnefoy</w:t>
            </w:r>
          </w:p>
        </w:tc>
      </w:tr>
      <w:tr w:rsidR="008C4202" w:rsidRPr="001D00A2" w14:paraId="59C3A5E5" w14:textId="77777777" w:rsidTr="00A12BC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486A9CE" w14:textId="77777777" w:rsidR="008C4202" w:rsidRPr="001D00A2" w:rsidRDefault="008C4202" w:rsidP="00A12BCF">
            <w:pPr>
              <w:autoSpaceDE w:val="0"/>
              <w:autoSpaceDN w:val="0"/>
              <w:adjustRightInd w:val="0"/>
              <w:rPr>
                <w:b/>
                <w:bCs/>
                <w:color w:val="000000"/>
                <w:sz w:val="20"/>
              </w:rPr>
            </w:pPr>
            <w:r w:rsidRPr="001D00A2">
              <w:rPr>
                <w:b/>
                <w:bCs/>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D2D3128" w14:textId="77777777" w:rsidR="008C4202" w:rsidRPr="001D00A2" w:rsidRDefault="008C4202" w:rsidP="00A12BCF">
            <w:pPr>
              <w:autoSpaceDE w:val="0"/>
              <w:autoSpaceDN w:val="0"/>
              <w:adjustRightInd w:val="0"/>
              <w:rPr>
                <w:color w:val="000000"/>
                <w:sz w:val="20"/>
              </w:rPr>
            </w:pPr>
            <w:r w:rsidRPr="001D00A2">
              <w:rPr>
                <w:color w:val="000000"/>
                <w:sz w:val="20"/>
              </w:rPr>
              <w:t>Norbert Erdős, Fernando Ruas, Adam Szejnfeld</w:t>
            </w:r>
          </w:p>
        </w:tc>
      </w:tr>
    </w:tbl>
    <w:p w14:paraId="41C01E47" w14:textId="77777777" w:rsidR="008C4202" w:rsidRPr="001D00A2" w:rsidRDefault="008C4202" w:rsidP="00D2145E">
      <w:pPr>
        <w:autoSpaceDE w:val="0"/>
        <w:autoSpaceDN w:val="0"/>
        <w:adjustRightInd w:val="0"/>
        <w:rPr>
          <w:rFonts w:ascii="Arial" w:hAnsi="Arial" w:cs="Arial"/>
          <w:szCs w:val="24"/>
        </w:rPr>
      </w:pPr>
    </w:p>
    <w:p w14:paraId="02566CB4" w14:textId="77777777" w:rsidR="008C4202" w:rsidRPr="001D00A2" w:rsidRDefault="008C4202" w:rsidP="00D2145E">
      <w:pPr>
        <w:pStyle w:val="PageHeadingNotTOC"/>
      </w:pPr>
      <w:r w:rsidRPr="001D00A2">
        <w:br w:type="page"/>
        <w:t>LOPULLINEN ÄÄNESTYS NIMENHUUTOÄÄNESTYKSENÄ</w:t>
      </w:r>
      <w:r w:rsidRPr="001D00A2">
        <w:br/>
        <w:t>LAUSUNNON ANTAVASSA VALIOKUNNASSA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C4202" w:rsidRPr="001D00A2" w14:paraId="254BBD4E" w14:textId="77777777" w:rsidTr="00A12BCF">
        <w:trPr>
          <w:cantSplit/>
        </w:trPr>
        <w:tc>
          <w:tcPr>
            <w:tcW w:w="1701" w:type="dxa"/>
            <w:shd w:val="pct10" w:color="000000" w:fill="FFFFFF"/>
            <w:vAlign w:val="center"/>
          </w:tcPr>
          <w:p w14:paraId="4894DFE0" w14:textId="77777777" w:rsidR="008C4202" w:rsidRPr="001D00A2" w:rsidRDefault="008C4202" w:rsidP="00A12BCF">
            <w:pPr>
              <w:spacing w:before="120" w:after="120"/>
              <w:jc w:val="center"/>
              <w:rPr>
                <w:b/>
                <w:sz w:val="20"/>
              </w:rPr>
            </w:pPr>
            <w:r w:rsidRPr="001D00A2">
              <w:rPr>
                <w:b/>
                <w:sz w:val="20"/>
              </w:rPr>
              <w:t>43</w:t>
            </w:r>
          </w:p>
        </w:tc>
        <w:tc>
          <w:tcPr>
            <w:tcW w:w="7371" w:type="dxa"/>
            <w:shd w:val="pct10" w:color="000000" w:fill="FFFFFF"/>
          </w:tcPr>
          <w:p w14:paraId="125D6DD8" w14:textId="77777777" w:rsidR="008C4202" w:rsidRPr="001D00A2" w:rsidRDefault="008C4202" w:rsidP="00A12BCF">
            <w:pPr>
              <w:spacing w:before="120" w:after="120"/>
              <w:jc w:val="center"/>
              <w:rPr>
                <w:rFonts w:ascii="Arial" w:hAnsi="Arial" w:cs="Arial"/>
                <w:b/>
                <w:sz w:val="28"/>
                <w:szCs w:val="28"/>
              </w:rPr>
            </w:pPr>
            <w:r w:rsidRPr="001D00A2">
              <w:rPr>
                <w:rFonts w:ascii="Arial" w:hAnsi="Arial"/>
                <w:b/>
                <w:sz w:val="28"/>
                <w:szCs w:val="28"/>
              </w:rPr>
              <w:t>+</w:t>
            </w:r>
          </w:p>
        </w:tc>
      </w:tr>
      <w:tr w:rsidR="008C4202" w:rsidRPr="001D00A2" w14:paraId="13B36402" w14:textId="77777777" w:rsidTr="00A12BCF">
        <w:trPr>
          <w:cantSplit/>
        </w:trPr>
        <w:tc>
          <w:tcPr>
            <w:tcW w:w="1701" w:type="dxa"/>
            <w:shd w:val="clear" w:color="auto" w:fill="FFFFFF"/>
          </w:tcPr>
          <w:p w14:paraId="65AA17E6" w14:textId="77777777" w:rsidR="008C4202" w:rsidRPr="001D00A2" w:rsidRDefault="008C4202" w:rsidP="00A12BCF">
            <w:pPr>
              <w:spacing w:before="120" w:after="120"/>
              <w:rPr>
                <w:sz w:val="20"/>
              </w:rPr>
            </w:pPr>
            <w:r w:rsidRPr="001D00A2">
              <w:rPr>
                <w:sz w:val="20"/>
              </w:rPr>
              <w:t>ALDE</w:t>
            </w:r>
          </w:p>
        </w:tc>
        <w:tc>
          <w:tcPr>
            <w:tcW w:w="7371" w:type="dxa"/>
            <w:shd w:val="clear" w:color="auto" w:fill="FFFFFF"/>
          </w:tcPr>
          <w:p w14:paraId="4963C618" w14:textId="77777777" w:rsidR="008C4202" w:rsidRPr="001D00A2" w:rsidRDefault="008C4202" w:rsidP="00A12BCF">
            <w:pPr>
              <w:spacing w:before="120" w:after="120"/>
              <w:rPr>
                <w:sz w:val="20"/>
              </w:rPr>
            </w:pPr>
            <w:r w:rsidRPr="001D00A2">
              <w:rPr>
                <w:sz w:val="20"/>
              </w:rPr>
              <w:t>Nathalie Griesbeck, Sophia in 't Veld, Angelika Mlinar, Maite Pagazaurtundúa Ruiz, Cecilia Wikström</w:t>
            </w:r>
          </w:p>
        </w:tc>
      </w:tr>
      <w:tr w:rsidR="008C4202" w:rsidRPr="001D00A2" w14:paraId="3DB13FB9" w14:textId="77777777" w:rsidTr="00A12BCF">
        <w:trPr>
          <w:cantSplit/>
        </w:trPr>
        <w:tc>
          <w:tcPr>
            <w:tcW w:w="1701" w:type="dxa"/>
            <w:shd w:val="clear" w:color="auto" w:fill="FFFFFF"/>
          </w:tcPr>
          <w:p w14:paraId="641059AC" w14:textId="77777777" w:rsidR="008C4202" w:rsidRPr="001D00A2" w:rsidRDefault="008C4202" w:rsidP="00A12BCF">
            <w:pPr>
              <w:spacing w:before="120" w:after="120"/>
              <w:rPr>
                <w:sz w:val="20"/>
              </w:rPr>
            </w:pPr>
            <w:r w:rsidRPr="001D00A2">
              <w:rPr>
                <w:sz w:val="20"/>
              </w:rPr>
              <w:t>ECR</w:t>
            </w:r>
          </w:p>
        </w:tc>
        <w:tc>
          <w:tcPr>
            <w:tcW w:w="7371" w:type="dxa"/>
            <w:shd w:val="clear" w:color="auto" w:fill="FFFFFF"/>
          </w:tcPr>
          <w:p w14:paraId="624CF71F" w14:textId="77777777" w:rsidR="008C4202" w:rsidRPr="001D00A2" w:rsidRDefault="008C4202" w:rsidP="00A12BCF">
            <w:pPr>
              <w:spacing w:before="120" w:after="120"/>
              <w:rPr>
                <w:sz w:val="20"/>
              </w:rPr>
            </w:pPr>
            <w:r w:rsidRPr="001D00A2">
              <w:rPr>
                <w:sz w:val="20"/>
              </w:rPr>
              <w:t>Marek Jurek, Monica Macovei, Helga Stevens</w:t>
            </w:r>
          </w:p>
        </w:tc>
      </w:tr>
      <w:tr w:rsidR="008C4202" w:rsidRPr="001D00A2" w14:paraId="12D12D52" w14:textId="77777777" w:rsidTr="00A12BCF">
        <w:trPr>
          <w:cantSplit/>
        </w:trPr>
        <w:tc>
          <w:tcPr>
            <w:tcW w:w="1701" w:type="dxa"/>
            <w:shd w:val="clear" w:color="auto" w:fill="FFFFFF"/>
          </w:tcPr>
          <w:p w14:paraId="53E65F6B" w14:textId="77777777" w:rsidR="008C4202" w:rsidRPr="001D00A2" w:rsidRDefault="008C4202" w:rsidP="00A12BCF">
            <w:pPr>
              <w:spacing w:before="120" w:after="120"/>
              <w:rPr>
                <w:sz w:val="20"/>
              </w:rPr>
            </w:pPr>
            <w:r w:rsidRPr="001D00A2">
              <w:rPr>
                <w:sz w:val="20"/>
              </w:rPr>
              <w:t>EFDD</w:t>
            </w:r>
          </w:p>
        </w:tc>
        <w:tc>
          <w:tcPr>
            <w:tcW w:w="7371" w:type="dxa"/>
            <w:shd w:val="clear" w:color="auto" w:fill="FFFFFF"/>
          </w:tcPr>
          <w:p w14:paraId="47E76316" w14:textId="77777777" w:rsidR="008C4202" w:rsidRPr="001D00A2" w:rsidRDefault="008C4202" w:rsidP="00A12BCF">
            <w:pPr>
              <w:spacing w:before="120" w:after="120"/>
              <w:rPr>
                <w:sz w:val="20"/>
              </w:rPr>
            </w:pPr>
            <w:r w:rsidRPr="001D00A2">
              <w:rPr>
                <w:sz w:val="20"/>
              </w:rPr>
              <w:t>Laura Ferrara</w:t>
            </w:r>
          </w:p>
        </w:tc>
      </w:tr>
      <w:tr w:rsidR="008C4202" w:rsidRPr="001D00A2" w14:paraId="27ED2072" w14:textId="77777777" w:rsidTr="00A12BCF">
        <w:trPr>
          <w:cantSplit/>
        </w:trPr>
        <w:tc>
          <w:tcPr>
            <w:tcW w:w="1701" w:type="dxa"/>
            <w:shd w:val="clear" w:color="auto" w:fill="FFFFFF"/>
          </w:tcPr>
          <w:p w14:paraId="7DC44C98" w14:textId="77777777" w:rsidR="008C4202" w:rsidRPr="001D00A2" w:rsidRDefault="008C4202" w:rsidP="00A12BCF">
            <w:pPr>
              <w:spacing w:before="120" w:after="120"/>
              <w:rPr>
                <w:sz w:val="20"/>
              </w:rPr>
            </w:pPr>
            <w:r w:rsidRPr="001D00A2">
              <w:rPr>
                <w:sz w:val="20"/>
              </w:rPr>
              <w:t>GUE/NGL</w:t>
            </w:r>
          </w:p>
        </w:tc>
        <w:tc>
          <w:tcPr>
            <w:tcW w:w="7371" w:type="dxa"/>
            <w:shd w:val="clear" w:color="auto" w:fill="FFFFFF"/>
          </w:tcPr>
          <w:p w14:paraId="6EBB710E" w14:textId="77777777" w:rsidR="008C4202" w:rsidRPr="001D00A2" w:rsidRDefault="008C4202" w:rsidP="00A12BCF">
            <w:pPr>
              <w:spacing w:before="120" w:after="120"/>
              <w:rPr>
                <w:sz w:val="20"/>
              </w:rPr>
            </w:pPr>
            <w:r w:rsidRPr="001D00A2">
              <w:rPr>
                <w:sz w:val="20"/>
              </w:rPr>
              <w:t>Martina Anderson, Dennis de Jong, Marie-Christine Vergiat</w:t>
            </w:r>
          </w:p>
        </w:tc>
      </w:tr>
      <w:tr w:rsidR="008C4202" w:rsidRPr="001D00A2" w14:paraId="57BCC51F" w14:textId="77777777" w:rsidTr="00A12BCF">
        <w:trPr>
          <w:cantSplit/>
        </w:trPr>
        <w:tc>
          <w:tcPr>
            <w:tcW w:w="1701" w:type="dxa"/>
            <w:shd w:val="clear" w:color="auto" w:fill="FFFFFF"/>
          </w:tcPr>
          <w:p w14:paraId="4F0280B7" w14:textId="77777777" w:rsidR="008C4202" w:rsidRPr="001D00A2" w:rsidRDefault="008C4202" w:rsidP="00A12BCF">
            <w:pPr>
              <w:spacing w:before="120" w:after="120"/>
              <w:rPr>
                <w:sz w:val="20"/>
              </w:rPr>
            </w:pPr>
            <w:r w:rsidRPr="001D00A2">
              <w:rPr>
                <w:sz w:val="20"/>
              </w:rPr>
              <w:t>PPE</w:t>
            </w:r>
          </w:p>
        </w:tc>
        <w:tc>
          <w:tcPr>
            <w:tcW w:w="7371" w:type="dxa"/>
            <w:shd w:val="clear" w:color="auto" w:fill="FFFFFF"/>
          </w:tcPr>
          <w:p w14:paraId="2E10DB60" w14:textId="77777777" w:rsidR="008C4202" w:rsidRPr="001D00A2" w:rsidRDefault="008C4202" w:rsidP="00A12BCF">
            <w:pPr>
              <w:spacing w:before="120" w:after="120"/>
              <w:rPr>
                <w:sz w:val="20"/>
              </w:rPr>
            </w:pPr>
            <w:r w:rsidRPr="001D00A2">
              <w:rPr>
                <w:sz w:val="20"/>
              </w:rPr>
              <w:t>Asim Ademov, Heinz K. Becker, Michał Boni, Rachida Dati, Frank Engel, Norbert Erdős, Kinga Gál, Monika Hohlmeier, Lívia Járóka, Jeroen Lenaers, Roberta Metsola, Fernando Ruas, Csaba Sógor, Adam Szejnfeld, Traian Ungureanu, Tomáš Zdechovský</w:t>
            </w:r>
          </w:p>
        </w:tc>
      </w:tr>
      <w:tr w:rsidR="008C4202" w:rsidRPr="001D00A2" w14:paraId="659D9C67" w14:textId="77777777" w:rsidTr="00A12BCF">
        <w:trPr>
          <w:cantSplit/>
        </w:trPr>
        <w:tc>
          <w:tcPr>
            <w:tcW w:w="1701" w:type="dxa"/>
            <w:shd w:val="clear" w:color="auto" w:fill="FFFFFF"/>
          </w:tcPr>
          <w:p w14:paraId="7FE30888" w14:textId="77777777" w:rsidR="008C4202" w:rsidRPr="001D00A2" w:rsidRDefault="008C4202" w:rsidP="00A12BCF">
            <w:pPr>
              <w:spacing w:before="120" w:after="120"/>
              <w:rPr>
                <w:sz w:val="20"/>
              </w:rPr>
            </w:pPr>
            <w:r w:rsidRPr="001D00A2">
              <w:rPr>
                <w:sz w:val="20"/>
              </w:rPr>
              <w:t>S&amp;D</w:t>
            </w:r>
          </w:p>
        </w:tc>
        <w:tc>
          <w:tcPr>
            <w:tcW w:w="7371" w:type="dxa"/>
            <w:shd w:val="clear" w:color="auto" w:fill="FFFFFF"/>
          </w:tcPr>
          <w:p w14:paraId="43CB342E" w14:textId="77777777" w:rsidR="008C4202" w:rsidRPr="001D00A2" w:rsidRDefault="008C4202" w:rsidP="00A12BCF">
            <w:pPr>
              <w:spacing w:before="120" w:after="120"/>
              <w:rPr>
                <w:sz w:val="20"/>
              </w:rPr>
            </w:pPr>
            <w:r w:rsidRPr="001D00A2">
              <w:rPr>
                <w:sz w:val="20"/>
              </w:rPr>
              <w:t>Monika Beňová, Caterina Chinnici, Ana Gomes, Sylvie Guillaume, Anna Hedh, Cécile Kashetu Kyenge, Andrejs Mamikins, Claude Moraes, Ivari Padar, Christine Revault d'Allonnes Bonnefoy, Josef Weidenholzer</w:t>
            </w:r>
          </w:p>
        </w:tc>
      </w:tr>
      <w:tr w:rsidR="008C4202" w:rsidRPr="001D00A2" w14:paraId="0104DFBB" w14:textId="77777777" w:rsidTr="00A12BCF">
        <w:trPr>
          <w:cantSplit/>
        </w:trPr>
        <w:tc>
          <w:tcPr>
            <w:tcW w:w="1701" w:type="dxa"/>
            <w:shd w:val="clear" w:color="auto" w:fill="FFFFFF"/>
          </w:tcPr>
          <w:p w14:paraId="6A86177F" w14:textId="77777777" w:rsidR="008C4202" w:rsidRPr="001D00A2" w:rsidRDefault="008C4202" w:rsidP="00A12BCF">
            <w:pPr>
              <w:spacing w:before="120" w:after="120"/>
              <w:rPr>
                <w:sz w:val="20"/>
              </w:rPr>
            </w:pPr>
            <w:r w:rsidRPr="001D00A2">
              <w:rPr>
                <w:sz w:val="20"/>
              </w:rPr>
              <w:t>VERTS/ALE</w:t>
            </w:r>
          </w:p>
        </w:tc>
        <w:tc>
          <w:tcPr>
            <w:tcW w:w="7371" w:type="dxa"/>
            <w:shd w:val="clear" w:color="auto" w:fill="FFFFFF"/>
          </w:tcPr>
          <w:p w14:paraId="35405B8C" w14:textId="77777777" w:rsidR="008C4202" w:rsidRPr="001D00A2" w:rsidRDefault="008C4202" w:rsidP="00A12BCF">
            <w:pPr>
              <w:spacing w:before="120" w:after="120"/>
              <w:rPr>
                <w:sz w:val="20"/>
              </w:rPr>
            </w:pPr>
            <w:r w:rsidRPr="001D00A2">
              <w:rPr>
                <w:sz w:val="20"/>
              </w:rPr>
              <w:t>Romeo Franz, Jean Lambert, Judith Sargentini, Bodil Valero</w:t>
            </w:r>
          </w:p>
        </w:tc>
      </w:tr>
    </w:tbl>
    <w:p w14:paraId="3307C28E" w14:textId="77777777" w:rsidR="008C4202" w:rsidRPr="001D00A2" w:rsidRDefault="008C4202" w:rsidP="00D2145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C4202" w:rsidRPr="001D00A2" w14:paraId="273BDE77" w14:textId="77777777" w:rsidTr="00A12BCF">
        <w:trPr>
          <w:cantSplit/>
        </w:trPr>
        <w:tc>
          <w:tcPr>
            <w:tcW w:w="1701" w:type="dxa"/>
            <w:shd w:val="pct10" w:color="000000" w:fill="FFFFFF"/>
            <w:vAlign w:val="center"/>
          </w:tcPr>
          <w:p w14:paraId="4BBF8F36" w14:textId="77777777" w:rsidR="008C4202" w:rsidRPr="001D00A2" w:rsidRDefault="008C4202" w:rsidP="00A12BCF">
            <w:pPr>
              <w:spacing w:before="120" w:after="120"/>
              <w:jc w:val="center"/>
              <w:rPr>
                <w:b/>
                <w:sz w:val="16"/>
              </w:rPr>
            </w:pPr>
            <w:r w:rsidRPr="001D00A2">
              <w:rPr>
                <w:b/>
                <w:sz w:val="20"/>
              </w:rPr>
              <w:t>2</w:t>
            </w:r>
          </w:p>
        </w:tc>
        <w:tc>
          <w:tcPr>
            <w:tcW w:w="7371" w:type="dxa"/>
            <w:shd w:val="pct10" w:color="000000" w:fill="FFFFFF"/>
          </w:tcPr>
          <w:p w14:paraId="0EE5F6DB" w14:textId="77777777" w:rsidR="008C4202" w:rsidRPr="001D00A2" w:rsidRDefault="008C4202" w:rsidP="00A12BCF">
            <w:pPr>
              <w:spacing w:before="120" w:after="120"/>
              <w:jc w:val="center"/>
              <w:rPr>
                <w:sz w:val="28"/>
                <w:szCs w:val="28"/>
              </w:rPr>
            </w:pPr>
            <w:r w:rsidRPr="001D00A2">
              <w:rPr>
                <w:rFonts w:ascii="Arial" w:hAnsi="Arial"/>
                <w:b/>
                <w:sz w:val="28"/>
                <w:szCs w:val="28"/>
              </w:rPr>
              <w:t>-</w:t>
            </w:r>
          </w:p>
        </w:tc>
      </w:tr>
      <w:tr w:rsidR="008C4202" w:rsidRPr="001D00A2" w14:paraId="26F39669" w14:textId="77777777" w:rsidTr="00A12BCF">
        <w:trPr>
          <w:cantSplit/>
        </w:trPr>
        <w:tc>
          <w:tcPr>
            <w:tcW w:w="1701" w:type="dxa"/>
            <w:shd w:val="clear" w:color="auto" w:fill="FFFFFF"/>
          </w:tcPr>
          <w:p w14:paraId="3ED249D5" w14:textId="77777777" w:rsidR="008C4202" w:rsidRPr="001D00A2" w:rsidRDefault="008C4202" w:rsidP="00A12BCF">
            <w:pPr>
              <w:spacing w:before="120" w:after="120"/>
              <w:rPr>
                <w:sz w:val="20"/>
              </w:rPr>
            </w:pPr>
            <w:r w:rsidRPr="001D00A2">
              <w:rPr>
                <w:sz w:val="20"/>
              </w:rPr>
              <w:t>ENF</w:t>
            </w:r>
          </w:p>
        </w:tc>
        <w:tc>
          <w:tcPr>
            <w:tcW w:w="7371" w:type="dxa"/>
            <w:shd w:val="clear" w:color="auto" w:fill="FFFFFF"/>
          </w:tcPr>
          <w:p w14:paraId="2467389D" w14:textId="77777777" w:rsidR="008C4202" w:rsidRPr="001D00A2" w:rsidRDefault="008C4202" w:rsidP="00A12BCF">
            <w:pPr>
              <w:spacing w:before="120" w:after="120"/>
              <w:rPr>
                <w:sz w:val="20"/>
              </w:rPr>
            </w:pPr>
            <w:r w:rsidRPr="001D00A2">
              <w:rPr>
                <w:sz w:val="20"/>
              </w:rPr>
              <w:t>Auke Zijlstra</w:t>
            </w:r>
          </w:p>
        </w:tc>
      </w:tr>
      <w:tr w:rsidR="008C4202" w:rsidRPr="001D00A2" w14:paraId="74DEBAB3" w14:textId="77777777" w:rsidTr="00A12BCF">
        <w:trPr>
          <w:cantSplit/>
        </w:trPr>
        <w:tc>
          <w:tcPr>
            <w:tcW w:w="1701" w:type="dxa"/>
            <w:shd w:val="clear" w:color="auto" w:fill="FFFFFF"/>
          </w:tcPr>
          <w:p w14:paraId="69DDF689" w14:textId="77777777" w:rsidR="008C4202" w:rsidRPr="001D00A2" w:rsidRDefault="008C4202" w:rsidP="00A12BCF">
            <w:pPr>
              <w:spacing w:before="120" w:after="120"/>
              <w:rPr>
                <w:sz w:val="20"/>
              </w:rPr>
            </w:pPr>
            <w:r w:rsidRPr="001D00A2">
              <w:rPr>
                <w:sz w:val="20"/>
              </w:rPr>
              <w:t>NI</w:t>
            </w:r>
          </w:p>
        </w:tc>
        <w:tc>
          <w:tcPr>
            <w:tcW w:w="7371" w:type="dxa"/>
            <w:shd w:val="clear" w:color="auto" w:fill="FFFFFF"/>
          </w:tcPr>
          <w:p w14:paraId="0347CF0C" w14:textId="77777777" w:rsidR="008C4202" w:rsidRPr="001D00A2" w:rsidRDefault="008C4202" w:rsidP="00A12BCF">
            <w:pPr>
              <w:spacing w:before="120" w:after="120"/>
              <w:rPr>
                <w:sz w:val="20"/>
              </w:rPr>
            </w:pPr>
            <w:r w:rsidRPr="001D00A2">
              <w:rPr>
                <w:sz w:val="20"/>
              </w:rPr>
              <w:t>Udo Voigt</w:t>
            </w:r>
          </w:p>
        </w:tc>
      </w:tr>
    </w:tbl>
    <w:p w14:paraId="1FAD5FD7" w14:textId="77777777" w:rsidR="008C4202" w:rsidRPr="001D00A2" w:rsidRDefault="008C4202" w:rsidP="00D2145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C4202" w:rsidRPr="001D00A2" w14:paraId="7041BB96" w14:textId="77777777" w:rsidTr="00A12BCF">
        <w:trPr>
          <w:cantSplit/>
        </w:trPr>
        <w:tc>
          <w:tcPr>
            <w:tcW w:w="1701" w:type="dxa"/>
            <w:shd w:val="pct10" w:color="000000" w:fill="FFFFFF"/>
            <w:vAlign w:val="center"/>
          </w:tcPr>
          <w:p w14:paraId="59427A6B" w14:textId="77777777" w:rsidR="008C4202" w:rsidRPr="001D00A2" w:rsidRDefault="008C4202" w:rsidP="00A12BCF">
            <w:pPr>
              <w:spacing w:before="120" w:after="120"/>
              <w:jc w:val="center"/>
              <w:rPr>
                <w:b/>
                <w:sz w:val="16"/>
              </w:rPr>
            </w:pPr>
            <w:r w:rsidRPr="001D00A2">
              <w:rPr>
                <w:b/>
                <w:sz w:val="20"/>
              </w:rPr>
              <w:t>1</w:t>
            </w:r>
          </w:p>
        </w:tc>
        <w:tc>
          <w:tcPr>
            <w:tcW w:w="7371" w:type="dxa"/>
            <w:shd w:val="pct10" w:color="000000" w:fill="FFFFFF"/>
          </w:tcPr>
          <w:p w14:paraId="665F475E" w14:textId="77777777" w:rsidR="008C4202" w:rsidRPr="001D00A2" w:rsidRDefault="008C4202" w:rsidP="00A12BCF">
            <w:pPr>
              <w:spacing w:before="120" w:after="120"/>
              <w:jc w:val="center"/>
              <w:rPr>
                <w:sz w:val="28"/>
                <w:szCs w:val="28"/>
              </w:rPr>
            </w:pPr>
            <w:r w:rsidRPr="001D00A2">
              <w:rPr>
                <w:rFonts w:ascii="Arial" w:hAnsi="Arial"/>
                <w:b/>
                <w:sz w:val="28"/>
                <w:szCs w:val="28"/>
              </w:rPr>
              <w:t>0</w:t>
            </w:r>
          </w:p>
        </w:tc>
      </w:tr>
      <w:tr w:rsidR="008C4202" w:rsidRPr="001D00A2" w14:paraId="767ACBE7" w14:textId="77777777" w:rsidTr="00A12BCF">
        <w:trPr>
          <w:cantSplit/>
        </w:trPr>
        <w:tc>
          <w:tcPr>
            <w:tcW w:w="1701" w:type="dxa"/>
            <w:shd w:val="clear" w:color="auto" w:fill="FFFFFF"/>
          </w:tcPr>
          <w:p w14:paraId="24C64C8D" w14:textId="77777777" w:rsidR="008C4202" w:rsidRPr="001D00A2" w:rsidRDefault="008C4202" w:rsidP="00A12BCF">
            <w:pPr>
              <w:spacing w:before="120" w:after="120"/>
              <w:rPr>
                <w:sz w:val="20"/>
              </w:rPr>
            </w:pPr>
            <w:r w:rsidRPr="001D00A2">
              <w:rPr>
                <w:sz w:val="20"/>
              </w:rPr>
              <w:t>ECR</w:t>
            </w:r>
          </w:p>
        </w:tc>
        <w:tc>
          <w:tcPr>
            <w:tcW w:w="7371" w:type="dxa"/>
            <w:shd w:val="clear" w:color="auto" w:fill="FFFFFF"/>
          </w:tcPr>
          <w:p w14:paraId="667375CB" w14:textId="77777777" w:rsidR="008C4202" w:rsidRPr="001D00A2" w:rsidRDefault="008C4202" w:rsidP="00A12BCF">
            <w:pPr>
              <w:spacing w:before="120" w:after="120"/>
              <w:rPr>
                <w:sz w:val="20"/>
              </w:rPr>
            </w:pPr>
            <w:r w:rsidRPr="001D00A2">
              <w:rPr>
                <w:sz w:val="20"/>
              </w:rPr>
              <w:t>Kristina Winberg</w:t>
            </w:r>
          </w:p>
        </w:tc>
      </w:tr>
    </w:tbl>
    <w:p w14:paraId="5FED50FB" w14:textId="77777777" w:rsidR="008C4202" w:rsidRPr="001D00A2" w:rsidRDefault="008C4202" w:rsidP="00D2145E">
      <w:pPr>
        <w:pStyle w:val="Normal12"/>
      </w:pPr>
    </w:p>
    <w:p w14:paraId="2E4894F6" w14:textId="77777777" w:rsidR="008C4202" w:rsidRPr="001D00A2" w:rsidRDefault="008C4202" w:rsidP="00D2145E">
      <w:r w:rsidRPr="001D00A2">
        <w:t>Symbolien selitys:</w:t>
      </w:r>
    </w:p>
    <w:p w14:paraId="31876ACC" w14:textId="77777777" w:rsidR="008C4202" w:rsidRPr="001D00A2" w:rsidRDefault="008C4202" w:rsidP="00D2145E">
      <w:pPr>
        <w:pStyle w:val="NormalTabs"/>
      </w:pPr>
      <w:r w:rsidRPr="001D00A2">
        <w:t>+</w:t>
      </w:r>
      <w:r w:rsidRPr="001D00A2">
        <w:tab/>
        <w:t>:</w:t>
      </w:r>
      <w:r w:rsidRPr="001D00A2">
        <w:tab/>
        <w:t>puolesta</w:t>
      </w:r>
    </w:p>
    <w:p w14:paraId="3318EE40" w14:textId="77777777" w:rsidR="008C4202" w:rsidRPr="001D00A2" w:rsidRDefault="008C4202" w:rsidP="00D2145E">
      <w:pPr>
        <w:pStyle w:val="NormalTabs"/>
      </w:pPr>
      <w:r w:rsidRPr="001D00A2">
        <w:t>-</w:t>
      </w:r>
      <w:r w:rsidRPr="001D00A2">
        <w:tab/>
        <w:t>:</w:t>
      </w:r>
      <w:r w:rsidRPr="001D00A2">
        <w:tab/>
        <w:t>vastaan</w:t>
      </w:r>
    </w:p>
    <w:p w14:paraId="5E78D46E" w14:textId="39DBFBC0" w:rsidR="008C4202" w:rsidRPr="001D00A2" w:rsidRDefault="008C4202" w:rsidP="00D2145E">
      <w:pPr>
        <w:pStyle w:val="NormalTabs"/>
      </w:pPr>
      <w:r w:rsidRPr="001D00A2">
        <w:t>0</w:t>
      </w:r>
      <w:r w:rsidRPr="001D00A2">
        <w:tab/>
        <w:t>:</w:t>
      </w:r>
      <w:r w:rsidRPr="001D00A2">
        <w:tab/>
        <w:t>tyhj</w:t>
      </w:r>
      <w:r w:rsidR="003B31F9">
        <w:t>ää</w:t>
      </w:r>
    </w:p>
    <w:p w14:paraId="5C7A6F3A" w14:textId="77777777" w:rsidR="008C4202" w:rsidRPr="001D00A2" w:rsidRDefault="008C4202" w:rsidP="00D2145E"/>
    <w:p w14:paraId="6009FA28" w14:textId="77777777" w:rsidR="008C4202" w:rsidRPr="001D00A2" w:rsidRDefault="008C4202" w:rsidP="00D2145E"/>
    <w:p w14:paraId="79CEB48F" w14:textId="77777777" w:rsidR="008C4202" w:rsidRPr="001D00A2" w:rsidRDefault="008C4202" w:rsidP="00D2145E">
      <w:pPr>
        <w:pStyle w:val="RefProc"/>
      </w:pPr>
    </w:p>
    <w:p w14:paraId="6E7CA2D3" w14:textId="77777777" w:rsidR="001674F2" w:rsidRPr="001D00A2" w:rsidRDefault="001674F2">
      <w:pPr>
        <w:widowControl/>
      </w:pPr>
    </w:p>
    <w:p w14:paraId="746CBAB0" w14:textId="5867F17A" w:rsidR="001674F2" w:rsidRPr="001D00A2" w:rsidRDefault="001674F2" w:rsidP="00827AF8">
      <w:r w:rsidRPr="001D00A2">
        <w:br w:type="page"/>
      </w:r>
    </w:p>
    <w:p w14:paraId="536B1566" w14:textId="0295B8FD" w:rsidR="00827AF8" w:rsidRPr="001D00A2" w:rsidRDefault="00827AF8" w:rsidP="00827AF8">
      <w:pPr>
        <w:pStyle w:val="PageHeading"/>
      </w:pPr>
      <w:bookmarkStart w:id="15" w:name="ProcPageRR"/>
      <w:bookmarkStart w:id="16" w:name="_Toc3820354"/>
      <w:r w:rsidRPr="001D00A2">
        <w:t>TIEDOT HYVÄKSYMISESTÄ</w:t>
      </w:r>
      <w:r w:rsidRPr="001D00A2">
        <w:br/>
        <w:t>ASIASTA VASTAAVASSA VALIOKUNNASSA</w:t>
      </w:r>
      <w:bookmarkEnd w:id="16"/>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27AF8" w:rsidRPr="001D00A2" w14:paraId="46EC014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E20D068" w14:textId="77777777" w:rsidR="00827AF8" w:rsidRPr="001D00A2" w:rsidRDefault="00827AF8">
            <w:pPr>
              <w:autoSpaceDE w:val="0"/>
              <w:autoSpaceDN w:val="0"/>
              <w:adjustRightInd w:val="0"/>
              <w:rPr>
                <w:b/>
                <w:bCs/>
                <w:color w:val="000000"/>
                <w:sz w:val="20"/>
              </w:rPr>
            </w:pPr>
            <w:r w:rsidRPr="001D00A2">
              <w:rPr>
                <w:b/>
                <w:bCs/>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BE80444" w14:textId="77777777" w:rsidR="00827AF8" w:rsidRPr="001D00A2" w:rsidRDefault="00827AF8">
            <w:pPr>
              <w:autoSpaceDE w:val="0"/>
              <w:autoSpaceDN w:val="0"/>
              <w:adjustRightInd w:val="0"/>
              <w:rPr>
                <w:color w:val="000000"/>
                <w:sz w:val="20"/>
              </w:rPr>
            </w:pPr>
            <w:r w:rsidRPr="001D00A2">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EF8806A" w14:textId="77777777" w:rsidR="00827AF8" w:rsidRPr="001D00A2" w:rsidRDefault="00827AF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E6348EF" w14:textId="77777777" w:rsidR="00827AF8" w:rsidRPr="001D00A2" w:rsidRDefault="00827AF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F1DE5A" w14:textId="77777777" w:rsidR="00827AF8" w:rsidRPr="001D00A2" w:rsidRDefault="00827AF8">
            <w:pPr>
              <w:autoSpaceDE w:val="0"/>
              <w:autoSpaceDN w:val="0"/>
              <w:adjustRightInd w:val="0"/>
              <w:rPr>
                <w:rFonts w:ascii="sans-serif" w:hAnsi="sans-serif" w:cs="sans-serif"/>
                <w:color w:val="000000"/>
                <w:szCs w:val="24"/>
              </w:rPr>
            </w:pPr>
          </w:p>
        </w:tc>
      </w:tr>
      <w:tr w:rsidR="00827AF8" w:rsidRPr="001D00A2" w14:paraId="10F2E37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6F8FD4B" w14:textId="77777777" w:rsidR="00827AF8" w:rsidRPr="001D00A2" w:rsidRDefault="00827AF8">
            <w:pPr>
              <w:autoSpaceDE w:val="0"/>
              <w:autoSpaceDN w:val="0"/>
              <w:adjustRightInd w:val="0"/>
              <w:rPr>
                <w:b/>
                <w:bCs/>
                <w:color w:val="000000"/>
                <w:sz w:val="20"/>
              </w:rPr>
            </w:pPr>
            <w:r w:rsidRPr="001D00A2">
              <w:rPr>
                <w:b/>
                <w:bCs/>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91A088D" w14:textId="77777777" w:rsidR="00827AF8" w:rsidRPr="001D00A2" w:rsidRDefault="00827AF8">
            <w:pPr>
              <w:autoSpaceDE w:val="0"/>
              <w:autoSpaceDN w:val="0"/>
              <w:adjustRightInd w:val="0"/>
              <w:rPr>
                <w:color w:val="000000"/>
                <w:sz w:val="20"/>
              </w:rPr>
            </w:pPr>
            <w:r w:rsidRPr="001D00A2">
              <w:rPr>
                <w:color w:val="000000"/>
                <w:sz w:val="20"/>
              </w:rPr>
              <w:t>+:</w:t>
            </w:r>
          </w:p>
          <w:p w14:paraId="76C6EF0C" w14:textId="77777777" w:rsidR="00827AF8" w:rsidRPr="001D00A2" w:rsidRDefault="00827AF8">
            <w:pPr>
              <w:autoSpaceDE w:val="0"/>
              <w:autoSpaceDN w:val="0"/>
              <w:adjustRightInd w:val="0"/>
              <w:rPr>
                <w:color w:val="000000"/>
                <w:sz w:val="20"/>
              </w:rPr>
            </w:pPr>
            <w:r w:rsidRPr="001D00A2">
              <w:rPr>
                <w:color w:val="000000"/>
                <w:sz w:val="20"/>
              </w:rPr>
              <w:t>–:</w:t>
            </w:r>
          </w:p>
          <w:p w14:paraId="48CD99DE" w14:textId="77777777" w:rsidR="00827AF8" w:rsidRPr="001D00A2" w:rsidRDefault="00827AF8">
            <w:pPr>
              <w:autoSpaceDE w:val="0"/>
              <w:autoSpaceDN w:val="0"/>
              <w:adjustRightInd w:val="0"/>
              <w:rPr>
                <w:color w:val="000000"/>
                <w:sz w:val="20"/>
              </w:rPr>
            </w:pPr>
            <w:r w:rsidRPr="001D00A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294B2E4" w14:textId="77777777" w:rsidR="00827AF8" w:rsidRPr="001D00A2" w:rsidRDefault="00827AF8">
            <w:pPr>
              <w:autoSpaceDE w:val="0"/>
              <w:autoSpaceDN w:val="0"/>
              <w:adjustRightInd w:val="0"/>
              <w:rPr>
                <w:color w:val="000000"/>
                <w:sz w:val="20"/>
              </w:rPr>
            </w:pPr>
            <w:r w:rsidRPr="001D00A2">
              <w:rPr>
                <w:color w:val="000000"/>
                <w:sz w:val="20"/>
              </w:rPr>
              <w:t>20</w:t>
            </w:r>
          </w:p>
          <w:p w14:paraId="6D9F951D" w14:textId="77777777" w:rsidR="00827AF8" w:rsidRPr="001D00A2" w:rsidRDefault="00827AF8">
            <w:pPr>
              <w:autoSpaceDE w:val="0"/>
              <w:autoSpaceDN w:val="0"/>
              <w:adjustRightInd w:val="0"/>
              <w:rPr>
                <w:color w:val="000000"/>
                <w:sz w:val="20"/>
              </w:rPr>
            </w:pPr>
            <w:r w:rsidRPr="001D00A2">
              <w:rPr>
                <w:color w:val="000000"/>
                <w:sz w:val="20"/>
              </w:rPr>
              <w:t>1</w:t>
            </w:r>
          </w:p>
          <w:p w14:paraId="1E2873E5" w14:textId="77777777" w:rsidR="00827AF8" w:rsidRPr="001D00A2" w:rsidRDefault="00827AF8">
            <w:pPr>
              <w:autoSpaceDE w:val="0"/>
              <w:autoSpaceDN w:val="0"/>
              <w:adjustRightInd w:val="0"/>
              <w:rPr>
                <w:color w:val="000000"/>
                <w:sz w:val="20"/>
              </w:rPr>
            </w:pPr>
            <w:r w:rsidRPr="001D00A2">
              <w:rPr>
                <w:color w:val="000000"/>
                <w:sz w:val="20"/>
              </w:rPr>
              <w:t>0</w:t>
            </w:r>
          </w:p>
        </w:tc>
      </w:tr>
      <w:tr w:rsidR="00827AF8" w:rsidRPr="001D00A2" w14:paraId="54C56E6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10E47AB" w14:textId="77777777" w:rsidR="00827AF8" w:rsidRPr="001D00A2" w:rsidRDefault="00827AF8">
            <w:pPr>
              <w:autoSpaceDE w:val="0"/>
              <w:autoSpaceDN w:val="0"/>
              <w:adjustRightInd w:val="0"/>
              <w:rPr>
                <w:b/>
                <w:bCs/>
                <w:color w:val="000000"/>
                <w:sz w:val="20"/>
              </w:rPr>
            </w:pPr>
            <w:r w:rsidRPr="001D00A2">
              <w:rPr>
                <w:b/>
                <w:bCs/>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E03E5E" w14:textId="77777777" w:rsidR="00827AF8" w:rsidRPr="001D00A2" w:rsidRDefault="00827AF8">
            <w:pPr>
              <w:autoSpaceDE w:val="0"/>
              <w:autoSpaceDN w:val="0"/>
              <w:adjustRightInd w:val="0"/>
              <w:rPr>
                <w:color w:val="000000"/>
                <w:sz w:val="20"/>
              </w:rPr>
            </w:pPr>
            <w:r w:rsidRPr="001D00A2">
              <w:rPr>
                <w:color w:val="000000"/>
                <w:sz w:val="20"/>
              </w:rPr>
              <w:t>Nedzhmi Ali, Inés Ayala Sender, Zigmantas Balčytis, Dennis de Jong, Tamás Deutsch, Martina Dlabajová, Ingeborg Gräßle, Jean-François Jalkh, Wolf Klinz, Monica Macovei, Georgi Pirinski, José Ignacio Salafranca Sánchez-Neyra, Petri Sarvamaa, Claudia Schmidt, Bart Staes, Marco Valli, Derek Vaughan, Tomáš Zdechovský, Joachim Zeller</w:t>
            </w:r>
          </w:p>
        </w:tc>
      </w:tr>
      <w:tr w:rsidR="00827AF8" w:rsidRPr="001D00A2" w14:paraId="10A18D1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529E9A5" w14:textId="77777777" w:rsidR="00827AF8" w:rsidRPr="001D00A2" w:rsidRDefault="00827AF8">
            <w:pPr>
              <w:autoSpaceDE w:val="0"/>
              <w:autoSpaceDN w:val="0"/>
              <w:adjustRightInd w:val="0"/>
              <w:rPr>
                <w:b/>
                <w:bCs/>
                <w:color w:val="000000"/>
                <w:sz w:val="20"/>
              </w:rPr>
            </w:pPr>
            <w:r w:rsidRPr="001D00A2">
              <w:rPr>
                <w:b/>
                <w:bCs/>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3F53290" w14:textId="77777777" w:rsidR="00827AF8" w:rsidRPr="001D00A2" w:rsidRDefault="00827AF8">
            <w:pPr>
              <w:autoSpaceDE w:val="0"/>
              <w:autoSpaceDN w:val="0"/>
              <w:adjustRightInd w:val="0"/>
              <w:rPr>
                <w:color w:val="000000"/>
                <w:sz w:val="20"/>
              </w:rPr>
            </w:pPr>
            <w:r w:rsidRPr="001D00A2">
              <w:rPr>
                <w:color w:val="000000"/>
                <w:sz w:val="20"/>
              </w:rPr>
              <w:t>Karin Kadenbach</w:t>
            </w:r>
          </w:p>
        </w:tc>
      </w:tr>
      <w:tr w:rsidR="00827AF8" w:rsidRPr="001D00A2" w14:paraId="3C3A4E5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0AD74FB" w14:textId="77777777" w:rsidR="00827AF8" w:rsidRPr="001D00A2" w:rsidRDefault="00827AF8">
            <w:pPr>
              <w:autoSpaceDE w:val="0"/>
              <w:autoSpaceDN w:val="0"/>
              <w:adjustRightInd w:val="0"/>
              <w:rPr>
                <w:b/>
                <w:bCs/>
                <w:color w:val="000000"/>
                <w:sz w:val="20"/>
              </w:rPr>
            </w:pPr>
            <w:r w:rsidRPr="001D00A2">
              <w:rPr>
                <w:b/>
                <w:bCs/>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96D96AD" w14:textId="77777777" w:rsidR="00827AF8" w:rsidRPr="001D00A2" w:rsidRDefault="00827AF8">
            <w:pPr>
              <w:autoSpaceDE w:val="0"/>
              <w:autoSpaceDN w:val="0"/>
              <w:adjustRightInd w:val="0"/>
              <w:rPr>
                <w:color w:val="000000"/>
                <w:sz w:val="20"/>
              </w:rPr>
            </w:pPr>
            <w:r w:rsidRPr="001D00A2">
              <w:rPr>
                <w:color w:val="000000"/>
                <w:sz w:val="20"/>
              </w:rPr>
              <w:t>Petra Kammerevert</w:t>
            </w:r>
          </w:p>
        </w:tc>
      </w:tr>
    </w:tbl>
    <w:p w14:paraId="23DCB4EE" w14:textId="77777777" w:rsidR="00827AF8" w:rsidRPr="001D00A2" w:rsidRDefault="00827AF8">
      <w:pPr>
        <w:autoSpaceDE w:val="0"/>
        <w:autoSpaceDN w:val="0"/>
        <w:adjustRightInd w:val="0"/>
        <w:rPr>
          <w:rFonts w:ascii="Arial" w:hAnsi="Arial" w:cs="Arial"/>
          <w:szCs w:val="24"/>
        </w:rPr>
      </w:pPr>
    </w:p>
    <w:bookmarkEnd w:id="15"/>
    <w:p w14:paraId="26A7ABB7" w14:textId="0F7E7D33" w:rsidR="008C4202" w:rsidRPr="001D00A2" w:rsidRDefault="008C4202" w:rsidP="00827AF8">
      <w:pPr>
        <w:sectPr w:rsidR="008C4202" w:rsidRPr="001D00A2" w:rsidSect="008C4202">
          <w:footnotePr>
            <w:numRestart w:val="eachPage"/>
          </w:footnotePr>
          <w:endnotePr>
            <w:numFmt w:val="decimal"/>
          </w:endnotePr>
          <w:pgSz w:w="11906" w:h="16838" w:code="9"/>
          <w:pgMar w:top="1134" w:right="1418" w:bottom="1418" w:left="1418" w:header="567" w:footer="567" w:gutter="0"/>
          <w:cols w:space="720"/>
          <w:noEndnote/>
          <w:docGrid w:linePitch="326"/>
        </w:sectPr>
      </w:pPr>
    </w:p>
    <w:p w14:paraId="6C57C296" w14:textId="7EA8E987" w:rsidR="008C4202" w:rsidRPr="001D00A2" w:rsidRDefault="008C4202" w:rsidP="00827AF8">
      <w:pPr>
        <w:pStyle w:val="PageHeading"/>
      </w:pPr>
      <w:bookmarkStart w:id="17" w:name="RollCallPageRR"/>
      <w:bookmarkStart w:id="18" w:name="_Toc3820355"/>
      <w:r w:rsidRPr="001D00A2">
        <w:t>LOPULLINEN ÄÄNESTYS NIMENHUUTOÄÄNESTYKSENÄ</w:t>
      </w:r>
      <w:r w:rsidRPr="001D00A2">
        <w:br/>
        <w:t>ASIASTA VASTAAVASSA VALIOKUNNASSA</w:t>
      </w:r>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C4202" w:rsidRPr="001D00A2" w14:paraId="31374CAD" w14:textId="77777777" w:rsidTr="008920AC">
        <w:trPr>
          <w:cantSplit/>
        </w:trPr>
        <w:tc>
          <w:tcPr>
            <w:tcW w:w="1701" w:type="dxa"/>
            <w:shd w:val="pct10" w:color="000000" w:fill="FFFFFF"/>
            <w:vAlign w:val="center"/>
          </w:tcPr>
          <w:p w14:paraId="7DD0F8BD" w14:textId="6878E57D" w:rsidR="008C4202" w:rsidRPr="001D00A2" w:rsidRDefault="008C4202" w:rsidP="008920AC">
            <w:pPr>
              <w:spacing w:before="120" w:after="120"/>
              <w:jc w:val="center"/>
              <w:rPr>
                <w:b/>
                <w:sz w:val="20"/>
              </w:rPr>
            </w:pPr>
            <w:r w:rsidRPr="001D00A2">
              <w:rPr>
                <w:b/>
                <w:sz w:val="20"/>
              </w:rPr>
              <w:t>20</w:t>
            </w:r>
          </w:p>
        </w:tc>
        <w:tc>
          <w:tcPr>
            <w:tcW w:w="7371" w:type="dxa"/>
            <w:shd w:val="pct10" w:color="000000" w:fill="FFFFFF"/>
          </w:tcPr>
          <w:p w14:paraId="54E35B6D" w14:textId="77777777" w:rsidR="008C4202" w:rsidRPr="001D00A2" w:rsidRDefault="008C4202" w:rsidP="008920AC">
            <w:pPr>
              <w:spacing w:before="120" w:after="120"/>
              <w:jc w:val="center"/>
              <w:rPr>
                <w:rFonts w:ascii="Arial" w:hAnsi="Arial" w:cs="Arial"/>
                <w:b/>
                <w:sz w:val="28"/>
                <w:szCs w:val="28"/>
              </w:rPr>
            </w:pPr>
            <w:r w:rsidRPr="001D00A2">
              <w:rPr>
                <w:rFonts w:ascii="Arial" w:hAnsi="Arial"/>
                <w:b/>
                <w:sz w:val="28"/>
                <w:szCs w:val="28"/>
              </w:rPr>
              <w:t>+</w:t>
            </w:r>
          </w:p>
        </w:tc>
      </w:tr>
      <w:tr w:rsidR="008C4202" w:rsidRPr="001D00A2" w14:paraId="1DFC7A51" w14:textId="77777777" w:rsidTr="008920AC">
        <w:trPr>
          <w:cantSplit/>
        </w:trPr>
        <w:tc>
          <w:tcPr>
            <w:tcW w:w="1701" w:type="dxa"/>
            <w:shd w:val="clear" w:color="auto" w:fill="FFFFFF"/>
          </w:tcPr>
          <w:p w14:paraId="318547CA" w14:textId="6BE8D7B0" w:rsidR="008C4202" w:rsidRPr="001D00A2" w:rsidRDefault="008C4202" w:rsidP="008920AC">
            <w:pPr>
              <w:spacing w:before="120" w:after="120"/>
              <w:rPr>
                <w:sz w:val="20"/>
              </w:rPr>
            </w:pPr>
            <w:r w:rsidRPr="001D00A2">
              <w:rPr>
                <w:sz w:val="20"/>
              </w:rPr>
              <w:t>ALDE</w:t>
            </w:r>
          </w:p>
        </w:tc>
        <w:tc>
          <w:tcPr>
            <w:tcW w:w="7371" w:type="dxa"/>
            <w:shd w:val="clear" w:color="auto" w:fill="FFFFFF"/>
          </w:tcPr>
          <w:p w14:paraId="611FDA09" w14:textId="195FE844" w:rsidR="008C4202" w:rsidRPr="001D00A2" w:rsidRDefault="008C4202" w:rsidP="008920AC">
            <w:pPr>
              <w:spacing w:before="120" w:after="120"/>
              <w:rPr>
                <w:sz w:val="20"/>
              </w:rPr>
            </w:pPr>
            <w:r w:rsidRPr="001D00A2">
              <w:rPr>
                <w:sz w:val="20"/>
              </w:rPr>
              <w:t>Nedzhmi Ali, Martina Dlabajová, Wolf Klinz</w:t>
            </w:r>
          </w:p>
        </w:tc>
      </w:tr>
      <w:tr w:rsidR="008C4202" w:rsidRPr="001D00A2" w14:paraId="457CC358" w14:textId="77777777" w:rsidTr="008920AC">
        <w:trPr>
          <w:cantSplit/>
        </w:trPr>
        <w:tc>
          <w:tcPr>
            <w:tcW w:w="1701" w:type="dxa"/>
            <w:shd w:val="clear" w:color="auto" w:fill="FFFFFF"/>
          </w:tcPr>
          <w:p w14:paraId="03935262" w14:textId="3C13052B" w:rsidR="008C4202" w:rsidRPr="001D00A2" w:rsidRDefault="008C4202" w:rsidP="008920AC">
            <w:pPr>
              <w:spacing w:before="120" w:after="120"/>
              <w:rPr>
                <w:sz w:val="20"/>
              </w:rPr>
            </w:pPr>
            <w:r w:rsidRPr="001D00A2">
              <w:rPr>
                <w:sz w:val="20"/>
              </w:rPr>
              <w:t>ECR</w:t>
            </w:r>
          </w:p>
        </w:tc>
        <w:tc>
          <w:tcPr>
            <w:tcW w:w="7371" w:type="dxa"/>
            <w:shd w:val="clear" w:color="auto" w:fill="FFFFFF"/>
          </w:tcPr>
          <w:p w14:paraId="45CC30E6" w14:textId="40E3E944" w:rsidR="008C4202" w:rsidRPr="001D00A2" w:rsidRDefault="008C4202" w:rsidP="008920AC">
            <w:pPr>
              <w:spacing w:before="120" w:after="120"/>
              <w:rPr>
                <w:sz w:val="20"/>
              </w:rPr>
            </w:pPr>
            <w:r w:rsidRPr="001D00A2">
              <w:rPr>
                <w:sz w:val="20"/>
              </w:rPr>
              <w:t>Monica Macovei</w:t>
            </w:r>
          </w:p>
        </w:tc>
      </w:tr>
      <w:tr w:rsidR="008C4202" w:rsidRPr="001D00A2" w14:paraId="4ED608A0" w14:textId="77777777" w:rsidTr="008920AC">
        <w:trPr>
          <w:cantSplit/>
        </w:trPr>
        <w:tc>
          <w:tcPr>
            <w:tcW w:w="1701" w:type="dxa"/>
            <w:shd w:val="clear" w:color="auto" w:fill="FFFFFF"/>
          </w:tcPr>
          <w:p w14:paraId="77499A88" w14:textId="37F04C5E" w:rsidR="008C4202" w:rsidRPr="001D00A2" w:rsidRDefault="008C4202" w:rsidP="008920AC">
            <w:pPr>
              <w:spacing w:before="120" w:after="120"/>
              <w:rPr>
                <w:sz w:val="20"/>
              </w:rPr>
            </w:pPr>
            <w:r w:rsidRPr="001D00A2">
              <w:rPr>
                <w:sz w:val="20"/>
              </w:rPr>
              <w:t>EFDD</w:t>
            </w:r>
          </w:p>
        </w:tc>
        <w:tc>
          <w:tcPr>
            <w:tcW w:w="7371" w:type="dxa"/>
            <w:shd w:val="clear" w:color="auto" w:fill="FFFFFF"/>
          </w:tcPr>
          <w:p w14:paraId="5DBA4AD7" w14:textId="5B23F67B" w:rsidR="008C4202" w:rsidRPr="001D00A2" w:rsidRDefault="008C4202" w:rsidP="008920AC">
            <w:pPr>
              <w:spacing w:before="120" w:after="120"/>
              <w:rPr>
                <w:sz w:val="20"/>
              </w:rPr>
            </w:pPr>
            <w:r w:rsidRPr="001D00A2">
              <w:rPr>
                <w:sz w:val="20"/>
              </w:rPr>
              <w:t>Marco Valli</w:t>
            </w:r>
          </w:p>
        </w:tc>
      </w:tr>
      <w:tr w:rsidR="008C4202" w:rsidRPr="001D00A2" w14:paraId="6EF451F2" w14:textId="77777777" w:rsidTr="008920AC">
        <w:trPr>
          <w:cantSplit/>
        </w:trPr>
        <w:tc>
          <w:tcPr>
            <w:tcW w:w="1701" w:type="dxa"/>
            <w:shd w:val="clear" w:color="auto" w:fill="FFFFFF"/>
          </w:tcPr>
          <w:p w14:paraId="4CA032D8" w14:textId="07619964" w:rsidR="008C4202" w:rsidRPr="001D00A2" w:rsidRDefault="008C4202" w:rsidP="008920AC">
            <w:pPr>
              <w:spacing w:before="120" w:after="120"/>
              <w:rPr>
                <w:sz w:val="20"/>
              </w:rPr>
            </w:pPr>
            <w:r w:rsidRPr="001D00A2">
              <w:rPr>
                <w:sz w:val="20"/>
              </w:rPr>
              <w:t>GUE/NGL</w:t>
            </w:r>
          </w:p>
        </w:tc>
        <w:tc>
          <w:tcPr>
            <w:tcW w:w="7371" w:type="dxa"/>
            <w:shd w:val="clear" w:color="auto" w:fill="FFFFFF"/>
          </w:tcPr>
          <w:p w14:paraId="38CB6BD3" w14:textId="7C9A7139" w:rsidR="008C4202" w:rsidRPr="001D00A2" w:rsidRDefault="008C4202" w:rsidP="008920AC">
            <w:pPr>
              <w:spacing w:before="120" w:after="120"/>
              <w:rPr>
                <w:sz w:val="20"/>
              </w:rPr>
            </w:pPr>
            <w:r w:rsidRPr="001D00A2">
              <w:rPr>
                <w:sz w:val="20"/>
              </w:rPr>
              <w:t>Dennis de Jong</w:t>
            </w:r>
          </w:p>
        </w:tc>
      </w:tr>
      <w:tr w:rsidR="008C4202" w:rsidRPr="001D00A2" w14:paraId="31B4E3DF" w14:textId="77777777" w:rsidTr="008920AC">
        <w:trPr>
          <w:cantSplit/>
        </w:trPr>
        <w:tc>
          <w:tcPr>
            <w:tcW w:w="1701" w:type="dxa"/>
            <w:shd w:val="clear" w:color="auto" w:fill="FFFFFF"/>
          </w:tcPr>
          <w:p w14:paraId="22BE29E3" w14:textId="560806E8" w:rsidR="008C4202" w:rsidRPr="001D00A2" w:rsidRDefault="008C4202" w:rsidP="008920AC">
            <w:pPr>
              <w:spacing w:before="120" w:after="120"/>
              <w:rPr>
                <w:sz w:val="20"/>
              </w:rPr>
            </w:pPr>
            <w:r w:rsidRPr="001D00A2">
              <w:rPr>
                <w:sz w:val="20"/>
              </w:rPr>
              <w:t>PPE</w:t>
            </w:r>
          </w:p>
        </w:tc>
        <w:tc>
          <w:tcPr>
            <w:tcW w:w="7371" w:type="dxa"/>
            <w:shd w:val="clear" w:color="auto" w:fill="FFFFFF"/>
          </w:tcPr>
          <w:p w14:paraId="7459BD02" w14:textId="1A24C95F" w:rsidR="008C4202" w:rsidRPr="001D00A2" w:rsidRDefault="008C4202" w:rsidP="008920AC">
            <w:pPr>
              <w:spacing w:before="120" w:after="120"/>
              <w:rPr>
                <w:sz w:val="20"/>
              </w:rPr>
            </w:pPr>
            <w:r w:rsidRPr="001D00A2">
              <w:rPr>
                <w:sz w:val="20"/>
              </w:rPr>
              <w:t>Tamás Deutsch, Ingeborg Gräßle, José Ignacio Salafranca Sánchez-Neyra, Petri Sarvamaa, Claudia Schmidt, Tomáš Zdechovský, Joachim Zeller</w:t>
            </w:r>
          </w:p>
        </w:tc>
      </w:tr>
      <w:tr w:rsidR="008C4202" w:rsidRPr="001D00A2" w14:paraId="485750FD" w14:textId="77777777" w:rsidTr="008920AC">
        <w:trPr>
          <w:cantSplit/>
        </w:trPr>
        <w:tc>
          <w:tcPr>
            <w:tcW w:w="1701" w:type="dxa"/>
            <w:shd w:val="clear" w:color="auto" w:fill="FFFFFF"/>
          </w:tcPr>
          <w:p w14:paraId="797DDAC7" w14:textId="5FFD0CB3" w:rsidR="008C4202" w:rsidRPr="001D00A2" w:rsidRDefault="008C4202" w:rsidP="008920AC">
            <w:pPr>
              <w:spacing w:before="120" w:after="120"/>
              <w:rPr>
                <w:sz w:val="20"/>
              </w:rPr>
            </w:pPr>
            <w:r w:rsidRPr="001D00A2">
              <w:rPr>
                <w:sz w:val="20"/>
              </w:rPr>
              <w:t>S&amp;D</w:t>
            </w:r>
          </w:p>
        </w:tc>
        <w:tc>
          <w:tcPr>
            <w:tcW w:w="7371" w:type="dxa"/>
            <w:shd w:val="clear" w:color="auto" w:fill="FFFFFF"/>
          </w:tcPr>
          <w:p w14:paraId="6C3F02B2" w14:textId="08D182AA" w:rsidR="008C4202" w:rsidRPr="001D00A2" w:rsidRDefault="008C4202" w:rsidP="008920AC">
            <w:pPr>
              <w:spacing w:before="120" w:after="120"/>
              <w:rPr>
                <w:sz w:val="20"/>
              </w:rPr>
            </w:pPr>
            <w:r w:rsidRPr="001D00A2">
              <w:rPr>
                <w:sz w:val="20"/>
              </w:rPr>
              <w:t>Inés Ayala Sender, Zigmantas Balčytis, Karin Kadenbach, Petra Kammerevert, Georgi Pirinski, Derek Vaughan</w:t>
            </w:r>
          </w:p>
        </w:tc>
      </w:tr>
      <w:tr w:rsidR="008C4202" w:rsidRPr="001D00A2" w14:paraId="24D96676" w14:textId="77777777" w:rsidTr="008920AC">
        <w:trPr>
          <w:cantSplit/>
        </w:trPr>
        <w:tc>
          <w:tcPr>
            <w:tcW w:w="1701" w:type="dxa"/>
            <w:shd w:val="clear" w:color="auto" w:fill="FFFFFF"/>
          </w:tcPr>
          <w:p w14:paraId="4B9E1D19" w14:textId="4CCC35E2" w:rsidR="008C4202" w:rsidRPr="001D00A2" w:rsidRDefault="008C4202" w:rsidP="008920AC">
            <w:pPr>
              <w:spacing w:before="120" w:after="120"/>
              <w:rPr>
                <w:sz w:val="20"/>
              </w:rPr>
            </w:pPr>
            <w:r w:rsidRPr="001D00A2">
              <w:rPr>
                <w:sz w:val="20"/>
              </w:rPr>
              <w:t>VERTS/ALE</w:t>
            </w:r>
          </w:p>
        </w:tc>
        <w:tc>
          <w:tcPr>
            <w:tcW w:w="7371" w:type="dxa"/>
            <w:shd w:val="clear" w:color="auto" w:fill="FFFFFF"/>
          </w:tcPr>
          <w:p w14:paraId="0BCF255F" w14:textId="6CA37A59" w:rsidR="008C4202" w:rsidRPr="001D00A2" w:rsidRDefault="008C4202" w:rsidP="008920AC">
            <w:pPr>
              <w:spacing w:before="120" w:after="120"/>
              <w:rPr>
                <w:sz w:val="20"/>
              </w:rPr>
            </w:pPr>
            <w:r w:rsidRPr="001D00A2">
              <w:rPr>
                <w:sz w:val="20"/>
              </w:rPr>
              <w:t>Bart Staes</w:t>
            </w:r>
          </w:p>
        </w:tc>
      </w:tr>
    </w:tbl>
    <w:p w14:paraId="79ED303E" w14:textId="77777777" w:rsidR="008C4202" w:rsidRPr="001D00A2" w:rsidRDefault="008C4202"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C4202" w:rsidRPr="001D00A2" w14:paraId="4D5F33FC" w14:textId="77777777" w:rsidTr="008920AC">
        <w:trPr>
          <w:cantSplit/>
        </w:trPr>
        <w:tc>
          <w:tcPr>
            <w:tcW w:w="1701" w:type="dxa"/>
            <w:shd w:val="pct10" w:color="000000" w:fill="FFFFFF"/>
            <w:vAlign w:val="center"/>
          </w:tcPr>
          <w:p w14:paraId="1B60AAEB" w14:textId="59F405DF" w:rsidR="008C4202" w:rsidRPr="001D00A2" w:rsidRDefault="008C4202" w:rsidP="008920AC">
            <w:pPr>
              <w:spacing w:before="120" w:after="120"/>
              <w:jc w:val="center"/>
              <w:rPr>
                <w:b/>
                <w:sz w:val="20"/>
              </w:rPr>
            </w:pPr>
            <w:r w:rsidRPr="001D00A2">
              <w:rPr>
                <w:b/>
                <w:sz w:val="20"/>
              </w:rPr>
              <w:t>1</w:t>
            </w:r>
          </w:p>
        </w:tc>
        <w:tc>
          <w:tcPr>
            <w:tcW w:w="7371" w:type="dxa"/>
            <w:shd w:val="pct10" w:color="000000" w:fill="FFFFFF"/>
          </w:tcPr>
          <w:p w14:paraId="6689BE87" w14:textId="77777777" w:rsidR="008C4202" w:rsidRPr="001D00A2" w:rsidRDefault="008C4202" w:rsidP="008920AC">
            <w:pPr>
              <w:spacing w:before="120" w:after="120"/>
              <w:jc w:val="center"/>
              <w:rPr>
                <w:sz w:val="28"/>
                <w:szCs w:val="28"/>
              </w:rPr>
            </w:pPr>
            <w:r w:rsidRPr="001D00A2">
              <w:rPr>
                <w:rFonts w:ascii="Arial" w:hAnsi="Arial"/>
                <w:b/>
                <w:sz w:val="28"/>
                <w:szCs w:val="28"/>
              </w:rPr>
              <w:t>-</w:t>
            </w:r>
          </w:p>
        </w:tc>
      </w:tr>
      <w:tr w:rsidR="008C4202" w:rsidRPr="001D00A2" w14:paraId="372C45F1" w14:textId="77777777" w:rsidTr="008920AC">
        <w:trPr>
          <w:cantSplit/>
        </w:trPr>
        <w:tc>
          <w:tcPr>
            <w:tcW w:w="1701" w:type="dxa"/>
            <w:shd w:val="clear" w:color="auto" w:fill="FFFFFF"/>
          </w:tcPr>
          <w:p w14:paraId="585A1673" w14:textId="70C5FBAD" w:rsidR="008C4202" w:rsidRPr="001D00A2" w:rsidRDefault="008C4202" w:rsidP="008920AC">
            <w:pPr>
              <w:spacing w:before="120" w:after="120"/>
              <w:rPr>
                <w:sz w:val="20"/>
              </w:rPr>
            </w:pPr>
            <w:r w:rsidRPr="001D00A2">
              <w:rPr>
                <w:sz w:val="20"/>
              </w:rPr>
              <w:t>ENF</w:t>
            </w:r>
          </w:p>
        </w:tc>
        <w:tc>
          <w:tcPr>
            <w:tcW w:w="7371" w:type="dxa"/>
            <w:shd w:val="clear" w:color="auto" w:fill="FFFFFF"/>
          </w:tcPr>
          <w:p w14:paraId="131C13B2" w14:textId="3DEF0A0B" w:rsidR="008C4202" w:rsidRPr="001D00A2" w:rsidRDefault="008C4202" w:rsidP="008920AC">
            <w:pPr>
              <w:spacing w:before="120" w:after="120"/>
              <w:rPr>
                <w:sz w:val="20"/>
              </w:rPr>
            </w:pPr>
            <w:r w:rsidRPr="001D00A2">
              <w:rPr>
                <w:sz w:val="20"/>
              </w:rPr>
              <w:t>Jean-François Jalkh</w:t>
            </w:r>
          </w:p>
        </w:tc>
      </w:tr>
    </w:tbl>
    <w:p w14:paraId="388403D2" w14:textId="77777777" w:rsidR="008C4202" w:rsidRPr="001D00A2" w:rsidRDefault="008C4202"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C4202" w:rsidRPr="001D00A2" w14:paraId="688C692F" w14:textId="77777777" w:rsidTr="008920AC">
        <w:trPr>
          <w:cantSplit/>
        </w:trPr>
        <w:tc>
          <w:tcPr>
            <w:tcW w:w="1701" w:type="dxa"/>
            <w:shd w:val="pct10" w:color="000000" w:fill="FFFFFF"/>
            <w:vAlign w:val="center"/>
          </w:tcPr>
          <w:p w14:paraId="3B935DE4" w14:textId="2067A798" w:rsidR="008C4202" w:rsidRPr="001D00A2" w:rsidRDefault="008C4202" w:rsidP="008920AC">
            <w:pPr>
              <w:spacing w:before="120" w:after="120"/>
              <w:jc w:val="center"/>
              <w:rPr>
                <w:b/>
                <w:sz w:val="20"/>
              </w:rPr>
            </w:pPr>
            <w:r w:rsidRPr="001D00A2">
              <w:rPr>
                <w:b/>
                <w:sz w:val="20"/>
              </w:rPr>
              <w:t>0</w:t>
            </w:r>
          </w:p>
        </w:tc>
        <w:tc>
          <w:tcPr>
            <w:tcW w:w="7371" w:type="dxa"/>
            <w:shd w:val="pct10" w:color="000000" w:fill="FFFFFF"/>
          </w:tcPr>
          <w:p w14:paraId="1F85BC10" w14:textId="77777777" w:rsidR="008C4202" w:rsidRPr="001D00A2" w:rsidRDefault="008C4202" w:rsidP="008920AC">
            <w:pPr>
              <w:spacing w:before="120" w:after="120"/>
              <w:jc w:val="center"/>
              <w:rPr>
                <w:sz w:val="28"/>
                <w:szCs w:val="28"/>
              </w:rPr>
            </w:pPr>
            <w:r w:rsidRPr="001D00A2">
              <w:rPr>
                <w:rFonts w:ascii="Arial" w:hAnsi="Arial"/>
                <w:b/>
                <w:sz w:val="28"/>
                <w:szCs w:val="28"/>
              </w:rPr>
              <w:t>0</w:t>
            </w:r>
          </w:p>
        </w:tc>
      </w:tr>
      <w:tr w:rsidR="008C4202" w:rsidRPr="001D00A2" w14:paraId="2F8B50AA" w14:textId="77777777" w:rsidTr="008920AC">
        <w:trPr>
          <w:cantSplit/>
        </w:trPr>
        <w:tc>
          <w:tcPr>
            <w:tcW w:w="1701" w:type="dxa"/>
            <w:shd w:val="clear" w:color="auto" w:fill="FFFFFF"/>
          </w:tcPr>
          <w:p w14:paraId="6DAC12D4" w14:textId="5EA7D4A5" w:rsidR="008C4202" w:rsidRPr="001D00A2" w:rsidRDefault="008C4202" w:rsidP="008920AC">
            <w:pPr>
              <w:spacing w:before="120" w:after="120"/>
              <w:rPr>
                <w:sz w:val="20"/>
              </w:rPr>
            </w:pPr>
          </w:p>
        </w:tc>
        <w:tc>
          <w:tcPr>
            <w:tcW w:w="7371" w:type="dxa"/>
            <w:shd w:val="clear" w:color="auto" w:fill="FFFFFF"/>
          </w:tcPr>
          <w:p w14:paraId="7D5B3849" w14:textId="0F4A119F" w:rsidR="008C4202" w:rsidRPr="001D00A2" w:rsidRDefault="008C4202" w:rsidP="008920AC">
            <w:pPr>
              <w:spacing w:before="120" w:after="120"/>
              <w:rPr>
                <w:sz w:val="20"/>
              </w:rPr>
            </w:pPr>
          </w:p>
        </w:tc>
      </w:tr>
    </w:tbl>
    <w:p w14:paraId="0EA26540" w14:textId="77777777" w:rsidR="008C4202" w:rsidRPr="001D00A2" w:rsidRDefault="008C4202" w:rsidP="00147FBF">
      <w:pPr>
        <w:pStyle w:val="Normal12"/>
      </w:pPr>
    </w:p>
    <w:p w14:paraId="0712F36A" w14:textId="017DA434" w:rsidR="008C4202" w:rsidRPr="001D00A2" w:rsidRDefault="008C4202" w:rsidP="00B735E3">
      <w:r w:rsidRPr="001D00A2">
        <w:t>Symbolien selitys:</w:t>
      </w:r>
    </w:p>
    <w:p w14:paraId="7D10CE98" w14:textId="441D474A" w:rsidR="008C4202" w:rsidRPr="001D00A2" w:rsidRDefault="008C4202" w:rsidP="00B735E3">
      <w:pPr>
        <w:pStyle w:val="NormalTabs"/>
      </w:pPr>
      <w:r w:rsidRPr="001D00A2">
        <w:t>+</w:t>
      </w:r>
      <w:r w:rsidRPr="001D00A2">
        <w:tab/>
        <w:t>:</w:t>
      </w:r>
      <w:r w:rsidRPr="001D00A2">
        <w:tab/>
        <w:t>puolesta</w:t>
      </w:r>
    </w:p>
    <w:p w14:paraId="08D29A0E" w14:textId="1291D1FE" w:rsidR="008C4202" w:rsidRPr="001D00A2" w:rsidRDefault="008C4202" w:rsidP="00B735E3">
      <w:pPr>
        <w:pStyle w:val="NormalTabs"/>
      </w:pPr>
      <w:r w:rsidRPr="001D00A2">
        <w:t>-</w:t>
      </w:r>
      <w:r w:rsidRPr="001D00A2">
        <w:tab/>
        <w:t>:</w:t>
      </w:r>
      <w:r w:rsidRPr="001D00A2">
        <w:tab/>
        <w:t>vastaan</w:t>
      </w:r>
    </w:p>
    <w:p w14:paraId="126CAFE1" w14:textId="32D78A95" w:rsidR="008C4202" w:rsidRPr="001D00A2" w:rsidRDefault="008C4202" w:rsidP="00B735E3">
      <w:pPr>
        <w:pStyle w:val="NormalTabs"/>
      </w:pPr>
      <w:r w:rsidRPr="001D00A2">
        <w:t>0</w:t>
      </w:r>
      <w:r w:rsidRPr="001D00A2">
        <w:tab/>
        <w:t>:</w:t>
      </w:r>
      <w:r w:rsidRPr="001D00A2">
        <w:tab/>
        <w:t>tyhjää</w:t>
      </w:r>
    </w:p>
    <w:p w14:paraId="6EA40554" w14:textId="77777777" w:rsidR="008C4202" w:rsidRPr="001D00A2" w:rsidRDefault="008C4202" w:rsidP="00AD5932"/>
    <w:bookmarkEnd w:id="17"/>
    <w:p w14:paraId="50F89A22" w14:textId="77777777" w:rsidR="008C4202" w:rsidRPr="001D00A2" w:rsidRDefault="008C4202" w:rsidP="008C4202"/>
    <w:sectPr w:rsidR="008C4202" w:rsidRPr="001D00A2" w:rsidSect="008C4202">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32AC3" w14:textId="77777777" w:rsidR="005E7355" w:rsidRPr="001D00A2" w:rsidRDefault="005E7355">
      <w:r w:rsidRPr="001D00A2">
        <w:separator/>
      </w:r>
    </w:p>
  </w:endnote>
  <w:endnote w:type="continuationSeparator" w:id="0">
    <w:p w14:paraId="6B6F0A83" w14:textId="77777777" w:rsidR="005E7355" w:rsidRPr="001D00A2" w:rsidRDefault="005E7355">
      <w:r w:rsidRPr="001D00A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CA20" w14:textId="4712EEC7" w:rsidR="001D00A2" w:rsidRPr="001D00A2" w:rsidRDefault="001D00A2" w:rsidP="001D00A2">
    <w:pPr>
      <w:pStyle w:val="Footer"/>
    </w:pPr>
    <w:r w:rsidRPr="001D00A2">
      <w:t>PE</w:t>
    </w:r>
    <w:r w:rsidRPr="001D00A2">
      <w:rPr>
        <w:rStyle w:val="HideTWBExt"/>
        <w:noProof w:val="0"/>
      </w:rPr>
      <w:t>&lt;NoPE&gt;</w:t>
    </w:r>
    <w:r w:rsidRPr="001D00A2">
      <w:t>626.800</w:t>
    </w:r>
    <w:r w:rsidRPr="001D00A2">
      <w:rPr>
        <w:rStyle w:val="HideTWBExt"/>
        <w:noProof w:val="0"/>
      </w:rPr>
      <w:t>&lt;/NoPE&gt;&lt;Version&gt;</w:t>
    </w:r>
    <w:r w:rsidRPr="001D00A2">
      <w:t>v02-00</w:t>
    </w:r>
    <w:r w:rsidRPr="001D00A2">
      <w:rPr>
        <w:rStyle w:val="HideTWBExt"/>
        <w:noProof w:val="0"/>
      </w:rPr>
      <w:t>&lt;/Version&gt;</w:t>
    </w:r>
    <w:r w:rsidRPr="001D00A2">
      <w:tab/>
    </w:r>
    <w:r w:rsidRPr="001D00A2">
      <w:fldChar w:fldCharType="begin"/>
    </w:r>
    <w:r w:rsidRPr="001D00A2">
      <w:instrText xml:space="preserve"> PAGE  \* MERGEFORMAT </w:instrText>
    </w:r>
    <w:r w:rsidRPr="001D00A2">
      <w:fldChar w:fldCharType="separate"/>
    </w:r>
    <w:r w:rsidR="003B31F9">
      <w:rPr>
        <w:noProof/>
      </w:rPr>
      <w:t>12</w:t>
    </w:r>
    <w:r w:rsidRPr="001D00A2">
      <w:fldChar w:fldCharType="end"/>
    </w:r>
    <w:r w:rsidRPr="001D00A2">
      <w:t>/</w:t>
    </w:r>
    <w:fldSimple w:instr=" NUMPAGES  \* MERGEFORMAT ">
      <w:r w:rsidR="003B31F9">
        <w:rPr>
          <w:noProof/>
        </w:rPr>
        <w:t>15</w:t>
      </w:r>
    </w:fldSimple>
    <w:r w:rsidRPr="001D00A2">
      <w:tab/>
    </w:r>
    <w:r w:rsidRPr="001D00A2">
      <w:rPr>
        <w:rStyle w:val="HideTWBExt"/>
        <w:noProof w:val="0"/>
      </w:rPr>
      <w:t>&lt;PathFdR&gt;</w:t>
    </w:r>
    <w:r w:rsidRPr="001D00A2">
      <w:t>RR\1178390FI.docx</w:t>
    </w:r>
    <w:r w:rsidRPr="001D00A2">
      <w:rPr>
        <w:rStyle w:val="HideTWBExt"/>
        <w:noProof w:val="0"/>
      </w:rPr>
      <w:t>&lt;/PathFdR&gt;</w:t>
    </w:r>
  </w:p>
  <w:p w14:paraId="5CF5D32E" w14:textId="7E7F6E0C" w:rsidR="00390068" w:rsidRPr="001D00A2" w:rsidRDefault="001D00A2" w:rsidP="001D00A2">
    <w:pPr>
      <w:pStyle w:val="Footer2"/>
    </w:pPr>
    <w:r w:rsidRPr="001D00A2">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784B" w14:textId="3E61546E" w:rsidR="001D00A2" w:rsidRPr="001D00A2" w:rsidRDefault="001D00A2" w:rsidP="001D00A2">
    <w:pPr>
      <w:pStyle w:val="Footer"/>
    </w:pPr>
    <w:r w:rsidRPr="001D00A2">
      <w:rPr>
        <w:rStyle w:val="HideTWBExt"/>
        <w:noProof w:val="0"/>
      </w:rPr>
      <w:t>&lt;PathFdR&gt;</w:t>
    </w:r>
    <w:r w:rsidRPr="001D00A2">
      <w:t>RR\1178390FI.docx</w:t>
    </w:r>
    <w:r w:rsidRPr="001D00A2">
      <w:rPr>
        <w:rStyle w:val="HideTWBExt"/>
        <w:noProof w:val="0"/>
      </w:rPr>
      <w:t>&lt;/PathFdR&gt;</w:t>
    </w:r>
    <w:r w:rsidRPr="001D00A2">
      <w:tab/>
    </w:r>
    <w:r w:rsidRPr="001D00A2">
      <w:fldChar w:fldCharType="begin"/>
    </w:r>
    <w:r w:rsidRPr="001D00A2">
      <w:instrText xml:space="preserve"> PAGE  \* MERGEFORMAT </w:instrText>
    </w:r>
    <w:r w:rsidRPr="001D00A2">
      <w:fldChar w:fldCharType="separate"/>
    </w:r>
    <w:r w:rsidR="003B31F9">
      <w:rPr>
        <w:noProof/>
      </w:rPr>
      <w:t>11</w:t>
    </w:r>
    <w:r w:rsidRPr="001D00A2">
      <w:fldChar w:fldCharType="end"/>
    </w:r>
    <w:r w:rsidRPr="001D00A2">
      <w:t>/</w:t>
    </w:r>
    <w:fldSimple w:instr=" NUMPAGES  \* MERGEFORMAT ">
      <w:r w:rsidR="003B31F9">
        <w:rPr>
          <w:noProof/>
        </w:rPr>
        <w:t>15</w:t>
      </w:r>
    </w:fldSimple>
    <w:r w:rsidRPr="001D00A2">
      <w:tab/>
      <w:t>PE</w:t>
    </w:r>
    <w:r w:rsidRPr="001D00A2">
      <w:rPr>
        <w:rStyle w:val="HideTWBExt"/>
        <w:noProof w:val="0"/>
      </w:rPr>
      <w:t>&lt;NoPE&gt;</w:t>
    </w:r>
    <w:r w:rsidRPr="001D00A2">
      <w:t>626.800</w:t>
    </w:r>
    <w:r w:rsidRPr="001D00A2">
      <w:rPr>
        <w:rStyle w:val="HideTWBExt"/>
        <w:noProof w:val="0"/>
      </w:rPr>
      <w:t>&lt;/NoPE&gt;&lt;Version&gt;</w:t>
    </w:r>
    <w:r w:rsidRPr="001D00A2">
      <w:t>v02-00</w:t>
    </w:r>
    <w:r w:rsidRPr="001D00A2">
      <w:rPr>
        <w:rStyle w:val="HideTWBExt"/>
        <w:noProof w:val="0"/>
      </w:rPr>
      <w:t>&lt;/Version&gt;</w:t>
    </w:r>
  </w:p>
  <w:p w14:paraId="7E428B74" w14:textId="65577CDE" w:rsidR="00390068" w:rsidRPr="001D00A2" w:rsidRDefault="001D00A2" w:rsidP="001D00A2">
    <w:pPr>
      <w:pStyle w:val="Footer2"/>
    </w:pPr>
    <w:r w:rsidRPr="001D00A2">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CD98F" w14:textId="77777777" w:rsidR="001D00A2" w:rsidRPr="001D00A2" w:rsidRDefault="001D00A2" w:rsidP="001D00A2">
    <w:pPr>
      <w:pStyle w:val="Footer"/>
    </w:pPr>
    <w:r w:rsidRPr="001D00A2">
      <w:rPr>
        <w:rStyle w:val="HideTWBExt"/>
        <w:noProof w:val="0"/>
      </w:rPr>
      <w:t>&lt;PathFdR&gt;</w:t>
    </w:r>
    <w:r w:rsidRPr="001D00A2">
      <w:t>RR\1178390FI.docx</w:t>
    </w:r>
    <w:r w:rsidRPr="001D00A2">
      <w:rPr>
        <w:rStyle w:val="HideTWBExt"/>
        <w:noProof w:val="0"/>
      </w:rPr>
      <w:t>&lt;/PathFdR&gt;</w:t>
    </w:r>
    <w:r w:rsidRPr="001D00A2">
      <w:tab/>
    </w:r>
    <w:r w:rsidRPr="001D00A2">
      <w:tab/>
      <w:t>PE</w:t>
    </w:r>
    <w:r w:rsidRPr="001D00A2">
      <w:rPr>
        <w:rStyle w:val="HideTWBExt"/>
        <w:noProof w:val="0"/>
      </w:rPr>
      <w:t>&lt;NoPE&gt;</w:t>
    </w:r>
    <w:r w:rsidRPr="001D00A2">
      <w:t>626.800</w:t>
    </w:r>
    <w:r w:rsidRPr="001D00A2">
      <w:rPr>
        <w:rStyle w:val="HideTWBExt"/>
        <w:noProof w:val="0"/>
      </w:rPr>
      <w:t>&lt;/NoPE&gt;&lt;Version&gt;</w:t>
    </w:r>
    <w:r w:rsidRPr="001D00A2">
      <w:t>v02-00</w:t>
    </w:r>
    <w:r w:rsidRPr="001D00A2">
      <w:rPr>
        <w:rStyle w:val="HideTWBExt"/>
        <w:noProof w:val="0"/>
      </w:rPr>
      <w:t>&lt;/Version&gt;</w:t>
    </w:r>
  </w:p>
  <w:p w14:paraId="2CF19869" w14:textId="0A0A1AD3" w:rsidR="00390068" w:rsidRPr="001D00A2" w:rsidRDefault="001D00A2" w:rsidP="001D00A2">
    <w:pPr>
      <w:pStyle w:val="Footer2"/>
      <w:tabs>
        <w:tab w:val="center" w:pos="4535"/>
        <w:tab w:val="right" w:pos="9921"/>
      </w:tabs>
    </w:pPr>
    <w:r w:rsidRPr="001D00A2">
      <w:t>FI</w:t>
    </w:r>
    <w:r w:rsidRPr="001D00A2">
      <w:tab/>
    </w:r>
    <w:r w:rsidRPr="001D00A2">
      <w:rPr>
        <w:b w:val="0"/>
        <w:i/>
        <w:color w:val="C0C0C0"/>
        <w:sz w:val="22"/>
      </w:rPr>
      <w:t>Moninaisuudessaan yhtenäinen</w:t>
    </w:r>
    <w:r w:rsidRPr="001D00A2">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203D4" w14:textId="77777777" w:rsidR="005E7355" w:rsidRPr="001D00A2" w:rsidRDefault="005E7355">
      <w:r w:rsidRPr="001D00A2">
        <w:separator/>
      </w:r>
    </w:p>
  </w:footnote>
  <w:footnote w:type="continuationSeparator" w:id="0">
    <w:p w14:paraId="643C8548" w14:textId="77777777" w:rsidR="005E7355" w:rsidRPr="001D00A2" w:rsidRDefault="005E7355">
      <w:r w:rsidRPr="001D00A2">
        <w:continuationSeparator/>
      </w:r>
    </w:p>
  </w:footnote>
  <w:footnote w:id="1">
    <w:p w14:paraId="4BD1EFC0" w14:textId="00C07380" w:rsidR="000E4EA7" w:rsidRPr="001D00A2" w:rsidRDefault="000E4EA7" w:rsidP="000E4EA7">
      <w:pPr>
        <w:pStyle w:val="FootnoteText"/>
      </w:pPr>
      <w:r w:rsidRPr="001D00A2">
        <w:rPr>
          <w:rStyle w:val="FootnoteReference"/>
        </w:rPr>
        <w:footnoteRef/>
      </w:r>
      <w:r w:rsidRPr="001D00A2">
        <w:t xml:space="preserve"> EUVL C 434, 30.11.2018, s. 149.</w:t>
      </w:r>
    </w:p>
  </w:footnote>
  <w:footnote w:id="2">
    <w:p w14:paraId="4FE7774F" w14:textId="343A22DA" w:rsidR="000E4EA7" w:rsidRPr="001D00A2" w:rsidRDefault="000E4EA7" w:rsidP="000E4EA7">
      <w:pPr>
        <w:pStyle w:val="FootnoteText"/>
      </w:pPr>
      <w:r w:rsidRPr="001D00A2">
        <w:rPr>
          <w:rStyle w:val="FootnoteReference"/>
        </w:rPr>
        <w:footnoteRef/>
      </w:r>
      <w:r w:rsidRPr="001D00A2">
        <w:t xml:space="preserve"> EUVL C 434, 30.11.2018, s. 149.</w:t>
      </w:r>
    </w:p>
  </w:footnote>
  <w:footnote w:id="3">
    <w:p w14:paraId="7DD8F460" w14:textId="77777777" w:rsidR="000E4EA7" w:rsidRPr="001D00A2" w:rsidRDefault="000E4EA7" w:rsidP="000E4EA7">
      <w:pPr>
        <w:pStyle w:val="FootnoteText"/>
      </w:pPr>
      <w:r w:rsidRPr="001D00A2">
        <w:rPr>
          <w:rStyle w:val="FootnoteReference"/>
        </w:rPr>
        <w:footnoteRef/>
      </w:r>
      <w:r w:rsidRPr="001D00A2">
        <w:t xml:space="preserve"> EUVL L 298, 26.10.2012, s. 1.</w:t>
      </w:r>
    </w:p>
  </w:footnote>
  <w:footnote w:id="4">
    <w:p w14:paraId="07240F8C" w14:textId="77777777" w:rsidR="000E4EA7" w:rsidRPr="001D00A2" w:rsidRDefault="000E4EA7" w:rsidP="000E4EA7">
      <w:pPr>
        <w:pStyle w:val="FootnoteText"/>
      </w:pPr>
      <w:r w:rsidRPr="001D00A2">
        <w:rPr>
          <w:rStyle w:val="FootnoteReference"/>
        </w:rPr>
        <w:footnoteRef/>
      </w:r>
      <w:r w:rsidRPr="001D00A2">
        <w:t xml:space="preserve"> EUVL L 193, 30.7.2018, s. 1.</w:t>
      </w:r>
    </w:p>
  </w:footnote>
  <w:footnote w:id="5">
    <w:p w14:paraId="0D752D54" w14:textId="77777777" w:rsidR="000E4EA7" w:rsidRPr="001D00A2" w:rsidRDefault="000E4EA7" w:rsidP="000E4EA7">
      <w:pPr>
        <w:pStyle w:val="FootnoteText"/>
      </w:pPr>
      <w:r w:rsidRPr="001D00A2">
        <w:rPr>
          <w:rStyle w:val="FootnoteReference"/>
        </w:rPr>
        <w:footnoteRef/>
      </w:r>
      <w:r w:rsidRPr="001D00A2">
        <w:t xml:space="preserve"> EUVL L 376, 27.12.2006, s. 1.</w:t>
      </w:r>
    </w:p>
  </w:footnote>
  <w:footnote w:id="6">
    <w:p w14:paraId="63589D38" w14:textId="77777777" w:rsidR="000E4EA7" w:rsidRPr="001D00A2" w:rsidRDefault="000E4EA7" w:rsidP="000E4EA7">
      <w:pPr>
        <w:pStyle w:val="FootnoteText"/>
      </w:pPr>
      <w:r w:rsidRPr="001D00A2">
        <w:rPr>
          <w:rStyle w:val="FootnoteReference"/>
        </w:rPr>
        <w:footnoteRef/>
      </w:r>
      <w:r w:rsidRPr="001D00A2">
        <w:t xml:space="preserve"> EUVL L 328, 7.12.2013, s. 42.</w:t>
      </w:r>
    </w:p>
  </w:footnote>
  <w:footnote w:id="7">
    <w:p w14:paraId="599465E7" w14:textId="393C51A8" w:rsidR="000E4EA7" w:rsidRPr="001D00A2" w:rsidRDefault="000E4EA7" w:rsidP="000E4EA7">
      <w:pPr>
        <w:pStyle w:val="FootnoteText"/>
      </w:pPr>
      <w:r w:rsidRPr="001D00A2">
        <w:rPr>
          <w:rStyle w:val="FootnoteReference"/>
        </w:rPr>
        <w:footnoteRef/>
      </w:r>
      <w:r w:rsidRPr="001D00A2">
        <w:t xml:space="preserve"> EUVL C 434, 30.11.2018, s. 149.</w:t>
      </w:r>
    </w:p>
  </w:footnote>
  <w:footnote w:id="8">
    <w:p w14:paraId="2D1632B9" w14:textId="3BB0BB1B" w:rsidR="000E4EA7" w:rsidRPr="001D00A2" w:rsidRDefault="000E4EA7" w:rsidP="000E4EA7">
      <w:pPr>
        <w:pStyle w:val="FootnoteText"/>
      </w:pPr>
      <w:r w:rsidRPr="001D00A2">
        <w:rPr>
          <w:rStyle w:val="FootnoteReference"/>
        </w:rPr>
        <w:footnoteRef/>
      </w:r>
      <w:r w:rsidRPr="001D00A2">
        <w:t xml:space="preserve"> EUVL C 434, 30.11.2018, s. 149.</w:t>
      </w:r>
    </w:p>
  </w:footnote>
  <w:footnote w:id="9">
    <w:p w14:paraId="47A4BAF3" w14:textId="77777777" w:rsidR="000E4EA7" w:rsidRPr="001D00A2" w:rsidRDefault="000E4EA7" w:rsidP="000E4EA7">
      <w:pPr>
        <w:pStyle w:val="FootnoteText"/>
      </w:pPr>
      <w:r w:rsidRPr="001D00A2">
        <w:rPr>
          <w:rStyle w:val="FootnoteReference"/>
        </w:rPr>
        <w:footnoteRef/>
      </w:r>
      <w:r w:rsidRPr="001D00A2">
        <w:t xml:space="preserve"> EUVL L 298, 26.10.2012, s. 1.</w:t>
      </w:r>
    </w:p>
  </w:footnote>
  <w:footnote w:id="10">
    <w:p w14:paraId="15A4CAA8" w14:textId="77777777" w:rsidR="000E4EA7" w:rsidRPr="001D00A2" w:rsidRDefault="000E4EA7" w:rsidP="000E4EA7">
      <w:pPr>
        <w:pStyle w:val="FootnoteText"/>
      </w:pPr>
      <w:r w:rsidRPr="001D00A2">
        <w:rPr>
          <w:rStyle w:val="FootnoteReference"/>
        </w:rPr>
        <w:footnoteRef/>
      </w:r>
      <w:r w:rsidRPr="001D00A2">
        <w:t xml:space="preserve"> EUVL L 193, 30.7.2018, s. 1.</w:t>
      </w:r>
    </w:p>
  </w:footnote>
  <w:footnote w:id="11">
    <w:p w14:paraId="6DFF425B" w14:textId="77777777" w:rsidR="000E4EA7" w:rsidRPr="001D00A2" w:rsidRDefault="000E4EA7" w:rsidP="000E4EA7">
      <w:pPr>
        <w:pStyle w:val="FootnoteText"/>
      </w:pPr>
      <w:r w:rsidRPr="001D00A2">
        <w:rPr>
          <w:rStyle w:val="FootnoteReference"/>
        </w:rPr>
        <w:footnoteRef/>
      </w:r>
      <w:r w:rsidRPr="001D00A2">
        <w:t xml:space="preserve"> EUVL L 376, 27.12.2006, s. 1.</w:t>
      </w:r>
    </w:p>
  </w:footnote>
  <w:footnote w:id="12">
    <w:p w14:paraId="74A18727" w14:textId="77777777" w:rsidR="000E4EA7" w:rsidRPr="001D00A2" w:rsidRDefault="000E4EA7" w:rsidP="000E4EA7">
      <w:pPr>
        <w:pStyle w:val="FootnoteText"/>
      </w:pPr>
      <w:r w:rsidRPr="001D00A2">
        <w:rPr>
          <w:rStyle w:val="FootnoteReference"/>
        </w:rPr>
        <w:footnoteRef/>
      </w:r>
      <w:r w:rsidRPr="001D00A2">
        <w:t xml:space="preserve"> EUVL L 328, 7.12.2013, s. 42.</w:t>
      </w:r>
    </w:p>
  </w:footnote>
  <w:footnote w:id="13">
    <w:p w14:paraId="73CAEB29" w14:textId="4816E616" w:rsidR="007A312E" w:rsidRPr="001D00A2" w:rsidRDefault="007A312E" w:rsidP="007A312E">
      <w:pPr>
        <w:pStyle w:val="FootnoteText"/>
      </w:pPr>
      <w:r w:rsidRPr="001D00A2">
        <w:rPr>
          <w:rStyle w:val="FootnoteReference"/>
        </w:rPr>
        <w:footnoteRef/>
      </w:r>
      <w:r w:rsidRPr="001D00A2">
        <w:t xml:space="preserve"> EUVL C 25, 24.1.2018, s. 1.</w:t>
      </w:r>
    </w:p>
  </w:footnote>
  <w:footnote w:id="14">
    <w:p w14:paraId="4AAC77CF" w14:textId="77777777" w:rsidR="009C06AB" w:rsidRPr="001D00A2" w:rsidRDefault="009C06AB">
      <w:pPr>
        <w:pStyle w:val="FootnoteText"/>
      </w:pPr>
      <w:r w:rsidRPr="001D00A2">
        <w:rPr>
          <w:rStyle w:val="FootnoteReference"/>
        </w:rPr>
        <w:footnoteRef/>
      </w:r>
      <w:r w:rsidRPr="001D00A2">
        <w:t xml:space="preserve"> Hyväksytyt tekstit, P8_TA(2019)0000.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8D21" w14:textId="77777777" w:rsidR="003B31F9" w:rsidRDefault="003B3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2AD2" w14:textId="77777777" w:rsidR="003B31F9" w:rsidRDefault="003B3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A38A" w14:textId="77777777" w:rsidR="003B31F9" w:rsidRDefault="003B3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4DB0B236">
      <w:start w:val="1"/>
      <w:numFmt w:val="upperLetter"/>
      <w:lvlText w:val="%1."/>
      <w:lvlJc w:val="left"/>
      <w:pPr>
        <w:tabs>
          <w:tab w:val="num" w:pos="360"/>
        </w:tabs>
        <w:ind w:left="360" w:hanging="360"/>
      </w:pPr>
      <w:rPr>
        <w:rFonts w:hint="default"/>
      </w:rPr>
    </w:lvl>
    <w:lvl w:ilvl="1" w:tplc="55AC0930" w:tentative="1">
      <w:start w:val="1"/>
      <w:numFmt w:val="lowerLetter"/>
      <w:lvlText w:val="%2."/>
      <w:lvlJc w:val="left"/>
      <w:pPr>
        <w:tabs>
          <w:tab w:val="num" w:pos="1080"/>
        </w:tabs>
        <w:ind w:left="1080" w:hanging="360"/>
      </w:pPr>
    </w:lvl>
    <w:lvl w:ilvl="2" w:tplc="F4701338" w:tentative="1">
      <w:start w:val="1"/>
      <w:numFmt w:val="lowerRoman"/>
      <w:lvlText w:val="%3."/>
      <w:lvlJc w:val="right"/>
      <w:pPr>
        <w:tabs>
          <w:tab w:val="num" w:pos="1800"/>
        </w:tabs>
        <w:ind w:left="1800" w:hanging="180"/>
      </w:pPr>
    </w:lvl>
    <w:lvl w:ilvl="3" w:tplc="B14C1F54" w:tentative="1">
      <w:start w:val="1"/>
      <w:numFmt w:val="decimal"/>
      <w:lvlText w:val="%4."/>
      <w:lvlJc w:val="left"/>
      <w:pPr>
        <w:tabs>
          <w:tab w:val="num" w:pos="2520"/>
        </w:tabs>
        <w:ind w:left="2520" w:hanging="360"/>
      </w:pPr>
    </w:lvl>
    <w:lvl w:ilvl="4" w:tplc="656071EA" w:tentative="1">
      <w:start w:val="1"/>
      <w:numFmt w:val="lowerLetter"/>
      <w:lvlText w:val="%5."/>
      <w:lvlJc w:val="left"/>
      <w:pPr>
        <w:tabs>
          <w:tab w:val="num" w:pos="3240"/>
        </w:tabs>
        <w:ind w:left="3240" w:hanging="360"/>
      </w:pPr>
    </w:lvl>
    <w:lvl w:ilvl="5" w:tplc="8ADEE700" w:tentative="1">
      <w:start w:val="1"/>
      <w:numFmt w:val="lowerRoman"/>
      <w:lvlText w:val="%6."/>
      <w:lvlJc w:val="right"/>
      <w:pPr>
        <w:tabs>
          <w:tab w:val="num" w:pos="3960"/>
        </w:tabs>
        <w:ind w:left="3960" w:hanging="180"/>
      </w:pPr>
    </w:lvl>
    <w:lvl w:ilvl="6" w:tplc="8FAC33F0" w:tentative="1">
      <w:start w:val="1"/>
      <w:numFmt w:val="decimal"/>
      <w:lvlText w:val="%7."/>
      <w:lvlJc w:val="left"/>
      <w:pPr>
        <w:tabs>
          <w:tab w:val="num" w:pos="4680"/>
        </w:tabs>
        <w:ind w:left="4680" w:hanging="360"/>
      </w:pPr>
    </w:lvl>
    <w:lvl w:ilvl="7" w:tplc="F2B6EA96" w:tentative="1">
      <w:start w:val="1"/>
      <w:numFmt w:val="lowerLetter"/>
      <w:lvlText w:val="%8."/>
      <w:lvlJc w:val="left"/>
      <w:pPr>
        <w:tabs>
          <w:tab w:val="num" w:pos="5400"/>
        </w:tabs>
        <w:ind w:left="5400" w:hanging="360"/>
      </w:pPr>
    </w:lvl>
    <w:lvl w:ilvl="8" w:tplc="3D428C5A"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E3EA24EC">
      <w:start w:val="1"/>
      <w:numFmt w:val="decimal"/>
      <w:lvlText w:val="%1."/>
      <w:lvlJc w:val="left"/>
      <w:pPr>
        <w:tabs>
          <w:tab w:val="num" w:pos="720"/>
        </w:tabs>
        <w:ind w:left="720" w:hanging="360"/>
      </w:pPr>
    </w:lvl>
    <w:lvl w:ilvl="1" w:tplc="C77EC6CC" w:tentative="1">
      <w:start w:val="1"/>
      <w:numFmt w:val="lowerLetter"/>
      <w:lvlText w:val="%2."/>
      <w:lvlJc w:val="left"/>
      <w:pPr>
        <w:tabs>
          <w:tab w:val="num" w:pos="1440"/>
        </w:tabs>
        <w:ind w:left="1440" w:hanging="360"/>
      </w:pPr>
    </w:lvl>
    <w:lvl w:ilvl="2" w:tplc="33689B1A" w:tentative="1">
      <w:start w:val="1"/>
      <w:numFmt w:val="lowerRoman"/>
      <w:lvlText w:val="%3."/>
      <w:lvlJc w:val="right"/>
      <w:pPr>
        <w:tabs>
          <w:tab w:val="num" w:pos="2160"/>
        </w:tabs>
        <w:ind w:left="2160" w:hanging="180"/>
      </w:pPr>
    </w:lvl>
    <w:lvl w:ilvl="3" w:tplc="9D6EF404" w:tentative="1">
      <w:start w:val="1"/>
      <w:numFmt w:val="decimal"/>
      <w:lvlText w:val="%4."/>
      <w:lvlJc w:val="left"/>
      <w:pPr>
        <w:tabs>
          <w:tab w:val="num" w:pos="2880"/>
        </w:tabs>
        <w:ind w:left="2880" w:hanging="360"/>
      </w:pPr>
    </w:lvl>
    <w:lvl w:ilvl="4" w:tplc="E0CCB056" w:tentative="1">
      <w:start w:val="1"/>
      <w:numFmt w:val="lowerLetter"/>
      <w:lvlText w:val="%5."/>
      <w:lvlJc w:val="left"/>
      <w:pPr>
        <w:tabs>
          <w:tab w:val="num" w:pos="3600"/>
        </w:tabs>
        <w:ind w:left="3600" w:hanging="360"/>
      </w:pPr>
    </w:lvl>
    <w:lvl w:ilvl="5" w:tplc="660C3988" w:tentative="1">
      <w:start w:val="1"/>
      <w:numFmt w:val="lowerRoman"/>
      <w:lvlText w:val="%6."/>
      <w:lvlJc w:val="right"/>
      <w:pPr>
        <w:tabs>
          <w:tab w:val="num" w:pos="4320"/>
        </w:tabs>
        <w:ind w:left="4320" w:hanging="180"/>
      </w:pPr>
    </w:lvl>
    <w:lvl w:ilvl="6" w:tplc="61E026FC" w:tentative="1">
      <w:start w:val="1"/>
      <w:numFmt w:val="decimal"/>
      <w:lvlText w:val="%7."/>
      <w:lvlJc w:val="left"/>
      <w:pPr>
        <w:tabs>
          <w:tab w:val="num" w:pos="5040"/>
        </w:tabs>
        <w:ind w:left="5040" w:hanging="360"/>
      </w:pPr>
    </w:lvl>
    <w:lvl w:ilvl="7" w:tplc="DA02097C" w:tentative="1">
      <w:start w:val="1"/>
      <w:numFmt w:val="lowerLetter"/>
      <w:lvlText w:val="%8."/>
      <w:lvlJc w:val="left"/>
      <w:pPr>
        <w:tabs>
          <w:tab w:val="num" w:pos="5760"/>
        </w:tabs>
        <w:ind w:left="5760" w:hanging="360"/>
      </w:pPr>
    </w:lvl>
    <w:lvl w:ilvl="8" w:tplc="2C7E378C"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2KEY" w:val="LIBE"/>
    <w:docVar w:name="COM3KEY" w:val="ENVI"/>
    <w:docVar w:name="COMOPINMNU" w:val=" 3"/>
    <w:docVar w:name="CopyToNetwork" w:val="-1"/>
    <w:docVar w:name="DECISIONMNU" w:val=" 3"/>
    <w:docVar w:name="DOCDT" w:val="01/03/2019"/>
    <w:docVar w:name="ETMNU" w:val=" 1"/>
    <w:docVar w:name="FN1DT" w:val="04/10/2018"/>
    <w:docVar w:name="FN2DT" w:val="04/10/2018"/>
    <w:docVar w:name="LastEditedSection" w:val=" 1"/>
    <w:docVar w:name="OBSERVATIONSMNU" w:val=" 1"/>
    <w:docVar w:name="OPIN2MNU" w:val=" 1"/>
    <w:docVar w:name="STOREDT" w:val="12/02/2019"/>
    <w:docVar w:name="strDocTypeID" w:val="PR_DEC_Agencies"/>
    <w:docVar w:name="strSubDir" w:val="626"/>
    <w:docVar w:name="TITLEMNU" w:val=" 24"/>
    <w:docVar w:name="TXTBUDYEAR" w:val="2017"/>
    <w:docVar w:name="TXTFN1" w:val="357"/>
    <w:docVar w:name="TXTFN2" w:val="357"/>
    <w:docVar w:name="TXTLANGUE" w:val="FI"/>
    <w:docVar w:name="TXTLANGUEMIN" w:val="fi"/>
    <w:docVar w:name="TXTNRC" w:val="0332/2018"/>
    <w:docVar w:name="TXTNRCOUNC" w:val="0000/2019"/>
    <w:docVar w:name="TXTNRDEC" w:val="2018/2181"/>
    <w:docVar w:name="TXTNRPE" w:val="626.800"/>
    <w:docVar w:name="TXTNRTA" w:val="(2018)0000"/>
    <w:docVar w:name="TXTPEorAP" w:val="PE"/>
    <w:docVar w:name="TXTPG1" w:val="1"/>
    <w:docVar w:name="TXTPG2" w:val="9"/>
    <w:docVar w:name="TXTROUTE" w:val="RR\1178390FI.docx"/>
    <w:docVar w:name="TXTVERSION" w:val="02-00"/>
  </w:docVars>
  <w:rsids>
    <w:rsidRoot w:val="005E7355"/>
    <w:rsid w:val="00002C51"/>
    <w:rsid w:val="00090E0B"/>
    <w:rsid w:val="000A05D5"/>
    <w:rsid w:val="000B47E5"/>
    <w:rsid w:val="000E223D"/>
    <w:rsid w:val="000E4EA7"/>
    <w:rsid w:val="00104CB9"/>
    <w:rsid w:val="00116CB4"/>
    <w:rsid w:val="00150EC1"/>
    <w:rsid w:val="001674F2"/>
    <w:rsid w:val="0017746B"/>
    <w:rsid w:val="00193567"/>
    <w:rsid w:val="001B4494"/>
    <w:rsid w:val="001D00A2"/>
    <w:rsid w:val="001E0C55"/>
    <w:rsid w:val="001E1032"/>
    <w:rsid w:val="00202D84"/>
    <w:rsid w:val="00253648"/>
    <w:rsid w:val="0025391E"/>
    <w:rsid w:val="00256BE3"/>
    <w:rsid w:val="00256E0A"/>
    <w:rsid w:val="00276092"/>
    <w:rsid w:val="002949DB"/>
    <w:rsid w:val="002963BE"/>
    <w:rsid w:val="002D6EA9"/>
    <w:rsid w:val="0031254A"/>
    <w:rsid w:val="00335B47"/>
    <w:rsid w:val="00381864"/>
    <w:rsid w:val="00390068"/>
    <w:rsid w:val="003B31F9"/>
    <w:rsid w:val="003B5D11"/>
    <w:rsid w:val="003D353C"/>
    <w:rsid w:val="003E25A9"/>
    <w:rsid w:val="003E2DC8"/>
    <w:rsid w:val="003E735B"/>
    <w:rsid w:val="003F0E64"/>
    <w:rsid w:val="00413713"/>
    <w:rsid w:val="004651E1"/>
    <w:rsid w:val="00473EAC"/>
    <w:rsid w:val="004A34BF"/>
    <w:rsid w:val="004A480C"/>
    <w:rsid w:val="004C6C3F"/>
    <w:rsid w:val="004D13BA"/>
    <w:rsid w:val="00507287"/>
    <w:rsid w:val="00550E6B"/>
    <w:rsid w:val="005601C3"/>
    <w:rsid w:val="00564DB0"/>
    <w:rsid w:val="00595F9A"/>
    <w:rsid w:val="005A3D7F"/>
    <w:rsid w:val="005A6CAE"/>
    <w:rsid w:val="005B2950"/>
    <w:rsid w:val="005C689E"/>
    <w:rsid w:val="005D3E9F"/>
    <w:rsid w:val="005E7355"/>
    <w:rsid w:val="005E7E89"/>
    <w:rsid w:val="00621E5B"/>
    <w:rsid w:val="0063324A"/>
    <w:rsid w:val="00643EBE"/>
    <w:rsid w:val="00653F7B"/>
    <w:rsid w:val="0066045F"/>
    <w:rsid w:val="006835EB"/>
    <w:rsid w:val="006B0ED0"/>
    <w:rsid w:val="006D37D7"/>
    <w:rsid w:val="006D4388"/>
    <w:rsid w:val="006D5743"/>
    <w:rsid w:val="0074734C"/>
    <w:rsid w:val="007A312E"/>
    <w:rsid w:val="007A4AC9"/>
    <w:rsid w:val="007C3B7E"/>
    <w:rsid w:val="007D1E61"/>
    <w:rsid w:val="007E2834"/>
    <w:rsid w:val="007F572E"/>
    <w:rsid w:val="00810FB0"/>
    <w:rsid w:val="0081446A"/>
    <w:rsid w:val="00827AF8"/>
    <w:rsid w:val="00841D8C"/>
    <w:rsid w:val="008915DD"/>
    <w:rsid w:val="00895F7F"/>
    <w:rsid w:val="008A23A3"/>
    <w:rsid w:val="008B7B1D"/>
    <w:rsid w:val="008C4202"/>
    <w:rsid w:val="008D205E"/>
    <w:rsid w:val="008D2063"/>
    <w:rsid w:val="00916826"/>
    <w:rsid w:val="0093422F"/>
    <w:rsid w:val="00947D32"/>
    <w:rsid w:val="00950104"/>
    <w:rsid w:val="009807D1"/>
    <w:rsid w:val="009A1AE4"/>
    <w:rsid w:val="009B566F"/>
    <w:rsid w:val="009C06AB"/>
    <w:rsid w:val="009D053D"/>
    <w:rsid w:val="009D386D"/>
    <w:rsid w:val="009D5E03"/>
    <w:rsid w:val="00A273FA"/>
    <w:rsid w:val="00A35902"/>
    <w:rsid w:val="00A5625F"/>
    <w:rsid w:val="00A7250C"/>
    <w:rsid w:val="00A7535D"/>
    <w:rsid w:val="00A84FF1"/>
    <w:rsid w:val="00A95064"/>
    <w:rsid w:val="00AB4789"/>
    <w:rsid w:val="00AD2ECC"/>
    <w:rsid w:val="00AD3D29"/>
    <w:rsid w:val="00B14C90"/>
    <w:rsid w:val="00B553CB"/>
    <w:rsid w:val="00B627F2"/>
    <w:rsid w:val="00B6540D"/>
    <w:rsid w:val="00B75AA6"/>
    <w:rsid w:val="00B844BC"/>
    <w:rsid w:val="00BA46FB"/>
    <w:rsid w:val="00BB06C2"/>
    <w:rsid w:val="00BB09B0"/>
    <w:rsid w:val="00BD13C4"/>
    <w:rsid w:val="00BE0DC4"/>
    <w:rsid w:val="00BF0771"/>
    <w:rsid w:val="00C1531C"/>
    <w:rsid w:val="00C3005F"/>
    <w:rsid w:val="00C46F6A"/>
    <w:rsid w:val="00C56953"/>
    <w:rsid w:val="00C607B5"/>
    <w:rsid w:val="00C63401"/>
    <w:rsid w:val="00CA2AE4"/>
    <w:rsid w:val="00CB6B29"/>
    <w:rsid w:val="00CF07EC"/>
    <w:rsid w:val="00D05CBA"/>
    <w:rsid w:val="00D46466"/>
    <w:rsid w:val="00D6063F"/>
    <w:rsid w:val="00D74CC3"/>
    <w:rsid w:val="00DE54BB"/>
    <w:rsid w:val="00DF7BA5"/>
    <w:rsid w:val="00E3308E"/>
    <w:rsid w:val="00E44888"/>
    <w:rsid w:val="00E44A07"/>
    <w:rsid w:val="00E50576"/>
    <w:rsid w:val="00EB31C4"/>
    <w:rsid w:val="00EC2CAC"/>
    <w:rsid w:val="00F02E0E"/>
    <w:rsid w:val="00F0381D"/>
    <w:rsid w:val="00F21C7F"/>
    <w:rsid w:val="00F60797"/>
    <w:rsid w:val="00F71101"/>
    <w:rsid w:val="00F9531F"/>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B5CF0"/>
  <w15:chartTrackingRefBased/>
  <w15:docId w15:val="{D5941ED2-6DB0-4683-8377-A924BA9E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9C06AB"/>
    <w:rPr>
      <w:sz w:val="20"/>
    </w:rPr>
  </w:style>
  <w:style w:type="character" w:customStyle="1" w:styleId="FootnoteTextChar">
    <w:name w:val="Footnote Text Char"/>
    <w:basedOn w:val="DefaultParagraphFont"/>
    <w:link w:val="FootnoteText"/>
    <w:rsid w:val="009C06AB"/>
  </w:style>
  <w:style w:type="character" w:styleId="FootnoteReference">
    <w:name w:val="footnote reference"/>
    <w:basedOn w:val="DefaultParagraphFont"/>
    <w:rsid w:val="009C06AB"/>
    <w:rPr>
      <w:vertAlign w:val="superscript"/>
    </w:rPr>
  </w:style>
  <w:style w:type="paragraph" w:styleId="BalloonText">
    <w:name w:val="Balloon Text"/>
    <w:basedOn w:val="Normal"/>
    <w:link w:val="BalloonTextChar"/>
    <w:rsid w:val="000E223D"/>
    <w:rPr>
      <w:rFonts w:ascii="Segoe UI" w:hAnsi="Segoe UI" w:cs="Segoe UI"/>
      <w:sz w:val="18"/>
      <w:szCs w:val="18"/>
    </w:rPr>
  </w:style>
  <w:style w:type="character" w:customStyle="1" w:styleId="BalloonTextChar">
    <w:name w:val="Balloon Text Char"/>
    <w:basedOn w:val="DefaultParagraphFont"/>
    <w:link w:val="BalloonText"/>
    <w:rsid w:val="000E223D"/>
    <w:rPr>
      <w:rFonts w:ascii="Segoe UI" w:hAnsi="Segoe UI" w:cs="Segoe UI"/>
      <w:sz w:val="18"/>
      <w:szCs w:val="18"/>
    </w:rPr>
  </w:style>
  <w:style w:type="character" w:styleId="CommentReference">
    <w:name w:val="annotation reference"/>
    <w:basedOn w:val="DefaultParagraphFont"/>
    <w:rsid w:val="00256E0A"/>
    <w:rPr>
      <w:sz w:val="16"/>
      <w:szCs w:val="16"/>
    </w:rPr>
  </w:style>
  <w:style w:type="paragraph" w:styleId="CommentText">
    <w:name w:val="annotation text"/>
    <w:basedOn w:val="Normal"/>
    <w:link w:val="CommentTextChar"/>
    <w:rsid w:val="00256E0A"/>
    <w:rPr>
      <w:sz w:val="20"/>
    </w:rPr>
  </w:style>
  <w:style w:type="character" w:customStyle="1" w:styleId="CommentTextChar">
    <w:name w:val="Comment Text Char"/>
    <w:basedOn w:val="DefaultParagraphFont"/>
    <w:link w:val="CommentText"/>
    <w:rsid w:val="00256E0A"/>
  </w:style>
  <w:style w:type="paragraph" w:styleId="CommentSubject">
    <w:name w:val="annotation subject"/>
    <w:basedOn w:val="CommentText"/>
    <w:next w:val="CommentText"/>
    <w:link w:val="CommentSubjectChar"/>
    <w:rsid w:val="00256E0A"/>
    <w:rPr>
      <w:b/>
      <w:bCs/>
    </w:rPr>
  </w:style>
  <w:style w:type="character" w:customStyle="1" w:styleId="CommentSubjectChar">
    <w:name w:val="Comment Subject Char"/>
    <w:basedOn w:val="CommentTextChar"/>
    <w:link w:val="CommentSubject"/>
    <w:rsid w:val="00256E0A"/>
    <w:rPr>
      <w:b/>
      <w:bCs/>
    </w:rPr>
  </w:style>
  <w:style w:type="paragraph" w:customStyle="1" w:styleId="PageHeadingNotTOC">
    <w:name w:val="PageHeadingNotTOC"/>
    <w:basedOn w:val="Normal12a12b"/>
    <w:rsid w:val="008C4202"/>
    <w:pPr>
      <w:keepNext/>
      <w:jc w:val="center"/>
    </w:pPr>
    <w:rPr>
      <w:rFonts w:ascii="Arial" w:hAnsi="Arial"/>
      <w:b/>
    </w:rPr>
  </w:style>
  <w:style w:type="paragraph" w:customStyle="1" w:styleId="NormalTabs">
    <w:name w:val="NormalTabs"/>
    <w:basedOn w:val="Normal"/>
    <w:qFormat/>
    <w:rsid w:val="008C4202"/>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 w:id="229118463">
      <w:bodyDiv w:val="1"/>
      <w:marLeft w:val="0"/>
      <w:marRight w:val="0"/>
      <w:marTop w:val="0"/>
      <w:marBottom w:val="0"/>
      <w:divBdr>
        <w:top w:val="none" w:sz="0" w:space="0" w:color="auto"/>
        <w:left w:val="none" w:sz="0" w:space="0" w:color="auto"/>
        <w:bottom w:val="none" w:sz="0" w:space="0" w:color="auto"/>
        <w:right w:val="none" w:sz="0" w:space="0" w:color="auto"/>
      </w:divBdr>
    </w:div>
    <w:div w:id="408620506">
      <w:bodyDiv w:val="1"/>
      <w:marLeft w:val="0"/>
      <w:marRight w:val="0"/>
      <w:marTop w:val="0"/>
      <w:marBottom w:val="0"/>
      <w:divBdr>
        <w:top w:val="none" w:sz="0" w:space="0" w:color="auto"/>
        <w:left w:val="none" w:sz="0" w:space="0" w:color="auto"/>
        <w:bottom w:val="none" w:sz="0" w:space="0" w:color="auto"/>
        <w:right w:val="none" w:sz="0" w:space="0" w:color="auto"/>
      </w:divBdr>
    </w:div>
    <w:div w:id="581566956">
      <w:bodyDiv w:val="1"/>
      <w:marLeft w:val="0"/>
      <w:marRight w:val="0"/>
      <w:marTop w:val="0"/>
      <w:marBottom w:val="0"/>
      <w:divBdr>
        <w:top w:val="none" w:sz="0" w:space="0" w:color="auto"/>
        <w:left w:val="none" w:sz="0" w:space="0" w:color="auto"/>
        <w:bottom w:val="none" w:sz="0" w:space="0" w:color="auto"/>
        <w:right w:val="none" w:sz="0" w:space="0" w:color="auto"/>
      </w:divBdr>
    </w:div>
    <w:div w:id="12789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2265</Words>
  <Characters>18460</Characters>
  <Application>Microsoft Office Word</Application>
  <DocSecurity>0</DocSecurity>
  <Lines>439</Lines>
  <Paragraphs>218</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MAGUIRE Marcia</dc:creator>
  <cp:keywords/>
  <dc:description/>
  <cp:lastModifiedBy>SORMUNEN Eija</cp:lastModifiedBy>
  <cp:revision>2</cp:revision>
  <cp:lastPrinted>2018-12-10T14:29:00Z</cp:lastPrinted>
  <dcterms:created xsi:type="dcterms:W3CDTF">2019-03-18T15:52:00Z</dcterms:created>
  <dcterms:modified xsi:type="dcterms:W3CDTF">2019-03-18T15:52:00Z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1178390</vt:lpwstr>
  </property>
  <property fmtid="{D5CDD505-2E9C-101B-9397-08002B2CF9AE}" pid="5" name="&lt;Type&gt;">
    <vt:lpwstr>RR</vt:lpwstr>
  </property>
  <property fmtid="{D5CDD505-2E9C-101B-9397-08002B2CF9AE}" pid="6" name="&lt;ModelCod&gt;">
    <vt:lpwstr>\\eiciBRUpr1\pdocep$\DocEP\DOCS\General\PR\PR_BUD\DEC\PR_DEC_Agencies.dot(07/06/2018 20:01:22)</vt:lpwstr>
  </property>
  <property fmtid="{D5CDD505-2E9C-101B-9397-08002B2CF9AE}" pid="7" name="&lt;ModelTra&gt;">
    <vt:lpwstr>\\eiciBRUpr1\pdocep$\DocEP\TRANSFIL\EN\PR_DEC_Agencies.EN(07/06/2018 19:59:36)</vt:lpwstr>
  </property>
  <property fmtid="{D5CDD505-2E9C-101B-9397-08002B2CF9AE}" pid="8" name="&lt;Model&gt;">
    <vt:lpwstr>PR_DEC_Agencies</vt:lpwstr>
  </property>
  <property fmtid="{D5CDD505-2E9C-101B-9397-08002B2CF9AE}" pid="9" name="FooterPath">
    <vt:lpwstr>RR\1178390FI.docx</vt:lpwstr>
  </property>
  <property fmtid="{D5CDD505-2E9C-101B-9397-08002B2CF9AE}" pid="10" name="PE number">
    <vt:lpwstr>626.800</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- 2019/03/18 16:52</vt:lpwstr>
  </property>
</Properties>
</file>