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74F0" w:rsidRPr="00F016A4" w:rsidTr="0044752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74F0" w:rsidRPr="00F016A4" w:rsidRDefault="00F26EB2" w:rsidP="0044752A">
            <w:pPr>
              <w:pStyle w:val="EPName"/>
            </w:pPr>
            <w:bookmarkStart w:id="0" w:name="_GoBack"/>
            <w:bookmarkEnd w:id="0"/>
            <w:r w:rsidRPr="00F016A4">
              <w:t>Parlamentul European</w:t>
            </w:r>
          </w:p>
          <w:p w:rsidR="00DF74F0" w:rsidRPr="00F016A4" w:rsidRDefault="00ED4820" w:rsidP="00ED482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016A4">
              <w:t>2014-2019</w:t>
            </w:r>
          </w:p>
        </w:tc>
        <w:tc>
          <w:tcPr>
            <w:tcW w:w="2268" w:type="dxa"/>
            <w:shd w:val="clear" w:color="auto" w:fill="auto"/>
          </w:tcPr>
          <w:p w:rsidR="00DF74F0" w:rsidRPr="00F016A4" w:rsidRDefault="008F1062" w:rsidP="0044752A">
            <w:pPr>
              <w:pStyle w:val="EPLogo"/>
            </w:pPr>
            <w:r w:rsidRPr="00F016A4">
              <w:drawing>
                <wp:inline distT="0" distB="0" distL="0" distR="0">
                  <wp:extent cx="1160780" cy="64389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FF9" w:rsidRPr="00F016A4" w:rsidRDefault="00215FF9" w:rsidP="00215FF9">
      <w:pPr>
        <w:pStyle w:val="LineTop"/>
      </w:pPr>
    </w:p>
    <w:p w:rsidR="00215FF9" w:rsidRPr="00F016A4" w:rsidRDefault="00AD54B7" w:rsidP="00215FF9">
      <w:pPr>
        <w:pStyle w:val="ZCommittee"/>
      </w:pPr>
      <w:r w:rsidRPr="00F016A4">
        <w:t xml:space="preserve">Document de </w:t>
      </w:r>
      <w:r w:rsidR="00D843AF">
        <w:t>ș</w:t>
      </w:r>
      <w:r w:rsidRPr="00F016A4">
        <w:t>edin</w:t>
      </w:r>
      <w:r w:rsidR="00D843AF">
        <w:t>ț</w:t>
      </w:r>
      <w:r w:rsidRPr="00F016A4">
        <w:t>ă</w:t>
      </w:r>
    </w:p>
    <w:p w:rsidR="00215FF9" w:rsidRPr="00F016A4" w:rsidRDefault="00215FF9" w:rsidP="00215FF9">
      <w:pPr>
        <w:pStyle w:val="LineBottom"/>
      </w:pPr>
    </w:p>
    <w:p w:rsidR="005922F7" w:rsidRPr="00F016A4" w:rsidRDefault="00AD54B7" w:rsidP="005922F7">
      <w:pPr>
        <w:pStyle w:val="RefProc"/>
      </w:pPr>
      <w:r w:rsidRPr="00F016A4">
        <w:rPr>
          <w:rStyle w:val="HideTWBExt"/>
          <w:noProof w:val="0"/>
        </w:rPr>
        <w:t>&lt;NoDocSe&gt;</w:t>
      </w:r>
      <w:r w:rsidRPr="00F016A4">
        <w:t>A8-0183/2019</w:t>
      </w:r>
      <w:r w:rsidRPr="00F016A4">
        <w:rPr>
          <w:rStyle w:val="HideTWBExt"/>
          <w:noProof w:val="0"/>
        </w:rPr>
        <w:t>&lt;/NoDocSe&gt;</w:t>
      </w:r>
    </w:p>
    <w:p w:rsidR="005922F7" w:rsidRPr="00F016A4" w:rsidRDefault="005922F7" w:rsidP="005922F7">
      <w:pPr>
        <w:pStyle w:val="ZDate"/>
      </w:pPr>
      <w:r w:rsidRPr="00F016A4">
        <w:rPr>
          <w:rStyle w:val="HideTWBExt"/>
          <w:noProof w:val="0"/>
        </w:rPr>
        <w:t>&lt;Date&gt;</w:t>
      </w:r>
      <w:r w:rsidRPr="00F016A4">
        <w:rPr>
          <w:rStyle w:val="HideTWBInt"/>
        </w:rPr>
        <w:t>{02/04/2019}</w:t>
      </w:r>
      <w:r w:rsidRPr="00F016A4">
        <w:t>2.4.2019</w:t>
      </w:r>
      <w:r w:rsidRPr="00F016A4">
        <w:rPr>
          <w:rStyle w:val="HideTWBExt"/>
          <w:noProof w:val="0"/>
        </w:rPr>
        <w:t>&lt;/Date&gt;</w:t>
      </w:r>
    </w:p>
    <w:p w:rsidR="00142D49" w:rsidRPr="00F016A4" w:rsidRDefault="00142D49">
      <w:pPr>
        <w:pStyle w:val="TypeDoc"/>
      </w:pPr>
      <w:r w:rsidRPr="00F016A4">
        <w:rPr>
          <w:rStyle w:val="HideTWBExt"/>
          <w:b w:val="0"/>
          <w:noProof w:val="0"/>
        </w:rPr>
        <w:t>&lt;TitreType&gt;</w:t>
      </w:r>
      <w:r w:rsidRPr="00F016A4">
        <w:t>RAPORT</w:t>
      </w:r>
      <w:r w:rsidRPr="00F016A4">
        <w:rPr>
          <w:rStyle w:val="HideTWBExt"/>
          <w:b w:val="0"/>
          <w:noProof w:val="0"/>
        </w:rPr>
        <w:t>&lt;/TitreType&gt;</w:t>
      </w:r>
    </w:p>
    <w:p w:rsidR="00142D49" w:rsidRPr="00F016A4" w:rsidRDefault="00142D49">
      <w:pPr>
        <w:pStyle w:val="CoverNormal"/>
      </w:pPr>
      <w:r w:rsidRPr="00F016A4">
        <w:rPr>
          <w:rStyle w:val="HideTWBExt"/>
          <w:noProof w:val="0"/>
        </w:rPr>
        <w:t>&lt;Titre&gt;</w:t>
      </w:r>
      <w:r w:rsidRPr="00F016A4">
        <w:t>privind cererea de ridicare a imunită</w:t>
      </w:r>
      <w:r w:rsidR="00D843AF">
        <w:t>ț</w:t>
      </w:r>
      <w:r w:rsidRPr="00F016A4">
        <w:t>ii lui Lampros Fountoulis</w:t>
      </w:r>
      <w:r w:rsidRPr="00F016A4">
        <w:rPr>
          <w:rStyle w:val="HideTWBExt"/>
          <w:noProof w:val="0"/>
        </w:rPr>
        <w:t>&lt;/Titre&gt;</w:t>
      </w:r>
    </w:p>
    <w:p w:rsidR="00142D49" w:rsidRPr="00F016A4" w:rsidRDefault="00142D49">
      <w:pPr>
        <w:pStyle w:val="Cover24"/>
      </w:pPr>
      <w:r w:rsidRPr="00F016A4">
        <w:rPr>
          <w:rStyle w:val="HideTWBExt"/>
          <w:noProof w:val="0"/>
        </w:rPr>
        <w:t>&lt;DocRef&gt;</w:t>
      </w:r>
      <w:r w:rsidRPr="00F016A4">
        <w:t>(2018/2269(IMM))</w:t>
      </w:r>
      <w:r w:rsidRPr="00F016A4">
        <w:rPr>
          <w:rStyle w:val="HideTWBExt"/>
          <w:noProof w:val="0"/>
        </w:rPr>
        <w:t>&lt;/DocRef&gt;</w:t>
      </w:r>
    </w:p>
    <w:p w:rsidR="00142D49" w:rsidRPr="00F016A4" w:rsidRDefault="00142D49">
      <w:pPr>
        <w:pStyle w:val="Cover24"/>
      </w:pPr>
      <w:r w:rsidRPr="00F016A4">
        <w:rPr>
          <w:rStyle w:val="HideTWBExt"/>
          <w:noProof w:val="0"/>
        </w:rPr>
        <w:t>&lt;Commission&gt;</w:t>
      </w:r>
      <w:r w:rsidRPr="00F016A4">
        <w:rPr>
          <w:rStyle w:val="HideTWBInt"/>
        </w:rPr>
        <w:t>{JURI}</w:t>
      </w:r>
      <w:r w:rsidRPr="00F016A4">
        <w:t>Comisia pentru afaceri juridice</w:t>
      </w:r>
      <w:r w:rsidRPr="00F016A4">
        <w:rPr>
          <w:rStyle w:val="HideTWBExt"/>
          <w:noProof w:val="0"/>
        </w:rPr>
        <w:t>&lt;/Commission&gt;</w:t>
      </w:r>
    </w:p>
    <w:p w:rsidR="00142D49" w:rsidRPr="00F016A4" w:rsidRDefault="00F26EB2">
      <w:pPr>
        <w:pStyle w:val="Cover24"/>
      </w:pPr>
      <w:r w:rsidRPr="00F016A4">
        <w:t xml:space="preserve">Raportor: </w:t>
      </w:r>
      <w:r w:rsidRPr="00F016A4">
        <w:rPr>
          <w:rStyle w:val="HideTWBExt"/>
          <w:noProof w:val="0"/>
        </w:rPr>
        <w:t>&lt;Depute&gt;</w:t>
      </w:r>
      <w:r w:rsidRPr="00F016A4">
        <w:t>Angel Dzhambazki</w:t>
      </w:r>
      <w:r w:rsidRPr="00F016A4">
        <w:rPr>
          <w:rStyle w:val="HideTWBExt"/>
          <w:noProof w:val="0"/>
        </w:rPr>
        <w:t>&lt;/Depute&gt;</w:t>
      </w:r>
    </w:p>
    <w:p w:rsidR="00142D49" w:rsidRPr="00F016A4" w:rsidRDefault="00142D49" w:rsidP="00DF74F0">
      <w:pPr>
        <w:widowControl/>
        <w:tabs>
          <w:tab w:val="center" w:pos="4677"/>
        </w:tabs>
      </w:pPr>
      <w:r w:rsidRPr="00F016A4">
        <w:br w:type="page"/>
      </w:r>
    </w:p>
    <w:p w:rsidR="00142D49" w:rsidRPr="00F016A4" w:rsidRDefault="00F26EB2" w:rsidP="00DF74F0">
      <w:pPr>
        <w:widowControl/>
        <w:tabs>
          <w:tab w:val="center" w:pos="4677"/>
        </w:tabs>
      </w:pPr>
      <w:r w:rsidRPr="00F016A4">
        <w:lastRenderedPageBreak/>
        <w:t>PR_IMM_Waiver</w:t>
      </w:r>
    </w:p>
    <w:p w:rsidR="00142D49" w:rsidRPr="00F016A4" w:rsidRDefault="00F26EB2">
      <w:pPr>
        <w:pStyle w:val="TOCHeading"/>
      </w:pPr>
      <w:r w:rsidRPr="00F016A4">
        <w:t>CUPRINS</w:t>
      </w:r>
    </w:p>
    <w:p w:rsidR="00142D49" w:rsidRPr="00F016A4" w:rsidRDefault="00F26EB2">
      <w:pPr>
        <w:pStyle w:val="TOCPage"/>
      </w:pPr>
      <w:r w:rsidRPr="00F016A4">
        <w:t>Pagina</w:t>
      </w:r>
    </w:p>
    <w:p w:rsidR="00D843AF" w:rsidRDefault="00142D49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F016A4">
        <w:fldChar w:fldCharType="begin"/>
      </w:r>
      <w:r w:rsidRPr="00F016A4">
        <w:instrText xml:space="preserve"> TOC \t "PageHeading</w:instrText>
      </w:r>
      <w:r w:rsidR="00A75274" w:rsidRPr="00F016A4">
        <w:instrText>;</w:instrText>
      </w:r>
      <w:r w:rsidRPr="00F016A4">
        <w:instrText xml:space="preserve">1" </w:instrText>
      </w:r>
      <w:r w:rsidRPr="00F016A4">
        <w:fldChar w:fldCharType="separate"/>
      </w:r>
      <w:r w:rsidR="00D843AF">
        <w:rPr>
          <w:noProof/>
        </w:rPr>
        <w:t>PROPUNERE DE DECIZIE A PARLAMENTULUI EUROPEAN</w:t>
      </w:r>
      <w:r w:rsidR="00D843AF">
        <w:rPr>
          <w:noProof/>
        </w:rPr>
        <w:tab/>
      </w:r>
      <w:r w:rsidR="00D843AF">
        <w:rPr>
          <w:noProof/>
        </w:rPr>
        <w:fldChar w:fldCharType="begin"/>
      </w:r>
      <w:r w:rsidR="00D843AF">
        <w:rPr>
          <w:noProof/>
        </w:rPr>
        <w:instrText xml:space="preserve"> PAGEREF _Toc5183385 \h </w:instrText>
      </w:r>
      <w:r w:rsidR="00D843AF">
        <w:rPr>
          <w:noProof/>
        </w:rPr>
      </w:r>
      <w:r w:rsidR="00D843AF">
        <w:rPr>
          <w:noProof/>
        </w:rPr>
        <w:fldChar w:fldCharType="separate"/>
      </w:r>
      <w:r w:rsidR="00D843AF">
        <w:rPr>
          <w:noProof/>
        </w:rPr>
        <w:t>3</w:t>
      </w:r>
      <w:r w:rsidR="00D843AF">
        <w:rPr>
          <w:noProof/>
        </w:rPr>
        <w:fldChar w:fldCharType="end"/>
      </w:r>
    </w:p>
    <w:p w:rsidR="00D843AF" w:rsidRDefault="00D843AF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INFORMAȚII PRIVIND ADOPTAREA ÎN COMISIA COMPETENTĂ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_Toc5183386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42D49" w:rsidRPr="00F016A4" w:rsidRDefault="00142D49" w:rsidP="0006105E">
      <w:r w:rsidRPr="00F016A4">
        <w:fldChar w:fldCharType="end"/>
      </w:r>
    </w:p>
    <w:p w:rsidR="0006105E" w:rsidRPr="00F016A4" w:rsidRDefault="0006105E" w:rsidP="0006105E"/>
    <w:p w:rsidR="0006105E" w:rsidRPr="00F016A4" w:rsidRDefault="0006105E" w:rsidP="0006105E">
      <w:pPr>
        <w:pStyle w:val="PageHeading"/>
      </w:pPr>
    </w:p>
    <w:p w:rsidR="00142D49" w:rsidRPr="00F016A4" w:rsidRDefault="00142D49">
      <w:pPr>
        <w:pStyle w:val="PageHeading"/>
      </w:pPr>
      <w:r w:rsidRPr="00F016A4">
        <w:br w:type="page"/>
      </w:r>
      <w:bookmarkStart w:id="1" w:name="_Toc5183385"/>
      <w:r w:rsidRPr="00F016A4">
        <w:t>PROPUNERE DE DECIZIE A PARLAMENTULUI EUROPEAN</w:t>
      </w:r>
      <w:bookmarkEnd w:id="1"/>
    </w:p>
    <w:p w:rsidR="00142D49" w:rsidRPr="00F016A4" w:rsidRDefault="00F26EB2">
      <w:pPr>
        <w:pStyle w:val="NormalBold"/>
      </w:pPr>
      <w:r w:rsidRPr="00F016A4">
        <w:t>privind cererea de ridicare a imunită</w:t>
      </w:r>
      <w:r w:rsidR="00D843AF">
        <w:t>ț</w:t>
      </w:r>
      <w:r w:rsidRPr="00F016A4">
        <w:t>ii lui Lampros Fountoulis</w:t>
      </w:r>
    </w:p>
    <w:p w:rsidR="00142D49" w:rsidRPr="00F016A4" w:rsidRDefault="00F26EB2">
      <w:pPr>
        <w:pStyle w:val="Normal12Bold"/>
      </w:pPr>
      <w:r w:rsidRPr="00F016A4">
        <w:t>(2018/2269(IMM))</w:t>
      </w:r>
    </w:p>
    <w:p w:rsidR="00142D49" w:rsidRPr="00F016A4" w:rsidRDefault="00F26EB2">
      <w:pPr>
        <w:pStyle w:val="Normal12"/>
      </w:pPr>
      <w:r w:rsidRPr="00F016A4">
        <w:rPr>
          <w:i/>
        </w:rPr>
        <w:t>Parlamentul European</w:t>
      </w:r>
      <w:r w:rsidRPr="00F016A4">
        <w:t>,</w:t>
      </w:r>
    </w:p>
    <w:p w:rsidR="00FE1536" w:rsidRPr="00F016A4" w:rsidRDefault="00FE1536" w:rsidP="00FE1536">
      <w:pPr>
        <w:pStyle w:val="Normal12Hanging"/>
      </w:pPr>
      <w:r w:rsidRPr="00F016A4">
        <w:t>–</w:t>
      </w:r>
      <w:r w:rsidRPr="00F016A4">
        <w:tab/>
        <w:t>având în vedere cererea de ridicare a imunită</w:t>
      </w:r>
      <w:r w:rsidR="00D843AF">
        <w:t>ț</w:t>
      </w:r>
      <w:r w:rsidRPr="00F016A4">
        <w:t xml:space="preserve">ii lui Lampros Fountoulis, prezentată la 12 octombrie 2018 de procurorul adjunct de pe lângă Curtea Supremă a Greciei în legătură cu procedura nr. AVM: 2017/10839, </w:t>
      </w:r>
      <w:r w:rsidR="00D843AF">
        <w:t>ș</w:t>
      </w:r>
      <w:r w:rsidRPr="00F016A4">
        <w:t>i anun</w:t>
      </w:r>
      <w:r w:rsidR="00D843AF">
        <w:t>ț</w:t>
      </w:r>
      <w:r w:rsidRPr="00F016A4">
        <w:t>ată în plen la 13 noiembrie 2018,</w:t>
      </w:r>
    </w:p>
    <w:p w:rsidR="00FE1536" w:rsidRPr="00F016A4" w:rsidRDefault="00FE1536" w:rsidP="00FE1536">
      <w:pPr>
        <w:pStyle w:val="Normal12Hanging"/>
      </w:pPr>
      <w:r w:rsidRPr="00F016A4">
        <w:t>–</w:t>
      </w:r>
      <w:r w:rsidRPr="00F016A4">
        <w:tab/>
        <w:t>în urma audierii lui Lampros Fountoulis, în conformitate cu articolul 9 alineatul (6) din Regulamentul de procedură,</w:t>
      </w:r>
    </w:p>
    <w:p w:rsidR="00FE1536" w:rsidRPr="00F016A4" w:rsidRDefault="00FE1536" w:rsidP="00FE1536">
      <w:pPr>
        <w:pStyle w:val="Normal12Hanging"/>
      </w:pPr>
      <w:r w:rsidRPr="00F016A4">
        <w:t>–</w:t>
      </w:r>
      <w:r w:rsidRPr="00F016A4">
        <w:tab/>
        <w:t xml:space="preserve">având în vedere articolele 8 </w:t>
      </w:r>
      <w:r w:rsidR="00D843AF">
        <w:t>ș</w:t>
      </w:r>
      <w:r w:rsidRPr="00F016A4">
        <w:t xml:space="preserve">i 9 din Protocolul nr. 7 privind privilegiile </w:t>
      </w:r>
      <w:r w:rsidR="00D843AF">
        <w:t>ș</w:t>
      </w:r>
      <w:r w:rsidRPr="00F016A4">
        <w:t>i imunită</w:t>
      </w:r>
      <w:r w:rsidR="00D843AF">
        <w:t>ț</w:t>
      </w:r>
      <w:r w:rsidRPr="00F016A4">
        <w:t xml:space="preserve">ile Uniunii Europene, precum </w:t>
      </w:r>
      <w:r w:rsidR="00D843AF">
        <w:t>ș</w:t>
      </w:r>
      <w:r w:rsidRPr="00F016A4">
        <w:t>i articolul 6 alineatul (2) din Actul din 20 septembrie 1976 privind alegerea membrilor Parlamentului European prin vot universal direct,</w:t>
      </w:r>
    </w:p>
    <w:p w:rsidR="00FE1536" w:rsidRPr="00F016A4" w:rsidRDefault="00FE1536" w:rsidP="00FE1536">
      <w:pPr>
        <w:pStyle w:val="Normal12Hanging"/>
      </w:pPr>
      <w:r w:rsidRPr="00F016A4">
        <w:t>–</w:t>
      </w:r>
      <w:r w:rsidRPr="00F016A4">
        <w:tab/>
        <w:t>având în vedere hotărârile Cur</w:t>
      </w:r>
      <w:r w:rsidR="00D843AF">
        <w:t>ț</w:t>
      </w:r>
      <w:r w:rsidRPr="00F016A4">
        <w:t>ii de Justi</w:t>
      </w:r>
      <w:r w:rsidR="00D843AF">
        <w:t>ț</w:t>
      </w:r>
      <w:r w:rsidRPr="00F016A4">
        <w:t xml:space="preserve">ie a Uniunii Europene din 12 mai 1964, 10 iulie 1986, 15 </w:t>
      </w:r>
      <w:r w:rsidR="00D843AF">
        <w:t>ș</w:t>
      </w:r>
      <w:r w:rsidRPr="00F016A4">
        <w:t xml:space="preserve">i 21 octombrie 2008, 19 martie 2010, 6 septembrie 2011 </w:t>
      </w:r>
      <w:r w:rsidR="00D843AF">
        <w:t>ș</w:t>
      </w:r>
      <w:r w:rsidRPr="00F016A4">
        <w:t>i 17 ianuarie 2013</w:t>
      </w:r>
      <w:r w:rsidRPr="00F016A4">
        <w:rPr>
          <w:vertAlign w:val="superscript"/>
        </w:rPr>
        <w:footnoteReference w:id="1"/>
      </w:r>
      <w:r w:rsidRPr="00F016A4">
        <w:t>,</w:t>
      </w:r>
    </w:p>
    <w:p w:rsidR="00FE1536" w:rsidRPr="00F016A4" w:rsidRDefault="00FE1536" w:rsidP="00FE1536">
      <w:pPr>
        <w:pStyle w:val="Normal12Hanging"/>
      </w:pPr>
      <w:r w:rsidRPr="00F016A4">
        <w:t>–</w:t>
      </w:r>
      <w:r w:rsidRPr="00F016A4">
        <w:tab/>
        <w:t>având în vedere articolul 62 din Constitu</w:t>
      </w:r>
      <w:r w:rsidR="00D843AF">
        <w:t>ț</w:t>
      </w:r>
      <w:r w:rsidRPr="00F016A4">
        <w:t>ia Republicii Elene,</w:t>
      </w:r>
    </w:p>
    <w:p w:rsidR="00FE1536" w:rsidRPr="00F016A4" w:rsidRDefault="00FE1536" w:rsidP="00FE1536">
      <w:pPr>
        <w:pStyle w:val="Normal12Hanging"/>
      </w:pPr>
      <w:r w:rsidRPr="00F016A4">
        <w:t>–</w:t>
      </w:r>
      <w:r w:rsidRPr="00F016A4">
        <w:tab/>
        <w:t xml:space="preserve">având în vedere articolul 5 alineatul (2), articolul 6 alineatul (1) </w:t>
      </w:r>
      <w:r w:rsidR="00D843AF">
        <w:t>ș</w:t>
      </w:r>
      <w:r w:rsidRPr="00F016A4">
        <w:t>i articolul 9 din Regulamentul său de procedură,</w:t>
      </w:r>
    </w:p>
    <w:p w:rsidR="00FE1536" w:rsidRPr="00F016A4" w:rsidRDefault="00FE1536" w:rsidP="00FE1536">
      <w:pPr>
        <w:pStyle w:val="Normal12Hanging"/>
      </w:pPr>
      <w:r w:rsidRPr="00F016A4">
        <w:t>–</w:t>
      </w:r>
      <w:r w:rsidRPr="00F016A4">
        <w:tab/>
        <w:t>având în vedere raportul Comisiei pentru afaceri juridice (A8-0183/2019),</w:t>
      </w:r>
    </w:p>
    <w:p w:rsidR="00FE1536" w:rsidRPr="00F016A4" w:rsidRDefault="00FE1536" w:rsidP="00FE1536">
      <w:pPr>
        <w:pStyle w:val="Normal12Hanging"/>
      </w:pPr>
      <w:r w:rsidRPr="00F016A4">
        <w:t>A.</w:t>
      </w:r>
      <w:r w:rsidRPr="00F016A4">
        <w:tab/>
        <w:t>întrucât procurorul adjunct de pe lângă Curtea Supremă a Republicii Elene a solicitat ridicarea imunită</w:t>
      </w:r>
      <w:r w:rsidR="00D843AF">
        <w:t>ț</w:t>
      </w:r>
      <w:r w:rsidRPr="00F016A4">
        <w:t>ii lui Lampros Fountoulis, deputat în Parlamentul European, în legătură cu o eventuală ac</w:t>
      </w:r>
      <w:r w:rsidR="00D843AF">
        <w:t>ț</w:t>
      </w:r>
      <w:r w:rsidRPr="00F016A4">
        <w:t>iune în justi</w:t>
      </w:r>
      <w:r w:rsidR="00D843AF">
        <w:t>ț</w:t>
      </w:r>
      <w:r w:rsidRPr="00F016A4">
        <w:t>ie pentru suspiciunea de săvâr</w:t>
      </w:r>
      <w:r w:rsidR="00D843AF">
        <w:t>ș</w:t>
      </w:r>
      <w:r w:rsidRPr="00F016A4">
        <w:t>ire a unei infrac</w:t>
      </w:r>
      <w:r w:rsidR="00D843AF">
        <w:t>ț</w:t>
      </w:r>
      <w:r w:rsidRPr="00F016A4">
        <w:t>iuni;</w:t>
      </w:r>
    </w:p>
    <w:p w:rsidR="00FE1536" w:rsidRPr="00F016A4" w:rsidRDefault="00FE1536" w:rsidP="00FE1536">
      <w:pPr>
        <w:pStyle w:val="Normal12Hanging"/>
      </w:pPr>
      <w:r w:rsidRPr="00F016A4">
        <w:t>B.</w:t>
      </w:r>
      <w:r w:rsidRPr="00F016A4">
        <w:tab/>
        <w:t xml:space="preserve">întrucât articolul 9 din Protocolul nr. 7 privind privilegiile </w:t>
      </w:r>
      <w:r w:rsidR="00D843AF">
        <w:t>ș</w:t>
      </w:r>
      <w:r w:rsidRPr="00F016A4">
        <w:t>i imunită</w:t>
      </w:r>
      <w:r w:rsidR="00D843AF">
        <w:t>ț</w:t>
      </w:r>
      <w:r w:rsidRPr="00F016A4">
        <w:t>ile Uniunii Europene stipulează că deputa</w:t>
      </w:r>
      <w:r w:rsidR="00D843AF">
        <w:t>ț</w:t>
      </w:r>
      <w:r w:rsidRPr="00F016A4">
        <w:t>ii în Parlamentul European beneficiază, pe teritoriul na</w:t>
      </w:r>
      <w:r w:rsidR="00D843AF">
        <w:t>ț</w:t>
      </w:r>
      <w:r w:rsidRPr="00F016A4">
        <w:t>ional, de imunită</w:t>
      </w:r>
      <w:r w:rsidR="00D843AF">
        <w:t>ț</w:t>
      </w:r>
      <w:r w:rsidRPr="00F016A4">
        <w:t>ile recunoscute deputa</w:t>
      </w:r>
      <w:r w:rsidR="00D843AF">
        <w:t>ț</w:t>
      </w:r>
      <w:r w:rsidRPr="00F016A4">
        <w:t xml:space="preserve">ilor parlamentului propriei </w:t>
      </w:r>
      <w:r w:rsidR="00D843AF">
        <w:t>ț</w:t>
      </w:r>
      <w:r w:rsidRPr="00F016A4">
        <w:t>ări;</w:t>
      </w:r>
    </w:p>
    <w:p w:rsidR="00FE1536" w:rsidRPr="00F016A4" w:rsidRDefault="00FE1536" w:rsidP="00FE1536">
      <w:pPr>
        <w:pStyle w:val="Normal12Hanging"/>
      </w:pPr>
      <w:r w:rsidRPr="00F016A4">
        <w:t>C.</w:t>
      </w:r>
      <w:r w:rsidRPr="00F016A4">
        <w:tab/>
        <w:t>întrucât articolul 62 din Constitu</w:t>
      </w:r>
      <w:r w:rsidR="00D843AF">
        <w:t>ț</w:t>
      </w:r>
      <w:r w:rsidRPr="00F016A4">
        <w:t>ia Republicii Elene prevede că, pe durata mandatului lor parlamentar, deputa</w:t>
      </w:r>
      <w:r w:rsidR="00D843AF">
        <w:t>ț</w:t>
      </w:r>
      <w:r w:rsidRPr="00F016A4">
        <w:t>ii nu pot fi urmări</w:t>
      </w:r>
      <w:r w:rsidR="00D843AF">
        <w:t>ț</w:t>
      </w:r>
      <w:r w:rsidRPr="00F016A4">
        <w:t>i, aresta</w:t>
      </w:r>
      <w:r w:rsidR="00D843AF">
        <w:t>ț</w:t>
      </w:r>
      <w:r w:rsidRPr="00F016A4">
        <w:t>i, trimi</w:t>
      </w:r>
      <w:r w:rsidR="00D843AF">
        <w:t>ș</w:t>
      </w:r>
      <w:r w:rsidRPr="00F016A4">
        <w:t>i în închisoare sau supu</w:t>
      </w:r>
      <w:r w:rsidR="00D843AF">
        <w:t>ș</w:t>
      </w:r>
      <w:r w:rsidRPr="00F016A4">
        <w:t>i altor măsuri privative de libertate fără acordul prealabil al Parlamentului;</w:t>
      </w:r>
    </w:p>
    <w:p w:rsidR="00FE1536" w:rsidRPr="00F016A4" w:rsidRDefault="00FE1536" w:rsidP="00FE1536">
      <w:pPr>
        <w:pStyle w:val="Normal12Hanging"/>
      </w:pPr>
      <w:r w:rsidRPr="00F016A4">
        <w:t>D.</w:t>
      </w:r>
      <w:r w:rsidRPr="00F016A4">
        <w:tab/>
        <w:t>întrucât cererea procurorului adjunct al Cur</w:t>
      </w:r>
      <w:r w:rsidR="00D843AF">
        <w:t>ț</w:t>
      </w:r>
      <w:r w:rsidRPr="00F016A4">
        <w:t>ii Supreme a Republicii Elene se referă la o procedură pentru acuza</w:t>
      </w:r>
      <w:r w:rsidR="00D843AF">
        <w:t>ț</w:t>
      </w:r>
      <w:r w:rsidRPr="00F016A4">
        <w:t xml:space="preserve">ia de încălcare a articolul 45 </w:t>
      </w:r>
      <w:r w:rsidR="00D843AF">
        <w:t>ș</w:t>
      </w:r>
      <w:r w:rsidRPr="00F016A4">
        <w:t>i a articolul 232a din Codul penal elen, privind încălcarea în comun a unei hotărâri judecătore</w:t>
      </w:r>
      <w:r w:rsidR="00D843AF">
        <w:t>ș</w:t>
      </w:r>
      <w:r w:rsidRPr="00F016A4">
        <w:t xml:space="preserve">ti; </w:t>
      </w:r>
    </w:p>
    <w:p w:rsidR="00FE1536" w:rsidRPr="00F016A4" w:rsidRDefault="00FE1536" w:rsidP="00FE1536">
      <w:pPr>
        <w:pStyle w:val="Normal12Hanging"/>
      </w:pPr>
      <w:r w:rsidRPr="00F016A4">
        <w:t>E.</w:t>
      </w:r>
      <w:r w:rsidRPr="00F016A4">
        <w:tab/>
        <w:t>întrucât Lampros Fountoulis este acuzat de a nu fi respectat hotărârea provizorie nr. 3603/2015 a tribunalului de primă instan</w:t>
      </w:r>
      <w:r w:rsidR="00D843AF">
        <w:t>ț</w:t>
      </w:r>
      <w:r w:rsidRPr="00F016A4">
        <w:t xml:space="preserve">ă, în complet compus dintr-un singur judecător, din Atena, prin care se dispune eliminarea tuturor camerelor de supraveghere de la parterul </w:t>
      </w:r>
      <w:r w:rsidR="00D843AF">
        <w:t>ș</w:t>
      </w:r>
      <w:r w:rsidRPr="00F016A4">
        <w:t xml:space="preserve">i de la intrarea în clădirea situată pe str. Odos Grammou nr. 73 în Marousi (Attica), precum </w:t>
      </w:r>
      <w:r w:rsidR="00D843AF">
        <w:t>ș</w:t>
      </w:r>
      <w:r w:rsidRPr="00F016A4">
        <w:t>i plata unei amenzi de 600 EUR (</w:t>
      </w:r>
      <w:r w:rsidR="00D843AF">
        <w:t>ș</w:t>
      </w:r>
      <w:r w:rsidRPr="00F016A4">
        <w:t>ase sute de euro) pentru fiecare încălcare viitoare a hotărârii din 25 mai 2015;</w:t>
      </w:r>
    </w:p>
    <w:p w:rsidR="00FE1536" w:rsidRPr="00F016A4" w:rsidRDefault="00FE1536" w:rsidP="00FE1536">
      <w:pPr>
        <w:pStyle w:val="Normal12Hanging"/>
      </w:pPr>
      <w:r w:rsidRPr="00F016A4">
        <w:t>F.</w:t>
      </w:r>
      <w:r w:rsidRPr="00F016A4">
        <w:tab/>
        <w:t>întrucât, în conformitate cu articolul 9 alineatul (8) din Regulamentul de procedură, Comisia pentru afaceri juridice nu se poate pronun</w:t>
      </w:r>
      <w:r w:rsidR="00D843AF">
        <w:t>ț</w:t>
      </w:r>
      <w:r w:rsidRPr="00F016A4">
        <w:t>a în niciun caz asupra vinovă</w:t>
      </w:r>
      <w:r w:rsidR="00D843AF">
        <w:t>ț</w:t>
      </w:r>
      <w:r w:rsidRPr="00F016A4">
        <w:t>iei sau nevinovă</w:t>
      </w:r>
      <w:r w:rsidR="00D843AF">
        <w:t>ț</w:t>
      </w:r>
      <w:r w:rsidRPr="00F016A4">
        <w:t>iei unui deputat sau asupra oportunită</w:t>
      </w:r>
      <w:r w:rsidR="00D843AF">
        <w:t>ț</w:t>
      </w:r>
      <w:r w:rsidRPr="00F016A4">
        <w:t>ii sau inoportunită</w:t>
      </w:r>
      <w:r w:rsidR="00D843AF">
        <w:t>ț</w:t>
      </w:r>
      <w:r w:rsidRPr="00F016A4">
        <w:t>ii urmăririi penale pentru opiniile sau actele care îi sunt imputate, chiar dacă, în urma examinării cererii de ridicare a imunită</w:t>
      </w:r>
      <w:r w:rsidR="00D843AF">
        <w:t>ț</w:t>
      </w:r>
      <w:r w:rsidRPr="00F016A4">
        <w:t>ii, a ajuns la o cunoa</w:t>
      </w:r>
      <w:r w:rsidR="00D843AF">
        <w:t>ș</w:t>
      </w:r>
      <w:r w:rsidRPr="00F016A4">
        <w:t>tere aprofundată a cauzei;</w:t>
      </w:r>
    </w:p>
    <w:p w:rsidR="00FE1536" w:rsidRPr="00F016A4" w:rsidRDefault="00FE1536" w:rsidP="00FE1536">
      <w:pPr>
        <w:pStyle w:val="Normal12Hanging"/>
      </w:pPr>
      <w:r w:rsidRPr="00F016A4">
        <w:t>G.</w:t>
      </w:r>
      <w:r w:rsidRPr="00F016A4">
        <w:tab/>
        <w:t>întrucât nu este de competen</w:t>
      </w:r>
      <w:r w:rsidR="00D843AF">
        <w:t>ț</w:t>
      </w:r>
      <w:r w:rsidRPr="00F016A4">
        <w:t>a Parlamentului European să adopte o pozi</w:t>
      </w:r>
      <w:r w:rsidR="00D843AF">
        <w:t>ț</w:t>
      </w:r>
      <w:r w:rsidRPr="00F016A4">
        <w:t>ie cu privire la vinovă</w:t>
      </w:r>
      <w:r w:rsidR="00D843AF">
        <w:t>ț</w:t>
      </w:r>
      <w:r w:rsidRPr="00F016A4">
        <w:t>ia sau nevinovă</w:t>
      </w:r>
      <w:r w:rsidR="00D843AF">
        <w:t>ț</w:t>
      </w:r>
      <w:r w:rsidRPr="00F016A4">
        <w:t>ia deputatului sau să se pronun</w:t>
      </w:r>
      <w:r w:rsidR="00D843AF">
        <w:t>ț</w:t>
      </w:r>
      <w:r w:rsidRPr="00F016A4">
        <w:t>e dacă actele care îi sunt imputate justifică punerea în mi</w:t>
      </w:r>
      <w:r w:rsidR="00D843AF">
        <w:t>ș</w:t>
      </w:r>
      <w:r w:rsidRPr="00F016A4">
        <w:t>care a ac</w:t>
      </w:r>
      <w:r w:rsidR="00D843AF">
        <w:t>ț</w:t>
      </w:r>
      <w:r w:rsidRPr="00F016A4">
        <w:t xml:space="preserve">iunii penale, </w:t>
      </w:r>
      <w:r w:rsidR="00D843AF">
        <w:t>ș</w:t>
      </w:r>
      <w:r w:rsidRPr="00F016A4">
        <w:t>i nici să se pronun</w:t>
      </w:r>
      <w:r w:rsidR="00D843AF">
        <w:t>ț</w:t>
      </w:r>
      <w:r w:rsidRPr="00F016A4">
        <w:t xml:space="preserve">e pe fond cu privire la sistemele juridice </w:t>
      </w:r>
      <w:r w:rsidR="00D843AF">
        <w:t>ș</w:t>
      </w:r>
      <w:r w:rsidRPr="00F016A4">
        <w:t>i judiciare na</w:t>
      </w:r>
      <w:r w:rsidR="00D843AF">
        <w:t>ț</w:t>
      </w:r>
      <w:r w:rsidRPr="00F016A4">
        <w:t>ionale;</w:t>
      </w:r>
    </w:p>
    <w:p w:rsidR="00FE1536" w:rsidRPr="00F016A4" w:rsidRDefault="00FE1536" w:rsidP="00FE1536">
      <w:pPr>
        <w:pStyle w:val="Normal12Hanging"/>
      </w:pPr>
      <w:r w:rsidRPr="00F016A4">
        <w:t>H.</w:t>
      </w:r>
      <w:r w:rsidRPr="00F016A4">
        <w:tab/>
        <w:t>întrucât, în conformitate cu articolul 5 alineatul (2) din Regulamentul de procedură al Parlamentului European, imunitatea parlamentară nu este un privilegiu personal al deputa</w:t>
      </w:r>
      <w:r w:rsidR="00D843AF">
        <w:t>ț</w:t>
      </w:r>
      <w:r w:rsidRPr="00F016A4">
        <w:t>ilor, ci o garan</w:t>
      </w:r>
      <w:r w:rsidR="00D843AF">
        <w:t>ț</w:t>
      </w:r>
      <w:r w:rsidRPr="00F016A4">
        <w:t>ie a independen</w:t>
      </w:r>
      <w:r w:rsidR="00D843AF">
        <w:t>ț</w:t>
      </w:r>
      <w:r w:rsidRPr="00F016A4">
        <w:t xml:space="preserve">ei Parlamentului în ansamblu </w:t>
      </w:r>
      <w:r w:rsidR="00D843AF">
        <w:t>ș</w:t>
      </w:r>
      <w:r w:rsidRPr="00F016A4">
        <w:t>i a deputa</w:t>
      </w:r>
      <w:r w:rsidR="00D843AF">
        <w:t>ț</w:t>
      </w:r>
      <w:r w:rsidRPr="00F016A4">
        <w:t>ilor săi;</w:t>
      </w:r>
    </w:p>
    <w:p w:rsidR="00FE1536" w:rsidRPr="00F016A4" w:rsidRDefault="00FE1536" w:rsidP="00FE1536">
      <w:pPr>
        <w:pStyle w:val="Normal12Hanging"/>
      </w:pPr>
      <w:r w:rsidRPr="00F016A4">
        <w:t>I.</w:t>
      </w:r>
      <w:r w:rsidRPr="00F016A4">
        <w:tab/>
        <w:t>întrucât scopul imunită</w:t>
      </w:r>
      <w:r w:rsidR="00D843AF">
        <w:t>ț</w:t>
      </w:r>
      <w:r w:rsidRPr="00F016A4">
        <w:t xml:space="preserve">ii parlamentare este acela de a proteja Parlamentul </w:t>
      </w:r>
      <w:r w:rsidR="00D843AF">
        <w:t>ș</w:t>
      </w:r>
      <w:r w:rsidRPr="00F016A4">
        <w:t>i membrii săi de proceduri judiciare deschise în legătură cu ac</w:t>
      </w:r>
      <w:r w:rsidR="00D843AF">
        <w:t>ț</w:t>
      </w:r>
      <w:r w:rsidRPr="00F016A4">
        <w:t>iuni inerente exercitării func</w:t>
      </w:r>
      <w:r w:rsidR="00D843AF">
        <w:t>ț</w:t>
      </w:r>
      <w:r w:rsidRPr="00F016A4">
        <w:t>iilor parlamentare, care nu pot fi disociate de aceste func</w:t>
      </w:r>
      <w:r w:rsidR="00D843AF">
        <w:t>ț</w:t>
      </w:r>
      <w:r w:rsidRPr="00F016A4">
        <w:t xml:space="preserve">ii; </w:t>
      </w:r>
    </w:p>
    <w:p w:rsidR="00FE1536" w:rsidRPr="00F016A4" w:rsidRDefault="00FE1536" w:rsidP="00FE1536">
      <w:pPr>
        <w:pStyle w:val="Normal12Hanging"/>
      </w:pPr>
      <w:r w:rsidRPr="00F016A4">
        <w:t>J.</w:t>
      </w:r>
      <w:r w:rsidRPr="00F016A4">
        <w:tab/>
        <w:t>întrucât urmărirea de fa</w:t>
      </w:r>
      <w:r w:rsidR="00D843AF">
        <w:t>ț</w:t>
      </w:r>
      <w:r w:rsidRPr="00F016A4">
        <w:t>ă nu are drept obiect opinii sau voturi exprimate în exercitarea func</w:t>
      </w:r>
      <w:r w:rsidR="00D843AF">
        <w:t>ț</w:t>
      </w:r>
      <w:r w:rsidRPr="00F016A4">
        <w:t xml:space="preserve">iilor deputatului în Parlamentul European în cauză, în sensul articolului 8 din Protocolul nr. 7 privind privilegiile </w:t>
      </w:r>
      <w:r w:rsidR="00D843AF">
        <w:t>ș</w:t>
      </w:r>
      <w:r w:rsidRPr="00F016A4">
        <w:t>i imunită</w:t>
      </w:r>
      <w:r w:rsidR="00D843AF">
        <w:t>ț</w:t>
      </w:r>
      <w:r w:rsidRPr="00F016A4">
        <w:t>ile Uniunii Europene;</w:t>
      </w:r>
    </w:p>
    <w:p w:rsidR="00FA1647" w:rsidRPr="00F016A4" w:rsidRDefault="00FA1647" w:rsidP="00FA1647">
      <w:pPr>
        <w:pStyle w:val="Normal12Hanging"/>
      </w:pPr>
      <w:r w:rsidRPr="00F016A4">
        <w:t>K.</w:t>
      </w:r>
      <w:r w:rsidRPr="00F016A4">
        <w:tab/>
        <w:t>întrucât, pe baza informa</w:t>
      </w:r>
      <w:r w:rsidR="00D843AF">
        <w:t>ț</w:t>
      </w:r>
      <w:r w:rsidRPr="00F016A4">
        <w:t xml:space="preserve">iilor </w:t>
      </w:r>
      <w:r w:rsidR="00D843AF">
        <w:t>ș</w:t>
      </w:r>
      <w:r w:rsidRPr="00F016A4">
        <w:t>i a explica</w:t>
      </w:r>
      <w:r w:rsidR="00D843AF">
        <w:t>ț</w:t>
      </w:r>
      <w:r w:rsidRPr="00F016A4">
        <w:t>iilor furnizate în acest caz, nu există niciun motiv să se suspecteze că inten</w:t>
      </w:r>
      <w:r w:rsidR="00D843AF">
        <w:t>ț</w:t>
      </w:r>
      <w:r w:rsidRPr="00F016A4">
        <w:t>ia care stă la baza procedurilor penale este de a prejudicia activitatea politică sau reputa</w:t>
      </w:r>
      <w:r w:rsidR="00D843AF">
        <w:t>ț</w:t>
      </w:r>
      <w:r w:rsidRPr="00F016A4">
        <w:t xml:space="preserve">ia unui deputat </w:t>
      </w:r>
      <w:r w:rsidR="00D843AF">
        <w:t>ș</w:t>
      </w:r>
      <w:r w:rsidRPr="00F016A4">
        <w:t>i, prin urmare, independen</w:t>
      </w:r>
      <w:r w:rsidR="00D843AF">
        <w:t>ț</w:t>
      </w:r>
      <w:r w:rsidRPr="00F016A4">
        <w:t>a Parlamentului (fumus persecutionis);</w:t>
      </w:r>
    </w:p>
    <w:p w:rsidR="00FE1536" w:rsidRPr="00F016A4" w:rsidRDefault="00FE1536" w:rsidP="00FE1536">
      <w:pPr>
        <w:pStyle w:val="Normal12Hanging"/>
      </w:pPr>
      <w:r w:rsidRPr="00F016A4">
        <w:t>1.</w:t>
      </w:r>
      <w:r w:rsidRPr="00F016A4">
        <w:tab/>
        <w:t>hotără</w:t>
      </w:r>
      <w:r w:rsidR="00D843AF">
        <w:t>ș</w:t>
      </w:r>
      <w:r w:rsidRPr="00F016A4">
        <w:t>te să ridice</w:t>
      </w:r>
      <w:bookmarkStart w:id="2" w:name="DocEPTmp2"/>
      <w:bookmarkEnd w:id="2"/>
      <w:r w:rsidRPr="00F016A4">
        <w:t xml:space="preserve"> imunitatea lui Lampros Fountoulis;</w:t>
      </w:r>
    </w:p>
    <w:p w:rsidR="00FE1536" w:rsidRPr="00F016A4" w:rsidRDefault="00FE1536" w:rsidP="00FE1536">
      <w:pPr>
        <w:pStyle w:val="Normal12Hanging"/>
      </w:pPr>
      <w:r w:rsidRPr="00F016A4">
        <w:t>2.</w:t>
      </w:r>
      <w:r w:rsidRPr="00F016A4">
        <w:tab/>
        <w:t>îi încredin</w:t>
      </w:r>
      <w:r w:rsidR="00D843AF">
        <w:t>ț</w:t>
      </w:r>
      <w:r w:rsidRPr="00F016A4">
        <w:t>ează Pre</w:t>
      </w:r>
      <w:r w:rsidR="00D843AF">
        <w:t>ș</w:t>
      </w:r>
      <w:r w:rsidRPr="00F016A4">
        <w:t xml:space="preserve">edintelui sarcina de a transmite imediat prezenta decizie, precum </w:t>
      </w:r>
      <w:r w:rsidR="00D843AF">
        <w:t>ș</w:t>
      </w:r>
      <w:r w:rsidRPr="00F016A4">
        <w:t>i raportul comisiei competente autorită</w:t>
      </w:r>
      <w:r w:rsidR="00D843AF">
        <w:t>ț</w:t>
      </w:r>
      <w:r w:rsidRPr="00F016A4">
        <w:t xml:space="preserve">ilor elene </w:t>
      </w:r>
      <w:r w:rsidR="00D843AF">
        <w:t>ș</w:t>
      </w:r>
      <w:r w:rsidRPr="00F016A4">
        <w:t>i lui Lampros Fountoulis.</w:t>
      </w:r>
    </w:p>
    <w:p w:rsidR="00951B61" w:rsidRPr="00F016A4" w:rsidRDefault="00951B61" w:rsidP="00497366">
      <w:r w:rsidRPr="00F016A4">
        <w:br w:type="page"/>
      </w:r>
    </w:p>
    <w:p w:rsidR="00497366" w:rsidRPr="00F016A4" w:rsidRDefault="001415EC" w:rsidP="00497366">
      <w:pPr>
        <w:pStyle w:val="PageHeading"/>
      </w:pPr>
      <w:bookmarkStart w:id="3" w:name="ProcPageRR"/>
      <w:bookmarkStart w:id="4" w:name="_Toc5183386"/>
      <w:r w:rsidRPr="00F016A4">
        <w:t>INFORMA</w:t>
      </w:r>
      <w:r w:rsidR="00D843AF">
        <w:t>Ț</w:t>
      </w:r>
      <w:r w:rsidRPr="00F016A4">
        <w:t>II PRIVIND ADOPTAREA ÎN COMISIA COMPETENTĂ</w:t>
      </w:r>
      <w:bookmarkEnd w:id="4"/>
    </w:p>
    <w:tbl>
      <w:tblPr>
        <w:tblW w:w="963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1415EC" w:rsidRPr="00F016A4" w:rsidTr="001415E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016A4">
              <w:rPr>
                <w:b/>
                <w:bCs/>
                <w:color w:val="000000"/>
                <w:sz w:val="20"/>
              </w:rPr>
              <w:t>Data adoptării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1.4.2019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1415EC" w:rsidRPr="00F016A4" w:rsidTr="001415E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016A4">
              <w:rPr>
                <w:b/>
                <w:bCs/>
                <w:color w:val="000000"/>
                <w:sz w:val="20"/>
              </w:rPr>
              <w:t>Rezultatul votului final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+:</w:t>
            </w:r>
          </w:p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–:</w:t>
            </w:r>
          </w:p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0: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8</w:t>
            </w:r>
          </w:p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0</w:t>
            </w:r>
          </w:p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0</w:t>
            </w:r>
          </w:p>
        </w:tc>
      </w:tr>
      <w:tr w:rsidR="001415EC" w:rsidRPr="00F016A4" w:rsidTr="001415EC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016A4">
              <w:rPr>
                <w:b/>
                <w:bCs/>
                <w:color w:val="000000"/>
                <w:sz w:val="20"/>
              </w:rPr>
              <w:t>Membri titulari prezen</w:t>
            </w:r>
            <w:r w:rsidR="00D843AF">
              <w:rPr>
                <w:b/>
                <w:bCs/>
                <w:color w:val="000000"/>
                <w:sz w:val="20"/>
              </w:rPr>
              <w:t>ț</w:t>
            </w:r>
            <w:r w:rsidRPr="00F016A4">
              <w:rPr>
                <w:b/>
                <w:bCs/>
                <w:color w:val="000000"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Max Andersson, Marie-Christine Boutonnet, Jean-Marie Cavada, Mady Delvaux, Sylvia-Yvonne Kaufmann, Evelyn Regner, Pavel Svoboda, Tadeusz Zwiefka</w:t>
            </w:r>
          </w:p>
        </w:tc>
      </w:tr>
      <w:tr w:rsidR="001415EC" w:rsidRPr="00F016A4" w:rsidTr="001415EC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F016A4">
              <w:rPr>
                <w:b/>
                <w:bCs/>
                <w:color w:val="000000"/>
                <w:sz w:val="20"/>
              </w:rPr>
              <w:t>Membri suplean</w:t>
            </w:r>
            <w:r w:rsidR="00D843AF">
              <w:rPr>
                <w:b/>
                <w:bCs/>
                <w:color w:val="000000"/>
                <w:sz w:val="20"/>
              </w:rPr>
              <w:t>ț</w:t>
            </w:r>
            <w:r w:rsidRPr="00F016A4">
              <w:rPr>
                <w:b/>
                <w:bCs/>
                <w:color w:val="000000"/>
                <w:sz w:val="20"/>
              </w:rPr>
              <w:t>i prezen</w:t>
            </w:r>
            <w:r w:rsidR="00D843AF">
              <w:rPr>
                <w:b/>
                <w:bCs/>
                <w:color w:val="000000"/>
                <w:sz w:val="20"/>
              </w:rPr>
              <w:t>ț</w:t>
            </w:r>
            <w:r w:rsidRPr="00F016A4">
              <w:rPr>
                <w:b/>
                <w:bCs/>
                <w:color w:val="000000"/>
                <w:sz w:val="20"/>
              </w:rPr>
              <w:t>i la votul final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415EC" w:rsidRPr="00F016A4" w:rsidRDefault="001415EC" w:rsidP="001415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016A4">
              <w:rPr>
                <w:color w:val="000000"/>
                <w:sz w:val="20"/>
              </w:rPr>
              <w:t>Virginie Rozière</w:t>
            </w:r>
          </w:p>
        </w:tc>
      </w:tr>
    </w:tbl>
    <w:p w:rsidR="00497366" w:rsidRPr="00F016A4" w:rsidRDefault="0049736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bookmarkEnd w:id="3"/>
    <w:p w:rsidR="00D61CEC" w:rsidRPr="00F016A4" w:rsidRDefault="00D61CEC" w:rsidP="00497366"/>
    <w:sectPr w:rsidR="00D61CEC" w:rsidRPr="00F016A4" w:rsidSect="00F0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29" w:rsidRPr="00F016A4" w:rsidRDefault="005F3529">
      <w:r w:rsidRPr="00F016A4">
        <w:separator/>
      </w:r>
    </w:p>
  </w:endnote>
  <w:endnote w:type="continuationSeparator" w:id="0">
    <w:p w:rsidR="005F3529" w:rsidRPr="00F016A4" w:rsidRDefault="005F3529">
      <w:r w:rsidRPr="00F016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A4" w:rsidRPr="00F016A4" w:rsidRDefault="00F016A4" w:rsidP="00F016A4">
    <w:pPr>
      <w:pStyle w:val="Footer"/>
    </w:pPr>
    <w:r w:rsidRPr="00F016A4">
      <w:t>PE</w:t>
    </w:r>
    <w:r w:rsidRPr="00F016A4">
      <w:rPr>
        <w:rStyle w:val="HideTWBExt"/>
        <w:noProof w:val="0"/>
      </w:rPr>
      <w:t>&lt;NoPE&gt;</w:t>
    </w:r>
    <w:r w:rsidRPr="00F016A4">
      <w:t>634.552</w:t>
    </w:r>
    <w:r w:rsidRPr="00F016A4">
      <w:rPr>
        <w:rStyle w:val="HideTWBExt"/>
        <w:noProof w:val="0"/>
      </w:rPr>
      <w:t>&lt;/NoPE&gt;&lt;Version&gt;</w:t>
    </w:r>
    <w:r w:rsidRPr="00F016A4">
      <w:t>v02-00</w:t>
    </w:r>
    <w:r w:rsidRPr="00F016A4">
      <w:rPr>
        <w:rStyle w:val="HideTWBExt"/>
        <w:noProof w:val="0"/>
      </w:rPr>
      <w:t>&lt;/Version&gt;</w:t>
    </w:r>
    <w:r w:rsidRPr="00F016A4">
      <w:tab/>
    </w:r>
    <w:r w:rsidRPr="00F016A4">
      <w:fldChar w:fldCharType="begin"/>
    </w:r>
    <w:r w:rsidRPr="00F016A4">
      <w:instrText xml:space="preserve"> PAGE  \* MERGEFORMAT </w:instrText>
    </w:r>
    <w:r w:rsidRPr="00F016A4">
      <w:fldChar w:fldCharType="separate"/>
    </w:r>
    <w:r w:rsidR="00D843AF">
      <w:rPr>
        <w:noProof/>
      </w:rPr>
      <w:t>5</w:t>
    </w:r>
    <w:r w:rsidRPr="00F016A4">
      <w:fldChar w:fldCharType="end"/>
    </w:r>
    <w:r w:rsidRPr="00F016A4">
      <w:t>/</w:t>
    </w:r>
    <w:fldSimple w:instr=" NUMPAGES  \* MERGEFORMAT ">
      <w:r w:rsidR="00D843AF">
        <w:rPr>
          <w:noProof/>
        </w:rPr>
        <w:t>5</w:t>
      </w:r>
    </w:fldSimple>
    <w:r w:rsidRPr="00F016A4">
      <w:tab/>
    </w:r>
    <w:r w:rsidRPr="00F016A4">
      <w:rPr>
        <w:rStyle w:val="HideTWBExt"/>
        <w:noProof w:val="0"/>
      </w:rPr>
      <w:t>&lt;PathFdR&gt;</w:t>
    </w:r>
    <w:r w:rsidRPr="00F016A4">
      <w:t>RR\1181559RO.docx</w:t>
    </w:r>
    <w:r w:rsidRPr="00F016A4">
      <w:rPr>
        <w:rStyle w:val="HideTWBExt"/>
        <w:noProof w:val="0"/>
      </w:rPr>
      <w:t>&lt;/PathFdR&gt;</w:t>
    </w:r>
  </w:p>
  <w:p w:rsidR="0023430B" w:rsidRPr="00F016A4" w:rsidRDefault="00F016A4" w:rsidP="00F016A4">
    <w:pPr>
      <w:pStyle w:val="Footer2"/>
    </w:pPr>
    <w:r w:rsidRPr="00F016A4"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A4" w:rsidRPr="00F016A4" w:rsidRDefault="00F016A4" w:rsidP="00F016A4">
    <w:pPr>
      <w:pStyle w:val="Footer"/>
    </w:pPr>
    <w:r w:rsidRPr="00F016A4">
      <w:rPr>
        <w:rStyle w:val="HideTWBExt"/>
        <w:noProof w:val="0"/>
      </w:rPr>
      <w:t>&lt;PathFdR&gt;</w:t>
    </w:r>
    <w:r w:rsidRPr="00F016A4">
      <w:t>RR\1181559RO.docx</w:t>
    </w:r>
    <w:r w:rsidRPr="00F016A4">
      <w:rPr>
        <w:rStyle w:val="HideTWBExt"/>
        <w:noProof w:val="0"/>
      </w:rPr>
      <w:t>&lt;/PathFdR&gt;</w:t>
    </w:r>
    <w:r w:rsidRPr="00F016A4">
      <w:tab/>
    </w:r>
    <w:r w:rsidRPr="00F016A4">
      <w:fldChar w:fldCharType="begin"/>
    </w:r>
    <w:r w:rsidRPr="00F016A4">
      <w:instrText xml:space="preserve"> PAGE  \* MERGEFORMAT </w:instrText>
    </w:r>
    <w:r w:rsidRPr="00F016A4">
      <w:fldChar w:fldCharType="separate"/>
    </w:r>
    <w:r w:rsidR="00D843AF">
      <w:rPr>
        <w:noProof/>
      </w:rPr>
      <w:t>5</w:t>
    </w:r>
    <w:r w:rsidRPr="00F016A4">
      <w:fldChar w:fldCharType="end"/>
    </w:r>
    <w:r w:rsidRPr="00F016A4">
      <w:t>/</w:t>
    </w:r>
    <w:fldSimple w:instr=" NUMPAGES  \* MERGEFORMAT ">
      <w:r w:rsidR="00D843AF">
        <w:rPr>
          <w:noProof/>
        </w:rPr>
        <w:t>5</w:t>
      </w:r>
    </w:fldSimple>
    <w:r w:rsidRPr="00F016A4">
      <w:tab/>
      <w:t>PE</w:t>
    </w:r>
    <w:r w:rsidRPr="00F016A4">
      <w:rPr>
        <w:rStyle w:val="HideTWBExt"/>
        <w:noProof w:val="0"/>
      </w:rPr>
      <w:t>&lt;NoPE&gt;</w:t>
    </w:r>
    <w:r w:rsidRPr="00F016A4">
      <w:t>634.552</w:t>
    </w:r>
    <w:r w:rsidRPr="00F016A4">
      <w:rPr>
        <w:rStyle w:val="HideTWBExt"/>
        <w:noProof w:val="0"/>
      </w:rPr>
      <w:t>&lt;/NoPE&gt;&lt;Version&gt;</w:t>
    </w:r>
    <w:r w:rsidRPr="00F016A4">
      <w:t>v02-00</w:t>
    </w:r>
    <w:r w:rsidRPr="00F016A4">
      <w:rPr>
        <w:rStyle w:val="HideTWBExt"/>
        <w:noProof w:val="0"/>
      </w:rPr>
      <w:t>&lt;/Version&gt;</w:t>
    </w:r>
  </w:p>
  <w:p w:rsidR="0023430B" w:rsidRPr="00F016A4" w:rsidRDefault="00F016A4" w:rsidP="00F016A4">
    <w:pPr>
      <w:pStyle w:val="Footer2"/>
    </w:pPr>
    <w:r w:rsidRPr="00F016A4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A4" w:rsidRPr="00F016A4" w:rsidRDefault="00F016A4" w:rsidP="00F016A4">
    <w:pPr>
      <w:pStyle w:val="Footer"/>
    </w:pPr>
    <w:r w:rsidRPr="00F016A4">
      <w:rPr>
        <w:rStyle w:val="HideTWBExt"/>
        <w:noProof w:val="0"/>
      </w:rPr>
      <w:t>&lt;PathFdR&gt;</w:t>
    </w:r>
    <w:r w:rsidRPr="00F016A4">
      <w:t>RR\1181559RO.docx</w:t>
    </w:r>
    <w:r w:rsidRPr="00F016A4">
      <w:rPr>
        <w:rStyle w:val="HideTWBExt"/>
        <w:noProof w:val="0"/>
      </w:rPr>
      <w:t>&lt;/PathFdR&gt;</w:t>
    </w:r>
    <w:r w:rsidRPr="00F016A4">
      <w:tab/>
    </w:r>
    <w:r w:rsidRPr="00F016A4">
      <w:tab/>
      <w:t>PE</w:t>
    </w:r>
    <w:r w:rsidRPr="00F016A4">
      <w:rPr>
        <w:rStyle w:val="HideTWBExt"/>
        <w:noProof w:val="0"/>
      </w:rPr>
      <w:t>&lt;NoPE&gt;</w:t>
    </w:r>
    <w:r w:rsidRPr="00F016A4">
      <w:t>634.552</w:t>
    </w:r>
    <w:r w:rsidRPr="00F016A4">
      <w:rPr>
        <w:rStyle w:val="HideTWBExt"/>
        <w:noProof w:val="0"/>
      </w:rPr>
      <w:t>&lt;/NoPE&gt;&lt;Version&gt;</w:t>
    </w:r>
    <w:r w:rsidRPr="00F016A4">
      <w:t>v02-00</w:t>
    </w:r>
    <w:r w:rsidRPr="00F016A4">
      <w:rPr>
        <w:rStyle w:val="HideTWBExt"/>
        <w:noProof w:val="0"/>
      </w:rPr>
      <w:t>&lt;/Version&gt;</w:t>
    </w:r>
  </w:p>
  <w:p w:rsidR="0023430B" w:rsidRPr="00F016A4" w:rsidRDefault="00F016A4" w:rsidP="00F016A4">
    <w:pPr>
      <w:pStyle w:val="Footer2"/>
      <w:tabs>
        <w:tab w:val="center" w:pos="4535"/>
        <w:tab w:val="right" w:pos="9921"/>
      </w:tabs>
    </w:pPr>
    <w:r w:rsidRPr="00F016A4">
      <w:t>RO</w:t>
    </w:r>
    <w:r w:rsidRPr="00F016A4">
      <w:tab/>
    </w:r>
    <w:r w:rsidRPr="00F016A4">
      <w:rPr>
        <w:b w:val="0"/>
        <w:i/>
        <w:color w:val="C0C0C0"/>
        <w:sz w:val="22"/>
      </w:rPr>
      <w:t>Unită în diversitate</w:t>
    </w:r>
    <w:r w:rsidRPr="00F016A4"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29" w:rsidRPr="00F016A4" w:rsidRDefault="005F3529">
      <w:r w:rsidRPr="00F016A4">
        <w:separator/>
      </w:r>
    </w:p>
  </w:footnote>
  <w:footnote w:type="continuationSeparator" w:id="0">
    <w:p w:rsidR="005F3529" w:rsidRPr="00F016A4" w:rsidRDefault="005F3529">
      <w:r w:rsidRPr="00F016A4">
        <w:continuationSeparator/>
      </w:r>
    </w:p>
  </w:footnote>
  <w:footnote w:id="1">
    <w:p w:rsidR="00FE1536" w:rsidRPr="00F016A4" w:rsidRDefault="00FE1536" w:rsidP="00FE1536">
      <w:pPr>
        <w:pStyle w:val="FootnoteText"/>
        <w:ind w:left="567" w:hanging="567"/>
      </w:pPr>
      <w:r w:rsidRPr="00F016A4">
        <w:rPr>
          <w:rStyle w:val="FootnoteReference"/>
        </w:rPr>
        <w:footnoteRef/>
      </w:r>
      <w:r w:rsidRPr="00F016A4">
        <w:tab/>
        <w:t>Hotărârea Cur</w:t>
      </w:r>
      <w:r w:rsidR="00D843AF">
        <w:t>ț</w:t>
      </w:r>
      <w:r w:rsidRPr="00F016A4">
        <w:t>ii de Justi</w:t>
      </w:r>
      <w:r w:rsidR="00D843AF">
        <w:t>ț</w:t>
      </w:r>
      <w:r w:rsidRPr="00F016A4">
        <w:t xml:space="preserve">ie din 12 mai 1964, Wagner/Fohrmann </w:t>
      </w:r>
      <w:r w:rsidR="00D843AF">
        <w:t>ș</w:t>
      </w:r>
      <w:r w:rsidRPr="00F016A4">
        <w:t>i Krier, 101/63, ECLI:EU:C:1964:28, hotărârea Cur</w:t>
      </w:r>
      <w:r w:rsidR="00D843AF">
        <w:t>ț</w:t>
      </w:r>
      <w:r w:rsidRPr="00F016A4">
        <w:t>ii de Justi</w:t>
      </w:r>
      <w:r w:rsidR="00D843AF">
        <w:t>ț</w:t>
      </w:r>
      <w:r w:rsidRPr="00F016A4">
        <w:t xml:space="preserve">ie din 10 iulie 1986, Wybot/Faure </w:t>
      </w:r>
      <w:r w:rsidR="00D843AF">
        <w:t>ș</w:t>
      </w:r>
      <w:r w:rsidRPr="00F016A4">
        <w:t>i al</w:t>
      </w:r>
      <w:r w:rsidR="00D843AF">
        <w:t>ț</w:t>
      </w:r>
      <w:r w:rsidRPr="00F016A4">
        <w:t>ii, 149/85, ECLI:EU:C:1986:310, hotărârea Tribunalului din 15 octombrie 2008, Mote/Parlamentul, T-345/05, ECLI:EU:T:2008:440, hotărârea Cur</w:t>
      </w:r>
      <w:r w:rsidR="00D843AF">
        <w:t>ț</w:t>
      </w:r>
      <w:r w:rsidRPr="00F016A4">
        <w:t>ii de Justi</w:t>
      </w:r>
      <w:r w:rsidR="00D843AF">
        <w:t>ț</w:t>
      </w:r>
      <w:r w:rsidRPr="00F016A4">
        <w:t xml:space="preserve">ie din 21 octombrie 2008, Marra/De Gregorio </w:t>
      </w:r>
      <w:r w:rsidR="00D843AF">
        <w:t>ș</w:t>
      </w:r>
      <w:r w:rsidRPr="00F016A4">
        <w:t>i Clemente, pronun</w:t>
      </w:r>
      <w:r w:rsidR="00D843AF">
        <w:t>ț</w:t>
      </w:r>
      <w:r w:rsidRPr="00F016A4">
        <w:t xml:space="preserve">ată în cauzele conexe C-200/07 </w:t>
      </w:r>
      <w:r w:rsidR="00D843AF">
        <w:t>ș</w:t>
      </w:r>
      <w:r w:rsidRPr="00F016A4">
        <w:t>i C-201/07, ECLI:EU:C:2008:579, hotărârea Tribunalului din 19 martie 2010, Gollnisch/Parlamentul, T-42/06, ECLI:EU:T:2010:102, hotărârea Cur</w:t>
      </w:r>
      <w:r w:rsidR="00D843AF">
        <w:t>ț</w:t>
      </w:r>
      <w:r w:rsidRPr="00F016A4">
        <w:t>ii de Justi</w:t>
      </w:r>
      <w:r w:rsidR="00D843AF">
        <w:t>ț</w:t>
      </w:r>
      <w:r w:rsidRPr="00F016A4">
        <w:t>ie din 6 septembrie 2011, Patriciello, C-163/10, ECLI: EU:C:2011:543, hotărârea Tribunalului din 17 ianuarie 2013, Gollnisch v Parlamentul, pronun</w:t>
      </w:r>
      <w:r w:rsidR="00D843AF">
        <w:t>ț</w:t>
      </w:r>
      <w:r w:rsidRPr="00F016A4">
        <w:t xml:space="preserve">ată în cauzele conexe T-346/11 </w:t>
      </w:r>
      <w:r w:rsidR="00D843AF">
        <w:t>ș</w:t>
      </w:r>
      <w:r w:rsidRPr="00F016A4">
        <w:t>i T-347/11, ECLI:EU:T:2013:23.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MNU" w:val=" 1"/>
    <w:docVar w:name="DOCDT" w:val="02/04/2019"/>
    <w:docVar w:name="HEARDMNU" w:val=" 1"/>
    <w:docVar w:name="JUDGMNU@" w:val=" 1"/>
    <w:docVar w:name="LastEditedSection" w:val=" 1"/>
    <w:docVar w:name="PLENARYDT" w:val="13/11/2018"/>
    <w:docVar w:name="REQUESTDT" w:val="28/01/2019"/>
    <w:docVar w:name="strSubDir" w:val="634"/>
    <w:docVar w:name="TXTAUTHOR" w:val="Angel Dzhambazki"/>
    <w:docVar w:name="TXTLANGUE" w:val="EN"/>
    <w:docVar w:name="TXTLANGUEMIN" w:val="en"/>
    <w:docVar w:name="TXTNAME" w:val="Lampros Fountoulis"/>
    <w:docVar w:name="TXTNRIMM" w:val="2018/2269"/>
    <w:docVar w:name="TXTNRPE" w:val="634.552"/>
    <w:docVar w:name="TXTPEorAP" w:val="PE"/>
    <w:docVar w:name="TXTROUTE" w:val="RR\634552EN.docx"/>
    <w:docVar w:name="TXTVERSION" w:val="02-00"/>
    <w:docVar w:name="WAIVEMNU" w:val=" 1"/>
  </w:docVars>
  <w:rsids>
    <w:rsidRoot w:val="00F26EB2"/>
    <w:rsid w:val="0006105E"/>
    <w:rsid w:val="001415EC"/>
    <w:rsid w:val="00142D49"/>
    <w:rsid w:val="00163456"/>
    <w:rsid w:val="00205304"/>
    <w:rsid w:val="00215FF9"/>
    <w:rsid w:val="0023430B"/>
    <w:rsid w:val="002442B3"/>
    <w:rsid w:val="002915E6"/>
    <w:rsid w:val="002B50C9"/>
    <w:rsid w:val="002D3EDB"/>
    <w:rsid w:val="0035402F"/>
    <w:rsid w:val="00392A3D"/>
    <w:rsid w:val="003B1888"/>
    <w:rsid w:val="003E24B5"/>
    <w:rsid w:val="0044752A"/>
    <w:rsid w:val="00497366"/>
    <w:rsid w:val="0053164A"/>
    <w:rsid w:val="005922F7"/>
    <w:rsid w:val="005F3529"/>
    <w:rsid w:val="00633DF2"/>
    <w:rsid w:val="00636B36"/>
    <w:rsid w:val="00655E76"/>
    <w:rsid w:val="006B1BEF"/>
    <w:rsid w:val="006C038C"/>
    <w:rsid w:val="006F4E07"/>
    <w:rsid w:val="00753DFC"/>
    <w:rsid w:val="0076428C"/>
    <w:rsid w:val="00785C52"/>
    <w:rsid w:val="00797CAE"/>
    <w:rsid w:val="007A7BF5"/>
    <w:rsid w:val="007C040A"/>
    <w:rsid w:val="007C0C41"/>
    <w:rsid w:val="00872381"/>
    <w:rsid w:val="008F1062"/>
    <w:rsid w:val="008F39C8"/>
    <w:rsid w:val="009057D4"/>
    <w:rsid w:val="00935E24"/>
    <w:rsid w:val="00951B61"/>
    <w:rsid w:val="00965DA1"/>
    <w:rsid w:val="0096765D"/>
    <w:rsid w:val="009C066A"/>
    <w:rsid w:val="00A33B09"/>
    <w:rsid w:val="00A75274"/>
    <w:rsid w:val="00AD54B7"/>
    <w:rsid w:val="00AE50DE"/>
    <w:rsid w:val="00BF5562"/>
    <w:rsid w:val="00C579EC"/>
    <w:rsid w:val="00CC19BA"/>
    <w:rsid w:val="00CE5349"/>
    <w:rsid w:val="00D1021A"/>
    <w:rsid w:val="00D61CEC"/>
    <w:rsid w:val="00D843AF"/>
    <w:rsid w:val="00DB1E47"/>
    <w:rsid w:val="00DF74F0"/>
    <w:rsid w:val="00E114BC"/>
    <w:rsid w:val="00E86E8E"/>
    <w:rsid w:val="00EC401F"/>
    <w:rsid w:val="00ED3375"/>
    <w:rsid w:val="00ED4820"/>
    <w:rsid w:val="00F016A4"/>
    <w:rsid w:val="00F26EB2"/>
    <w:rsid w:val="00F452C6"/>
    <w:rsid w:val="00F6069B"/>
    <w:rsid w:val="00F857A1"/>
    <w:rsid w:val="00FA1647"/>
    <w:rsid w:val="00FA2DD8"/>
    <w:rsid w:val="00FA4CD8"/>
    <w:rsid w:val="00FB48E6"/>
    <w:rsid w:val="00FB5B0C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FD4E-6F4A-483C-AF86-2BBB409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DF74F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2915E6"/>
    <w:pPr>
      <w:tabs>
        <w:tab w:val="left" w:pos="567"/>
      </w:tabs>
    </w:pPr>
  </w:style>
  <w:style w:type="paragraph" w:customStyle="1" w:styleId="RefProc">
    <w:name w:val="RefProc"/>
    <w:basedOn w:val="Normal"/>
    <w:rsid w:val="00142D4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nfidential">
    <w:name w:val="Confidential"/>
    <w:basedOn w:val="Normal"/>
    <w:rsid w:val="00142D49"/>
    <w:pPr>
      <w:spacing w:before="120" w:after="120"/>
      <w:jc w:val="center"/>
    </w:pPr>
    <w:rPr>
      <w:rFonts w:ascii="Arial" w:hAnsi="Arial"/>
      <w:caps/>
    </w:rPr>
  </w:style>
  <w:style w:type="table" w:styleId="TableGrid">
    <w:name w:val="Table Grid"/>
    <w:basedOn w:val="TableNormal"/>
    <w:rsid w:val="0021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215FF9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215FF9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215FF9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DF74F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DF74F0"/>
    <w:pPr>
      <w:jc w:val="right"/>
    </w:pPr>
  </w:style>
  <w:style w:type="paragraph" w:styleId="FootnoteText">
    <w:name w:val="footnote text"/>
    <w:basedOn w:val="Normal"/>
    <w:link w:val="FootnoteTextChar"/>
    <w:rsid w:val="00ED482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4820"/>
  </w:style>
  <w:style w:type="character" w:styleId="FootnoteReference">
    <w:name w:val="footnote reference"/>
    <w:basedOn w:val="DefaultParagraphFont"/>
    <w:rsid w:val="00ED4820"/>
    <w:rPr>
      <w:vertAlign w:val="superscript"/>
    </w:rPr>
  </w:style>
  <w:style w:type="paragraph" w:styleId="BalloonText">
    <w:name w:val="Balloon Text"/>
    <w:basedOn w:val="Normal"/>
    <w:link w:val="BalloonTextChar"/>
    <w:rsid w:val="00163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C3D0-2E9F-420F-99E3-BD2BEE9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4793</Characters>
  <Application>Microsoft Office Word</Application>
  <DocSecurity>0</DocSecurity>
  <Lines>119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PR_IMM_Waiver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PR_IMM_Waiver</dc:title>
  <dc:subject/>
  <dc:creator>ROZIC Bojana</dc:creator>
  <cp:keywords/>
  <dc:description/>
  <cp:lastModifiedBy>ORBULESCU Ioana-Rebecca</cp:lastModifiedBy>
  <cp:revision>2</cp:revision>
  <cp:lastPrinted>2004-12-08T15:27:00Z</cp:lastPrinted>
  <dcterms:created xsi:type="dcterms:W3CDTF">2019-04-03T09:29:00Z</dcterms:created>
  <dcterms:modified xsi:type="dcterms:W3CDTF">2019-04-03T09:29:00Z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[20181201]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1181559</vt:lpwstr>
  </property>
  <property fmtid="{D5CDD505-2E9C-101B-9397-08002B2CF9AE}" pid="5" name="&lt;Type&gt;">
    <vt:lpwstr>RR</vt:lpwstr>
  </property>
  <property fmtid="{D5CDD505-2E9C-101B-9397-08002B2CF9AE}" pid="6" name="&lt;ModelCod&gt;">
    <vt:lpwstr>\\eiciBRUpr1\pdocep$\DocEP\DOCS\General\PR\PR_NonLeg\IMM\PR_IMM_Waiver.dot(08/09/2017 14:47:54)</vt:lpwstr>
  </property>
  <property fmtid="{D5CDD505-2E9C-101B-9397-08002B2CF9AE}" pid="7" name="&lt;ModelTra&gt;">
    <vt:lpwstr>\\eiciBRUpr1\pdocep$\DocEP\TRANSFIL\EN\PR_IMM_Waiver.EN(05/02/2018 16:18:06)</vt:lpwstr>
  </property>
  <property fmtid="{D5CDD505-2E9C-101B-9397-08002B2CF9AE}" pid="8" name="&lt;Model&gt;">
    <vt:lpwstr>PR_IMM_Waiver</vt:lpwstr>
  </property>
  <property fmtid="{D5CDD505-2E9C-101B-9397-08002B2CF9AE}" pid="9" name="FooterPath">
    <vt:lpwstr>RR\1181559RO.docx</vt:lpwstr>
  </property>
  <property fmtid="{D5CDD505-2E9C-101B-9397-08002B2CF9AE}" pid="10" name="PE number">
    <vt:lpwstr>634.552</vt:lpwstr>
  </property>
  <property fmtid="{D5CDD505-2E9C-101B-9397-08002B2CF9AE}" pid="11" name="SubscribeElise">
    <vt:lpwstr/>
  </property>
  <property fmtid="{D5CDD505-2E9C-101B-9397-08002B2CF9AE}" pid="12" name="SendToEpades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  <property fmtid="{D5CDD505-2E9C-101B-9397-08002B2CF9AE}" pid="15" name="Bookout">
    <vt:lpwstr>OK - 2019/04/03 11:29</vt:lpwstr>
  </property>
</Properties>
</file>