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0608D" w:rsidRPr="00663A5F" w:rsidTr="009B5B3C">
        <w:trPr>
          <w:trHeight w:hRule="exact" w:val="1418"/>
        </w:trPr>
        <w:tc>
          <w:tcPr>
            <w:tcW w:w="6804" w:type="dxa"/>
            <w:shd w:val="clear" w:color="auto" w:fill="auto"/>
            <w:vAlign w:val="center"/>
          </w:tcPr>
          <w:p w:rsidR="0010608D" w:rsidRPr="00663A5F" w:rsidRDefault="00D9219B" w:rsidP="009B5B3C">
            <w:pPr>
              <w:pStyle w:val="EPName"/>
            </w:pPr>
            <w:r w:rsidRPr="00663A5F">
              <w:t>Euroopan parlamentti</w:t>
            </w:r>
          </w:p>
          <w:p w:rsidR="0010608D" w:rsidRPr="00663A5F" w:rsidRDefault="00975D79" w:rsidP="00975D79">
            <w:pPr>
              <w:pStyle w:val="EPTerm"/>
              <w:rPr>
                <w:rStyle w:val="HideTWBExt"/>
                <w:noProof w:val="0"/>
                <w:vanish w:val="0"/>
                <w:color w:val="auto"/>
              </w:rPr>
            </w:pPr>
            <w:r w:rsidRPr="00663A5F">
              <w:t>2014-2019</w:t>
            </w:r>
          </w:p>
        </w:tc>
        <w:tc>
          <w:tcPr>
            <w:tcW w:w="2268" w:type="dxa"/>
            <w:shd w:val="clear" w:color="auto" w:fill="auto"/>
          </w:tcPr>
          <w:p w:rsidR="0010608D" w:rsidRPr="00663A5F" w:rsidRDefault="00365910" w:rsidP="009B5B3C">
            <w:pPr>
              <w:pStyle w:val="EPLogo"/>
            </w:pPr>
            <w:r w:rsidRPr="00663A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EA124D" w:rsidRPr="00663A5F" w:rsidRDefault="00EA124D" w:rsidP="00EA124D">
      <w:pPr>
        <w:pStyle w:val="LineTop"/>
      </w:pPr>
    </w:p>
    <w:p w:rsidR="000953B1" w:rsidRPr="00663A5F" w:rsidRDefault="000953B1" w:rsidP="000953B1">
      <w:pPr>
        <w:pStyle w:val="RefProc"/>
      </w:pPr>
      <w:r w:rsidRPr="00663A5F">
        <w:rPr>
          <w:rStyle w:val="HideTWBExt"/>
          <w:b w:val="0"/>
          <w:noProof w:val="0"/>
        </w:rPr>
        <w:t>&lt;NoDocSe&gt;</w:t>
      </w:r>
      <w:r w:rsidRPr="00663A5F">
        <w:t>0129/2016</w:t>
      </w:r>
      <w:r w:rsidRPr="00663A5F">
        <w:rPr>
          <w:rStyle w:val="HideTWBExt"/>
          <w:b w:val="0"/>
          <w:noProof w:val="0"/>
        </w:rPr>
        <w:t>&lt;/NoDocSe&gt;</w:t>
      </w:r>
    </w:p>
    <w:p w:rsidR="000953B1" w:rsidRPr="00663A5F" w:rsidRDefault="000953B1" w:rsidP="000953B1">
      <w:pPr>
        <w:pStyle w:val="ZDate"/>
      </w:pPr>
      <w:r w:rsidRPr="00663A5F">
        <w:rPr>
          <w:rStyle w:val="HideTWBExt"/>
          <w:noProof w:val="0"/>
        </w:rPr>
        <w:t>&lt;Date&gt;</w:t>
      </w:r>
      <w:r w:rsidRPr="00663A5F">
        <w:rPr>
          <w:rStyle w:val="HideTWBInt"/>
        </w:rPr>
        <w:t>{12/12/2016}</w:t>
      </w:r>
      <w:r w:rsidRPr="00663A5F">
        <w:t>12.12.2016</w:t>
      </w:r>
      <w:r w:rsidRPr="00663A5F">
        <w:rPr>
          <w:rStyle w:val="HideTWBExt"/>
          <w:noProof w:val="0"/>
        </w:rPr>
        <w:t>&lt;/Date&gt;</w:t>
      </w:r>
    </w:p>
    <w:p w:rsidR="00D1766A" w:rsidRPr="00663A5F" w:rsidRDefault="00D1766A">
      <w:pPr>
        <w:pStyle w:val="TypeDoc"/>
      </w:pPr>
      <w:r w:rsidRPr="00663A5F">
        <w:rPr>
          <w:rStyle w:val="HideTWBExt"/>
          <w:b w:val="0"/>
          <w:noProof w:val="0"/>
        </w:rPr>
        <w:t>&lt;TitreType&gt;</w:t>
      </w:r>
      <w:r w:rsidRPr="00663A5F">
        <w:t>KIRJALLINEN KANNANOTTO</w:t>
      </w:r>
      <w:r w:rsidRPr="00663A5F">
        <w:rPr>
          <w:rStyle w:val="HideTWBExt"/>
          <w:b w:val="0"/>
          <w:noProof w:val="0"/>
        </w:rPr>
        <w:t>&lt;/TitreType&gt;</w:t>
      </w:r>
    </w:p>
    <w:p w:rsidR="00D1766A" w:rsidRPr="00663A5F" w:rsidRDefault="00D1766A">
      <w:pPr>
        <w:pStyle w:val="Cover12"/>
      </w:pPr>
      <w:r w:rsidRPr="00663A5F">
        <w:rPr>
          <w:rStyle w:val="HideTWBExt"/>
          <w:noProof w:val="0"/>
        </w:rPr>
        <w:t>&lt;TitreRecueil&gt;</w:t>
      </w:r>
      <w:r w:rsidRPr="00663A5F">
        <w:t>työjärjestyksen 136 artiklan mukaisesti</w:t>
      </w:r>
      <w:r w:rsidRPr="00663A5F">
        <w:rPr>
          <w:rStyle w:val="HideTWBExt"/>
          <w:noProof w:val="0"/>
        </w:rPr>
        <w:t>&lt;/TitreRecueil&gt;</w:t>
      </w:r>
    </w:p>
    <w:p w:rsidR="00D1766A" w:rsidRPr="00663A5F" w:rsidRDefault="009B3994" w:rsidP="008C296D">
      <w:pPr>
        <w:pStyle w:val="Cover24"/>
      </w:pPr>
      <w:r w:rsidRPr="00663A5F">
        <w:rPr>
          <w:rStyle w:val="HideTWBExt"/>
          <w:noProof w:val="0"/>
        </w:rPr>
        <w:t>&lt;Titre&gt;</w:t>
      </w:r>
      <w:r w:rsidRPr="00663A5F">
        <w:t>Euroopan laajuisen liikenneverkon (TEN-T) tarpeeseen tukea alueellista saavutettavuutta</w:t>
      </w:r>
      <w:r w:rsidRPr="00663A5F">
        <w:rPr>
          <w:rStyle w:val="HideTWBExt"/>
          <w:noProof w:val="0"/>
        </w:rPr>
        <w:t>&lt;/Titre&gt;</w:t>
      </w:r>
    </w:p>
    <w:p w:rsidR="009B3994" w:rsidRPr="00663A5F" w:rsidRDefault="009B3994" w:rsidP="009B3994">
      <w:pPr>
        <w:pStyle w:val="CoverBold84"/>
      </w:pPr>
      <w:r w:rsidRPr="00663A5F">
        <w:rPr>
          <w:rStyle w:val="HideTWBExt"/>
          <w:b w:val="0"/>
          <w:noProof w:val="0"/>
        </w:rPr>
        <w:t>&lt;Depute&gt;</w:t>
      </w:r>
      <w:r w:rsidRPr="00663A5F">
        <w:t>Renaud Muselier (PP</w:t>
      </w:r>
      <w:bookmarkStart w:id="0" w:name="_GoBack"/>
      <w:bookmarkEnd w:id="0"/>
      <w:r w:rsidRPr="00663A5F">
        <w:t>E), Inés Ayala Sender (S&amp;D), Iskra Mihaylova (ALDE), Younous Omarjee (GUE/NGL), Keith Taylor (Verts/ALE), Ruža Tomašić (ECR), Elissavet Vozemberg-Vrionidi (PPE), Ivan Jakovčić (ALDE), Fernando Ruas (PPE), István Ujhelyi (S&amp;D), Jill Evans (Verts/ALE), Salvatore Domenico Pogliese (PPE), Deirdre Clune (PPE), Merja Kyllönen (GUE/NGL), Pascal Arimont (PPE), Derek Vaughan (S&amp;D), Jozo Radoš (ALDE), Petras Auštrevičius (ALDE), Juan Fernando López Aguilar (S&amp;D), Milan Zver (PPE)</w:t>
      </w:r>
      <w:r w:rsidRPr="00663A5F">
        <w:rPr>
          <w:rStyle w:val="HideTWBExt"/>
          <w:b w:val="0"/>
          <w:noProof w:val="0"/>
        </w:rPr>
        <w:t>&lt;/Depute&gt;</w:t>
      </w:r>
    </w:p>
    <w:p w:rsidR="00D1766A" w:rsidRPr="00663A5F" w:rsidRDefault="00D9219B">
      <w:pPr>
        <w:pStyle w:val="CoverNormal"/>
      </w:pPr>
      <w:r w:rsidRPr="00663A5F">
        <w:t xml:space="preserve">Raukeamispäivä: </w:t>
      </w:r>
      <w:r w:rsidRPr="00663A5F">
        <w:rPr>
          <w:rStyle w:val="HideTWBExt"/>
          <w:noProof w:val="0"/>
        </w:rPr>
        <w:t>&lt;DateForclusion&gt;</w:t>
      </w:r>
      <w:r w:rsidRPr="00663A5F">
        <w:rPr>
          <w:rStyle w:val="HideTWBInt"/>
        </w:rPr>
        <w:t>{12/03/2017}</w:t>
      </w:r>
      <w:r w:rsidRPr="00663A5F">
        <w:t>12.3.2017</w:t>
      </w:r>
      <w:r w:rsidRPr="00663A5F">
        <w:rPr>
          <w:rStyle w:val="HideTWBExt"/>
          <w:noProof w:val="0"/>
        </w:rPr>
        <w:t>&lt;/DateForclusion&gt;</w:t>
      </w:r>
    </w:p>
    <w:p w:rsidR="00D1766A" w:rsidRPr="00663A5F" w:rsidRDefault="00D1766A" w:rsidP="009D3FE0">
      <w:pPr>
        <w:pStyle w:val="CoverNormal"/>
      </w:pPr>
    </w:p>
    <w:p w:rsidR="00D1766A" w:rsidRPr="00663A5F" w:rsidRDefault="00D1766A">
      <w:pPr>
        <w:pStyle w:val="Normal12Bold"/>
      </w:pPr>
      <w:r w:rsidRPr="00663A5F">
        <w:br w:type="page"/>
      </w:r>
      <w:r w:rsidRPr="00663A5F">
        <w:lastRenderedPageBreak/>
        <w:t>0129/2016</w:t>
      </w:r>
    </w:p>
    <w:p w:rsidR="00D1766A" w:rsidRPr="00663A5F" w:rsidRDefault="00D9219B">
      <w:pPr>
        <w:pStyle w:val="Normal36Bold"/>
      </w:pPr>
      <w:r w:rsidRPr="00663A5F">
        <w:t>Euroopan parlamentin työjärjestyksen 136 mukainen kirjallinen kannanotto Euroopan laajuisen liikenneverkon (TEN-T) tarpeeseen tukea alueellista saavutettavuutta</w:t>
      </w:r>
      <w:r w:rsidRPr="00663A5F">
        <w:rPr>
          <w:rStyle w:val="FootnoteReference"/>
        </w:rPr>
        <w:footnoteReference w:id="1"/>
      </w:r>
    </w:p>
    <w:p w:rsidR="00975D79" w:rsidRPr="00663A5F" w:rsidRDefault="00975D79" w:rsidP="00365910">
      <w:pPr>
        <w:pStyle w:val="Hanging12"/>
        <w:tabs>
          <w:tab w:val="clear" w:pos="357"/>
          <w:tab w:val="left" w:pos="567"/>
        </w:tabs>
        <w:ind w:left="567" w:hanging="567"/>
      </w:pPr>
      <w:r w:rsidRPr="00663A5F">
        <w:t>1.</w:t>
      </w:r>
      <w:r w:rsidRPr="00663A5F">
        <w:tab/>
        <w:t>Unionin suuntaviivoista Euroopan laajuisen liikenneverkon kehittämiseksi annetun asetuksen (EU) N:o 1315/2013 4 artiklassa todetaan, että tämän verkon avulla olisi pyrittävä varmistamaan kaikkien alueiden saavutettavuus ja Euroopan alueiden kattaminen tasapainoisella tavalla. Vuodesta 2014 alkaen täytäntöön pannulla asetuksella ei ole onnistuttu pääsemään tähän tavoitteeseen. Verkkojen Eurooppa -välineen liikenteeseen kohdennetuista varoista on varattu 90 prosenttia yksinomaan hankkeisiin, jotka sijaitsevat yhdeksän ensisijaisen käytävän varrella.</w:t>
      </w:r>
    </w:p>
    <w:p w:rsidR="00975D79" w:rsidRPr="00663A5F" w:rsidRDefault="00975D79" w:rsidP="00365910">
      <w:pPr>
        <w:pStyle w:val="Hanging12"/>
        <w:tabs>
          <w:tab w:val="clear" w:pos="357"/>
          <w:tab w:val="left" w:pos="567"/>
        </w:tabs>
        <w:ind w:left="567" w:hanging="567"/>
      </w:pPr>
      <w:r w:rsidRPr="00663A5F">
        <w:t>2.</w:t>
      </w:r>
      <w:r w:rsidRPr="00663A5F">
        <w:tab/>
        <w:t>Syrjäisimmät alueet, syrjäiset alueet ja saarialueet ovat hyötyneet vain vähän Euroopan laajuista liikenneverkkoa (TEN-T) ja Verkkojen Eurooppa -välinettä koskevien asetusten tarjoamista mahdollisuuksista. Niiden ei myöskään ole yhtä helppo kuin keskusalueiden saada Junckerin suunnitelman mukaista rahoitusta, jossa etusija annetaan laajamittaisille hankkeille, jotka tarjoavat nopean investointien tuoton.</w:t>
      </w:r>
    </w:p>
    <w:p w:rsidR="00975D79" w:rsidRPr="00663A5F" w:rsidRDefault="00975D79" w:rsidP="00365910">
      <w:pPr>
        <w:pStyle w:val="Hanging12"/>
        <w:tabs>
          <w:tab w:val="clear" w:pos="357"/>
          <w:tab w:val="left" w:pos="567"/>
        </w:tabs>
        <w:ind w:left="567" w:hanging="567"/>
      </w:pPr>
      <w:r w:rsidRPr="00663A5F">
        <w:t>3.</w:t>
      </w:r>
      <w:r w:rsidRPr="00663A5F">
        <w:tab/>
        <w:t>Tästä syystä komissiota pyydetään kiinnittämään erityistä huomiota siihen, että Euroopan laajuisen liikenneverkon (TEN-T) ja Verkkojen Eurooppa -välineen täytäntöönpano kattaa koko unionin alueen tästä hetkestä ohjelmakauden 2014–2020 loppuun asti alueellisen yhteenkuuluvuuden periaatteen mukaisesti. Verkkojen Eurooppa -välineen ja sen liikennettä koskevan ohjelman hankkeiden tulosten alueellisesta vaikutuksesta vuosina 2014 ja 2015 voitaisiin laatia yksityiskohtainen arvio etukäteen, jotta saadaan objektiivinen perusta uusien suuntaviivojen laadinnalle.</w:t>
      </w:r>
    </w:p>
    <w:p w:rsidR="004F7CA6" w:rsidRPr="00663A5F" w:rsidRDefault="00975D79" w:rsidP="00365910">
      <w:pPr>
        <w:pStyle w:val="Hanging12"/>
        <w:tabs>
          <w:tab w:val="clear" w:pos="357"/>
          <w:tab w:val="left" w:pos="567"/>
        </w:tabs>
        <w:ind w:left="567" w:hanging="567"/>
      </w:pPr>
      <w:r w:rsidRPr="00663A5F">
        <w:t>4.</w:t>
      </w:r>
      <w:r w:rsidRPr="00663A5F">
        <w:tab/>
        <w:t>Tämä kannanotto ja allekirjoittajien nimet välitetään</w:t>
      </w:r>
      <w:bookmarkStart w:id="1" w:name="DocEPTmp"/>
      <w:bookmarkEnd w:id="1"/>
      <w:r w:rsidRPr="00663A5F">
        <w:t xml:space="preserve"> neuvostolle ja komissiolle</w:t>
      </w:r>
      <w:bookmarkStart w:id="2" w:name="DocEPTmp2"/>
      <w:bookmarkEnd w:id="2"/>
      <w:r w:rsidRPr="00663A5F">
        <w:t>.</w:t>
      </w:r>
    </w:p>
    <w:p w:rsidR="00D1766A" w:rsidRPr="00663A5F" w:rsidRDefault="00D1766A">
      <w:pPr>
        <w:pStyle w:val="Hanging12"/>
      </w:pPr>
    </w:p>
    <w:sectPr w:rsidR="00D1766A" w:rsidRPr="00663A5F" w:rsidSect="0093460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19B" w:rsidRPr="00663A5F" w:rsidRDefault="00D9219B">
      <w:r w:rsidRPr="00663A5F">
        <w:separator/>
      </w:r>
    </w:p>
  </w:endnote>
  <w:endnote w:type="continuationSeparator" w:id="0">
    <w:p w:rsidR="00D9219B" w:rsidRPr="00663A5F" w:rsidRDefault="00D9219B">
      <w:r w:rsidRPr="00663A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07" w:rsidRPr="00663A5F" w:rsidRDefault="00934607" w:rsidP="00934607">
    <w:pPr>
      <w:pStyle w:val="Footer"/>
    </w:pPr>
    <w:r w:rsidRPr="00663A5F">
      <w:t>PE</w:t>
    </w:r>
    <w:r w:rsidRPr="00663A5F">
      <w:rPr>
        <w:rStyle w:val="HideTWBExt"/>
        <w:noProof w:val="0"/>
      </w:rPr>
      <w:t>&lt;NoPE&gt;</w:t>
    </w:r>
    <w:r w:rsidRPr="00663A5F">
      <w:t>595.930</w:t>
    </w:r>
    <w:r w:rsidRPr="00663A5F">
      <w:rPr>
        <w:rStyle w:val="HideTWBExt"/>
        <w:noProof w:val="0"/>
      </w:rPr>
      <w:t>&lt;/NoPE&gt;&lt;Version&gt;</w:t>
    </w:r>
    <w:r w:rsidRPr="00663A5F">
      <w:t>v01-00</w:t>
    </w:r>
    <w:r w:rsidRPr="00663A5F">
      <w:rPr>
        <w:rStyle w:val="HideTWBExt"/>
        <w:noProof w:val="0"/>
      </w:rPr>
      <w:t>&lt;/Version&gt;</w:t>
    </w:r>
    <w:r w:rsidRPr="00663A5F">
      <w:tab/>
    </w:r>
    <w:r w:rsidRPr="00663A5F">
      <w:fldChar w:fldCharType="begin"/>
    </w:r>
    <w:r w:rsidRPr="00663A5F">
      <w:instrText xml:space="preserve"> PAGE  \* MERGEFORMAT </w:instrText>
    </w:r>
    <w:r w:rsidRPr="00663A5F">
      <w:fldChar w:fldCharType="separate"/>
    </w:r>
    <w:r w:rsidR="00365910">
      <w:rPr>
        <w:noProof/>
      </w:rPr>
      <w:t>2</w:t>
    </w:r>
    <w:r w:rsidRPr="00663A5F">
      <w:fldChar w:fldCharType="end"/>
    </w:r>
    <w:r w:rsidRPr="00663A5F">
      <w:t>/</w:t>
    </w:r>
    <w:r w:rsidR="00365910" w:rsidRPr="00663A5F">
      <w:fldChar w:fldCharType="begin"/>
    </w:r>
    <w:r w:rsidR="00365910" w:rsidRPr="00663A5F">
      <w:instrText xml:space="preserve"> NUMPAGES  \* MERGEFORMAT </w:instrText>
    </w:r>
    <w:r w:rsidR="00365910" w:rsidRPr="00663A5F">
      <w:fldChar w:fldCharType="separate"/>
    </w:r>
    <w:r w:rsidR="00365910">
      <w:rPr>
        <w:noProof/>
      </w:rPr>
      <w:t>2</w:t>
    </w:r>
    <w:r w:rsidR="00365910" w:rsidRPr="00663A5F">
      <w:fldChar w:fldCharType="end"/>
    </w:r>
    <w:r w:rsidRPr="00663A5F">
      <w:tab/>
    </w:r>
    <w:r w:rsidRPr="00663A5F">
      <w:rPr>
        <w:rStyle w:val="HideTWBExt"/>
        <w:noProof w:val="0"/>
      </w:rPr>
      <w:t>&lt;PathFdR&gt;</w:t>
    </w:r>
    <w:r w:rsidRPr="00663A5F">
      <w:t>DC\1111131FI.docx</w:t>
    </w:r>
    <w:r w:rsidRPr="00663A5F">
      <w:rPr>
        <w:rStyle w:val="HideTWBExt"/>
        <w:noProof w:val="0"/>
      </w:rPr>
      <w:t>&lt;/PathFdR&gt;</w:t>
    </w:r>
  </w:p>
  <w:p w:rsidR="004F7CA6" w:rsidRPr="00663A5F" w:rsidRDefault="00934607" w:rsidP="00934607">
    <w:pPr>
      <w:pStyle w:val="Footer2"/>
    </w:pPr>
    <w:r w:rsidRPr="00663A5F">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07" w:rsidRPr="00663A5F" w:rsidRDefault="00934607" w:rsidP="00934607">
    <w:pPr>
      <w:pStyle w:val="Footer"/>
    </w:pPr>
    <w:r w:rsidRPr="00663A5F">
      <w:rPr>
        <w:rStyle w:val="HideTWBExt"/>
        <w:noProof w:val="0"/>
      </w:rPr>
      <w:t>&lt;PathFdR&gt;</w:t>
    </w:r>
    <w:r w:rsidRPr="00663A5F">
      <w:t>DC\1111131FI.docx</w:t>
    </w:r>
    <w:r w:rsidRPr="00663A5F">
      <w:rPr>
        <w:rStyle w:val="HideTWBExt"/>
        <w:noProof w:val="0"/>
      </w:rPr>
      <w:t>&lt;/PathFdR&gt;</w:t>
    </w:r>
    <w:r w:rsidRPr="00663A5F">
      <w:tab/>
    </w:r>
    <w:r w:rsidRPr="00663A5F">
      <w:fldChar w:fldCharType="begin"/>
    </w:r>
    <w:r w:rsidRPr="00663A5F">
      <w:instrText xml:space="preserve"> PAGE  \* MERGEFORMAT </w:instrText>
    </w:r>
    <w:r w:rsidRPr="00663A5F">
      <w:fldChar w:fldCharType="separate"/>
    </w:r>
    <w:r w:rsidR="00365910">
      <w:rPr>
        <w:noProof/>
      </w:rPr>
      <w:t>2</w:t>
    </w:r>
    <w:r w:rsidRPr="00663A5F">
      <w:fldChar w:fldCharType="end"/>
    </w:r>
    <w:r w:rsidRPr="00663A5F">
      <w:t>/</w:t>
    </w:r>
    <w:r w:rsidR="00365910" w:rsidRPr="00663A5F">
      <w:fldChar w:fldCharType="begin"/>
    </w:r>
    <w:r w:rsidR="00365910" w:rsidRPr="00663A5F">
      <w:instrText xml:space="preserve"> NUMPAGES  \* MERGEFORMAT </w:instrText>
    </w:r>
    <w:r w:rsidR="00365910" w:rsidRPr="00663A5F">
      <w:fldChar w:fldCharType="separate"/>
    </w:r>
    <w:r w:rsidR="00365910">
      <w:rPr>
        <w:noProof/>
      </w:rPr>
      <w:t>2</w:t>
    </w:r>
    <w:r w:rsidR="00365910" w:rsidRPr="00663A5F">
      <w:fldChar w:fldCharType="end"/>
    </w:r>
    <w:r w:rsidRPr="00663A5F">
      <w:tab/>
      <w:t>PE</w:t>
    </w:r>
    <w:r w:rsidRPr="00663A5F">
      <w:rPr>
        <w:rStyle w:val="HideTWBExt"/>
        <w:noProof w:val="0"/>
      </w:rPr>
      <w:t>&lt;NoPE&gt;</w:t>
    </w:r>
    <w:r w:rsidRPr="00663A5F">
      <w:t>595.930</w:t>
    </w:r>
    <w:r w:rsidRPr="00663A5F">
      <w:rPr>
        <w:rStyle w:val="HideTWBExt"/>
        <w:noProof w:val="0"/>
      </w:rPr>
      <w:t>&lt;/NoPE&gt;&lt;Version&gt;</w:t>
    </w:r>
    <w:r w:rsidRPr="00663A5F">
      <w:t>v01-00</w:t>
    </w:r>
    <w:r w:rsidRPr="00663A5F">
      <w:rPr>
        <w:rStyle w:val="HideTWBExt"/>
        <w:noProof w:val="0"/>
      </w:rPr>
      <w:t>&lt;/Version&gt;</w:t>
    </w:r>
  </w:p>
  <w:p w:rsidR="004F7CA6" w:rsidRPr="00663A5F" w:rsidRDefault="00934607" w:rsidP="00934607">
    <w:pPr>
      <w:pStyle w:val="Footer2"/>
    </w:pPr>
    <w:r w:rsidRPr="00663A5F">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07" w:rsidRPr="00663A5F" w:rsidRDefault="00934607" w:rsidP="00934607">
    <w:pPr>
      <w:pStyle w:val="Footer"/>
    </w:pPr>
    <w:r w:rsidRPr="00663A5F">
      <w:rPr>
        <w:rStyle w:val="HideTWBExt"/>
        <w:noProof w:val="0"/>
      </w:rPr>
      <w:t>&lt;PathFdR&gt;</w:t>
    </w:r>
    <w:r w:rsidRPr="00663A5F">
      <w:t>DC\1111131FI.docx</w:t>
    </w:r>
    <w:r w:rsidRPr="00663A5F">
      <w:rPr>
        <w:rStyle w:val="HideTWBExt"/>
        <w:noProof w:val="0"/>
      </w:rPr>
      <w:t>&lt;/PathFdR&gt;</w:t>
    </w:r>
    <w:r w:rsidRPr="00663A5F">
      <w:tab/>
    </w:r>
    <w:r w:rsidRPr="00663A5F">
      <w:tab/>
      <w:t>PE</w:t>
    </w:r>
    <w:r w:rsidRPr="00663A5F">
      <w:rPr>
        <w:rStyle w:val="HideTWBExt"/>
        <w:noProof w:val="0"/>
      </w:rPr>
      <w:t>&lt;NoPE&gt;</w:t>
    </w:r>
    <w:r w:rsidRPr="00663A5F">
      <w:t>595.930</w:t>
    </w:r>
    <w:r w:rsidRPr="00663A5F">
      <w:rPr>
        <w:rStyle w:val="HideTWBExt"/>
        <w:noProof w:val="0"/>
      </w:rPr>
      <w:t>&lt;/NoPE&gt;&lt;Version&gt;</w:t>
    </w:r>
    <w:r w:rsidRPr="00663A5F">
      <w:t>v01-00</w:t>
    </w:r>
    <w:r w:rsidRPr="00663A5F">
      <w:rPr>
        <w:rStyle w:val="HideTWBExt"/>
        <w:noProof w:val="0"/>
      </w:rPr>
      <w:t>&lt;/Version&gt;</w:t>
    </w:r>
  </w:p>
  <w:p w:rsidR="004F7CA6" w:rsidRPr="00663A5F" w:rsidRDefault="00934607" w:rsidP="00934607">
    <w:pPr>
      <w:pStyle w:val="Footer2"/>
    </w:pPr>
    <w:r w:rsidRPr="00663A5F">
      <w:t>FI</w:t>
    </w:r>
    <w:r w:rsidRPr="00663A5F">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19B" w:rsidRPr="00663A5F" w:rsidRDefault="00D9219B">
      <w:r w:rsidRPr="00663A5F">
        <w:separator/>
      </w:r>
    </w:p>
  </w:footnote>
  <w:footnote w:type="continuationSeparator" w:id="0">
    <w:p w:rsidR="00D9219B" w:rsidRPr="00663A5F" w:rsidRDefault="00D9219B">
      <w:r w:rsidRPr="00663A5F">
        <w:continuationSeparator/>
      </w:r>
    </w:p>
  </w:footnote>
  <w:footnote w:id="1">
    <w:p w:rsidR="00975D79" w:rsidRPr="00663A5F" w:rsidRDefault="00975D79">
      <w:pPr>
        <w:pStyle w:val="FootnoteText"/>
      </w:pPr>
      <w:r w:rsidRPr="00663A5F">
        <w:rPr>
          <w:rStyle w:val="FootnoteReference"/>
        </w:rPr>
        <w:footnoteRef/>
      </w:r>
      <w:r w:rsidRPr="00663A5F">
        <w:t xml:space="preserve"> Euroopan parlamentin työjärjestyksen 136 artiklan 4 ja 5 kohdassa määrätään, että jos parlamentin jäsenten enemmistö on allekirjoittanut kannanoton, kannanotto ja allekirjoittajien nimet julkaistaan pöytäkirjassa ja välitetään kannanotossa mainituille tahoille. Kannanotto ei kuitenkaan sido parlamenttia.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910" w:rsidRDefault="00365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910" w:rsidRDefault="003659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910" w:rsidRDefault="00365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trSubDir" w:val="1111"/>
    <w:docVar w:name="TXTLANGUE" w:val="FI"/>
    <w:docVar w:name="TXTLANGUEMIN" w:val="fi"/>
    <w:docVar w:name="TXTNRDOC" w:val="0129/2016"/>
    <w:docVar w:name="TXTNRPE" w:val="595.930"/>
    <w:docVar w:name="TXTPEorAP" w:val="PE"/>
    <w:docVar w:name="TXTROUTE" w:val="DC\1111131FI.docx"/>
    <w:docVar w:name="TXTTITLE" w:val=",,,"/>
    <w:docVar w:name="TXTVERSION" w:val="01-00"/>
  </w:docVars>
  <w:rsids>
    <w:rsidRoot w:val="00D9219B"/>
    <w:rsid w:val="00077BD0"/>
    <w:rsid w:val="000953B1"/>
    <w:rsid w:val="0010608D"/>
    <w:rsid w:val="00110B7D"/>
    <w:rsid w:val="00167B14"/>
    <w:rsid w:val="00181986"/>
    <w:rsid w:val="002471A0"/>
    <w:rsid w:val="00365910"/>
    <w:rsid w:val="00373237"/>
    <w:rsid w:val="004A66BA"/>
    <w:rsid w:val="004D6197"/>
    <w:rsid w:val="004E3AD2"/>
    <w:rsid w:val="004E5340"/>
    <w:rsid w:val="004F7CA6"/>
    <w:rsid w:val="00552D77"/>
    <w:rsid w:val="0059587D"/>
    <w:rsid w:val="005C5A09"/>
    <w:rsid w:val="005F7377"/>
    <w:rsid w:val="00663A5F"/>
    <w:rsid w:val="006A2BAA"/>
    <w:rsid w:val="00705D1E"/>
    <w:rsid w:val="00820D75"/>
    <w:rsid w:val="0085619C"/>
    <w:rsid w:val="00871D05"/>
    <w:rsid w:val="008964BD"/>
    <w:rsid w:val="008B7FBB"/>
    <w:rsid w:val="008C296D"/>
    <w:rsid w:val="00934607"/>
    <w:rsid w:val="00975D79"/>
    <w:rsid w:val="009B3994"/>
    <w:rsid w:val="009B5B3C"/>
    <w:rsid w:val="009D3FE0"/>
    <w:rsid w:val="00A160DA"/>
    <w:rsid w:val="00AD35F0"/>
    <w:rsid w:val="00B13ABA"/>
    <w:rsid w:val="00B918EF"/>
    <w:rsid w:val="00C25FD2"/>
    <w:rsid w:val="00C30611"/>
    <w:rsid w:val="00C64474"/>
    <w:rsid w:val="00C748BE"/>
    <w:rsid w:val="00CA7662"/>
    <w:rsid w:val="00D1766A"/>
    <w:rsid w:val="00D621EB"/>
    <w:rsid w:val="00D9219B"/>
    <w:rsid w:val="00DC6953"/>
    <w:rsid w:val="00E841AC"/>
    <w:rsid w:val="00EA124D"/>
    <w:rsid w:val="00F73238"/>
    <w:rsid w:val="00FB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594313B-684A-4305-A7EA-19480B8C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customStyle="1" w:styleId="Justification">
    <w:name w:val="Justification"/>
    <w:basedOn w:val="Normal12"/>
    <w:rPr>
      <w:i/>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PName">
    <w:name w:val="EPName"/>
    <w:basedOn w:val="Normal"/>
    <w:rsid w:val="0010608D"/>
    <w:pPr>
      <w:spacing w:before="80" w:after="80"/>
    </w:pPr>
    <w:rPr>
      <w:rFonts w:ascii="Arial Narrow" w:hAnsi="Arial Narrow" w:cs="Arial"/>
      <w:b/>
      <w:color w:val="000000"/>
      <w:sz w:val="32"/>
      <w:szCs w:val="22"/>
    </w:r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12a12b"/>
    <w:next w:val="Normal12"/>
    <w:pPr>
      <w:keepNext/>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DC">
    <w:name w:val="ZDateDC"/>
    <w:basedOn w:val="Normal"/>
    <w:rsid w:val="00871D05"/>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Normal">
    <w:name w:val="CoverNormal"/>
    <w:basedOn w:val="Normal"/>
    <w:pPr>
      <w:ind w:left="1418"/>
    </w:pPr>
  </w:style>
  <w:style w:type="table" w:styleId="TableGrid">
    <w:name w:val="Table Grid"/>
    <w:basedOn w:val="TableNormal"/>
    <w:rsid w:val="00EA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Top">
    <w:name w:val="LineTop"/>
    <w:basedOn w:val="Normal"/>
    <w:next w:val="Normal"/>
    <w:rsid w:val="00EA124D"/>
    <w:pPr>
      <w:pBdr>
        <w:top w:val="single" w:sz="4" w:space="1" w:color="auto"/>
      </w:pBdr>
      <w:jc w:val="center"/>
    </w:pPr>
    <w:rPr>
      <w:rFonts w:ascii="Arial" w:hAnsi="Arial"/>
      <w:sz w:val="16"/>
      <w:szCs w:val="16"/>
    </w:rPr>
  </w:style>
  <w:style w:type="paragraph" w:customStyle="1" w:styleId="LineBottom">
    <w:name w:val="LineBottom"/>
    <w:basedOn w:val="Normal"/>
    <w:next w:val="Normal"/>
    <w:rsid w:val="00EA124D"/>
    <w:pPr>
      <w:pBdr>
        <w:bottom w:val="single" w:sz="4" w:space="1" w:color="auto"/>
      </w:pBdr>
      <w:spacing w:after="240"/>
      <w:jc w:val="center"/>
    </w:pPr>
    <w:rPr>
      <w:rFonts w:ascii="Arial" w:hAnsi="Arial"/>
      <w:sz w:val="16"/>
      <w:szCs w:val="16"/>
    </w:rPr>
  </w:style>
  <w:style w:type="paragraph" w:customStyle="1" w:styleId="CoverBold84">
    <w:name w:val="CoverBold84"/>
    <w:basedOn w:val="Normal"/>
    <w:rsid w:val="004D6197"/>
    <w:pPr>
      <w:spacing w:after="1680"/>
      <w:ind w:left="1418"/>
    </w:pPr>
    <w:rPr>
      <w:b/>
    </w:rPr>
  </w:style>
  <w:style w:type="paragraph" w:customStyle="1" w:styleId="EPTerm">
    <w:name w:val="EPTerm"/>
    <w:basedOn w:val="Normal"/>
    <w:next w:val="Normal"/>
    <w:rsid w:val="0010608D"/>
    <w:pPr>
      <w:spacing w:after="80"/>
    </w:pPr>
    <w:rPr>
      <w:rFonts w:ascii="Arial" w:hAnsi="Arial" w:cs="Arial"/>
      <w:sz w:val="20"/>
      <w:szCs w:val="22"/>
    </w:rPr>
  </w:style>
  <w:style w:type="paragraph" w:customStyle="1" w:styleId="EPLogo">
    <w:name w:val="EPLogo"/>
    <w:basedOn w:val="Normal"/>
    <w:qFormat/>
    <w:rsid w:val="0010608D"/>
    <w:pPr>
      <w:jc w:val="right"/>
    </w:pPr>
  </w:style>
  <w:style w:type="paragraph" w:customStyle="1" w:styleId="RefProc">
    <w:name w:val="RefProc"/>
    <w:basedOn w:val="Normal"/>
    <w:rsid w:val="00A160DA"/>
    <w:pPr>
      <w:spacing w:before="1440" w:after="240"/>
      <w:jc w:val="right"/>
    </w:pPr>
    <w:rPr>
      <w:rFonts w:ascii="Arial" w:hAnsi="Arial"/>
      <w:b/>
    </w:rPr>
  </w:style>
  <w:style w:type="paragraph" w:customStyle="1" w:styleId="ZDate">
    <w:name w:val="ZDate"/>
    <w:basedOn w:val="Normal"/>
    <w:rsid w:val="000953B1"/>
    <w:pPr>
      <w:spacing w:after="1200"/>
    </w:pPr>
  </w:style>
  <w:style w:type="paragraph" w:styleId="FootnoteText">
    <w:name w:val="footnote text"/>
    <w:basedOn w:val="Normal"/>
    <w:link w:val="FootnoteTextChar"/>
    <w:rsid w:val="00975D79"/>
    <w:rPr>
      <w:sz w:val="20"/>
    </w:rPr>
  </w:style>
  <w:style w:type="character" w:customStyle="1" w:styleId="FootnoteTextChar">
    <w:name w:val="Footnote Text Char"/>
    <w:basedOn w:val="DefaultParagraphFont"/>
    <w:link w:val="FootnoteText"/>
    <w:rsid w:val="00975D79"/>
  </w:style>
  <w:style w:type="character" w:styleId="FootnoteReference">
    <w:name w:val="footnote reference"/>
    <w:basedOn w:val="DefaultParagraphFont"/>
    <w:rsid w:val="00975D79"/>
    <w:rPr>
      <w:vertAlign w:val="superscript"/>
    </w:rPr>
  </w:style>
  <w:style w:type="paragraph" w:styleId="BalloonText">
    <w:name w:val="Balloon Text"/>
    <w:basedOn w:val="Normal"/>
    <w:link w:val="BalloonTextChar"/>
    <w:rsid w:val="00975D79"/>
    <w:rPr>
      <w:rFonts w:ascii="Segoe UI" w:hAnsi="Segoe UI" w:cs="Segoe UI"/>
      <w:sz w:val="18"/>
      <w:szCs w:val="18"/>
    </w:rPr>
  </w:style>
  <w:style w:type="character" w:customStyle="1" w:styleId="BalloonTextChar">
    <w:name w:val="Balloon Text Char"/>
    <w:basedOn w:val="DefaultParagraphFont"/>
    <w:link w:val="BalloonText"/>
    <w:rsid w:val="00975D79"/>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6811B-792C-439F-9914-084E4DC6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2412</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DC</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c:title>
  <dc:subject/>
  <dc:creator>SWALLOW Helen Jane</dc:creator>
  <cp:keywords/>
  <dc:description/>
  <cp:lastModifiedBy>LARM Elina</cp:lastModifiedBy>
  <cp:revision>2</cp:revision>
  <cp:lastPrinted>2003-08-20T08:58:00Z</cp:lastPrinted>
  <dcterms:created xsi:type="dcterms:W3CDTF">2016-12-05T10:52:00Z</dcterms:created>
  <dcterms:modified xsi:type="dcterms:W3CDTF">2016-12-05T10:52:00Z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1111131</vt:lpwstr>
  </property>
  <property fmtid="{D5CDD505-2E9C-101B-9397-08002B2CF9AE}" pid="5" name="&lt;Type&gt;">
    <vt:lpwstr>DC</vt:lpwstr>
  </property>
  <property fmtid="{D5CDD505-2E9C-101B-9397-08002B2CF9AE}" pid="6" name="&lt;ModelCod&gt;">
    <vt:lpwstr>\\eiciLUXpr1\pdocep$\DocEP\DOCS\General\DC\DC.dot(17/02/2016 10:44:17)</vt:lpwstr>
  </property>
  <property fmtid="{D5CDD505-2E9C-101B-9397-08002B2CF9AE}" pid="7" name="&lt;ModelTra&gt;">
    <vt:lpwstr>\\eiciLUXpr1\pdocep$\DocEP\TRANSFIL\EN\DC.EN(21/09/2015 06:36:39)</vt:lpwstr>
  </property>
  <property fmtid="{D5CDD505-2E9C-101B-9397-08002B2CF9AE}" pid="8" name="&lt;Model&gt;">
    <vt:lpwstr>DC</vt:lpwstr>
  </property>
  <property fmtid="{D5CDD505-2E9C-101B-9397-08002B2CF9AE}" pid="9" name="FooterPath">
    <vt:lpwstr>DC\1111131FI.docx</vt:lpwstr>
  </property>
  <property fmtid="{D5CDD505-2E9C-101B-9397-08002B2CF9AE}" pid="10" name="PE Number">
    <vt:lpwstr>595.930</vt:lpwstr>
  </property>
  <property fmtid="{D5CDD505-2E9C-101B-9397-08002B2CF9AE}" pid="11" name="Bookout">
    <vt:lpwstr>OK - 2016/12/5 11:52</vt:lpwstr>
  </property>
  <property fmtid="{D5CDD505-2E9C-101B-9397-08002B2CF9AE}" pid="12" name="SDLStudio">
    <vt:lpwstr/>
  </property>
  <property fmtid="{D5CDD505-2E9C-101B-9397-08002B2CF9AE}" pid="13" name="&lt;Extension&gt;">
    <vt:lpwstr>FI</vt:lpwstr>
  </property>
</Properties>
</file>