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p w:rsidR="00A77B3E">
      <w:pPr>
        <w:pStyle w:val="Interstitial1"/>
      </w:pP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11/01/2018</w:t>
      </w:r>
      <w:r>
        <w:rPr>
          <w:rStyle w:val="HideTWBInt"/>
        </w:rPr>
        <w:t>}</w:t>
      </w:r>
      <w:r>
        <w:t>11.1.2018</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A8-0392</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321</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321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Seán Kelly</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PPE</w:t>
      </w:r>
      <w:r>
        <w:rPr>
          <w:rStyle w:val="HideTWBInt"/>
        </w:rPr>
        <w:t>}</w:t>
      </w:r>
      <w:r>
        <w:t xml:space="preserve">on behalf of the </w:t>
      </w:r>
      <w:r>
        <w:t>PPE</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Fredrick Federley</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ALDE</w:t>
      </w:r>
      <w:r>
        <w:rPr>
          <w:rStyle w:val="HideTWBInt"/>
        </w:rPr>
        <w:t>}</w:t>
      </w:r>
      <w:r>
        <w:t xml:space="preserve">on behalf of the </w:t>
      </w:r>
      <w:r>
        <w:t>ALDE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A8-0392/2017</w:t>
      </w:r>
    </w:p>
    <w:p>
      <w:pPr>
        <w:pStyle w:val="NormalBold"/>
      </w:pPr>
      <w:r>
        <w:rPr>
          <w:rStyle w:val="HideTWBExt"/>
        </w:rPr>
        <w:t>&lt;</w:t>
      </w:r>
      <w:r>
        <w:rPr>
          <w:rStyle w:val="HideTWBExt"/>
        </w:rPr>
        <w:t>Rapporteur</w:t>
      </w:r>
      <w:r>
        <w:rPr>
          <w:rStyle w:val="HideTWBExt"/>
        </w:rPr>
        <w:t>&gt;</w:t>
      </w:r>
      <w:r>
        <w:t>José Blanco López</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Promotion of the use of energy from renewable sources</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w:t>
      </w:r>
      <w:r>
        <w:t>COM(2016)0767</w:t>
      </w:r>
      <w:r>
        <w:t xml:space="preserve"> - </w:t>
      </w:r>
      <w:r>
        <w:t>C8-0500/2016</w:t>
      </w:r>
      <w:r>
        <w:t xml:space="preserve"> - </w:t>
      </w:r>
      <w:r>
        <w:t>2016/0382(COD)</w:t>
      </w:r>
      <w:r>
        <w:t>)</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Proposal for a directive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3 – paragraph 2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2 a.</w:t>
            </w:r>
            <w:r>
              <w:tab/>
            </w:r>
            <w:r>
              <w:rPr>
                <w:rFonts w:ascii="Times New Roman" w:eastAsia="Times New Roman" w:hAnsi="Times New Roman" w:cs="Times New Roman"/>
                <w:b/>
                <w:i/>
                <w:strike w:val="0"/>
                <w:color w:val="000000"/>
                <w:sz w:val="24"/>
                <w:highlight w:val="none"/>
                <w:u w:val="none" w:color="auto"/>
              </w:rPr>
              <w:t>Member States shall ensure that their national policies, including support schemes, are designed to conform to the waste hierarchy, as set out in Article 4 of Directive 2008/98/EC and avoid significant distortive effects on markets for (by)products, wastes and residues. To that end, Member States shall regularly review their national policies and justify any deviation in the reports required under Article 18(c) of Regulation [Governance].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Olang"/>
        <w:sectPr>
          <w:footerReference w:type="even" r:id="rId4"/>
          <w:footerReference w:type="default" r:id="rId5"/>
          <w:footerReference w:type="first" r:id="rId6"/>
          <w:pgSz w:w="11906" w:h="16838"/>
          <w:pgMar w:top="1134" w:right="1417" w:bottom="1417" w:left="1417" w:header="1134" w:footer="567" w:gutter="0"/>
          <w:cols w:num="1" w:space="708"/>
          <w:titlePg/>
          <w:docGrid w:linePitch="360"/>
        </w:sectPr>
      </w:pPr>
      <w:r>
        <w:rPr>
          <w:rStyle w:val="HideTWBExt"/>
        </w:rPr>
        <w:t>&lt;/</w:t>
      </w:r>
      <w:r>
        <w:rPr>
          <w:rStyle w:val="HideTWBExt"/>
        </w:rPr>
        <w:t>Amend</w:t>
      </w:r>
      <w:r>
        <w:rPr>
          <w:rStyle w:val="HideTWBExt"/>
        </w:rPr>
        <w:t>&gt;</w:t>
      </w:r>
    </w:p>
    <w:p>
      <w:pPr>
        <w:pStyle w:val="Interstitial1"/>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11/01/2018</w:t>
      </w:r>
      <w:r>
        <w:rPr>
          <w:rStyle w:val="HideTWBInt"/>
        </w:rPr>
        <w:t>}</w:t>
      </w:r>
      <w:r>
        <w:t>11.1.2018</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A8-0392</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322</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322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Seán Kelly</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PPE</w:t>
      </w:r>
      <w:r>
        <w:rPr>
          <w:rStyle w:val="HideTWBInt"/>
        </w:rPr>
        <w:t>}</w:t>
      </w:r>
      <w:r>
        <w:t xml:space="preserve">on behalf of the </w:t>
      </w:r>
      <w:r>
        <w:t>PPE</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Fredrick Federley</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ALDE</w:t>
      </w:r>
      <w:r>
        <w:rPr>
          <w:rStyle w:val="HideTWBInt"/>
        </w:rPr>
        <w:t>}</w:t>
      </w:r>
      <w:r>
        <w:t xml:space="preserve">on behalf of the </w:t>
      </w:r>
      <w:r>
        <w:t>ALDE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A8-0392/2017</w:t>
      </w:r>
    </w:p>
    <w:p>
      <w:pPr>
        <w:pStyle w:val="NormalBold"/>
      </w:pPr>
      <w:r>
        <w:rPr>
          <w:rStyle w:val="HideTWBExt"/>
        </w:rPr>
        <w:t>&lt;</w:t>
      </w:r>
      <w:r>
        <w:rPr>
          <w:rStyle w:val="HideTWBExt"/>
        </w:rPr>
        <w:t>Rapporteur</w:t>
      </w:r>
      <w:r>
        <w:rPr>
          <w:rStyle w:val="HideTWBExt"/>
        </w:rPr>
        <w:t>&gt;</w:t>
      </w:r>
      <w:r>
        <w:t>José Blanco López</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Promotion of the use of energy from renewable sources</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w:t>
      </w:r>
      <w:r>
        <w:t>COM(2016)0767</w:t>
      </w:r>
      <w:r>
        <w:t xml:space="preserve"> - </w:t>
      </w:r>
      <w:r>
        <w:t>C8-0500/2016</w:t>
      </w:r>
      <w:r>
        <w:t xml:space="preserve"> - </w:t>
      </w:r>
      <w:r>
        <w:t>2016/0382(COD)</w:t>
      </w:r>
      <w:r>
        <w:t>)</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Proposal for a directive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4 – 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 xml:space="preserve">Subject to </w:t>
            </w:r>
            <w:r>
              <w:rPr>
                <w:rFonts w:ascii="Times New Roman" w:eastAsia="Times New Roman" w:hAnsi="Times New Roman" w:cs="Times New Roman"/>
                <w:b/>
                <w:i/>
                <w:strike w:val="0"/>
                <w:color w:val="000000"/>
                <w:sz w:val="24"/>
                <w:highlight w:val="none"/>
                <w:u w:val="none" w:color="auto"/>
              </w:rPr>
              <w:t>State aid rules</w:t>
            </w:r>
            <w:r>
              <w:t xml:space="preserve">, in order to reach the Union </w:t>
            </w:r>
            <w:r>
              <w:rPr>
                <w:rFonts w:ascii="Times New Roman" w:eastAsia="Times New Roman" w:hAnsi="Times New Roman" w:cs="Times New Roman"/>
                <w:b/>
                <w:i/>
                <w:strike w:val="0"/>
                <w:color w:val="000000"/>
                <w:sz w:val="24"/>
                <w:highlight w:val="none"/>
                <w:u w:val="none" w:color="auto"/>
              </w:rPr>
              <w:t>target</w:t>
            </w:r>
            <w:r>
              <w:t xml:space="preserve"> set in Article </w:t>
            </w:r>
            <w:r>
              <w:rPr>
                <w:rFonts w:ascii="Times New Roman" w:eastAsia="Times New Roman" w:hAnsi="Times New Roman" w:cs="Times New Roman"/>
                <w:b/>
                <w:i/>
                <w:strike w:val="0"/>
                <w:color w:val="000000"/>
                <w:sz w:val="24"/>
                <w:highlight w:val="none"/>
                <w:u w:val="none" w:color="auto"/>
              </w:rPr>
              <w:t>3(1)</w:t>
            </w:r>
            <w:r>
              <w:t xml:space="preserve">, Member States may apply support schemes. Support schemes for electricity from renewable sources shall be </w:t>
            </w:r>
            <w:r>
              <w:rPr>
                <w:rFonts w:ascii="Times New Roman" w:eastAsia="Times New Roman" w:hAnsi="Times New Roman" w:cs="Times New Roman"/>
                <w:b/>
                <w:i/>
                <w:strike w:val="0"/>
                <w:color w:val="000000"/>
                <w:sz w:val="24"/>
                <w:highlight w:val="none"/>
                <w:u w:val="none" w:color="auto"/>
              </w:rPr>
              <w:t>designed</w:t>
            </w:r>
            <w:r>
              <w:t xml:space="preserve"> so as to avoid </w:t>
            </w:r>
            <w:r>
              <w:rPr>
                <w:rFonts w:ascii="Times New Roman" w:eastAsia="Times New Roman" w:hAnsi="Times New Roman" w:cs="Times New Roman"/>
                <w:b/>
                <w:i/>
                <w:strike w:val="0"/>
                <w:color w:val="000000"/>
                <w:sz w:val="24"/>
                <w:highlight w:val="none"/>
                <w:u w:val="none" w:color="auto"/>
              </w:rPr>
              <w:t>unnecessary distortions</w:t>
            </w:r>
            <w:r>
              <w:t xml:space="preserve"> of electricity markets and ensure that producers take into account the supply and demand of electricity as well as possible grid constraints.</w:t>
            </w:r>
          </w:p>
        </w:tc>
        <w:tc>
          <w:tcPr/>
          <w:p>
            <w:pPr>
              <w:pStyle w:val="Normal6"/>
            </w:pPr>
            <w:r>
              <w:t>1.</w:t>
            </w:r>
            <w:r>
              <w:tab/>
            </w:r>
            <w:r>
              <w:rPr>
                <w:rFonts w:ascii="Times New Roman" w:eastAsia="Times New Roman" w:hAnsi="Times New Roman" w:cs="Times New Roman"/>
                <w:b/>
                <w:i/>
                <w:strike w:val="0"/>
                <w:color w:val="000000"/>
                <w:sz w:val="24"/>
                <w:highlight w:val="none"/>
                <w:u w:val="none" w:color="auto"/>
              </w:rPr>
              <w:t>Pursuant to Article 195 TFEU and</w:t>
            </w:r>
            <w:r>
              <w:t xml:space="preserve"> subject to </w:t>
            </w:r>
            <w:r>
              <w:rPr>
                <w:rFonts w:ascii="Times New Roman" w:eastAsia="Times New Roman" w:hAnsi="Times New Roman" w:cs="Times New Roman"/>
                <w:b/>
                <w:i/>
                <w:strike w:val="0"/>
                <w:color w:val="000000"/>
                <w:sz w:val="24"/>
                <w:highlight w:val="none"/>
                <w:u w:val="none" w:color="auto"/>
              </w:rPr>
              <w:t>Articles 107 and 108 thereof</w:t>
            </w:r>
            <w:r>
              <w:t xml:space="preserve">, in order to reach </w:t>
            </w:r>
            <w:r>
              <w:rPr>
                <w:rFonts w:ascii="Times New Roman" w:eastAsia="Times New Roman" w:hAnsi="Times New Roman" w:cs="Times New Roman"/>
                <w:b/>
                <w:i/>
                <w:strike w:val="0"/>
                <w:color w:val="000000"/>
                <w:sz w:val="24"/>
                <w:highlight w:val="none"/>
                <w:u w:val="none" w:color="auto"/>
              </w:rPr>
              <w:t>or exceed</w:t>
            </w:r>
            <w:r>
              <w:t xml:space="preserve"> the Union </w:t>
            </w:r>
            <w:r>
              <w:rPr>
                <w:rFonts w:ascii="Times New Roman" w:eastAsia="Times New Roman" w:hAnsi="Times New Roman" w:cs="Times New Roman"/>
                <w:b/>
                <w:i/>
                <w:strike w:val="0"/>
                <w:color w:val="000000"/>
                <w:sz w:val="24"/>
                <w:highlight w:val="none"/>
                <w:u w:val="none" w:color="auto"/>
              </w:rPr>
              <w:t>and national targets</w:t>
            </w:r>
            <w:r>
              <w:t xml:space="preserve"> set in Article </w:t>
            </w:r>
            <w:r>
              <w:rPr>
                <w:rFonts w:ascii="Times New Roman" w:eastAsia="Times New Roman" w:hAnsi="Times New Roman" w:cs="Times New Roman"/>
                <w:b/>
                <w:i/>
                <w:strike w:val="0"/>
                <w:color w:val="000000"/>
                <w:sz w:val="24"/>
                <w:highlight w:val="none"/>
                <w:u w:val="none" w:color="auto"/>
              </w:rPr>
              <w:t>3</w:t>
            </w:r>
            <w:r>
              <w:t>, Member States may apply support schemes.</w:t>
            </w:r>
            <w:r>
              <w:br/>
            </w:r>
            <w:r>
              <w:rPr>
                <w:rFonts w:ascii="Times New Roman" w:eastAsia="Times New Roman" w:hAnsi="Times New Roman" w:cs="Times New Roman"/>
                <w:b/>
                <w:i/>
                <w:strike w:val="0"/>
                <w:color w:val="000000"/>
                <w:sz w:val="24"/>
                <w:highlight w:val="none"/>
                <w:u w:val="none" w:color="auto"/>
              </w:rPr>
              <w:t>To avoid unnecessary distortions of raw material markets, support schemes for renewable energy from biomass should be designed to avoid encouraging inappropriate use of biomass primarily for energy production if there exists industrial or material uses providing higher added-value, which could include giving priority to the use of wastes and residues. Members should take into account available sustainable supply of biomass.</w:t>
            </w:r>
            <w:r>
              <w:br/>
            </w:r>
            <w:r>
              <w:t xml:space="preserve">Support schemes for electricity from renewable sources shall be </w:t>
            </w:r>
            <w:r>
              <w:rPr>
                <w:rFonts w:ascii="Times New Roman" w:eastAsia="Times New Roman" w:hAnsi="Times New Roman" w:cs="Times New Roman"/>
                <w:b/>
                <w:i/>
                <w:strike w:val="0"/>
                <w:color w:val="000000"/>
                <w:sz w:val="24"/>
                <w:highlight w:val="none"/>
                <w:u w:val="none" w:color="auto"/>
              </w:rPr>
              <w:t>market-based</w:t>
            </w:r>
            <w:r>
              <w:t xml:space="preserve"> so as to avoid </w:t>
            </w:r>
            <w:r>
              <w:rPr>
                <w:rFonts w:ascii="Times New Roman" w:eastAsia="Times New Roman" w:hAnsi="Times New Roman" w:cs="Times New Roman"/>
                <w:b/>
                <w:i/>
                <w:strike w:val="0"/>
                <w:color w:val="000000"/>
                <w:sz w:val="24"/>
                <w:highlight w:val="none"/>
                <w:u w:val="none" w:color="auto"/>
              </w:rPr>
              <w:t>the distortion</w:t>
            </w:r>
            <w:r>
              <w:t xml:space="preserve"> of electricity markets and </w:t>
            </w:r>
            <w:r>
              <w:rPr>
                <w:rFonts w:ascii="Times New Roman" w:eastAsia="Times New Roman" w:hAnsi="Times New Roman" w:cs="Times New Roman"/>
                <w:b/>
                <w:i/>
                <w:strike w:val="0"/>
                <w:color w:val="000000"/>
                <w:sz w:val="24"/>
                <w:highlight w:val="none"/>
                <w:u w:val="none" w:color="auto"/>
              </w:rPr>
              <w:t>shall</w:t>
            </w:r>
            <w:r>
              <w:t xml:space="preserve"> ensure that producers take into account the supply and demand of electricity as well as possible </w:t>
            </w:r>
            <w:r>
              <w:rPr>
                <w:rFonts w:ascii="Times New Roman" w:eastAsia="Times New Roman" w:hAnsi="Times New Roman" w:cs="Times New Roman"/>
                <w:b/>
                <w:i/>
                <w:strike w:val="0"/>
                <w:color w:val="000000"/>
                <w:sz w:val="24"/>
                <w:highlight w:val="none"/>
                <w:u w:val="none" w:color="auto"/>
              </w:rPr>
              <w:t>system integration costs or</w:t>
            </w:r>
            <w:r>
              <w:t xml:space="preserve"> grid constraints.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Olang"/>
        <w:sectPr>
          <w:footerReference w:type="even" r:id="rId7"/>
          <w:footerReference w:type="default" r:id="rId8"/>
          <w:footerReference w:type="first" r:id="rId9"/>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Interstitial1"/>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11/01/2018</w:t>
      </w:r>
      <w:r>
        <w:rPr>
          <w:rStyle w:val="HideTWBInt"/>
        </w:rPr>
        <w:t>}</w:t>
      </w:r>
      <w:r>
        <w:t>11.1.2018</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A8-0392</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323</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323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Seán Kelly</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PPE</w:t>
      </w:r>
      <w:r>
        <w:rPr>
          <w:rStyle w:val="HideTWBInt"/>
        </w:rPr>
        <w:t>}</w:t>
      </w:r>
      <w:r>
        <w:t xml:space="preserve">on behalf of the </w:t>
      </w:r>
      <w:r>
        <w:t>PPE</w:t>
      </w:r>
      <w:r>
        <w:t xml:space="preserve"> Group</w:t>
      </w:r>
      <w:r>
        <w:rPr>
          <w:rStyle w:val="HideTWBExt"/>
        </w:rPr>
        <w:t>&lt;/</w:t>
      </w:r>
      <w:r>
        <w:rPr>
          <w:rStyle w:val="HideTWBExt"/>
        </w:rPr>
        <w:t>AuNomDe</w:t>
      </w:r>
      <w:r>
        <w:rPr>
          <w:rStyle w:val="HideTWBExt"/>
        </w:rPr>
        <w:t>&gt;</w:t>
      </w:r>
    </w:p>
    <w:p>
      <w:pPr>
        <w:pStyle w:val="NormalBold"/>
      </w:pPr>
      <w:r>
        <w:rPr>
          <w:rStyle w:val="HideTWBExt"/>
        </w:rPr>
        <w:t>&lt;</w:t>
      </w:r>
      <w:r>
        <w:rPr>
          <w:rStyle w:val="HideTWBExt"/>
        </w:rPr>
        <w:t>Members</w:t>
      </w:r>
      <w:r>
        <w:rPr>
          <w:rStyle w:val="HideTWBExt"/>
        </w:rPr>
        <w:t>&gt;</w:t>
      </w:r>
      <w:r>
        <w:t>Fredrick Federley</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ALDE</w:t>
      </w:r>
      <w:r>
        <w:rPr>
          <w:rStyle w:val="HideTWBInt"/>
        </w:rPr>
        <w:t>}</w:t>
      </w:r>
      <w:r>
        <w:t xml:space="preserve">on behalf of the </w:t>
      </w:r>
      <w:r>
        <w:t>ALDE</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A8-0392/2017</w:t>
      </w:r>
    </w:p>
    <w:p>
      <w:pPr>
        <w:pStyle w:val="NormalBold"/>
      </w:pPr>
      <w:r>
        <w:rPr>
          <w:rStyle w:val="HideTWBExt"/>
        </w:rPr>
        <w:t>&lt;</w:t>
      </w:r>
      <w:r>
        <w:rPr>
          <w:rStyle w:val="HideTWBExt"/>
        </w:rPr>
        <w:t>Rapporteur</w:t>
      </w:r>
      <w:r>
        <w:rPr>
          <w:rStyle w:val="HideTWBExt"/>
        </w:rPr>
        <w:t>&gt;</w:t>
      </w:r>
      <w:r>
        <w:t>José Blanco López</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Promotion of the use of energy from renewable sources</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w:t>
      </w:r>
      <w:r>
        <w:t>COM(2016)0767</w:t>
      </w:r>
      <w:r>
        <w:t xml:space="preserve"> - </w:t>
      </w:r>
      <w:r>
        <w:t>C8-0500/2016</w:t>
      </w:r>
      <w:r>
        <w:t xml:space="preserve"> - </w:t>
      </w:r>
      <w:r>
        <w:t>2016/0382(COD)</w:t>
      </w:r>
      <w:r>
        <w:t>)</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Proposal for a directive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26 – paragraph 1 – subparagraph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However,</w:t>
            </w:r>
            <w:r>
              <w:t xml:space="preserve"> biofuels, bioliquids and biomass fuels produced from waste and residues, other than agricultural, aquaculture, fisheries and forestry residues, need only fulfil the greenhouse gas emissions saving criteria set out in paragraph 7 in order to be taken into account for the purposes referred to in points (a), (b) and (c) of this paragraph . This provision shall also apply to waste and residues that are first processed into a product before being further processed into biofuels, bioliquids and biomass fuels.</w:t>
            </w:r>
          </w:p>
        </w:tc>
        <w:tc>
          <w:tcPr/>
          <w:p>
            <w:pPr>
              <w:pStyle w:val="Normal6"/>
            </w:pPr>
            <w:r>
              <w:t xml:space="preserve">Biofuels, bioliquids and biomass fuels produced from waste and residues, other than agricultural, aquaculture, fisheries and forestry residues, need only fulfil the greenhouse gas emissions saving criteria set out in paragraph 7 in order to be taken into account for the purposes referred to in points (a), (b) and (c) of this paragraph . </w:t>
            </w:r>
            <w:r>
              <w:rPr>
                <w:rFonts w:ascii="Times New Roman" w:eastAsia="Times New Roman" w:hAnsi="Times New Roman" w:cs="Times New Roman"/>
                <w:b/>
                <w:i/>
                <w:strike w:val="0"/>
                <w:color w:val="000000"/>
                <w:sz w:val="24"/>
                <w:highlight w:val="none"/>
                <w:u w:val="none" w:color="auto"/>
              </w:rPr>
              <w:t>However, their production from waste and residues covered by Directive 2008/98/EC shall be in line with the principle of the waste hierarchy as laid down in Directive 2008/98/EC.</w:t>
            </w:r>
            <w:r>
              <w:t xml:space="preserve"> This provision shall also apply to waste and residues that are first processed into a product before being further processed into biofuels, bioliquids and biomass fuels.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Olang"/>
      </w:pPr>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10"/>
      <w:footerReference w:type="default" r:id="rId11"/>
      <w:footerReference w:type="first" r:id="rId12"/>
      <w:type w:val="nextPage"/>
      <w:pgSz w:w="11906" w:h="16838"/>
      <w:pgMar w:top="1134" w:right="1417" w:bottom="1417" w:left="1417" w:header="1134" w:footer="567" w:gutter="0"/>
      <w:cols w:num="1" w:space="708"/>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AM\P8_AMA(2017)0392(321-323)EN.docx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614.327</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AM\P8_AMA(2017)0392(321-323)EN.docx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614.327</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AM\P8_AMA(2017)0392(321-323)EN.docx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614.327</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AM\P8_AMA(2017)0392(321-323)EN.docx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614.327</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AM\P8_AMA(2017)0392(321-323)EN.docx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614.327</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AM\P8_AMA(2017)0392(321-323)EN.docx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614.327</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AM\P8_AMA(2017)0392(321-323)EN.docx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614.327</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AM\P8_AMA(2017)0392(321-323)EN.docx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614.327</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AM\P8_AMA(2017)0392(321-323)EN.docx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614.327</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eastAsia="Times New Roman" w:hAnsi="Cambria" w:cs="Times New Roman"/>
      <w:color w:val="365F91" w:themeShade="B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 w:val="24"/>
      <w:szCs w:val="24"/>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sz w:val="24"/>
      <w:szCs w:val="24"/>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sz w:val="24"/>
      <w:szCs w:val="24"/>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next w:val="DefaultParagraphFont"/>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6"/>
        <w:tab w:val="right" w:pos="9072"/>
      </w:tabs>
      <w:spacing w:before="240" w:after="240"/>
    </w:pPr>
    <w:rPr>
      <w:sz w:val="22"/>
      <w:szCs w:val="24"/>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pPr>
      <w:tabs>
        <w:tab w:val="center" w:pos="4535"/>
        <w:tab w:val="right" w:pos="9072"/>
        <w:tab w:val="right" w:pos="9923"/>
      </w:tabs>
      <w:spacing w:before="0" w:after="0" w:line="480" w:lineRule="auto"/>
      <w:ind w:left="-851" w:right="-284"/>
    </w:pPr>
    <w:rPr>
      <w:rFonts w:ascii="Arial" w:eastAsia="Arial" w:hAnsi="Arial" w:cs="Arial"/>
      <w:b/>
      <w:color w:val="000000"/>
      <w:sz w:val="48"/>
      <w:szCs w:val="24"/>
    </w:rPr>
  </w:style>
  <w:style w:type="paragraph" w:customStyle="1" w:styleId="Footer2Landscape">
    <w:name w:val="Footer2Landscape"/>
    <w:qFormat/>
    <w:rsid w:val="002F0BDD"/>
    <w:pPr>
      <w:tabs>
        <w:tab w:val="center" w:pos="4535"/>
        <w:tab w:val="center" w:pos="6804"/>
        <w:tab w:val="clear" w:pos="9072"/>
        <w:tab w:val="clear" w:pos="9923"/>
        <w:tab w:val="center" w:pos="13608"/>
      </w:tabs>
      <w:spacing w:before="0" w:after="0"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lear" w:pos="9072"/>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szCs w:val="24"/>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szCs w:val="24"/>
    </w:rPr>
  </w:style>
  <w:style w:type="paragraph" w:styleId="Header">
    <w:name w:val="header"/>
    <w:basedOn w:val="Normal"/>
    <w:link w:val="HeaderChar"/>
    <w:rsid w:val="00173229"/>
    <w:pPr>
      <w:tabs>
        <w:tab w:val="center" w:pos="4513"/>
        <w:tab w:val="right" w:pos="9026"/>
      </w:tabs>
    </w:pPr>
    <w:rPr>
      <w:sz w:val="24"/>
      <w:szCs w:val="24"/>
    </w:r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rPr>
      <w:sz w:val="24"/>
      <w:szCs w:val="24"/>
    </w:rPr>
  </w:style>
  <w:style w:type="character" w:customStyle="1" w:styleId="Heading2Char">
    <w:name w:val="Heading 2 Char"/>
    <w:basedOn w:val="DefaultParagraphFont"/>
    <w:link w:val="Heading2"/>
    <w:rsid w:val="00D311CB"/>
    <w:rPr>
      <w:rFonts w:ascii="Cambria" w:eastAsia="Times New Roman" w:hAnsi="Cambria" w:cs="Times New Roman"/>
      <w:color w:val="365F91" w:themeShade="BF"/>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themeShade="BF"/>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eastAsia="Times New Roman" w:hAnsi="Cambria" w:cs="Times New Roman"/>
      <w:color w:val="365F91" w:themeShade="BF"/>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E24A24"/>
    <w:pPr>
      <w:tabs>
        <w:tab w:val="right" w:pos="9072"/>
      </w:tabs>
      <w:spacing w:before="0" w:after="0"/>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szCs w:val="24"/>
    </w:rPr>
  </w:style>
  <w:style w:type="paragraph" w:customStyle="1" w:styleId="LineTop">
    <w:name w:val="LineTop"/>
    <w:basedOn w:val="Normal"/>
    <w:pPr>
      <w:pBdr>
        <w:top w:val="single" w:sz="4" w:space="0" w:color="auto"/>
      </w:pBdr>
      <w:jc w:val="center"/>
    </w:pPr>
    <w:rPr>
      <w:rFonts w:ascii="Arial" w:eastAsia="Arial" w:hAnsi="Arial" w:cs="Arial"/>
      <w:color w:val="000000"/>
      <w:sz w:val="16"/>
      <w:szCs w:val="24"/>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sz w:val="24"/>
      <w:szCs w:val="24"/>
    </w:rPr>
  </w:style>
  <w:style w:type="paragraph" w:customStyle="1" w:styleId="Normal12Italic">
    <w:name w:val="Normal12Italic"/>
    <w:pPr>
      <w:tabs>
        <w:tab w:val="right" w:pos="9072"/>
      </w:tabs>
      <w:spacing w:before="0" w:after="0"/>
      <w:ind w:right="-284"/>
    </w:pPr>
    <w:rPr>
      <w:i/>
      <w:color w:val="000000"/>
      <w:sz w:val="22"/>
      <w:szCs w:val="24"/>
    </w:rPr>
  </w:style>
  <w:style w:type="paragraph" w:customStyle="1" w:styleId="Normal12a12b">
    <w:name w:val="Normal12a12b"/>
    <w:basedOn w:val="Normal"/>
    <w:pPr>
      <w:spacing w:before="240" w:after="240"/>
    </w:pPr>
    <w:rPr>
      <w:color w:val="000000"/>
      <w:sz w:val="24"/>
      <w:szCs w:val="24"/>
    </w:rPr>
  </w:style>
  <w:style w:type="paragraph" w:customStyle="1" w:styleId="Normal24">
    <w:name w:val="Normal24"/>
    <w:basedOn w:val="Normal"/>
    <w:pPr>
      <w:spacing w:after="480"/>
    </w:pPr>
    <w:rPr>
      <w:color w:val="000000"/>
      <w:sz w:val="24"/>
      <w:szCs w:val="24"/>
    </w:rPr>
  </w:style>
  <w:style w:type="paragraph" w:customStyle="1" w:styleId="Normal6">
    <w:name w:val="Normal6"/>
    <w:basedOn w:val="Normal"/>
    <w:pPr>
      <w:spacing w:after="120"/>
    </w:pPr>
    <w:rPr>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sz w:val="24"/>
      <w:szCs w:val="24"/>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sz w:val="24"/>
      <w:szCs w:val="24"/>
    </w:rPr>
  </w:style>
  <w:style w:type="paragraph" w:customStyle="1" w:styleId="NormalBold12b">
    <w:name w:val="NormalBold12b"/>
    <w:basedOn w:val="Normal"/>
    <w:pPr>
      <w:spacing w:before="240"/>
    </w:pPr>
    <w:rPr>
      <w:b/>
      <w:color w:val="000000"/>
      <w:sz w:val="24"/>
      <w:szCs w:val="24"/>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szCs w:val="24"/>
    </w:rPr>
  </w:style>
  <w:style w:type="paragraph" w:customStyle="1" w:styleId="PERight">
    <w:name w:val="PERight"/>
    <w:basedOn w:val="Normal"/>
    <w:next w:val="Normal"/>
    <w:pPr>
      <w:spacing w:line="220" w:lineRule="auto"/>
      <w:jc w:val="right"/>
    </w:pPr>
    <w:rPr>
      <w:rFonts w:ascii="Arial" w:eastAsia="Arial" w:hAnsi="Arial" w:cs="Arial"/>
      <w:color w:val="000000"/>
      <w:sz w:val="22"/>
      <w:szCs w:val="24"/>
    </w:rPr>
  </w:style>
  <w:style w:type="paragraph" w:customStyle="1" w:styleId="ProjRap">
    <w:name w:val="ProjRap"/>
    <w:basedOn w:val="Normal"/>
    <w:rsid w:val="00D311CB"/>
    <w:pPr>
      <w:widowControl w:val="0"/>
      <w:tabs>
        <w:tab w:val="right" w:pos="9072"/>
        <w:tab w:val="right" w:pos="13608"/>
      </w:tabs>
      <w:ind w:right="-284"/>
    </w:pPr>
    <w:rPr>
      <w:b/>
      <w:snapToGrid w:val="0"/>
      <w:sz w:val="24"/>
      <w:szCs w:val="20"/>
      <w:lang w:val="fr-FR"/>
    </w:rPr>
  </w:style>
  <w:style w:type="paragraph" w:customStyle="1" w:styleId="RefPE">
    <w:name w:val="RefPE"/>
    <w:basedOn w:val="Normal"/>
    <w:rsid w:val="00A92086"/>
    <w:pPr>
      <w:spacing w:after="240"/>
      <w:jc w:val="right"/>
    </w:pPr>
    <w:rPr>
      <w:rFonts w:ascii="Arial" w:hAnsi="Arial"/>
      <w:b/>
      <w:sz w:val="24"/>
      <w:szCs w:val="24"/>
    </w:rPr>
  </w:style>
  <w:style w:type="paragraph" w:customStyle="1" w:styleId="RefProc">
    <w:name w:val="RefProc"/>
    <w:basedOn w:val="Normal"/>
    <w:rsid w:val="00B6571B"/>
    <w:pPr>
      <w:spacing w:after="240"/>
      <w:jc w:val="right"/>
    </w:pPr>
    <w:rPr>
      <w:rFonts w:ascii="Arial Bold" w:eastAsia="Arial" w:hAnsi="Arial Bold" w:cs="Arial"/>
      <w:b/>
      <w:color w:val="000000"/>
      <w:sz w:val="22"/>
      <w:szCs w:val="24"/>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b w:val="0"/>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szCs w:val="24"/>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szCs w:val="24"/>
    </w:rPr>
  </w:style>
  <w:style w:type="paragraph" w:customStyle="1" w:styleId="ZDate">
    <w:name w:val="ZDate"/>
    <w:basedOn w:val="Normal"/>
    <w:pPr>
      <w:spacing w:after="168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7.xml" /><Relationship Id="rId11" Type="http://schemas.openxmlformats.org/officeDocument/2006/relationships/footer" Target="footer8.xml" /><Relationship Id="rId12" Type="http://schemas.openxmlformats.org/officeDocument/2006/relationships/footer" Target="footer9.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footer" Target="footer5.xml" /><Relationship Id="rId9" Type="http://schemas.openxmlformats.org/officeDocument/2006/relationships/footer" Target="footer6.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
  </property>
  <property fmtid="{D5CDD505-2E9C-101B-9397-08002B2CF9AE}" pid="4" name="&lt;FooterPath&gt;">
    <vt:lpwstr>AM\P8_AMA(2017)0392(321-323)EN.doc</vt:lpwstr>
  </property>
  <property fmtid="{D5CDD505-2E9C-101B-9397-08002B2CF9AE}" pid="5" name="&lt;Model&gt;">
    <vt:lpwstr>AM_Ple_LegReport</vt:lpwstr>
  </property>
  <property fmtid="{D5CDD505-2E9C-101B-9397-08002B2CF9AE}" pid="6" name="&lt;Type&gt;">
    <vt:lpwstr>AM</vt:lpwstr>
  </property>
  <property fmtid="{D5CDD505-2E9C-101B-9397-08002B2CF9AE}" pid="7" name="DMXMLUID">
    <vt:lpwstr>20180111-143722-160018-889337</vt:lpwstr>
  </property>
  <property fmtid="{D5CDD505-2E9C-101B-9397-08002B2CF9AE}" pid="8" name="PE Number">
    <vt:lpwstr>614.327</vt:lpwstr>
  </property>
  <property fmtid="{D5CDD505-2E9C-101B-9397-08002B2CF9AE}" pid="9" name="UID">
    <vt:lpwstr>eu.europa.europarl-DIN1-2018-0000001337_01.00-en-01.00_text-xml</vt:lpwstr>
  </property>
</Properties>
</file>