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BE3123" w:rsidTr="000555E6">
        <w:trPr>
          <w:trHeight w:hRule="exact" w:val="1418"/>
        </w:trPr>
        <w:tc>
          <w:tcPr>
            <w:tcW w:w="6804" w:type="dxa"/>
            <w:shd w:val="clear" w:color="auto" w:fill="auto"/>
            <w:vAlign w:val="center"/>
          </w:tcPr>
          <w:p w:rsidR="00300158" w:rsidRPr="00BE3123" w:rsidRDefault="001B5598" w:rsidP="000555E6">
            <w:pPr>
              <w:pStyle w:val="EPName"/>
            </w:pPr>
            <w:r>
              <w:t>Eвропейски парламент</w:t>
            </w:r>
          </w:p>
          <w:p w:rsidR="00300158" w:rsidRPr="00BE3123" w:rsidRDefault="00457F94" w:rsidP="00457F94">
            <w:pPr>
              <w:pStyle w:val="EPTerm"/>
              <w:rPr>
                <w:rStyle w:val="HideTWBExt"/>
                <w:noProof w:val="0"/>
                <w:vanish w:val="0"/>
                <w:color w:val="auto"/>
              </w:rPr>
            </w:pPr>
            <w:r>
              <w:t>2014-2019</w:t>
            </w:r>
          </w:p>
        </w:tc>
        <w:tc>
          <w:tcPr>
            <w:tcW w:w="2268" w:type="dxa"/>
            <w:shd w:val="clear" w:color="auto" w:fill="auto"/>
          </w:tcPr>
          <w:p w:rsidR="00300158" w:rsidRPr="00BE3123" w:rsidRDefault="00635922" w:rsidP="000555E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461B7" w:rsidRPr="00BE3123" w:rsidRDefault="00D461B7" w:rsidP="00D461B7">
      <w:pPr>
        <w:pStyle w:val="LineTop"/>
      </w:pPr>
    </w:p>
    <w:p w:rsidR="00D461B7" w:rsidRPr="00BE3123" w:rsidRDefault="00603BC5" w:rsidP="00D461B7">
      <w:pPr>
        <w:pStyle w:val="ZCommittee"/>
      </w:pPr>
      <w:r>
        <w:t>Документ за разглеждане в заседание</w:t>
      </w:r>
    </w:p>
    <w:p w:rsidR="00D461B7" w:rsidRPr="00BE3123" w:rsidRDefault="00D461B7" w:rsidP="00D461B7">
      <w:pPr>
        <w:pStyle w:val="LineBottom"/>
      </w:pPr>
    </w:p>
    <w:p w:rsidR="004D2440" w:rsidRPr="00BE3123" w:rsidRDefault="00603BC5">
      <w:pPr>
        <w:pStyle w:val="RefProc"/>
      </w:pPr>
      <w:r>
        <w:rPr>
          <w:rStyle w:val="HideTWBExt"/>
          <w:noProof w:val="0"/>
        </w:rPr>
        <w:t>&lt;NoDocSe&gt;</w:t>
      </w:r>
      <w:r>
        <w:t>A8-0270/2016</w:t>
      </w:r>
      <w:r>
        <w:rPr>
          <w:rStyle w:val="HideTWBExt"/>
          <w:noProof w:val="0"/>
        </w:rPr>
        <w:t>&lt;/NoDocSe&gt;</w:t>
      </w:r>
    </w:p>
    <w:p w:rsidR="004D2440" w:rsidRPr="004C73AC" w:rsidRDefault="004D2440">
      <w:pPr>
        <w:pStyle w:val="ZDate"/>
      </w:pPr>
      <w:r>
        <w:rPr>
          <w:rStyle w:val="HideTWBExt"/>
          <w:noProof w:val="0"/>
        </w:rPr>
        <w:t>&lt;Date&gt;</w:t>
      </w:r>
      <w:r>
        <w:rPr>
          <w:rStyle w:val="HideTWBInt"/>
        </w:rPr>
        <w:t>{28/09/2016}</w:t>
      </w:r>
      <w:r>
        <w:t>29.9.2016</w:t>
      </w:r>
      <w:r>
        <w:rPr>
          <w:rStyle w:val="HideTWBExt"/>
          <w:noProof w:val="0"/>
        </w:rPr>
        <w:t>&lt;/Date&gt;</w:t>
      </w:r>
    </w:p>
    <w:p w:rsidR="004D2440" w:rsidRPr="004C73AC" w:rsidRDefault="004D2440">
      <w:pPr>
        <w:pStyle w:val="TypeDoc"/>
      </w:pPr>
      <w:r>
        <w:rPr>
          <w:rStyle w:val="HideTWBExt"/>
          <w:b w:val="0"/>
          <w:noProof w:val="0"/>
        </w:rPr>
        <w:t>&lt;TitreType&gt;</w:t>
      </w:r>
      <w:r>
        <w:t>ДОКЛАД</w:t>
      </w:r>
      <w:r>
        <w:rPr>
          <w:rStyle w:val="HideTWBExt"/>
          <w:b w:val="0"/>
          <w:noProof w:val="0"/>
        </w:rPr>
        <w:t>&lt;/TitreType&gt;</w:t>
      </w:r>
    </w:p>
    <w:p w:rsidR="004D2440" w:rsidRPr="00BE3123" w:rsidRDefault="004D2440">
      <w:pPr>
        <w:pStyle w:val="CoverNormal"/>
      </w:pPr>
      <w:r>
        <w:rPr>
          <w:rStyle w:val="HideTWBExt"/>
          <w:noProof w:val="0"/>
        </w:rPr>
        <w:t>&lt;Titre&gt;</w:t>
      </w:r>
      <w:r>
        <w:t xml:space="preserve">относно предложението за решение на Европейския парламент и на Съвета във връзка с мобилизирането на средства от фонд „Солидарност“ на Европейския съюз </w:t>
      </w:r>
      <w:r>
        <w:rPr>
          <w:rStyle w:val="HideTWBExt"/>
          <w:noProof w:val="0"/>
        </w:rPr>
        <w:t>&lt;/Titre&gt;</w:t>
      </w:r>
    </w:p>
    <w:p w:rsidR="004D2440" w:rsidRPr="004C73AC" w:rsidRDefault="004D2440">
      <w:pPr>
        <w:pStyle w:val="Cover24"/>
      </w:pPr>
      <w:r>
        <w:rPr>
          <w:rStyle w:val="HideTWBExt"/>
          <w:noProof w:val="0"/>
        </w:rPr>
        <w:t>&lt;DocRef&gt;</w:t>
      </w:r>
      <w:r>
        <w:t>(COM(2016)0462 – C8-0283/2016 – 2016/2165(BUD))</w:t>
      </w:r>
      <w:r>
        <w:rPr>
          <w:rStyle w:val="HideTWBExt"/>
          <w:noProof w:val="0"/>
        </w:rPr>
        <w:t>&lt;/DocRef&gt;</w:t>
      </w:r>
    </w:p>
    <w:p w:rsidR="004D2440" w:rsidRPr="00BE3123" w:rsidRDefault="004D2440">
      <w:pPr>
        <w:pStyle w:val="Cover24"/>
      </w:pPr>
      <w:r>
        <w:rPr>
          <w:rStyle w:val="HideTWBExt"/>
          <w:noProof w:val="0"/>
        </w:rPr>
        <w:t>&lt;Commission&gt;</w:t>
      </w:r>
      <w:r>
        <w:rPr>
          <w:rStyle w:val="HideTWBInt"/>
        </w:rPr>
        <w:t>{BUDG}</w:t>
      </w:r>
      <w:r>
        <w:t>Комисия по бюджети</w:t>
      </w:r>
      <w:r>
        <w:rPr>
          <w:rStyle w:val="HideTWBExt"/>
          <w:noProof w:val="0"/>
        </w:rPr>
        <w:t>&lt;/Commission&gt;</w:t>
      </w:r>
    </w:p>
    <w:p w:rsidR="004D2440" w:rsidRPr="004C73AC" w:rsidRDefault="001B5598">
      <w:pPr>
        <w:pStyle w:val="Cover24"/>
        <w:rPr>
          <w:rStyle w:val="HideTWBExt"/>
          <w:noProof w:val="0"/>
        </w:rPr>
      </w:pPr>
      <w:r>
        <w:t xml:space="preserve">Докладчик: </w:t>
      </w:r>
      <w:r>
        <w:rPr>
          <w:rStyle w:val="HideTWBExt"/>
          <w:noProof w:val="0"/>
        </w:rPr>
        <w:t>&lt;Depute&gt;</w:t>
      </w:r>
      <w:r>
        <w:t>Георгиос Кирцос</w:t>
      </w:r>
      <w:bookmarkStart w:id="0" w:name="DocEPLastPosition"/>
      <w:bookmarkEnd w:id="0"/>
      <w:r>
        <w:rPr>
          <w:rStyle w:val="HideTWBExt"/>
          <w:noProof w:val="0"/>
        </w:rPr>
        <w:t>&lt;/Depute&gt;</w:t>
      </w:r>
    </w:p>
    <w:p w:rsidR="004D2440" w:rsidRPr="004C73AC" w:rsidRDefault="004D2440" w:rsidP="00300158">
      <w:pPr>
        <w:widowControl/>
        <w:tabs>
          <w:tab w:val="center" w:pos="4677"/>
        </w:tabs>
      </w:pPr>
      <w:r>
        <w:br w:type="page"/>
      </w:r>
    </w:p>
    <w:p w:rsidR="004D2440" w:rsidRPr="00BE3123" w:rsidRDefault="001B5598" w:rsidP="00300158">
      <w:pPr>
        <w:widowControl/>
        <w:tabs>
          <w:tab w:val="center" w:pos="4677"/>
        </w:tabs>
      </w:pPr>
      <w:r>
        <w:t>PR_BUD_Funds</w:t>
      </w:r>
    </w:p>
    <w:p w:rsidR="004D2440" w:rsidRPr="00BE3123" w:rsidRDefault="001B5598">
      <w:pPr>
        <w:pStyle w:val="TOCHeading"/>
      </w:pPr>
      <w:r>
        <w:t>СЪДЪРЖАНИЕ</w:t>
      </w:r>
    </w:p>
    <w:p w:rsidR="004D2440" w:rsidRPr="00BE3123" w:rsidRDefault="001B5598">
      <w:pPr>
        <w:pStyle w:val="TOCPage"/>
      </w:pPr>
      <w:r>
        <w:t>Страница</w:t>
      </w:r>
    </w:p>
    <w:p w:rsidR="00635922" w:rsidRDefault="004D2440">
      <w:pPr>
        <w:pStyle w:val="TOC1"/>
        <w:tabs>
          <w:tab w:val="right" w:leader="dot" w:pos="9060"/>
        </w:tabs>
        <w:rPr>
          <w:rFonts w:asciiTheme="minorHAnsi" w:eastAsiaTheme="minorEastAsia" w:hAnsiTheme="minorHAnsi" w:cstheme="minorBidi"/>
          <w:noProof/>
          <w:sz w:val="22"/>
          <w:szCs w:val="22"/>
          <w:lang w:val="en-GB" w:eastAsia="en-GB" w:bidi="ar-SA"/>
        </w:rPr>
      </w:pPr>
      <w:r w:rsidRPr="00BE3123">
        <w:fldChar w:fldCharType="begin"/>
      </w:r>
      <w:r w:rsidRPr="00BE3123">
        <w:instrText xml:space="preserve"> TOC \t "PageHeading</w:instrText>
      </w:r>
      <w:r w:rsidR="00635922">
        <w:instrText>;</w:instrText>
      </w:r>
      <w:r w:rsidRPr="00BE3123">
        <w:instrText xml:space="preserve">1" </w:instrText>
      </w:r>
      <w:r w:rsidRPr="00BE3123">
        <w:fldChar w:fldCharType="separate"/>
      </w:r>
      <w:r w:rsidR="00635922">
        <w:rPr>
          <w:noProof/>
        </w:rPr>
        <w:t>ПРЕДЛОЖЕНИЕ ЗА РЕЗОЛЮЦИЯ НА ЕВРОПЕЙСКИЯ ПАРЛАМЕНТ</w:t>
      </w:r>
      <w:r w:rsidR="00635922">
        <w:rPr>
          <w:noProof/>
        </w:rPr>
        <w:tab/>
      </w:r>
      <w:r w:rsidR="00635922">
        <w:rPr>
          <w:noProof/>
        </w:rPr>
        <w:fldChar w:fldCharType="begin"/>
      </w:r>
      <w:r w:rsidR="00635922">
        <w:rPr>
          <w:noProof/>
        </w:rPr>
        <w:instrText xml:space="preserve"> PAGEREF _Toc463252053 \h </w:instrText>
      </w:r>
      <w:r w:rsidR="00635922">
        <w:rPr>
          <w:noProof/>
        </w:rPr>
      </w:r>
      <w:r w:rsidR="00635922">
        <w:rPr>
          <w:noProof/>
        </w:rPr>
        <w:fldChar w:fldCharType="separate"/>
      </w:r>
      <w:r w:rsidR="00635922">
        <w:rPr>
          <w:noProof/>
        </w:rPr>
        <w:t>3</w:t>
      </w:r>
      <w:r w:rsidR="00635922">
        <w:rPr>
          <w:noProof/>
        </w:rPr>
        <w:fldChar w:fldCharType="end"/>
      </w:r>
    </w:p>
    <w:p w:rsidR="00635922" w:rsidRDefault="0063592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ПРИЛОЖЕНИЕ: РЕШЕНИЕ НА ЕВРОПЕЙСКИЯ ПАРЛАМЕНТ И НА СЪВЕТА</w:t>
      </w:r>
      <w:r>
        <w:rPr>
          <w:noProof/>
        </w:rPr>
        <w:tab/>
      </w:r>
      <w:r>
        <w:rPr>
          <w:noProof/>
        </w:rPr>
        <w:fldChar w:fldCharType="begin"/>
      </w:r>
      <w:r>
        <w:rPr>
          <w:noProof/>
        </w:rPr>
        <w:instrText xml:space="preserve"> PAGEREF _Toc463252054 \h </w:instrText>
      </w:r>
      <w:r>
        <w:rPr>
          <w:noProof/>
        </w:rPr>
      </w:r>
      <w:r>
        <w:rPr>
          <w:noProof/>
        </w:rPr>
        <w:fldChar w:fldCharType="separate"/>
      </w:r>
      <w:r>
        <w:rPr>
          <w:noProof/>
        </w:rPr>
        <w:t>4</w:t>
      </w:r>
      <w:r>
        <w:rPr>
          <w:noProof/>
        </w:rPr>
        <w:fldChar w:fldCharType="end"/>
      </w:r>
    </w:p>
    <w:p w:rsidR="00635922" w:rsidRDefault="0063592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ИЗЛОЖЕНИЕ НА МОТИВИТЕ</w:t>
      </w:r>
      <w:r>
        <w:rPr>
          <w:noProof/>
        </w:rPr>
        <w:tab/>
      </w:r>
      <w:r>
        <w:rPr>
          <w:noProof/>
        </w:rPr>
        <w:fldChar w:fldCharType="begin"/>
      </w:r>
      <w:r>
        <w:rPr>
          <w:noProof/>
        </w:rPr>
        <w:instrText xml:space="preserve"> PAGEREF _Toc463252055 \h </w:instrText>
      </w:r>
      <w:r>
        <w:rPr>
          <w:noProof/>
        </w:rPr>
      </w:r>
      <w:r>
        <w:rPr>
          <w:noProof/>
        </w:rPr>
        <w:fldChar w:fldCharType="separate"/>
      </w:r>
      <w:r>
        <w:rPr>
          <w:noProof/>
        </w:rPr>
        <w:t>6</w:t>
      </w:r>
      <w:r>
        <w:rPr>
          <w:noProof/>
        </w:rPr>
        <w:fldChar w:fldCharType="end"/>
      </w:r>
    </w:p>
    <w:p w:rsidR="00635922" w:rsidRDefault="0063592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ПРИЛОЖЕНИЕ – ПИСМО НА КОМИСИЯТА ПО РЕГИОНАЛНО РАЗВИТИЕ</w:t>
      </w:r>
      <w:r>
        <w:rPr>
          <w:noProof/>
        </w:rPr>
        <w:tab/>
      </w:r>
      <w:r>
        <w:rPr>
          <w:noProof/>
        </w:rPr>
        <w:fldChar w:fldCharType="begin"/>
      </w:r>
      <w:r>
        <w:rPr>
          <w:noProof/>
        </w:rPr>
        <w:instrText xml:space="preserve"> PAGEREF _Toc463252056 \h </w:instrText>
      </w:r>
      <w:r>
        <w:rPr>
          <w:noProof/>
        </w:rPr>
      </w:r>
      <w:r>
        <w:rPr>
          <w:noProof/>
        </w:rPr>
        <w:fldChar w:fldCharType="separate"/>
      </w:r>
      <w:r>
        <w:rPr>
          <w:noProof/>
        </w:rPr>
        <w:t>8</w:t>
      </w:r>
      <w:r>
        <w:rPr>
          <w:noProof/>
        </w:rPr>
        <w:fldChar w:fldCharType="end"/>
      </w:r>
    </w:p>
    <w:p w:rsidR="00635922" w:rsidRDefault="0063592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РЕЗУЛТАТ ОТ ОКОНЧАТЕЛНОТО ГЛАСУВАНЕ ВЪВ ВОДЕЩАТА КОМИСИЯ</w:t>
      </w:r>
      <w:r>
        <w:rPr>
          <w:noProof/>
        </w:rPr>
        <w:tab/>
      </w:r>
      <w:r>
        <w:rPr>
          <w:noProof/>
        </w:rPr>
        <w:fldChar w:fldCharType="begin"/>
      </w:r>
      <w:r>
        <w:rPr>
          <w:noProof/>
        </w:rPr>
        <w:instrText xml:space="preserve"> PAGEREF _Toc463252057 \h </w:instrText>
      </w:r>
      <w:r>
        <w:rPr>
          <w:noProof/>
        </w:rPr>
      </w:r>
      <w:r>
        <w:rPr>
          <w:noProof/>
        </w:rPr>
        <w:fldChar w:fldCharType="separate"/>
      </w:r>
      <w:r>
        <w:rPr>
          <w:noProof/>
        </w:rPr>
        <w:t>10</w:t>
      </w:r>
      <w:r>
        <w:rPr>
          <w:noProof/>
        </w:rPr>
        <w:fldChar w:fldCharType="end"/>
      </w:r>
    </w:p>
    <w:p w:rsidR="00A8478A" w:rsidRDefault="004D2440" w:rsidP="00635922">
      <w:pPr>
        <w:pStyle w:val="PageHeading"/>
        <w:rPr>
          <w:rFonts w:asciiTheme="minorHAnsi" w:eastAsiaTheme="minorEastAsia" w:hAnsiTheme="minorHAnsi" w:cstheme="minorBidi"/>
          <w:sz w:val="22"/>
          <w:szCs w:val="22"/>
        </w:rPr>
      </w:pPr>
      <w:r w:rsidRPr="00BE3123">
        <w:fldChar w:fldCharType="end"/>
      </w:r>
      <w:bookmarkStart w:id="1" w:name="_GoBack"/>
      <w:bookmarkEnd w:id="1"/>
      <w:r>
        <w:br w:type="page"/>
      </w:r>
      <w:bookmarkStart w:id="2" w:name="_Toc462908067"/>
      <w:bookmarkStart w:id="3" w:name="_Toc463252053"/>
      <w:r>
        <w:lastRenderedPageBreak/>
        <w:t>ПРЕДЛОЖЕНИЕ ЗА РЕЗОЛЮЦИЯ НА ЕВРОПЕЙСКИЯ ПАРЛАМЕНТ</w:t>
      </w:r>
      <w:bookmarkEnd w:id="2"/>
      <w:bookmarkEnd w:id="3"/>
    </w:p>
    <w:p w:rsidR="004D2440" w:rsidRPr="00BE3123" w:rsidRDefault="001B5598">
      <w:pPr>
        <w:pStyle w:val="NormalBold"/>
      </w:pPr>
      <w:r>
        <w:t>относно предложението за решение на Европейския парламент и на Съвета във връзка с мобилизирането на средства от фонд „Солидарност“ на Европейския съюз</w:t>
      </w:r>
    </w:p>
    <w:p w:rsidR="004D2440" w:rsidRPr="00BE3123" w:rsidRDefault="001B5598">
      <w:pPr>
        <w:pStyle w:val="Normal12Bold"/>
      </w:pPr>
      <w:r>
        <w:t>(COM(2016)0462 – C8-0283/2016 – 2016/2165(BUD))</w:t>
      </w:r>
    </w:p>
    <w:p w:rsidR="004D2440" w:rsidRPr="00BE3123" w:rsidRDefault="001B5598">
      <w:pPr>
        <w:pStyle w:val="Normal12"/>
      </w:pPr>
      <w:r>
        <w:rPr>
          <w:i/>
        </w:rPr>
        <w:t>Европейският парламент,</w:t>
      </w:r>
    </w:p>
    <w:p w:rsidR="00857E09" w:rsidRPr="00BE3123" w:rsidRDefault="004D2440" w:rsidP="00857E09">
      <w:pPr>
        <w:pStyle w:val="Normal12Hanging"/>
        <w:rPr>
          <w:rFonts w:eastAsia="Arial Unicode MS" w:cs="Arial Unicode MS"/>
          <w:color w:val="000000"/>
          <w:szCs w:val="24"/>
          <w:u w:color="000000"/>
        </w:rPr>
      </w:pPr>
      <w:r>
        <w:t>–</w:t>
      </w:r>
      <w:r>
        <w:tab/>
        <w:t>като взе предвид предложението на Комисията до Европейския парламент и до Съвета (COM(2016)0462 – C8-</w:t>
      </w:r>
      <w:bookmarkStart w:id="4" w:name="DocEPLastVariable"/>
      <w:bookmarkEnd w:id="4"/>
      <w:r>
        <w:t>0283/2016),</w:t>
      </w:r>
      <w:r>
        <w:rPr>
          <w:b/>
          <w:color w:val="000000"/>
          <w:u w:color="000000"/>
        </w:rPr>
        <w:t xml:space="preserve"> </w:t>
      </w:r>
    </w:p>
    <w:p w:rsidR="00857E09" w:rsidRPr="00BE3123"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като взе предвид Регламент (ЕО) № 2012/2002 на Съвета от 11 ноември 2002 г. за създаване на фонд „Солидарност“ на Европейския съюз</w:t>
      </w:r>
      <w:r>
        <w:rPr>
          <w:color w:val="000000"/>
          <w:u w:color="000000"/>
          <w:vertAlign w:val="superscript"/>
        </w:rPr>
        <w:footnoteReference w:id="1"/>
      </w:r>
      <w:r>
        <w:rPr>
          <w:color w:val="000000"/>
          <w:u w:color="000000"/>
        </w:rPr>
        <w:t>,</w:t>
      </w:r>
    </w:p>
    <w:p w:rsidR="00857E09" w:rsidRPr="00BE3123"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 xml:space="preserve">като взе предвид Регламент (EC, Евратом) № 1311/2013 на Съвета от 2 декември 2013 г. за определяне на многогодишната финансова рамка за годините </w:t>
      </w:r>
      <w:r w:rsidR="00635922">
        <w:rPr>
          <w:color w:val="000000"/>
          <w:u w:color="000000"/>
          <w:lang w:val="en-GB"/>
        </w:rPr>
        <w:t xml:space="preserve">                 </w:t>
      </w:r>
      <w:r>
        <w:rPr>
          <w:color w:val="000000"/>
          <w:u w:color="000000"/>
        </w:rPr>
        <w:t>2014</w:t>
      </w:r>
      <w:r w:rsidR="00635922">
        <w:rPr>
          <w:color w:val="000000"/>
          <w:u w:color="000000"/>
          <w:lang w:val="en-GB"/>
        </w:rPr>
        <w:t> </w:t>
      </w:r>
      <w:r>
        <w:rPr>
          <w:color w:val="000000"/>
          <w:u w:color="000000"/>
        </w:rPr>
        <w:t>–</w:t>
      </w:r>
      <w:r w:rsidR="00635922">
        <w:rPr>
          <w:color w:val="000000"/>
          <w:u w:color="000000"/>
          <w:lang w:val="en-GB"/>
        </w:rPr>
        <w:t> </w:t>
      </w:r>
      <w:r>
        <w:rPr>
          <w:color w:val="000000"/>
          <w:u w:color="000000"/>
        </w:rPr>
        <w:t>2020</w:t>
      </w:r>
      <w:r>
        <w:rPr>
          <w:color w:val="000000"/>
          <w:u w:color="000000"/>
          <w:vertAlign w:val="superscript"/>
        </w:rPr>
        <w:footnoteReference w:id="2"/>
      </w:r>
      <w:r>
        <w:rPr>
          <w:color w:val="000000"/>
          <w:u w:color="000000"/>
        </w:rPr>
        <w:t>, и по-специално член 10 от него,</w:t>
      </w:r>
    </w:p>
    <w:p w:rsidR="00857E09" w:rsidRPr="00BE3123"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като взе предвид Междуинституционалното споразумение от 2 декември 2013 г. между Европейския парламент, Съвета и Комисията относно бюджетната дисциплина, сътрудничеството по бюджетни въпроси и доброто финансово управление</w:t>
      </w:r>
      <w:r>
        <w:rPr>
          <w:color w:val="000000"/>
          <w:u w:color="000000"/>
          <w:vertAlign w:val="superscript"/>
        </w:rPr>
        <w:footnoteReference w:id="3"/>
      </w:r>
      <w:r>
        <w:rPr>
          <w:color w:val="000000"/>
          <w:u w:color="000000"/>
        </w:rPr>
        <w:t>, и по-специално точка 11 от него,</w:t>
      </w:r>
    </w:p>
    <w:p w:rsidR="00857E09" w:rsidRPr="00BE3123"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като взе предвид писмото на комисията по регионално развитие,</w:t>
      </w:r>
    </w:p>
    <w:p w:rsidR="00857E09" w:rsidRPr="00BE3123" w:rsidRDefault="00857E09" w:rsidP="00857E09">
      <w:pPr>
        <w:spacing w:after="240"/>
        <w:ind w:left="567" w:hanging="567"/>
        <w:rPr>
          <w:rFonts w:eastAsia="Arial Unicode MS" w:cs="Arial Unicode MS"/>
          <w:color w:val="000000"/>
          <w:szCs w:val="24"/>
          <w:u w:color="000000"/>
        </w:rPr>
      </w:pPr>
      <w:r>
        <w:rPr>
          <w:color w:val="000000"/>
          <w:u w:color="000000"/>
        </w:rPr>
        <w:t>–</w:t>
      </w:r>
      <w:r>
        <w:tab/>
      </w:r>
      <w:r>
        <w:rPr>
          <w:color w:val="000000"/>
          <w:u w:color="000000"/>
        </w:rPr>
        <w:t>като взе предвид доклада на комисията по бюджети (A8-0270/2016),</w:t>
      </w:r>
    </w:p>
    <w:p w:rsidR="00857E09" w:rsidRPr="00BE3123" w:rsidRDefault="00857E09" w:rsidP="00857E09">
      <w:pPr>
        <w:spacing w:after="240"/>
        <w:ind w:left="567" w:hanging="567"/>
        <w:rPr>
          <w:rFonts w:eastAsia="Arial Unicode MS" w:cs="Arial Unicode MS"/>
          <w:color w:val="000000"/>
          <w:szCs w:val="24"/>
          <w:u w:color="000000"/>
        </w:rPr>
      </w:pPr>
      <w:r>
        <w:rPr>
          <w:color w:val="000000"/>
          <w:u w:color="000000"/>
        </w:rPr>
        <w:t>1.</w:t>
      </w:r>
      <w:r>
        <w:tab/>
      </w:r>
      <w:r>
        <w:rPr>
          <w:color w:val="000000"/>
          <w:u w:color="000000"/>
        </w:rPr>
        <w:t>одобрява приложеното към настоящата резолюция решение;</w:t>
      </w:r>
    </w:p>
    <w:p w:rsidR="00857E09" w:rsidRPr="00BE3123" w:rsidRDefault="00857E09" w:rsidP="00857E09">
      <w:pPr>
        <w:spacing w:after="240"/>
        <w:ind w:left="567" w:hanging="567"/>
        <w:rPr>
          <w:rFonts w:eastAsia="Arial Unicode MS" w:cs="Arial Unicode MS"/>
          <w:color w:val="000000"/>
          <w:szCs w:val="24"/>
          <w:u w:color="000000"/>
        </w:rPr>
      </w:pPr>
      <w:r>
        <w:rPr>
          <w:color w:val="000000"/>
          <w:u w:color="000000"/>
        </w:rPr>
        <w:t>2.</w:t>
      </w:r>
      <w:r>
        <w:tab/>
      </w:r>
      <w:r>
        <w:rPr>
          <w:color w:val="000000"/>
          <w:u w:color="000000"/>
        </w:rPr>
        <w:t xml:space="preserve">възлага на своя председател да подпише настоящото решение заедно с председателя на Съвета и да осигури публикуването му в </w:t>
      </w:r>
      <w:r>
        <w:rPr>
          <w:i/>
          <w:color w:val="000000"/>
          <w:u w:color="000000"/>
        </w:rPr>
        <w:t>Официален вестник на Европейския съюз</w:t>
      </w:r>
      <w:r>
        <w:rPr>
          <w:color w:val="000000"/>
          <w:u w:color="000000"/>
        </w:rPr>
        <w:t>;</w:t>
      </w:r>
    </w:p>
    <w:p w:rsidR="00857E09" w:rsidRPr="00BE3123" w:rsidRDefault="00857E09" w:rsidP="00857E09">
      <w:pPr>
        <w:spacing w:after="240"/>
        <w:ind w:left="567" w:hanging="567"/>
        <w:rPr>
          <w:rFonts w:eastAsia="Arial Unicode MS" w:cs="Arial Unicode MS"/>
          <w:color w:val="000000"/>
          <w:szCs w:val="24"/>
          <w:u w:color="000000"/>
        </w:rPr>
      </w:pPr>
      <w:r>
        <w:rPr>
          <w:color w:val="000000"/>
          <w:u w:color="000000"/>
        </w:rPr>
        <w:t>3.</w:t>
      </w:r>
      <w:r>
        <w:tab/>
      </w:r>
      <w:r>
        <w:rPr>
          <w:color w:val="000000"/>
          <w:u w:color="000000"/>
        </w:rPr>
        <w:t>възлага на своя председател да предаде настоящата резолюция, включително и приложението към нея, съответно на Съвета и на Комисията.</w:t>
      </w:r>
    </w:p>
    <w:p w:rsidR="00857E09" w:rsidRPr="00BE3123" w:rsidRDefault="00857E09" w:rsidP="00857E09">
      <w:pPr>
        <w:pStyle w:val="PageHeading"/>
      </w:pPr>
      <w:r>
        <w:br w:type="page"/>
      </w:r>
      <w:bookmarkStart w:id="5" w:name="_Toc1"/>
      <w:bookmarkStart w:id="6" w:name="_Toc462908068"/>
      <w:bookmarkStart w:id="7" w:name="_Toc463252054"/>
      <w:r>
        <w:lastRenderedPageBreak/>
        <w:t>ПРИЛОЖЕНИЕ: РЕШЕНИЕ НА ЕВРОПЕЙСКИЯ ПАРЛАМЕНТ И НА СЪВЕТА</w:t>
      </w:r>
      <w:bookmarkEnd w:id="5"/>
      <w:bookmarkEnd w:id="6"/>
      <w:bookmarkEnd w:id="7"/>
    </w:p>
    <w:p w:rsidR="00857E09" w:rsidRPr="00BE3123" w:rsidRDefault="00857E09" w:rsidP="00857E09">
      <w:pPr>
        <w:spacing w:before="360" w:after="360"/>
        <w:jc w:val="center"/>
        <w:rPr>
          <w:b/>
          <w:bCs/>
          <w:color w:val="000000"/>
          <w:szCs w:val="24"/>
          <w:u w:color="000000"/>
        </w:rPr>
      </w:pPr>
      <w:r>
        <w:rPr>
          <w:b/>
          <w:color w:val="000000"/>
          <w:u w:color="000000"/>
        </w:rPr>
        <w:t xml:space="preserve">за мобилизирането на средства от фонд „Солидарност“ на Европейския съюз с цел предоставяне помощ на Гърция </w:t>
      </w:r>
    </w:p>
    <w:p w:rsidR="00857E09" w:rsidRPr="00BE3123" w:rsidRDefault="00857E09" w:rsidP="00857E09">
      <w:pPr>
        <w:keepNext/>
        <w:spacing w:before="480" w:after="360"/>
        <w:jc w:val="both"/>
        <w:rPr>
          <w:color w:val="000000"/>
          <w:szCs w:val="24"/>
          <w:u w:color="000000"/>
        </w:rPr>
      </w:pPr>
      <w:r>
        <w:rPr>
          <w:color w:val="000000"/>
          <w:u w:color="000000"/>
        </w:rPr>
        <w:t>ЕВРОПЕЙСКИЯТ ПАРЛАМЕНТ И СЪВЕТЪТ НА ЕВРОПЕЙСКИЯ СЪЮЗ,</w:t>
      </w:r>
    </w:p>
    <w:p w:rsidR="00857E09" w:rsidRPr="00BE3123" w:rsidRDefault="00857E09" w:rsidP="00857E09">
      <w:pPr>
        <w:spacing w:before="120" w:after="120"/>
        <w:jc w:val="both"/>
        <w:rPr>
          <w:color w:val="000000"/>
          <w:szCs w:val="24"/>
          <w:u w:color="000000"/>
        </w:rPr>
      </w:pPr>
      <w:r>
        <w:rPr>
          <w:color w:val="000000"/>
          <w:u w:color="000000"/>
        </w:rPr>
        <w:t>като взеха предвид Договора за функционирането на Европейския съюз,</w:t>
      </w:r>
    </w:p>
    <w:p w:rsidR="00857E09" w:rsidRPr="00BE3123" w:rsidRDefault="00857E09" w:rsidP="00857E09">
      <w:pPr>
        <w:spacing w:before="120" w:after="120"/>
        <w:jc w:val="both"/>
        <w:rPr>
          <w:color w:val="000000"/>
          <w:szCs w:val="24"/>
          <w:u w:color="000000"/>
        </w:rPr>
      </w:pPr>
      <w:r>
        <w:rPr>
          <w:color w:val="000000"/>
          <w:u w:color="000000"/>
        </w:rPr>
        <w:t>като взеха предвид Регламент (ЕО) № 2012/2002 на Съвета от 11 ноември 2002 г. за създаване на фонд „Солидарност“ на Европейския съюз</w:t>
      </w:r>
      <w:r>
        <w:rPr>
          <w:color w:val="000000"/>
          <w:u w:color="000000"/>
          <w:vertAlign w:val="superscript"/>
        </w:rPr>
        <w:footnoteReference w:id="4"/>
      </w:r>
      <w:r>
        <w:rPr>
          <w:color w:val="000000"/>
          <w:u w:color="000000"/>
        </w:rPr>
        <w:t>, и по-специално член 4, параграф 3 от него,</w:t>
      </w:r>
    </w:p>
    <w:p w:rsidR="00857E09" w:rsidRPr="00BE3123" w:rsidRDefault="00857E09" w:rsidP="00857E09">
      <w:pPr>
        <w:spacing w:before="120" w:after="120"/>
        <w:jc w:val="both"/>
        <w:rPr>
          <w:color w:val="000000"/>
          <w:szCs w:val="24"/>
          <w:u w:color="000000"/>
        </w:rPr>
      </w:pPr>
      <w:r>
        <w:rPr>
          <w:color w:val="000000"/>
          <w:u w:color="000000"/>
        </w:rPr>
        <w:t>като взеха предвид Междуинституционалното споразумение от 2 декември 2013 г. между Европейския парламент, Съвета и Комисията относно бюджетната дисциплина, сътрудничеството по бюджетни въпроси и доброто финансово управление</w:t>
      </w:r>
      <w:r>
        <w:rPr>
          <w:color w:val="000000"/>
          <w:u w:color="000000"/>
          <w:vertAlign w:val="superscript"/>
        </w:rPr>
        <w:footnoteReference w:id="5"/>
      </w:r>
      <w:r>
        <w:rPr>
          <w:color w:val="000000"/>
          <w:u w:color="000000"/>
        </w:rPr>
        <w:t>, и по-специално точка 11 от него,</w:t>
      </w:r>
    </w:p>
    <w:p w:rsidR="00857E09" w:rsidRPr="00BE3123" w:rsidRDefault="00857E09" w:rsidP="00857E09">
      <w:pPr>
        <w:spacing w:before="120" w:after="120"/>
        <w:jc w:val="both"/>
        <w:rPr>
          <w:color w:val="000000"/>
          <w:szCs w:val="24"/>
          <w:u w:color="000000"/>
        </w:rPr>
      </w:pPr>
      <w:r>
        <w:rPr>
          <w:color w:val="000000"/>
          <w:u w:color="000000"/>
        </w:rPr>
        <w:t>като взеха предвид предложението на Европейската комисия,</w:t>
      </w:r>
    </w:p>
    <w:p w:rsidR="00857E09" w:rsidRPr="00BE3123" w:rsidRDefault="00857E09" w:rsidP="00857E09">
      <w:pPr>
        <w:spacing w:before="120" w:after="360"/>
        <w:jc w:val="both"/>
        <w:rPr>
          <w:color w:val="000000"/>
          <w:szCs w:val="24"/>
          <w:u w:color="000000"/>
        </w:rPr>
      </w:pPr>
      <w:r>
        <w:rPr>
          <w:color w:val="000000"/>
          <w:u w:color="000000"/>
        </w:rPr>
        <w:t>като имат предвид, че:</w:t>
      </w:r>
    </w:p>
    <w:p w:rsidR="00857E09" w:rsidRPr="00BE3123" w:rsidRDefault="00857E09" w:rsidP="00857E09">
      <w:pPr>
        <w:spacing w:before="120" w:after="120"/>
        <w:ind w:left="709" w:hanging="709"/>
        <w:jc w:val="both"/>
        <w:rPr>
          <w:color w:val="000000"/>
          <w:szCs w:val="24"/>
          <w:u w:color="000000"/>
        </w:rPr>
      </w:pPr>
      <w:r>
        <w:rPr>
          <w:color w:val="000000"/>
          <w:u w:color="000000"/>
        </w:rPr>
        <w:t>(1)</w:t>
      </w:r>
      <w:r>
        <w:tab/>
      </w:r>
      <w:r>
        <w:rPr>
          <w:color w:val="000000"/>
          <w:u w:color="000000"/>
        </w:rPr>
        <w:t xml:space="preserve">Фонд „Солидарност“ на Европейския съюз („Фондът“) има за цел да се осигури възможност на Съюза да реагира по бърз, ефективен и гъвкав начин на извънредни ситуации, с цел да се покаже солидарност с населението на регионите, засегнати от природни бедствия. </w:t>
      </w:r>
    </w:p>
    <w:p w:rsidR="00857E09" w:rsidRPr="00BE3123" w:rsidRDefault="00857E09" w:rsidP="00857E09">
      <w:pPr>
        <w:spacing w:before="120" w:after="120"/>
        <w:ind w:left="709" w:hanging="709"/>
        <w:jc w:val="both"/>
        <w:rPr>
          <w:color w:val="000000"/>
          <w:szCs w:val="24"/>
          <w:u w:color="000000"/>
        </w:rPr>
      </w:pPr>
      <w:r>
        <w:rPr>
          <w:color w:val="000000"/>
          <w:u w:color="000000"/>
        </w:rPr>
        <w:t>(2)</w:t>
      </w:r>
      <w:r>
        <w:tab/>
      </w:r>
      <w:r>
        <w:rPr>
          <w:color w:val="000000"/>
          <w:u w:color="000000"/>
        </w:rPr>
        <w:t>Съгласно член 10 от Регламент (ЕС, Евратом) № 1311/2013 на Съвета</w:t>
      </w:r>
      <w:r>
        <w:rPr>
          <w:color w:val="000000"/>
          <w:u w:color="000000"/>
          <w:vertAlign w:val="superscript"/>
        </w:rPr>
        <w:footnoteReference w:id="6"/>
      </w:r>
      <w:r>
        <w:rPr>
          <w:color w:val="000000"/>
          <w:u w:color="000000"/>
        </w:rPr>
        <w:t xml:space="preserve"> максималната годишна сума, която Фондът не може да надхвърля, е 500 милиона евро (по цени от 2011 г.).</w:t>
      </w:r>
    </w:p>
    <w:p w:rsidR="00857E09" w:rsidRPr="00BE3123" w:rsidRDefault="00857E09" w:rsidP="00857E09">
      <w:pPr>
        <w:spacing w:before="120" w:after="120"/>
        <w:ind w:left="709" w:hanging="709"/>
        <w:jc w:val="both"/>
        <w:rPr>
          <w:color w:val="000000"/>
          <w:sz w:val="22"/>
          <w:szCs w:val="22"/>
          <w:u w:color="000000"/>
        </w:rPr>
      </w:pPr>
      <w:r>
        <w:rPr>
          <w:color w:val="000000"/>
          <w:u w:color="000000"/>
        </w:rPr>
        <w:t>(3)</w:t>
      </w:r>
      <w:r>
        <w:tab/>
      </w:r>
      <w:r>
        <w:rPr>
          <w:color w:val="000000"/>
          <w:u w:color="000000"/>
        </w:rPr>
        <w:t xml:space="preserve">На 5 февруари 2016 г. Гърция подаде заявление за мобилизиране на средства от Фонда след земетресение, засегнало Йонийските острови през ноември 2015 г. </w:t>
      </w:r>
    </w:p>
    <w:p w:rsidR="00857E09" w:rsidRPr="00BE3123" w:rsidRDefault="00857E09" w:rsidP="00857E09">
      <w:pPr>
        <w:spacing w:before="120" w:after="120"/>
        <w:ind w:left="709" w:hanging="709"/>
        <w:jc w:val="both"/>
        <w:rPr>
          <w:color w:val="000000"/>
          <w:sz w:val="22"/>
          <w:szCs w:val="22"/>
          <w:u w:color="000000"/>
        </w:rPr>
      </w:pPr>
      <w:r>
        <w:rPr>
          <w:color w:val="000000"/>
          <w:u w:color="000000"/>
        </w:rPr>
        <w:t>(4)</w:t>
      </w:r>
      <w:r>
        <w:tab/>
      </w:r>
      <w:r>
        <w:rPr>
          <w:color w:val="000000"/>
          <w:u w:color="000000"/>
        </w:rPr>
        <w:t>Заявлението на Гърция отговаря на условията за предоставяне на финансово подпомагане от Фонда, определени в член 4 от Регламент (ЕО) № 2012/2002.</w:t>
      </w:r>
    </w:p>
    <w:p w:rsidR="00857E09" w:rsidRPr="00BE3123" w:rsidRDefault="00857E09" w:rsidP="00857E09">
      <w:pPr>
        <w:spacing w:before="120" w:after="120"/>
        <w:ind w:left="709" w:hanging="709"/>
        <w:jc w:val="both"/>
        <w:rPr>
          <w:color w:val="000000"/>
          <w:sz w:val="22"/>
          <w:szCs w:val="22"/>
          <w:u w:color="000000"/>
        </w:rPr>
      </w:pPr>
      <w:r>
        <w:rPr>
          <w:color w:val="000000"/>
          <w:u w:color="000000"/>
        </w:rPr>
        <w:t>(5)</w:t>
      </w:r>
      <w:r>
        <w:tab/>
      </w:r>
      <w:r>
        <w:rPr>
          <w:color w:val="000000"/>
          <w:u w:color="000000"/>
        </w:rPr>
        <w:t xml:space="preserve">Поради това Фондът следва да бъде мобилизиран, за да се предостави финансова помощ на Гърция. </w:t>
      </w:r>
    </w:p>
    <w:p w:rsidR="00857E09" w:rsidRPr="00BE3123" w:rsidRDefault="00857E09" w:rsidP="00857E09">
      <w:pPr>
        <w:spacing w:before="120" w:after="120"/>
        <w:ind w:left="709" w:hanging="709"/>
        <w:jc w:val="both"/>
        <w:rPr>
          <w:color w:val="000000"/>
          <w:sz w:val="22"/>
          <w:szCs w:val="22"/>
          <w:u w:color="000000"/>
        </w:rPr>
      </w:pPr>
      <w:r>
        <w:rPr>
          <w:color w:val="000000"/>
          <w:u w:color="000000"/>
        </w:rPr>
        <w:lastRenderedPageBreak/>
        <w:t>(6)</w:t>
      </w:r>
      <w:r>
        <w:tab/>
      </w:r>
      <w:r>
        <w:rPr>
          <w:color w:val="000000"/>
          <w:u w:color="000000"/>
        </w:rPr>
        <w:t>С Решение (ЕС) 2016/252 на Европейския парламент и на Съвета</w:t>
      </w:r>
      <w:r>
        <w:rPr>
          <w:color w:val="000000"/>
          <w:u w:color="000000"/>
          <w:vertAlign w:val="superscript"/>
        </w:rPr>
        <w:footnoteReference w:id="7"/>
      </w:r>
      <w:r>
        <w:rPr>
          <w:color w:val="000000"/>
          <w:u w:color="000000"/>
        </w:rPr>
        <w:t xml:space="preserve"> се мобилизира фонд „Солидарност“ на Европейския съюз за предоставянето на сумата от 50 милиона евро под формата на бюджетни кредити за поети задължения и за плащания за извършването на авансови плащания за финансовата 2016 година. Тези бюджетни кредити са били използвани само в много ограничена степен. Следователно съществува възможност за финансиране на цялата сума за това мобилизиране на средства чрез преразпределяне на наличните бюджетни кредити за извършването на авансови плащания в общия бюджет на Съюза за финансовата 2016 година.</w:t>
      </w:r>
    </w:p>
    <w:p w:rsidR="00857E09" w:rsidRPr="00BE3123" w:rsidRDefault="00857E09" w:rsidP="00857E09">
      <w:pPr>
        <w:spacing w:before="120" w:after="120"/>
        <w:ind w:left="709" w:hanging="709"/>
        <w:jc w:val="both"/>
        <w:rPr>
          <w:color w:val="000000"/>
          <w:sz w:val="22"/>
          <w:szCs w:val="22"/>
          <w:u w:color="000000"/>
        </w:rPr>
      </w:pPr>
      <w:r>
        <w:rPr>
          <w:color w:val="000000"/>
          <w:u w:color="000000"/>
        </w:rPr>
        <w:t>(7)</w:t>
      </w:r>
      <w:r>
        <w:tab/>
      </w:r>
      <w:r>
        <w:rPr>
          <w:color w:val="000000"/>
          <w:u w:color="000000"/>
        </w:rPr>
        <w:t>За да се сведе до минимум времето за мобилизиране на средства от Фонда, настоящото решение следва да се прилага от датата на приемането му,</w:t>
      </w:r>
    </w:p>
    <w:p w:rsidR="00857E09" w:rsidRPr="00BE3123" w:rsidRDefault="00857E09" w:rsidP="00857E09">
      <w:pPr>
        <w:keepNext/>
        <w:spacing w:before="120" w:after="120"/>
        <w:jc w:val="both"/>
        <w:rPr>
          <w:color w:val="000000"/>
          <w:szCs w:val="24"/>
          <w:u w:color="000000"/>
        </w:rPr>
      </w:pPr>
      <w:r>
        <w:rPr>
          <w:color w:val="000000"/>
          <w:u w:color="000000"/>
        </w:rPr>
        <w:t>ПРИЕХА НАСТОЯЩОТО РЕШЕНИЕ:</w:t>
      </w:r>
    </w:p>
    <w:p w:rsidR="00857E09" w:rsidRPr="00BE3123" w:rsidRDefault="00857E09" w:rsidP="00857E09">
      <w:pPr>
        <w:keepNext/>
        <w:spacing w:before="240" w:after="120"/>
        <w:jc w:val="center"/>
        <w:rPr>
          <w:i/>
          <w:iCs/>
          <w:color w:val="000000"/>
          <w:szCs w:val="24"/>
          <w:u w:color="000000"/>
        </w:rPr>
      </w:pPr>
      <w:r>
        <w:rPr>
          <w:i/>
          <w:color w:val="000000"/>
          <w:u w:color="000000"/>
        </w:rPr>
        <w:t>Член 1</w:t>
      </w:r>
    </w:p>
    <w:p w:rsidR="00857E09" w:rsidRPr="00BE3123" w:rsidRDefault="00857E09" w:rsidP="00857E09">
      <w:pPr>
        <w:spacing w:before="120" w:after="120"/>
        <w:jc w:val="both"/>
        <w:rPr>
          <w:color w:val="000000"/>
          <w:szCs w:val="24"/>
          <w:u w:color="000000"/>
        </w:rPr>
      </w:pPr>
      <w:r>
        <w:rPr>
          <w:color w:val="000000"/>
          <w:u w:color="000000"/>
        </w:rPr>
        <w:t xml:space="preserve">За общия бюджет на Съюза за финансова 2016 година фонд „Солидарност“ на Европейския съюз се мобилизира за предоставянето на сумата от 1 651 834 EUR на Гърция под формата на бюджетни кредити за поети задължения и за плащания. </w:t>
      </w:r>
    </w:p>
    <w:p w:rsidR="00857E09" w:rsidRPr="00BE3123" w:rsidRDefault="00857E09" w:rsidP="00857E09">
      <w:pPr>
        <w:spacing w:before="120" w:after="120"/>
        <w:jc w:val="both"/>
        <w:rPr>
          <w:b/>
          <w:bCs/>
          <w:color w:val="000000"/>
          <w:szCs w:val="24"/>
          <w:u w:color="000000"/>
        </w:rPr>
      </w:pPr>
      <w:r>
        <w:rPr>
          <w:color w:val="000000"/>
          <w:u w:color="000000"/>
        </w:rPr>
        <w:t xml:space="preserve">Пълната сума за мобилизираните средства, посочена в първа алинея, се финансира от бюджетните кредити, мобилизирани за изплащането на авансови плащания в бюджета на Съюза за финансовата 2016 година, като сумата, налична за авансови плащания, се намалява съответно. </w:t>
      </w:r>
    </w:p>
    <w:p w:rsidR="00857E09" w:rsidRPr="00BE3123" w:rsidRDefault="00857E09" w:rsidP="00857E09">
      <w:pPr>
        <w:keepNext/>
        <w:spacing w:before="360" w:after="120"/>
        <w:jc w:val="center"/>
        <w:rPr>
          <w:i/>
          <w:iCs/>
          <w:color w:val="000000"/>
          <w:szCs w:val="24"/>
          <w:u w:color="000000"/>
        </w:rPr>
      </w:pPr>
      <w:r>
        <w:rPr>
          <w:i/>
          <w:color w:val="000000"/>
          <w:u w:color="000000"/>
        </w:rPr>
        <w:t>Член 2</w:t>
      </w:r>
    </w:p>
    <w:p w:rsidR="00857E09" w:rsidRPr="00BE3123" w:rsidRDefault="00857E09" w:rsidP="00857E09">
      <w:pPr>
        <w:spacing w:before="120" w:after="120"/>
        <w:jc w:val="both"/>
        <w:rPr>
          <w:color w:val="000000"/>
          <w:szCs w:val="24"/>
          <w:u w:color="000000"/>
        </w:rPr>
      </w:pPr>
      <w:r>
        <w:rPr>
          <w:color w:val="000000"/>
          <w:u w:color="000000"/>
        </w:rPr>
        <w:t xml:space="preserve">Настоящото решение влиза в сила в деня на публикуването му в </w:t>
      </w:r>
      <w:r>
        <w:rPr>
          <w:i/>
          <w:color w:val="000000"/>
          <w:u w:color="000000"/>
        </w:rPr>
        <w:t>Официален вестник на Европейския съюз</w:t>
      </w:r>
      <w:r>
        <w:rPr>
          <w:color w:val="000000"/>
          <w:u w:color="000000"/>
        </w:rPr>
        <w:t>.</w:t>
      </w:r>
    </w:p>
    <w:p w:rsidR="00857E09" w:rsidRPr="00BE3123" w:rsidRDefault="00857E09" w:rsidP="00857E09">
      <w:pPr>
        <w:spacing w:before="120" w:after="120"/>
        <w:jc w:val="both"/>
        <w:rPr>
          <w:color w:val="000000"/>
          <w:szCs w:val="24"/>
          <w:u w:color="000000"/>
        </w:rPr>
      </w:pPr>
    </w:p>
    <w:p w:rsidR="00857E09" w:rsidRPr="00635922" w:rsidRDefault="00857E09" w:rsidP="00857E09">
      <w:pPr>
        <w:spacing w:before="120" w:after="120"/>
        <w:jc w:val="both"/>
        <w:rPr>
          <w:i/>
          <w:iCs/>
          <w:color w:val="000000"/>
          <w:szCs w:val="24"/>
          <w:u w:color="000000"/>
          <w:lang w:val="en-GB"/>
        </w:rPr>
      </w:pPr>
      <w:r>
        <w:rPr>
          <w:color w:val="000000"/>
          <w:u w:color="000000"/>
        </w:rPr>
        <w:t>То се прилага от... [</w:t>
      </w:r>
      <w:r>
        <w:rPr>
          <w:i/>
          <w:color w:val="000000"/>
          <w:u w:color="000000"/>
        </w:rPr>
        <w:t>датата на приемането му</w:t>
      </w:r>
      <w:r>
        <w:rPr>
          <w:color w:val="000000"/>
          <w:u w:color="000000"/>
        </w:rPr>
        <w:t>]</w:t>
      </w:r>
      <w:r>
        <w:rPr>
          <w:i/>
          <w:color w:val="000000"/>
          <w:u w:color="000000"/>
        </w:rPr>
        <w:t>.</w:t>
      </w:r>
      <w:r w:rsidR="00635922" w:rsidRPr="00635922">
        <w:rPr>
          <w:b/>
        </w:rPr>
        <w:t>*</w:t>
      </w:r>
    </w:p>
    <w:p w:rsidR="00857E09" w:rsidRPr="00BE3123" w:rsidRDefault="00857E09" w:rsidP="00857E09">
      <w:pPr>
        <w:keepNext/>
        <w:spacing w:before="120"/>
        <w:jc w:val="both"/>
        <w:rPr>
          <w:color w:val="000000"/>
          <w:szCs w:val="24"/>
          <w:u w:color="000000"/>
        </w:rPr>
      </w:pPr>
      <w:r>
        <w:rPr>
          <w:color w:val="000000"/>
          <w:u w:color="000000"/>
        </w:rPr>
        <w:footnoteReference w:customMarkFollows="1" w:id="8"/>
        <w:t xml:space="preserve">Съставено в … на … </w:t>
      </w:r>
    </w:p>
    <w:p w:rsidR="00857E09" w:rsidRPr="00BE3123" w:rsidRDefault="00857E09" w:rsidP="00857E09">
      <w:pPr>
        <w:keepNext/>
        <w:tabs>
          <w:tab w:val="left" w:pos="4252"/>
        </w:tabs>
        <w:spacing w:before="720"/>
        <w:jc w:val="both"/>
        <w:rPr>
          <w:i/>
          <w:iCs/>
          <w:color w:val="000000"/>
          <w:szCs w:val="24"/>
          <w:u w:color="000000"/>
        </w:rPr>
      </w:pPr>
      <w:r>
        <w:rPr>
          <w:i/>
          <w:color w:val="000000"/>
          <w:u w:color="000000"/>
        </w:rPr>
        <w:t>За Европейския парламент</w:t>
      </w:r>
      <w:r w:rsidR="00635922">
        <w:rPr>
          <w:i/>
          <w:color w:val="000000"/>
          <w:u w:color="000000"/>
        </w:rPr>
        <w:tab/>
      </w:r>
      <w:r w:rsidR="00635922">
        <w:rPr>
          <w:i/>
          <w:color w:val="000000"/>
          <w:u w:color="000000"/>
        </w:rPr>
        <w:tab/>
      </w:r>
      <w:r>
        <w:rPr>
          <w:i/>
          <w:color w:val="000000"/>
          <w:u w:color="000000"/>
        </w:rPr>
        <w:t>За Съвета</w:t>
      </w:r>
    </w:p>
    <w:p w:rsidR="00857E09" w:rsidRPr="00BE3123" w:rsidRDefault="00857E09" w:rsidP="00857E09">
      <w:pPr>
        <w:tabs>
          <w:tab w:val="left" w:pos="4252"/>
        </w:tabs>
        <w:rPr>
          <w:i/>
          <w:iCs/>
          <w:color w:val="000000"/>
          <w:szCs w:val="24"/>
          <w:u w:color="000000"/>
        </w:rPr>
      </w:pPr>
      <w:r>
        <w:rPr>
          <w:i/>
          <w:color w:val="000000"/>
          <w:u w:color="000000"/>
        </w:rPr>
        <w:t>Председател</w:t>
      </w:r>
      <w:r w:rsidR="00635922">
        <w:rPr>
          <w:i/>
          <w:color w:val="000000"/>
          <w:u w:color="000000"/>
        </w:rPr>
        <w:tab/>
      </w:r>
      <w:r>
        <w:rPr>
          <w:i/>
          <w:color w:val="000000"/>
          <w:u w:color="000000"/>
        </w:rPr>
        <w:t>Председател</w:t>
      </w:r>
    </w:p>
    <w:p w:rsidR="00857E09" w:rsidRPr="00BE3123" w:rsidRDefault="00857E09" w:rsidP="00857E09">
      <w:pPr>
        <w:rPr>
          <w:color w:val="000000"/>
          <w:szCs w:val="24"/>
          <w:u w:color="000000"/>
        </w:rPr>
      </w:pPr>
    </w:p>
    <w:p w:rsidR="00857E09" w:rsidRPr="00BE3123" w:rsidRDefault="00857E09" w:rsidP="00857E09">
      <w:pPr>
        <w:rPr>
          <w:color w:val="000000"/>
          <w:szCs w:val="24"/>
          <w:u w:color="000000"/>
        </w:rPr>
      </w:pPr>
    </w:p>
    <w:p w:rsidR="00857E09" w:rsidRPr="00BE3123" w:rsidRDefault="00857E09" w:rsidP="00857E09">
      <w:pPr>
        <w:rPr>
          <w:color w:val="000000"/>
          <w:szCs w:val="24"/>
          <w:u w:color="000000"/>
        </w:rPr>
      </w:pPr>
    </w:p>
    <w:p w:rsidR="00857E09" w:rsidRPr="00635922" w:rsidRDefault="00635922" w:rsidP="00635922">
      <w:pPr>
        <w:pStyle w:val="PageHeading"/>
        <w:rPr>
          <w:color w:val="000000"/>
          <w:szCs w:val="24"/>
          <w:u w:color="000000"/>
        </w:rPr>
      </w:pPr>
      <w:r>
        <w:rPr>
          <w:color w:val="000000"/>
          <w:szCs w:val="24"/>
          <w:u w:color="000000"/>
        </w:rPr>
        <w:lastRenderedPageBreak/>
        <w:br w:type="page"/>
      </w:r>
      <w:bookmarkStart w:id="8" w:name="_Toc2"/>
      <w:bookmarkStart w:id="9" w:name="_Toc462908069"/>
      <w:bookmarkStart w:id="10" w:name="_Toc463252055"/>
      <w:r w:rsidR="00857E09">
        <w:t>ИЗЛОЖЕНИЕ НА МОТИВИТЕ</w:t>
      </w:r>
      <w:bookmarkEnd w:id="8"/>
      <w:bookmarkEnd w:id="9"/>
      <w:bookmarkEnd w:id="10"/>
    </w:p>
    <w:p w:rsidR="00857E09" w:rsidRPr="00BE3123" w:rsidRDefault="00857E09" w:rsidP="00857E09">
      <w:pPr>
        <w:spacing w:after="200" w:line="276" w:lineRule="auto"/>
        <w:rPr>
          <w:color w:val="000000"/>
          <w:szCs w:val="24"/>
          <w:u w:color="000000"/>
        </w:rPr>
      </w:pPr>
      <w:r>
        <w:rPr>
          <w:color w:val="000000"/>
          <w:u w:color="000000"/>
        </w:rPr>
        <w:t>Комисията предлага да се мобилизират средства от фонд „Солидарност“ на Европейския съюз</w:t>
      </w:r>
      <w:r>
        <w:rPr>
          <w:color w:val="000000"/>
          <w:sz w:val="26"/>
          <w:u w:color="000000"/>
        </w:rPr>
        <w:t xml:space="preserve"> </w:t>
      </w:r>
      <w:r>
        <w:rPr>
          <w:color w:val="000000"/>
          <w:u w:color="000000"/>
        </w:rPr>
        <w:t xml:space="preserve">за отпускане на финансова помощ във връзка с бедствие в Гърция (земетресения, засягащи региона на Йонийските острови, по-специално островите Левкада, северните части на Итака и Кефалония), настъпило на 17 ноември 2015 г. </w:t>
      </w:r>
    </w:p>
    <w:p w:rsidR="00857E09" w:rsidRPr="00BE3123" w:rsidRDefault="00857E09" w:rsidP="00857E09">
      <w:pPr>
        <w:spacing w:after="200" w:line="276" w:lineRule="auto"/>
        <w:rPr>
          <w:color w:val="000000"/>
          <w:szCs w:val="24"/>
          <w:u w:color="000000"/>
        </w:rPr>
      </w:pPr>
      <w:r>
        <w:rPr>
          <w:color w:val="000000"/>
          <w:u w:color="000000"/>
        </w:rPr>
        <w:t xml:space="preserve">Силата на земетресенията достига 6,1 по скалата на Рихтер. Двама души са загинали, осем са ранени, 120 жилищни единици са увредени, от които 20 са счетени за неподходящи за обитаване. Докладвано е за значителни щети на инфраструктурни мрежи, сгради и културни обекти. На Левкада са унищожени някои от най-важните за туризма плажове. </w:t>
      </w:r>
    </w:p>
    <w:p w:rsidR="00857E09" w:rsidRPr="00BE3123" w:rsidRDefault="00857E09" w:rsidP="00857E09">
      <w:pPr>
        <w:spacing w:after="200" w:line="276" w:lineRule="auto"/>
        <w:rPr>
          <w:color w:val="000000"/>
          <w:szCs w:val="24"/>
          <w:u w:color="000000"/>
        </w:rPr>
      </w:pPr>
      <w:r>
        <w:rPr>
          <w:color w:val="000000"/>
          <w:u w:color="000000"/>
        </w:rPr>
        <w:t xml:space="preserve">Гръцките органи първоначално оценяват общите преки щети, причинени от бедствието, на 65 919 000 EUR. На 9 март 2016 г. тази сума е завишена на 66 073 345 EUR. Тъй като това представлява 2,1% от регионалния БВП на засегнатия регион от ниво 2 по NUTS Йонийски острови (по данни за 2014 г. на Евростат) и следователно надвишава прага от 1,5% от регионалния БВП, бедствието може да бъде класифицирано като </w:t>
      </w:r>
      <w:r>
        <w:rPr>
          <w:b/>
          <w:color w:val="000000"/>
          <w:u w:color="000000"/>
        </w:rPr>
        <w:t>регионално</w:t>
      </w:r>
      <w:r>
        <w:rPr>
          <w:color w:val="000000"/>
          <w:u w:color="000000"/>
        </w:rPr>
        <w:t xml:space="preserve"> по смисъла на член 2, параграф 3 от Регламента за създаване на фонд „Солидарност“.</w:t>
      </w:r>
    </w:p>
    <w:p w:rsidR="00857E09" w:rsidRPr="00BE3123" w:rsidRDefault="00857E09" w:rsidP="00857E09">
      <w:pPr>
        <w:spacing w:after="200" w:line="276" w:lineRule="auto"/>
        <w:rPr>
          <w:color w:val="000000"/>
          <w:szCs w:val="24"/>
          <w:u w:color="000000"/>
        </w:rPr>
      </w:pPr>
      <w:r>
        <w:rPr>
          <w:color w:val="000000"/>
          <w:u w:color="000000"/>
        </w:rPr>
        <w:t>Разходите за основни неотложни действия, отговарящи на условията за допустимост по член 3, параграф 2 от Регламента, се оценяват от гръцките органи на 52,374 милиона евро, от които над 38 милиона евро са свързани с транспортния сектор и над 7 милиона евро със защитата на културното наследство.</w:t>
      </w:r>
    </w:p>
    <w:p w:rsidR="00857E09" w:rsidRPr="00BE3123" w:rsidRDefault="00857E09" w:rsidP="00857E09">
      <w:pPr>
        <w:widowControl/>
        <w:spacing w:line="276" w:lineRule="auto"/>
        <w:rPr>
          <w:color w:val="000000"/>
          <w:szCs w:val="24"/>
          <w:u w:color="000000"/>
        </w:rPr>
      </w:pPr>
    </w:p>
    <w:p w:rsidR="00857E09" w:rsidRPr="00BE3123" w:rsidRDefault="00857E09" w:rsidP="00857E09">
      <w:pPr>
        <w:widowControl/>
        <w:spacing w:line="276" w:lineRule="auto"/>
        <w:rPr>
          <w:color w:val="000000"/>
          <w:szCs w:val="24"/>
          <w:u w:color="000000"/>
        </w:rPr>
      </w:pPr>
      <w:r>
        <w:rPr>
          <w:color w:val="000000"/>
          <w:u w:color="000000"/>
        </w:rPr>
        <w:t>Засегнатият регион попада в категорията „по-слабо развити региони“ в рамките на европейските структурни и инвестиционни фондове (2014 – 2020 г.). Гръцките органи не са уведомили Комисията за намерението си да пренасочат средства от програмата по европейските структурни и инвестиционни фондове към мерки за възстановяване.</w:t>
      </w:r>
    </w:p>
    <w:p w:rsidR="00857E09" w:rsidRPr="00BE3123" w:rsidRDefault="00857E09" w:rsidP="00857E09">
      <w:pPr>
        <w:widowControl/>
        <w:spacing w:line="276" w:lineRule="auto"/>
        <w:rPr>
          <w:color w:val="000000"/>
          <w:szCs w:val="24"/>
          <w:u w:color="000000"/>
        </w:rPr>
      </w:pPr>
    </w:p>
    <w:p w:rsidR="00857E09" w:rsidRPr="00BE3123" w:rsidRDefault="00857E09" w:rsidP="00857E09">
      <w:pPr>
        <w:widowControl/>
        <w:spacing w:line="276" w:lineRule="auto"/>
        <w:rPr>
          <w:color w:val="000000"/>
          <w:szCs w:val="24"/>
          <w:u w:color="000000"/>
        </w:rPr>
      </w:pPr>
      <w:r>
        <w:rPr>
          <w:color w:val="000000"/>
          <w:u w:color="000000"/>
        </w:rPr>
        <w:t xml:space="preserve">По искане на Гърция на 18 март 2016 г. Комисията е извършила </w:t>
      </w:r>
      <w:r>
        <w:rPr>
          <w:b/>
          <w:color w:val="000000"/>
          <w:u w:color="000000"/>
        </w:rPr>
        <w:t>авансово плащане в размер на 164 798 EUR</w:t>
      </w:r>
      <w:r>
        <w:rPr>
          <w:color w:val="000000"/>
          <w:u w:color="000000"/>
        </w:rPr>
        <w:t>, т.е. 10% от предвидената вноска по Фонда, в съответствие с член 4а, параграф 2 от Регламента.</w:t>
      </w:r>
    </w:p>
    <w:p w:rsidR="00857E09" w:rsidRPr="00BE3123" w:rsidRDefault="00857E09" w:rsidP="00857E09">
      <w:pPr>
        <w:widowControl/>
        <w:spacing w:line="276" w:lineRule="auto"/>
        <w:rPr>
          <w:color w:val="000000"/>
          <w:szCs w:val="24"/>
          <w:u w:color="000000"/>
        </w:rPr>
      </w:pPr>
    </w:p>
    <w:p w:rsidR="00857E09" w:rsidRPr="00BE3123" w:rsidRDefault="00857E09" w:rsidP="00857E09">
      <w:pPr>
        <w:spacing w:before="120" w:after="120" w:line="276" w:lineRule="auto"/>
        <w:rPr>
          <w:b/>
          <w:bCs/>
          <w:color w:val="000000"/>
          <w:szCs w:val="24"/>
          <w:u w:color="000000"/>
        </w:rPr>
      </w:pPr>
      <w:r>
        <w:rPr>
          <w:color w:val="000000"/>
          <w:u w:color="000000"/>
        </w:rPr>
        <w:t xml:space="preserve">В съответствие с досегашната практика Комисията предлага да се приложи ставка от 2,5% от общите преки щети за всички щети до определения праг. </w:t>
      </w:r>
      <w:r>
        <w:rPr>
          <w:b/>
          <w:color w:val="000000"/>
          <w:u w:color="000000"/>
        </w:rPr>
        <w:t xml:space="preserve">Следователно общият размер на предложената помощ е 1 651 834 EUR. </w:t>
      </w:r>
    </w:p>
    <w:p w:rsidR="00857E09" w:rsidRPr="00BE3123" w:rsidRDefault="00857E09" w:rsidP="00857E09">
      <w:pPr>
        <w:spacing w:line="276" w:lineRule="auto"/>
        <w:rPr>
          <w:color w:val="000000"/>
          <w:szCs w:val="24"/>
          <w:u w:color="000000"/>
        </w:rPr>
      </w:pPr>
      <w:r>
        <w:rPr>
          <w:color w:val="000000"/>
          <w:u w:color="000000"/>
        </w:rPr>
        <w:t xml:space="preserve">След намаляване с вече изплатената сума за авансови плащания от 10%, </w:t>
      </w:r>
      <w:r>
        <w:rPr>
          <w:b/>
          <w:color w:val="000000"/>
          <w:u w:color="000000"/>
        </w:rPr>
        <w:t>дължимото салдо, което трябва да бъде изплатено, възлиза на 1 487 036 EUR</w:t>
      </w:r>
      <w:r>
        <w:rPr>
          <w:color w:val="000000"/>
          <w:u w:color="000000"/>
        </w:rPr>
        <w:t>.</w:t>
      </w:r>
    </w:p>
    <w:p w:rsidR="00857E09" w:rsidRPr="00BE3123" w:rsidRDefault="00857E09" w:rsidP="00857E09">
      <w:pPr>
        <w:spacing w:line="276" w:lineRule="auto"/>
        <w:rPr>
          <w:color w:val="000000"/>
          <w:szCs w:val="24"/>
          <w:u w:color="000000"/>
        </w:rPr>
      </w:pPr>
    </w:p>
    <w:p w:rsidR="00857E09" w:rsidRPr="00BE3123" w:rsidRDefault="00857E09" w:rsidP="00857E09">
      <w:pPr>
        <w:spacing w:line="276" w:lineRule="auto"/>
        <w:rPr>
          <w:color w:val="000000"/>
          <w:szCs w:val="24"/>
          <w:u w:color="000000"/>
        </w:rPr>
      </w:pPr>
      <w:r>
        <w:rPr>
          <w:color w:val="000000"/>
          <w:u w:color="000000"/>
        </w:rPr>
        <w:t xml:space="preserve">При приемането на бюджета за 2016 година сума в размер на 50 000 000 EUR в бюджетни кредити за поети задължения и за плащания беше вписана в бюджета за изплащането на авансови плащания. Като се позовава на точка 11 от Междуинституционалното споразумение, с която се дава възможност за преразпределяне на бюджетни кредити, Комисията предлага мобилизирането на средства от Фонда, </w:t>
      </w:r>
      <w:r>
        <w:rPr>
          <w:b/>
          <w:color w:val="000000"/>
          <w:u w:color="000000"/>
        </w:rPr>
        <w:t>като се използва посочената вече мобилизирана сума, предназначена специално за плащането на авансови плащания, за плащане на дължимото салдо в размер на  1 487 036 EUR</w:t>
      </w:r>
      <w:r>
        <w:rPr>
          <w:color w:val="000000"/>
          <w:u w:color="000000"/>
        </w:rPr>
        <w:t xml:space="preserve">.  </w:t>
      </w:r>
    </w:p>
    <w:p w:rsidR="00857E09" w:rsidRPr="00BE3123" w:rsidRDefault="00857E09" w:rsidP="00857E09">
      <w:pPr>
        <w:spacing w:line="276" w:lineRule="auto"/>
        <w:rPr>
          <w:color w:val="000000"/>
          <w:szCs w:val="24"/>
          <w:u w:color="000000"/>
        </w:rPr>
      </w:pPr>
    </w:p>
    <w:p w:rsidR="00857E09" w:rsidRPr="00BE3123" w:rsidRDefault="00857E09" w:rsidP="00857E09">
      <w:pPr>
        <w:spacing w:line="276" w:lineRule="auto"/>
        <w:rPr>
          <w:color w:val="000000"/>
          <w:szCs w:val="24"/>
          <w:u w:color="000000"/>
        </w:rPr>
      </w:pPr>
      <w:r>
        <w:rPr>
          <w:color w:val="000000"/>
          <w:u w:color="000000"/>
        </w:rPr>
        <w:t xml:space="preserve">Предложеното мобилизиране </w:t>
      </w:r>
      <w:r>
        <w:rPr>
          <w:b/>
          <w:color w:val="000000"/>
          <w:u w:color="000000"/>
        </w:rPr>
        <w:t>не изисква изменение на бюджета за 2016 г.</w:t>
      </w:r>
      <w:r>
        <w:rPr>
          <w:color w:val="000000"/>
          <w:u w:color="000000"/>
        </w:rPr>
        <w:t xml:space="preserve"> и проект на коригиращ бюджет. </w:t>
      </w:r>
    </w:p>
    <w:p w:rsidR="00857E09" w:rsidRPr="00BE3123" w:rsidRDefault="00857E09" w:rsidP="00857E09">
      <w:pPr>
        <w:spacing w:line="276" w:lineRule="auto"/>
        <w:rPr>
          <w:color w:val="000000"/>
          <w:szCs w:val="24"/>
          <w:u w:color="000000"/>
        </w:rPr>
      </w:pPr>
    </w:p>
    <w:p w:rsidR="00857E09" w:rsidRPr="00BE3123" w:rsidRDefault="00857E09" w:rsidP="00857E09">
      <w:pPr>
        <w:spacing w:line="276" w:lineRule="auto"/>
        <w:rPr>
          <w:color w:val="000000"/>
          <w:szCs w:val="24"/>
          <w:u w:color="000000"/>
        </w:rPr>
      </w:pPr>
      <w:r>
        <w:rPr>
          <w:color w:val="000000"/>
          <w:u w:color="000000"/>
        </w:rPr>
        <w:t>След тази операция ще останат средства в размер на 48 348 166 EUR на разположение за изплащането на допълнителни авансови плащания през 2016 година при необходимост, които Комисията счита за достатъчни за покриване на евентуални нови заявления, получени през оставащите месеци на 2016 година.</w:t>
      </w:r>
    </w:p>
    <w:p w:rsidR="00857E09" w:rsidRPr="00BE3123" w:rsidRDefault="00857E09" w:rsidP="00857E09">
      <w:pPr>
        <w:spacing w:line="276" w:lineRule="auto"/>
        <w:rPr>
          <w:color w:val="000000"/>
          <w:szCs w:val="24"/>
          <w:u w:color="000000"/>
        </w:rPr>
      </w:pPr>
    </w:p>
    <w:p w:rsidR="00857E09" w:rsidRPr="00BE3123" w:rsidRDefault="00857E09" w:rsidP="00857E09">
      <w:pPr>
        <w:spacing w:line="276" w:lineRule="auto"/>
        <w:rPr>
          <w:color w:val="000000"/>
          <w:szCs w:val="24"/>
          <w:u w:color="000000"/>
        </w:rPr>
      </w:pPr>
      <w:r>
        <w:rPr>
          <w:color w:val="000000"/>
          <w:u w:color="000000"/>
        </w:rPr>
        <w:t xml:space="preserve">Това е първото решение за мобилизиране за 2016 г. и общият размер на предложената помощ съответства на разпоредбите за праговете за фонд „Солидарност“ на ЕС, чийто размер е определен в Регламента за МФР на 552 милиона евро (т.е. 500 милиона евро по цени от 2011 г.). </w:t>
      </w:r>
    </w:p>
    <w:p w:rsidR="00857E09" w:rsidRPr="00BE3123" w:rsidRDefault="00857E09" w:rsidP="00857E09">
      <w:pPr>
        <w:spacing w:after="200" w:line="276" w:lineRule="auto"/>
        <w:rPr>
          <w:color w:val="000000"/>
          <w:szCs w:val="24"/>
          <w:u w:color="000000"/>
        </w:rPr>
      </w:pPr>
    </w:p>
    <w:p w:rsidR="00857E09" w:rsidRPr="00BE3123" w:rsidRDefault="00857E09" w:rsidP="00857E09">
      <w:pPr>
        <w:rPr>
          <w:b/>
          <w:bCs/>
          <w:i/>
          <w:iCs/>
          <w:szCs w:val="24"/>
          <w:u w:color="000000"/>
        </w:rPr>
      </w:pPr>
      <w:r>
        <w:rPr>
          <w:b/>
          <w:i/>
          <w:u w:color="000000"/>
        </w:rPr>
        <w:t>Докладчикът препоръчва бързо одобрение на предложението на Комисията за решение, което е приложено към настоящия доклад, в знак на солидарност със засегнатите гръцки региони.</w:t>
      </w:r>
    </w:p>
    <w:p w:rsidR="00857E09" w:rsidRPr="00BE3123" w:rsidRDefault="00857E09" w:rsidP="00857E09">
      <w:pPr>
        <w:rPr>
          <w:b/>
          <w:bCs/>
          <w:i/>
          <w:iCs/>
          <w:color w:val="000000"/>
          <w:szCs w:val="24"/>
          <w:u w:color="000000"/>
        </w:rPr>
      </w:pPr>
    </w:p>
    <w:p w:rsidR="00857E09" w:rsidRPr="00BE3123" w:rsidRDefault="00857E09" w:rsidP="00857E09">
      <w:pPr>
        <w:pStyle w:val="PageHeading"/>
        <w:rPr>
          <w:rFonts w:eastAsia="Arial" w:cs="Arial"/>
          <w:u w:color="000000"/>
        </w:rPr>
      </w:pPr>
      <w:r>
        <w:br w:type="page"/>
      </w:r>
      <w:bookmarkStart w:id="11" w:name="_Toc3"/>
      <w:bookmarkStart w:id="12" w:name="_Toc462908070"/>
      <w:bookmarkStart w:id="13" w:name="_Toc463252056"/>
      <w:r>
        <w:t>ПРИЛОЖЕНИЕ – ПИСМО НА КОМИСИЯТА ПО РЕГИОНАЛНО РАЗВИТИЕ</w:t>
      </w:r>
      <w:bookmarkEnd w:id="11"/>
      <w:bookmarkEnd w:id="12"/>
      <w:bookmarkEnd w:id="13"/>
    </w:p>
    <w:p w:rsidR="00C95F1F" w:rsidRPr="00BE3123" w:rsidRDefault="00C95F1F" w:rsidP="00C95F1F">
      <w:pPr>
        <w:widowControl/>
        <w:rPr>
          <w:bCs/>
          <w:szCs w:val="24"/>
        </w:rPr>
      </w:pPr>
    </w:p>
    <w:p w:rsidR="00C95F1F" w:rsidRPr="00BE3123" w:rsidRDefault="00C95F1F" w:rsidP="00C95F1F">
      <w:pPr>
        <w:widowControl/>
        <w:rPr>
          <w:bCs/>
          <w:szCs w:val="24"/>
        </w:rPr>
      </w:pPr>
    </w:p>
    <w:p w:rsidR="00C95F1F" w:rsidRPr="00BE3123" w:rsidRDefault="00C95F1F" w:rsidP="00C95F1F">
      <w:pPr>
        <w:widowControl/>
        <w:rPr>
          <w:szCs w:val="24"/>
        </w:rPr>
      </w:pPr>
      <w:r>
        <w:t>г-н Жан АРТЮИ</w:t>
      </w:r>
    </w:p>
    <w:p w:rsidR="00C95F1F" w:rsidRPr="00BE3123" w:rsidRDefault="00C95F1F" w:rsidP="00C95F1F">
      <w:pPr>
        <w:widowControl/>
        <w:rPr>
          <w:szCs w:val="24"/>
        </w:rPr>
      </w:pPr>
      <w:r>
        <w:t>Председател</w:t>
      </w:r>
    </w:p>
    <w:p w:rsidR="00C95F1F" w:rsidRPr="00BE3123" w:rsidRDefault="00C95F1F" w:rsidP="00C95F1F">
      <w:pPr>
        <w:widowControl/>
        <w:rPr>
          <w:szCs w:val="24"/>
        </w:rPr>
      </w:pPr>
      <w:r>
        <w:t>Комисия по бюджети</w:t>
      </w:r>
    </w:p>
    <w:p w:rsidR="00C95F1F" w:rsidRPr="00BE3123" w:rsidRDefault="00C95F1F" w:rsidP="00C95F1F">
      <w:pPr>
        <w:widowControl/>
        <w:rPr>
          <w:szCs w:val="24"/>
        </w:rPr>
      </w:pPr>
      <w:r>
        <w:t>Eвропейски парламент</w:t>
      </w:r>
    </w:p>
    <w:p w:rsidR="00C95F1F" w:rsidRPr="00BE3123" w:rsidRDefault="00C95F1F" w:rsidP="00C95F1F">
      <w:pPr>
        <w:widowControl/>
        <w:rPr>
          <w:szCs w:val="24"/>
        </w:rPr>
      </w:pPr>
    </w:p>
    <w:p w:rsidR="00C95F1F" w:rsidRPr="00BE3123" w:rsidRDefault="00C95F1F" w:rsidP="00C95F1F">
      <w:pPr>
        <w:widowControl/>
        <w:rPr>
          <w:szCs w:val="24"/>
        </w:rPr>
      </w:pPr>
    </w:p>
    <w:p w:rsidR="00C95F1F" w:rsidRPr="00BE3123" w:rsidRDefault="00C95F1F" w:rsidP="00C95F1F">
      <w:pPr>
        <w:widowControl/>
        <w:rPr>
          <w:szCs w:val="24"/>
        </w:rPr>
      </w:pPr>
      <w:r>
        <w:t>Уважаеми г-н Артюи,</w:t>
      </w:r>
    </w:p>
    <w:p w:rsidR="00C95F1F" w:rsidRPr="00BE3123" w:rsidRDefault="00C95F1F" w:rsidP="00C95F1F">
      <w:pPr>
        <w:widowControl/>
        <w:rPr>
          <w:szCs w:val="24"/>
        </w:rPr>
      </w:pPr>
    </w:p>
    <w:p w:rsidR="00C95F1F" w:rsidRPr="00BE3123" w:rsidRDefault="00C95F1F" w:rsidP="00C95F1F">
      <w:pPr>
        <w:widowControl/>
        <w:ind w:left="1440" w:hanging="1440"/>
        <w:jc w:val="both"/>
        <w:rPr>
          <w:b/>
          <w:szCs w:val="24"/>
        </w:rPr>
      </w:pPr>
      <w:r>
        <w:rPr>
          <w:u w:val="single"/>
        </w:rPr>
        <w:t>Относно:</w:t>
      </w:r>
      <w:r>
        <w:tab/>
      </w:r>
      <w:r>
        <w:rPr>
          <w:b/>
        </w:rPr>
        <w:t>Мобилизиране на средства от фонд „Солидарност“ на Европейския съюз в полза на Гърция</w:t>
      </w:r>
    </w:p>
    <w:p w:rsidR="00C95F1F" w:rsidRPr="00BE3123" w:rsidRDefault="00C95F1F" w:rsidP="00C95F1F">
      <w:pPr>
        <w:widowControl/>
        <w:ind w:left="1440" w:hanging="1440"/>
        <w:jc w:val="both"/>
        <w:rPr>
          <w:szCs w:val="24"/>
        </w:rPr>
      </w:pPr>
    </w:p>
    <w:p w:rsidR="00C95F1F" w:rsidRPr="00BE3123" w:rsidRDefault="00C95F1F" w:rsidP="00C95F1F">
      <w:pPr>
        <w:widowControl/>
        <w:jc w:val="both"/>
        <w:rPr>
          <w:szCs w:val="24"/>
        </w:rPr>
      </w:pPr>
      <w:r>
        <w:t>Европейската комисия предаде на Европейския парламент своето предложение за решение на Европейския парламент и на Съвета за мобилизиране на средства от фонд „Солидарност“ на ЕС (COM(2016)0462) въз основа на заявления за мобилизиране на средства от Фонда, подадени от Гърция във връзка със земетресението, засегнало Йонийските острови през ноември 2015 г.</w:t>
      </w:r>
      <w:r>
        <w:rPr>
          <w:rFonts w:ascii="TimesNewRoman" w:hAnsi="TimesNewRoman"/>
        </w:rPr>
        <w:t xml:space="preserve"> </w:t>
      </w:r>
    </w:p>
    <w:p w:rsidR="00C95F1F" w:rsidRPr="00BE3123" w:rsidRDefault="00C95F1F" w:rsidP="00C95F1F">
      <w:pPr>
        <w:widowControl/>
        <w:jc w:val="both"/>
        <w:rPr>
          <w:szCs w:val="24"/>
        </w:rPr>
      </w:pPr>
    </w:p>
    <w:p w:rsidR="00C95F1F" w:rsidRPr="00BE3123" w:rsidRDefault="00C95F1F" w:rsidP="00C95F1F">
      <w:pPr>
        <w:widowControl/>
        <w:jc w:val="both"/>
        <w:rPr>
          <w:szCs w:val="24"/>
        </w:rPr>
      </w:pPr>
      <w:r>
        <w:t>Комисията предлага мобилизирането на средства от фонд „Солидарност“ на ЕС, като оценява щетите, причинени от бедствието, както следва:</w:t>
      </w:r>
    </w:p>
    <w:p w:rsidR="00C95F1F" w:rsidRPr="00BE3123" w:rsidRDefault="00C95F1F" w:rsidP="00C95F1F">
      <w:pPr>
        <w:widowControl/>
        <w:jc w:val="both"/>
        <w:rPr>
          <w:szCs w:val="24"/>
        </w:rPr>
      </w:pPr>
    </w:p>
    <w:tbl>
      <w:tblPr>
        <w:tblW w:w="8640" w:type="dxa"/>
        <w:jc w:val="center"/>
        <w:tblLayout w:type="fixed"/>
        <w:tblLook w:val="04A0" w:firstRow="1" w:lastRow="0" w:firstColumn="1" w:lastColumn="0" w:noHBand="0" w:noVBand="1"/>
      </w:tblPr>
      <w:tblGrid>
        <w:gridCol w:w="3074"/>
        <w:gridCol w:w="1227"/>
        <w:gridCol w:w="1413"/>
        <w:gridCol w:w="1200"/>
        <w:gridCol w:w="1726"/>
      </w:tblGrid>
      <w:tr w:rsidR="00C95F1F" w:rsidRPr="00BE3123" w:rsidTr="00C95F1F">
        <w:trPr>
          <w:trHeight w:val="336"/>
          <w:jc w:val="center"/>
        </w:trPr>
        <w:tc>
          <w:tcPr>
            <w:tcW w:w="3072" w:type="dxa"/>
            <w:tcBorders>
              <w:top w:val="nil"/>
              <w:left w:val="nil"/>
              <w:bottom w:val="single" w:sz="4" w:space="0" w:color="auto"/>
              <w:right w:val="nil"/>
            </w:tcBorders>
          </w:tcPr>
          <w:p w:rsidR="00C95F1F" w:rsidRPr="00BE3123" w:rsidRDefault="00C95F1F" w:rsidP="00C95F1F">
            <w:pPr>
              <w:widowControl/>
              <w:jc w:val="center"/>
              <w:rPr>
                <w:b/>
                <w:snapToGrid w:val="0"/>
                <w:sz w:val="18"/>
                <w:szCs w:val="18"/>
              </w:rPr>
            </w:pPr>
          </w:p>
        </w:tc>
        <w:tc>
          <w:tcPr>
            <w:tcW w:w="1227" w:type="dxa"/>
            <w:tcBorders>
              <w:top w:val="nil"/>
              <w:left w:val="nil"/>
              <w:bottom w:val="single" w:sz="4" w:space="0" w:color="auto"/>
              <w:right w:val="nil"/>
            </w:tcBorders>
          </w:tcPr>
          <w:p w:rsidR="00C95F1F" w:rsidRPr="00BE3123" w:rsidRDefault="00C95F1F" w:rsidP="00C95F1F">
            <w:pPr>
              <w:widowControl/>
              <w:ind w:right="59"/>
              <w:jc w:val="center"/>
              <w:rPr>
                <w:i/>
                <w:snapToGrid w:val="0"/>
                <w:sz w:val="18"/>
                <w:szCs w:val="18"/>
              </w:rPr>
            </w:pPr>
          </w:p>
        </w:tc>
        <w:tc>
          <w:tcPr>
            <w:tcW w:w="1413" w:type="dxa"/>
            <w:tcBorders>
              <w:top w:val="nil"/>
              <w:left w:val="nil"/>
              <w:bottom w:val="single" w:sz="4" w:space="0" w:color="auto"/>
              <w:right w:val="nil"/>
            </w:tcBorders>
          </w:tcPr>
          <w:p w:rsidR="00C95F1F" w:rsidRPr="00BE3123" w:rsidRDefault="00C95F1F" w:rsidP="00C95F1F">
            <w:pPr>
              <w:widowControl/>
              <w:jc w:val="center"/>
              <w:rPr>
                <w:i/>
                <w:snapToGrid w:val="0"/>
                <w:sz w:val="18"/>
                <w:szCs w:val="18"/>
              </w:rPr>
            </w:pPr>
          </w:p>
        </w:tc>
        <w:tc>
          <w:tcPr>
            <w:tcW w:w="1200" w:type="dxa"/>
            <w:tcBorders>
              <w:top w:val="nil"/>
              <w:left w:val="nil"/>
              <w:bottom w:val="single" w:sz="4" w:space="0" w:color="auto"/>
              <w:right w:val="nil"/>
            </w:tcBorders>
          </w:tcPr>
          <w:p w:rsidR="00C95F1F" w:rsidRPr="00BE3123" w:rsidRDefault="00C95F1F" w:rsidP="00C95F1F">
            <w:pPr>
              <w:widowControl/>
              <w:jc w:val="center"/>
              <w:rPr>
                <w:i/>
                <w:snapToGrid w:val="0"/>
                <w:sz w:val="18"/>
                <w:szCs w:val="18"/>
              </w:rPr>
            </w:pPr>
          </w:p>
        </w:tc>
        <w:tc>
          <w:tcPr>
            <w:tcW w:w="1725" w:type="dxa"/>
            <w:tcBorders>
              <w:top w:val="nil"/>
              <w:left w:val="nil"/>
              <w:bottom w:val="single" w:sz="4" w:space="0" w:color="auto"/>
              <w:right w:val="nil"/>
            </w:tcBorders>
            <w:vAlign w:val="center"/>
          </w:tcPr>
          <w:p w:rsidR="00C95F1F" w:rsidRPr="00BE3123" w:rsidRDefault="00C95F1F" w:rsidP="00C95F1F">
            <w:pPr>
              <w:widowControl/>
              <w:spacing w:line="276" w:lineRule="auto"/>
              <w:jc w:val="right"/>
              <w:rPr>
                <w:i/>
                <w:snapToGrid w:val="0"/>
                <w:sz w:val="18"/>
                <w:szCs w:val="18"/>
              </w:rPr>
            </w:pPr>
          </w:p>
        </w:tc>
      </w:tr>
      <w:tr w:rsidR="00C95F1F" w:rsidRPr="00BE3123" w:rsidTr="00C95F1F">
        <w:trPr>
          <w:trHeight w:val="788"/>
          <w:jc w:val="center"/>
        </w:trPr>
        <w:tc>
          <w:tcPr>
            <w:tcW w:w="3072" w:type="dxa"/>
            <w:tcBorders>
              <w:top w:val="single" w:sz="4" w:space="0" w:color="auto"/>
              <w:left w:val="single" w:sz="4" w:space="0" w:color="auto"/>
              <w:bottom w:val="dotted" w:sz="4" w:space="0" w:color="auto"/>
              <w:right w:val="dotted" w:sz="4" w:space="0" w:color="auto"/>
            </w:tcBorders>
            <w:shd w:val="clear" w:color="auto" w:fill="EEECE1"/>
            <w:vAlign w:val="center"/>
            <w:hideMark/>
          </w:tcPr>
          <w:p w:rsidR="00C95F1F" w:rsidRPr="00BE3123" w:rsidRDefault="00C95F1F" w:rsidP="00C95F1F">
            <w:pPr>
              <w:widowControl/>
              <w:rPr>
                <w:b/>
                <w:snapToGrid w:val="0"/>
                <w:sz w:val="18"/>
                <w:szCs w:val="18"/>
              </w:rPr>
            </w:pPr>
            <w:r>
              <w:rPr>
                <w:b/>
                <w:snapToGrid w:val="0"/>
                <w:sz w:val="18"/>
              </w:rPr>
              <w:t>Бедствие</w:t>
            </w:r>
          </w:p>
        </w:tc>
        <w:tc>
          <w:tcPr>
            <w:tcW w:w="1227" w:type="dxa"/>
            <w:tcBorders>
              <w:top w:val="single" w:sz="4" w:space="0" w:color="auto"/>
              <w:left w:val="dotted" w:sz="4" w:space="0" w:color="auto"/>
              <w:bottom w:val="dotted" w:sz="4" w:space="0" w:color="auto"/>
              <w:right w:val="dotted" w:sz="4" w:space="0" w:color="auto"/>
            </w:tcBorders>
            <w:shd w:val="clear" w:color="auto" w:fill="EEECE1"/>
            <w:hideMark/>
          </w:tcPr>
          <w:p w:rsidR="00C95F1F" w:rsidRPr="00BE3123" w:rsidRDefault="00C95F1F" w:rsidP="00C95F1F">
            <w:pPr>
              <w:widowControl/>
              <w:ind w:right="59"/>
              <w:jc w:val="center"/>
              <w:rPr>
                <w:i/>
                <w:snapToGrid w:val="0"/>
                <w:sz w:val="18"/>
                <w:szCs w:val="18"/>
              </w:rPr>
            </w:pPr>
            <w:r>
              <w:rPr>
                <w:i/>
                <w:snapToGrid w:val="0"/>
                <w:sz w:val="18"/>
              </w:rPr>
              <w:t>Преки щети (млн. евро)</w:t>
            </w:r>
          </w:p>
        </w:tc>
        <w:tc>
          <w:tcPr>
            <w:tcW w:w="1413" w:type="dxa"/>
            <w:tcBorders>
              <w:top w:val="single" w:sz="4" w:space="0" w:color="auto"/>
              <w:left w:val="dotted" w:sz="4" w:space="0" w:color="auto"/>
              <w:bottom w:val="dotted" w:sz="4" w:space="0" w:color="auto"/>
              <w:right w:val="dotted" w:sz="4" w:space="0" w:color="auto"/>
            </w:tcBorders>
            <w:shd w:val="clear" w:color="auto" w:fill="EEECE1"/>
            <w:hideMark/>
          </w:tcPr>
          <w:p w:rsidR="00C95F1F" w:rsidRPr="00BE3123" w:rsidRDefault="00C95F1F" w:rsidP="00C95F1F">
            <w:pPr>
              <w:widowControl/>
              <w:jc w:val="center"/>
              <w:rPr>
                <w:i/>
                <w:snapToGrid w:val="0"/>
                <w:sz w:val="18"/>
                <w:szCs w:val="18"/>
              </w:rPr>
            </w:pPr>
            <w:r>
              <w:rPr>
                <w:i/>
                <w:snapToGrid w:val="0"/>
                <w:sz w:val="18"/>
              </w:rPr>
              <w:t>2,5% от преките щети до прага (в евро)</w:t>
            </w:r>
          </w:p>
        </w:tc>
        <w:tc>
          <w:tcPr>
            <w:tcW w:w="1200" w:type="dxa"/>
            <w:tcBorders>
              <w:top w:val="single" w:sz="4" w:space="0" w:color="auto"/>
              <w:left w:val="dotted" w:sz="4" w:space="0" w:color="auto"/>
              <w:bottom w:val="dotted" w:sz="4" w:space="0" w:color="auto"/>
              <w:right w:val="dotted" w:sz="4" w:space="0" w:color="auto"/>
            </w:tcBorders>
            <w:shd w:val="clear" w:color="auto" w:fill="EEECE1"/>
            <w:hideMark/>
          </w:tcPr>
          <w:p w:rsidR="00C95F1F" w:rsidRPr="00BE3123" w:rsidRDefault="00C95F1F" w:rsidP="00C95F1F">
            <w:pPr>
              <w:widowControl/>
              <w:jc w:val="center"/>
              <w:rPr>
                <w:i/>
                <w:snapToGrid w:val="0"/>
                <w:sz w:val="18"/>
                <w:szCs w:val="18"/>
              </w:rPr>
            </w:pPr>
            <w:r>
              <w:rPr>
                <w:i/>
                <w:snapToGrid w:val="0"/>
                <w:sz w:val="18"/>
              </w:rPr>
              <w:t>6% от преките щети над прага</w:t>
            </w:r>
          </w:p>
        </w:tc>
        <w:tc>
          <w:tcPr>
            <w:tcW w:w="1725" w:type="dxa"/>
            <w:tcBorders>
              <w:top w:val="single" w:sz="4" w:space="0" w:color="auto"/>
              <w:left w:val="dotted" w:sz="4" w:space="0" w:color="auto"/>
              <w:bottom w:val="dotted" w:sz="4" w:space="0" w:color="auto"/>
              <w:right w:val="single" w:sz="4" w:space="0" w:color="auto"/>
            </w:tcBorders>
            <w:shd w:val="clear" w:color="auto" w:fill="EEECE1"/>
            <w:hideMark/>
          </w:tcPr>
          <w:p w:rsidR="00C95F1F" w:rsidRPr="00BE3123" w:rsidRDefault="00C95F1F" w:rsidP="00C95F1F">
            <w:pPr>
              <w:widowControl/>
              <w:jc w:val="center"/>
              <w:rPr>
                <w:i/>
                <w:snapToGrid w:val="0"/>
                <w:sz w:val="18"/>
                <w:szCs w:val="18"/>
              </w:rPr>
            </w:pPr>
            <w:r>
              <w:rPr>
                <w:b/>
                <w:i/>
                <w:snapToGrid w:val="0"/>
                <w:sz w:val="18"/>
              </w:rPr>
              <w:t>Общ размер на предложената помощ в евро</w:t>
            </w:r>
          </w:p>
        </w:tc>
      </w:tr>
      <w:tr w:rsidR="00C95F1F" w:rsidRPr="00BE3123" w:rsidTr="00C95F1F">
        <w:trPr>
          <w:jc w:val="center"/>
        </w:trPr>
        <w:tc>
          <w:tcPr>
            <w:tcW w:w="3072" w:type="dxa"/>
            <w:tcBorders>
              <w:top w:val="dotted" w:sz="4" w:space="0" w:color="auto"/>
              <w:left w:val="single" w:sz="4" w:space="0" w:color="auto"/>
              <w:bottom w:val="dotted" w:sz="4" w:space="0" w:color="auto"/>
              <w:right w:val="dotted" w:sz="4" w:space="0" w:color="auto"/>
            </w:tcBorders>
            <w:shd w:val="clear" w:color="auto" w:fill="EEECE1"/>
            <w:vAlign w:val="center"/>
            <w:hideMark/>
          </w:tcPr>
          <w:p w:rsidR="00C95F1F" w:rsidRPr="00BE3123" w:rsidRDefault="00C95F1F" w:rsidP="00C95F1F">
            <w:pPr>
              <w:widowControl/>
              <w:spacing w:before="40" w:after="40"/>
              <w:rPr>
                <w:snapToGrid w:val="0"/>
                <w:sz w:val="18"/>
                <w:szCs w:val="18"/>
              </w:rPr>
            </w:pPr>
            <w:r>
              <w:rPr>
                <w:snapToGrid w:val="0"/>
                <w:sz w:val="18"/>
              </w:rPr>
              <w:t xml:space="preserve">ГЪРЦИЯ </w:t>
            </w:r>
          </w:p>
        </w:tc>
        <w:tc>
          <w:tcPr>
            <w:tcW w:w="1227" w:type="dxa"/>
            <w:tcBorders>
              <w:top w:val="dotted" w:sz="4" w:space="0" w:color="auto"/>
              <w:left w:val="dotted" w:sz="4" w:space="0" w:color="auto"/>
              <w:bottom w:val="dotted" w:sz="4" w:space="0" w:color="auto"/>
              <w:right w:val="dotted" w:sz="4" w:space="0" w:color="auto"/>
            </w:tcBorders>
            <w:vAlign w:val="center"/>
            <w:hideMark/>
          </w:tcPr>
          <w:p w:rsidR="00C95F1F" w:rsidRPr="00BE3123" w:rsidRDefault="00C95F1F" w:rsidP="00C95F1F">
            <w:pPr>
              <w:widowControl/>
              <w:spacing w:before="40" w:after="40"/>
              <w:ind w:right="35"/>
              <w:jc w:val="right"/>
              <w:rPr>
                <w:i/>
                <w:snapToGrid w:val="0"/>
                <w:sz w:val="18"/>
                <w:szCs w:val="18"/>
              </w:rPr>
            </w:pPr>
            <w:r>
              <w:rPr>
                <w:i/>
                <w:snapToGrid w:val="0"/>
                <w:sz w:val="18"/>
              </w:rPr>
              <w:t>66,073</w:t>
            </w:r>
          </w:p>
        </w:tc>
        <w:tc>
          <w:tcPr>
            <w:tcW w:w="1413" w:type="dxa"/>
            <w:tcBorders>
              <w:top w:val="dotted" w:sz="4" w:space="0" w:color="auto"/>
              <w:left w:val="dotted" w:sz="4" w:space="0" w:color="auto"/>
              <w:bottom w:val="dotted" w:sz="4" w:space="0" w:color="auto"/>
              <w:right w:val="dotted" w:sz="4" w:space="0" w:color="auto"/>
            </w:tcBorders>
            <w:vAlign w:val="center"/>
            <w:hideMark/>
          </w:tcPr>
          <w:p w:rsidR="00C95F1F" w:rsidRPr="00BE3123" w:rsidRDefault="00C95F1F" w:rsidP="00C95F1F">
            <w:pPr>
              <w:widowControl/>
              <w:jc w:val="right"/>
              <w:rPr>
                <w:bCs/>
                <w:i/>
                <w:iCs/>
                <w:snapToGrid w:val="0"/>
                <w:sz w:val="18"/>
                <w:szCs w:val="18"/>
              </w:rPr>
            </w:pPr>
            <w:r>
              <w:rPr>
                <w:i/>
                <w:snapToGrid w:val="0"/>
                <w:sz w:val="18"/>
              </w:rPr>
              <w:t>1 651 834</w:t>
            </w:r>
          </w:p>
        </w:tc>
        <w:tc>
          <w:tcPr>
            <w:tcW w:w="1200" w:type="dxa"/>
            <w:tcBorders>
              <w:top w:val="dotted" w:sz="4" w:space="0" w:color="auto"/>
              <w:left w:val="dotted" w:sz="4" w:space="0" w:color="auto"/>
              <w:bottom w:val="dotted" w:sz="4" w:space="0" w:color="auto"/>
              <w:right w:val="dotted" w:sz="4" w:space="0" w:color="auto"/>
            </w:tcBorders>
            <w:vAlign w:val="center"/>
            <w:hideMark/>
          </w:tcPr>
          <w:p w:rsidR="00C95F1F" w:rsidRPr="00BE3123" w:rsidRDefault="00C95F1F" w:rsidP="00C95F1F">
            <w:pPr>
              <w:widowControl/>
              <w:jc w:val="right"/>
              <w:rPr>
                <w:i/>
                <w:snapToGrid w:val="0"/>
                <w:sz w:val="18"/>
                <w:szCs w:val="18"/>
              </w:rPr>
            </w:pPr>
            <w:r>
              <w:rPr>
                <w:i/>
                <w:snapToGrid w:val="0"/>
                <w:sz w:val="18"/>
              </w:rPr>
              <w:t>-</w:t>
            </w:r>
          </w:p>
        </w:tc>
        <w:tc>
          <w:tcPr>
            <w:tcW w:w="1725" w:type="dxa"/>
            <w:tcBorders>
              <w:top w:val="dotted" w:sz="4" w:space="0" w:color="auto"/>
              <w:left w:val="dotted" w:sz="4" w:space="0" w:color="auto"/>
              <w:bottom w:val="dotted" w:sz="4" w:space="0" w:color="auto"/>
              <w:right w:val="single" w:sz="4" w:space="0" w:color="auto"/>
            </w:tcBorders>
            <w:vAlign w:val="center"/>
            <w:hideMark/>
          </w:tcPr>
          <w:p w:rsidR="00C95F1F" w:rsidRPr="00BE3123" w:rsidRDefault="00C95F1F" w:rsidP="00C95F1F">
            <w:pPr>
              <w:widowControl/>
              <w:spacing w:before="40" w:after="40"/>
              <w:ind w:right="35"/>
              <w:jc w:val="right"/>
              <w:rPr>
                <w:i/>
                <w:snapToGrid w:val="0"/>
                <w:sz w:val="18"/>
                <w:szCs w:val="18"/>
              </w:rPr>
            </w:pPr>
            <w:r>
              <w:rPr>
                <w:i/>
                <w:snapToGrid w:val="0"/>
                <w:sz w:val="18"/>
              </w:rPr>
              <w:t>1 651 834</w:t>
            </w:r>
          </w:p>
        </w:tc>
      </w:tr>
      <w:tr w:rsidR="00C95F1F" w:rsidRPr="00BE3123" w:rsidTr="00C95F1F">
        <w:trPr>
          <w:trHeight w:val="424"/>
          <w:jc w:val="center"/>
        </w:trPr>
        <w:tc>
          <w:tcPr>
            <w:tcW w:w="3072" w:type="dxa"/>
            <w:tcBorders>
              <w:top w:val="dotted" w:sz="4" w:space="0" w:color="auto"/>
              <w:left w:val="single" w:sz="4" w:space="0" w:color="auto"/>
              <w:bottom w:val="single" w:sz="4" w:space="0" w:color="auto"/>
              <w:right w:val="dotted" w:sz="4" w:space="0" w:color="auto"/>
            </w:tcBorders>
            <w:shd w:val="clear" w:color="auto" w:fill="EEECE1"/>
            <w:vAlign w:val="center"/>
            <w:hideMark/>
          </w:tcPr>
          <w:p w:rsidR="00C95F1F" w:rsidRPr="00BE3123" w:rsidRDefault="00C95F1F" w:rsidP="00C95F1F">
            <w:pPr>
              <w:widowControl/>
              <w:spacing w:before="40" w:after="40"/>
              <w:rPr>
                <w:snapToGrid w:val="0"/>
                <w:sz w:val="18"/>
                <w:szCs w:val="18"/>
              </w:rPr>
            </w:pPr>
            <w:r>
              <w:rPr>
                <w:b/>
                <w:snapToGrid w:val="0"/>
                <w:sz w:val="20"/>
              </w:rPr>
              <w:t>ОБЩО</w:t>
            </w:r>
          </w:p>
        </w:tc>
        <w:tc>
          <w:tcPr>
            <w:tcW w:w="5565" w:type="dxa"/>
            <w:gridSpan w:val="4"/>
            <w:tcBorders>
              <w:top w:val="dotted" w:sz="4" w:space="0" w:color="auto"/>
              <w:left w:val="dotted" w:sz="4" w:space="0" w:color="auto"/>
              <w:bottom w:val="single" w:sz="4" w:space="0" w:color="auto"/>
              <w:right w:val="single" w:sz="4" w:space="0" w:color="auto"/>
            </w:tcBorders>
            <w:vAlign w:val="center"/>
            <w:hideMark/>
          </w:tcPr>
          <w:p w:rsidR="00C95F1F" w:rsidRPr="00BE3123" w:rsidRDefault="00C95F1F" w:rsidP="00C95F1F">
            <w:pPr>
              <w:widowControl/>
              <w:spacing w:before="40" w:after="40"/>
              <w:ind w:right="35"/>
              <w:jc w:val="right"/>
              <w:rPr>
                <w:b/>
                <w:i/>
                <w:snapToGrid w:val="0"/>
                <w:sz w:val="18"/>
                <w:szCs w:val="18"/>
              </w:rPr>
            </w:pPr>
            <w:r>
              <w:rPr>
                <w:i/>
                <w:snapToGrid w:val="0"/>
                <w:sz w:val="18"/>
              </w:rPr>
              <w:t>1 651 834</w:t>
            </w:r>
          </w:p>
        </w:tc>
      </w:tr>
    </w:tbl>
    <w:p w:rsidR="00C95F1F" w:rsidRPr="00BE3123" w:rsidRDefault="00C95F1F" w:rsidP="00C95F1F">
      <w:pPr>
        <w:widowControl/>
        <w:jc w:val="both"/>
        <w:rPr>
          <w:szCs w:val="24"/>
        </w:rPr>
      </w:pPr>
    </w:p>
    <w:p w:rsidR="00C95F1F" w:rsidRPr="00BE3123" w:rsidRDefault="00C95F1F" w:rsidP="00C95F1F">
      <w:pPr>
        <w:widowControl/>
        <w:jc w:val="both"/>
        <w:rPr>
          <w:szCs w:val="24"/>
        </w:rPr>
      </w:pPr>
      <w:r>
        <w:t>Като отчита констатираното при прегледа на заявлението и максималния възможен размер на безвъзмездните средства от Фонда, Комисията предлага да се мобилизират средства от Фонда в размер на 1 651 834 EUR от специално отделените за авансови плащания средства в размер на 50 000 000 EUR от общия бюджет на Европейския съюз за финансовата 2016 година.</w:t>
      </w:r>
    </w:p>
    <w:p w:rsidR="00C95F1F" w:rsidRPr="00BE3123" w:rsidRDefault="00C95F1F" w:rsidP="00C95F1F">
      <w:pPr>
        <w:widowControl/>
        <w:jc w:val="both"/>
        <w:rPr>
          <w:szCs w:val="24"/>
        </w:rPr>
      </w:pPr>
    </w:p>
    <w:p w:rsidR="00C95F1F" w:rsidRPr="00BE3123" w:rsidRDefault="00C95F1F" w:rsidP="00C95F1F">
      <w:pPr>
        <w:widowControl/>
        <w:jc w:val="both"/>
        <w:rPr>
          <w:szCs w:val="24"/>
        </w:rPr>
      </w:pPr>
      <w:r>
        <w:t xml:space="preserve">Координаторите на комисията обсъдиха предложението и ми възложиха да Ви напиша писмо, с което да Ви уведомя, че по-голямата част от членовете на комисията нямат възражения срещу предложеното мобилизиране на средства от фонд „Солидарност“ на Европейския съюз с цел разпределяне на горепосочената сума съобразно предложението на Комисията. </w:t>
      </w:r>
    </w:p>
    <w:p w:rsidR="00C95F1F" w:rsidRPr="00BE3123" w:rsidRDefault="00C95F1F" w:rsidP="00C95F1F">
      <w:pPr>
        <w:widowControl/>
        <w:rPr>
          <w:szCs w:val="24"/>
        </w:rPr>
      </w:pPr>
    </w:p>
    <w:p w:rsidR="00C95F1F" w:rsidRPr="00BE3123" w:rsidRDefault="00C95F1F" w:rsidP="00C95F1F">
      <w:pPr>
        <w:widowControl/>
        <w:rPr>
          <w:szCs w:val="24"/>
        </w:rPr>
      </w:pPr>
      <w:r>
        <w:t>С уважение,</w:t>
      </w:r>
    </w:p>
    <w:p w:rsidR="00C95F1F" w:rsidRPr="00BE3123" w:rsidRDefault="00C95F1F" w:rsidP="00C95F1F">
      <w:pPr>
        <w:widowControl/>
        <w:rPr>
          <w:szCs w:val="24"/>
        </w:rPr>
      </w:pPr>
    </w:p>
    <w:p w:rsidR="00C95F1F" w:rsidRPr="00BE3123" w:rsidRDefault="00C95F1F" w:rsidP="00C95F1F">
      <w:pPr>
        <w:widowControl/>
        <w:rPr>
          <w:szCs w:val="24"/>
        </w:rPr>
      </w:pPr>
    </w:p>
    <w:p w:rsidR="00C95F1F" w:rsidRPr="00BE3123" w:rsidRDefault="00C95F1F" w:rsidP="00C95F1F">
      <w:pPr>
        <w:widowControl/>
        <w:rPr>
          <w:szCs w:val="24"/>
        </w:rPr>
      </w:pPr>
    </w:p>
    <w:p w:rsidR="00C95F1F" w:rsidRPr="00BE3123" w:rsidRDefault="00C95F1F" w:rsidP="00C95F1F">
      <w:pPr>
        <w:widowControl/>
        <w:rPr>
          <w:szCs w:val="24"/>
        </w:rPr>
      </w:pPr>
    </w:p>
    <w:p w:rsidR="00C95F1F" w:rsidRPr="00BE3123" w:rsidRDefault="00C95F1F" w:rsidP="00C95F1F">
      <w:pPr>
        <w:widowControl/>
        <w:rPr>
          <w:szCs w:val="24"/>
        </w:rPr>
      </w:pPr>
      <w:r>
        <w:t xml:space="preserve">Искра МИХАЙЛОВА </w:t>
      </w:r>
    </w:p>
    <w:p w:rsidR="00857E09" w:rsidRPr="00A8478A" w:rsidRDefault="00857E09" w:rsidP="00A8478A"/>
    <w:p w:rsidR="00A8478A" w:rsidRDefault="00603BC5" w:rsidP="00A8478A">
      <w:pPr>
        <w:pStyle w:val="PageHeading"/>
      </w:pPr>
      <w:r>
        <w:br w:type="page"/>
      </w:r>
      <w:bookmarkStart w:id="14" w:name="_Toc462908071"/>
      <w:bookmarkStart w:id="15" w:name="ProcPageRR"/>
      <w:bookmarkStart w:id="16" w:name="_Toc463252057"/>
      <w:r>
        <w:t>РЕЗУЛТАТ ОТ ОКОНЧАТЕЛНОТО ГЛАСУВАНЕ ВЪВ ВОДЕЩАТА КОМИСИЯ</w:t>
      </w:r>
      <w:bookmarkEnd w:id="14"/>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847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8478A" w:rsidRDefault="00A8478A">
            <w:pPr>
              <w:autoSpaceDE w:val="0"/>
              <w:autoSpaceDN w:val="0"/>
              <w:adjustRightInd w:val="0"/>
              <w:rPr>
                <w:b/>
                <w:bCs/>
                <w:color w:val="000000"/>
                <w:sz w:val="20"/>
              </w:rPr>
            </w:pPr>
            <w:r>
              <w:rPr>
                <w:b/>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8478A" w:rsidRDefault="00A8478A">
            <w:pPr>
              <w:autoSpaceDE w:val="0"/>
              <w:autoSpaceDN w:val="0"/>
              <w:adjustRightInd w:val="0"/>
              <w:rPr>
                <w:color w:val="000000"/>
                <w:sz w:val="20"/>
              </w:rPr>
            </w:pPr>
            <w:r>
              <w:rPr>
                <w:color w:val="000000"/>
                <w:sz w:val="20"/>
              </w:rPr>
              <w:t>28.9.2016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8478A" w:rsidRDefault="00A8478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8478A" w:rsidRDefault="00A8478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8478A" w:rsidRDefault="00A8478A">
            <w:pPr>
              <w:autoSpaceDE w:val="0"/>
              <w:autoSpaceDN w:val="0"/>
              <w:adjustRightInd w:val="0"/>
              <w:rPr>
                <w:rFonts w:ascii="sans-serif" w:hAnsi="sans-serif" w:cs="sans-serif"/>
                <w:color w:val="000000"/>
                <w:szCs w:val="24"/>
              </w:rPr>
            </w:pPr>
          </w:p>
        </w:tc>
      </w:tr>
      <w:tr w:rsidR="00A847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8478A" w:rsidRDefault="00A8478A">
            <w:pPr>
              <w:autoSpaceDE w:val="0"/>
              <w:autoSpaceDN w:val="0"/>
              <w:adjustRightInd w:val="0"/>
              <w:rPr>
                <w:b/>
                <w:bCs/>
                <w:color w:val="000000"/>
                <w:sz w:val="20"/>
              </w:rPr>
            </w:pPr>
            <w:r>
              <w:rPr>
                <w:b/>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8478A" w:rsidRDefault="00A8478A">
            <w:pPr>
              <w:autoSpaceDE w:val="0"/>
              <w:autoSpaceDN w:val="0"/>
              <w:adjustRightInd w:val="0"/>
              <w:rPr>
                <w:color w:val="000000"/>
                <w:sz w:val="20"/>
              </w:rPr>
            </w:pPr>
            <w:r>
              <w:rPr>
                <w:color w:val="000000"/>
                <w:sz w:val="20"/>
              </w:rPr>
              <w:t>+:</w:t>
            </w:r>
          </w:p>
          <w:p w:rsidR="00A8478A" w:rsidRDefault="00A8478A">
            <w:pPr>
              <w:autoSpaceDE w:val="0"/>
              <w:autoSpaceDN w:val="0"/>
              <w:adjustRightInd w:val="0"/>
              <w:rPr>
                <w:color w:val="000000"/>
                <w:sz w:val="20"/>
              </w:rPr>
            </w:pPr>
            <w:r>
              <w:rPr>
                <w:color w:val="000000"/>
                <w:sz w:val="20"/>
              </w:rPr>
              <w:t>–:</w:t>
            </w:r>
          </w:p>
          <w:p w:rsidR="00A8478A" w:rsidRDefault="00A8478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8478A" w:rsidRDefault="00A8478A">
            <w:pPr>
              <w:autoSpaceDE w:val="0"/>
              <w:autoSpaceDN w:val="0"/>
              <w:adjustRightInd w:val="0"/>
              <w:rPr>
                <w:color w:val="000000"/>
                <w:sz w:val="20"/>
              </w:rPr>
            </w:pPr>
            <w:r>
              <w:rPr>
                <w:color w:val="000000"/>
                <w:sz w:val="20"/>
              </w:rPr>
              <w:t>32</w:t>
            </w:r>
          </w:p>
          <w:p w:rsidR="00A8478A" w:rsidRDefault="00A8478A">
            <w:pPr>
              <w:autoSpaceDE w:val="0"/>
              <w:autoSpaceDN w:val="0"/>
              <w:adjustRightInd w:val="0"/>
              <w:rPr>
                <w:color w:val="000000"/>
                <w:sz w:val="20"/>
              </w:rPr>
            </w:pPr>
            <w:r>
              <w:rPr>
                <w:color w:val="000000"/>
                <w:sz w:val="20"/>
              </w:rPr>
              <w:t>1</w:t>
            </w:r>
          </w:p>
          <w:p w:rsidR="00A8478A" w:rsidRDefault="00A8478A">
            <w:pPr>
              <w:autoSpaceDE w:val="0"/>
              <w:autoSpaceDN w:val="0"/>
              <w:adjustRightInd w:val="0"/>
              <w:rPr>
                <w:color w:val="000000"/>
                <w:sz w:val="20"/>
              </w:rPr>
            </w:pPr>
            <w:r>
              <w:rPr>
                <w:color w:val="000000"/>
                <w:sz w:val="20"/>
              </w:rPr>
              <w:t>1</w:t>
            </w:r>
          </w:p>
        </w:tc>
      </w:tr>
      <w:tr w:rsidR="00A847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8478A" w:rsidRDefault="00A8478A">
            <w:pPr>
              <w:autoSpaceDE w:val="0"/>
              <w:autoSpaceDN w:val="0"/>
              <w:adjustRightInd w:val="0"/>
              <w:rPr>
                <w:b/>
                <w:bCs/>
                <w:color w:val="000000"/>
                <w:sz w:val="20"/>
              </w:rPr>
            </w:pPr>
            <w:r>
              <w:rPr>
                <w:b/>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8478A" w:rsidRDefault="00A8478A">
            <w:pPr>
              <w:autoSpaceDE w:val="0"/>
              <w:autoSpaceDN w:val="0"/>
              <w:adjustRightInd w:val="0"/>
              <w:rPr>
                <w:color w:val="000000"/>
                <w:sz w:val="20"/>
              </w:rPr>
            </w:pPr>
            <w:r>
              <w:rPr>
                <w:color w:val="000000"/>
                <w:sz w:val="20"/>
              </w:rPr>
              <w:t>Nedzhmi Ali, Jonathan Arnott, Jean Arthuis, Richard Ashworth, Reimer Böge, Lefteris Christoforou, Jean-Paul Denanot, Gérard Deprez, José Manuel Fernandes, Eider Gardiazabal Rubial, Jens Geier, Esteban González Pons, Ingeborg Gräßle, Monika Hohlmeier, Bernd Kölmel, Zbigniew Kuźmiuk, Vladimír Maňka, Ernest Maragall, Siegfried Mureşan, Liadh Ní Riada, Urmas Paet, Pina Picierno, Paul Rübig, Petri Sarvamaa, Patricija Šulin, Eleftherios Synadinos, Paul Tang, Indrek Tarand, Isabelle Thomas, Inese Vaidere, Monika Vana, Auke Zijlstra</w:t>
            </w:r>
          </w:p>
        </w:tc>
      </w:tr>
      <w:tr w:rsidR="00A847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8478A" w:rsidRDefault="00A8478A">
            <w:pPr>
              <w:autoSpaceDE w:val="0"/>
              <w:autoSpaceDN w:val="0"/>
              <w:adjustRightInd w:val="0"/>
              <w:rPr>
                <w:b/>
                <w:bCs/>
                <w:color w:val="000000"/>
                <w:sz w:val="20"/>
              </w:rPr>
            </w:pPr>
            <w:r>
              <w:rPr>
                <w:b/>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8478A" w:rsidRDefault="00A8478A">
            <w:pPr>
              <w:autoSpaceDE w:val="0"/>
              <w:autoSpaceDN w:val="0"/>
              <w:adjustRightInd w:val="0"/>
              <w:rPr>
                <w:color w:val="000000"/>
                <w:sz w:val="20"/>
              </w:rPr>
            </w:pPr>
            <w:r>
              <w:rPr>
                <w:color w:val="000000"/>
                <w:sz w:val="20"/>
              </w:rPr>
              <w:t>Andrey Novakov, Marco Valli</w:t>
            </w:r>
          </w:p>
        </w:tc>
      </w:tr>
    </w:tbl>
    <w:p w:rsidR="00A8478A" w:rsidRDefault="00A8478A">
      <w:pPr>
        <w:autoSpaceDE w:val="0"/>
        <w:autoSpaceDN w:val="0"/>
        <w:adjustRightInd w:val="0"/>
        <w:rPr>
          <w:rFonts w:ascii="Arial" w:hAnsi="Arial" w:cs="Arial"/>
          <w:szCs w:val="24"/>
        </w:rPr>
      </w:pPr>
    </w:p>
    <w:bookmarkEnd w:id="15"/>
    <w:p w:rsidR="004D2440" w:rsidRPr="00A8478A" w:rsidRDefault="004D2440" w:rsidP="00A8478A"/>
    <w:sectPr w:rsidR="004D2440" w:rsidRPr="00A8478A" w:rsidSect="0063592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94" w:rsidRPr="005A563B" w:rsidRDefault="00457F94">
      <w:r w:rsidRPr="005A563B">
        <w:separator/>
      </w:r>
    </w:p>
  </w:endnote>
  <w:endnote w:type="continuationSeparator" w:id="0">
    <w:p w:rsidR="00457F94" w:rsidRPr="005A563B" w:rsidRDefault="00457F94">
      <w:r w:rsidRPr="005A56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22" w:rsidRDefault="00635922" w:rsidP="00635922">
    <w:pPr>
      <w:pStyle w:val="Footer"/>
    </w:pPr>
    <w:r>
      <w:t>PE</w:t>
    </w:r>
    <w:r w:rsidRPr="00635922">
      <w:rPr>
        <w:rStyle w:val="HideTWBExt"/>
      </w:rPr>
      <w:t>&lt;NoPE&gt;</w:t>
    </w:r>
    <w:r>
      <w:t>589.207</w:t>
    </w:r>
    <w:r w:rsidRPr="00635922">
      <w:rPr>
        <w:rStyle w:val="HideTWBExt"/>
      </w:rPr>
      <w:t>&lt;/NoPE&gt;&lt;Version&gt;</w:t>
    </w:r>
    <w:r>
      <w:t>v02-00</w:t>
    </w:r>
    <w:r w:rsidRPr="00635922">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10</w:t>
      </w:r>
    </w:fldSimple>
    <w:r>
      <w:tab/>
    </w:r>
    <w:r w:rsidRPr="00635922">
      <w:rPr>
        <w:rStyle w:val="HideTWBExt"/>
      </w:rPr>
      <w:t>&lt;PathFdR&gt;</w:t>
    </w:r>
    <w:r>
      <w:t>RR\1105437BG.docx</w:t>
    </w:r>
    <w:r w:rsidRPr="00635922">
      <w:rPr>
        <w:rStyle w:val="HideTWBExt"/>
      </w:rPr>
      <w:t>&lt;/PathFdR&gt;</w:t>
    </w:r>
  </w:p>
  <w:p w:rsidR="00457F94" w:rsidRPr="005A563B" w:rsidRDefault="00635922" w:rsidP="00635922">
    <w:pPr>
      <w:pStyle w:val="Footer2"/>
    </w:pPr>
    <w: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22" w:rsidRDefault="00635922" w:rsidP="00635922">
    <w:pPr>
      <w:pStyle w:val="Footer"/>
    </w:pPr>
    <w:r w:rsidRPr="00635922">
      <w:rPr>
        <w:rStyle w:val="HideTWBExt"/>
      </w:rPr>
      <w:t>&lt;PathFdR&gt;</w:t>
    </w:r>
    <w:r>
      <w:t>RR\1105437BG.docx</w:t>
    </w:r>
    <w:r w:rsidRPr="00635922">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10</w:t>
      </w:r>
    </w:fldSimple>
    <w:r>
      <w:tab/>
      <w:t>PE</w:t>
    </w:r>
    <w:r w:rsidRPr="00635922">
      <w:rPr>
        <w:rStyle w:val="HideTWBExt"/>
      </w:rPr>
      <w:t>&lt;NoPE&gt;</w:t>
    </w:r>
    <w:r>
      <w:t>589.207</w:t>
    </w:r>
    <w:r w:rsidRPr="00635922">
      <w:rPr>
        <w:rStyle w:val="HideTWBExt"/>
      </w:rPr>
      <w:t>&lt;/NoPE&gt;&lt;Version&gt;</w:t>
    </w:r>
    <w:r>
      <w:t>v02-00</w:t>
    </w:r>
    <w:r w:rsidRPr="00635922">
      <w:rPr>
        <w:rStyle w:val="HideTWBExt"/>
      </w:rPr>
      <w:t>&lt;/Version&gt;</w:t>
    </w:r>
  </w:p>
  <w:p w:rsidR="00457F94" w:rsidRPr="005A563B" w:rsidRDefault="00635922" w:rsidP="00635922">
    <w:pPr>
      <w:pStyle w:val="Footer2"/>
    </w:pPr>
    <w:r>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22" w:rsidRDefault="00635922" w:rsidP="00635922">
    <w:pPr>
      <w:pStyle w:val="Footer"/>
    </w:pPr>
    <w:r w:rsidRPr="00635922">
      <w:rPr>
        <w:rStyle w:val="HideTWBExt"/>
      </w:rPr>
      <w:t>&lt;PathFdR&gt;</w:t>
    </w:r>
    <w:r>
      <w:t>RR\1105437BG.docx</w:t>
    </w:r>
    <w:r w:rsidRPr="00635922">
      <w:rPr>
        <w:rStyle w:val="HideTWBExt"/>
      </w:rPr>
      <w:t>&lt;/PathFdR&gt;</w:t>
    </w:r>
    <w:r>
      <w:tab/>
    </w:r>
    <w:r>
      <w:tab/>
      <w:t>PE</w:t>
    </w:r>
    <w:r w:rsidRPr="00635922">
      <w:rPr>
        <w:rStyle w:val="HideTWBExt"/>
      </w:rPr>
      <w:t>&lt;NoPE&gt;</w:t>
    </w:r>
    <w:r>
      <w:t>589.207</w:t>
    </w:r>
    <w:r w:rsidRPr="00635922">
      <w:rPr>
        <w:rStyle w:val="HideTWBExt"/>
      </w:rPr>
      <w:t>&lt;/NoPE&gt;&lt;Version&gt;</w:t>
    </w:r>
    <w:r>
      <w:t>v02-00</w:t>
    </w:r>
    <w:r w:rsidRPr="00635922">
      <w:rPr>
        <w:rStyle w:val="HideTWBExt"/>
      </w:rPr>
      <w:t>&lt;/Version&gt;</w:t>
    </w:r>
  </w:p>
  <w:p w:rsidR="00457F94" w:rsidRPr="005A563B" w:rsidRDefault="00635922" w:rsidP="00635922">
    <w:pPr>
      <w:pStyle w:val="Footer2"/>
      <w:tabs>
        <w:tab w:val="center" w:pos="4535"/>
      </w:tabs>
    </w:pPr>
    <w:r>
      <w:t>BG</w:t>
    </w:r>
    <w:r>
      <w:tab/>
    </w:r>
    <w:r w:rsidRPr="00635922">
      <w:rPr>
        <w:b w:val="0"/>
        <w:i/>
        <w:color w:val="C0C0C0"/>
        <w:sz w:val="22"/>
      </w:rPr>
      <w:t>Единство в многообразието</w:t>
    </w:r>
    <w:r>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94" w:rsidRPr="005A563B" w:rsidRDefault="00457F94">
      <w:r w:rsidRPr="005A563B">
        <w:separator/>
      </w:r>
    </w:p>
  </w:footnote>
  <w:footnote w:type="continuationSeparator" w:id="0">
    <w:p w:rsidR="00457F94" w:rsidRPr="005A563B" w:rsidRDefault="00457F94">
      <w:r w:rsidRPr="005A563B">
        <w:continuationSeparator/>
      </w:r>
    </w:p>
  </w:footnote>
  <w:footnote w:id="1">
    <w:p w:rsidR="00857E09" w:rsidRPr="004C73AC" w:rsidRDefault="00857E09" w:rsidP="00635922">
      <w:pPr>
        <w:pStyle w:val="FootnoteText"/>
        <w:ind w:left="142" w:hanging="142"/>
        <w:rPr>
          <w:lang w:val="pl-PL"/>
        </w:rPr>
      </w:pPr>
      <w:r>
        <w:rPr>
          <w:rStyle w:val="FootnoteReference"/>
        </w:rPr>
        <w:footnoteRef/>
      </w:r>
      <w:r>
        <w:t xml:space="preserve"> OВ L 311, 14.11.2002 г., стр. 3.</w:t>
      </w:r>
    </w:p>
  </w:footnote>
  <w:footnote w:id="2">
    <w:p w:rsidR="00857E09" w:rsidRPr="004C73AC" w:rsidRDefault="00857E09" w:rsidP="00635922">
      <w:pPr>
        <w:pStyle w:val="FootnoteText"/>
        <w:ind w:left="142" w:hanging="142"/>
        <w:rPr>
          <w:lang w:val="pl-PL"/>
        </w:rPr>
      </w:pPr>
      <w:r>
        <w:rPr>
          <w:rStyle w:val="FootnoteReference"/>
        </w:rPr>
        <w:footnoteRef/>
      </w:r>
      <w:r>
        <w:t xml:space="preserve"> ОВ L 347, 20.12.2013 г., стр. 884.</w:t>
      </w:r>
    </w:p>
  </w:footnote>
  <w:footnote w:id="3">
    <w:p w:rsidR="00857E09" w:rsidRPr="004C73AC" w:rsidRDefault="00857E09" w:rsidP="00635922">
      <w:pPr>
        <w:pStyle w:val="FootnoteText"/>
        <w:ind w:left="142" w:hanging="142"/>
        <w:rPr>
          <w:lang w:val="pl-PL"/>
        </w:rPr>
      </w:pPr>
      <w:r>
        <w:rPr>
          <w:rStyle w:val="FootnoteReference"/>
        </w:rPr>
        <w:footnoteRef/>
      </w:r>
      <w:r>
        <w:t xml:space="preserve"> ОВ C 373, 20.12.2013 г., стр. 1.</w:t>
      </w:r>
    </w:p>
  </w:footnote>
  <w:footnote w:id="4">
    <w:p w:rsidR="00857E09" w:rsidRPr="005A563B" w:rsidRDefault="00857E09" w:rsidP="00635922">
      <w:pPr>
        <w:pStyle w:val="FootnoteText"/>
        <w:ind w:left="142" w:hanging="142"/>
      </w:pPr>
      <w:r>
        <w:rPr>
          <w:rStyle w:val="FootnoteReference"/>
        </w:rPr>
        <w:footnoteRef/>
      </w:r>
      <w:r>
        <w:tab/>
        <w:t>OВ L 311, 14.11.2002 г., стр. 3.</w:t>
      </w:r>
    </w:p>
  </w:footnote>
  <w:footnote w:id="5">
    <w:p w:rsidR="00857E09" w:rsidRPr="005A563B" w:rsidRDefault="00857E09" w:rsidP="00635922">
      <w:pPr>
        <w:pStyle w:val="FootnoteText"/>
        <w:ind w:left="142" w:hanging="142"/>
      </w:pPr>
      <w:r>
        <w:rPr>
          <w:rStyle w:val="FootnoteReference"/>
        </w:rPr>
        <w:footnoteRef/>
      </w:r>
      <w:r>
        <w:tab/>
        <w:t>ОВ С 373, 20.12.2013 г., стр. 1.</w:t>
      </w:r>
    </w:p>
  </w:footnote>
  <w:footnote w:id="6">
    <w:p w:rsidR="00857E09" w:rsidRPr="005A563B" w:rsidRDefault="00857E09" w:rsidP="00635922">
      <w:pPr>
        <w:pStyle w:val="FootnoteText"/>
        <w:ind w:left="142" w:hanging="142"/>
      </w:pPr>
      <w:r>
        <w:rPr>
          <w:rStyle w:val="FootnoteReference"/>
        </w:rPr>
        <w:footnoteRef/>
      </w:r>
      <w:r>
        <w:tab/>
        <w:t>Регламент (ЕС, Евратом) № 1311/2013 на Съвета от 2 декември 2013 г. за определяне на многогодишната финансова рамка за годините 2014 – 2020 (ОВ L 347, 20.12.2013 г., стр. 884).</w:t>
      </w:r>
    </w:p>
  </w:footnote>
  <w:footnote w:id="7">
    <w:p w:rsidR="00857E09" w:rsidRPr="005A563B" w:rsidRDefault="00857E09" w:rsidP="00635922">
      <w:pPr>
        <w:pStyle w:val="FootnoteText"/>
        <w:ind w:left="142" w:hanging="142"/>
      </w:pPr>
      <w:r>
        <w:rPr>
          <w:rStyle w:val="FootnoteReference"/>
        </w:rPr>
        <w:footnoteRef/>
      </w:r>
      <w:r>
        <w:tab/>
        <w:t>Решение (ЕС) № 2016/252 на Европейския парламент и на Съвета от 25 ноември 2015 г. относно мобилизирането на фонд „Солидарност“ на Европейския съюз за извършването на авансови плащания (ОВ L 47, 24.2.2016 г., стр. 5).</w:t>
      </w:r>
    </w:p>
  </w:footnote>
  <w:footnote w:id="8">
    <w:p w:rsidR="00857E09" w:rsidRPr="005A563B" w:rsidRDefault="00635922" w:rsidP="00635922">
      <w:pPr>
        <w:pStyle w:val="FootnoteText"/>
        <w:ind w:left="142" w:hanging="142"/>
      </w:pPr>
      <w:r>
        <w:t>∗</w:t>
      </w:r>
      <w:r w:rsidR="00857E09">
        <w:rPr>
          <w:i/>
        </w:rPr>
        <w:t>Да се попълни от Парламента преди публикуването в ОВ</w:t>
      </w:r>
      <w:r w:rsidR="00857E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23" w:rsidRDefault="00BE3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23" w:rsidRDefault="00BE3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23" w:rsidRDefault="00BE3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DT" w:val="28/09/2016"/>
    <w:docVar w:name="LastEditedSection" w:val=" 1"/>
    <w:docVar w:name="strDocTypeID" w:val="PR_BUD_Funds"/>
    <w:docVar w:name="strSubDir" w:val="1105"/>
    <w:docVar w:name="TITLEMNU" w:val=" 1"/>
    <w:docVar w:name="TXTLANGUE" w:val="BG"/>
    <w:docVar w:name="TXTLANGUEMIN" w:val="bg"/>
    <w:docVar w:name="TXTNRBUD" w:val="2016/2165"/>
    <w:docVar w:name="TXTNRC" w:val="0283/2016"/>
    <w:docVar w:name="TXTNRCOM" w:val="(2016)0462"/>
    <w:docVar w:name="TXTNRPE" w:val="589.207"/>
    <w:docVar w:name="TXTPEorAP" w:val="PE"/>
    <w:docVar w:name="TXTROUTE" w:val="RR\1105437BG.docx"/>
    <w:docVar w:name="TXTVERSION" w:val="02-00"/>
  </w:docVars>
  <w:rsids>
    <w:rsidRoot w:val="001B5598"/>
    <w:rsid w:val="000555E6"/>
    <w:rsid w:val="00093266"/>
    <w:rsid w:val="00155B2F"/>
    <w:rsid w:val="00167F25"/>
    <w:rsid w:val="001B5598"/>
    <w:rsid w:val="0022041B"/>
    <w:rsid w:val="002C27F2"/>
    <w:rsid w:val="00300158"/>
    <w:rsid w:val="00347949"/>
    <w:rsid w:val="00380B5A"/>
    <w:rsid w:val="00382C46"/>
    <w:rsid w:val="003B4F3D"/>
    <w:rsid w:val="003F5DF6"/>
    <w:rsid w:val="00457F94"/>
    <w:rsid w:val="00492EAD"/>
    <w:rsid w:val="004C73AC"/>
    <w:rsid w:val="004D2440"/>
    <w:rsid w:val="00503B32"/>
    <w:rsid w:val="00532397"/>
    <w:rsid w:val="00533501"/>
    <w:rsid w:val="005A563B"/>
    <w:rsid w:val="005B0658"/>
    <w:rsid w:val="005E0BDD"/>
    <w:rsid w:val="005F27D5"/>
    <w:rsid w:val="00601E96"/>
    <w:rsid w:val="00603BC5"/>
    <w:rsid w:val="00607E23"/>
    <w:rsid w:val="00635922"/>
    <w:rsid w:val="00646525"/>
    <w:rsid w:val="00673B31"/>
    <w:rsid w:val="00703318"/>
    <w:rsid w:val="007260CD"/>
    <w:rsid w:val="00731ECF"/>
    <w:rsid w:val="007E3E06"/>
    <w:rsid w:val="007F63FC"/>
    <w:rsid w:val="00843D7C"/>
    <w:rsid w:val="00857E09"/>
    <w:rsid w:val="00861675"/>
    <w:rsid w:val="008B7D48"/>
    <w:rsid w:val="008F1614"/>
    <w:rsid w:val="00917358"/>
    <w:rsid w:val="00925CDC"/>
    <w:rsid w:val="00945699"/>
    <w:rsid w:val="0097776D"/>
    <w:rsid w:val="0098399D"/>
    <w:rsid w:val="00A11D5B"/>
    <w:rsid w:val="00A27E62"/>
    <w:rsid w:val="00A8478A"/>
    <w:rsid w:val="00AE164D"/>
    <w:rsid w:val="00AF4089"/>
    <w:rsid w:val="00AF6B2F"/>
    <w:rsid w:val="00B14C8B"/>
    <w:rsid w:val="00B97B74"/>
    <w:rsid w:val="00BB725E"/>
    <w:rsid w:val="00BE3123"/>
    <w:rsid w:val="00C327B5"/>
    <w:rsid w:val="00C537DD"/>
    <w:rsid w:val="00C753BD"/>
    <w:rsid w:val="00C90AB3"/>
    <w:rsid w:val="00C95F1F"/>
    <w:rsid w:val="00CA4836"/>
    <w:rsid w:val="00CB1288"/>
    <w:rsid w:val="00D17520"/>
    <w:rsid w:val="00D461B7"/>
    <w:rsid w:val="00D82527"/>
    <w:rsid w:val="00DE1BE3"/>
    <w:rsid w:val="00DF46ED"/>
    <w:rsid w:val="00E14CC2"/>
    <w:rsid w:val="00E17D6A"/>
    <w:rsid w:val="00E17F52"/>
    <w:rsid w:val="00E6620D"/>
    <w:rsid w:val="00E84539"/>
    <w:rsid w:val="00EA7BAF"/>
    <w:rsid w:val="00EF6DBE"/>
    <w:rsid w:val="00F130D9"/>
    <w:rsid w:val="00F43609"/>
    <w:rsid w:val="00FA2712"/>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D4008C5-BC2D-4F87-8445-390C6058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30015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B2E5E"/>
    <w:pPr>
      <w:tabs>
        <w:tab w:val="left" w:pos="567"/>
      </w:tabs>
    </w:pPr>
  </w:style>
  <w:style w:type="paragraph" w:customStyle="1" w:styleId="RefProc">
    <w:name w:val="RefProc"/>
    <w:basedOn w:val="Normal"/>
    <w:rsid w:val="0022041B"/>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BoldCentre">
    <w:name w:val="Normal12BoldCentre"/>
    <w:basedOn w:val="Normal"/>
    <w:rsid w:val="003B4F3D"/>
    <w:pPr>
      <w:spacing w:after="240"/>
      <w:jc w:val="center"/>
    </w:pPr>
    <w:rPr>
      <w:b/>
    </w:rPr>
  </w:style>
  <w:style w:type="paragraph" w:customStyle="1" w:styleId="Normal24BoldCentre">
    <w:name w:val="Normal24BoldCentre"/>
    <w:basedOn w:val="Normal"/>
    <w:next w:val="Normal12Hanging"/>
    <w:pPr>
      <w:spacing w:after="480"/>
      <w:jc w:val="center"/>
    </w:pPr>
    <w:rPr>
      <w:b/>
      <w:noProof/>
    </w:rPr>
  </w:style>
  <w:style w:type="paragraph" w:customStyle="1" w:styleId="Normal24Bold">
    <w:name w:val="Normal24Bold"/>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33501"/>
    <w:pPr>
      <w:jc w:val="center"/>
    </w:pPr>
    <w:rPr>
      <w:rFonts w:ascii="Arial" w:hAnsi="Arial" w:cs="Arial"/>
      <w:i/>
      <w:sz w:val="22"/>
      <w:szCs w:val="22"/>
    </w:rPr>
  </w:style>
  <w:style w:type="paragraph" w:customStyle="1" w:styleId="LineTop">
    <w:name w:val="LineTop"/>
    <w:basedOn w:val="Normal"/>
    <w:next w:val="ZCommittee"/>
    <w:rsid w:val="00533501"/>
    <w:pPr>
      <w:pBdr>
        <w:top w:val="single" w:sz="4" w:space="1" w:color="auto"/>
      </w:pBdr>
      <w:jc w:val="center"/>
    </w:pPr>
    <w:rPr>
      <w:rFonts w:ascii="Arial" w:hAnsi="Arial"/>
      <w:sz w:val="16"/>
      <w:szCs w:val="16"/>
    </w:rPr>
  </w:style>
  <w:style w:type="paragraph" w:customStyle="1" w:styleId="LineBottom">
    <w:name w:val="LineBottom"/>
    <w:basedOn w:val="Normal"/>
    <w:next w:val="Normal"/>
    <w:rsid w:val="005335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styleId="FootnoteText">
    <w:name w:val="footnote text"/>
    <w:basedOn w:val="Normal"/>
    <w:link w:val="FootnoteTextChar"/>
    <w:rsid w:val="00457F94"/>
    <w:rPr>
      <w:sz w:val="20"/>
    </w:rPr>
  </w:style>
  <w:style w:type="character" w:customStyle="1" w:styleId="FootnoteTextChar">
    <w:name w:val="Footnote Text Char"/>
    <w:basedOn w:val="DefaultParagraphFont"/>
    <w:link w:val="FootnoteText"/>
    <w:rsid w:val="00457F94"/>
  </w:style>
  <w:style w:type="character" w:styleId="FootnoteReference">
    <w:name w:val="footnote reference"/>
    <w:aliases w:val="Footnote Reference Superscript,Footnote symbol,Footnote,stylish,BVI fnr,Footnote symboFußnotenzeichen,Footnote sign,Footnote Reference Number,E FNZ,-E Fußnotenzeichen,Footnote#,Times 10 Point,Exposant 3 Point,Ref,de nota al pie,SUPER"/>
    <w:basedOn w:val="DefaultParagraphFont"/>
    <w:uiPriority w:val="99"/>
    <w:rsid w:val="00457F94"/>
    <w:rPr>
      <w:vertAlign w:val="superscript"/>
    </w:rPr>
  </w:style>
  <w:style w:type="paragraph" w:styleId="BalloonText">
    <w:name w:val="Balloon Text"/>
    <w:basedOn w:val="Normal"/>
    <w:link w:val="BalloonTextChar"/>
    <w:rsid w:val="00C90AB3"/>
    <w:rPr>
      <w:rFonts w:ascii="Segoe UI" w:hAnsi="Segoe UI" w:cs="Segoe UI"/>
      <w:sz w:val="18"/>
      <w:szCs w:val="18"/>
    </w:rPr>
  </w:style>
  <w:style w:type="character" w:customStyle="1" w:styleId="BalloonTextChar">
    <w:name w:val="Balloon Text Char"/>
    <w:basedOn w:val="DefaultParagraphFont"/>
    <w:link w:val="BalloonText"/>
    <w:rsid w:val="00C90AB3"/>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4284">
      <w:bodyDiv w:val="1"/>
      <w:marLeft w:val="0"/>
      <w:marRight w:val="0"/>
      <w:marTop w:val="0"/>
      <w:marBottom w:val="0"/>
      <w:divBdr>
        <w:top w:val="none" w:sz="0" w:space="0" w:color="auto"/>
        <w:left w:val="none" w:sz="0" w:space="0" w:color="auto"/>
        <w:bottom w:val="none" w:sz="0" w:space="0" w:color="auto"/>
        <w:right w:val="none" w:sz="0" w:space="0" w:color="auto"/>
      </w:divBdr>
    </w:div>
    <w:div w:id="1485782757">
      <w:bodyDiv w:val="1"/>
      <w:marLeft w:val="0"/>
      <w:marRight w:val="0"/>
      <w:marTop w:val="0"/>
      <w:marBottom w:val="0"/>
      <w:divBdr>
        <w:top w:val="none" w:sz="0" w:space="0" w:color="auto"/>
        <w:left w:val="none" w:sz="0" w:space="0" w:color="auto"/>
        <w:bottom w:val="none" w:sz="0" w:space="0" w:color="auto"/>
        <w:right w:val="none" w:sz="0" w:space="0" w:color="auto"/>
      </w:divBdr>
    </w:div>
    <w:div w:id="17264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lasova\AppData\Local\Temp\PR_BUD_Fun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E987-3115-4FEB-9FBE-B5927322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PR_BUD_Funds.dot</Template>
  <TotalTime>1</TotalTime>
  <Pages>10</Pages>
  <Words>1763</Words>
  <Characters>10033</Characters>
  <Application>Microsoft Office Word</Application>
  <DocSecurity>0</DocSecurity>
  <Lines>286</Lines>
  <Paragraphs>132</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VLASOVA Marketa</dc:creator>
  <cp:keywords/>
  <dc:description/>
  <cp:lastModifiedBy>BELUHOVA Veneta</cp:lastModifiedBy>
  <cp:revision>2</cp:revision>
  <cp:lastPrinted>2004-12-08T14:27:00Z</cp:lastPrinted>
  <dcterms:created xsi:type="dcterms:W3CDTF">2016-10-03T07:59:00Z</dcterms:created>
  <dcterms:modified xsi:type="dcterms:W3CDTF">2016-10-03T07:59:00Z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8.8.0 Build [20160701]</vt:lpwstr>
  </property>
  <property fmtid="{D5CDD505-2E9C-101B-9397-08002B2CF9AE}" pid="3" name="LastEdited with">
    <vt:lpwstr>8.5.0 Build [20151002]</vt:lpwstr>
  </property>
  <property fmtid="{D5CDD505-2E9C-101B-9397-08002B2CF9AE}" pid="4" name="&lt;FdR&gt;">
    <vt:lpwstr>1105437</vt:lpwstr>
  </property>
  <property fmtid="{D5CDD505-2E9C-101B-9397-08002B2CF9AE}" pid="5" name="&lt;Type&gt;">
    <vt:lpwstr>RR</vt:lpwstr>
  </property>
  <property fmtid="{D5CDD505-2E9C-101B-9397-08002B2CF9AE}" pid="6" name="&lt;ModelCod&gt;">
    <vt:lpwstr>\\eiciBRUpr1\pdocep$\DocEP\DOCS\General\PR\PR_BUD\BUD\PR_BUD_Funds.dot(22/03/2016 08:30:42)</vt:lpwstr>
  </property>
  <property fmtid="{D5CDD505-2E9C-101B-9397-08002B2CF9AE}" pid="7" name="&lt;ModelTra&gt;">
    <vt:lpwstr>\\eiciBRUpr1\pdocep$\DocEP\TRANSFIL\EN\PR_BUD_Funds.EN(22/03/2016 08:28:49)</vt:lpwstr>
  </property>
  <property fmtid="{D5CDD505-2E9C-101B-9397-08002B2CF9AE}" pid="8" name="&lt;Model&gt;">
    <vt:lpwstr>PR_BUD_Funds</vt:lpwstr>
  </property>
  <property fmtid="{D5CDD505-2E9C-101B-9397-08002B2CF9AE}" pid="9" name="FooterPath">
    <vt:lpwstr>RR\1105437BG.docx</vt:lpwstr>
  </property>
  <property fmtid="{D5CDD505-2E9C-101B-9397-08002B2CF9AE}" pid="10" name="PE Number">
    <vt:lpwstr>589.207</vt:lpwstr>
  </property>
  <property fmtid="{D5CDD505-2E9C-101B-9397-08002B2CF9AE}" pid="11" name="SendToEpades">
    <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BG</vt:lpwstr>
  </property>
  <property fmtid="{D5CDD505-2E9C-101B-9397-08002B2CF9AE}" pid="15" name="Bookout">
    <vt:lpwstr>OK - 2016/10/3 09:58</vt:lpwstr>
  </property>
</Properties>
</file>