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Interstitial1"/>
      </w:pP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19/10/2016</w:t>
      </w:r>
      <w:r>
        <w:rPr>
          <w:rStyle w:val="HideTWBInt"/>
        </w:rPr>
        <w:t>}</w:t>
      </w:r>
      <w:r>
        <w:t>19.10.2016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A8-0283</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Gilles Lebreton</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A8-0283/2016</w:t>
      </w:r>
    </w:p>
    <w:p>
      <w:pPr>
        <w:pStyle w:val="NormalBold"/>
      </w:pPr>
      <w:r>
        <w:rPr>
          <w:rStyle w:val="HideTWBExt"/>
        </w:rPr>
        <w:t>&lt;</w:t>
      </w:r>
      <w:r>
        <w:rPr>
          <w:rStyle w:val="HideTWBExt"/>
        </w:rPr>
        <w:t>Rapporteur</w:t>
      </w:r>
      <w:r>
        <w:rPr>
          <w:rStyle w:val="HideTWBExt"/>
        </w:rPr>
        <w:t>&gt;</w:t>
      </w:r>
      <w:r>
        <w:t>Sophia in 't Veld</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EU mechanism on democracy, the rule of law and fundamental rights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2015/2254(INL)</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rPr>
                <w:rFonts w:ascii="Times New Roman" w:eastAsia="Times New Roman" w:hAnsi="Times New Roman" w:cs="Times New Roman"/>
                <w:b/>
                <w:i/>
                <w:strike w:val="0"/>
                <w:color w:val="000000"/>
                <w:sz w:val="24"/>
                <w:highlight w:val="none"/>
                <w:u w:val="none" w:color="auto"/>
              </w:rPr>
              <w:t>Recommends, until a possible Treaty change,</w:t>
            </w:r>
            <w:r>
              <w:t xml:space="preserve"> the establishment of a </w:t>
            </w:r>
            <w:r>
              <w:rPr>
                <w:rFonts w:ascii="Times New Roman" w:eastAsia="Times New Roman" w:hAnsi="Times New Roman" w:cs="Times New Roman"/>
                <w:b/>
                <w:i/>
                <w:strike w:val="0"/>
                <w:color w:val="000000"/>
                <w:sz w:val="24"/>
                <w:highlight w:val="none"/>
                <w:u w:val="none" w:color="auto"/>
              </w:rPr>
              <w:t>comprehensive</w:t>
            </w:r>
            <w:r>
              <w:t xml:space="preserve"> Union mechanism </w:t>
            </w:r>
            <w:r>
              <w:rPr>
                <w:rFonts w:ascii="Times New Roman" w:eastAsia="Times New Roman" w:hAnsi="Times New Roman" w:cs="Times New Roman"/>
                <w:b/>
                <w:i/>
                <w:strike w:val="0"/>
                <w:color w:val="000000"/>
                <w:sz w:val="24"/>
                <w:highlight w:val="none"/>
                <w:u w:val="none" w:color="auto"/>
              </w:rPr>
              <w:t>for</w:t>
            </w:r>
            <w:r>
              <w:t xml:space="preserve"> democracy, the rule of law and fundamental rights </w:t>
            </w:r>
            <w:r>
              <w:rPr>
                <w:rFonts w:ascii="Times New Roman" w:eastAsia="Times New Roman" w:hAnsi="Times New Roman" w:cs="Times New Roman"/>
                <w:b/>
                <w:i/>
                <w:strike w:val="0"/>
                <w:color w:val="000000"/>
                <w:sz w:val="24"/>
                <w:highlight w:val="none"/>
                <w:u w:val="none" w:color="auto"/>
              </w:rPr>
              <w:t>which would include all relevant stakeholders and therefore requests that the Commission submit, by September 2017, on the basis of Article 295 TFEU, a proposal for the conclusion of a Union Pact for</w:t>
            </w:r>
            <w:r>
              <w:t xml:space="preserve"> democracy, the rule of law and fundamental rights </w:t>
            </w:r>
            <w:r>
              <w:rPr>
                <w:rFonts w:ascii="Times New Roman" w:eastAsia="Times New Roman" w:hAnsi="Times New Roman" w:cs="Times New Roman"/>
                <w:b/>
                <w:i/>
                <w:strike w:val="0"/>
                <w:color w:val="000000"/>
                <w:sz w:val="24"/>
                <w:highlight w:val="none"/>
                <w:u w:val="none" w:color="auto"/>
              </w:rPr>
              <w:t>(EU Pact for DRF) in the form of an interinstitutional agreement laying down arrangements facilitating the cooperation between</w:t>
            </w:r>
            <w:r>
              <w:t xml:space="preserve"> the Union </w:t>
            </w:r>
            <w:r>
              <w:rPr>
                <w:rFonts w:ascii="Times New Roman" w:eastAsia="Times New Roman" w:hAnsi="Times New Roman" w:cs="Times New Roman"/>
                <w:b/>
                <w:i/>
                <w:strike w:val="0"/>
                <w:color w:val="000000"/>
                <w:sz w:val="24"/>
                <w:highlight w:val="none"/>
                <w:u w:val="none" w:color="auto"/>
              </w:rPr>
              <w:t>institutions and the Member States in the framework of Article 7 TEU, integrating, aligning and complementing existing mechanisms, following the detailed recommendations set out in the Annex and including the option of joining the EU Pact for DRF for all Union institutions and bodies that wish to do so</w:t>
            </w:r>
            <w:r>
              <w:t>.</w:t>
            </w:r>
          </w:p>
        </w:tc>
        <w:tc>
          <w:tcPr/>
          <w:p>
            <w:pPr>
              <w:pStyle w:val="Normal6"/>
            </w:pPr>
            <w:r>
              <w:t>1.</w:t>
            </w:r>
            <w:r>
              <w:tab/>
            </w:r>
            <w:r>
              <w:rPr>
                <w:rFonts w:ascii="Times New Roman" w:eastAsia="Times New Roman" w:hAnsi="Times New Roman" w:cs="Times New Roman"/>
                <w:b/>
                <w:i/>
                <w:strike w:val="0"/>
                <w:color w:val="000000"/>
                <w:sz w:val="24"/>
                <w:highlight w:val="none"/>
                <w:u w:val="none" w:color="auto"/>
              </w:rPr>
              <w:t>Rejects</w:t>
            </w:r>
            <w:r>
              <w:t xml:space="preserve"> the establishment of a </w:t>
            </w:r>
            <w:r>
              <w:rPr>
                <w:rFonts w:ascii="Times New Roman" w:eastAsia="Times New Roman" w:hAnsi="Times New Roman" w:cs="Times New Roman"/>
                <w:b/>
                <w:i/>
                <w:strike w:val="0"/>
                <w:color w:val="000000"/>
                <w:sz w:val="24"/>
                <w:highlight w:val="none"/>
                <w:u w:val="none" w:color="auto"/>
              </w:rPr>
              <w:t>so-called</w:t>
            </w:r>
            <w:r>
              <w:t xml:space="preserve"> Union mechanism </w:t>
            </w:r>
            <w:r>
              <w:rPr>
                <w:rFonts w:ascii="Times New Roman" w:eastAsia="Times New Roman" w:hAnsi="Times New Roman" w:cs="Times New Roman"/>
                <w:b/>
                <w:i/>
                <w:strike w:val="0"/>
                <w:color w:val="000000"/>
                <w:sz w:val="24"/>
                <w:highlight w:val="none"/>
                <w:u w:val="none" w:color="auto"/>
              </w:rPr>
              <w:t>on</w:t>
            </w:r>
            <w:r>
              <w:t xml:space="preserve"> democracy, the rule of law and fundamental rights</w:t>
            </w:r>
            <w:r>
              <w:rPr>
                <w:rFonts w:ascii="Times New Roman" w:eastAsia="Times New Roman" w:hAnsi="Times New Roman" w:cs="Times New Roman"/>
                <w:b/>
                <w:i/>
                <w:strike w:val="0"/>
                <w:color w:val="000000"/>
                <w:sz w:val="24"/>
                <w:highlight w:val="none"/>
                <w:u w:val="none" w:color="auto"/>
              </w:rPr>
              <w:t>; notes that provisions on</w:t>
            </w:r>
            <w:r>
              <w:t xml:space="preserve"> democracy, the rule of law and fundamental rights </w:t>
            </w:r>
            <w:r>
              <w:rPr>
                <w:rFonts w:ascii="Times New Roman" w:eastAsia="Times New Roman" w:hAnsi="Times New Roman" w:cs="Times New Roman"/>
                <w:b/>
                <w:i/>
                <w:strike w:val="0"/>
                <w:color w:val="000000"/>
                <w:sz w:val="24"/>
                <w:highlight w:val="none"/>
                <w:u w:val="none" w:color="auto"/>
              </w:rPr>
              <w:t>already exist in Member States' constitutions; urges</w:t>
            </w:r>
            <w:r>
              <w:t xml:space="preserve"> the Union </w:t>
            </w:r>
            <w:r>
              <w:rPr>
                <w:rFonts w:ascii="Times New Roman" w:eastAsia="Times New Roman" w:hAnsi="Times New Roman" w:cs="Times New Roman"/>
                <w:b/>
                <w:i/>
                <w:strike w:val="0"/>
                <w:color w:val="000000"/>
                <w:sz w:val="24"/>
                <w:highlight w:val="none"/>
                <w:u w:val="none" w:color="auto"/>
              </w:rPr>
              <w:t>to respect fully the principle of subsidiarity and Member States' sovereignty and right to self-determination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4"/>
      <w:footerReference w:type="default" r:id="rId5"/>
      <w:footerReference w:type="first" r:id="rId6"/>
      <w:type w:val="nextPage"/>
      <w:pgSz w:w="11909" w:h="16834"/>
      <w:pgMar w:top="1134" w:right="1417" w:bottom="1417" w:left="1417" w:header="1134"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AM\P8_AMA(2016)0283(001-001)EN.docx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589.721</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AM\P8_AMA(2016)0283(001-001)EN.docx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589.721</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AM\P8_AMA(2016)0283(001-001)EN.docx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589.721</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6"/>
        <w:tab w:val="right" w:pos="9072"/>
      </w:tabs>
      <w:spacing w:before="240" w:after="240"/>
    </w:pPr>
    <w:rPr>
      <w:sz w:val="22"/>
      <w:szCs w:val="24"/>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pPr>
      <w:tabs>
        <w:tab w:val="center" w:pos="4535"/>
        <w:tab w:val="right" w:pos="9072"/>
        <w:tab w:val="right" w:pos="9923"/>
      </w:tabs>
      <w:spacing w:before="0" w:after="0"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Rc">
    <w:name w:val="FooterRc"/>
    <w:basedOn w:val="Normal"/>
    <w:link w:val="FooterRcChar"/>
    <w:qFormat/>
    <w:rsid w:val="001B2A8C"/>
    <w:pPr>
      <w:tabs>
        <w:tab w:val="left" w:pos="6237"/>
      </w:tabs>
    </w:pPr>
    <w:rPr>
      <w:sz w:val="22"/>
      <w:szCs w:val="24"/>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szCs w:val="24"/>
    </w:rPr>
  </w:style>
  <w:style w:type="paragraph" w:styleId="Header">
    <w:name w:val="header"/>
    <w:basedOn w:val="Normal"/>
    <w:link w:val="HeaderChar"/>
    <w:rsid w:val="00173229"/>
    <w:pPr>
      <w:tabs>
        <w:tab w:val="center" w:pos="4513"/>
        <w:tab w:val="right" w:pos="9026"/>
      </w:tabs>
    </w:pPr>
    <w:rPr>
      <w:sz w:val="24"/>
      <w:szCs w:val="24"/>
    </w:r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rPr>
      <w:sz w:val="24"/>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spacing w:before="0" w:after="0"/>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sz w:val="24"/>
      <w:szCs w:val="24"/>
    </w:rPr>
  </w:style>
  <w:style w:type="paragraph" w:customStyle="1" w:styleId="Normal12Italic">
    <w:name w:val="Normal12Italic"/>
    <w:pPr>
      <w:tabs>
        <w:tab w:val="right" w:pos="9072"/>
      </w:tabs>
      <w:spacing w:before="0" w:after="0"/>
      <w:ind w:right="-284"/>
    </w:pPr>
    <w:rPr>
      <w:i/>
      <w:color w:val="000000"/>
      <w:sz w:val="22"/>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szCs w:val="24"/>
    </w:rPr>
  </w:style>
  <w:style w:type="paragraph" w:customStyle="1" w:styleId="PERight">
    <w:name w:val="PERight"/>
    <w:basedOn w:val="Normal"/>
    <w:next w:val="Normal"/>
    <w:pPr>
      <w:spacing w:line="220" w:lineRule="auto"/>
      <w:jc w:val="right"/>
    </w:pPr>
    <w:rPr>
      <w:rFonts w:ascii="Arial" w:eastAsia="Arial" w:hAnsi="Arial" w:cs="Arial"/>
      <w:color w:val="000000"/>
      <w:sz w:val="22"/>
      <w:szCs w:val="24"/>
    </w:rPr>
  </w:style>
  <w:style w:type="paragraph" w:customStyle="1" w:styleId="ProjRap">
    <w:name w:val="ProjRap"/>
    <w:basedOn w:val="Normal"/>
    <w:rsid w:val="00011EA7"/>
    <w:pPr>
      <w:widowControl w:val="0"/>
      <w:tabs>
        <w:tab w:val="right" w:pos="9072"/>
      </w:tabs>
      <w:ind w:right="-284"/>
    </w:pPr>
    <w:rPr>
      <w:b/>
      <w:snapToGrid w:val="0"/>
      <w:sz w:val="24"/>
      <w:szCs w:val="20"/>
      <w:lang w:val="fr-FR"/>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
  </property>
  <property fmtid="{D5CDD505-2E9C-101B-9397-08002B2CF9AE}" pid="4" name="&lt;FooterPath&gt;">
    <vt:lpwstr>AM\P8_AMA(2016)0283(001-001)EN.doc</vt:lpwstr>
  </property>
  <property fmtid="{D5CDD505-2E9C-101B-9397-08002B2CF9AE}" pid="5" name="&lt;Model&gt;">
    <vt:lpwstr>AM_Ple_NonLegReport</vt:lpwstr>
  </property>
  <property fmtid="{D5CDD505-2E9C-101B-9397-08002B2CF9AE}" pid="6" name="&lt;Type&gt;">
    <vt:lpwstr>AM</vt:lpwstr>
  </property>
  <property fmtid="{D5CDD505-2E9C-101B-9397-08002B2CF9AE}" pid="7" name="DMXMLUID">
    <vt:lpwstr>20161019-152900-018377-559169</vt:lpwstr>
  </property>
  <property fmtid="{D5CDD505-2E9C-101B-9397-08002B2CF9AE}" pid="8" name="PE Number">
    <vt:lpwstr>589.721</vt:lpwstr>
  </property>
  <property fmtid="{D5CDD505-2E9C-101B-9397-08002B2CF9AE}" pid="9" name="UID">
    <vt:lpwstr>eu.europa.europarl-DIN1-2016-0000074492_01.00-en-01.00_text-xml</vt:lpwstr>
  </property>
</Properties>
</file>