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49" w:rsidRDefault="008B0A49" w:rsidP="008B0A49">
      <w:pPr>
        <w:tabs>
          <w:tab w:val="right" w:pos="9184"/>
        </w:tabs>
      </w:pPr>
    </w:p>
    <w:p w:rsidR="008B0A49" w:rsidRDefault="008B0A49" w:rsidP="008B0A49">
      <w:pPr>
        <w:tabs>
          <w:tab w:val="right" w:pos="9184"/>
        </w:tabs>
      </w:pPr>
    </w:p>
    <w:p w:rsidR="008B0A49" w:rsidRDefault="008B0A49" w:rsidP="008B0A49">
      <w:pPr>
        <w:tabs>
          <w:tab w:val="right" w:pos="9184"/>
        </w:tabs>
      </w:pPr>
    </w:p>
    <w:p w:rsidR="008B0A49" w:rsidRDefault="008B0A49" w:rsidP="008B0A49">
      <w:pPr>
        <w:tabs>
          <w:tab w:val="right" w:pos="9184"/>
        </w:tabs>
      </w:pPr>
    </w:p>
    <w:p w:rsidR="008B0A49" w:rsidRDefault="008B0A49" w:rsidP="008B0A49">
      <w:pPr>
        <w:tabs>
          <w:tab w:val="right" w:pos="9184"/>
        </w:tabs>
      </w:pPr>
      <w:r w:rsidRPr="008B0A49">
        <w:rPr>
          <w:rStyle w:val="HideTWBExt"/>
        </w:rPr>
        <w:t>&lt;Date&gt;</w:t>
      </w:r>
      <w:r>
        <w:t>23.2.2017</w:t>
      </w:r>
      <w:r w:rsidRPr="008B0A49">
        <w:rPr>
          <w:rStyle w:val="HideTWBExt"/>
        </w:rPr>
        <w:t>&lt;/Date&gt;</w:t>
      </w:r>
      <w:r>
        <w:tab/>
        <w:t xml:space="preserve">A8-0305/ </w:t>
      </w:r>
      <w:r w:rsidRPr="008B0A49">
        <w:rPr>
          <w:rStyle w:val="HideTWBExt"/>
        </w:rPr>
        <w:t>&lt;NumOfAM&gt;</w:t>
      </w:r>
      <w:r>
        <w:t>001-050</w:t>
      </w:r>
      <w:bookmarkStart w:id="0" w:name="_GoBack"/>
      <w:bookmarkEnd w:id="0"/>
      <w:r w:rsidRPr="008B0A49">
        <w:rPr>
          <w:rStyle w:val="HideTWBExt"/>
        </w:rPr>
        <w:t>&lt;/NumOfAM&gt;</w:t>
      </w:r>
    </w:p>
    <w:p w:rsidR="008B0A49" w:rsidRDefault="008B0A49" w:rsidP="008B0A49">
      <w:pPr>
        <w:tabs>
          <w:tab w:val="right" w:pos="9184"/>
        </w:tabs>
      </w:pPr>
    </w:p>
    <w:p w:rsidR="008B0A49" w:rsidRDefault="008B0A49" w:rsidP="008B0A49">
      <w:pPr>
        <w:tabs>
          <w:tab w:val="right" w:pos="9184"/>
        </w:tabs>
      </w:pPr>
    </w:p>
    <w:p w:rsidR="008B0A49" w:rsidRDefault="008B0A49" w:rsidP="008B0A49">
      <w:pPr>
        <w:tabs>
          <w:tab w:val="right" w:pos="9184"/>
        </w:tabs>
      </w:pPr>
      <w:r>
        <w:rPr>
          <w:b/>
        </w:rPr>
        <w:t xml:space="preserve">ΤΡΟΠΟΛΟΓΙΕΣ 001-050 </w:t>
      </w:r>
    </w:p>
    <w:p w:rsidR="008B0A49" w:rsidRDefault="008B0A49" w:rsidP="008B0A49">
      <w:pPr>
        <w:tabs>
          <w:tab w:val="right" w:pos="9184"/>
        </w:tabs>
      </w:pPr>
      <w:r>
        <w:t xml:space="preserve">κατάθεση: </w:t>
      </w:r>
      <w:r w:rsidRPr="008B0A49">
        <w:rPr>
          <w:rStyle w:val="HideTWBExt"/>
        </w:rPr>
        <w:t>&lt;Committee&gt;</w:t>
      </w:r>
      <w:r>
        <w:t>Επιτροπή Βιομηχανίας, Έρευνας και Ενέργειας</w:t>
      </w:r>
      <w:r w:rsidRPr="008B0A49">
        <w:rPr>
          <w:rStyle w:val="HideTWBExt"/>
        </w:rPr>
        <w:t>&lt;/Committee&gt;</w:t>
      </w:r>
    </w:p>
    <w:p w:rsidR="008B0A49" w:rsidRDefault="008B0A49" w:rsidP="008B0A49">
      <w:pPr>
        <w:tabs>
          <w:tab w:val="right" w:pos="9184"/>
        </w:tabs>
      </w:pPr>
    </w:p>
    <w:p w:rsidR="008B0A49" w:rsidRDefault="008B0A49" w:rsidP="008B0A49">
      <w:pPr>
        <w:tabs>
          <w:tab w:val="right" w:pos="9184"/>
        </w:tabs>
        <w:rPr>
          <w:b/>
        </w:rPr>
      </w:pPr>
      <w:r>
        <w:rPr>
          <w:b/>
        </w:rPr>
        <w:t>Έκθεση</w:t>
      </w:r>
    </w:p>
    <w:p w:rsidR="008B0A49" w:rsidRDefault="008B0A49" w:rsidP="008B0A49">
      <w:pPr>
        <w:tabs>
          <w:tab w:val="right" w:pos="9184"/>
        </w:tabs>
        <w:rPr>
          <w:b/>
        </w:rPr>
      </w:pPr>
      <w:r w:rsidRPr="008B0A49">
        <w:rPr>
          <w:rStyle w:val="HideTWBExt"/>
        </w:rPr>
        <w:t>&lt;Chairman&gt;</w:t>
      </w:r>
      <w:r>
        <w:rPr>
          <w:b/>
        </w:rPr>
        <w:t>Zdzisław Krasnodębski</w:t>
      </w:r>
      <w:r w:rsidRPr="008B0A49">
        <w:rPr>
          <w:rStyle w:val="HideTWBExt"/>
        </w:rPr>
        <w:t>&lt;/Chairman&gt;</w:t>
      </w:r>
      <w:r>
        <w:rPr>
          <w:b/>
        </w:rPr>
        <w:tab/>
      </w:r>
      <w:r w:rsidRPr="008B0A49">
        <w:rPr>
          <w:rStyle w:val="HideTWBExt"/>
        </w:rPr>
        <w:t>&lt;A5Nr&gt;</w:t>
      </w:r>
      <w:r>
        <w:rPr>
          <w:b/>
        </w:rPr>
        <w:t>A8-0305/2016</w:t>
      </w:r>
      <w:r w:rsidRPr="008B0A49">
        <w:rPr>
          <w:rStyle w:val="HideTWBExt"/>
        </w:rPr>
        <w:t>&lt;/A5Nr&gt;</w:t>
      </w:r>
    </w:p>
    <w:p w:rsidR="008B0A49" w:rsidRDefault="008B0A49" w:rsidP="008B0A49">
      <w:pPr>
        <w:tabs>
          <w:tab w:val="right" w:pos="9184"/>
        </w:tabs>
      </w:pPr>
      <w:r w:rsidRPr="008B0A49">
        <w:rPr>
          <w:rStyle w:val="HideTWBExt"/>
        </w:rPr>
        <w:t>&lt;ShortTitel&gt;</w:t>
      </w:r>
      <w:r>
        <w:t>Μηχανισμός ανταλλαγής πληροφοριών όσον αφορά τις διακυβερνητικές συμφωνίες και τις μη δεσμευτικές πράξεις στον τομέα της ενέργειας</w:t>
      </w:r>
      <w:r w:rsidRPr="008B0A49">
        <w:rPr>
          <w:rStyle w:val="HideTWBExt"/>
        </w:rPr>
        <w:t>&lt;/ShortTitel&gt;</w:t>
      </w:r>
    </w:p>
    <w:p w:rsidR="008B0A49" w:rsidRDefault="008B0A49" w:rsidP="008B0A49">
      <w:pPr>
        <w:tabs>
          <w:tab w:val="right" w:pos="9184"/>
        </w:tabs>
      </w:pPr>
    </w:p>
    <w:p w:rsidR="008B0A49" w:rsidRDefault="008B0A49" w:rsidP="008B0A49">
      <w:pPr>
        <w:tabs>
          <w:tab w:val="right" w:pos="9184"/>
        </w:tabs>
      </w:pPr>
      <w:r w:rsidRPr="008B0A49">
        <w:rPr>
          <w:rStyle w:val="HideTWBExt"/>
        </w:rPr>
        <w:t>&lt;Procedure&gt;</w:t>
      </w:r>
      <w:r>
        <w:t>Πρόταση απόφασης</w:t>
      </w:r>
      <w:r w:rsidRPr="008B0A49">
        <w:rPr>
          <w:rStyle w:val="HideTWBExt"/>
        </w:rPr>
        <w:t>&lt;/Procedure&gt;</w:t>
      </w:r>
      <w:r>
        <w:t xml:space="preserve"> </w:t>
      </w:r>
      <w:r w:rsidRPr="008B0A49">
        <w:rPr>
          <w:rStyle w:val="HideTWBExt"/>
        </w:rPr>
        <w:t>&lt;ReferenceNo&gt;</w:t>
      </w:r>
      <w:r>
        <w:t>(COM(2016)0053 – C8-0034/2016 – 2016/0031(COD))</w:t>
      </w:r>
      <w:r w:rsidRPr="008B0A49">
        <w:rPr>
          <w:rStyle w:val="HideTWBExt"/>
        </w:rPr>
        <w:t>&lt;/ReferenceNo&gt;</w:t>
      </w:r>
    </w:p>
    <w:p w:rsidR="008B0A49" w:rsidRDefault="008B0A49" w:rsidP="008B0A49">
      <w:pPr>
        <w:tabs>
          <w:tab w:val="right" w:pos="9184"/>
        </w:tabs>
      </w:pPr>
    </w:p>
    <w:p w:rsidR="008B0A49" w:rsidRDefault="008B0A49" w:rsidP="008B0A49">
      <w:pPr>
        <w:tabs>
          <w:tab w:val="right" w:pos="9184"/>
        </w:tabs>
      </w:pPr>
    </w:p>
    <w:p w:rsidR="008B0A49" w:rsidRDefault="008B0A49" w:rsidP="008B0A49">
      <w:pPr>
        <w:tabs>
          <w:tab w:val="right" w:pos="9184"/>
        </w:tabs>
      </w:pPr>
    </w:p>
    <w:p w:rsidR="008B0A49" w:rsidRDefault="008B0A49" w:rsidP="008B0A49">
      <w:pPr>
        <w:tabs>
          <w:tab w:val="right" w:pos="9184"/>
        </w:tabs>
        <w:jc w:val="center"/>
      </w:pPr>
      <w:r>
        <w:t>_____________________________________________________________</w:t>
      </w:r>
    </w:p>
    <w:p w:rsidR="008B0A49" w:rsidRDefault="008B0A49" w:rsidP="008B0A49">
      <w:pPr>
        <w:tabs>
          <w:tab w:val="right" w:pos="9184"/>
        </w:tabs>
        <w:jc w:val="center"/>
      </w:pPr>
    </w:p>
    <w:p w:rsidR="00A96F97" w:rsidRPr="008B0A49" w:rsidRDefault="00A96F97" w:rsidP="008B0A49">
      <w:pPr>
        <w:pStyle w:val="AMNumberTabs"/>
      </w:pPr>
      <w:r w:rsidRPr="008B0A49">
        <w:t>Τροπολογία</w:t>
      </w:r>
      <w:r w:rsidRPr="008B0A49">
        <w:tab/>
      </w:r>
      <w:r w:rsidRPr="008B0A49">
        <w:tab/>
        <w:t>1</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Αιτιολογική σκέψη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w:t>
            </w:r>
            <w:r w:rsidRPr="008B0A49">
              <w:tab/>
              <w:t>Η εύρυθμη λειτουργία της εσωτερικής αγοράς ενέργειας προϋποθέτει ότι η ενέργεια που εισάγεται στην Ένωση διέπεται πλήρως από τους κανόνες για τη δημιουργία της εσωτερικής αγοράς ενέργειας. Εάν η εσωτερική αγορά ενέργειας δεν λειτουργεί σωστά, η Ένωση έρχεται σε δύσκολη και μειονεκτική θέση όσον αφορά την ασφάλεια του ενεργειακού εφοδιασμού της και υπονομεύονται οιαδήποτε δυνητικά οφέλη θα πρόσφερε στους ευρωπαίους καταναλωτές και την ευρωπαϊκή βιομηχανία.</w:t>
            </w:r>
          </w:p>
        </w:tc>
        <w:tc>
          <w:tcPr>
            <w:tcW w:w="4876" w:type="dxa"/>
            <w:hideMark/>
          </w:tcPr>
          <w:p w:rsidR="00A96F97" w:rsidRPr="008B0A49" w:rsidRDefault="00A96F97" w:rsidP="00864F31">
            <w:pPr>
              <w:spacing w:after="120"/>
              <w:rPr>
                <w:szCs w:val="24"/>
              </w:rPr>
            </w:pPr>
            <w:r w:rsidRPr="008B0A49">
              <w:t>(1)</w:t>
            </w:r>
            <w:r w:rsidRPr="008B0A49">
              <w:tab/>
              <w:t xml:space="preserve">Η εύρυθμη λειτουργία της εσωτερικής αγοράς ενέργειας προϋποθέτει ότι η ενέργεια που εισάγεται στην Ένωση διέπεται πλήρως από τους κανόνες για τη δημιουργία της εσωτερικής αγοράς ενέργειας. </w:t>
            </w:r>
            <w:r w:rsidRPr="008B0A49">
              <w:rPr>
                <w:b/>
                <w:i/>
              </w:rPr>
              <w:t>Η διαφάνεια και η συμμόρφωση με την νομοθεσία της Ένωσης αποτελούν σημαντικό στοιχείο για την εξασφάλιση της ενεργειακής σταθερότητας της ΕΕ.</w:t>
            </w:r>
            <w:r w:rsidRPr="008B0A49">
              <w:t xml:space="preserve"> Εάν η εσωτερική αγορά ενέργειας δεν λειτουργεί σωστά, η Ένωση έρχεται σε δύσκολη και μειονεκτική θέση όσον αφορά την ασφάλεια του ενεργειακού εφοδιασμού της και υπονομεύονται οιαδήποτε δυνητικά οφέλη θα πρόσφερε στους ευρωπαίους καταναλωτές και την ευρωπαϊκή βιομηχανία.</w:t>
            </w:r>
          </w:p>
        </w:tc>
      </w:tr>
    </w:tbl>
    <w:p w:rsidR="00A96F97" w:rsidRPr="008B0A49" w:rsidRDefault="00A96F97" w:rsidP="00A96F97"/>
    <w:p w:rsidR="00A96F97" w:rsidRPr="008B0A49" w:rsidRDefault="00A96F97" w:rsidP="0083325D">
      <w:pPr>
        <w:pStyle w:val="AMNumberTabs"/>
        <w:keepNext/>
      </w:pPr>
      <w:r w:rsidRPr="008B0A49">
        <w:lastRenderedPageBreak/>
        <w:t>Τροπολογία</w:t>
      </w:r>
      <w:r w:rsidRPr="008B0A49">
        <w:tab/>
      </w:r>
      <w:r w:rsidRPr="008B0A49">
        <w:tab/>
        <w:t>2</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Αιτιολογική σκέψη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(1α)</w:t>
            </w:r>
            <w:r w:rsidRPr="008B0A49">
              <w:tab/>
            </w:r>
            <w:r w:rsidRPr="008B0A49">
              <w:rPr>
                <w:b/>
                <w:i/>
              </w:rPr>
              <w:t>Προκειμένου να διασφαλιστεί ο ενεργειακός εφοδιασμός της Ένωσης, είναι αναγκαίο να διαφοροποιηθούν οι πηγές ενέργειας και να δημιουργηθούν νέες ενεργειακές διασυνδέσεις μεταξύ των κρατών μελών. Ταυτόχρονα, έχει σημασία να αυξηθεί η συνεργασία όσον αφορά την ενεργειακή ασφάλεια με τις γειτονικές χώρες της Ένωσης, με τους στρατηγικούς εταίρους, καθώς και μεταξύ των θεσμικών οργάνων της Ένωσης.</w:t>
            </w:r>
          </w:p>
        </w:tc>
      </w:tr>
    </w:tbl>
    <w:p w:rsidR="00A96F97" w:rsidRPr="008B0A49" w:rsidRDefault="00A96F97" w:rsidP="00A96F97"/>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3</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keepNext/>
        <w:rPr>
          <w:b/>
        </w:rPr>
      </w:pPr>
      <w:r w:rsidRPr="008B0A49">
        <w:rPr>
          <w:b/>
        </w:rPr>
        <w:t>Αιτιολογική σκέψη 2</w:t>
      </w:r>
    </w:p>
    <w:p w:rsidR="00A96F97" w:rsidRPr="008B0A49" w:rsidRDefault="00A96F97" w:rsidP="00A96F97"/>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(2)</w:t>
            </w:r>
            <w:r w:rsidRPr="008B0A49">
              <w:tab/>
              <w:t>Σκοπός της στρατηγικής για την Ενεργειακή Ένωση, που εκδόθηκε από την Επιτροπή στις 25 Φεβρουαρίου 2015</w:t>
            </w:r>
            <w:r w:rsidRPr="008B0A49">
              <w:rPr>
                <w:vertAlign w:val="superscript"/>
              </w:rPr>
              <w:t>3</w:t>
            </w:r>
            <w:r w:rsidRPr="008B0A49">
              <w:t>, είναι η παροχή ενέργειας στους καταναλωτές με ασφαλή, βιώσιμο, ανταγωνιστικό και οικονομικά προσιτό τρόπο. Πιο συγκεκριμένα, η στρατηγική για την Ενεργειακή Ένωση τονίζει ότι η πλήρης συμμόρφωση με το δίκαιο της Ένωσης όλων των συμφωνιών που αφορούν την αγορά ενέργειας από τρίτες χώρες αποτελεί σημαντικό στοιχείο για την παροχή ενεργειακής ασφάλειας, βάσει της ανάλυσης που έχει ήδη διενεργηθεί στο πλαίσιο της ευρωπαϊκής στρατηγικής για την ενεργειακή ασφάλεια του Μαΐου του 2014</w:t>
            </w:r>
            <w:r w:rsidRPr="008B0A49">
              <w:rPr>
                <w:vertAlign w:val="superscript"/>
              </w:rPr>
              <w:t>4</w:t>
            </w:r>
            <w:r w:rsidRPr="008B0A49">
              <w:t xml:space="preserve">. Στο ίδιο πνεύμα, το Ευρωπαϊκό Συμβούλιο, στα συμπεράσματά του της 19ης Μαρτίου 2015, έκανε έκκληση για πλήρη συμμόρφωση με τη νομοθεσία της </w:t>
            </w:r>
            <w:r w:rsidRPr="008B0A49">
              <w:lastRenderedPageBreak/>
              <w:t xml:space="preserve">ΕΕ όλων των συμφωνιών που αφορούν την αγορά αερίου από εξωτερικούς προμηθευτές, ενισχύοντας ιδίως τη διαφάνεια των εν λόγω συμφωνιών και τη συμβατότητά τους με τους κανόνες της ΕΕ για την ενεργειακή ασφάλεια. </w:t>
            </w:r>
          </w:p>
        </w:tc>
        <w:tc>
          <w:tcPr>
            <w:tcW w:w="4876" w:type="dxa"/>
            <w:hideMark/>
          </w:tcPr>
          <w:p w:rsidR="00A96F97" w:rsidRPr="008B0A49" w:rsidRDefault="00A96F97" w:rsidP="00864F31">
            <w:pPr>
              <w:spacing w:after="120"/>
              <w:rPr>
                <w:szCs w:val="24"/>
              </w:rPr>
            </w:pPr>
            <w:r w:rsidRPr="008B0A49">
              <w:lastRenderedPageBreak/>
              <w:t>(2)</w:t>
            </w:r>
            <w:r w:rsidRPr="008B0A49">
              <w:tab/>
              <w:t>Σκοπός της στρατηγικής για την Ενεργειακή Ένωση, που εκδόθηκε από την Επιτροπή στις 25 Φεβρουαρίου 2015</w:t>
            </w:r>
            <w:r w:rsidRPr="008B0A49">
              <w:rPr>
                <w:vertAlign w:val="superscript"/>
              </w:rPr>
              <w:t>3</w:t>
            </w:r>
            <w:r w:rsidRPr="008B0A49">
              <w:t xml:space="preserve">, είναι η παροχή ενέργειας στους καταναλωτές με ασφαλή, βιώσιμο, ανταγωνιστικό και οικονομικά προσιτό τρόπο. </w:t>
            </w:r>
            <w:r w:rsidRPr="008B0A49">
              <w:rPr>
                <w:b/>
                <w:i/>
              </w:rPr>
              <w:t>Ο σκοπός αυτός μπορεί να επιτευχθεί όταν οι πολιτικές στους τομείς της ενέργειας, του εμπορίου και των εξωτερικών υποθέσεων εφαρμόζονται με συνεκτικότητα και συνέπεια.</w:t>
            </w:r>
            <w:r w:rsidRPr="008B0A49">
              <w:t xml:space="preserve"> Πιο συγκεκριμένα, η στρατηγική για την Ενεργειακή Ένωση τονίζει ότι η πλήρης συμμόρφωση με το δίκαιο της Ένωσης όλων των συμφωνιών που αφορούν την αγορά ενέργειας από τρίτες χώρες αποτελεί σημαντικό στοιχείο για την παροχή ενεργειακής ασφάλειας, βάσει της ανάλυσης που έχει ήδη διενεργηθεί στο πλαίσιο της ευρωπαϊκής στρατηγικής για </w:t>
            </w:r>
            <w:r w:rsidRPr="008B0A49">
              <w:lastRenderedPageBreak/>
              <w:t>την ενεργειακή ασφάλεια του Μαΐου του 2014</w:t>
            </w:r>
            <w:r w:rsidRPr="008B0A49">
              <w:rPr>
                <w:vertAlign w:val="superscript"/>
              </w:rPr>
              <w:t>4</w:t>
            </w:r>
            <w:r w:rsidRPr="008B0A49">
              <w:t xml:space="preserve">. Στο ίδιο πνεύμα, το Ευρωπαϊκό Συμβούλιο, στα συμπεράσματά του της 19ης Μαρτίου 2015, έκανε έκκληση για πλήρη συμμόρφωση με τη νομοθεσία της ΕΕ όλων των συμφωνιών που αφορούν την αγορά αερίου από εξωτερικούς προμηθευτές, ενισχύοντας ιδίως τη διαφάνεια των εν λόγω συμφωνιών και τη συμβατότητά τους με τους κανόνες της ΕΕ για την ενεργειακή ασφάλεια. </w:t>
            </w:r>
            <w:r w:rsidRPr="008B0A49">
              <w:rPr>
                <w:b/>
                <w:i/>
              </w:rPr>
              <w:t>Η Επιτροπή θα πρέπει ως εκ τούτου να καταβάλει προσπάθειες, σε τομείς που εμπίπτουν στην αρμοδιότητά της και υπό την προϋπόθεση ότι τηρούνται οι αρχές της επικουρικότητας και της αναλογικότητας, για να εξασφαλίσει ότι οι προμηθευτές φυσικού αερίου που κατέχουν δεσπόζουσα θέση σε μια περιοχή δεν καταχρώνται τη θέση τους κατά παράβαση των περί ανταγωνισμού κανόνων της Ένωσης, ιδίως όσον αφορά τη χρέωση μη δίκαιων τιμών στα κράτη μέλη καθώς και τη χρήση της διακοπής του εφοδιασμού για σκοπούς οικονομικού και πολιτικού εκβιασμού.</w:t>
            </w:r>
          </w:p>
        </w:tc>
      </w:tr>
      <w:tr w:rsidR="00A96F97" w:rsidRPr="008B0A49" w:rsidTr="00864F31">
        <w:trPr>
          <w:jc w:val="center"/>
        </w:trPr>
        <w:tc>
          <w:tcPr>
            <w:tcW w:w="4876" w:type="dxa"/>
            <w:hideMark/>
          </w:tcPr>
          <w:p w:rsidR="00A96F97" w:rsidRPr="008B0A49" w:rsidRDefault="00A96F97" w:rsidP="00864F31">
            <w:pPr>
              <w:spacing w:after="120"/>
              <w:rPr>
                <w:vertAlign w:val="superscript"/>
              </w:rPr>
            </w:pPr>
            <w:r w:rsidRPr="008B0A49">
              <w:rPr>
                <w:vertAlign w:val="superscript"/>
              </w:rPr>
              <w:lastRenderedPageBreak/>
              <w:t>____________________</w:t>
            </w:r>
          </w:p>
        </w:tc>
        <w:tc>
          <w:tcPr>
            <w:tcW w:w="4876" w:type="dxa"/>
            <w:hideMark/>
          </w:tcPr>
          <w:p w:rsidR="00A96F97" w:rsidRPr="008B0A49" w:rsidRDefault="00A96F97" w:rsidP="00864F31">
            <w:pPr>
              <w:spacing w:after="120"/>
              <w:rPr>
                <w:vertAlign w:val="superscript"/>
              </w:rPr>
            </w:pPr>
            <w:r w:rsidRPr="008B0A49">
              <w:rPr>
                <w:vertAlign w:val="superscript"/>
              </w:rPr>
              <w:t>____________________</w:t>
            </w:r>
          </w:p>
        </w:tc>
      </w:tr>
      <w:tr w:rsidR="00A96F97" w:rsidRPr="008B0A49" w:rsidTr="00864F31">
        <w:trPr>
          <w:jc w:val="center"/>
        </w:trPr>
        <w:tc>
          <w:tcPr>
            <w:tcW w:w="4876" w:type="dxa"/>
            <w:hideMark/>
          </w:tcPr>
          <w:p w:rsidR="00A96F97" w:rsidRPr="008B0A49" w:rsidRDefault="00A96F97" w:rsidP="00864F31">
            <w:pPr>
              <w:spacing w:after="120"/>
              <w:rPr>
                <w:vertAlign w:val="superscript"/>
              </w:rPr>
            </w:pPr>
            <w:r w:rsidRPr="008B0A49">
              <w:rPr>
                <w:vertAlign w:val="superscript"/>
              </w:rPr>
              <w:t>3</w:t>
            </w:r>
            <w:r w:rsidRPr="008B0A49">
              <w:t xml:space="preserve"> COM(2015)80.</w:t>
            </w:r>
          </w:p>
        </w:tc>
        <w:tc>
          <w:tcPr>
            <w:tcW w:w="4876" w:type="dxa"/>
            <w:hideMark/>
          </w:tcPr>
          <w:p w:rsidR="00A96F97" w:rsidRPr="008B0A49" w:rsidRDefault="00A96F97" w:rsidP="00864F31">
            <w:pPr>
              <w:spacing w:after="120"/>
              <w:rPr>
                <w:vertAlign w:val="superscript"/>
              </w:rPr>
            </w:pPr>
            <w:r w:rsidRPr="008B0A49">
              <w:rPr>
                <w:vertAlign w:val="superscript"/>
              </w:rPr>
              <w:t>3</w:t>
            </w:r>
            <w:r w:rsidRPr="008B0A49">
              <w:t xml:space="preserve"> COM(2015)0080.</w:t>
            </w:r>
          </w:p>
        </w:tc>
      </w:tr>
      <w:tr w:rsidR="00A96F97" w:rsidRPr="008B0A49" w:rsidTr="00864F31">
        <w:trPr>
          <w:jc w:val="center"/>
        </w:trPr>
        <w:tc>
          <w:tcPr>
            <w:tcW w:w="4876" w:type="dxa"/>
            <w:hideMark/>
          </w:tcPr>
          <w:p w:rsidR="00A96F97" w:rsidRPr="008B0A49" w:rsidRDefault="00A96F97" w:rsidP="00864F31">
            <w:pPr>
              <w:spacing w:after="120"/>
              <w:rPr>
                <w:vertAlign w:val="superscript"/>
              </w:rPr>
            </w:pPr>
            <w:r w:rsidRPr="008B0A49">
              <w:rPr>
                <w:vertAlign w:val="superscript"/>
              </w:rPr>
              <w:t>4</w:t>
            </w:r>
            <w:r w:rsidRPr="008B0A49">
              <w:t xml:space="preserve"> COM (2014)330.</w:t>
            </w:r>
          </w:p>
        </w:tc>
        <w:tc>
          <w:tcPr>
            <w:tcW w:w="4876" w:type="dxa"/>
            <w:hideMark/>
          </w:tcPr>
          <w:p w:rsidR="00A96F97" w:rsidRPr="008B0A49" w:rsidRDefault="00A96F97" w:rsidP="00864F31">
            <w:pPr>
              <w:spacing w:after="120"/>
              <w:rPr>
                <w:vertAlign w:val="superscript"/>
              </w:rPr>
            </w:pPr>
            <w:r w:rsidRPr="008B0A49">
              <w:rPr>
                <w:vertAlign w:val="superscript"/>
              </w:rPr>
              <w:t>4</w:t>
            </w:r>
            <w:r w:rsidRPr="008B0A49">
              <w:t xml:space="preserve"> COM (2014)0330.</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4</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keepNext/>
        <w:rPr>
          <w:b/>
        </w:rPr>
      </w:pPr>
      <w:r w:rsidRPr="008B0A49">
        <w:rPr>
          <w:b/>
        </w:rPr>
        <w:t>Αιτιολογική σκέψη 2 α (νέα)</w:t>
      </w:r>
    </w:p>
    <w:p w:rsidR="00A96F97" w:rsidRPr="008B0A49" w:rsidRDefault="00A96F97" w:rsidP="00A96F97"/>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(2α)</w:t>
            </w:r>
            <w:r w:rsidRPr="008B0A49">
              <w:tab/>
            </w:r>
            <w:r w:rsidRPr="008B0A49">
              <w:rPr>
                <w:b/>
                <w:i/>
              </w:rPr>
              <w:t>Το Ευρωπαϊκό Κοινοβούλιο, στο ψήφισμά του της 15ης Δεκεμβρίου 2015 με τίτλο «Η πορεία προς μια Ευρωπαϊκή Ενεργειακή Ένωση»</w:t>
            </w:r>
            <w:r w:rsidRPr="008B0A49">
              <w:rPr>
                <w:b/>
                <w:i/>
                <w:vertAlign w:val="superscript"/>
              </w:rPr>
              <w:t>1α</w:t>
            </w:r>
            <w:r w:rsidRPr="008B0A49">
              <w:rPr>
                <w:b/>
                <w:i/>
              </w:rPr>
              <w:t>, τόνισε την ανάγκη να ενισχυθεί η συνοχή της εξωτερικής ενεργειακής ασφάλειας της Ένωσης και να αυξηθεί η διαφάνεια των συμφωνιών που αφορούν ενεργειακά θέματα.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b/>
                <w:i/>
              </w:rPr>
            </w:pPr>
            <w:r w:rsidRPr="008B0A49">
              <w:rPr>
                <w:b/>
                <w:i/>
              </w:rPr>
              <w:t>______________</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b/>
                <w:i/>
              </w:rPr>
            </w:pPr>
            <w:r w:rsidRPr="008B0A49">
              <w:rPr>
                <w:b/>
                <w:i/>
                <w:vertAlign w:val="superscript"/>
              </w:rPr>
              <w:t>1α</w:t>
            </w:r>
            <w:r w:rsidRPr="008B0A49">
              <w:tab/>
            </w:r>
            <w:r w:rsidRPr="008B0A49">
              <w:rPr>
                <w:b/>
                <w:i/>
              </w:rPr>
              <w:t>Κείμενα που εγκρίθηκαν P8_TA(2015)0444.</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5</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keepNext/>
        <w:rPr>
          <w:b/>
        </w:rPr>
      </w:pPr>
      <w:r w:rsidRPr="008B0A49">
        <w:rPr>
          <w:b/>
        </w:rPr>
        <w:t>Αιτιολογική σκέψη 4 α (νέα)</w:t>
      </w:r>
    </w:p>
    <w:p w:rsidR="00A96F97" w:rsidRPr="008B0A49" w:rsidRDefault="00A96F97" w:rsidP="00A96F97"/>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b/>
                <w:bCs/>
                <w:i/>
                <w:iCs/>
                <w:szCs w:val="24"/>
              </w:rPr>
            </w:pPr>
            <w:r w:rsidRPr="008B0A49">
              <w:rPr>
                <w:b/>
                <w:i/>
              </w:rPr>
              <w:t>(4α)</w:t>
            </w:r>
            <w:r w:rsidRPr="008B0A49">
              <w:tab/>
            </w:r>
            <w:r w:rsidRPr="008B0A49">
              <w:rPr>
                <w:b/>
                <w:i/>
              </w:rPr>
              <w:t>Ο υψηλός βαθμός διαφάνειας όσον αφορά τις συμφωνίες μεταξύ κρατών μελών και τρίτων χωρών στον τομέα της ενέργειας παρέχει στην Ένωση τη δυνατότητα να αναλαμβάνει συντονισμένη δράση, με πνεύμα αλληλεγγύης, προκειμένου να εξασφαλίζεται ότι οι εν λόγω συμφωνίες τηρούν το δίκαιο της Ένωσης και διασφαλίζουν πράγματι τον ενεργειακό εφοδιασμό. Από τη διαφάνεια αυτή θα πρέπει επίσης να διευκολυνθεί τόσο η επίτευξη στενότερης συνεργασίας εντός της Ένωσης στον τομέα των εξωτερικών σχέσεων όσον αφορά την ενέργεια, όσο και η επίτευξη των μακροπρόθεσμων πολιτικών στόχων της Ένωσης όσον αφορά την ενέργεια, το κλίμα και την ασφάλεια του ενεργειακού εφοδιασμού.</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6</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(5)</w:t>
            </w:r>
            <w:r w:rsidRPr="008B0A49">
              <w:tab/>
              <w:t xml:space="preserve">Προκειμένου να αποφευχθεί οποιαδήποτε μη συμμόρφωση με το δίκαιο της Ένωσης και να ενισχυθεί η διαφάνεια, τα κράτη μέλη θα πρέπει να ενημερώνουν την Επιτροπή σχετικά με την πρόθεσή τους να αρχίσουν διαπραγματεύσεις για νέες διακυβερνητικές συμφωνίες ή τροποποιήσεις υφιστάμενων </w:t>
            </w:r>
            <w:r w:rsidRPr="008B0A49">
              <w:lastRenderedPageBreak/>
              <w:t>διακυβερνητικών συμφωνιών το συντομότερο δυνατόν. Η Επιτροπή θα πρέπει να ενημερώνεται τακτικά για την πρόοδο των διαπραγματεύσεων. Τα κράτη μέλη θα πρέπει να έχουν τη δυνατότητα να καλούν την Επιτροπή να συμμετέχει στις διαπραγματεύσεις ως παρατηρητής.</w:t>
            </w:r>
          </w:p>
        </w:tc>
        <w:tc>
          <w:tcPr>
            <w:tcW w:w="4876" w:type="dxa"/>
            <w:hideMark/>
          </w:tcPr>
          <w:p w:rsidR="00A96F97" w:rsidRPr="008B0A49" w:rsidRDefault="00A96F97" w:rsidP="00864F31">
            <w:pPr>
              <w:spacing w:after="120"/>
              <w:rPr>
                <w:szCs w:val="24"/>
              </w:rPr>
            </w:pPr>
            <w:r w:rsidRPr="008B0A49">
              <w:lastRenderedPageBreak/>
              <w:t>(5)</w:t>
            </w:r>
            <w:r w:rsidRPr="008B0A49">
              <w:tab/>
              <w:t xml:space="preserve">Προκειμένου να αποφευχθεί οποιαδήποτε μη συμμόρφωση με το δίκαιο της Ένωσης </w:t>
            </w:r>
            <w:r w:rsidRPr="008B0A49">
              <w:rPr>
                <w:b/>
                <w:i/>
              </w:rPr>
              <w:t>και με τις διατάξεις που διέπουν την ενεργειακή ασφάλεια της Ένωσης,</w:t>
            </w:r>
            <w:r w:rsidRPr="008B0A49">
              <w:t xml:space="preserve"> και να ενισχυθεί η διαφάνεια, τα κράτη μέλη θα πρέπει να ενημερώνουν την Επιτροπή σχετικά με την πρόθεσή τους να αρχίσουν διαπραγματεύσεις για νέες </w:t>
            </w:r>
            <w:r w:rsidRPr="008B0A49">
              <w:lastRenderedPageBreak/>
              <w:t xml:space="preserve">διακυβερνητικές συμφωνίες ή τροποποιήσεις υφιστάμενων διακυβερνητικών συμφωνιών το συντομότερο δυνατόν. Η Επιτροπή θα πρέπει να ενημερώνεται τακτικά </w:t>
            </w:r>
            <w:r w:rsidRPr="008B0A49">
              <w:rPr>
                <w:b/>
                <w:i/>
              </w:rPr>
              <w:t>και ικανοποιητικά</w:t>
            </w:r>
            <w:r w:rsidRPr="008B0A49">
              <w:t xml:space="preserve"> για την πρόοδο των διαπραγματεύσεων. </w:t>
            </w:r>
            <w:r w:rsidRPr="008B0A49">
              <w:rPr>
                <w:b/>
                <w:i/>
              </w:rPr>
              <w:t>Η Επιτροπή θα πρέπει να συμμετέχει στις διαπραγματεύσεις ως παρατηρητής, εφόσον το κρίνει αναγκαίο υπό το φως της λειτουργίας της εσωτερικής αγοράς ενέργειας ή της ασφάλειας του ενεργειακού εφοδιασμού στην Ένωση.</w:t>
            </w:r>
            <w:r w:rsidRPr="008B0A49">
              <w:t xml:space="preserve"> Τα κράτη μέλη θα πρέπει</w:t>
            </w:r>
            <w:r w:rsidRPr="008B0A49">
              <w:rPr>
                <w:b/>
                <w:i/>
              </w:rPr>
              <w:t>, σε κάθε περίπτωση,</w:t>
            </w:r>
            <w:r w:rsidRPr="008B0A49">
              <w:t xml:space="preserve"> να έχουν τη δυνατότητα να καλούν την Επιτροπή να συμμετέχει στις διαπραγματεύσεις ως παρατηρητής.</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7</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(6)</w:t>
            </w:r>
            <w:r w:rsidRPr="008B0A49">
              <w:tab/>
              <w:t xml:space="preserve">Κατά τη διάρκεια των διαπραγματεύσεων, η Επιτροπή θα πρέπει </w:t>
            </w:r>
            <w:r w:rsidRPr="008B0A49">
              <w:rPr>
                <w:b/>
                <w:i/>
              </w:rPr>
              <w:t>να έχει τη δυνατότητα να παρέχει συμβουλές σχετικά με το πώς να αποφευχθεί η ασυμβατότητα</w:t>
            </w:r>
            <w:r w:rsidRPr="008B0A49">
              <w:t xml:space="preserve"> με το δίκαιο της Ένωσης. Ειδικότερα, η Επιτροπή θα </w:t>
            </w:r>
            <w:r w:rsidRPr="008B0A49">
              <w:rPr>
                <w:b/>
                <w:i/>
              </w:rPr>
              <w:t>μπορούσε</w:t>
            </w:r>
            <w:r w:rsidRPr="008B0A49">
              <w:t xml:space="preserve"> να εκπονήσει, από κοινού με τα κράτη μέλη, προαιρετικά πρότυπα ρητρών ή κατευθυντήριες γραμμές. Η Επιτροπή θα πρέπει να έχει τη δυνατότητα να επισύρει την προσοχή στους στόχους της ενεργειακής πολιτικής της Ένωσης, στην αρχή της αλληλεγγύης μεταξύ των κρατών μελών και στις θέσεις πολιτικής της Ένωσης που εγκρίνονται στο Συμβούλιο ή στα συμπεράσματα του Ευρωπαϊκού Συμβουλίου.</w:t>
            </w:r>
          </w:p>
        </w:tc>
        <w:tc>
          <w:tcPr>
            <w:tcW w:w="4876" w:type="dxa"/>
            <w:hideMark/>
          </w:tcPr>
          <w:p w:rsidR="00A96F97" w:rsidRPr="008B0A49" w:rsidRDefault="00A96F97" w:rsidP="00864F31">
            <w:pPr>
              <w:spacing w:after="120"/>
              <w:rPr>
                <w:szCs w:val="24"/>
              </w:rPr>
            </w:pPr>
            <w:r w:rsidRPr="008B0A49">
              <w:t>(6)</w:t>
            </w:r>
            <w:r w:rsidRPr="008B0A49">
              <w:tab/>
              <w:t xml:space="preserve">Κατά τη διάρκεια των διαπραγματεύσεων </w:t>
            </w:r>
            <w:r w:rsidRPr="008B0A49">
              <w:rPr>
                <w:b/>
                <w:i/>
              </w:rPr>
              <w:t>για τη σύναψη διακυβερνητικής συμφωνίας</w:t>
            </w:r>
            <w:r w:rsidRPr="008B0A49">
              <w:t xml:space="preserve">, η Επιτροπή θα πρέπει </w:t>
            </w:r>
            <w:r w:rsidRPr="008B0A49">
              <w:rPr>
                <w:b/>
                <w:i/>
              </w:rPr>
              <w:t>να παρέχει συμβουλές στα ενδιαφερόμενα κράτη μέλη</w:t>
            </w:r>
            <w:r w:rsidRPr="008B0A49">
              <w:t xml:space="preserve"> σχετικά με το πώς </w:t>
            </w:r>
            <w:r w:rsidRPr="008B0A49">
              <w:rPr>
                <w:b/>
                <w:i/>
              </w:rPr>
              <w:t>θα εξασφαλιστεί η συμμόρφωση</w:t>
            </w:r>
            <w:r w:rsidRPr="008B0A49">
              <w:t xml:space="preserve"> με το δίκαιο της Ένωσης. Ειδικότερα, η Επιτροπή θα </w:t>
            </w:r>
            <w:r w:rsidRPr="008B0A49">
              <w:rPr>
                <w:b/>
                <w:i/>
              </w:rPr>
              <w:t>πρέπει</w:t>
            </w:r>
            <w:r w:rsidRPr="008B0A49">
              <w:t xml:space="preserve"> να εκπονήσει, από κοινού με τα κράτη μέλη, προαιρετικά πρότυπα ρητρών ή κατευθυντήριες γραμμές </w:t>
            </w:r>
            <w:r w:rsidRPr="008B0A49">
              <w:rPr>
                <w:b/>
                <w:i/>
              </w:rPr>
              <w:t>και παραδείγματα σχεδίων ρητρών που θα πρέπει, κατ’ αρχήν, να αποφεύγονται</w:t>
            </w:r>
            <w:r w:rsidRPr="008B0A49">
              <w:t xml:space="preserve">. </w:t>
            </w:r>
            <w:r w:rsidRPr="008B0A49">
              <w:rPr>
                <w:b/>
                <w:i/>
              </w:rPr>
              <w:t>Αυτά τα πρότυπα ρητρών ή οι κατευθυντήριες γραμμές θα πρέπει να χρησιμεύουν ως εργαλείο αναφοράς για τις αρμόδιες αρχές και να ενισχύουν τη διαφάνεια και τη συμμόρφωση με το δίκαιο της Ένωσης</w:t>
            </w:r>
            <w:r w:rsidRPr="008B0A49">
              <w:t xml:space="preserve">. H Επιτροπή θα πρέπει να έχει τη δυνατότητα να επισύρει την προσοχή </w:t>
            </w:r>
            <w:r w:rsidRPr="008B0A49">
              <w:rPr>
                <w:b/>
                <w:i/>
              </w:rPr>
              <w:t>του ενδιαφερόμενου κράτους μέλους</w:t>
            </w:r>
            <w:r w:rsidRPr="008B0A49">
              <w:t xml:space="preserve"> στους </w:t>
            </w:r>
            <w:r w:rsidRPr="008B0A49">
              <w:rPr>
                <w:b/>
                <w:i/>
              </w:rPr>
              <w:t>συναφείς</w:t>
            </w:r>
            <w:r w:rsidRPr="008B0A49">
              <w:t xml:space="preserve"> στόχους της ενεργειακής πολιτικής της Ένωσης και στην αρχή της αλληλεγγύης μεταξύ των </w:t>
            </w:r>
            <w:r w:rsidRPr="008B0A49">
              <w:lastRenderedPageBreak/>
              <w:t>κρατών μελών και στις θέσεις πολιτικής της Ένωσης που εγκρίνονται στο Συμβούλιο ή στα συμπεράσματα του Ευρωπαϊκού Συμβουλίου.</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8</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(7)</w:t>
            </w:r>
            <w:r w:rsidRPr="008B0A49">
              <w:tab/>
              <w:t xml:space="preserve">Προκειμένου να εξασφαλιστεί η συμμόρφωση με το δίκαιο της Ένωσης, τα κράτη μέλη θα πρέπει να κοινοποιούν το σχέδιο διακυβερνητικής συμφωνίας στην Επιτροπή προτού αυτή καταστεί νομικά δεσμευτική για τα συμβαλλόμενα μέρη (εκ των προτέρων). Σε πνεύμα συνεργασίας, η Επιτροπή θα πρέπει να στηρίζει τα κράτη μέλη για τον προσδιορισμό των προβλημάτων συμμόρφωσης του σχεδίου της διακυβερνητικής συμφωνίας ή της τροποποίησης. Αυτό θα προετοίμαζε καλύτερα το οικείο κράτος μέλος για τη σύναψη μιας συμφωνίας που θα συμμορφωνόταν με το δίκαιο της Ένωσης. Η Επιτροπή θα πρέπει να έχει επαρκή χρόνο για την αξιολόγηση αυτή, ώστε να παράσχει τη μεγαλύτερη δυνατή ασφάλεια δικαίου, αποφεύγοντας ταυτόχρονα αδικαιολόγητες καθυστερήσεις. Προκειμένου να επωφελούνται πλήρως από τη στήριξη της Επιτροπής, τα κράτη μέλη θα πρέπει να απέχουν από τη σύναψη διακυβερνητικών συμφωνιών έως ότου ενημερωθούν από την Επιτροπή για την αξιολόγησή της. </w:t>
            </w:r>
            <w:r w:rsidRPr="008B0A49">
              <w:rPr>
                <w:b/>
                <w:i/>
              </w:rPr>
              <w:t>Τα κράτη μέλη θα πρέπει να λαμβάνουν όλα τα αναγκαία μέτρα με σκοπό την εξεύρεση</w:t>
            </w:r>
            <w:r w:rsidRPr="008B0A49">
              <w:t xml:space="preserve"> κατάλληλης λύσης για την εξάλειψη της εντοπισθείσας ασυμβατότητας.</w:t>
            </w:r>
          </w:p>
        </w:tc>
        <w:tc>
          <w:tcPr>
            <w:tcW w:w="4876" w:type="dxa"/>
            <w:hideMark/>
          </w:tcPr>
          <w:p w:rsidR="00A96F97" w:rsidRPr="008B0A49" w:rsidRDefault="00A96F97" w:rsidP="00864F31">
            <w:pPr>
              <w:spacing w:after="120"/>
              <w:rPr>
                <w:szCs w:val="24"/>
              </w:rPr>
            </w:pPr>
            <w:r w:rsidRPr="008B0A49">
              <w:t>(7)</w:t>
            </w:r>
            <w:r w:rsidRPr="008B0A49">
              <w:tab/>
              <w:t xml:space="preserve">Προκειμένου να εξασφαλιστεί η συμμόρφωση με το δίκαιο της Ένωσης </w:t>
            </w:r>
            <w:r w:rsidRPr="008B0A49">
              <w:rPr>
                <w:b/>
                <w:i/>
              </w:rPr>
              <w:t>και να τηρηθούν οι στόχοι της στρατηγικής για την Ενεργειακή Ένωση</w:t>
            </w:r>
            <w:r w:rsidRPr="008B0A49">
              <w:t xml:space="preserve">, τα κράτη μέλη θα πρέπει να κοινοποιούν το σχέδιο διακυβερνητικής συμφωνίας στην Επιτροπή </w:t>
            </w:r>
            <w:r w:rsidRPr="008B0A49">
              <w:rPr>
                <w:b/>
                <w:i/>
              </w:rPr>
              <w:t>όσο το δυνατόν νωρίτερα</w:t>
            </w:r>
            <w:r w:rsidRPr="008B0A49">
              <w:t xml:space="preserve"> προτού αυτή καταστεί νομικά δεσμευτική για τα συμβαλλόμενα μέρη (εκ των προτέρων). Σε πνεύμα συνεργασίας, η Επιτροπή θα πρέπει να στηρίζει τα κράτη μέλη για τον προσδιορισμό </w:t>
            </w:r>
            <w:r w:rsidRPr="008B0A49">
              <w:rPr>
                <w:b/>
                <w:i/>
              </w:rPr>
              <w:t>πιθανών</w:t>
            </w:r>
            <w:r w:rsidRPr="008B0A49">
              <w:t xml:space="preserve"> προβλημάτων συμμόρφωσης του σχεδίου της διακυβερνητικής συμφωνίας ή της τροποποίησης. Αυτό θα προετοίμαζε καλύτερα το οικείο κράτος μέλος για τη σύναψη μιας συμφωνίας που θα συμμορφωνόταν με το δίκαιο της Ένωσης. Η Επιτροπή θα πρέπει να έχει επαρκή χρόνο για την αξιολόγηση αυτή, ώστε να παράσχει τη μεγαλύτερη δυνατή ασφάλεια δικαίου, αποφεύγοντας ταυτόχρονα αδικαιολόγητες καθυστερήσεις. </w:t>
            </w:r>
            <w:r w:rsidRPr="008B0A49">
              <w:rPr>
                <w:b/>
                <w:i/>
              </w:rPr>
              <w:t xml:space="preserve">Η Επιτροπή θα πρέπει να εξετάσει το ενδεχόμενο συντόμευσης των προθεσμιών που προβλέπονται για την αξιολόγησή της, ιδίως εάν το ζητήσει ένα κράτος μέλος. </w:t>
            </w:r>
            <w:r w:rsidRPr="008B0A49">
              <w:t xml:space="preserve">Προκειμένου να επωφελούνται πλήρως από τη στήριξη της Επιτροπής, τα κράτη μέλη θα πρέπει να απέχουν από τη σύναψη διακυβερνητικών συμφωνιών έως ότου ενημερωθούν από την Επιτροπή για την αξιολόγησή της. </w:t>
            </w:r>
            <w:r w:rsidRPr="008B0A49">
              <w:rPr>
                <w:b/>
                <w:i/>
              </w:rPr>
              <w:t xml:space="preserve">Η αξιολόγηση αυτή δεν θα πρέπει να προδικάζει την ουσία ή το περιεχόμενο των διακυβερνητικών συμφωνιών, αλλά θα πρέπει να </w:t>
            </w:r>
            <w:r w:rsidRPr="008B0A49">
              <w:rPr>
                <w:b/>
                <w:i/>
              </w:rPr>
              <w:lastRenderedPageBreak/>
              <w:t>εξασφαλίζει τη συμμόρφωσή τους με το δίκαιο της Ένωσης. Σε περίπτωση ασυμβατότητας, τα κράτη μέλη</w:t>
            </w:r>
            <w:r w:rsidRPr="008B0A49">
              <w:t xml:space="preserve"> θα πρέπει να </w:t>
            </w:r>
            <w:r w:rsidRPr="008B0A49">
              <w:rPr>
                <w:b/>
                <w:i/>
              </w:rPr>
              <w:t>βρίσκουν</w:t>
            </w:r>
            <w:r w:rsidRPr="008B0A49">
              <w:t xml:space="preserve"> κατάλληλη λύση για την εξάλειψη της εντοπισθείσας ασυμβατότητας.</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9</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Αιτιολογική σκέψη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(8)</w:t>
            </w:r>
            <w:r w:rsidRPr="008B0A49">
              <w:tab/>
              <w:t>Υπό το πρίσμα της στρατηγικής για την Ενεργειακή Ένωση, η διαφάνεια όσον αφορά παρελθούσες και μελλοντικές διακυβερνητικές συμφωνίες εξακολουθεί να έχει εξέχουσα σημασία. Συνεπώς, τα κράτη μέλη θα πρέπει να συνεχίσουν να κοινοποιούν στην Επιτροπή τις υφιστάμενες και μελλοντικές διακυβερνητικές συμφωνίες που έχουν θέσει σε ισχύ ή οι οποίες εφαρμόζονται προσωρινά κατά την έννοια του άρθρου 25 της σύμβασης της Βιέννης περί του δικαίου των συνθηκών, καθώς και τις νέες διακυβερνητικές συμφωνίες.</w:t>
            </w:r>
          </w:p>
        </w:tc>
        <w:tc>
          <w:tcPr>
            <w:tcW w:w="4876" w:type="dxa"/>
            <w:hideMark/>
          </w:tcPr>
          <w:p w:rsidR="00A96F97" w:rsidRPr="008B0A49" w:rsidRDefault="00A96F97" w:rsidP="00864F31">
            <w:pPr>
              <w:spacing w:after="120"/>
              <w:rPr>
                <w:szCs w:val="24"/>
              </w:rPr>
            </w:pPr>
            <w:r w:rsidRPr="008B0A49">
              <w:t>(8)</w:t>
            </w:r>
            <w:r w:rsidRPr="008B0A49">
              <w:tab/>
              <w:t xml:space="preserve">Υπό το πρίσμα της στρατηγικής για την Ενεργειακή Ένωση, η διαφάνεια όσον αφορά παρελθούσες και μελλοντικές διακυβερνητικές συμφωνίες εξακολουθεί να έχει εξέχουσα σημασία </w:t>
            </w:r>
            <w:r w:rsidRPr="008B0A49">
              <w:rPr>
                <w:b/>
                <w:i/>
              </w:rPr>
              <w:t>και αποτελεί σημαντικό στοιχείο για την εξασφάλιση της ενεργειακής σταθερότητας της Ένωσης.</w:t>
            </w:r>
            <w:r w:rsidRPr="008B0A49">
              <w:t xml:space="preserve"> Συνεπώς, τα κράτη μέλη θα πρέπει να συνεχίσουν να κοινοποιούν στην Επιτροπή τις υφιστάμενες και μελλοντικές διακυβερνητικές συμφωνίες που έχουν θέσει σε ισχύ ή οι οποίες εφαρμόζονται προσωρινά κατά την έννοια του άρθρου 25 της σύμβασης της Βιέννης περί του δικαίου των συνθηκών, καθώς και τις νέες διακυβερνητικές συμφωνίες.</w:t>
            </w:r>
          </w:p>
        </w:tc>
      </w:tr>
    </w:tbl>
    <w:p w:rsidR="00A96F97" w:rsidRPr="008B0A49" w:rsidRDefault="00A96F97" w:rsidP="00A96F97">
      <w:pPr>
        <w:rPr>
          <w:szCs w:val="24"/>
        </w:rPr>
      </w:pPr>
    </w:p>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10</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(9)</w:t>
            </w:r>
            <w:r w:rsidRPr="008B0A49">
              <w:tab/>
              <w:t xml:space="preserve">Η Επιτροπή θα πρέπει να αξιολογεί τη συμβατότητα </w:t>
            </w:r>
            <w:r w:rsidRPr="008B0A49">
              <w:rPr>
                <w:b/>
                <w:i/>
              </w:rPr>
              <w:t>με το δίκαιο της Ένωσης</w:t>
            </w:r>
            <w:r w:rsidRPr="008B0A49">
              <w:t xml:space="preserve"> των διακυβερνητικών συμφωνιών που έχουν τεθεί σε ισχύ ή εφαρμόζονται προσωρινά πριν από την έναρξη ισχύος της παρούσας απόφασης και να ενημερώνει σχετικά τα κράτη μέλη. Σε περίπτωση ασυμβατότητας, τα κράτη μέλη θα πρέπει </w:t>
            </w:r>
            <w:r w:rsidRPr="008B0A49">
              <w:lastRenderedPageBreak/>
              <w:t xml:space="preserve">να </w:t>
            </w:r>
            <w:r w:rsidRPr="008B0A49">
              <w:rPr>
                <w:b/>
                <w:i/>
              </w:rPr>
              <w:t>λαμβάνουν όλα τα αναγκαία μέτρα με σκοπό την εξεύρεση</w:t>
            </w:r>
            <w:r w:rsidRPr="008B0A49">
              <w:t xml:space="preserve"> κατάλληλης λύσης για την εξάλειψη της εντοπισθείσας ασυμβατότητας.</w:t>
            </w:r>
          </w:p>
        </w:tc>
        <w:tc>
          <w:tcPr>
            <w:tcW w:w="4876" w:type="dxa"/>
            <w:hideMark/>
          </w:tcPr>
          <w:p w:rsidR="00A96F97" w:rsidRPr="008B0A49" w:rsidRDefault="00A96F97" w:rsidP="00864F31">
            <w:pPr>
              <w:spacing w:after="120"/>
              <w:rPr>
                <w:szCs w:val="24"/>
              </w:rPr>
            </w:pPr>
            <w:r w:rsidRPr="008B0A49">
              <w:lastRenderedPageBreak/>
              <w:t>(9)</w:t>
            </w:r>
            <w:r w:rsidRPr="008B0A49">
              <w:tab/>
              <w:t xml:space="preserve">Η Επιτροπή θα πρέπει να αξιολογεί τη συμβατότητα των διακυβερνητικών συμφωνιών </w:t>
            </w:r>
            <w:r w:rsidRPr="008B0A49">
              <w:rPr>
                <w:b/>
                <w:i/>
              </w:rPr>
              <w:t>με το δίκαιο της Ένωσης</w:t>
            </w:r>
            <w:r w:rsidRPr="008B0A49">
              <w:t xml:space="preserve"> που έχουν τεθεί σε ισχύ ή εφαρμόζονται προσωρινά πριν από την έναρξη ισχύος της παρούσας απόφασης και να ενημερώνει σχετικά τα κράτη μέλη. </w:t>
            </w:r>
            <w:r w:rsidRPr="008B0A49">
              <w:rPr>
                <w:b/>
                <w:i/>
              </w:rPr>
              <w:t xml:space="preserve">Η αξιολόγηση αυτή δεν θα πρέπει σε καμία περίπτωση </w:t>
            </w:r>
            <w:r w:rsidRPr="008B0A49">
              <w:rPr>
                <w:b/>
                <w:i/>
              </w:rPr>
              <w:lastRenderedPageBreak/>
              <w:t xml:space="preserve">να προδικάζει την ουσία ή το περιεχόμενο των συμφωνιών, αλλά θα πρέπει να εξασφαλίζει τη συμμόρφωσή τους με το δίκαιο της Ένωσης. </w:t>
            </w:r>
            <w:r w:rsidRPr="008B0A49">
              <w:t xml:space="preserve">Σε περίπτωση ασυμβατότητας, τα κράτη μέλη θα πρέπει να </w:t>
            </w:r>
            <w:r w:rsidRPr="008B0A49">
              <w:rPr>
                <w:b/>
                <w:i/>
              </w:rPr>
              <w:t>βρίσκουν</w:t>
            </w:r>
            <w:r w:rsidRPr="008B0A49">
              <w:t xml:space="preserve"> κατάλληλη λύση για την εξάλειψη της εντοπισθείσας ασυμβατότητας.</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11</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rPr>
                <w:szCs w:val="24"/>
              </w:rPr>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r w:rsidRPr="008B0A49">
              <w:t>(10)</w:t>
            </w:r>
            <w:r w:rsidRPr="008B0A49">
              <w:tab/>
              <w:t xml:space="preserve">Η παρούσα απόφαση θα πρέπει να εφαρμόζεται σε διακυβερνητικές συμφωνίες οι οποίες έχουν αντίκτυπο στην εσωτερική αγορά ενέργειας ή στην ασφάλεια του ενεργειακού εφοδιασμού της Ένωσης. Σε περίπτωση αμφιβολίας, τα κράτη μέλη θα πρέπει να διαβουλεύονται με την Επιτροπή. Σε γενικά πλαίσια, οι συμφωνίες που δεν ισχύουν ή δεν εφαρμόζονται πλέον </w:t>
            </w:r>
            <w:r w:rsidRPr="008B0A49">
              <w:rPr>
                <w:b/>
                <w:i/>
              </w:rPr>
              <w:t>δεν έχουν επίπτωση στην εσωτερική αγορά ενέργειας ή στην ασφάλεια του ενεργειακού ανεφοδιασμού της Ένωσης και</w:t>
            </w:r>
            <w:r w:rsidRPr="008B0A49">
              <w:t xml:space="preserve"> συνεπώς δεν θα πρέπει να καλύπτονται από την παρούσα απόφαση.</w:t>
            </w:r>
          </w:p>
        </w:tc>
        <w:tc>
          <w:tcPr>
            <w:tcW w:w="4876" w:type="dxa"/>
            <w:hideMark/>
          </w:tcPr>
          <w:p w:rsidR="00A96F97" w:rsidRPr="008B0A49" w:rsidRDefault="00A96F97" w:rsidP="00864F31">
            <w:pPr>
              <w:spacing w:after="120"/>
              <w:rPr>
                <w:szCs w:val="24"/>
              </w:rPr>
            </w:pPr>
            <w:r w:rsidRPr="008B0A49">
              <w:t>(10)</w:t>
            </w:r>
            <w:r w:rsidRPr="008B0A49">
              <w:tab/>
              <w:t xml:space="preserve">Η παρούσα απόφαση θα πρέπει να εφαρμόζεται σε διακυβερνητικές συμφωνίες οι οποίες έχουν </w:t>
            </w:r>
            <w:r w:rsidRPr="008B0A49">
              <w:rPr>
                <w:b/>
                <w:i/>
              </w:rPr>
              <w:t>ενδεχομένως</w:t>
            </w:r>
            <w:r w:rsidRPr="008B0A49">
              <w:t xml:space="preserve"> αντίκτυπο στην εσωτερική αγορά ενέργειας ή στην ασφάλεια του ενεργειακού εφοδιασμού της Ένωσης. </w:t>
            </w:r>
            <w:r w:rsidRPr="008B0A49">
              <w:rPr>
                <w:b/>
                <w:i/>
              </w:rPr>
              <w:t>Μπορεί να αφορά την αγορά, το εμπόριο, τη διαμετακόμιση, την πώληση, την αποθήκευση ή την προμήθεια ενέργειας από ή σε ένα τουλάχιστον κράτος μέλος, ή την κατασκευή ή λειτουργία των ενεργειακών υποδομών με φυσική σύνδεση με ένα τουλάχιστον κράτος μέλος.</w:t>
            </w:r>
            <w:r w:rsidRPr="008B0A49">
              <w:t xml:space="preserve"> Σε περίπτωση αμφιβολίας, τα κράτη μέλη θα πρέπει να διαβουλεύονται με την Επιτροπή </w:t>
            </w:r>
            <w:r w:rsidRPr="008B0A49">
              <w:rPr>
                <w:b/>
                <w:i/>
              </w:rPr>
              <w:t>χωρίς καθυστέρηση</w:t>
            </w:r>
            <w:r w:rsidRPr="008B0A49">
              <w:t>. Σε γενικά πλαίσια, οι συμφωνίες που δεν ισχύουν ή δεν εφαρμόζονται πλέον δεν θα πρέπει συνεπώς να καλύπτονται από την παρούσα απόφαση.</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12</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10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rPr>
                <w:szCs w:val="24"/>
              </w:rPr>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(10α)</w:t>
            </w:r>
            <w:r w:rsidRPr="008B0A49">
              <w:tab/>
            </w:r>
            <w:r w:rsidRPr="008B0A49">
              <w:rPr>
                <w:b/>
                <w:i/>
              </w:rPr>
              <w:t xml:space="preserve">Το γεγονός ότι μια πράξη, ή μέρη αυτής, είναι νομικά δεσμευτική και όχι η τυπική ονομασία της, θα πρέπει να </w:t>
            </w:r>
            <w:r w:rsidRPr="008B0A49">
              <w:rPr>
                <w:b/>
                <w:i/>
              </w:rPr>
              <w:lastRenderedPageBreak/>
              <w:t>καθορίζει εάν η πράξη αυτή χαρακτηρίζεται ως διακυβερνητική συμφωνία ή, εάν δεν είναι νομικά δεσμευτική, ως μη δεσμευτική πράξη για τους σκοπούς της παρούσας απόφασης.</w:t>
            </w:r>
          </w:p>
        </w:tc>
      </w:tr>
    </w:tbl>
    <w:p w:rsidR="00A96F97" w:rsidRPr="008B0A49" w:rsidRDefault="00A96F97" w:rsidP="00A96F97">
      <w:pPr>
        <w:keepNext/>
        <w:spacing w:before="240"/>
        <w:jc w:val="center"/>
        <w:rPr>
          <w:i/>
        </w:rPr>
      </w:pPr>
      <w:r w:rsidRPr="008B0A49">
        <w:rPr>
          <w:i/>
        </w:rPr>
        <w:lastRenderedPageBreak/>
        <w:t>Αιτιολόγηση</w:t>
      </w:r>
    </w:p>
    <w:p w:rsidR="00A96F97" w:rsidRPr="008B0A49" w:rsidRDefault="00A96F97" w:rsidP="00A96F97">
      <w:pPr>
        <w:spacing w:before="240"/>
        <w:rPr>
          <w:i/>
        </w:rPr>
      </w:pPr>
      <w:r w:rsidRPr="008B0A49">
        <w:rPr>
          <w:i/>
        </w:rPr>
        <w:t>Είναι σημαντικό να επισημανθεί ότι το περιεχόμενο είναι αυτό που καθορίζει τη φύση του εγγράφου και όχι η τυπική ονομασία του.</w:t>
      </w:r>
    </w:p>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13</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(11)</w:t>
            </w:r>
            <w:r w:rsidRPr="008B0A49">
              <w:tab/>
              <w:t xml:space="preserve">Τα κράτη μέλη συνάπτουν σχέσεις με τρίτες χώρες όχι μόνο μέσω της σύναψης διακυβερνητικών συμφωνιών, αλλά επίσης με τη μορφή μη δεσμευτικών πράξεων. Παρότι είναι νομικώς μη δεσμευτικές, οι εν λόγω πράξεις μπορούν να χρησιμοποιηθούν για τον καθορισμό ενός λεπτομερούς πλαισίου ενεργειακών υποδομών και ενεργειακού εφοδιασμού. Εν προκειμένω, οι επιπτώσεις των μη δεσμευτικών πράξεων στην εσωτερική αγορά ενέργειας μπορεί να είναι παρόμοιες με εκείνες των διακυβερνητικών συμφωνιών, δεδομένου ότι η εφαρμογή τους ενδέχεται να οδηγήσει σε παραβίαση του δικαίου της Ένωσης. Προκειμένου να εξασφαλίζεται αυξημένη διαφάνεια όσον αφορά το σύνολο των μέτρων που εφαρμόζουν τα κράτη μέλη και τα οποία ενδέχεται να έχουν επίπτωση στην εσωτερική αγορά ενέργειας και στην ενεργειακή ασφάλεια, τα κράτη μέλη θα πρέπει να υποβάλλουν </w:t>
            </w:r>
            <w:r w:rsidRPr="008B0A49">
              <w:rPr>
                <w:b/>
                <w:i/>
              </w:rPr>
              <w:t>εκ των υστέρων</w:t>
            </w:r>
            <w:r w:rsidRPr="008B0A49">
              <w:t xml:space="preserve"> στην Επιτροπή και τις αντίστοιχες μη δεσμευτικές πράξεις. Η Επιτροπή θα πρέπει να αξιολογεί τις υποβληθείσες μη δεσμευτικές πράξεις και, κατά περίπτωση, να ενημερώνει σχετικά το κράτος μέλος.</w:t>
            </w:r>
          </w:p>
        </w:tc>
        <w:tc>
          <w:tcPr>
            <w:tcW w:w="4876" w:type="dxa"/>
            <w:hideMark/>
          </w:tcPr>
          <w:p w:rsidR="00A96F97" w:rsidRPr="008B0A49" w:rsidRDefault="00A96F97" w:rsidP="00864F31">
            <w:pPr>
              <w:spacing w:after="120"/>
            </w:pPr>
            <w:r w:rsidRPr="008B0A49">
              <w:t>(11)</w:t>
            </w:r>
            <w:r w:rsidRPr="008B0A49">
              <w:tab/>
              <w:t xml:space="preserve">Τα κράτη μέλη συνάπτουν σχέσεις με τρίτες χώρες όχι μόνο μέσω της σύναψης διακυβερνητικών συμφωνιών, αλλά επίσης με τη μορφή μη δεσμευτικών πράξεων. Παρότι είναι νομικώς μη δεσμευτικές, οι εν λόγω πράξεις μπορούν να χρησιμοποιηθούν για τον καθορισμό ενός λεπτομερούς πλαισίου ενεργειακών υποδομών και ενεργειακού εφοδιασμού. Εν προκειμένω, οι επιπτώσεις των μη δεσμευτικών πράξεων στην εσωτερική αγορά ενέργειας μπορεί να είναι παρόμοιες με εκείνες των διακυβερνητικών συμφωνιών, δεδομένου ότι η εφαρμογή τους ενδέχεται να οδηγήσει σε παραβίαση του δικαίου της Ένωσης. Προκειμένου να εξασφαλίζεται αυξημένη διαφάνεια όσον αφορά το σύνολο των μέτρων που εφαρμόζουν τα κράτη μέλη και τα οποία ενδέχεται να έχουν επίπτωση στην εσωτερική αγορά ενέργειας και στην ενεργειακή ασφάλεια, τα κράτη μέλη θα πρέπει να υποβάλλουν </w:t>
            </w:r>
            <w:r w:rsidRPr="008B0A49">
              <w:rPr>
                <w:b/>
                <w:i/>
              </w:rPr>
              <w:t>εκ των προτέρων</w:t>
            </w:r>
            <w:r w:rsidRPr="008B0A49">
              <w:t xml:space="preserve"> στην Επιτροπή και τις αντίστοιχες μη δεσμευτικές πράξεις. Η Επιτροπή θα πρέπει να αξιολογεί τις υποβληθείσες μη δεσμευτικές πράξεις και, κατά περίπτωση, να ενημερώνει σχετικά το κράτος μέλος.</w:t>
            </w:r>
          </w:p>
        </w:tc>
      </w:tr>
    </w:tbl>
    <w:p w:rsidR="00A96F97" w:rsidRPr="008B0A49" w:rsidRDefault="00A96F97" w:rsidP="00A96F97"/>
    <w:p w:rsidR="00A96F97" w:rsidRPr="008B0A49" w:rsidRDefault="00A96F97" w:rsidP="00570E55">
      <w:pPr>
        <w:pStyle w:val="AMNumberTabs"/>
      </w:pPr>
      <w:r w:rsidRPr="008B0A49">
        <w:lastRenderedPageBreak/>
        <w:t xml:space="preserve">Τροπολογία </w:t>
      </w:r>
      <w:r w:rsidRPr="008B0A49">
        <w:tab/>
      </w:r>
      <w:r w:rsidRPr="008B0A49">
        <w:tab/>
        <w:t>14</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Αιτιολογική σκέψη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(12)</w:t>
            </w:r>
            <w:r w:rsidRPr="008B0A49">
              <w:tab/>
              <w:t xml:space="preserve">Οι διακυβερνητικές συμφωνίες ή οι μη δεσμευτικές πράξεις που πρέπει να κοινοποιούνται στο σύνολό τους στην Επιτροπή βάσει άλλων νομοθετικών πράξεων της Ένωσης ή αφορούν ζητήματα </w:t>
            </w:r>
            <w:r w:rsidRPr="008B0A49">
              <w:rPr>
                <w:b/>
                <w:i/>
              </w:rPr>
              <w:t>όπως αυτά</w:t>
            </w:r>
            <w:r w:rsidRPr="008B0A49">
              <w:t xml:space="preserve"> που εμπίπτουν στο πεδίο εφαρμογής της Συνθήκης για την ίδρυση της Ευρωπαϊκής Κοινότητας Ατομικής Ενέργειας δεν θα πρέπει να καλύπτονται από την παρούσα απόφαση.</w:t>
            </w:r>
          </w:p>
        </w:tc>
        <w:tc>
          <w:tcPr>
            <w:tcW w:w="4876" w:type="dxa"/>
            <w:hideMark/>
          </w:tcPr>
          <w:p w:rsidR="00A96F97" w:rsidRPr="008B0A49" w:rsidRDefault="00A96F97" w:rsidP="00864F31">
            <w:pPr>
              <w:spacing w:after="120"/>
            </w:pPr>
            <w:r w:rsidRPr="008B0A49">
              <w:t>(12)</w:t>
            </w:r>
            <w:r w:rsidRPr="008B0A49">
              <w:tab/>
              <w:t>Οι διακυβερνητικές συμφωνίες ή οι μη δεσμευτικές πράξεις που πρέπει να κοινοποιούνται στο σύνολό τους στην Επιτροπή βάσει άλλων νομοθετικών πράξεων της Ένωσης ή αφορούν ζητήματα που εμπίπτουν στο πεδίο εφαρμογής της Συνθήκης για την ίδρυση της Ευρωπαϊκής Κοινότητας Ατομικής Ενέργειας δεν θα πρέπει να καλύπτονται από την παρούσα απόφαση</w:t>
            </w:r>
          </w:p>
        </w:tc>
      </w:tr>
    </w:tbl>
    <w:p w:rsidR="00A96F97" w:rsidRPr="008B0A49" w:rsidRDefault="00A96F97" w:rsidP="00A96F97"/>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15</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(13)</w:t>
            </w:r>
            <w:r w:rsidRPr="008B0A49">
              <w:tab/>
              <w:t>Η παρούσα απόφαση δεν θα πρέπει να δημιουργεί υποχρεώσεις όσον αφορά τις συμφωνίες μεταξύ επιχειρήσεων.</w:t>
            </w:r>
            <w:r w:rsidRPr="008B0A49">
              <w:rPr>
                <w:b/>
                <w:i/>
              </w:rPr>
              <w:t xml:space="preserve"> </w:t>
            </w:r>
            <w:r w:rsidRPr="008B0A49">
              <w:t xml:space="preserve">Ωστόσο, τα κράτη μέλη θα πρέπει να </w:t>
            </w:r>
            <w:r w:rsidRPr="008B0A49">
              <w:rPr>
                <w:b/>
                <w:i/>
              </w:rPr>
              <w:t>έχουν το ελεύθερο να</w:t>
            </w:r>
            <w:r w:rsidRPr="008B0A49">
              <w:t xml:space="preserve"> διαβιβάζουν </w:t>
            </w:r>
            <w:r w:rsidRPr="008B0A49">
              <w:rPr>
                <w:b/>
                <w:i/>
              </w:rPr>
              <w:t>σε εθελοντική βάση</w:t>
            </w:r>
            <w:r w:rsidRPr="008B0A49">
              <w:t xml:space="preserve"> στην Επιτροπή </w:t>
            </w:r>
            <w:r w:rsidRPr="008B0A49">
              <w:rPr>
                <w:b/>
                <w:i/>
              </w:rPr>
              <w:t>τέτοιες</w:t>
            </w:r>
            <w:r w:rsidRPr="008B0A49">
              <w:t xml:space="preserve"> συμφωνίες που αναφέρονται ρητά σε διακυβερνητικές συμφωνίες ή μη δεσμευτικές πράξεις.</w:t>
            </w:r>
          </w:p>
        </w:tc>
        <w:tc>
          <w:tcPr>
            <w:tcW w:w="4876" w:type="dxa"/>
            <w:hideMark/>
          </w:tcPr>
          <w:p w:rsidR="00A96F97" w:rsidRPr="008B0A49" w:rsidRDefault="00A96F97" w:rsidP="00864F31">
            <w:pPr>
              <w:spacing w:after="120"/>
              <w:rPr>
                <w:szCs w:val="24"/>
              </w:rPr>
            </w:pPr>
            <w:r w:rsidRPr="008B0A49">
              <w:t>(13)</w:t>
            </w:r>
            <w:r w:rsidRPr="008B0A49">
              <w:tab/>
              <w:t xml:space="preserve">Η παρούσα απόφαση δεν θα πρέπει να δημιουργεί υποχρεώσεις όσον αφορά τις συμφωνίες </w:t>
            </w:r>
            <w:r w:rsidRPr="008B0A49">
              <w:rPr>
                <w:b/>
                <w:i/>
              </w:rPr>
              <w:t>που συνάπτονται αποκλειστικά</w:t>
            </w:r>
            <w:r w:rsidRPr="008B0A49">
              <w:t xml:space="preserve"> μεταξύ επιχειρήσεων. Ωστόσο, </w:t>
            </w:r>
            <w:r w:rsidRPr="008B0A49">
              <w:rPr>
                <w:b/>
                <w:i/>
              </w:rPr>
              <w:t>υπό τον όρο ότι τηρούν πλήρως το εμπορικό απόρρητο,</w:t>
            </w:r>
            <w:r w:rsidRPr="008B0A49">
              <w:t xml:space="preserve"> τα κράτη μέλη θα πρέπει να </w:t>
            </w:r>
            <w:r w:rsidRPr="008B0A49">
              <w:rPr>
                <w:b/>
                <w:i/>
              </w:rPr>
              <w:t>υποχρεούνται</w:t>
            </w:r>
            <w:r w:rsidRPr="008B0A49">
              <w:t xml:space="preserve"> να διαβιβάζουν στην Επιτροπή συμφωνίες </w:t>
            </w:r>
            <w:r w:rsidRPr="008B0A49">
              <w:rPr>
                <w:b/>
                <w:i/>
              </w:rPr>
              <w:t>που συνάπτονται αποκλειστικά μεταξύ επιχειρήσεων όταν</w:t>
            </w:r>
            <w:r w:rsidRPr="008B0A49">
              <w:t xml:space="preserve"> αναφέρονται ρητά σε διακυβερνητικές συμφωνίες ή μη δεσμευτικές πράξεις.</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16</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Αιτιολογική σκέψη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(14)</w:t>
            </w:r>
            <w:r w:rsidRPr="008B0A49">
              <w:tab/>
              <w:t xml:space="preserve">Η Επιτροπή θα πρέπει να θέτει στη διάθεση όλων των λοιπών κρατών μελών τις πληροφορίες που λαμβάνει, σε ασφαλή </w:t>
            </w:r>
            <w:r w:rsidRPr="008B0A49">
              <w:lastRenderedPageBreak/>
              <w:t>ηλεκτρονική μορφή. Η Επιτροπή θα πρέπει να ικανοποιεί τα αιτήματα των κρατών μελών για τον χειρισμό των πληροφοριών που υποβάλλονται σε αυτήν ως εμπιστευτικές. Τα αιτήματα για εμπιστευτικότητα θα πρέπει όμως να μην περιορίζουν την πρόσβαση της ίδιας της Επιτροπής σε εμπιστευτικές πληροφορίες, επειδή η Επιτροπή χρειάζεται να έχει ολοκληρωμένη πληροφόρηση για να πραγματοποιεί τη δική της αξιολόγηση. Η Επιτροπή θα πρέπει να είναι αρμόδια για τη διασφάλιση της εφαρμογής της ρήτρας εμπιστευτικότητας. Τα αιτήματα για εμπιστευτικότητα δεν θα πρέπει να θίγουν το δικαίωμα πρόσβασης στα έγγραφα, όπως προβλέπεται στον κανονισμό (ΕΚ) αριθ. 1049/2001 του Ευρωπαϊκού Κοινοβουλίου και του Συμβουλίου</w:t>
            </w:r>
            <w:r w:rsidRPr="008B0A49">
              <w:rPr>
                <w:vertAlign w:val="superscript"/>
              </w:rPr>
              <w:t>11</w:t>
            </w:r>
            <w:r w:rsidRPr="008B0A49">
              <w:t>.</w:t>
            </w:r>
          </w:p>
        </w:tc>
        <w:tc>
          <w:tcPr>
            <w:tcW w:w="4876" w:type="dxa"/>
            <w:hideMark/>
          </w:tcPr>
          <w:p w:rsidR="00A96F97" w:rsidRPr="008B0A49" w:rsidRDefault="00A96F97" w:rsidP="00864F31">
            <w:pPr>
              <w:spacing w:after="120"/>
            </w:pPr>
            <w:r w:rsidRPr="008B0A49">
              <w:lastRenderedPageBreak/>
              <w:t>(14)</w:t>
            </w:r>
            <w:r w:rsidRPr="008B0A49">
              <w:tab/>
              <w:t xml:space="preserve">Η Επιτροπή θα πρέπει να θέτει στη διάθεση όλων των λοιπών κρατών μελών τις πληροφορίες που λαμβάνει </w:t>
            </w:r>
            <w:r w:rsidRPr="008B0A49">
              <w:rPr>
                <w:b/>
                <w:i/>
              </w:rPr>
              <w:t xml:space="preserve">σχετικά με </w:t>
            </w:r>
            <w:r w:rsidRPr="008B0A49">
              <w:rPr>
                <w:b/>
                <w:i/>
              </w:rPr>
              <w:lastRenderedPageBreak/>
              <w:t>τις διακυβερνητικές συμφωνίες και τις μη δεσμευτικές πράξεις,</w:t>
            </w:r>
            <w:r w:rsidRPr="008B0A49">
              <w:t xml:space="preserve"> σε ασφαλή ηλεκτρονική μορφή, </w:t>
            </w:r>
            <w:r w:rsidRPr="008B0A49">
              <w:rPr>
                <w:b/>
                <w:i/>
              </w:rPr>
              <w:t>ούτως ώστε να ενισχύονται ο συντονισμός και η διαφάνεια μεταξύ των κρατών μελών και να εξασφαλίζεται με αυτόν τον τρόπο η μόχλευση της διαπραγματευτικής ισχύος τους έναντι τρίτων χωρών.</w:t>
            </w:r>
            <w:r w:rsidRPr="008B0A49">
              <w:t xml:space="preserve"> Η Επιτροπή θα πρέπει να ικανοποιεί τα αιτήματα των κρατών μελών για τον χειρισμό των πληροφοριών που υποβάλλονται σε αυτήν ως εμπιστευτικές. Τα αιτήματα για εμπιστευτικότητα θα πρέπει όμως να μην περιορίζουν την πρόσβαση της ίδιας της Επιτροπής σε εμπιστευτικές πληροφορίες, επειδή η Επιτροπή χρειάζεται να έχει ολοκληρωμένη πληροφόρηση για να πραγματοποιεί τη δική της αξιολόγηση. Η Επιτροπή θα πρέπει να είναι αρμόδια για τη διασφάλιση της εφαρμογής της ρήτρας εμπιστευτικότητας. Τα αιτήματα για εμπιστευτικότητα δεν θα πρέπει να θίγουν το δικαίωμα πρόσβασης στα έγγραφα, όπως προβλέπεται στον κανονισμό (ΕΚ) αριθ. 1049/2001 του Ευρωπαϊκού Κοινοβουλίου και του Συμβουλίου</w:t>
            </w:r>
            <w:r w:rsidRPr="008B0A49">
              <w:rPr>
                <w:vertAlign w:val="superscript"/>
              </w:rPr>
              <w:t>11</w:t>
            </w:r>
            <w:r w:rsidRPr="008B0A49">
              <w:t>.</w:t>
            </w:r>
          </w:p>
        </w:tc>
      </w:tr>
      <w:tr w:rsidR="00A96F97" w:rsidRPr="008B0A49" w:rsidTr="00864F31">
        <w:trPr>
          <w:jc w:val="center"/>
        </w:trPr>
        <w:tc>
          <w:tcPr>
            <w:tcW w:w="4876" w:type="dxa"/>
            <w:hideMark/>
          </w:tcPr>
          <w:p w:rsidR="00A96F97" w:rsidRPr="008B0A49" w:rsidRDefault="00A96F97" w:rsidP="00864F31">
            <w:pPr>
              <w:spacing w:after="120"/>
            </w:pPr>
            <w:r w:rsidRPr="008B0A49">
              <w:lastRenderedPageBreak/>
              <w:t>_________________</w:t>
            </w:r>
          </w:p>
        </w:tc>
        <w:tc>
          <w:tcPr>
            <w:tcW w:w="4876" w:type="dxa"/>
            <w:hideMark/>
          </w:tcPr>
          <w:p w:rsidR="00A96F97" w:rsidRPr="008B0A49" w:rsidRDefault="00A96F97" w:rsidP="00864F31">
            <w:pPr>
              <w:spacing w:after="120"/>
            </w:pPr>
            <w:r w:rsidRPr="008B0A49">
              <w:t>_________________</w:t>
            </w:r>
          </w:p>
        </w:tc>
      </w:tr>
      <w:tr w:rsidR="00A96F97" w:rsidRPr="008B0A49" w:rsidTr="00864F31">
        <w:trPr>
          <w:jc w:val="center"/>
        </w:trPr>
        <w:tc>
          <w:tcPr>
            <w:tcW w:w="4876" w:type="dxa"/>
            <w:hideMark/>
          </w:tcPr>
          <w:p w:rsidR="00A96F97" w:rsidRPr="008B0A49" w:rsidRDefault="00A96F97" w:rsidP="00864F31">
            <w:pPr>
              <w:spacing w:after="120"/>
            </w:pPr>
            <w:r w:rsidRPr="008B0A49">
              <w:rPr>
                <w:vertAlign w:val="superscript"/>
              </w:rPr>
              <w:t>11</w:t>
            </w:r>
            <w:r w:rsidRPr="008B0A49">
              <w:t xml:space="preserve"> Κανονισμός (ΕΚ) αριθ. 1049/2001 του Ευρωπαϊκού Κοινοβουλίου και του Συμβουλίου, της 30ής Μαΐου 2001, για την πρόσβαση του κοινού στα έγγραφα του Ευρωπαϊκού Κοινοβουλίου, του Συμβουλίου και της Επιτροπής (ΕΕ L 299 της 27.10.2012, σ. 13).</w:t>
            </w:r>
          </w:p>
        </w:tc>
        <w:tc>
          <w:tcPr>
            <w:tcW w:w="4876" w:type="dxa"/>
            <w:hideMark/>
          </w:tcPr>
          <w:p w:rsidR="00A96F97" w:rsidRPr="008B0A49" w:rsidRDefault="00A96F97" w:rsidP="00864F31">
            <w:pPr>
              <w:spacing w:after="120"/>
            </w:pPr>
            <w:r w:rsidRPr="008B0A49">
              <w:rPr>
                <w:vertAlign w:val="superscript"/>
              </w:rPr>
              <w:t>11</w:t>
            </w:r>
            <w:r w:rsidRPr="008B0A49">
              <w:t xml:space="preserve"> Κανονισμός (ΕΚ) αριθ. 1049/2001 του Ευρωπαϊκού Κοινοβουλίου και του Συμβουλίου, της 30ής Μαΐου 2001, για την πρόσβαση του κοινού στα έγγραφα του Ευρωπαϊκού Κοινοβουλίου, του Συμβουλίου και της Επιτροπής (ΕΕ L 299 της 27.10.2012, σ. 13).</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17</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keepNext/>
        <w:rPr>
          <w:b/>
        </w:rPr>
      </w:pPr>
      <w:r w:rsidRPr="008B0A49">
        <w:rPr>
          <w:b/>
        </w:rPr>
        <w:t>Αιτιολογική σκέψη 15</w:t>
      </w:r>
    </w:p>
    <w:p w:rsidR="00A96F97" w:rsidRPr="008B0A49" w:rsidRDefault="00A96F97" w:rsidP="00A96F97"/>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(15)</w:t>
            </w:r>
            <w:r w:rsidRPr="008B0A49">
              <w:tab/>
              <w:t xml:space="preserve">Όταν ένα κράτος μέλος κρίνει ότι μια διακυβερνητική συμφωνία είναι εμπιστευτική, θα πρέπει να διαβιβάζει στην Επιτροπή μια σύνοψή </w:t>
            </w:r>
            <w:r w:rsidRPr="008B0A49">
              <w:rPr>
                <w:b/>
                <w:i/>
              </w:rPr>
              <w:t>της</w:t>
            </w:r>
            <w:r w:rsidRPr="008B0A49">
              <w:t xml:space="preserve"> προκειμένου να γνωστοποιηθεί και στα υπόλοιπα κράτη </w:t>
            </w:r>
            <w:r w:rsidRPr="008B0A49">
              <w:lastRenderedPageBreak/>
              <w:t>μέλη.</w:t>
            </w:r>
          </w:p>
        </w:tc>
        <w:tc>
          <w:tcPr>
            <w:tcW w:w="4876" w:type="dxa"/>
            <w:hideMark/>
          </w:tcPr>
          <w:p w:rsidR="00A96F97" w:rsidRPr="008B0A49" w:rsidRDefault="00A96F97" w:rsidP="00864F31">
            <w:pPr>
              <w:spacing w:after="120"/>
              <w:rPr>
                <w:szCs w:val="24"/>
              </w:rPr>
            </w:pPr>
            <w:r w:rsidRPr="008B0A49">
              <w:lastRenderedPageBreak/>
              <w:t>(15)</w:t>
            </w:r>
            <w:r w:rsidRPr="008B0A49">
              <w:tab/>
              <w:t xml:space="preserve">Όταν ένα κράτος μέλος κρίνει ότι μια διακυβερνητική συμφωνία είναι εμπιστευτική, θα πρέπει να διαβιβάζει στην Επιτροπή μια σύνοψη </w:t>
            </w:r>
            <w:r w:rsidRPr="008B0A49">
              <w:rPr>
                <w:b/>
                <w:i/>
              </w:rPr>
              <w:t xml:space="preserve">που περιέχει τα βασικά στοιχεία και τις σχετικές ρήτρες </w:t>
            </w:r>
            <w:r w:rsidRPr="008B0A49">
              <w:rPr>
                <w:b/>
                <w:i/>
              </w:rPr>
              <w:lastRenderedPageBreak/>
              <w:t>της, συμπεριλαμβανομένων των περιορισμών,</w:t>
            </w:r>
            <w:r w:rsidRPr="008B0A49">
              <w:t xml:space="preserve"> προκειμένου να γνωστοποιηθεί και στα υπόλοιπα κράτη μέλη.</w:t>
            </w:r>
          </w:p>
        </w:tc>
      </w:tr>
    </w:tbl>
    <w:p w:rsidR="00A96F97" w:rsidRPr="008B0A49" w:rsidRDefault="00A96F97" w:rsidP="00A96F97">
      <w:pPr>
        <w:rPr>
          <w:szCs w:val="24"/>
        </w:rPr>
      </w:pPr>
    </w:p>
    <w:p w:rsidR="00A96F97" w:rsidRPr="008B0A49" w:rsidRDefault="00A96F97" w:rsidP="00570E55">
      <w:pPr>
        <w:pStyle w:val="AMNumberTabs"/>
      </w:pPr>
      <w:r w:rsidRPr="008B0A49">
        <w:t>Τροπολογία</w:t>
      </w:r>
      <w:r w:rsidRPr="008B0A49">
        <w:tab/>
      </w:r>
      <w:r w:rsidRPr="008B0A49">
        <w:tab/>
        <w:t>18</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(16)</w:t>
            </w:r>
            <w:r w:rsidRPr="008B0A49">
              <w:tab/>
              <w:t xml:space="preserve">Η μόνιμη ανταλλαγή πληροφοριών σχετικά με διακυβερνητικές συμφωνίες σε επίπεδο Ένωσης θα πρέπει να καταστήσει δυνατή την ανάπτυξη βέλτιστων πρακτικών. Με βάση αυτές τις βέλτιστες πρακτικές, η Επιτροπή θα πρέπει να αναπτύξει, όπου είναι απαραίτητο σε συνεργασία με την Ευρωπαϊκή Υπηρεσία Εξωτερικής Δράσης σε ό,τι αφορά τις εξωτερικές πολιτικές της Ένωσης, προαιρετικά πρότυπα ρητρών προς χρήση σε διακυβερνητικές συμφωνίες μεταξύ κρατών μελών και τρίτων χωρών. Η χρήση των εν λόγω προτύπων ρητρών </w:t>
            </w:r>
            <w:r w:rsidRPr="008B0A49">
              <w:rPr>
                <w:b/>
                <w:i/>
              </w:rPr>
              <w:t>στόχο έχει την αποφυγή συγκρούσεων</w:t>
            </w:r>
            <w:r w:rsidRPr="008B0A49">
              <w:t xml:space="preserve"> των διακυβερνητικών συμφωνιών με το δίκαιο της Ένωσης</w:t>
            </w:r>
            <w:r w:rsidRPr="008B0A49">
              <w:rPr>
                <w:b/>
                <w:i/>
              </w:rPr>
              <w:t>, ειδικότερα με τους κανόνες της εσωτερικής αγοράς ενέργειας και το δίκαιο περί ανταγωνισμού,</w:t>
            </w:r>
            <w:r w:rsidRPr="008B0A49">
              <w:t xml:space="preserve"> και </w:t>
            </w:r>
            <w:r w:rsidRPr="008B0A49">
              <w:rPr>
                <w:b/>
                <w:i/>
              </w:rPr>
              <w:t>συγκρούσεων</w:t>
            </w:r>
            <w:r w:rsidRPr="008B0A49">
              <w:t xml:space="preserve"> με διεθνείς συμφωνίες που συνάπτει η Ένωση. Η χρήση τους θα πρέπει να είναι προαιρετική και το περιεχόμενό τους θα πρέπει να είναι δυνατόν να </w:t>
            </w:r>
            <w:r w:rsidRPr="008B0A49">
              <w:rPr>
                <w:b/>
                <w:i/>
              </w:rPr>
              <w:t>προσαρμόζεται</w:t>
            </w:r>
            <w:r w:rsidRPr="008B0A49">
              <w:t xml:space="preserve"> στις εκάστοτε περιστάσεις.</w:t>
            </w:r>
          </w:p>
        </w:tc>
        <w:tc>
          <w:tcPr>
            <w:tcW w:w="4876" w:type="dxa"/>
            <w:hideMark/>
          </w:tcPr>
          <w:p w:rsidR="00A96F97" w:rsidRPr="008B0A49" w:rsidRDefault="00A96F97" w:rsidP="00864F31">
            <w:pPr>
              <w:spacing w:after="120"/>
              <w:rPr>
                <w:szCs w:val="24"/>
              </w:rPr>
            </w:pPr>
            <w:r w:rsidRPr="008B0A49">
              <w:t>(16)</w:t>
            </w:r>
            <w:r w:rsidRPr="008B0A49">
              <w:tab/>
              <w:t xml:space="preserve">Η μόνιμη ανταλλαγή πληροφοριών σχετικά με διακυβερνητικές συμφωνίες σε επίπεδο Ένωσης θα πρέπει να καταστήσει δυνατή την ανάπτυξη βέλτιστων πρακτικών. Με βάση αυτές τις βέλτιστες πρακτικές, η Επιτροπή θα πρέπει να αναπτύξει, </w:t>
            </w:r>
            <w:r w:rsidRPr="008B0A49">
              <w:rPr>
                <w:b/>
                <w:i/>
              </w:rPr>
              <w:t>σε συνεργασία με τα κράτη μέλη</w:t>
            </w:r>
            <w:r w:rsidRPr="008B0A49">
              <w:t xml:space="preserve"> </w:t>
            </w:r>
            <w:r w:rsidRPr="008B0A49">
              <w:rPr>
                <w:b/>
                <w:i/>
              </w:rPr>
              <w:t>και</w:t>
            </w:r>
            <w:r w:rsidRPr="008B0A49">
              <w:t xml:space="preserve"> όπου είναι απαραίτητο σε συνεργασία με την Ευρωπαϊκή Υπηρεσία Εξωτερικής Δράσης σε ό,τι αφορά τις εξωτερικές πολιτικές της Ένωσης, προαιρετικά πρότυπα ρητρών προς χρήση σε διακυβερνητικές συμφωνίες μεταξύ κρατών μελών και τρίτων χωρών</w:t>
            </w:r>
            <w:r w:rsidRPr="008B0A49">
              <w:rPr>
                <w:b/>
                <w:i/>
              </w:rPr>
              <w:t>, καθώς και έναν κατάλογο παραδειγμάτων ρητρών που δεν τηρούν το δίκαιο ή τους στόχους της Ενεργειακής Ένωσης και θα πρέπει κατ’ αρχήν να αποφεύγονται</w:t>
            </w:r>
            <w:r w:rsidRPr="008B0A49">
              <w:t xml:space="preserve">. Η χρήση των εν λόγω προτύπων ρητρών </w:t>
            </w:r>
            <w:r w:rsidRPr="008B0A49">
              <w:rPr>
                <w:b/>
                <w:i/>
              </w:rPr>
              <w:t>θα πρέπει να εξασφαλίζει τη συμμόρφωση</w:t>
            </w:r>
            <w:r w:rsidRPr="008B0A49">
              <w:t xml:space="preserve"> των διακυβερνητικών συμφωνιών με το δίκαιο της Ένωσης και με διεθνείς συμφωνίες που συνάπτει η Ένωση. Η χρήση τους θα πρέπει να είναι προαιρετική και το περιεχόμενο </w:t>
            </w:r>
            <w:r w:rsidRPr="008B0A49">
              <w:rPr>
                <w:b/>
                <w:i/>
              </w:rPr>
              <w:t>και η διάρθρωσή</w:t>
            </w:r>
            <w:r w:rsidRPr="008B0A49">
              <w:t xml:space="preserve"> τους θα πρέπει να είναι δυνατόν να </w:t>
            </w:r>
            <w:r w:rsidRPr="008B0A49">
              <w:rPr>
                <w:b/>
                <w:i/>
              </w:rPr>
              <w:t>προσαρμόζονται</w:t>
            </w:r>
            <w:r w:rsidRPr="008B0A49">
              <w:t xml:space="preserve"> στις εκάστοτε περιστάσεις.</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19</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Αιτιολογική σκέψη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lastRenderedPageBreak/>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(17)</w:t>
            </w:r>
            <w:r w:rsidRPr="008B0A49">
              <w:tab/>
              <w:t xml:space="preserve">Η βελτίωση της αμοιβαίας γνώσης των υφιστάμενων και νέων διακυβερνητικών συμφωνιών και μη δεσμευτικών πράξεων θα </w:t>
            </w:r>
            <w:r w:rsidRPr="008B0A49">
              <w:rPr>
                <w:b/>
                <w:i/>
              </w:rPr>
              <w:t>καταστήσει δυνατό τον καλύτερο</w:t>
            </w:r>
            <w:r w:rsidRPr="008B0A49">
              <w:t xml:space="preserve"> συντονισμό σε θέματα ενέργειας μεταξύ των κρατών μελών, καθώς και μεταξύ των κρατών μελών και της Επιτροπής. Χάρη σε αυτή τη βελτίωση του συντονισμού θα μπορούν τα κράτη μέλη να επωφεληθούν πλήρως από την πολιτική και οικονομική βαρύτητα της Ένωσης και θα έχει τη δυνατότητα η Επιτροπή να </w:t>
            </w:r>
            <w:r w:rsidRPr="008B0A49">
              <w:rPr>
                <w:b/>
                <w:i/>
              </w:rPr>
              <w:t>προτείνει λύσεις για προβλήματα που εντοπίζονται στον τομέα των διακυβερνητικών συμφωνιών.</w:t>
            </w:r>
          </w:p>
        </w:tc>
        <w:tc>
          <w:tcPr>
            <w:tcW w:w="4876" w:type="dxa"/>
            <w:hideMark/>
          </w:tcPr>
          <w:p w:rsidR="00A96F97" w:rsidRPr="008B0A49" w:rsidRDefault="00A96F97" w:rsidP="00864F31">
            <w:pPr>
              <w:spacing w:after="120"/>
            </w:pPr>
            <w:r w:rsidRPr="008B0A49">
              <w:t>(17)</w:t>
            </w:r>
            <w:r w:rsidRPr="008B0A49">
              <w:tab/>
              <w:t xml:space="preserve">Η βελτίωση της αμοιβαίας γνώσης των υφιστάμενων και νέων διακυβερνητικών συμφωνιών και μη δεσμευτικών πράξεων θα </w:t>
            </w:r>
            <w:r w:rsidRPr="008B0A49">
              <w:rPr>
                <w:b/>
                <w:i/>
              </w:rPr>
              <w:t>ενισχύσει τη διαφάνεια και τον</w:t>
            </w:r>
            <w:r w:rsidRPr="008B0A49">
              <w:t xml:space="preserve"> συντονισμό σε θέματα ενέργειας μεταξύ των κρατών μελών, καθώς και μεταξύ των κρατών μελών και της Επιτροπής. </w:t>
            </w:r>
            <w:r w:rsidRPr="008B0A49">
              <w:rPr>
                <w:b/>
                <w:i/>
              </w:rPr>
              <w:t>H ενίσχυση της διαφάνειας και του συντονισμού είναι ιδιαίτερα σημαντική για τα κράτη μέλη που εξαρτώνται από τις διασυνδέσεις με ένα κράτος μέλος που διαπραγματεύεται μια διακυβερνητική συμφωνία.</w:t>
            </w:r>
            <w:r w:rsidRPr="008B0A49">
              <w:t xml:space="preserve"> Χάρη σε αυτή τη βελτίωση του συντονισμού τα κράτη μέλη θα μπορούν να επωφεληθούν πλήρως από την πολιτική και οικονομική βαρύτητα της Ένωσης, να </w:t>
            </w:r>
            <w:r w:rsidRPr="008B0A49">
              <w:rPr>
                <w:b/>
                <w:i/>
              </w:rPr>
              <w:t>ενισχύσουν τη διαπραγματευτική ισχύ τους έναντι τρίτων χωρών</w:t>
            </w:r>
            <w:r w:rsidRPr="008B0A49">
              <w:t xml:space="preserve"> και η Επιτροπή θα έχει τη δυνατότητα </w:t>
            </w:r>
            <w:r w:rsidRPr="008B0A49">
              <w:rPr>
                <w:b/>
                <w:i/>
              </w:rPr>
              <w:t>να εξασφαλίζει την ασφάλεια του ενεργειακού εφοδιασμού στην Ένωση</w:t>
            </w:r>
            <w:r w:rsidRPr="008B0A49">
              <w:t>.</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20</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Αιτιολογική σκέψη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(18)</w:t>
            </w:r>
            <w:r w:rsidRPr="008B0A49">
              <w:tab/>
              <w:t xml:space="preserve">Η Επιτροπή θα πρέπει να διευκολύνει και να </w:t>
            </w:r>
            <w:r w:rsidRPr="008B0A49">
              <w:rPr>
                <w:b/>
                <w:i/>
              </w:rPr>
              <w:t>ενθαρρύνει</w:t>
            </w:r>
            <w:r w:rsidRPr="008B0A49">
              <w:t xml:space="preserve"> τον συντονισμό μεταξύ των κρατών μελών προκειμένου να ενισχύσει τον συνολικό στρατηγικό ρόλο της Ένωσης μέσω </w:t>
            </w:r>
            <w:r w:rsidRPr="008B0A49">
              <w:rPr>
                <w:b/>
                <w:i/>
              </w:rPr>
              <w:t>σθεναρής</w:t>
            </w:r>
            <w:r w:rsidRPr="008B0A49">
              <w:t xml:space="preserve"> και αποτελεσματικής συντονισμένης προσέγγισης έναντι των χωρών παραγωγής, διαμετακόμισης και κατανάλωσης.</w:t>
            </w:r>
          </w:p>
        </w:tc>
        <w:tc>
          <w:tcPr>
            <w:tcW w:w="4876" w:type="dxa"/>
            <w:hideMark/>
          </w:tcPr>
          <w:p w:rsidR="00A96F97" w:rsidRPr="008B0A49" w:rsidRDefault="00A96F97" w:rsidP="00864F31">
            <w:pPr>
              <w:spacing w:after="120"/>
              <w:rPr>
                <w:szCs w:val="24"/>
              </w:rPr>
            </w:pPr>
            <w:r w:rsidRPr="008B0A49">
              <w:t>(18)</w:t>
            </w:r>
            <w:r w:rsidRPr="008B0A49">
              <w:tab/>
              <w:t xml:space="preserve">Η Επιτροπή θα πρέπει να διευκολύνει και να </w:t>
            </w:r>
            <w:r w:rsidRPr="008B0A49">
              <w:rPr>
                <w:b/>
                <w:i/>
              </w:rPr>
              <w:t>εξασφαλίζει</w:t>
            </w:r>
            <w:r w:rsidRPr="008B0A49">
              <w:t xml:space="preserve"> τον συντονισμό μεταξύ των κρατών μελών προκειμένου να ενισχύσει τον συνολικό στρατηγικό ρόλο της Ένωσης </w:t>
            </w:r>
            <w:r w:rsidRPr="008B0A49">
              <w:rPr>
                <w:b/>
                <w:i/>
              </w:rPr>
              <w:t xml:space="preserve">στον ενεργειακό τομέα </w:t>
            </w:r>
            <w:r w:rsidRPr="008B0A49">
              <w:t xml:space="preserve">μέσω </w:t>
            </w:r>
            <w:r w:rsidRPr="008B0A49">
              <w:rPr>
                <w:b/>
                <w:i/>
              </w:rPr>
              <w:t>επακριβώς προσδιορισμένης</w:t>
            </w:r>
            <w:r w:rsidRPr="008B0A49">
              <w:t xml:space="preserve"> και αποτελεσματικής</w:t>
            </w:r>
            <w:r w:rsidRPr="008B0A49">
              <w:rPr>
                <w:b/>
                <w:i/>
              </w:rPr>
              <w:t xml:space="preserve"> μακροπρόθεσμης</w:t>
            </w:r>
            <w:r w:rsidRPr="008B0A49">
              <w:t xml:space="preserve"> συντονισμένης προσέγγισης έναντι των χωρών παραγωγής, διαμετακόμισης και κατανάλωσης.</w:t>
            </w:r>
          </w:p>
        </w:tc>
      </w:tr>
    </w:tbl>
    <w:p w:rsidR="00A96F97" w:rsidRPr="008B0A49" w:rsidRDefault="00A96F97" w:rsidP="00A96F97"/>
    <w:p w:rsidR="00A96F97" w:rsidRPr="008B0A49" w:rsidRDefault="00A96F97" w:rsidP="0083325D">
      <w:pPr>
        <w:pStyle w:val="AMNumberTabs"/>
        <w:keepNext/>
      </w:pPr>
      <w:r w:rsidRPr="008B0A49">
        <w:lastRenderedPageBreak/>
        <w:t>Τροπολογία</w:t>
      </w:r>
      <w:r w:rsidRPr="008B0A49">
        <w:tab/>
      </w:r>
      <w:r w:rsidRPr="008B0A49">
        <w:tab/>
        <w:t>21</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1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w:t>
            </w:r>
            <w:r w:rsidRPr="008B0A49">
              <w:tab/>
              <w:t>Με την παρούσα απόφαση θεσπίζεται μηχανισμός ανταλλαγής πληροφοριών μεταξύ των κρατών μελών και της Επιτροπής όσον αφορά τις διακυβερνητικές συμφωνίες και τις μη δεσμευτικές πράξεις στον τομέα της ενέργειας, όπως ορίζεται στο άρθρο 2, προκειμένου να βελτιστοποιηθεί η λειτουργία της εσωτερικής αγοράς ενέργειας.</w:t>
            </w:r>
          </w:p>
        </w:tc>
        <w:tc>
          <w:tcPr>
            <w:tcW w:w="4876" w:type="dxa"/>
            <w:hideMark/>
          </w:tcPr>
          <w:p w:rsidR="00A96F97" w:rsidRPr="008B0A49" w:rsidRDefault="00A96F97" w:rsidP="00864F31">
            <w:pPr>
              <w:spacing w:after="120"/>
              <w:rPr>
                <w:szCs w:val="24"/>
              </w:rPr>
            </w:pPr>
            <w:r w:rsidRPr="008B0A49">
              <w:t>1.</w:t>
            </w:r>
            <w:r w:rsidRPr="008B0A49">
              <w:tab/>
              <w:t>Με την παρούσα απόφαση θεσπίζεται μηχανισμός ανταλλαγής πληροφοριών μεταξύ των κρατών μελών και της Επιτροπής όσον αφορά τις διακυβερνητικές συμφωνίες και τις μη δεσμευτικές πράξεις στον τομέα της ενέργειας, όπως ορίζεται στο άρθρο 2, προκειμένου να βελτιστοποιηθεί η λειτουργία της εσωτερικής αγοράς ενέργειας</w:t>
            </w:r>
            <w:r w:rsidRPr="008B0A49">
              <w:rPr>
                <w:b/>
                <w:i/>
              </w:rPr>
              <w:t xml:space="preserve"> και να διασφαλισθεί η ασφάλεια του εφοδιασμού  στην Ένωση και να υποστηριχθεί η επίτευξη των στόχων της στρατηγικής για την Ενεργειακή Ένωση</w:t>
            </w:r>
            <w:r w:rsidRPr="008B0A49">
              <w:t>.</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22</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2 – παράγραφος 1 –  σημείο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w:t>
            </w:r>
            <w:r w:rsidRPr="008B0A49">
              <w:tab/>
              <w:t>«διακυβερνητική συμφωνία»: οποιαδήποτε νομικά δεσμευτική συμφωνία μεταξύ ενός ή περισσότερων κρατών μελών και μίας ή περισσότερων τρίτων χωρών η οποία έχει αντίκτυπο στην επιχειρησιακή εκμετάλλευση ή τη λειτουργία της εσωτερικής αγοράς ενέργειας ή στην ασφάλεια του ενεργειακού εφοδιασμού της Ένωσης· ωστόσο, σε περίπτωση που η νομικά δεσμευτική συμφωνία αυτή καλύπτει και άλλα θέματα, μόνον οι διατάξεις που σχετίζονται με την ενέργεια, συμπεριλαμβανομένων των γενικών διατάξεων που εφαρμόζονται για τις εν λόγω σχετικές προς την ενέργεια διατάξεις, θεωρείται ότι συνιστούν «διακυβερνητική συμφωνία»·</w:t>
            </w:r>
          </w:p>
        </w:tc>
        <w:tc>
          <w:tcPr>
            <w:tcW w:w="4876" w:type="dxa"/>
            <w:hideMark/>
          </w:tcPr>
          <w:p w:rsidR="00A96F97" w:rsidRPr="008B0A49" w:rsidRDefault="00A96F97" w:rsidP="00864F31">
            <w:pPr>
              <w:spacing w:after="120"/>
            </w:pPr>
            <w:r w:rsidRPr="008B0A49">
              <w:t>(1)</w:t>
            </w:r>
            <w:r w:rsidRPr="008B0A49">
              <w:tab/>
              <w:t>«διακυβερνητική συμφωνία»: οποιαδήποτε νομικά δεσμευτική συμφωνία</w:t>
            </w:r>
            <w:r w:rsidRPr="008B0A49">
              <w:rPr>
                <w:b/>
                <w:i/>
              </w:rPr>
              <w:t>, ανεξάρτητα από την τυπική ονομασία της,</w:t>
            </w:r>
            <w:r w:rsidRPr="008B0A49">
              <w:t xml:space="preserve"> μεταξύ ενός ή περισσότερων κρατών μελών και μίας ή περισσότερων τρίτων χωρών</w:t>
            </w:r>
            <w:r w:rsidRPr="008B0A49">
              <w:rPr>
                <w:b/>
                <w:i/>
              </w:rPr>
              <w:t>, περιλαμβανομένων διεθνών οργανισμών, εταιρειών στις οποίες η τρίτη χώρα είναι ο κύριος μέτοχος και εταιρειών στις οποίες η τρίτη χώρα έχει μείζονα επιρροή στη διαδικασία λήψης αποφάσεων,</w:t>
            </w:r>
            <w:r w:rsidRPr="008B0A49">
              <w:t xml:space="preserve"> η οποία έχει </w:t>
            </w:r>
            <w:r w:rsidRPr="008B0A49">
              <w:rPr>
                <w:b/>
                <w:i/>
              </w:rPr>
              <w:t>δυνητικό</w:t>
            </w:r>
            <w:r w:rsidRPr="008B0A49">
              <w:t xml:space="preserve"> αντίκτυπο στην επιχειρησιακή εκμετάλλευση ή τη λειτουργία της εσωτερικής αγοράς ενέργειας ή στην ασφάλεια του ενεργειακού εφοδιασμού της Ένωσης</w:t>
            </w:r>
            <w:r w:rsidRPr="008B0A49">
              <w:rPr>
                <w:b/>
                <w:i/>
              </w:rPr>
              <w:t xml:space="preserve">, και η οποία μπορεί να αφορά την αγορά, το εμπόριο, τη διαμετακόμιση, την πώληση, την αποθήκευση ή την προμήθεια ενέργειας από ή σε ένα τουλάχιστον κράτος μέλος, ή την κατασκευή ή </w:t>
            </w:r>
            <w:r w:rsidRPr="008B0A49">
              <w:rPr>
                <w:b/>
                <w:i/>
              </w:rPr>
              <w:lastRenderedPageBreak/>
              <w:t xml:space="preserve">λειτουργία των ενεργειακών υποδομών με φυσική σύνδεση με ένα τουλάχιστον κράτος μέλος. </w:t>
            </w:r>
            <w:r w:rsidRPr="008B0A49">
              <w:t>ωστόσο, σε περίπτωση που η νομικά δεσμευτική συμφωνία αυτή καλύπτει και άλλα θέματα, μόνον οι διατάξεις που σχετίζονται με την ενέργεια, συμπεριλαμβανομένων των γενικών διατάξεων που εφαρμόζονται για τις εν λόγω σχετικές προς την ενέργεια διατάξεις, θεωρείται ότι συνιστούν «διακυβερνητική συμφωνία»·</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23</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2 – παράγραφος 1 –  σημείο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(3)</w:t>
            </w:r>
            <w:r w:rsidRPr="008B0A49">
              <w:tab/>
              <w:t>«μη δεσμευτική πράξη»: μια νομικώς μη δεσμευτική διευθέτηση μεταξύ ενός ή περισσότερων κρατών μελών και μιας ή περισσότερων τρίτων χωρών, λόγου χάρη ένα μνημόνιο συνεργασίας, μια κοινή δήλωση, μια υπουργική κοινή δήλωση, μια κοινή δράση ή ένας κοινός κώδικας δεοντολογίας, που εμπεριέχει ερμηνεία του δικαίου της Ένωσης και ορίζει τους όρους για τον ενεργειακό εφοδιασμό (π.χ. ποσότητες και τιμές) ή την ανάπτυξη ενεργειακών υποδομών·</w:t>
            </w:r>
          </w:p>
        </w:tc>
        <w:tc>
          <w:tcPr>
            <w:tcW w:w="4876" w:type="dxa"/>
            <w:hideMark/>
          </w:tcPr>
          <w:p w:rsidR="00A96F97" w:rsidRPr="008B0A49" w:rsidRDefault="00A96F97" w:rsidP="00864F31">
            <w:pPr>
              <w:spacing w:after="120"/>
              <w:rPr>
                <w:szCs w:val="24"/>
              </w:rPr>
            </w:pPr>
            <w:r w:rsidRPr="008B0A49">
              <w:t>(3)</w:t>
            </w:r>
            <w:r w:rsidRPr="008B0A49">
              <w:tab/>
              <w:t xml:space="preserve">«μη δεσμευτική πράξη»: μια νομικώς μη δεσμευτική διευθέτηση μεταξύ ενός ή περισσότερων κρατών μελών και μιας ή περισσότερων τρίτων χωρών, λόγου χάρη ένα μνημόνιο συνεργασίας, μια κοινή δήλωση, μια υπουργική κοινή δήλωση, μια κοινή δράση ή ένας κοινός κώδικας δεοντολογίας, που εμπεριέχει ερμηνεία του δικαίου της Ένωσης και ορίζει τους όρους για τον ενεργειακό εφοδιασμό (π.χ. ποσότητες και τιμές) ή την ανάπτυξη </w:t>
            </w:r>
            <w:r w:rsidRPr="008B0A49">
              <w:rPr>
                <w:b/>
                <w:i/>
              </w:rPr>
              <w:t>ή τη λειτουργία</w:t>
            </w:r>
            <w:r w:rsidRPr="008B0A49">
              <w:t xml:space="preserve"> ενεργειακών υποδομών·</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24</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3 – παράγραφος 1 – εδάφιο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rPr>
                <w:b/>
                <w:i/>
              </w:rPr>
              <w:t>Σε περίπτωση που</w:t>
            </w:r>
            <w:r w:rsidRPr="008B0A49">
              <w:t xml:space="preserve"> το κράτος μέλος </w:t>
            </w:r>
            <w:r w:rsidRPr="008B0A49">
              <w:rPr>
                <w:b/>
                <w:i/>
              </w:rPr>
              <w:t>ενημερώνει</w:t>
            </w:r>
            <w:r w:rsidRPr="008B0A49">
              <w:t xml:space="preserve"> την Επιτροπή για τις διαπραγματεύσεις αυτές, το οικείο κράτος μέλος</w:t>
            </w:r>
            <w:r w:rsidRPr="008B0A49">
              <w:rPr>
                <w:b/>
                <w:i/>
              </w:rPr>
              <w:t xml:space="preserve"> θα πρέπει να</w:t>
            </w:r>
            <w:r w:rsidRPr="008B0A49">
              <w:t xml:space="preserve"> ενημερώνει την Επιτροπή τακτικά για την πρόοδο των διαπραγματεύσεων.</w:t>
            </w:r>
          </w:p>
        </w:tc>
        <w:tc>
          <w:tcPr>
            <w:tcW w:w="4876" w:type="dxa"/>
            <w:hideMark/>
          </w:tcPr>
          <w:p w:rsidR="00A96F97" w:rsidRPr="008B0A49" w:rsidRDefault="00A96F97" w:rsidP="00864F31">
            <w:pPr>
              <w:spacing w:after="120"/>
            </w:pPr>
            <w:r w:rsidRPr="008B0A49">
              <w:rPr>
                <w:b/>
                <w:i/>
              </w:rPr>
              <w:t>Μόλις</w:t>
            </w:r>
            <w:r w:rsidRPr="008B0A49">
              <w:t xml:space="preserve"> το κράτος μέλος </w:t>
            </w:r>
            <w:r w:rsidRPr="008B0A49">
              <w:rPr>
                <w:b/>
                <w:i/>
              </w:rPr>
              <w:t>ενημερώσει</w:t>
            </w:r>
            <w:r w:rsidRPr="008B0A49">
              <w:t xml:space="preserve"> την Επιτροπή για τις διαπραγματεύσεις αυτές, το οικείο κράτος μέλος ενημερώνει την Επιτροπή τακτικά για την πρόοδο των διαπραγματεύσεων.</w:t>
            </w:r>
          </w:p>
        </w:tc>
      </w:tr>
    </w:tbl>
    <w:p w:rsidR="00A96F97" w:rsidRPr="008B0A49" w:rsidRDefault="00A96F97" w:rsidP="00A96F97"/>
    <w:p w:rsidR="00A96F97" w:rsidRPr="008B0A49" w:rsidRDefault="00A96F97" w:rsidP="00570E55">
      <w:pPr>
        <w:pStyle w:val="AMNumberTabs"/>
      </w:pPr>
      <w:r w:rsidRPr="008B0A49">
        <w:lastRenderedPageBreak/>
        <w:t xml:space="preserve">Τροπολογία </w:t>
      </w:r>
      <w:r w:rsidRPr="008B0A49">
        <w:tab/>
      </w:r>
      <w:r w:rsidRPr="008B0A49">
        <w:tab/>
        <w:t>25</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3 – παράγραφος 2 – εδάφιο 2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pPr>
            <w:r w:rsidRPr="008B0A49">
              <w:rPr>
                <w:b/>
                <w:i/>
              </w:rPr>
              <w:t>Οι πληροφορίες που παρέχονται στην Επιτροπή περιλαμβάνουν στοιχεία σχετικά με τις διατάξεις που θα συζητηθούν στις διαπραγματεύσεις, τους στόχους των διαπραγματεύσεων και άλλες σχετικές πληροφορίες σύμφωνα με τις διατάξεις περί εμπιστευτικότητας που ορίζονται στο άρθρο 8.</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26</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3 – παράγραφος 2 – εδάφιο 2 β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pPr>
            <w:r w:rsidRPr="008B0A49">
              <w:rPr>
                <w:b/>
                <w:i/>
              </w:rPr>
              <w:t>Η Επιτροπή εξασφαλίζει την πρόσβαση όλων των κρατών μελών στις πληροφορίες που λαμβάνει, εξαιρουμένων των εμπιστευτικών τμημάτων τους σύμφωνα με το άρθρο 8, καθώς και σε οιοδήποτε σημείωμα σχετικά με την ασυμβατότητα με το δίκαιο της Ένωσης, προκειμένου εξασφαλιστεί η επίτευξη των στόχων της Ενεργειακής Ένωσης.</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27</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3 – παράγραφος 3 – εδάφιο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 xml:space="preserve">Σε περίπτωση που η κυρωθείσα διακυβερνητική συμφωνία ή τροποποίηση διακυβερνητικής συμφωνίας παραπέμπει ρητά σε άλλα κείμενα, το οικείο κράτος μέλος υποβάλλει και τα κείμενα αυτά στον βαθμό που περιέχουν </w:t>
            </w:r>
            <w:r w:rsidRPr="008B0A49">
              <w:rPr>
                <w:b/>
                <w:i/>
              </w:rPr>
              <w:t xml:space="preserve">στοιχεία τα οποία ίσως έχουν αντίκτυπο στη λειτουργία της εσωτερικής αγοράς ενέργειας ή στην </w:t>
            </w:r>
            <w:r w:rsidRPr="008B0A49">
              <w:rPr>
                <w:b/>
                <w:i/>
              </w:rPr>
              <w:lastRenderedPageBreak/>
              <w:t>ασφάλεια του ενεργειακού εφοδιασμού της Ένωσης</w:t>
            </w:r>
            <w:r w:rsidRPr="008B0A49">
              <w:t>.</w:t>
            </w:r>
          </w:p>
        </w:tc>
        <w:tc>
          <w:tcPr>
            <w:tcW w:w="4876" w:type="dxa"/>
            <w:hideMark/>
          </w:tcPr>
          <w:p w:rsidR="00A96F97" w:rsidRPr="008B0A49" w:rsidRDefault="00A96F97" w:rsidP="00864F31">
            <w:pPr>
              <w:spacing w:after="120"/>
            </w:pPr>
            <w:r w:rsidRPr="008B0A49">
              <w:lastRenderedPageBreak/>
              <w:t xml:space="preserve">Σε περίπτωση που η κυρωθείσα διακυβερνητική συμφωνία ή τροποποίηση διακυβερνητικής συμφωνίας παραπέμπει ρητά σε άλλα κείμενα, το οικείο κράτος μέλος υποβάλλει και τα κείμενα αυτά στον βαθμό που περιέχουν </w:t>
            </w:r>
            <w:r w:rsidRPr="008B0A49">
              <w:rPr>
                <w:b/>
                <w:i/>
              </w:rPr>
              <w:t xml:space="preserve">οποιαδήποτε από τα στοιχεία που απαριθμούνται στο άρθρο 2 </w:t>
            </w:r>
            <w:r w:rsidRPr="008B0A49">
              <w:rPr>
                <w:b/>
                <w:i/>
              </w:rPr>
              <w:lastRenderedPageBreak/>
              <w:t>παράγραφος 1</w:t>
            </w:r>
            <w:r w:rsidRPr="008B0A49">
              <w:t>.</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28</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3 – παράγραφος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4.</w:t>
            </w:r>
            <w:r w:rsidRPr="008B0A49">
              <w:tab/>
              <w:t>Η υποχρέωση κοινοποίησης στην Επιτροπή σύμφωνα με τις παραγράφους 2 και 3 δεν εφαρμόζεται στις συμφωνίες μεταξύ επιχειρήσεων.</w:t>
            </w:r>
          </w:p>
        </w:tc>
        <w:tc>
          <w:tcPr>
            <w:tcW w:w="4876" w:type="dxa"/>
            <w:hideMark/>
          </w:tcPr>
          <w:p w:rsidR="00A96F97" w:rsidRPr="008B0A49" w:rsidRDefault="00A96F97" w:rsidP="00864F31">
            <w:pPr>
              <w:spacing w:after="120"/>
              <w:rPr>
                <w:szCs w:val="24"/>
              </w:rPr>
            </w:pPr>
            <w:r w:rsidRPr="008B0A49">
              <w:t>4.</w:t>
            </w:r>
            <w:r w:rsidRPr="008B0A49">
              <w:tab/>
              <w:t xml:space="preserve">Η υποχρέωση κοινοποίησης στην Επιτροπή σύμφωνα με τις παραγράφους 2 και 3 δεν εφαρμόζεται στις συμφωνίες </w:t>
            </w:r>
            <w:r w:rsidRPr="008B0A49">
              <w:rPr>
                <w:b/>
                <w:i/>
              </w:rPr>
              <w:t xml:space="preserve">που συνάπτονται αποκλειστικά </w:t>
            </w:r>
            <w:r w:rsidRPr="008B0A49">
              <w:t>μεταξύ επιχειρήσεων.</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Σε περίπτωση αμφιβολίας ως προς το αν μια συμφωνία αποτελεί διακυβερνητική συμφωνία ή υφιστάμενη διακυβερνητική συμφωνία και, συνεπώς, αν πρέπει να κοινοποιηθεί σύμφωνα με τα άρθρα 3 και 6, τα κράτη μέλη διαβουλεύονται με την Επιτροπή, χωρίς καθυστέρηση·</w:t>
            </w:r>
          </w:p>
        </w:tc>
      </w:tr>
    </w:tbl>
    <w:p w:rsidR="00A96F97" w:rsidRPr="008B0A49" w:rsidRDefault="00A96F97" w:rsidP="00A96F97">
      <w:pPr>
        <w:rPr>
          <w:szCs w:val="24"/>
        </w:rPr>
      </w:pPr>
    </w:p>
    <w:p w:rsidR="00A96F97" w:rsidRPr="008B0A49" w:rsidRDefault="00A96F97" w:rsidP="00570E55">
      <w:pPr>
        <w:pStyle w:val="AMNumberTabs"/>
      </w:pPr>
      <w:r w:rsidRPr="008B0A49">
        <w:t>Τροπολογία</w:t>
      </w:r>
      <w:r w:rsidRPr="008B0A49">
        <w:tab/>
      </w:r>
      <w:r w:rsidRPr="008B0A49">
        <w:tab/>
        <w:t>29</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4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w:t>
            </w:r>
            <w:r w:rsidRPr="008B0A49">
              <w:tab/>
              <w:t xml:space="preserve">Σε περίπτωση που κράτος μέλος ενημερώσει την Επιτροπή για τις διαπραγματεύσεις όπως προβλέπεται στο άρθρο 3 παράγραφος 1, οι υπηρεσίες της Επιτροπής </w:t>
            </w:r>
            <w:r w:rsidRPr="008B0A49">
              <w:rPr>
                <w:b/>
                <w:i/>
              </w:rPr>
              <w:t>δύνανται να παράσχουν συμβουλές</w:t>
            </w:r>
            <w:r w:rsidRPr="008B0A49">
              <w:t xml:space="preserve"> σχετικά με το πώς να </w:t>
            </w:r>
            <w:r w:rsidRPr="008B0A49">
              <w:rPr>
                <w:b/>
                <w:i/>
              </w:rPr>
              <w:t>αποφευχθεί</w:t>
            </w:r>
            <w:r w:rsidRPr="008B0A49">
              <w:t xml:space="preserve"> η </w:t>
            </w:r>
            <w:r w:rsidRPr="008B0A49">
              <w:rPr>
                <w:b/>
                <w:i/>
              </w:rPr>
              <w:t>ασυμβατότητα της διακυβερνητικής συμφωνίας</w:t>
            </w:r>
            <w:r w:rsidRPr="008B0A49">
              <w:t xml:space="preserve"> ή </w:t>
            </w:r>
            <w:r w:rsidRPr="008B0A49">
              <w:rPr>
                <w:b/>
                <w:i/>
              </w:rPr>
              <w:t>της τροποποίησης</w:t>
            </w:r>
            <w:r w:rsidRPr="008B0A49">
              <w:t xml:space="preserve"> υφιστάμενης διακυβερνητικής συμφωνίας που τελεί υπό διαπραγμάτευση με το δίκαιο της Ένωσης</w:t>
            </w:r>
            <w:r w:rsidRPr="008B0A49">
              <w:rPr>
                <w:b/>
                <w:i/>
              </w:rPr>
              <w:t>. Το εν λόγω κράτος μέλος μπορεί επίσης να ζητήσει τη συνδρομή της Επιτροπής στις εν λόγω διαπραγματεύσεις</w:t>
            </w:r>
            <w:r w:rsidRPr="008B0A49">
              <w:t>.</w:t>
            </w:r>
          </w:p>
        </w:tc>
        <w:tc>
          <w:tcPr>
            <w:tcW w:w="4876" w:type="dxa"/>
            <w:hideMark/>
          </w:tcPr>
          <w:p w:rsidR="00A96F97" w:rsidRPr="008B0A49" w:rsidRDefault="00A96F97" w:rsidP="00864F31">
            <w:pPr>
              <w:spacing w:after="120"/>
              <w:rPr>
                <w:szCs w:val="24"/>
              </w:rPr>
            </w:pPr>
            <w:r w:rsidRPr="008B0A49">
              <w:t>1.</w:t>
            </w:r>
            <w:r w:rsidRPr="008B0A49">
              <w:tab/>
              <w:t xml:space="preserve">Σε περίπτωση που κράτος μέλος ενημερώσει την Επιτροπή για τις διαπραγματεύσεις όπως προβλέπεται στο άρθρο 3 παράγραφος 1, οι υπηρεσίες της Επιτροπής </w:t>
            </w:r>
            <w:r w:rsidRPr="008B0A49">
              <w:rPr>
                <w:b/>
                <w:i/>
              </w:rPr>
              <w:t>παρέχουν συμβουλές σχετικά με τις κατευθυντήριες γραμμές και</w:t>
            </w:r>
            <w:r w:rsidRPr="008B0A49">
              <w:t xml:space="preserve"> σχετικά με το πώς να </w:t>
            </w:r>
            <w:r w:rsidRPr="008B0A49">
              <w:rPr>
                <w:b/>
                <w:i/>
              </w:rPr>
              <w:t>εξασφαλιστεί ότι</w:t>
            </w:r>
            <w:r w:rsidRPr="008B0A49">
              <w:t xml:space="preserve"> η </w:t>
            </w:r>
            <w:r w:rsidRPr="008B0A49">
              <w:rPr>
                <w:b/>
                <w:i/>
              </w:rPr>
              <w:t>διακυβερνητική συμφωνία</w:t>
            </w:r>
            <w:r w:rsidRPr="008B0A49">
              <w:t xml:space="preserve"> ή </w:t>
            </w:r>
            <w:r w:rsidRPr="008B0A49">
              <w:rPr>
                <w:b/>
                <w:i/>
              </w:rPr>
              <w:t>η τροποποίηση</w:t>
            </w:r>
            <w:r w:rsidRPr="008B0A49">
              <w:t xml:space="preserve"> υφιστάμενης διακυβερνητικής συμφωνίας που τελεί υπό διαπραγμάτευση </w:t>
            </w:r>
            <w:r w:rsidRPr="008B0A49">
              <w:rPr>
                <w:b/>
                <w:i/>
              </w:rPr>
              <w:t xml:space="preserve">συμμορφώνεται </w:t>
            </w:r>
            <w:r w:rsidRPr="008B0A49">
              <w:t>με το δίκαιο της Ένωσης</w:t>
            </w:r>
            <w:r w:rsidRPr="008B0A49">
              <w:rPr>
                <w:b/>
                <w:i/>
              </w:rPr>
              <w:t xml:space="preserve"> και με τους στόχους της Ένωσης όσον αφορά την ασφάλεια του ενεργειακού εφοδιασμού</w:t>
            </w:r>
            <w:r w:rsidRPr="008B0A49">
              <w:t>.</w:t>
            </w:r>
          </w:p>
        </w:tc>
      </w:tr>
    </w:tbl>
    <w:p w:rsidR="00A96F97" w:rsidRPr="008B0A49" w:rsidRDefault="00A96F97" w:rsidP="00A96F97"/>
    <w:p w:rsidR="00A96F97" w:rsidRPr="008B0A49" w:rsidRDefault="00A96F97" w:rsidP="00A96F97"/>
    <w:p w:rsidR="00A96F97" w:rsidRPr="008B0A49" w:rsidRDefault="00A96F97" w:rsidP="00570E55">
      <w:pPr>
        <w:pStyle w:val="AMNumberTabs"/>
      </w:pPr>
      <w:r w:rsidRPr="008B0A49">
        <w:lastRenderedPageBreak/>
        <w:t>Τροπολογία</w:t>
      </w:r>
      <w:r w:rsidRPr="008B0A49">
        <w:tab/>
      </w:r>
      <w:r w:rsidRPr="008B0A49">
        <w:tab/>
        <w:t>30</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4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2.</w:t>
            </w:r>
            <w:r w:rsidRPr="008B0A49">
              <w:tab/>
            </w:r>
            <w:r w:rsidRPr="008B0A49">
              <w:rPr>
                <w:b/>
                <w:i/>
              </w:rPr>
              <w:t>Κατόπιν αιτήματος του οικείου κράτους μέλους ή κατόπιν αιτήματος της Επιτροπής και γραπτής έγκρισης του οικείου κράτους μέλους, η Επιτροπή μπορεί να συμμετάσχει</w:t>
            </w:r>
            <w:r w:rsidRPr="008B0A49">
              <w:t xml:space="preserve"> στις διαπραγματεύσεις ως παρατηρητής.</w:t>
            </w:r>
          </w:p>
        </w:tc>
        <w:tc>
          <w:tcPr>
            <w:tcW w:w="4876" w:type="dxa"/>
            <w:hideMark/>
          </w:tcPr>
          <w:p w:rsidR="00A96F97" w:rsidRPr="008B0A49" w:rsidRDefault="00A96F97" w:rsidP="00864F31">
            <w:pPr>
              <w:spacing w:after="120"/>
              <w:rPr>
                <w:szCs w:val="24"/>
              </w:rPr>
            </w:pPr>
            <w:r w:rsidRPr="008B0A49">
              <w:t>2.</w:t>
            </w:r>
            <w:r w:rsidRPr="008B0A49">
              <w:tab/>
            </w:r>
            <w:r w:rsidRPr="008B0A49">
              <w:rPr>
                <w:b/>
                <w:i/>
              </w:rPr>
              <w:t>Όταν η Επιτροπή το θεωρήσει αναγκαίο έχοντας υπόψη τη λειτουργία της εσωτερικής αγοράς ενέργειας ή της ασφάλειας του ενεργειακού εφοδιασμού στην Ένωση, συμμετέχει</w:t>
            </w:r>
            <w:r w:rsidRPr="008B0A49">
              <w:t xml:space="preserve"> στις διαπραγματεύσεις ως παρατηρητής </w:t>
            </w:r>
            <w:r w:rsidRPr="008B0A49">
              <w:rPr>
                <w:b/>
                <w:i/>
              </w:rPr>
              <w:t>χωρίς να περιορίζει την ελευθερία διαπραγματεύσεων των κρατών μελών.</w:t>
            </w:r>
            <w:r w:rsidRPr="008B0A49">
              <w:t xml:space="preserve"> </w:t>
            </w:r>
            <w:r w:rsidRPr="008B0A49">
              <w:rPr>
                <w:b/>
                <w:i/>
              </w:rPr>
              <w:t>Τα ενδιαφερόμενα κράτη μέλη μπορούν επίσης να ζητούν τη συνδρομή της Επιτροπής στις διαπραγματεύσεις.</w:t>
            </w:r>
          </w:p>
        </w:tc>
      </w:tr>
    </w:tbl>
    <w:p w:rsidR="00A96F97" w:rsidRPr="008B0A49" w:rsidRDefault="00A96F97" w:rsidP="00570E55">
      <w:pPr>
        <w:pStyle w:val="AMNumberTabs"/>
      </w:pPr>
      <w:r w:rsidRPr="008B0A49">
        <w:t>Τροπολογία</w:t>
      </w:r>
      <w:r w:rsidRPr="008B0A49">
        <w:tab/>
      </w:r>
      <w:r w:rsidRPr="008B0A49">
        <w:tab/>
        <w:t>31</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4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3.</w:t>
            </w:r>
            <w:r w:rsidRPr="008B0A49">
              <w:tab/>
            </w:r>
            <w:r w:rsidRPr="008B0A49">
              <w:rPr>
                <w:b/>
                <w:i/>
              </w:rPr>
              <w:t>Σε περίπτωση που η Επιτροπή συμμετάσχει στις διαπραγματεύσεις ως παρατηρητής</w:t>
            </w:r>
            <w:r w:rsidRPr="008B0A49">
              <w:t xml:space="preserve">, </w:t>
            </w:r>
            <w:r w:rsidRPr="008B0A49">
              <w:rPr>
                <w:b/>
                <w:i/>
              </w:rPr>
              <w:t>μπορεί να συμβουλεύσει</w:t>
            </w:r>
            <w:r w:rsidRPr="008B0A49">
              <w:t xml:space="preserve"> το οικείο κράτος μέλος σχετικά με το πώς να </w:t>
            </w:r>
            <w:r w:rsidRPr="008B0A49">
              <w:rPr>
                <w:b/>
                <w:i/>
              </w:rPr>
              <w:t>αποφύγει την ασυμβατότητα της διακυβερνητικής συμφωνίας</w:t>
            </w:r>
            <w:r w:rsidRPr="008B0A49">
              <w:t xml:space="preserve"> ή </w:t>
            </w:r>
            <w:r w:rsidRPr="008B0A49">
              <w:rPr>
                <w:b/>
                <w:i/>
              </w:rPr>
              <w:t>της τροποποίησης</w:t>
            </w:r>
            <w:r w:rsidRPr="008B0A49">
              <w:t xml:space="preserve"> που τελεί υπό διαπραγμάτευση με το δίκαιο της Ένωσης.</w:t>
            </w:r>
          </w:p>
        </w:tc>
        <w:tc>
          <w:tcPr>
            <w:tcW w:w="4876" w:type="dxa"/>
            <w:hideMark/>
          </w:tcPr>
          <w:p w:rsidR="00A96F97" w:rsidRPr="008B0A49" w:rsidRDefault="00A96F97" w:rsidP="00864F31">
            <w:pPr>
              <w:spacing w:after="120"/>
              <w:rPr>
                <w:szCs w:val="24"/>
              </w:rPr>
            </w:pPr>
            <w:r w:rsidRPr="008B0A49">
              <w:t>3.</w:t>
            </w:r>
            <w:r w:rsidRPr="008B0A49">
              <w:tab/>
            </w:r>
            <w:r w:rsidRPr="008B0A49">
              <w:rPr>
                <w:b/>
                <w:i/>
              </w:rPr>
              <w:t>Κατά τη διάρκεια των διαπραγματεύσεων</w:t>
            </w:r>
            <w:r w:rsidRPr="008B0A49">
              <w:t xml:space="preserve">, </w:t>
            </w:r>
            <w:r w:rsidRPr="008B0A49">
              <w:rPr>
                <w:b/>
                <w:i/>
              </w:rPr>
              <w:t>η Επιτροπή συμβουλεύει</w:t>
            </w:r>
            <w:r w:rsidRPr="008B0A49">
              <w:t xml:space="preserve"> το οικείο κράτος μέλος σχετικά με το πώς να </w:t>
            </w:r>
            <w:r w:rsidRPr="008B0A49">
              <w:rPr>
                <w:b/>
                <w:i/>
              </w:rPr>
              <w:t>εξασφαλίσει ότι η διακυβερνητική συμφωνία</w:t>
            </w:r>
            <w:r w:rsidRPr="008B0A49">
              <w:t xml:space="preserve"> ή </w:t>
            </w:r>
            <w:r w:rsidRPr="008B0A49">
              <w:rPr>
                <w:b/>
                <w:i/>
              </w:rPr>
              <w:t>η τροποποίηση</w:t>
            </w:r>
            <w:r w:rsidRPr="008B0A49">
              <w:t xml:space="preserve"> που τελεί υπό διαπραγμάτευση </w:t>
            </w:r>
            <w:r w:rsidRPr="008B0A49">
              <w:rPr>
                <w:b/>
                <w:i/>
              </w:rPr>
              <w:t xml:space="preserve">συμμορφώνεται </w:t>
            </w:r>
            <w:r w:rsidRPr="008B0A49">
              <w:t>με το δίκαιο της Ένωσης</w:t>
            </w:r>
            <w:r w:rsidRPr="008B0A49">
              <w:rPr>
                <w:b/>
                <w:i/>
              </w:rPr>
              <w:t xml:space="preserve"> και με τους στόχους της Ένωσης όσον αφορά την ασφάλεια του ενεργειακού εφοδιασμού.</w:t>
            </w:r>
            <w:r w:rsidRPr="008B0A49">
              <w:t xml:space="preserve"> </w:t>
            </w:r>
            <w:r w:rsidRPr="008B0A49">
              <w:rPr>
                <w:b/>
                <w:i/>
              </w:rPr>
              <w:t>Οι εκπρόσωποι της Επιτροπής χειρίζονται τις ευαίσθητες πληροφορίες που λαμβάνονται κατά τη διάρκεια των διαπραγματεύσεων με την δέουσα εμπιστευτικότητα</w:t>
            </w:r>
            <w:r w:rsidRPr="008B0A49">
              <w:t>.</w:t>
            </w:r>
          </w:p>
        </w:tc>
      </w:tr>
    </w:tbl>
    <w:p w:rsidR="00A96F97" w:rsidRPr="008B0A49" w:rsidRDefault="00A96F97" w:rsidP="00A96F97"/>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32</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5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w:t>
            </w:r>
            <w:r w:rsidRPr="008B0A49">
              <w:tab/>
              <w:t>Η Επιτροπή, εντός έξι εβδομάδων από την ημερομηνία κοινοποίησης του ολοκληρωμένου σχεδίου διακυβερνητικής συμφωνίας ή της τροποποίησης, συμπεριλαμβανομένων των παραρτημάτων της, ενημερώνει το οικείο κράτος μέλος βάσει του άρθρου 3 παράγραφος 2 σχετικά με τυχόν αμφιβολίες που μπορεί να έχει όσον αφορά τη συμβατότητα του σχεδίου της διακυβερνητικής συμφωνίας ή της τροποποίησης με το δίκαιο της Ένωσης</w:t>
            </w:r>
            <w:r w:rsidRPr="008B0A49">
              <w:rPr>
                <w:b/>
                <w:i/>
              </w:rPr>
              <w:t>, ιδίως δε με τη νομοθεσία για την εσωτερική αγορά ενέργειας και το ενωσιακό δίκαιο περί ανταγωνισμού</w:t>
            </w:r>
            <w:r w:rsidRPr="008B0A49">
              <w:t>. Θεωρείται ότι η Επιτροπή δεν έχει εγείρει αμφιβολίες εάν δεν απαντήσει εντός της προθεσμίας αυτής.</w:t>
            </w:r>
          </w:p>
        </w:tc>
        <w:tc>
          <w:tcPr>
            <w:tcW w:w="4876" w:type="dxa"/>
            <w:hideMark/>
          </w:tcPr>
          <w:p w:rsidR="00A96F97" w:rsidRPr="008B0A49" w:rsidRDefault="00A96F97" w:rsidP="00864F31">
            <w:pPr>
              <w:spacing w:after="120"/>
              <w:rPr>
                <w:szCs w:val="24"/>
              </w:rPr>
            </w:pPr>
            <w:r w:rsidRPr="008B0A49">
              <w:t>1.</w:t>
            </w:r>
            <w:r w:rsidRPr="008B0A49">
              <w:tab/>
              <w:t xml:space="preserve">Η Επιτροπή, εντός </w:t>
            </w:r>
            <w:r w:rsidRPr="008B0A49">
              <w:rPr>
                <w:b/>
                <w:i/>
              </w:rPr>
              <w:t>τεσσάρων</w:t>
            </w:r>
            <w:r w:rsidRPr="008B0A49">
              <w:t xml:space="preserve"> εβδομάδων από την ημερομηνία κοινοποίησης του ολοκληρωμένου σχεδίου διακυβερνητικής συμφωνίας ή της τροποποίησης, συμπεριλαμβανομένων των παραρτημάτων της, ενημερώνει το οικείο κράτος μέλος βάσει του άρθρου 3 παράγραφος 2 σχετικά με τυχόν αμφιβολίες που μπορεί να έχει όσον αφορά τη συμβατότητα του σχεδίου της διακυβερνητικής συμφωνίας ή της τροποποίησης με το δίκαιο της Ένωσης. Θεωρείται ότι η Επιτροπή δεν έχει εγείρει αμφιβολίες εάν δεν απαντήσει εντός της προθεσμίας αυτής.</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33</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5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2.</w:t>
            </w:r>
            <w:r w:rsidRPr="008B0A49">
              <w:tab/>
              <w:t xml:space="preserve">Σε περίπτωση που η Επιτροπή ενημερώσει το οικείο κράτος μέλος βάσει της παραγράφου 1 ότι </w:t>
            </w:r>
            <w:r w:rsidRPr="008B0A49">
              <w:rPr>
                <w:b/>
                <w:i/>
              </w:rPr>
              <w:t>έχει αμφιβολίες, γνωστοποιεί στο οικείο κράτος μέλος</w:t>
            </w:r>
            <w:r w:rsidRPr="008B0A49">
              <w:t xml:space="preserve"> τη </w:t>
            </w:r>
            <w:r w:rsidRPr="008B0A49">
              <w:rPr>
                <w:b/>
                <w:i/>
              </w:rPr>
              <w:t>γνώμη της σχετικά με τη συμβατότητα του σχεδίου διακυβερνητικής συμφωνίας</w:t>
            </w:r>
            <w:r w:rsidRPr="008B0A49">
              <w:t xml:space="preserve"> ή </w:t>
            </w:r>
            <w:r w:rsidRPr="008B0A49">
              <w:rPr>
                <w:b/>
                <w:i/>
              </w:rPr>
              <w:t>της τροποποίησης</w:t>
            </w:r>
            <w:r w:rsidRPr="008B0A49">
              <w:t xml:space="preserve"> με το δίκαιο της Ένωσης, </w:t>
            </w:r>
            <w:r w:rsidRPr="008B0A49">
              <w:rPr>
                <w:b/>
                <w:i/>
              </w:rPr>
              <w:t>ιδίως δε με τη νομοθεσία για την εσωτερική αγορά ενέργειας και το ενωσιακό δίκαιο περί ανταγωνισμού,</w:t>
            </w:r>
            <w:r w:rsidRPr="008B0A49">
              <w:t xml:space="preserve"> εντός 12 εβδομάδων από την ημερομηνία της κοινοποίησης που αναφέρεται στην παράγραφο 1. Θεωρείται ότι η Επιτροπή δεν έχει εγείρει αντιρρήσεις εάν δεν γνωμοδοτήσει εντός της εν λόγω προθεσμίας.</w:t>
            </w:r>
          </w:p>
        </w:tc>
        <w:tc>
          <w:tcPr>
            <w:tcW w:w="4876" w:type="dxa"/>
            <w:hideMark/>
          </w:tcPr>
          <w:p w:rsidR="00A96F97" w:rsidRPr="008B0A49" w:rsidRDefault="00A96F97" w:rsidP="00864F31">
            <w:pPr>
              <w:spacing w:after="120"/>
              <w:rPr>
                <w:szCs w:val="24"/>
              </w:rPr>
            </w:pPr>
            <w:r w:rsidRPr="008B0A49">
              <w:t>2.</w:t>
            </w:r>
            <w:r w:rsidRPr="008B0A49">
              <w:tab/>
              <w:t xml:space="preserve">Σε περίπτωση που η Επιτροπή ενημερώσει το οικείο κράτος μέλος βάσει της παραγράφου 1 ότι </w:t>
            </w:r>
            <w:r w:rsidRPr="008B0A49">
              <w:rPr>
                <w:b/>
                <w:i/>
              </w:rPr>
              <w:t>θεωρεί</w:t>
            </w:r>
            <w:r w:rsidRPr="008B0A49">
              <w:t xml:space="preserve"> τη </w:t>
            </w:r>
            <w:r w:rsidRPr="008B0A49">
              <w:rPr>
                <w:b/>
                <w:i/>
              </w:rPr>
              <w:t>διακυβερνητική συμφωνία</w:t>
            </w:r>
            <w:r w:rsidRPr="008B0A49">
              <w:t xml:space="preserve"> ή </w:t>
            </w:r>
            <w:r w:rsidRPr="008B0A49">
              <w:rPr>
                <w:b/>
                <w:i/>
              </w:rPr>
              <w:t>την τροποποίηση ασύμβατη</w:t>
            </w:r>
            <w:r w:rsidRPr="008B0A49">
              <w:t xml:space="preserve"> με το δίκαιο της Ένωσης, </w:t>
            </w:r>
            <w:r w:rsidRPr="008B0A49">
              <w:rPr>
                <w:b/>
                <w:i/>
              </w:rPr>
              <w:t>διαβιβάζει στο κράτος μέλος αιτιολογημένη γνώμη</w:t>
            </w:r>
            <w:r w:rsidRPr="008B0A49">
              <w:t xml:space="preserve"> εντός 12 εβδομάδων από την ημερομηνία της κοινοποίησης που αναφέρεται στην παράγραφο 1. Θεωρείται ότι η Επιτροπή δεν έχει εγείρει αντιρρήσεις εάν δεν γνωμοδοτήσει εντός της εν λόγω προθεσμίας.</w:t>
            </w:r>
          </w:p>
        </w:tc>
      </w:tr>
    </w:tbl>
    <w:p w:rsidR="00A96F97" w:rsidRPr="008B0A49" w:rsidRDefault="00A96F97" w:rsidP="00A96F97"/>
    <w:p w:rsidR="00A96F97" w:rsidRPr="008B0A49" w:rsidRDefault="00A96F97" w:rsidP="0083325D">
      <w:pPr>
        <w:pStyle w:val="AMNumberTabs"/>
        <w:keepNext/>
      </w:pPr>
      <w:r w:rsidRPr="008B0A49">
        <w:lastRenderedPageBreak/>
        <w:t>Τροπολογία</w:t>
      </w:r>
      <w:r w:rsidRPr="008B0A49">
        <w:tab/>
      </w:r>
      <w:r w:rsidRPr="008B0A49">
        <w:tab/>
        <w:t>34</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5 – παράγραφος 3</w:t>
      </w:r>
    </w:p>
    <w:p w:rsidR="00A96F97" w:rsidRPr="008B0A49" w:rsidRDefault="00A96F97" w:rsidP="00A96F97"/>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3.</w:t>
            </w:r>
            <w:r w:rsidRPr="008B0A49">
              <w:tab/>
              <w:t>Οι προθεσμίες που αναφέρονται στις παραγράφους 1 και 2 δύνανται να παραταθούν με την έγκριση του οικείου κράτους μέλους. Οι προθεσμίες που αναφέρονται στις παραγράφους 1 και 2 συντομεύονται σε συμφωνία με την Επιτροπή εφόσον αυτό απαιτείται από τις περιστάσεις.</w:t>
            </w:r>
          </w:p>
        </w:tc>
        <w:tc>
          <w:tcPr>
            <w:tcW w:w="4876" w:type="dxa"/>
            <w:hideMark/>
          </w:tcPr>
          <w:p w:rsidR="00A96F97" w:rsidRPr="008B0A49" w:rsidRDefault="00A96F97" w:rsidP="00864F31">
            <w:pPr>
              <w:spacing w:after="120"/>
              <w:rPr>
                <w:szCs w:val="24"/>
              </w:rPr>
            </w:pPr>
            <w:r w:rsidRPr="008B0A49">
              <w:t>3.</w:t>
            </w:r>
            <w:r w:rsidRPr="008B0A49">
              <w:tab/>
              <w:t>Οι προθεσμίες που αναφέρονται στις παραγράφους 1 και 2 δύνανται να παραταθούν με την έγκριση του οικείου κράτους μέλους. Οι προθεσμίες που αναφέρονται στις παραγράφους 1 και 2 συντομεύονται σε συμφωνία με την Επιτροπή εφόσον αυτό απαιτείται από τις περιστάσεις</w:t>
            </w:r>
            <w:r w:rsidRPr="008B0A49">
              <w:rPr>
                <w:b/>
                <w:i/>
              </w:rPr>
              <w:t>, κατά τρόπο που να διασφαλίζεται η έγκαιρη ολοκλήρωση των διαπραγματεύσεων</w:t>
            </w:r>
            <w:r w:rsidRPr="008B0A49">
              <w:t>.</w:t>
            </w:r>
          </w:p>
        </w:tc>
      </w:tr>
    </w:tbl>
    <w:p w:rsidR="00A96F97" w:rsidRPr="008B0A49" w:rsidRDefault="00A96F97" w:rsidP="00A96F97">
      <w:pPr>
        <w:rPr>
          <w:szCs w:val="24"/>
        </w:rPr>
      </w:pPr>
    </w:p>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35</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5 – παράγραφος 4 – εδάφιο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rPr>
                <w:b/>
                <w:i/>
              </w:rPr>
              <w:t>Κατά</w:t>
            </w:r>
            <w:r w:rsidRPr="008B0A49">
              <w:t xml:space="preserve"> την υπογραφή, κύρωση ή συνομολόγηση διακυβερνητικής συμφωνίας ή τροποποίησης, το οικείο κράτος μέλος </w:t>
            </w:r>
            <w:r w:rsidRPr="008B0A49">
              <w:rPr>
                <w:b/>
                <w:i/>
              </w:rPr>
              <w:t>οφείλει να λάβει στον μέγιστο βαθμό υπόψη τη</w:t>
            </w:r>
            <w:r w:rsidRPr="008B0A49">
              <w:t xml:space="preserve"> γνώμη της Επιτροπής </w:t>
            </w:r>
            <w:r w:rsidRPr="008B0A49">
              <w:rPr>
                <w:b/>
                <w:i/>
              </w:rPr>
              <w:t>η οποία</w:t>
            </w:r>
            <w:r w:rsidRPr="008B0A49">
              <w:t xml:space="preserve"> αναφέρεται στην παράγραφο 2.</w:t>
            </w:r>
          </w:p>
        </w:tc>
        <w:tc>
          <w:tcPr>
            <w:tcW w:w="4876" w:type="dxa"/>
            <w:hideMark/>
          </w:tcPr>
          <w:p w:rsidR="00A96F97" w:rsidRPr="008B0A49" w:rsidRDefault="00A96F97" w:rsidP="00864F31">
            <w:pPr>
              <w:spacing w:after="120"/>
              <w:rPr>
                <w:szCs w:val="24"/>
              </w:rPr>
            </w:pPr>
            <w:r w:rsidRPr="008B0A49">
              <w:rPr>
                <w:b/>
                <w:i/>
              </w:rPr>
              <w:t>Πριν από</w:t>
            </w:r>
            <w:r w:rsidRPr="008B0A49">
              <w:t xml:space="preserve"> την υπογραφή, κύρωση ή συνομολόγηση διακυβερνητικής συμφωνίας ή τροποποίησης, το οικείο κράτος μέλος </w:t>
            </w:r>
            <w:r w:rsidRPr="008B0A49">
              <w:rPr>
                <w:b/>
                <w:i/>
              </w:rPr>
              <w:t>γνωστοποιεί με ποιον τρόπο αντιμετωπίστηκε η</w:t>
            </w:r>
            <w:r w:rsidRPr="008B0A49">
              <w:t xml:space="preserve"> γνώμη της Επιτροπής </w:t>
            </w:r>
            <w:r w:rsidRPr="008B0A49">
              <w:rPr>
                <w:b/>
                <w:i/>
              </w:rPr>
              <w:t>όπως</w:t>
            </w:r>
            <w:r w:rsidRPr="008B0A49">
              <w:t xml:space="preserve"> αναφέρεται στην παράγραφο 2</w:t>
            </w:r>
            <w:r w:rsidRPr="008B0A49">
              <w:rPr>
                <w:b/>
                <w:i/>
              </w:rPr>
              <w:t>, ούτως ώστε να εξασφαλιστεί πλήρης συμμόρφωση με το δίκαιο της Ένωσης</w:t>
            </w:r>
            <w:r w:rsidRPr="008B0A49">
              <w:t>.</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36</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6 – παράγραφος 1 – εδάφιο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rPr>
                <w:b/>
                <w:i/>
              </w:rPr>
              <w:t>Το αργότερο</w:t>
            </w:r>
            <w:r w:rsidRPr="008B0A49">
              <w:t xml:space="preserve"> έως [3 μήνες από την έναρξη ισχύος της παρούσας απόφασης], τα κράτη μέλη κοινοποιούν στην Επιτροπή όλες τις υφιστάμενες διακυβερνητικές συμφωνίες, συμπεριλαμβανομένων των παραρτημάτων </w:t>
            </w:r>
            <w:r w:rsidRPr="008B0A49">
              <w:lastRenderedPageBreak/>
              <w:t>και των τροποποιήσεών τους.</w:t>
            </w:r>
          </w:p>
        </w:tc>
        <w:tc>
          <w:tcPr>
            <w:tcW w:w="4876" w:type="dxa"/>
            <w:hideMark/>
          </w:tcPr>
          <w:p w:rsidR="00A96F97" w:rsidRPr="008B0A49" w:rsidRDefault="00A96F97" w:rsidP="00864F31">
            <w:pPr>
              <w:spacing w:after="120"/>
            </w:pPr>
            <w:r w:rsidRPr="008B0A49">
              <w:lastRenderedPageBreak/>
              <w:t xml:space="preserve">Έως [3 μήνες από την έναρξη ισχύος της παρούσας απόφασης], τα κράτη μέλη κοινοποιούν στην Επιτροπή όλες τις υφιστάμενες διακυβερνητικές συμφωνίες, συμπεριλαμβανομένων των παραρτημάτων </w:t>
            </w:r>
            <w:r w:rsidRPr="008B0A49">
              <w:lastRenderedPageBreak/>
              <w:t xml:space="preserve">και των τροποποιήσεών τους. </w:t>
            </w:r>
            <w:r w:rsidRPr="008B0A49">
              <w:rPr>
                <w:b/>
                <w:i/>
              </w:rPr>
              <w:t>Όταν υπάρχουν ενδείξεις ότι μπορεί να είναι αναγκαίο να αρχίσουν διαπραγματεύσεις με τρίτη χώρα στο μέλλον, τα κράτη μέλη ενημερώνουν αναλόγως την Επιτροπή.</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37</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6 – παράγραφος 1 – εδάφιο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 xml:space="preserve">Η υποχρέωση κοινοποίησης στην Επιτροπή σύμφωνα με </w:t>
            </w:r>
            <w:r w:rsidRPr="008B0A49">
              <w:rPr>
                <w:b/>
                <w:i/>
              </w:rPr>
              <w:t>τις παραγράφους 2 και 3</w:t>
            </w:r>
            <w:r w:rsidRPr="008B0A49">
              <w:t xml:space="preserve"> δεν εφαρμόζεται στις συμφωνίες μεταξύ επιχειρήσεων.</w:t>
            </w:r>
          </w:p>
        </w:tc>
        <w:tc>
          <w:tcPr>
            <w:tcW w:w="4876" w:type="dxa"/>
            <w:hideMark/>
          </w:tcPr>
          <w:p w:rsidR="00A96F97" w:rsidRPr="008B0A49" w:rsidRDefault="00A96F97" w:rsidP="00864F31">
            <w:pPr>
              <w:spacing w:after="120"/>
              <w:rPr>
                <w:szCs w:val="24"/>
              </w:rPr>
            </w:pPr>
            <w:r w:rsidRPr="008B0A49">
              <w:t xml:space="preserve">Η υποχρέωση κοινοποίησης στην Επιτροπή σύμφωνα με </w:t>
            </w:r>
            <w:r w:rsidRPr="008B0A49">
              <w:rPr>
                <w:b/>
                <w:i/>
              </w:rPr>
              <w:t>την παρούσα παράγραφο</w:t>
            </w:r>
            <w:r w:rsidRPr="008B0A49">
              <w:t xml:space="preserve"> δεν εφαρμόζεται στις συμφωνίες</w:t>
            </w:r>
            <w:r w:rsidRPr="008B0A49">
              <w:rPr>
                <w:b/>
                <w:i/>
              </w:rPr>
              <w:t xml:space="preserve"> που συνάπτονται αποκλειστικά</w:t>
            </w:r>
            <w:r w:rsidRPr="008B0A49">
              <w:t xml:space="preserve"> μεταξύ επιχειρήσεων.</w:t>
            </w:r>
          </w:p>
        </w:tc>
      </w:tr>
    </w:tbl>
    <w:p w:rsidR="00A96F97" w:rsidRPr="008B0A49" w:rsidRDefault="00A96F97" w:rsidP="00570E55">
      <w:pPr>
        <w:pStyle w:val="AMNumberTabs"/>
      </w:pPr>
      <w:r w:rsidRPr="008B0A49">
        <w:t>Τροπολογία</w:t>
      </w:r>
      <w:r w:rsidRPr="008B0A49">
        <w:tab/>
      </w:r>
      <w:r w:rsidRPr="008B0A49">
        <w:tab/>
        <w:t>38</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6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AE6CCD">
            <w:pPr>
              <w:spacing w:after="120"/>
            </w:pPr>
            <w:r w:rsidRPr="008B0A49">
              <w:t>3.</w:t>
            </w:r>
            <w:r w:rsidRPr="008B0A49">
              <w:tab/>
              <w:t xml:space="preserve">Η Επιτροπή αξιολογεί τις διακυβερνητικές συμφωνίες που κοινοποιούνται σύμφωνα με την παράγραφο 1 ή 2. Σε περίπτωση που η Επιτροπή, κατά την πρώτη της αξιολόγηση, αμφιβάλλει ως προς τη συμβατότητα των εν λόγω συμφωνιών με το δίκαιο της Ένωσης, </w:t>
            </w:r>
            <w:r w:rsidRPr="008B0A49">
              <w:rPr>
                <w:b/>
                <w:i/>
              </w:rPr>
              <w:t>ιδίως δε με τη νομοθεσία για την εσωτερική αγορά ενέργειας και το ενωσιακό δίκαιο περί ανταγωνισμού</w:t>
            </w:r>
            <w:r w:rsidRPr="008B0A49">
              <w:t>, ενημερώνει σχετικά τα οικεία κράτη μέλη εντός εννέα μηνών από την κοινοποίηση των εν λόγω συμφωνιών.</w:t>
            </w:r>
          </w:p>
        </w:tc>
        <w:tc>
          <w:tcPr>
            <w:tcW w:w="4876" w:type="dxa"/>
            <w:hideMark/>
          </w:tcPr>
          <w:p w:rsidR="00A96F97" w:rsidRPr="008B0A49" w:rsidRDefault="00A96F97" w:rsidP="00864F31">
            <w:pPr>
              <w:spacing w:after="120"/>
              <w:rPr>
                <w:szCs w:val="24"/>
              </w:rPr>
            </w:pPr>
            <w:r w:rsidRPr="008B0A49">
              <w:t>3.</w:t>
            </w:r>
            <w:r w:rsidRPr="008B0A49">
              <w:tab/>
              <w:t>Η Επιτροπή αξιολογεί τις διακυβερνητικές συμφωνίες που κοινοποιούνται σύμφωνα με την παράγραφο 1 ή 2. Σε περίπτωση που η Επιτροπή, κατά την πρώτη της αξιολόγηση, αμφιβάλλει ως προς τη συμβατότητα των εν λόγω συμφωνιών με το δίκαιο της Ένωσης, ενημερώνει σχετικά τα οικεία κράτη μέλη εντός εννέα μηνών από την κοινοποίηση των εν λόγω συμφωνιών.</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39</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6 – παράγραφος 3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3α.</w:t>
            </w:r>
            <w:r w:rsidRPr="008B0A49">
              <w:tab/>
            </w:r>
            <w:r w:rsidRPr="008B0A49">
              <w:rPr>
                <w:b/>
                <w:i/>
              </w:rPr>
              <w:t>H αξιολόγηση των διακυβερνητικών συμφωνιών και των υφιστάμενων διακυβερνητικών συμφωνιών από την Επιτροπή διενεργείται με την επιφύλαξη της εφαρμογής των κανόνων της Ένωσης για τις παραβάσεις, τις κρατικές ενισχύσεις και τον ανταγωνισμό και σε καμία περίπτωση δεν προεξοφλεί την αξιολόγησή τους.</w:t>
            </w:r>
          </w:p>
        </w:tc>
      </w:tr>
    </w:tbl>
    <w:p w:rsidR="00A96F97" w:rsidRPr="008B0A49" w:rsidRDefault="00A96F97" w:rsidP="00A96F97"/>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40</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7 – παράγραφος 1 – εδάφιο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rPr>
                <w:b/>
                <w:i/>
              </w:rPr>
              <w:t>Κατόπιν έκδοσης</w:t>
            </w:r>
            <w:r w:rsidRPr="008B0A49">
              <w:t xml:space="preserve"> μιας μη δεσμευτικής πράξης ή τροποποίησης μη δεσμευτικής πράξης, το οικείο κράτος μέλος κοινοποιεί τη μη δεσμευτική πράξη ή την τροποποίηση, συμπεριλαμβανομένων των παραρτημάτων της, στην Επιτροπή.</w:t>
            </w:r>
          </w:p>
        </w:tc>
        <w:tc>
          <w:tcPr>
            <w:tcW w:w="4876" w:type="dxa"/>
            <w:hideMark/>
          </w:tcPr>
          <w:p w:rsidR="00A96F97" w:rsidRPr="008B0A49" w:rsidRDefault="00A96F97" w:rsidP="00864F31">
            <w:pPr>
              <w:spacing w:after="120"/>
              <w:rPr>
                <w:szCs w:val="24"/>
              </w:rPr>
            </w:pPr>
            <w:r w:rsidRPr="008B0A49">
              <w:rPr>
                <w:b/>
                <w:i/>
              </w:rPr>
              <w:t>Πριν από την έκδοση</w:t>
            </w:r>
            <w:r w:rsidRPr="008B0A49">
              <w:t xml:space="preserve"> μιας μη δεσμευτικής πράξης ή τροποποίησης μη δεσμευτικής πράξης, το οικείο κράτος μέλος κοινοποιεί</w:t>
            </w:r>
            <w:r w:rsidRPr="008B0A49">
              <w:rPr>
                <w:b/>
                <w:i/>
              </w:rPr>
              <w:t xml:space="preserve"> χωρίς καθυστέρηση</w:t>
            </w:r>
            <w:r w:rsidRPr="008B0A49">
              <w:t xml:space="preserve"> τη μη δεσμευτική πράξη ή την τροποποίηση, συμπεριλαμβανομένων των παραρτημάτων της, στην Επιτροπή.</w:t>
            </w:r>
          </w:p>
        </w:tc>
      </w:tr>
    </w:tbl>
    <w:p w:rsidR="00A96F97" w:rsidRPr="008B0A49" w:rsidRDefault="00A96F97" w:rsidP="00A96F97"/>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41</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7 – παράγραφος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3.</w:t>
            </w:r>
            <w:r w:rsidRPr="008B0A49">
              <w:tab/>
              <w:t>Η υποχρέωση κοινοποίησης στην Επιτροπή σύμφωνα με τις παραγράφους 1 και 2 δεν εφαρμόζεται στις συμφωνίες μεταξύ επιχειρήσεων.</w:t>
            </w:r>
          </w:p>
        </w:tc>
        <w:tc>
          <w:tcPr>
            <w:tcW w:w="4876" w:type="dxa"/>
            <w:hideMark/>
          </w:tcPr>
          <w:p w:rsidR="00A96F97" w:rsidRPr="008B0A49" w:rsidRDefault="00A96F97" w:rsidP="00864F31">
            <w:pPr>
              <w:spacing w:after="120"/>
              <w:rPr>
                <w:szCs w:val="24"/>
              </w:rPr>
            </w:pPr>
            <w:r w:rsidRPr="008B0A49">
              <w:t>3.</w:t>
            </w:r>
            <w:r w:rsidRPr="008B0A49">
              <w:tab/>
              <w:t xml:space="preserve">Η υποχρέωση κοινοποίησης στην Επιτροπή σύμφωνα με τις παραγράφους 1 και 2 δεν εφαρμόζεται στις συμφωνίες </w:t>
            </w:r>
            <w:r w:rsidRPr="008B0A49">
              <w:rPr>
                <w:b/>
                <w:i/>
              </w:rPr>
              <w:t>που συνάπτονται αποκλειστικά</w:t>
            </w:r>
            <w:r w:rsidRPr="008B0A49">
              <w:t xml:space="preserve"> μεταξύ επιχειρήσεων.</w:t>
            </w:r>
          </w:p>
        </w:tc>
      </w:tr>
    </w:tbl>
    <w:p w:rsidR="00A96F97" w:rsidRPr="008B0A49" w:rsidRDefault="00A96F97" w:rsidP="00A96F97">
      <w:pPr>
        <w:spacing w:before="240"/>
        <w:rPr>
          <w:i/>
        </w:rPr>
      </w:pPr>
    </w:p>
    <w:p w:rsidR="00A96F97" w:rsidRPr="008B0A49" w:rsidRDefault="00A96F97" w:rsidP="00A96F97"/>
    <w:p w:rsidR="00A96F97" w:rsidRPr="008B0A49" w:rsidRDefault="00A96F97" w:rsidP="00A96F97"/>
    <w:p w:rsidR="00A96F97" w:rsidRPr="008B0A49" w:rsidRDefault="00A96F97" w:rsidP="00570E55">
      <w:pPr>
        <w:pStyle w:val="AMNumberTabs"/>
      </w:pPr>
      <w:r w:rsidRPr="008B0A49">
        <w:lastRenderedPageBreak/>
        <w:t>Τροπολογία</w:t>
      </w:r>
      <w:r w:rsidRPr="008B0A49">
        <w:tab/>
      </w:r>
      <w:r w:rsidRPr="008B0A49">
        <w:tab/>
        <w:t>42</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7 – παράγραφος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4.</w:t>
            </w:r>
            <w:r w:rsidRPr="008B0A49">
              <w:tab/>
            </w:r>
            <w:r w:rsidRPr="008B0A49">
              <w:rPr>
                <w:b/>
                <w:i/>
              </w:rPr>
              <w:t>Όταν, μετά την πρώτη της αξιολόγηση, η Επιτροπή κρίνει</w:t>
            </w:r>
            <w:r w:rsidRPr="008B0A49">
              <w:t xml:space="preserve"> ότι τα μέτρα υλοποίησης της μη δεσμευτικής πράξης που της κοινοποιήθηκε σύμφωνα με τις παραγράφους 1 και 2 θα μπορούσαν να αντίκεινται στο δίκαιο της Ένωσης</w:t>
            </w:r>
            <w:r w:rsidRPr="008B0A49">
              <w:rPr>
                <w:b/>
                <w:i/>
              </w:rPr>
              <w:t>, ιδίως δε με τη νομοθεσία</w:t>
            </w:r>
            <w:r w:rsidRPr="008B0A49">
              <w:t xml:space="preserve"> για την </w:t>
            </w:r>
            <w:r w:rsidRPr="008B0A49">
              <w:rPr>
                <w:b/>
                <w:i/>
              </w:rPr>
              <w:t>εσωτερική αγορά ενέργειας και το ενωσιακό δίκαιο περί ανταγωνισμού, η Επιτροπή μπορεί να πληροφορήσει σχετικά το οικείο κράτος μέλος</w:t>
            </w:r>
            <w:r w:rsidRPr="008B0A49">
              <w:t>.</w:t>
            </w:r>
          </w:p>
        </w:tc>
        <w:tc>
          <w:tcPr>
            <w:tcW w:w="4876" w:type="dxa"/>
            <w:hideMark/>
          </w:tcPr>
          <w:p w:rsidR="00A96F97" w:rsidRPr="008B0A49" w:rsidRDefault="00A96F97" w:rsidP="00864F31">
            <w:pPr>
              <w:spacing w:after="120"/>
              <w:rPr>
                <w:szCs w:val="24"/>
              </w:rPr>
            </w:pPr>
            <w:r w:rsidRPr="008B0A49">
              <w:t>4.</w:t>
            </w:r>
            <w:r w:rsidRPr="008B0A49">
              <w:tab/>
            </w:r>
            <w:r w:rsidRPr="008B0A49">
              <w:rPr>
                <w:b/>
                <w:i/>
              </w:rPr>
              <w:t>H Επιτροπή ενημερώνει το οικείο κράτος μέλος σχετικά με τις αμφιβολίες της</w:t>
            </w:r>
            <w:r w:rsidRPr="008B0A49">
              <w:t xml:space="preserve"> ότι τα μέτρα υλοποίησης της μη δεσμευτικής πράξης που της κοινοποιήθηκε σύμφωνα με τις παραγράφους 1 και 2 θα μπορούσαν να αντίκεινται στο δίκαιο της Ένωσης</w:t>
            </w:r>
            <w:r w:rsidRPr="008B0A49">
              <w:rPr>
                <w:b/>
                <w:i/>
              </w:rPr>
              <w:t xml:space="preserve"> ή στους στόχους της στρατηγικής</w:t>
            </w:r>
            <w:r w:rsidRPr="008B0A49">
              <w:t xml:space="preserve"> για την </w:t>
            </w:r>
            <w:r w:rsidRPr="008B0A49">
              <w:rPr>
                <w:b/>
                <w:i/>
              </w:rPr>
              <w:t>Ενεργειακή Ένωση</w:t>
            </w:r>
            <w:r w:rsidRPr="008B0A49">
              <w:t>.</w:t>
            </w:r>
          </w:p>
        </w:tc>
      </w:tr>
      <w:tr w:rsidR="00A96F97" w:rsidRPr="008B0A49" w:rsidTr="00864F31">
        <w:trPr>
          <w:jc w:val="center"/>
        </w:trPr>
        <w:tc>
          <w:tcPr>
            <w:tcW w:w="4876" w:type="dxa"/>
          </w:tcPr>
          <w:p w:rsidR="00A96F97" w:rsidRPr="008B0A49" w:rsidRDefault="00A96F97" w:rsidP="00864F31">
            <w:pPr>
              <w:spacing w:after="120"/>
            </w:pPr>
          </w:p>
        </w:tc>
        <w:tc>
          <w:tcPr>
            <w:tcW w:w="4876" w:type="dxa"/>
          </w:tcPr>
          <w:p w:rsidR="00A96F97" w:rsidRPr="008B0A49" w:rsidRDefault="00A96F97" w:rsidP="00864F31">
            <w:pPr>
              <w:spacing w:after="120"/>
            </w:pPr>
            <w:r w:rsidRPr="008B0A49">
              <w:rPr>
                <w:b/>
                <w:i/>
              </w:rPr>
              <w:t>4α.</w:t>
            </w:r>
            <w:r w:rsidRPr="008B0A49">
              <w:tab/>
            </w:r>
            <w:r w:rsidRPr="008B0A49">
              <w:rPr>
                <w:b/>
                <w:i/>
              </w:rPr>
              <w:t xml:space="preserve">Πριν από την υπογραφή, κύρωση ή συνομολόγηση μη δεσμευτικής πράξης ή τροποποίησης, το οικείο κράτος μέλος γνωστοποιεί με ποιον τρόπο αντιμετωπίστηκε η γνώμη της Επιτροπής, για να εξασφαλιστεί πλήρης συμμόρφωση των εκτελεστικών μέτρων τους με το δίκαιο της Ένωσης και τους στόχους της Ένωσης όσον αφορά την ασφάλεια του ενεργειακού εφοδιασμού. </w:t>
            </w:r>
          </w:p>
        </w:tc>
      </w:tr>
      <w:tr w:rsidR="00A96F97" w:rsidRPr="008B0A49" w:rsidTr="00864F31">
        <w:trPr>
          <w:jc w:val="center"/>
        </w:trPr>
        <w:tc>
          <w:tcPr>
            <w:tcW w:w="4876" w:type="dxa"/>
          </w:tcPr>
          <w:p w:rsidR="00A96F97" w:rsidRPr="008B0A49" w:rsidRDefault="00A96F97" w:rsidP="00864F31">
            <w:pPr>
              <w:spacing w:after="120"/>
            </w:pPr>
          </w:p>
        </w:tc>
        <w:tc>
          <w:tcPr>
            <w:tcW w:w="4876" w:type="dxa"/>
          </w:tcPr>
          <w:p w:rsidR="00A96F97" w:rsidRPr="008B0A49" w:rsidRDefault="00A96F97" w:rsidP="00864F31">
            <w:pPr>
              <w:spacing w:after="120"/>
            </w:pPr>
            <w:r w:rsidRPr="008B0A49">
              <w:rPr>
                <w:b/>
                <w:i/>
              </w:rPr>
              <w:t>Θεωρείται ότι η Επιτροπή δεν έχει εγείρει τέτοιες αμφιβολίες εάν δεν απαντήσει εντός τεσσάρων εβδομάδων από την κοινοποίηση. Η γνώμη της Επιτροπής για τις μη δεσμευτικές πράξεις δεν είναι δεσμευτική. Ωστόσο, κατά την υπογραφή, κύρωση ή συνομολόγηση μη δεσμευτικής πράξης ή τροποποίησης μη δεσμευτικής πράξης, το οικείο κράτος μέλος λαμβάνει στον μέγιστο δυνατό βαθμό υπόψη τη γνώμη της Επιτροπής και εξετάζει τις προβληματικές διατάξεις αυτών των πράξεων.</w:t>
            </w:r>
          </w:p>
        </w:tc>
      </w:tr>
      <w:tr w:rsidR="00A96F97" w:rsidRPr="008B0A49" w:rsidTr="00864F31">
        <w:trPr>
          <w:jc w:val="center"/>
        </w:trPr>
        <w:tc>
          <w:tcPr>
            <w:tcW w:w="4876" w:type="dxa"/>
          </w:tcPr>
          <w:p w:rsidR="00A96F97" w:rsidRPr="008B0A49" w:rsidRDefault="00A96F97" w:rsidP="00864F31">
            <w:pPr>
              <w:spacing w:after="120"/>
            </w:pPr>
          </w:p>
        </w:tc>
        <w:tc>
          <w:tcPr>
            <w:tcW w:w="4876" w:type="dxa"/>
          </w:tcPr>
          <w:p w:rsidR="00A96F97" w:rsidRPr="008B0A49" w:rsidRDefault="00A96F97" w:rsidP="00864F31">
            <w:pPr>
              <w:spacing w:after="120"/>
            </w:pPr>
            <w:r w:rsidRPr="008B0A49">
              <w:rPr>
                <w:b/>
                <w:i/>
              </w:rPr>
              <w:t>4β.</w:t>
            </w:r>
            <w:r w:rsidRPr="008B0A49">
              <w:tab/>
            </w:r>
            <w:r w:rsidRPr="008B0A49">
              <w:rPr>
                <w:b/>
                <w:i/>
              </w:rPr>
              <w:t>Σε περίπτωση αμφιβολίας ως προς το αν μια πράξη αποτελεί μη δεσμευτική πράξη ή υφιστάμενη μη δεσμευτική πράξη και, συνεπώς, αν πρέπει να κοινοποιηθεί σύμφωνα με το άρθρο 7, τα κράτη μέλη διαβουλεύονται με την Επιτροπή χωρίς καθυστέρηση.</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43</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8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2.</w:t>
            </w:r>
            <w:r w:rsidRPr="008B0A49">
              <w:tab/>
              <w:t>Όταν ένα κράτος μέλος δεν έχει επισημάνει τις πληροφορίες ως εμπιστευτικές σύμφωνα με την παράγραφο 1, η Επιτροπή καθιστά τις εν λόγω πληροφορίες προσβάσιμες, σε ασφαλή ηλεκτρονική μορφή, σε όλα τα υπόλοιπα κράτη μέλη.</w:t>
            </w:r>
          </w:p>
        </w:tc>
        <w:tc>
          <w:tcPr>
            <w:tcW w:w="4876" w:type="dxa"/>
            <w:hideMark/>
          </w:tcPr>
          <w:p w:rsidR="00A96F97" w:rsidRPr="008B0A49" w:rsidRDefault="00A96F97" w:rsidP="00864F31">
            <w:pPr>
              <w:spacing w:after="120"/>
            </w:pPr>
            <w:r w:rsidRPr="008B0A49">
              <w:t>2.</w:t>
            </w:r>
            <w:r w:rsidRPr="008B0A49">
              <w:tab/>
              <w:t xml:space="preserve">Όταν ένα κράτος μέλος δεν έχει επισημάνει τις πληροφορίες ως εμπιστευτικές σύμφωνα με την παράγραφο 1, η Επιτροπή καθιστά τις εν λόγω πληροφορίες προσβάσιμες, σε ασφαλή ηλεκτρονική μορφή, σε όλα τα υπόλοιπα κράτη μέλη </w:t>
            </w:r>
            <w:r w:rsidRPr="008B0A49">
              <w:rPr>
                <w:b/>
                <w:i/>
              </w:rPr>
              <w:t>μαζί με το σημείωμα που αφορά ενδεχόμενη ασυμβατότητα με το δίκαιο της Ένωσης.</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44</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keepNext/>
        <w:rPr>
          <w:b/>
        </w:rPr>
      </w:pPr>
      <w:r w:rsidRPr="008B0A49">
        <w:rPr>
          <w:b/>
        </w:rPr>
        <w:t>Άρθρο 8 – παράγραφος 3 – εδάφιο 2 – στοιχείο ε α (νέο)</w:t>
      </w:r>
    </w:p>
    <w:p w:rsidR="00A96F97" w:rsidRPr="008B0A49" w:rsidRDefault="00A96F97" w:rsidP="00A96F97"/>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ε α)</w:t>
            </w:r>
            <w:r w:rsidRPr="008B0A49">
              <w:tab/>
            </w:r>
            <w:r w:rsidRPr="008B0A49">
              <w:rPr>
                <w:b/>
                <w:i/>
              </w:rPr>
              <w:t>πληροφορίες σχετικά με τις διατάξεις που εμπίπτουν στην αρμοδιότητα της Ένωσης στο πλαίσιο της Κοινής Εμπορικής Πολιτικής.</w:t>
            </w:r>
          </w:p>
        </w:tc>
      </w:tr>
    </w:tbl>
    <w:p w:rsidR="00A96F97" w:rsidRPr="008B0A49" w:rsidRDefault="00A96F97" w:rsidP="00A96F97">
      <w:pPr>
        <w:keepNext/>
        <w:spacing w:before="240"/>
        <w:jc w:val="center"/>
        <w:rPr>
          <w:i/>
        </w:rPr>
      </w:pPr>
      <w:r w:rsidRPr="008B0A49">
        <w:rPr>
          <w:i/>
        </w:rPr>
        <w:t>Αιτιολόγηση</w:t>
      </w:r>
    </w:p>
    <w:p w:rsidR="00A96F97" w:rsidRPr="008B0A49" w:rsidRDefault="00A96F97" w:rsidP="00A96F97">
      <w:pPr>
        <w:spacing w:before="240"/>
        <w:rPr>
          <w:i/>
        </w:rPr>
      </w:pPr>
      <w:r w:rsidRPr="008B0A49">
        <w:rPr>
          <w:i/>
        </w:rPr>
        <w:t>Ο εισηγητής θεωρεί ότι θα πρέπει να δοθεί επίσης ειδική έμφαση στη συμβατότητα με τα ζητήματα που εμπίπτουν στην αποκλειστική αρμοδιότητα της Ένωσης στο πλαίσιο της Κοινής Εμπορικής Πολιτικής.</w:t>
      </w:r>
    </w:p>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45</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8 – παράγραφος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4.</w:t>
            </w:r>
            <w:r w:rsidRPr="008B0A49">
              <w:tab/>
              <w:t xml:space="preserve">Η Επιτροπή καθιστά προσβάσιμες τις συνόψεις που αναφέρονται στην παράγραφο 3, σε ηλεκτρονική μορφή, σε </w:t>
            </w:r>
            <w:r w:rsidRPr="008B0A49">
              <w:lastRenderedPageBreak/>
              <w:t>όλα τα λοιπά κράτη μέλη.</w:t>
            </w:r>
          </w:p>
        </w:tc>
        <w:tc>
          <w:tcPr>
            <w:tcW w:w="4876" w:type="dxa"/>
            <w:hideMark/>
          </w:tcPr>
          <w:p w:rsidR="00A96F97" w:rsidRPr="008B0A49" w:rsidRDefault="00A96F97" w:rsidP="00864F31">
            <w:pPr>
              <w:spacing w:after="120"/>
            </w:pPr>
            <w:r w:rsidRPr="008B0A49">
              <w:lastRenderedPageBreak/>
              <w:t>4.</w:t>
            </w:r>
            <w:r w:rsidRPr="008B0A49">
              <w:tab/>
              <w:t xml:space="preserve">Η Επιτροπή καθιστά προσβάσιμες τις συνόψεις που αναφέρονται στην παράγραφο 3, σε ηλεκτρονική μορφή, σε </w:t>
            </w:r>
            <w:r w:rsidRPr="008B0A49">
              <w:lastRenderedPageBreak/>
              <w:t>όλα τα λοιπά κράτη μέλη</w:t>
            </w:r>
            <w:r w:rsidRPr="008B0A49">
              <w:rPr>
                <w:b/>
                <w:i/>
              </w:rPr>
              <w:t>, μαζί με τις παρατηρήσεις που αφορούν τη συμμόρφωση με την στρατηγική της Ενεργειακής Ένωσης</w:t>
            </w:r>
            <w:r w:rsidRPr="008B0A49">
              <w:t>.</w:t>
            </w:r>
          </w:p>
        </w:tc>
      </w:tr>
    </w:tbl>
    <w:p w:rsidR="00A96F97" w:rsidRPr="008B0A49" w:rsidRDefault="00A96F97" w:rsidP="00A96F97"/>
    <w:p w:rsidR="00A96F97" w:rsidRPr="008B0A49" w:rsidRDefault="00A96F97" w:rsidP="00570E55">
      <w:pPr>
        <w:pStyle w:val="AMNumberTabs"/>
      </w:pPr>
      <w:r w:rsidRPr="008B0A49">
        <w:t xml:space="preserve">Τροπολογία </w:t>
      </w:r>
      <w:r w:rsidRPr="008B0A49">
        <w:tab/>
      </w:r>
      <w:r w:rsidRPr="008B0A49">
        <w:tab/>
        <w:t>46</w:t>
      </w:r>
    </w:p>
    <w:p w:rsidR="00A96F97" w:rsidRPr="008B0A49" w:rsidRDefault="00A96F97" w:rsidP="00A96F97">
      <w:pPr>
        <w:spacing w:before="240"/>
        <w:rPr>
          <w:b/>
        </w:rPr>
      </w:pPr>
      <w:r w:rsidRPr="008B0A49">
        <w:rPr>
          <w:b/>
        </w:rPr>
        <w:t>Πρόταση απόφασης</w:t>
      </w:r>
    </w:p>
    <w:p w:rsidR="00A96F97" w:rsidRPr="008B0A49" w:rsidRDefault="00A96F97" w:rsidP="00A96F97">
      <w:pPr>
        <w:rPr>
          <w:b/>
        </w:rPr>
      </w:pPr>
      <w:r w:rsidRPr="008B0A49">
        <w:rPr>
          <w:b/>
        </w:rPr>
        <w:t>Άρθρο 8 – παράγραφος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5.</w:t>
            </w:r>
            <w:r w:rsidRPr="008B0A49">
              <w:tab/>
              <w:t>Τα αιτήματα για εμπιστευτικότητα σύμφωνα με το παρόν άρθρο δεν περιορίζουν την πρόσβαση της ίδιας της Επιτροπής σε εμπιστευτικές πληροφορίες. Η Επιτροπή διασφαλίζει ότι η πρόσβαση στις εμπιστευτικές πληροφορίες περιορίζεται αποκλειστικά στις υπηρεσίες της Επιτροπής που έχουν απόλυτη ανάγκη να λάβουν αυτές τις πληροφορίες.</w:t>
            </w:r>
          </w:p>
        </w:tc>
        <w:tc>
          <w:tcPr>
            <w:tcW w:w="4876" w:type="dxa"/>
            <w:hideMark/>
          </w:tcPr>
          <w:p w:rsidR="00A96F97" w:rsidRPr="008B0A49" w:rsidRDefault="00A96F97" w:rsidP="00864F31">
            <w:pPr>
              <w:spacing w:after="120"/>
            </w:pPr>
            <w:r w:rsidRPr="008B0A49">
              <w:t>5.</w:t>
            </w:r>
            <w:r w:rsidRPr="008B0A49">
              <w:tab/>
              <w:t xml:space="preserve">Τα αιτήματα για εμπιστευτικότητα σύμφωνα με το παρόν άρθρο δεν περιορίζουν την πρόσβαση της ίδιας της Επιτροπής σε εμπιστευτικές πληροφορίες. Η Επιτροπή διασφαλίζει ότι η πρόσβαση στις εμπιστευτικές πληροφορίες περιορίζεται αποκλειστικά στις υπηρεσίες της Επιτροπής που έχουν απόλυτη ανάγκη να λάβουν αυτές τις πληροφορίες. </w:t>
            </w:r>
            <w:r w:rsidRPr="008B0A49">
              <w:rPr>
                <w:b/>
                <w:i/>
              </w:rPr>
              <w:t>Οι εκπρόσωποι της Επιτροπής που συμμετέχουν ως παρατηρητές στις διαπραγματεύσεις σχετικά με διακυβερνητικές συμφωνίες χειρίζονται τις ευαίσθητες πληροφορίες που λαμβάνονται κατά τη διάρκεια των διαπραγματεύσεων με την δέουσα εμπιστευτικότητα.</w:t>
            </w:r>
          </w:p>
        </w:tc>
      </w:tr>
    </w:tbl>
    <w:p w:rsidR="00A96F97" w:rsidRPr="008B0A49" w:rsidRDefault="00A96F97" w:rsidP="00570E55">
      <w:pPr>
        <w:pStyle w:val="AMNumberTabs"/>
      </w:pPr>
      <w:r w:rsidRPr="008B0A49">
        <w:t>Τροπολογία</w:t>
      </w:r>
      <w:r w:rsidRPr="008B0A49">
        <w:tab/>
      </w:r>
      <w:r w:rsidRPr="008B0A49">
        <w:tab/>
        <w:t>47</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keepNext/>
        <w:rPr>
          <w:b/>
        </w:rPr>
      </w:pPr>
      <w:r w:rsidRPr="008B0A49">
        <w:rPr>
          <w:b/>
        </w:rPr>
        <w:t>Άρθρο 9 – παράγραφος 1 –  στοιχείο β</w:t>
      </w:r>
    </w:p>
    <w:p w:rsidR="00A96F97" w:rsidRPr="008B0A49" w:rsidRDefault="00A96F97" w:rsidP="00A96F97"/>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β)</w:t>
            </w:r>
            <w:r w:rsidRPr="008B0A49">
              <w:tab/>
              <w:t>τον εντοπισμό των κοινών προβλημάτων όσον αφορά τις διακυβερνητικές συμφωνίες και μη δεσμευτικές πράξεις και την εξέταση των κατάλληλων μέτρων για την αντιμετώπιση αυτών των προβλημάτων, καθώς και την πρόταση λύσεων όπου απαιτείται·</w:t>
            </w:r>
          </w:p>
        </w:tc>
        <w:tc>
          <w:tcPr>
            <w:tcW w:w="4876" w:type="dxa"/>
            <w:hideMark/>
          </w:tcPr>
          <w:p w:rsidR="00A96F97" w:rsidRPr="008B0A49" w:rsidRDefault="00A96F97" w:rsidP="00864F31">
            <w:pPr>
              <w:spacing w:after="120"/>
              <w:rPr>
                <w:szCs w:val="24"/>
              </w:rPr>
            </w:pPr>
            <w:r w:rsidRPr="008B0A49">
              <w:t>β)</w:t>
            </w:r>
            <w:r w:rsidRPr="008B0A49">
              <w:tab/>
              <w:t xml:space="preserve">τον εντοπισμό των κοινών προβλημάτων όσον αφορά τις διακυβερνητικές συμφωνίες και μη δεσμευτικές πράξεις και την εξέταση των κατάλληλων μέτρων για την αντιμετώπιση αυτών των προβλημάτων, καθώς και </w:t>
            </w:r>
            <w:r w:rsidRPr="008B0A49">
              <w:rPr>
                <w:b/>
                <w:i/>
              </w:rPr>
              <w:t>την καθοδήγηση και</w:t>
            </w:r>
            <w:r w:rsidRPr="008B0A49">
              <w:t xml:space="preserve"> την πρόταση λύσεων όπου απαιτείται·</w:t>
            </w:r>
          </w:p>
        </w:tc>
      </w:tr>
    </w:tbl>
    <w:p w:rsidR="00A96F97" w:rsidRPr="008B0A49" w:rsidRDefault="00A96F97" w:rsidP="00A96F97"/>
    <w:p w:rsidR="00A96F97" w:rsidRPr="008B0A49" w:rsidRDefault="00A96F97" w:rsidP="00A96F97">
      <w:pPr>
        <w:rPr>
          <w:b/>
        </w:rPr>
      </w:pPr>
    </w:p>
    <w:p w:rsidR="00A96F97" w:rsidRPr="008B0A49" w:rsidRDefault="00A96F97" w:rsidP="00570E55">
      <w:pPr>
        <w:pStyle w:val="AMNumberTabs"/>
      </w:pPr>
      <w:r w:rsidRPr="008B0A49">
        <w:lastRenderedPageBreak/>
        <w:t>Τροπολογία</w:t>
      </w:r>
      <w:r w:rsidRPr="008B0A49">
        <w:tab/>
      </w:r>
      <w:r w:rsidRPr="008B0A49">
        <w:tab/>
        <w:t>48</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9 – παράγραφος 1 –  στοιχείο γ</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γ)</w:t>
            </w:r>
            <w:r w:rsidRPr="008B0A49">
              <w:tab/>
              <w:t>με βάση τις βέλτιστες πρακτικές και κατόπιν διαβουλεύσεων με τα κράτη μέλη, τη διαμόρφωση προαιρετικών προτύπων ρητρών που εάν εφαρμοστούν θα βελτιώσουν σημαντικά τη συμμόρφωση των μελλοντικών διακυβερνητικών συμφωνιών και μη δεσμευτικών πράξεων με το δίκαιο της Ένωσης·</w:t>
            </w:r>
          </w:p>
        </w:tc>
        <w:tc>
          <w:tcPr>
            <w:tcW w:w="4876" w:type="dxa"/>
            <w:hideMark/>
          </w:tcPr>
          <w:p w:rsidR="00A96F97" w:rsidRPr="008B0A49" w:rsidRDefault="00A96F97" w:rsidP="00864F31">
            <w:pPr>
              <w:spacing w:after="120"/>
              <w:rPr>
                <w:szCs w:val="24"/>
              </w:rPr>
            </w:pPr>
            <w:r w:rsidRPr="008B0A49">
              <w:t>γ)</w:t>
            </w:r>
            <w:r w:rsidRPr="008B0A49">
              <w:tab/>
              <w:t>με βάση τις βέλτιστες πρακτικές και κατόπιν διαβουλεύσεων με τα κράτη μέλη, τη διαμόρφωση</w:t>
            </w:r>
            <w:r w:rsidRPr="008B0A49">
              <w:rPr>
                <w:b/>
                <w:i/>
              </w:rPr>
              <w:t>, έως τις ... [να προστεθεί η ημερομηνία: 1 έτος μετά την έναρξη ισχύος της παρούσας απόφασης],</w:t>
            </w:r>
            <w:r w:rsidRPr="008B0A49">
              <w:t xml:space="preserve"> προαιρετικών προτύπων ρητρών </w:t>
            </w:r>
            <w:r w:rsidRPr="008B0A49">
              <w:rPr>
                <w:b/>
                <w:i/>
              </w:rPr>
              <w:t>και κατευθυντηρίων γραμμών</w:t>
            </w:r>
            <w:r w:rsidRPr="008B0A49">
              <w:t xml:space="preserve"> που εάν εφαρμοστούν θα βελτιώσουν σημαντικά τη συμμόρφωση των μελλοντικών διακυβερνητικών συμφωνιών και μη δεσμευτικών πράξεων με το δίκαιο της Ένωσης·</w:t>
            </w:r>
          </w:p>
        </w:tc>
      </w:tr>
    </w:tbl>
    <w:p w:rsidR="00A96F97" w:rsidRPr="008B0A49" w:rsidRDefault="00A96F97" w:rsidP="00A96F97"/>
    <w:p w:rsidR="00A96F97" w:rsidRPr="008B0A49" w:rsidRDefault="00A96F97" w:rsidP="00570E55">
      <w:pPr>
        <w:pStyle w:val="AMNumberTabs"/>
      </w:pPr>
      <w:r w:rsidRPr="008B0A49">
        <w:t>Τροπολογία</w:t>
      </w:r>
      <w:r w:rsidRPr="008B0A49">
        <w:tab/>
      </w:r>
      <w:r w:rsidRPr="008B0A49">
        <w:tab/>
        <w:t>49</w:t>
      </w:r>
    </w:p>
    <w:p w:rsidR="00A96F97" w:rsidRPr="008B0A49" w:rsidRDefault="00A96F97" w:rsidP="00A96F97">
      <w:pPr>
        <w:keepNext/>
        <w:spacing w:before="240"/>
        <w:rPr>
          <w:b/>
        </w:rPr>
      </w:pPr>
      <w:r w:rsidRPr="008B0A49">
        <w:rPr>
          <w:b/>
        </w:rPr>
        <w:t>Πρόταση απόφασης</w:t>
      </w:r>
    </w:p>
    <w:p w:rsidR="00A96F97" w:rsidRPr="008B0A49" w:rsidRDefault="00A96F97" w:rsidP="00A96F97">
      <w:pPr>
        <w:rPr>
          <w:b/>
        </w:rPr>
      </w:pPr>
      <w:r w:rsidRPr="008B0A49">
        <w:rPr>
          <w:b/>
        </w:rPr>
        <w:t>Άρθρο 9 – παράγραφος 1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jc w:val="center"/>
        </w:trPr>
        <w:tc>
          <w:tcPr>
            <w:tcW w:w="9752" w:type="dxa"/>
            <w:gridSpan w:val="2"/>
          </w:tcPr>
          <w:p w:rsidR="00A96F97" w:rsidRPr="008B0A49" w:rsidRDefault="00A96F97" w:rsidP="00864F31">
            <w:pPr>
              <w:keepNext/>
            </w:pPr>
          </w:p>
        </w:tc>
      </w:tr>
      <w:tr w:rsidR="00A96F97" w:rsidRPr="008B0A49" w:rsidTr="00864F31">
        <w:trPr>
          <w:jc w:val="center"/>
        </w:trPr>
        <w:tc>
          <w:tcPr>
            <w:tcW w:w="4876" w:type="dxa"/>
            <w:hideMark/>
          </w:tcPr>
          <w:p w:rsidR="00A96F97" w:rsidRPr="008B0A49" w:rsidRDefault="00A96F97" w:rsidP="00864F31">
            <w:pPr>
              <w:keepNext/>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keepNext/>
              <w:spacing w:after="240"/>
              <w:jc w:val="center"/>
              <w:rPr>
                <w:i/>
              </w:rPr>
            </w:pPr>
            <w:r w:rsidRPr="008B0A49">
              <w:rPr>
                <w:i/>
              </w:rPr>
              <w:t>Τροπολογία</w:t>
            </w:r>
          </w:p>
        </w:tc>
      </w:tr>
      <w:tr w:rsidR="00A96F97" w:rsidRPr="008B0A49" w:rsidTr="00864F31">
        <w:trPr>
          <w:jc w:val="center"/>
        </w:trPr>
        <w:tc>
          <w:tcPr>
            <w:tcW w:w="4876" w:type="dxa"/>
          </w:tcPr>
          <w:p w:rsidR="00A96F97" w:rsidRPr="008B0A49" w:rsidRDefault="00A96F97" w:rsidP="00864F31">
            <w:pPr>
              <w:spacing w:after="120"/>
            </w:pPr>
          </w:p>
        </w:tc>
        <w:tc>
          <w:tcPr>
            <w:tcW w:w="4876" w:type="dxa"/>
            <w:hideMark/>
          </w:tcPr>
          <w:p w:rsidR="00A96F97" w:rsidRPr="008B0A49" w:rsidRDefault="00A96F97" w:rsidP="00864F31">
            <w:pPr>
              <w:spacing w:after="120"/>
              <w:rPr>
                <w:szCs w:val="24"/>
              </w:rPr>
            </w:pPr>
            <w:r w:rsidRPr="008B0A49">
              <w:rPr>
                <w:b/>
                <w:i/>
              </w:rPr>
              <w:t>1α.</w:t>
            </w:r>
            <w:r w:rsidRPr="008B0A49">
              <w:tab/>
            </w:r>
            <w:r w:rsidRPr="008B0A49">
              <w:rPr>
                <w:b/>
                <w:i/>
              </w:rPr>
              <w:t>Έως τις ... [να συμπληρωθεί η ημερομηνία: 1 έτος μετά την ημερομηνίας έναρξης της ισχύος της παρούσας απόφασης], η Επιτροπή, με βάση τις βέλτιστες πρακτικές και μετά από διαβούλευση με τα κράτη μέλη, αναπτύσσει ένα συγκεντρωτικό σύστημα πληροφοριών το οποίο, ενώ προστατεύει το απόρρητο των ευαίσθητων πληροφοριών, εγγυάται αυξημένη διαφάνεια των κύριων στοιχείων των διακυβερνητικών συμφωνιών, ώστε να οριστεί ένα ενδεικτικό σημείο αναφοράς το οποίο θα μπορεί να χρησιμοποιείται από τα κράτη μέλη στις διαπραγματεύσεις με σκοπό να αποτρέπεται η κατάχρηση δεσπόζουσας θέσης από τρίτες χώρες.</w:t>
            </w:r>
          </w:p>
        </w:tc>
      </w:tr>
    </w:tbl>
    <w:p w:rsidR="00A96F97" w:rsidRPr="008B0A49" w:rsidRDefault="00A96F97" w:rsidP="00A96F97"/>
    <w:p w:rsidR="00A96F97" w:rsidRPr="008B0A49" w:rsidRDefault="00A96F97" w:rsidP="0083325D">
      <w:pPr>
        <w:pStyle w:val="AMNumberTabs"/>
        <w:keepNext/>
      </w:pPr>
      <w:r w:rsidRPr="008B0A49">
        <w:lastRenderedPageBreak/>
        <w:t xml:space="preserve">Τροπολογία </w:t>
      </w:r>
      <w:r w:rsidRPr="008B0A49">
        <w:tab/>
      </w:r>
      <w:r w:rsidRPr="008B0A49">
        <w:tab/>
        <w:t>50</w:t>
      </w:r>
    </w:p>
    <w:p w:rsidR="00A96F97" w:rsidRPr="008B0A49" w:rsidRDefault="00A96F97" w:rsidP="00570E55">
      <w:pPr>
        <w:keepNext/>
        <w:spacing w:before="240"/>
        <w:rPr>
          <w:b/>
        </w:rPr>
      </w:pPr>
      <w:r w:rsidRPr="008B0A49">
        <w:rPr>
          <w:b/>
        </w:rPr>
        <w:t>Πρόταση απόφασης</w:t>
      </w:r>
    </w:p>
    <w:p w:rsidR="00A96F97" w:rsidRPr="008B0A49" w:rsidRDefault="00A96F97" w:rsidP="00A96F97">
      <w:pPr>
        <w:rPr>
          <w:b/>
        </w:rPr>
      </w:pPr>
      <w:r w:rsidRPr="008B0A49">
        <w:rPr>
          <w:b/>
        </w:rPr>
        <w:t>Άρθρο 10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6F97" w:rsidRPr="008B0A49" w:rsidTr="00864F31">
        <w:trPr>
          <w:trHeight w:val="240"/>
          <w:jc w:val="center"/>
        </w:trPr>
        <w:tc>
          <w:tcPr>
            <w:tcW w:w="9752" w:type="dxa"/>
            <w:gridSpan w:val="2"/>
          </w:tcPr>
          <w:p w:rsidR="00A96F97" w:rsidRPr="008B0A49" w:rsidRDefault="00A96F97" w:rsidP="00864F31"/>
        </w:tc>
      </w:tr>
      <w:tr w:rsidR="00A96F97" w:rsidRPr="008B0A49" w:rsidTr="00864F31">
        <w:trPr>
          <w:trHeight w:val="240"/>
          <w:jc w:val="center"/>
        </w:trPr>
        <w:tc>
          <w:tcPr>
            <w:tcW w:w="4876" w:type="dxa"/>
            <w:hideMark/>
          </w:tcPr>
          <w:p w:rsidR="00A96F97" w:rsidRPr="008B0A49" w:rsidRDefault="00A96F97" w:rsidP="00864F31">
            <w:pPr>
              <w:spacing w:after="240"/>
              <w:jc w:val="center"/>
              <w:rPr>
                <w:i/>
              </w:rPr>
            </w:pPr>
            <w:r w:rsidRPr="008B0A49">
              <w:rPr>
                <w:i/>
              </w:rPr>
              <w:t>Κείμενο που προτείνει η Επιτροπή</w:t>
            </w:r>
          </w:p>
        </w:tc>
        <w:tc>
          <w:tcPr>
            <w:tcW w:w="4876" w:type="dxa"/>
            <w:hideMark/>
          </w:tcPr>
          <w:p w:rsidR="00A96F97" w:rsidRPr="008B0A49" w:rsidRDefault="00A96F97" w:rsidP="00864F31">
            <w:pPr>
              <w:spacing w:after="240"/>
              <w:jc w:val="center"/>
              <w:rPr>
                <w:i/>
              </w:rPr>
            </w:pPr>
            <w:r w:rsidRPr="008B0A49">
              <w:rPr>
                <w:i/>
              </w:rPr>
              <w:t>Τροπολογία</w:t>
            </w:r>
          </w:p>
        </w:tc>
      </w:tr>
      <w:tr w:rsidR="00A96F97" w:rsidRPr="008B0A49" w:rsidTr="00864F31">
        <w:trPr>
          <w:jc w:val="center"/>
        </w:trPr>
        <w:tc>
          <w:tcPr>
            <w:tcW w:w="4876" w:type="dxa"/>
            <w:hideMark/>
          </w:tcPr>
          <w:p w:rsidR="00A96F97" w:rsidRPr="008B0A49" w:rsidRDefault="00A96F97" w:rsidP="00864F31">
            <w:pPr>
              <w:spacing w:after="120"/>
            </w:pPr>
            <w:r w:rsidRPr="008B0A49">
              <w:t>1.</w:t>
            </w:r>
            <w:r w:rsidRPr="008B0A49">
              <w:tab/>
            </w:r>
            <w:r w:rsidRPr="008B0A49">
              <w:rPr>
                <w:b/>
                <w:i/>
              </w:rPr>
              <w:t>Το αργότερο έως την 1η Ιανουαρίου 2020</w:t>
            </w:r>
            <w:r w:rsidRPr="008B0A49">
              <w:t xml:space="preserve"> η Επιτροπή υποβάλλει στο Ευρωπαϊκό Κοινοβούλιο, το Συμβούλιο, την Ευρωπαϊκή Οικονομική και Κοινωνική Επιτροπή και την Επιτροπή των Περιφερειών έκθεση σχετικά με την εφαρμογή της παρούσας απόφασης.</w:t>
            </w:r>
          </w:p>
        </w:tc>
        <w:tc>
          <w:tcPr>
            <w:tcW w:w="4876" w:type="dxa"/>
            <w:hideMark/>
          </w:tcPr>
          <w:p w:rsidR="00A96F97" w:rsidRPr="008B0A49" w:rsidRDefault="00A96F97" w:rsidP="00864F31">
            <w:pPr>
              <w:spacing w:after="120"/>
            </w:pPr>
            <w:r w:rsidRPr="008B0A49">
              <w:t>1.</w:t>
            </w:r>
            <w:r w:rsidRPr="008B0A49">
              <w:tab/>
            </w:r>
            <w:r w:rsidRPr="008B0A49">
              <w:rPr>
                <w:b/>
                <w:i/>
              </w:rPr>
              <w:t>Έως ... [δύο έτη μετά την έναρξη εφαρμογής της παρούσας απόφασης],</w:t>
            </w:r>
            <w:r w:rsidRPr="008B0A49">
              <w:t xml:space="preserve"> η Επιτροπή υποβάλλει στο Ευρωπαϊκό Κοινοβούλιο, το Συμβούλιο, την Ευρωπαϊκή Οικονομική και Κοινωνική Επιτροπή και την Επιτροπή των Περιφερειών έκθεση σχετικά με την εφαρμογή της παρούσας απόφασης.</w:t>
            </w:r>
          </w:p>
        </w:tc>
      </w:tr>
    </w:tbl>
    <w:p w:rsidR="00A96F97" w:rsidRPr="008B0A49" w:rsidRDefault="00A96F97" w:rsidP="00A96F97"/>
    <w:p w:rsidR="00A96F97" w:rsidRPr="008B0A49" w:rsidRDefault="00A96F97" w:rsidP="00A96F97"/>
    <w:p w:rsidR="00A96F97" w:rsidRPr="008B0A49" w:rsidRDefault="00A96F97" w:rsidP="00A96F97"/>
    <w:p w:rsidR="00E365E1" w:rsidRPr="008B0A49" w:rsidRDefault="00E365E1" w:rsidP="00A96F97">
      <w:bookmarkStart w:id="1" w:name="TextBodyEnd"/>
      <w:bookmarkEnd w:id="1"/>
    </w:p>
    <w:sectPr w:rsidR="00E365E1" w:rsidRPr="008B0A49" w:rsidSect="00A059C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31" w:rsidRPr="00B423BF" w:rsidRDefault="00864F31">
      <w:r w:rsidRPr="00B423BF">
        <w:separator/>
      </w:r>
    </w:p>
  </w:endnote>
  <w:endnote w:type="continuationSeparator" w:id="0">
    <w:p w:rsidR="00864F31" w:rsidRPr="00B423BF" w:rsidRDefault="00864F31">
      <w:r w:rsidRPr="00B423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D" w:rsidRDefault="00833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31" w:rsidRDefault="00864F31" w:rsidP="008B0A49">
    <w:pPr>
      <w:pStyle w:val="Footer"/>
      <w:tabs>
        <w:tab w:val="clear" w:pos="9639"/>
        <w:tab w:val="right" w:pos="9184"/>
      </w:tabs>
    </w:pPr>
  </w:p>
  <w:p w:rsidR="008B0A49" w:rsidRDefault="008B0A49" w:rsidP="008B0A49">
    <w:pPr>
      <w:pStyle w:val="Footer"/>
      <w:pBdr>
        <w:top w:val="single" w:sz="2" w:space="1" w:color="000000"/>
      </w:pBdr>
      <w:tabs>
        <w:tab w:val="clear" w:pos="9639"/>
        <w:tab w:val="right" w:pos="9184"/>
      </w:tabs>
    </w:pPr>
    <w:r>
      <w:tab/>
    </w:r>
    <w:r w:rsidRPr="008B0A49">
      <w:rPr>
        <w:rStyle w:val="HideTWBExt"/>
      </w:rPr>
      <w:t>&lt;NuPE&gt;</w:t>
    </w:r>
    <w:r>
      <w:t>PE598.503</w:t>
    </w:r>
    <w:r w:rsidRPr="008B0A49">
      <w:rPr>
        <w:rStyle w:val="HideTWBExt"/>
      </w:rPr>
      <w:t>&lt;/NuPE&gt;</w:t>
    </w:r>
    <w:r>
      <w:t xml:space="preserve">/ </w:t>
    </w:r>
    <w:r>
      <w:fldChar w:fldCharType="begin"/>
    </w:r>
    <w:r>
      <w:instrText xml:space="preserve"> PAGE  \* MERGEFORMAT </w:instrText>
    </w:r>
    <w:r>
      <w:fldChar w:fldCharType="separate"/>
    </w:r>
    <w:r w:rsidR="0083325D">
      <w:rPr>
        <w:noProof/>
      </w:rPr>
      <w:t>1</w:t>
    </w:r>
    <w:r>
      <w:fldChar w:fldCharType="end"/>
    </w:r>
  </w:p>
  <w:p w:rsidR="008B0A49" w:rsidRPr="008B0A49" w:rsidRDefault="008B0A49" w:rsidP="008B0A49">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D" w:rsidRDefault="00833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31" w:rsidRPr="00B423BF" w:rsidRDefault="00864F31">
      <w:r w:rsidRPr="00B423BF">
        <w:separator/>
      </w:r>
    </w:p>
  </w:footnote>
  <w:footnote w:type="continuationSeparator" w:id="0">
    <w:p w:rsidR="00864F31" w:rsidRPr="00B423BF" w:rsidRDefault="00864F31">
      <w:r w:rsidRPr="00B423B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D" w:rsidRDefault="00833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D" w:rsidRDefault="00833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D" w:rsidRDefault="00833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05/2016"/>
    <w:docVar w:name="dvlangue" w:val="EL"/>
    <w:docVar w:name="dvnumam" w:val="90"/>
    <w:docVar w:name="dvpe" w:val="583.986"/>
    <w:docVar w:name="dvrapporteur" w:val="Εισηγητής: "/>
    <w:docVar w:name="dvtitre" w:val="Νομοθετικό ψήφισμα του Ευρωπαϊκού Κοινοβουλίου σχετικά με την πρόταση απόφασης του Ευρωπαϊκού Κοινοβουλίου και του Συμβουλίου για τη θέσπιση μηχανισμού ανταλλαγής πληροφοριών όσον αφορά τις διακυβερνητικές συμφωνίες και τις μη δεσμευτικές πράξεις μεταξύ των κρατών μελών και τρίτων χωρών στον τομέα της ενέργειας και την κατάργηση της απόφασης αριθ. 994/2012/ΕΕ(COM(2016)0053 – C8-0034/2016 – 2016/0031(COD))"/>
    <w:docVar w:name="TA_Comm_A5Nr" w:val="A8-0305/2016"/>
    <w:docVar w:name="TA_Comm_Langue" w:val="EL"/>
    <w:docVar w:name="TA_Comm_NrAM" w:val="001-050"/>
    <w:docVar w:name="TA_Type" w:val="TA_COMM"/>
  </w:docVars>
  <w:rsids>
    <w:rsidRoot w:val="00B423BF"/>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B543C"/>
    <w:rsid w:val="0050519A"/>
    <w:rsid w:val="005072A1"/>
    <w:rsid w:val="00514517"/>
    <w:rsid w:val="00570E55"/>
    <w:rsid w:val="006037C0"/>
    <w:rsid w:val="00680577"/>
    <w:rsid w:val="006F74FA"/>
    <w:rsid w:val="00731ADD"/>
    <w:rsid w:val="00734777"/>
    <w:rsid w:val="00751A4A"/>
    <w:rsid w:val="00756632"/>
    <w:rsid w:val="007D1690"/>
    <w:rsid w:val="0083325D"/>
    <w:rsid w:val="00864F31"/>
    <w:rsid w:val="00865F67"/>
    <w:rsid w:val="008728E5"/>
    <w:rsid w:val="00881A7B"/>
    <w:rsid w:val="008840E5"/>
    <w:rsid w:val="008B0A49"/>
    <w:rsid w:val="008C2AC6"/>
    <w:rsid w:val="009509D8"/>
    <w:rsid w:val="00981893"/>
    <w:rsid w:val="00A059CC"/>
    <w:rsid w:val="00A4678D"/>
    <w:rsid w:val="00A96F97"/>
    <w:rsid w:val="00AF3B82"/>
    <w:rsid w:val="00B423BF"/>
    <w:rsid w:val="00B558F0"/>
    <w:rsid w:val="00B665AE"/>
    <w:rsid w:val="00BD7BD8"/>
    <w:rsid w:val="00C05BFE"/>
    <w:rsid w:val="00C23CD4"/>
    <w:rsid w:val="00C941CB"/>
    <w:rsid w:val="00CC2357"/>
    <w:rsid w:val="00D058B8"/>
    <w:rsid w:val="00D834A0"/>
    <w:rsid w:val="00D91E21"/>
    <w:rsid w:val="00DA1034"/>
    <w:rsid w:val="00E25927"/>
    <w:rsid w:val="00E365E1"/>
    <w:rsid w:val="00ED4235"/>
    <w:rsid w:val="00F04346"/>
    <w:rsid w:val="00F075DC"/>
    <w:rsid w:val="00F424E8"/>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9FD80-7D8A-4D57-A5D8-343F0109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A96F97"/>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A96F97"/>
    <w:rPr>
      <w:sz w:val="24"/>
      <w:lang w:val="fr-FR" w:eastAsia="fr-FR"/>
    </w:rPr>
  </w:style>
  <w:style w:type="character" w:customStyle="1" w:styleId="Heading3Char">
    <w:name w:val="Heading 3 Char"/>
    <w:link w:val="Heading3"/>
    <w:rsid w:val="00A96F97"/>
    <w:rPr>
      <w:rFonts w:ascii="Arial" w:hAnsi="Arial"/>
      <w:sz w:val="24"/>
      <w:lang w:val="fr-FR" w:eastAsia="fr-FR"/>
    </w:rPr>
  </w:style>
  <w:style w:type="character" w:customStyle="1" w:styleId="Heading4Char">
    <w:name w:val="Heading 4 Char"/>
    <w:link w:val="Heading4"/>
    <w:rsid w:val="00A96F97"/>
    <w:rPr>
      <w:sz w:val="24"/>
      <w:lang w:val="en-US" w:eastAsia="fr-FR"/>
    </w:rPr>
  </w:style>
  <w:style w:type="character" w:customStyle="1" w:styleId="Heading5Char">
    <w:name w:val="Heading 5 Char"/>
    <w:link w:val="Heading5"/>
    <w:rsid w:val="00A96F97"/>
    <w:rPr>
      <w:sz w:val="24"/>
      <w:lang w:val="en-US" w:eastAsia="fr-FR"/>
    </w:rPr>
  </w:style>
  <w:style w:type="character" w:customStyle="1" w:styleId="Heading6Char">
    <w:name w:val="Heading 6 Char"/>
    <w:link w:val="Heading6"/>
    <w:rsid w:val="00A96F97"/>
    <w:rPr>
      <w:i/>
      <w:sz w:val="22"/>
      <w:lang w:val="el-GR"/>
    </w:rPr>
  </w:style>
  <w:style w:type="character" w:customStyle="1" w:styleId="Heading7Char">
    <w:name w:val="Heading 7 Char"/>
    <w:link w:val="Heading7"/>
    <w:rsid w:val="00A96F97"/>
    <w:rPr>
      <w:rFonts w:ascii="Arial" w:hAnsi="Arial"/>
      <w:sz w:val="24"/>
      <w:lang w:val="el-GR"/>
    </w:rPr>
  </w:style>
  <w:style w:type="character" w:customStyle="1" w:styleId="Heading8Char">
    <w:name w:val="Heading 8 Char"/>
    <w:link w:val="Heading8"/>
    <w:rsid w:val="00A96F97"/>
    <w:rPr>
      <w:rFonts w:ascii="Arial" w:hAnsi="Arial"/>
      <w:i/>
      <w:sz w:val="24"/>
      <w:lang w:val="el-GR"/>
    </w:rPr>
  </w:style>
  <w:style w:type="character" w:customStyle="1" w:styleId="Heading9Char">
    <w:name w:val="Heading 9 Char"/>
    <w:link w:val="Heading9"/>
    <w:rsid w:val="00A96F97"/>
    <w:rPr>
      <w:rFonts w:ascii="Arial" w:hAnsi="Arial"/>
      <w:b/>
      <w:i/>
      <w:sz w:val="18"/>
      <w:lang w:val="el-GR"/>
    </w:rPr>
  </w:style>
  <w:style w:type="character" w:customStyle="1" w:styleId="FooterChar">
    <w:name w:val="Footer Char"/>
    <w:link w:val="Footer"/>
    <w:rsid w:val="00A96F97"/>
    <w:rPr>
      <w:sz w:val="22"/>
      <w:lang w:val="fr-FR" w:eastAsia="fr-FR"/>
    </w:rPr>
  </w:style>
  <w:style w:type="character" w:customStyle="1" w:styleId="Normal6Char">
    <w:name w:val="Normal6 Char"/>
    <w:link w:val="Normal6"/>
    <w:rsid w:val="00A96F97"/>
    <w:rPr>
      <w:sz w:val="24"/>
      <w:lang w:val="el-GR"/>
    </w:rPr>
  </w:style>
  <w:style w:type="character" w:customStyle="1" w:styleId="NormalBoldChar">
    <w:name w:val="NormalBold Char"/>
    <w:link w:val="NormalBold"/>
    <w:rsid w:val="00A96F97"/>
    <w:rPr>
      <w:b/>
      <w:sz w:val="24"/>
      <w:lang w:val="el-GR"/>
    </w:rPr>
  </w:style>
  <w:style w:type="paragraph" w:customStyle="1" w:styleId="Normal12Italic">
    <w:name w:val="Normal12Italic"/>
    <w:basedOn w:val="Normal"/>
    <w:rsid w:val="00A96F97"/>
    <w:pPr>
      <w:spacing w:before="240"/>
    </w:pPr>
    <w:rPr>
      <w:i/>
      <w:lang w:eastAsia="el-GR" w:bidi="el-GR"/>
    </w:rPr>
  </w:style>
  <w:style w:type="paragraph" w:customStyle="1" w:styleId="CrossRef">
    <w:name w:val="CrossRef"/>
    <w:basedOn w:val="Normal"/>
    <w:rsid w:val="00A96F97"/>
    <w:pPr>
      <w:spacing w:before="240"/>
      <w:jc w:val="center"/>
    </w:pPr>
    <w:rPr>
      <w:i/>
      <w:lang w:eastAsia="el-GR" w:bidi="el-GR"/>
    </w:rPr>
  </w:style>
  <w:style w:type="paragraph" w:customStyle="1" w:styleId="JustificationTitle">
    <w:name w:val="JustificationTitle"/>
    <w:basedOn w:val="Normal"/>
    <w:next w:val="Normal12"/>
    <w:rsid w:val="00A96F97"/>
    <w:pPr>
      <w:keepNext/>
      <w:spacing w:before="240"/>
      <w:jc w:val="center"/>
    </w:pPr>
    <w:rPr>
      <w:i/>
      <w:lang w:eastAsia="el-GR" w:bidi="el-GR"/>
    </w:rPr>
  </w:style>
  <w:style w:type="paragraph" w:customStyle="1" w:styleId="Normal12Centre">
    <w:name w:val="Normal12Centre"/>
    <w:basedOn w:val="Normal12"/>
    <w:rsid w:val="00A96F97"/>
    <w:pPr>
      <w:jc w:val="center"/>
    </w:pPr>
    <w:rPr>
      <w:lang w:eastAsia="el-GR" w:bidi="el-GR"/>
    </w:rPr>
  </w:style>
  <w:style w:type="paragraph" w:customStyle="1" w:styleId="Normal12Keep">
    <w:name w:val="Normal12Keep"/>
    <w:basedOn w:val="Normal12"/>
    <w:rsid w:val="00A96F97"/>
    <w:pPr>
      <w:keepNext/>
    </w:pPr>
    <w:rPr>
      <w:lang w:eastAsia="el-GR" w:bidi="el-GR"/>
    </w:rPr>
  </w:style>
  <w:style w:type="paragraph" w:customStyle="1" w:styleId="Normal12Tab">
    <w:name w:val="Normal12Tab"/>
    <w:basedOn w:val="Normal12"/>
    <w:rsid w:val="00A96F97"/>
    <w:pPr>
      <w:tabs>
        <w:tab w:val="left" w:pos="567"/>
      </w:tabs>
    </w:pPr>
    <w:rPr>
      <w:lang w:eastAsia="el-GR" w:bidi="el-GR"/>
    </w:rPr>
  </w:style>
  <w:style w:type="paragraph" w:customStyle="1" w:styleId="StarsAndIs">
    <w:name w:val="StarsAndIs"/>
    <w:basedOn w:val="Normal"/>
    <w:rsid w:val="00A96F97"/>
    <w:pPr>
      <w:ind w:left="1418"/>
    </w:pPr>
    <w:rPr>
      <w:rFonts w:ascii="Arial" w:hAnsi="Arial"/>
      <w:b/>
      <w:sz w:val="48"/>
      <w:lang w:eastAsia="el-GR" w:bidi="el-GR"/>
    </w:rPr>
  </w:style>
  <w:style w:type="paragraph" w:customStyle="1" w:styleId="Lgendesigne">
    <w:name w:val="Légende signe"/>
    <w:basedOn w:val="Normal"/>
    <w:rsid w:val="00A96F97"/>
    <w:pPr>
      <w:tabs>
        <w:tab w:val="right" w:pos="454"/>
        <w:tab w:val="left" w:pos="737"/>
      </w:tabs>
      <w:ind w:left="737" w:hanging="737"/>
    </w:pPr>
    <w:rPr>
      <w:snapToGrid w:val="0"/>
      <w:sz w:val="18"/>
      <w:lang w:eastAsia="el-GR" w:bidi="el-GR"/>
    </w:rPr>
  </w:style>
  <w:style w:type="paragraph" w:customStyle="1" w:styleId="TypeDoc">
    <w:name w:val="TypeDoc"/>
    <w:basedOn w:val="Normal24"/>
    <w:rsid w:val="00A96F97"/>
    <w:pPr>
      <w:ind w:left="1418"/>
    </w:pPr>
    <w:rPr>
      <w:rFonts w:ascii="Arial" w:hAnsi="Arial"/>
      <w:b/>
      <w:sz w:val="48"/>
      <w:lang w:eastAsia="el-GR" w:bidi="el-GR"/>
    </w:rPr>
  </w:style>
  <w:style w:type="paragraph" w:customStyle="1" w:styleId="ZDate">
    <w:name w:val="ZDate"/>
    <w:basedOn w:val="Normal"/>
    <w:rsid w:val="00A96F97"/>
    <w:pPr>
      <w:spacing w:after="1200"/>
    </w:pPr>
    <w:rPr>
      <w:lang w:eastAsia="el-GR" w:bidi="el-GR"/>
    </w:rPr>
  </w:style>
  <w:style w:type="character" w:customStyle="1" w:styleId="HeaderChar">
    <w:name w:val="Header Char"/>
    <w:link w:val="Header"/>
    <w:rsid w:val="00A96F97"/>
    <w:rPr>
      <w:sz w:val="24"/>
      <w:lang w:val="fr-FR" w:eastAsia="fr-FR"/>
    </w:rPr>
  </w:style>
  <w:style w:type="paragraph" w:customStyle="1" w:styleId="Olang">
    <w:name w:val="Olang"/>
    <w:basedOn w:val="Normal"/>
    <w:rsid w:val="00A96F97"/>
    <w:pPr>
      <w:spacing w:before="240" w:after="240"/>
      <w:jc w:val="right"/>
    </w:pPr>
    <w:rPr>
      <w:noProof/>
      <w:lang w:eastAsia="el-GR" w:bidi="el-GR"/>
    </w:rPr>
  </w:style>
  <w:style w:type="paragraph" w:customStyle="1" w:styleId="ColumnHeading">
    <w:name w:val="ColumnHeading"/>
    <w:basedOn w:val="Normal"/>
    <w:rsid w:val="00A96F97"/>
    <w:pPr>
      <w:spacing w:after="240"/>
      <w:jc w:val="center"/>
    </w:pPr>
    <w:rPr>
      <w:i/>
      <w:lang w:eastAsia="el-GR" w:bidi="el-GR"/>
    </w:rPr>
  </w:style>
  <w:style w:type="paragraph" w:customStyle="1" w:styleId="AMNumberTabs">
    <w:name w:val="AMNumberTabs"/>
    <w:basedOn w:val="Normal"/>
    <w:rsid w:val="00A96F9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l-GR" w:bidi="el-GR"/>
    </w:rPr>
  </w:style>
  <w:style w:type="paragraph" w:customStyle="1" w:styleId="NormalBold12b">
    <w:name w:val="NormalBold12b"/>
    <w:basedOn w:val="Normal"/>
    <w:rsid w:val="00A96F97"/>
    <w:pPr>
      <w:spacing w:before="240"/>
    </w:pPr>
    <w:rPr>
      <w:b/>
      <w:lang w:eastAsia="el-GR" w:bidi="el-GR"/>
    </w:rPr>
  </w:style>
  <w:style w:type="paragraph" w:customStyle="1" w:styleId="ZCommittee">
    <w:name w:val="ZCommittee"/>
    <w:basedOn w:val="Normal"/>
    <w:next w:val="Normal"/>
    <w:rsid w:val="00A96F97"/>
    <w:pPr>
      <w:jc w:val="center"/>
    </w:pPr>
    <w:rPr>
      <w:rFonts w:ascii="Arial" w:hAnsi="Arial" w:cs="Arial"/>
      <w:i/>
      <w:sz w:val="22"/>
      <w:szCs w:val="22"/>
      <w:lang w:eastAsia="el-GR" w:bidi="el-GR"/>
    </w:rPr>
  </w:style>
  <w:style w:type="paragraph" w:customStyle="1" w:styleId="Lgendetitre">
    <w:name w:val="Légende titre"/>
    <w:basedOn w:val="Normal"/>
    <w:rsid w:val="00A96F97"/>
    <w:pPr>
      <w:spacing w:before="240" w:after="240"/>
    </w:pPr>
    <w:rPr>
      <w:b/>
      <w:i/>
      <w:snapToGrid w:val="0"/>
      <w:lang w:eastAsia="el-GR" w:bidi="el-GR"/>
    </w:rPr>
  </w:style>
  <w:style w:type="paragraph" w:customStyle="1" w:styleId="Lgendestandard">
    <w:name w:val="Légende standard"/>
    <w:basedOn w:val="Lgendesigne"/>
    <w:rsid w:val="00A96F97"/>
    <w:pPr>
      <w:ind w:left="0" w:firstLine="0"/>
    </w:pPr>
  </w:style>
  <w:style w:type="paragraph" w:styleId="NormalWeb">
    <w:name w:val="Normal (Web)"/>
    <w:basedOn w:val="Normal"/>
    <w:uiPriority w:val="99"/>
    <w:unhideWhenUsed/>
    <w:rsid w:val="00A96F97"/>
    <w:pPr>
      <w:widowControl/>
      <w:spacing w:before="100" w:beforeAutospacing="1" w:after="100" w:afterAutospacing="1"/>
    </w:pPr>
    <w:rPr>
      <w:szCs w:val="24"/>
      <w:lang w:eastAsia="el-GR" w:bidi="el-GR"/>
    </w:rPr>
  </w:style>
  <w:style w:type="character" w:styleId="Strong">
    <w:name w:val="Strong"/>
    <w:uiPriority w:val="22"/>
    <w:qFormat/>
    <w:rsid w:val="00A96F97"/>
    <w:rPr>
      <w:b/>
      <w:bCs/>
      <w:lang w:val="el-GR" w:eastAsia="el-GR"/>
    </w:rPr>
  </w:style>
  <w:style w:type="paragraph" w:styleId="BalloonText">
    <w:name w:val="Balloon Text"/>
    <w:basedOn w:val="Normal"/>
    <w:link w:val="BalloonTextChar"/>
    <w:rsid w:val="00A96F97"/>
    <w:rPr>
      <w:rFonts w:ascii="Segoe UI" w:hAnsi="Segoe UI" w:cs="Segoe UI"/>
      <w:sz w:val="18"/>
      <w:szCs w:val="18"/>
      <w:lang w:eastAsia="el-GR" w:bidi="el-GR"/>
    </w:rPr>
  </w:style>
  <w:style w:type="character" w:customStyle="1" w:styleId="BalloonTextChar">
    <w:name w:val="Balloon Text Char"/>
    <w:basedOn w:val="DefaultParagraphFont"/>
    <w:link w:val="BalloonText"/>
    <w:rsid w:val="00A96F97"/>
    <w:rPr>
      <w:rFonts w:ascii="Segoe UI" w:hAnsi="Segoe UI" w:cs="Segoe UI"/>
      <w:sz w:val="18"/>
      <w:szCs w:val="18"/>
      <w:lang w:val="el-GR" w:eastAsia="el-GR" w:bidi="el-GR"/>
    </w:rPr>
  </w:style>
  <w:style w:type="character" w:styleId="CommentReference">
    <w:name w:val="annotation reference"/>
    <w:unhideWhenUsed/>
    <w:rsid w:val="00A96F97"/>
    <w:rPr>
      <w:sz w:val="16"/>
      <w:szCs w:val="16"/>
    </w:rPr>
  </w:style>
  <w:style w:type="paragraph" w:styleId="CommentText">
    <w:name w:val="annotation text"/>
    <w:basedOn w:val="Normal"/>
    <w:link w:val="CommentTextChar"/>
    <w:unhideWhenUsed/>
    <w:rsid w:val="00A96F97"/>
    <w:rPr>
      <w:sz w:val="20"/>
      <w:lang w:eastAsia="el-GR" w:bidi="el-GR"/>
    </w:rPr>
  </w:style>
  <w:style w:type="character" w:customStyle="1" w:styleId="CommentTextChar">
    <w:name w:val="Comment Text Char"/>
    <w:basedOn w:val="DefaultParagraphFont"/>
    <w:link w:val="CommentText"/>
    <w:rsid w:val="00A96F97"/>
    <w:rPr>
      <w:lang w:val="el-GR" w:eastAsia="el-GR" w:bidi="el-GR"/>
    </w:rPr>
  </w:style>
  <w:style w:type="paragraph" w:styleId="CommentSubject">
    <w:name w:val="annotation subject"/>
    <w:basedOn w:val="CommentText"/>
    <w:next w:val="CommentText"/>
    <w:link w:val="CommentSubjectChar"/>
    <w:rsid w:val="00A96F97"/>
    <w:rPr>
      <w:b/>
      <w:bCs/>
    </w:rPr>
  </w:style>
  <w:style w:type="character" w:customStyle="1" w:styleId="CommentSubjectChar">
    <w:name w:val="Comment Subject Char"/>
    <w:basedOn w:val="CommentTextChar"/>
    <w:link w:val="CommentSubject"/>
    <w:rsid w:val="00A96F97"/>
    <w:rPr>
      <w:b/>
      <w:bCs/>
      <w:lang w:val="el-GR" w:eastAsia="el-GR" w:bidi="el-GR"/>
    </w:rPr>
  </w:style>
  <w:style w:type="paragraph" w:styleId="Revision">
    <w:name w:val="Revision"/>
    <w:hidden/>
    <w:uiPriority w:val="99"/>
    <w:semiHidden/>
    <w:rsid w:val="00A96F97"/>
    <w:rPr>
      <w:sz w:val="24"/>
      <w:lang w:val="el-GR" w:eastAsia="el-GR" w:bidi="el-GR"/>
    </w:rPr>
  </w:style>
  <w:style w:type="paragraph" w:styleId="Index2">
    <w:name w:val="index 2"/>
    <w:basedOn w:val="Normal"/>
    <w:next w:val="Normal"/>
    <w:autoRedefine/>
    <w:rsid w:val="00A96F97"/>
    <w:pPr>
      <w:widowControl/>
      <w:ind w:left="480" w:hanging="240"/>
      <w:jc w:val="both"/>
    </w:pPr>
    <w:rPr>
      <w:lang w:eastAsia="el-GR" w:bidi="el-GR"/>
    </w:rPr>
  </w:style>
  <w:style w:type="paragraph" w:customStyle="1" w:styleId="PageHeadingNotTOC">
    <w:name w:val="PageHeadingNotTOC"/>
    <w:basedOn w:val="Normal"/>
    <w:rsid w:val="00A96F97"/>
    <w:pPr>
      <w:keepNext/>
      <w:spacing w:before="240" w:after="240"/>
      <w:jc w:val="center"/>
    </w:pPr>
    <w:rPr>
      <w:rFonts w:ascii="Arial" w:hAnsi="Arial"/>
      <w:b/>
      <w:lang w:eastAsia="el-GR" w:bidi="el-GR"/>
    </w:rPr>
  </w:style>
  <w:style w:type="paragraph" w:customStyle="1" w:styleId="ConclusionsPA">
    <w:name w:val="ConclusionsPA"/>
    <w:basedOn w:val="Normal12"/>
    <w:rsid w:val="00A96F97"/>
    <w:pPr>
      <w:spacing w:before="480"/>
      <w:jc w:val="center"/>
    </w:pPr>
    <w:rPr>
      <w:rFonts w:ascii="Arial" w:hAnsi="Arial"/>
      <w:b/>
      <w:caps/>
      <w:snapToGrid w:val="0"/>
      <w:lang w:eastAsia="el-GR" w:bidi="el-GR"/>
    </w:rPr>
  </w:style>
  <w:style w:type="character" w:customStyle="1" w:styleId="Sup">
    <w:name w:val="Sup"/>
    <w:rsid w:val="00A96F97"/>
    <w:rPr>
      <w:color w:val="000000"/>
      <w:vertAlign w:val="superscript"/>
    </w:rPr>
  </w:style>
  <w:style w:type="paragraph" w:customStyle="1" w:styleId="NormalTabs">
    <w:name w:val="NormalTabs"/>
    <w:basedOn w:val="Normal"/>
    <w:qFormat/>
    <w:rsid w:val="00A96F97"/>
    <w:pPr>
      <w:tabs>
        <w:tab w:val="center" w:pos="284"/>
        <w:tab w:val="left" w:pos="426"/>
      </w:tabs>
    </w:pPr>
    <w:rPr>
      <w:snapToGrid w:val="0"/>
      <w:lang w:eastAsia="el-GR" w:bidi="el-GR"/>
    </w:rPr>
  </w:style>
  <w:style w:type="numbering" w:customStyle="1" w:styleId="NoList1">
    <w:name w:val="No List1"/>
    <w:next w:val="NoList"/>
    <w:uiPriority w:val="99"/>
    <w:semiHidden/>
    <w:unhideWhenUsed/>
    <w:rsid w:val="00A96F97"/>
  </w:style>
  <w:style w:type="numbering" w:customStyle="1" w:styleId="NoList11">
    <w:name w:val="No List11"/>
    <w:next w:val="NoList"/>
    <w:uiPriority w:val="99"/>
    <w:semiHidden/>
    <w:unhideWhenUsed/>
    <w:rsid w:val="00A96F97"/>
  </w:style>
  <w:style w:type="table" w:customStyle="1" w:styleId="TableGrid1">
    <w:name w:val="Table Grid1"/>
    <w:basedOn w:val="TableNormal"/>
    <w:next w:val="TableGrid"/>
    <w:rsid w:val="00A9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7289</Words>
  <Characters>42985</Characters>
  <Application>Microsoft Office Word</Application>
  <DocSecurity>0</DocSecurity>
  <Lines>1719</Lines>
  <Paragraphs>437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dc:creator>
  <cp:keywords/>
  <cp:lastModifiedBy>zachariadou z</cp:lastModifiedBy>
  <cp:revision>3</cp:revision>
  <cp:lastPrinted>2004-11-19T15:42:00Z</cp:lastPrinted>
  <dcterms:created xsi:type="dcterms:W3CDTF">2017-02-23T11:44:00Z</dcterms:created>
  <dcterms:modified xsi:type="dcterms:W3CDTF">2017-02-23T11:46:00Z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A8-0305/2016</vt:lpwstr>
  </property>
  <property fmtid="{D5CDD505-2E9C-101B-9397-08002B2CF9AE}" pid="4" name="&lt;Type&gt;">
    <vt:lpwstr>RR</vt:lpwstr>
  </property>
</Properties>
</file>