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825D13" w:rsidTr="00487BC1">
        <w:trPr>
          <w:trHeight w:hRule="exact" w:val="1418"/>
        </w:trPr>
        <w:tc>
          <w:tcPr>
            <w:tcW w:w="6804" w:type="dxa"/>
            <w:shd w:val="clear" w:color="auto" w:fill="auto"/>
            <w:vAlign w:val="center"/>
          </w:tcPr>
          <w:p w:rsidR="004C4A0B" w:rsidRPr="00825D13" w:rsidRDefault="00537770" w:rsidP="00487BC1">
            <w:pPr>
              <w:pStyle w:val="EPName"/>
            </w:pPr>
            <w:r w:rsidRPr="00825D13">
              <w:t>Parlament Ewropew</w:t>
            </w:r>
          </w:p>
          <w:p w:rsidR="004C4A0B" w:rsidRPr="00825D13" w:rsidRDefault="00997EB6" w:rsidP="00997EB6">
            <w:pPr>
              <w:pStyle w:val="EPTerm"/>
            </w:pPr>
            <w:r w:rsidRPr="00825D13">
              <w:t>2014-2019</w:t>
            </w:r>
          </w:p>
        </w:tc>
        <w:tc>
          <w:tcPr>
            <w:tcW w:w="2268" w:type="dxa"/>
            <w:shd w:val="clear" w:color="auto" w:fill="auto"/>
          </w:tcPr>
          <w:p w:rsidR="004C4A0B" w:rsidRPr="00825D13" w:rsidRDefault="00825D13" w:rsidP="00487BC1">
            <w:pPr>
              <w:pStyle w:val="EPLogo"/>
            </w:pPr>
            <w:r w:rsidRPr="00825D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C71A3C" w:rsidRPr="00C947CB" w:rsidRDefault="00C71A3C" w:rsidP="00C71A3C">
      <w:pPr>
        <w:pStyle w:val="LineTop"/>
      </w:pPr>
    </w:p>
    <w:p w:rsidR="00C71A3C" w:rsidRPr="00C947CB" w:rsidRDefault="00721255" w:rsidP="00C71A3C">
      <w:pPr>
        <w:pStyle w:val="ZCommittee"/>
      </w:pPr>
      <w:r w:rsidRPr="00C947CB">
        <w:t>Dokument ta' sessjoni</w:t>
      </w:r>
    </w:p>
    <w:p w:rsidR="00C71A3C" w:rsidRPr="00C947CB" w:rsidRDefault="00C71A3C" w:rsidP="00C71A3C">
      <w:pPr>
        <w:pStyle w:val="LineBottom"/>
      </w:pPr>
    </w:p>
    <w:p w:rsidR="00ED0821" w:rsidRPr="00C947CB" w:rsidRDefault="00721255">
      <w:pPr>
        <w:pStyle w:val="RefProc"/>
      </w:pPr>
      <w:r w:rsidRPr="00C947CB">
        <w:rPr>
          <w:rStyle w:val="HideTWBExt"/>
          <w:noProof w:val="0"/>
        </w:rPr>
        <w:t>&lt;NoDocSe&gt;</w:t>
      </w:r>
      <w:r w:rsidRPr="00C947CB">
        <w:t>A8-0343/2016</w:t>
      </w:r>
      <w:r w:rsidRPr="00C947CB">
        <w:rPr>
          <w:rStyle w:val="HideTWBExt"/>
          <w:noProof w:val="0"/>
        </w:rPr>
        <w:t>&lt;/NoDocSe&gt;</w:t>
      </w:r>
    </w:p>
    <w:p w:rsidR="00ED0821" w:rsidRPr="00C947CB" w:rsidRDefault="00ED0821">
      <w:pPr>
        <w:pStyle w:val="ZDate"/>
      </w:pPr>
      <w:r w:rsidRPr="00C947CB">
        <w:rPr>
          <w:rStyle w:val="HideTWBExt"/>
          <w:noProof w:val="0"/>
        </w:rPr>
        <w:t>&lt;Date&gt;</w:t>
      </w:r>
      <w:r w:rsidRPr="00C947CB">
        <w:rPr>
          <w:rStyle w:val="HideTWBInt"/>
        </w:rPr>
        <w:t>{21/11/2016}</w:t>
      </w:r>
      <w:r w:rsidRPr="00C947CB">
        <w:t>21.11.2016</w:t>
      </w:r>
      <w:r w:rsidRPr="00C947CB">
        <w:rPr>
          <w:rStyle w:val="HideTWBExt"/>
          <w:noProof w:val="0"/>
        </w:rPr>
        <w:t>&lt;/Date&gt;</w:t>
      </w:r>
    </w:p>
    <w:p w:rsidR="00ED0821" w:rsidRPr="00C947CB" w:rsidRDefault="00ED0821">
      <w:pPr>
        <w:pStyle w:val="StarsAndIs"/>
      </w:pPr>
      <w:r w:rsidRPr="00C947CB">
        <w:rPr>
          <w:rStyle w:val="HideTWBExt"/>
          <w:b w:val="0"/>
          <w:noProof w:val="0"/>
        </w:rPr>
        <w:t>&lt;RefProcLect&gt;</w:t>
      </w:r>
      <w:r w:rsidRPr="00C947CB">
        <w:t>*</w:t>
      </w:r>
      <w:r w:rsidRPr="00C947CB">
        <w:rPr>
          <w:rStyle w:val="HideTWBExt"/>
          <w:b w:val="0"/>
          <w:noProof w:val="0"/>
        </w:rPr>
        <w:t>&lt;/RefProcLect&gt;</w:t>
      </w:r>
    </w:p>
    <w:p w:rsidR="00ED0821" w:rsidRPr="00C947CB" w:rsidRDefault="00ED0821">
      <w:pPr>
        <w:pStyle w:val="TypeDoc"/>
      </w:pPr>
      <w:r w:rsidRPr="00C947CB">
        <w:rPr>
          <w:rStyle w:val="HideTWBExt"/>
          <w:b w:val="0"/>
          <w:noProof w:val="0"/>
        </w:rPr>
        <w:t>&lt;TitreType&gt;</w:t>
      </w:r>
      <w:r w:rsidRPr="00C947CB">
        <w:t>RAPPORT</w:t>
      </w:r>
      <w:r w:rsidRPr="00C947CB">
        <w:rPr>
          <w:rStyle w:val="HideTWBExt"/>
          <w:b w:val="0"/>
          <w:noProof w:val="0"/>
        </w:rPr>
        <w:t>&lt;/TitreType&gt;</w:t>
      </w:r>
    </w:p>
    <w:p w:rsidR="00ED0821" w:rsidRPr="00C947CB" w:rsidRDefault="00ED0821">
      <w:pPr>
        <w:pStyle w:val="CoverNormal"/>
      </w:pPr>
      <w:r w:rsidRPr="00C947CB">
        <w:rPr>
          <w:rStyle w:val="HideTWBExt"/>
          <w:noProof w:val="0"/>
        </w:rPr>
        <w:t>&lt;Titre&gt;</w:t>
      </w:r>
      <w:r w:rsidRPr="00C947CB">
        <w:t xml:space="preserve"> dwar l-abbozz ta' deċiżjoni ta' Implimentazzjoni tal-Kunsill li tapprova l-konklużjoni mill-Uffiċċju Ewropew tal-Pulizija (Europol) tal-Ftehim dwar Kooperazzjoni Operattiva u Strateġika bejn il-Georgia u l-Europol</w:t>
      </w:r>
      <w:r w:rsidRPr="00C947CB">
        <w:rPr>
          <w:rStyle w:val="HideTWBExt"/>
          <w:noProof w:val="0"/>
        </w:rPr>
        <w:t>&lt;/Titre&gt;</w:t>
      </w:r>
    </w:p>
    <w:p w:rsidR="00ED0821" w:rsidRPr="00C947CB" w:rsidRDefault="00ED0821">
      <w:pPr>
        <w:pStyle w:val="Cover24"/>
      </w:pPr>
      <w:r w:rsidRPr="00C947CB">
        <w:rPr>
          <w:rStyle w:val="HideTWBExt"/>
          <w:noProof w:val="0"/>
        </w:rPr>
        <w:t>&lt;DocRef&gt;</w:t>
      </w:r>
      <w:r w:rsidRPr="00C947CB">
        <w:t>(10343/2016 – C8-0266/2016 – 2016/0810(CNS))</w:t>
      </w:r>
      <w:r w:rsidRPr="00C947CB">
        <w:rPr>
          <w:rStyle w:val="HideTWBExt"/>
          <w:noProof w:val="0"/>
        </w:rPr>
        <w:t>&lt;/DocRef&gt;</w:t>
      </w:r>
    </w:p>
    <w:p w:rsidR="00ED0821" w:rsidRPr="00C947CB" w:rsidRDefault="00ED0821">
      <w:pPr>
        <w:pStyle w:val="Cover24"/>
      </w:pPr>
      <w:r w:rsidRPr="00C947CB">
        <w:rPr>
          <w:rStyle w:val="HideTWBExt"/>
          <w:noProof w:val="0"/>
        </w:rPr>
        <w:t>&lt;Commission&gt;</w:t>
      </w:r>
      <w:r w:rsidRPr="00C947CB">
        <w:rPr>
          <w:rStyle w:val="HideTWBInt"/>
        </w:rPr>
        <w:t>{LIBE}</w:t>
      </w:r>
      <w:r w:rsidRPr="00C947CB">
        <w:t>Kumitat għal-Libertajiet Ċivili, il-Ġustizzja u l-Intern</w:t>
      </w:r>
      <w:r w:rsidRPr="00C947CB">
        <w:rPr>
          <w:rStyle w:val="HideTWBExt"/>
          <w:noProof w:val="0"/>
        </w:rPr>
        <w:t>&lt;/Commission&gt;</w:t>
      </w:r>
    </w:p>
    <w:p w:rsidR="00ED0821" w:rsidRPr="00C947CB" w:rsidRDefault="00537770">
      <w:pPr>
        <w:pStyle w:val="Cover24"/>
      </w:pPr>
      <w:r w:rsidRPr="00C947CB">
        <w:t xml:space="preserve">Rapporteur: </w:t>
      </w:r>
      <w:r w:rsidRPr="00C947CB">
        <w:rPr>
          <w:rStyle w:val="HideTWBExt"/>
          <w:noProof w:val="0"/>
        </w:rPr>
        <w:t>&lt;Depute&gt;</w:t>
      </w:r>
      <w:r w:rsidRPr="00C947CB">
        <w:t>Claude Moraes</w:t>
      </w:r>
      <w:r w:rsidRPr="00C947CB">
        <w:rPr>
          <w:rStyle w:val="HideTWBExt"/>
          <w:noProof w:val="0"/>
        </w:rPr>
        <w:t>&lt;/Depute&gt;</w:t>
      </w:r>
    </w:p>
    <w:p w:rsidR="00BE4EC7" w:rsidRPr="00C947CB" w:rsidRDefault="00BE4EC7" w:rsidP="00BE4EC7">
      <w:pPr>
        <w:pStyle w:val="CoverNormal"/>
      </w:pPr>
    </w:p>
    <w:p w:rsidR="00ED0821" w:rsidRPr="00C947CB" w:rsidRDefault="00ED0821" w:rsidP="004C4A0B">
      <w:pPr>
        <w:widowControl/>
        <w:tabs>
          <w:tab w:val="center" w:pos="4677"/>
        </w:tabs>
      </w:pPr>
      <w:r w:rsidRPr="00C947CB">
        <w:br w:type="page"/>
      </w:r>
      <w:bookmarkStart w:id="0" w:name="DocEPTmpStart"/>
      <w:bookmarkEnd w:id="0"/>
    </w:p>
    <w:p w:rsidR="00997EB6" w:rsidRPr="00C947CB" w:rsidRDefault="00825D13">
      <w:r w:rsidRPr="00C947CB">
        <w:fldChar w:fldCharType="begin"/>
      </w:r>
      <w:r w:rsidRPr="00C947CB">
        <w:instrText>TITLE \* MERGEFORMAT</w:instrText>
      </w:r>
      <w:r w:rsidRPr="00C947CB">
        <w:fldChar w:fldCharType="separate"/>
      </w:r>
      <w:r>
        <w:t>PR_CNS_LegAct_app</w:t>
      </w:r>
      <w:r w:rsidRPr="00C947CB">
        <w:fldChar w:fldCharType="end"/>
      </w:r>
    </w:p>
    <w:p w:rsidR="00997EB6" w:rsidRPr="00C947CB" w:rsidRDefault="00997EB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97EB6" w:rsidRPr="00C947CB" w:rsidTr="00825D0A">
        <w:tc>
          <w:tcPr>
            <w:tcW w:w="5811" w:type="dxa"/>
            <w:tcBorders>
              <w:top w:val="single" w:sz="4" w:space="0" w:color="auto"/>
            </w:tcBorders>
          </w:tcPr>
          <w:p w:rsidR="00997EB6" w:rsidRPr="00C947CB" w:rsidRDefault="00997EB6" w:rsidP="00825D0A">
            <w:pPr>
              <w:pStyle w:val="Lgendetitre"/>
              <w:rPr>
                <w:szCs w:val="24"/>
              </w:rPr>
            </w:pPr>
            <w:r w:rsidRPr="00C947CB">
              <w:t>Tifsira tas-simboli użati</w:t>
            </w:r>
          </w:p>
        </w:tc>
      </w:tr>
      <w:tr w:rsidR="00997EB6" w:rsidRPr="00C947CB" w:rsidTr="00825D0A">
        <w:trPr>
          <w:cantSplit/>
          <w:trHeight w:val="1949"/>
        </w:trPr>
        <w:tc>
          <w:tcPr>
            <w:tcW w:w="5811" w:type="dxa"/>
            <w:tcBorders>
              <w:bottom w:val="single" w:sz="4" w:space="0" w:color="auto"/>
            </w:tcBorders>
          </w:tcPr>
          <w:p w:rsidR="00997EB6" w:rsidRPr="00C947CB" w:rsidRDefault="00997EB6" w:rsidP="00825D0A">
            <w:pPr>
              <w:pStyle w:val="Lgendesigne"/>
              <w:rPr>
                <w:szCs w:val="24"/>
              </w:rPr>
            </w:pPr>
            <w:r w:rsidRPr="00C947CB">
              <w:tab/>
              <w:t>*</w:t>
            </w:r>
            <w:r w:rsidRPr="00C947CB">
              <w:tab/>
              <w:t>Proċedura ta' konsultazzjoni</w:t>
            </w:r>
            <w:r w:rsidRPr="00C947CB">
              <w:tab/>
            </w:r>
          </w:p>
          <w:p w:rsidR="00997EB6" w:rsidRPr="00C947CB" w:rsidRDefault="00997EB6" w:rsidP="00825D0A">
            <w:pPr>
              <w:pStyle w:val="Lgendesigne"/>
              <w:rPr>
                <w:szCs w:val="24"/>
              </w:rPr>
            </w:pPr>
            <w:r w:rsidRPr="00C947CB">
              <w:tab/>
              <w:t>***</w:t>
            </w:r>
            <w:r w:rsidRPr="00C947CB">
              <w:tab/>
              <w:t>Proċedura ta' approvazzjoni</w:t>
            </w:r>
          </w:p>
          <w:p w:rsidR="00997EB6" w:rsidRPr="00C947CB" w:rsidRDefault="00997EB6" w:rsidP="00825D0A">
            <w:pPr>
              <w:pStyle w:val="Lgendesigne"/>
              <w:rPr>
                <w:szCs w:val="24"/>
              </w:rPr>
            </w:pPr>
            <w:r w:rsidRPr="00C947CB">
              <w:tab/>
              <w:t>***I</w:t>
            </w:r>
            <w:r w:rsidRPr="00C947CB">
              <w:tab/>
              <w:t>Proċedura leġiżlattiva ordinarja (l-ewwel qari)</w:t>
            </w:r>
          </w:p>
          <w:p w:rsidR="00997EB6" w:rsidRPr="00C947CB" w:rsidRDefault="00997EB6" w:rsidP="00825D0A">
            <w:pPr>
              <w:pStyle w:val="Lgendesigne"/>
              <w:rPr>
                <w:szCs w:val="24"/>
              </w:rPr>
            </w:pPr>
            <w:r w:rsidRPr="00C947CB">
              <w:tab/>
              <w:t>***II</w:t>
            </w:r>
            <w:r w:rsidRPr="00C947CB">
              <w:tab/>
              <w:t>Proċedura leġiżlattiva ordinarja (it-tieni qari)</w:t>
            </w:r>
          </w:p>
          <w:p w:rsidR="00997EB6" w:rsidRPr="00C947CB" w:rsidRDefault="00997EB6" w:rsidP="00825D0A">
            <w:pPr>
              <w:pStyle w:val="Lgendesigne"/>
              <w:rPr>
                <w:szCs w:val="24"/>
              </w:rPr>
            </w:pPr>
            <w:r w:rsidRPr="00C947CB">
              <w:tab/>
              <w:t>***III</w:t>
            </w:r>
            <w:r w:rsidRPr="00C947CB">
              <w:tab/>
              <w:t>Proċedura leġiżlattiva ordinarja (it-tielet qari)</w:t>
            </w:r>
            <w:r w:rsidRPr="00C947CB">
              <w:br/>
            </w:r>
          </w:p>
          <w:p w:rsidR="00997EB6" w:rsidRPr="00C947CB" w:rsidRDefault="00997EB6" w:rsidP="00825D0A">
            <w:pPr>
              <w:pStyle w:val="Lgendestandard"/>
              <w:rPr>
                <w:szCs w:val="24"/>
              </w:rPr>
            </w:pPr>
            <w:r w:rsidRPr="00C947CB">
              <w:t>(It-tip ta' proċedura jiddependi mill-bażi legali proposta mill-abbozz ta' att.)</w:t>
            </w:r>
          </w:p>
          <w:p w:rsidR="00997EB6" w:rsidRPr="00C947CB" w:rsidRDefault="00997EB6" w:rsidP="00825D0A">
            <w:pPr>
              <w:pStyle w:val="Lgendestandard"/>
              <w:rPr>
                <w:szCs w:val="24"/>
              </w:rPr>
            </w:pPr>
          </w:p>
        </w:tc>
      </w:tr>
    </w:tbl>
    <w:p w:rsidR="00997EB6" w:rsidRPr="00C947CB" w:rsidRDefault="00997EB6" w:rsidP="00825D0A"/>
    <w:p w:rsidR="00997EB6" w:rsidRPr="00C947CB" w:rsidRDefault="00997EB6" w:rsidP="00825D0A"/>
    <w:p w:rsidR="00997EB6" w:rsidRPr="00C947CB" w:rsidRDefault="00997EB6" w:rsidP="00825D0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97EB6" w:rsidRPr="00C947CB" w:rsidTr="00825D0A">
        <w:tc>
          <w:tcPr>
            <w:tcW w:w="5811" w:type="dxa"/>
            <w:tcBorders>
              <w:top w:val="single" w:sz="4" w:space="0" w:color="auto"/>
            </w:tcBorders>
          </w:tcPr>
          <w:p w:rsidR="00997EB6" w:rsidRPr="00C947CB" w:rsidRDefault="00997EB6" w:rsidP="00825D0A">
            <w:pPr>
              <w:pStyle w:val="Lgendetitre"/>
              <w:rPr>
                <w:szCs w:val="24"/>
              </w:rPr>
            </w:pPr>
            <w:r w:rsidRPr="00C947CB">
              <w:t>Emendi għal abbozz ta' att</w:t>
            </w:r>
          </w:p>
        </w:tc>
      </w:tr>
      <w:tr w:rsidR="00997EB6" w:rsidRPr="00C947CB" w:rsidTr="00825D0A">
        <w:tc>
          <w:tcPr>
            <w:tcW w:w="5811" w:type="dxa"/>
            <w:tcBorders>
              <w:bottom w:val="single" w:sz="4" w:space="0" w:color="auto"/>
            </w:tcBorders>
          </w:tcPr>
          <w:p w:rsidR="00997EB6" w:rsidRPr="00C947CB" w:rsidRDefault="00997EB6" w:rsidP="00825D0A">
            <w:pPr>
              <w:pStyle w:val="Lgendestandard"/>
              <w:rPr>
                <w:szCs w:val="24"/>
              </w:rPr>
            </w:pPr>
          </w:p>
          <w:p w:rsidR="00997EB6" w:rsidRPr="00C947CB" w:rsidRDefault="00997EB6" w:rsidP="00825D0A">
            <w:pPr>
              <w:pStyle w:val="Lgendestandard"/>
              <w:rPr>
                <w:szCs w:val="24"/>
              </w:rPr>
            </w:pPr>
            <w:r w:rsidRPr="00C947CB">
              <w:rPr>
                <w:b/>
              </w:rPr>
              <w:t>Emendi tal-Parlament f'żewġ kolonni</w:t>
            </w:r>
          </w:p>
          <w:p w:rsidR="00997EB6" w:rsidRPr="00C947CB" w:rsidRDefault="00997EB6" w:rsidP="00825D0A">
            <w:pPr>
              <w:pStyle w:val="Lgendestandard"/>
              <w:rPr>
                <w:szCs w:val="24"/>
              </w:rPr>
            </w:pPr>
          </w:p>
          <w:p w:rsidR="00997EB6" w:rsidRPr="00C947CB" w:rsidRDefault="00997EB6" w:rsidP="00825D0A">
            <w:pPr>
              <w:pStyle w:val="Lgendestandard"/>
              <w:rPr>
                <w:szCs w:val="24"/>
              </w:rPr>
            </w:pPr>
            <w:r w:rsidRPr="00C947CB">
              <w:t>It-tħassir huwa indikat permezz tat-tipa</w:t>
            </w:r>
            <w:r w:rsidRPr="00C947CB">
              <w:rPr>
                <w:b/>
                <w:i/>
              </w:rPr>
              <w:t xml:space="preserve"> korsiva</w:t>
            </w:r>
            <w:r w:rsidRPr="00C947CB">
              <w:t xml:space="preserve"> </w:t>
            </w:r>
            <w:r w:rsidRPr="00C947CB">
              <w:rPr>
                <w:b/>
                <w:i/>
              </w:rPr>
              <w:t>u grassa</w:t>
            </w:r>
            <w:r w:rsidRPr="00C947CB">
              <w:t xml:space="preserve"> fil-kolonna tax-xellug. Is-sostituzzjoni hija indikata permezz tat-tipa</w:t>
            </w:r>
            <w:r w:rsidRPr="00C947CB">
              <w:rPr>
                <w:b/>
                <w:i/>
              </w:rPr>
              <w:t xml:space="preserve"> korsiva</w:t>
            </w:r>
            <w:r w:rsidRPr="00C947CB">
              <w:t xml:space="preserve"> </w:t>
            </w:r>
            <w:r w:rsidRPr="00C947CB">
              <w:rPr>
                <w:b/>
                <w:i/>
              </w:rPr>
              <w:t>u grassa</w:t>
            </w:r>
            <w:r w:rsidRPr="00C947CB">
              <w:t xml:space="preserve"> fiż-żewġ kolonni. It-test ġdid huwa indikat permezz tat-tipa</w:t>
            </w:r>
            <w:r w:rsidRPr="00C947CB">
              <w:rPr>
                <w:b/>
                <w:i/>
              </w:rPr>
              <w:t xml:space="preserve"> korsiva</w:t>
            </w:r>
            <w:r w:rsidRPr="00C947CB">
              <w:t xml:space="preserve"> </w:t>
            </w:r>
            <w:r w:rsidRPr="00C947CB">
              <w:rPr>
                <w:b/>
                <w:i/>
              </w:rPr>
              <w:t>u grassa</w:t>
            </w:r>
            <w:r w:rsidRPr="00C947CB">
              <w:t xml:space="preserve"> fil-kolonna tal-lemin.</w:t>
            </w:r>
          </w:p>
          <w:p w:rsidR="00997EB6" w:rsidRPr="00C947CB" w:rsidRDefault="00997EB6" w:rsidP="00825D0A">
            <w:pPr>
              <w:pStyle w:val="Lgendestandard"/>
              <w:rPr>
                <w:szCs w:val="24"/>
              </w:rPr>
            </w:pPr>
          </w:p>
          <w:p w:rsidR="00997EB6" w:rsidRPr="00C947CB" w:rsidRDefault="00997EB6" w:rsidP="00825D0A">
            <w:pPr>
              <w:pStyle w:val="Lgendestandard"/>
              <w:rPr>
                <w:szCs w:val="24"/>
              </w:rPr>
            </w:pPr>
            <w:r w:rsidRPr="00C947CB">
              <w:t xml:space="preserve">L-ewwel u t-tieni linji tal-intestatura ta' kull emenda jidentifikaw il-parti tat-test ikkonċernata fl-abbozz ta' att inkwistjoni. Meta emenda tirrigwarda att eżistenti, li l-abbozz ta' att ikollu l-ħsieb li jemenda, l-intestatura jkun fiha wkoll it-tielet u r-raba' linji li jidentifikaw rispettivament l-att eżistenti u d-dispożizzjoni kkonċernata f'dak l-att. </w:t>
            </w:r>
          </w:p>
          <w:p w:rsidR="00997EB6" w:rsidRPr="00C947CB" w:rsidRDefault="00997EB6" w:rsidP="00825D0A">
            <w:pPr>
              <w:pStyle w:val="Lgendestandard"/>
              <w:rPr>
                <w:szCs w:val="24"/>
              </w:rPr>
            </w:pPr>
          </w:p>
          <w:p w:rsidR="00997EB6" w:rsidRPr="00C947CB" w:rsidRDefault="00997EB6" w:rsidP="00825D0A">
            <w:pPr>
              <w:pStyle w:val="Lgendestandard"/>
              <w:rPr>
                <w:b/>
                <w:szCs w:val="24"/>
              </w:rPr>
            </w:pPr>
            <w:r w:rsidRPr="00C947CB">
              <w:rPr>
                <w:b/>
              </w:rPr>
              <w:t>Emendi tal-Parlament li jieħdu l-forma ta' test konsolidat</w:t>
            </w:r>
          </w:p>
          <w:p w:rsidR="00997EB6" w:rsidRPr="00C947CB" w:rsidRDefault="00997EB6" w:rsidP="00825D0A">
            <w:pPr>
              <w:pStyle w:val="Lgendestandard"/>
              <w:rPr>
                <w:szCs w:val="24"/>
              </w:rPr>
            </w:pPr>
          </w:p>
          <w:p w:rsidR="00997EB6" w:rsidRPr="00C947CB" w:rsidRDefault="00997EB6" w:rsidP="00825D0A">
            <w:pPr>
              <w:pStyle w:val="Lgendestandard"/>
              <w:rPr>
                <w:szCs w:val="24"/>
              </w:rPr>
            </w:pPr>
            <w:r w:rsidRPr="00C947CB">
              <w:t>Il-partijiet tat-testi l-ġodda huma indikati permezz tat-tipa</w:t>
            </w:r>
            <w:r w:rsidRPr="00C947CB">
              <w:rPr>
                <w:b/>
                <w:i/>
              </w:rPr>
              <w:t xml:space="preserve"> korsiva u grassa.</w:t>
            </w:r>
            <w:r w:rsidRPr="00C947CB">
              <w:t xml:space="preserve"> Il-partijiet tat-test imħassra huma indikati permezz tas-simbolu ▌ jew huma ingassati.  Is-sostituzzjoni hija indikata billi t-test il-ġdid jiġi indikat permezz tat-tipa</w:t>
            </w:r>
            <w:r w:rsidRPr="00C947CB">
              <w:rPr>
                <w:b/>
                <w:i/>
              </w:rPr>
              <w:t xml:space="preserve"> korsiva u grassa</w:t>
            </w:r>
            <w:r w:rsidRPr="00C947CB">
              <w:t xml:space="preserve"> u billi jitħassar jew jiġi ingassat it-test sostitwit. </w:t>
            </w:r>
          </w:p>
          <w:p w:rsidR="00997EB6" w:rsidRPr="00C947CB" w:rsidRDefault="00997EB6" w:rsidP="00825D0A">
            <w:pPr>
              <w:pStyle w:val="Lgendestandard"/>
              <w:rPr>
                <w:szCs w:val="24"/>
              </w:rPr>
            </w:pPr>
            <w:r w:rsidRPr="00C947CB">
              <w:tab/>
              <w:t>Bħala eċċezzjoni, it-tibdil ta' natura strettament teknika magħmul mis-servizzi fil-preparazzjoni tat-test finali mhuwiex indikat.</w:t>
            </w:r>
          </w:p>
          <w:p w:rsidR="00997EB6" w:rsidRPr="00C947CB" w:rsidRDefault="00997EB6" w:rsidP="00825D0A">
            <w:pPr>
              <w:pStyle w:val="Lgendestandard"/>
              <w:rPr>
                <w:szCs w:val="24"/>
              </w:rPr>
            </w:pPr>
          </w:p>
        </w:tc>
      </w:tr>
    </w:tbl>
    <w:p w:rsidR="00997EB6" w:rsidRPr="00C947CB" w:rsidRDefault="00997EB6" w:rsidP="00825D0A"/>
    <w:p w:rsidR="00997EB6" w:rsidRPr="00C947CB" w:rsidRDefault="00997EB6"/>
    <w:p w:rsidR="00ED0821" w:rsidRPr="00C947CB" w:rsidRDefault="00ED0821" w:rsidP="004C4A0B">
      <w:pPr>
        <w:widowControl/>
        <w:tabs>
          <w:tab w:val="center" w:pos="4677"/>
        </w:tabs>
      </w:pPr>
    </w:p>
    <w:p w:rsidR="00ED0821" w:rsidRPr="00C947CB" w:rsidRDefault="00ED0821">
      <w:pPr>
        <w:pStyle w:val="TOCHeading"/>
      </w:pPr>
      <w:r w:rsidRPr="00C947CB">
        <w:br w:type="page"/>
      </w:r>
      <w:r w:rsidRPr="00C947CB">
        <w:lastRenderedPageBreak/>
        <w:t>WERREJ</w:t>
      </w:r>
    </w:p>
    <w:p w:rsidR="00ED0821" w:rsidRPr="00C947CB" w:rsidRDefault="00537770">
      <w:pPr>
        <w:pStyle w:val="TOCPage"/>
      </w:pPr>
      <w:r w:rsidRPr="00C947CB">
        <w:t>Paġna</w:t>
      </w:r>
    </w:p>
    <w:p w:rsidR="00825D13" w:rsidRDefault="004C4A0B">
      <w:pPr>
        <w:pStyle w:val="TOC1"/>
        <w:tabs>
          <w:tab w:val="right" w:leader="dot" w:pos="9060"/>
        </w:tabs>
        <w:rPr>
          <w:rFonts w:asciiTheme="minorHAnsi" w:eastAsiaTheme="minorEastAsia" w:hAnsiTheme="minorHAnsi" w:cstheme="minorBidi"/>
          <w:noProof/>
          <w:sz w:val="22"/>
          <w:szCs w:val="22"/>
          <w:lang w:val="en-GB" w:eastAsia="en-GB" w:bidi="ar-SA"/>
        </w:rPr>
      </w:pPr>
      <w:r w:rsidRPr="00C947CB">
        <w:rPr>
          <w:b/>
        </w:rPr>
        <w:fldChar w:fldCharType="begin"/>
      </w:r>
      <w:r w:rsidRPr="00C947CB">
        <w:rPr>
          <w:b/>
        </w:rPr>
        <w:instrText xml:space="preserve"> TOC \t "PageHeading</w:instrText>
      </w:r>
      <w:r w:rsidR="00721255" w:rsidRPr="00C947CB">
        <w:rPr>
          <w:b/>
        </w:rPr>
        <w:instrText>;</w:instrText>
      </w:r>
      <w:r w:rsidRPr="00C947CB">
        <w:rPr>
          <w:b/>
        </w:rPr>
        <w:instrText xml:space="preserve">1" </w:instrText>
      </w:r>
      <w:r w:rsidRPr="00C947CB">
        <w:rPr>
          <w:b/>
        </w:rPr>
        <w:fldChar w:fldCharType="separate"/>
      </w:r>
      <w:r w:rsidR="00825D13">
        <w:rPr>
          <w:noProof/>
        </w:rPr>
        <w:t>ABBOZZ TA' RIŻOLUZZJONI LEĠIŻLATTIVA TAL-PARLAMENT EWROPEW</w:t>
      </w:r>
      <w:r w:rsidR="00825D13">
        <w:rPr>
          <w:noProof/>
        </w:rPr>
        <w:tab/>
      </w:r>
      <w:r w:rsidR="00825D13">
        <w:rPr>
          <w:noProof/>
        </w:rPr>
        <w:fldChar w:fldCharType="begin"/>
      </w:r>
      <w:r w:rsidR="00825D13">
        <w:rPr>
          <w:noProof/>
        </w:rPr>
        <w:instrText xml:space="preserve"> PAGEREF _Toc467834703 \h </w:instrText>
      </w:r>
      <w:r w:rsidR="00825D13">
        <w:rPr>
          <w:noProof/>
        </w:rPr>
      </w:r>
      <w:r w:rsidR="00825D13">
        <w:rPr>
          <w:noProof/>
        </w:rPr>
        <w:fldChar w:fldCharType="separate"/>
      </w:r>
      <w:r w:rsidR="00825D13">
        <w:rPr>
          <w:noProof/>
        </w:rPr>
        <w:t>5</w:t>
      </w:r>
      <w:r w:rsidR="00825D13">
        <w:rPr>
          <w:noProof/>
        </w:rPr>
        <w:fldChar w:fldCharType="end"/>
      </w:r>
    </w:p>
    <w:p w:rsidR="00825D13" w:rsidRDefault="00825D1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NOTA SPJEGATTIVA</w:t>
      </w:r>
      <w:r>
        <w:rPr>
          <w:noProof/>
        </w:rPr>
        <w:tab/>
      </w:r>
      <w:r>
        <w:rPr>
          <w:noProof/>
        </w:rPr>
        <w:fldChar w:fldCharType="begin"/>
      </w:r>
      <w:r>
        <w:rPr>
          <w:noProof/>
        </w:rPr>
        <w:instrText xml:space="preserve"> PAGEREF _Toc467834704 \h </w:instrText>
      </w:r>
      <w:r>
        <w:rPr>
          <w:noProof/>
        </w:rPr>
      </w:r>
      <w:r>
        <w:rPr>
          <w:noProof/>
        </w:rPr>
        <w:fldChar w:fldCharType="separate"/>
      </w:r>
      <w:r>
        <w:rPr>
          <w:noProof/>
        </w:rPr>
        <w:t>7</w:t>
      </w:r>
      <w:r>
        <w:rPr>
          <w:noProof/>
        </w:rPr>
        <w:fldChar w:fldCharType="end"/>
      </w:r>
    </w:p>
    <w:p w:rsidR="00825D13" w:rsidRDefault="00825D1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PROĊEDURA TAL-KUMITAT RESPONSABBLI</w:t>
      </w:r>
      <w:r>
        <w:rPr>
          <w:noProof/>
        </w:rPr>
        <w:tab/>
      </w:r>
      <w:r>
        <w:rPr>
          <w:noProof/>
        </w:rPr>
        <w:fldChar w:fldCharType="begin"/>
      </w:r>
      <w:r>
        <w:rPr>
          <w:noProof/>
        </w:rPr>
        <w:instrText xml:space="preserve"> PAGEREF _Toc467834705 \h </w:instrText>
      </w:r>
      <w:r>
        <w:rPr>
          <w:noProof/>
        </w:rPr>
      </w:r>
      <w:r>
        <w:rPr>
          <w:noProof/>
        </w:rPr>
        <w:fldChar w:fldCharType="separate"/>
      </w:r>
      <w:r>
        <w:rPr>
          <w:noProof/>
        </w:rPr>
        <w:t>9</w:t>
      </w:r>
      <w:r>
        <w:rPr>
          <w:noProof/>
        </w:rPr>
        <w:fldChar w:fldCharType="end"/>
      </w:r>
    </w:p>
    <w:p w:rsidR="00825D13" w:rsidRDefault="00825D1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VOTAZZJONI FINALI B'SEJĦA TAL-ISMIJIET FIL-KUMITAT RESPONSABBLI</w:t>
      </w:r>
      <w:r>
        <w:rPr>
          <w:noProof/>
        </w:rPr>
        <w:tab/>
      </w:r>
      <w:r>
        <w:rPr>
          <w:noProof/>
        </w:rPr>
        <w:fldChar w:fldCharType="begin"/>
      </w:r>
      <w:r>
        <w:rPr>
          <w:noProof/>
        </w:rPr>
        <w:instrText xml:space="preserve"> PAGEREF _Toc467834706 \h </w:instrText>
      </w:r>
      <w:r>
        <w:rPr>
          <w:noProof/>
        </w:rPr>
      </w:r>
      <w:r>
        <w:rPr>
          <w:noProof/>
        </w:rPr>
        <w:fldChar w:fldCharType="separate"/>
      </w:r>
      <w:r>
        <w:rPr>
          <w:noProof/>
        </w:rPr>
        <w:t>10</w:t>
      </w:r>
      <w:r>
        <w:rPr>
          <w:noProof/>
        </w:rPr>
        <w:fldChar w:fldCharType="end"/>
      </w:r>
    </w:p>
    <w:p w:rsidR="005F644F" w:rsidRPr="00C947CB" w:rsidRDefault="004C4A0B">
      <w:pPr>
        <w:pStyle w:val="TOC1"/>
        <w:tabs>
          <w:tab w:val="right" w:leader="dot" w:pos="9060"/>
        </w:tabs>
        <w:rPr>
          <w:rFonts w:asciiTheme="minorHAnsi" w:eastAsiaTheme="minorEastAsia" w:hAnsiTheme="minorHAnsi" w:cstheme="minorBidi"/>
          <w:sz w:val="22"/>
          <w:szCs w:val="22"/>
        </w:rPr>
      </w:pPr>
      <w:r w:rsidRPr="00C947CB">
        <w:rPr>
          <w:b/>
        </w:rPr>
        <w:fldChar w:fldCharType="end"/>
      </w:r>
    </w:p>
    <w:p w:rsidR="001A06D8" w:rsidRPr="00C947CB" w:rsidRDefault="001A06D8" w:rsidP="001A06D8"/>
    <w:p w:rsidR="001A06D8" w:rsidRPr="00C947CB" w:rsidRDefault="001A06D8">
      <w:pPr>
        <w:pStyle w:val="PageHeading"/>
      </w:pPr>
    </w:p>
    <w:p w:rsidR="00ED0821" w:rsidRPr="00C947CB" w:rsidRDefault="00ED0821">
      <w:pPr>
        <w:pStyle w:val="PageHeading"/>
      </w:pPr>
      <w:r w:rsidRPr="00C947CB">
        <w:br w:type="page"/>
      </w:r>
      <w:r w:rsidRPr="00C947CB">
        <w:lastRenderedPageBreak/>
        <w:br w:type="page"/>
      </w:r>
      <w:bookmarkStart w:id="1" w:name="_Toc463344147"/>
      <w:bookmarkStart w:id="2" w:name="_Toc467570264"/>
      <w:bookmarkStart w:id="3" w:name="_Toc467834703"/>
      <w:r w:rsidRPr="00C947CB">
        <w:lastRenderedPageBreak/>
        <w:t>ABBOZZ TA' RIŻOLUZZJONI LEĠIŻLATTIVA TAL-PARLAMENT EWROPEW</w:t>
      </w:r>
      <w:bookmarkEnd w:id="1"/>
      <w:bookmarkEnd w:id="2"/>
      <w:bookmarkEnd w:id="3"/>
    </w:p>
    <w:p w:rsidR="00997EB6" w:rsidRPr="00C947CB" w:rsidRDefault="00997EB6" w:rsidP="00997EB6">
      <w:pPr>
        <w:pStyle w:val="NormalBold"/>
      </w:pPr>
      <w:r w:rsidRPr="00C947CB">
        <w:t>dwar l-abbozz ta' deċiżjoni ta' Implimentazzjoni tal-Kunsill li tapprova l-konklużjoni mill-Uffiċċju Ewropew tal-Pulizija (Europol) tal-Ftehim dwar Kooperazzjoni Operattiva u Strateġika bejn il-Georgia u l-Europol</w:t>
      </w:r>
    </w:p>
    <w:p w:rsidR="00ED0821" w:rsidRPr="00C947CB" w:rsidRDefault="00537770" w:rsidP="00997EB6">
      <w:pPr>
        <w:pStyle w:val="Normal12Bold"/>
      </w:pPr>
      <w:r w:rsidRPr="00C947CB">
        <w:t>(10343/2016 – C8-0266/2016 – 2016/0810(CNS))</w:t>
      </w:r>
    </w:p>
    <w:p w:rsidR="00ED0821" w:rsidRPr="00C947CB" w:rsidRDefault="00537770">
      <w:pPr>
        <w:pStyle w:val="Normal12Bold"/>
      </w:pPr>
      <w:r w:rsidRPr="00C947CB">
        <w:t>(Proċedura leġiżlattiva speċjali – konsultazzjoni)</w:t>
      </w:r>
    </w:p>
    <w:p w:rsidR="00ED0821" w:rsidRPr="00C947CB" w:rsidRDefault="00537770">
      <w:pPr>
        <w:pStyle w:val="Normal12"/>
      </w:pPr>
      <w:r w:rsidRPr="00C947CB">
        <w:rPr>
          <w:i/>
        </w:rPr>
        <w:t>Il-Parlament Ewropew</w:t>
      </w:r>
      <w:r w:rsidRPr="00C947CB">
        <w:t>,</w:t>
      </w:r>
    </w:p>
    <w:p w:rsidR="005F644F" w:rsidRPr="00C947CB" w:rsidRDefault="005F644F" w:rsidP="005F644F">
      <w:pPr>
        <w:pStyle w:val="Normal12Hanging"/>
      </w:pPr>
      <w:r w:rsidRPr="00C947CB">
        <w:t>–</w:t>
      </w:r>
      <w:r w:rsidRPr="00C947CB">
        <w:tab/>
        <w:t>wara li kkunsidra l-abbozz tal-Kunsill (10343/2016),</w:t>
      </w:r>
    </w:p>
    <w:p w:rsidR="005F644F" w:rsidRPr="00C947CB" w:rsidRDefault="005F644F" w:rsidP="005F644F">
      <w:pPr>
        <w:pStyle w:val="Normal12Hanging"/>
      </w:pPr>
      <w:r w:rsidRPr="00C947CB">
        <w:t>–</w:t>
      </w:r>
      <w:r w:rsidRPr="00C947CB">
        <w:tab/>
        <w:t>wara li kkunsidra l-Artikolu 39(1) tat-Trattat dwar l-Unjoni Ewropea, kif emendat mit-Trattat ta' Amsterdam, u l-Artikolu 9 tal-Protokoll Nru 36 dwar id-dispożizzjonijiet tranżitorji, skont liema artikolu l-Parlament ġie kkonsultat mill-Kunsill (C8-0266/2016),</w:t>
      </w:r>
    </w:p>
    <w:p w:rsidR="005F644F" w:rsidRPr="00C947CB" w:rsidRDefault="005F644F" w:rsidP="005F644F">
      <w:pPr>
        <w:pStyle w:val="Normal12Hanging"/>
      </w:pPr>
      <w:r w:rsidRPr="00C947CB">
        <w:t>–</w:t>
      </w:r>
      <w:r w:rsidRPr="00C947CB">
        <w:tab/>
        <w:t>wara li kkunsidra d-Deċiżjoni tal-Kunsill 2009/371/ĠAI tas-6 ta' April 2009 li tistabbilixxi l-Uffiċċju Ewropew tal-Pulizija (Europol)</w:t>
      </w:r>
      <w:r w:rsidRPr="00C947CB">
        <w:rPr>
          <w:rStyle w:val="FootnoteReference"/>
        </w:rPr>
        <w:footnoteReference w:id="1"/>
      </w:r>
      <w:r w:rsidRPr="00C947CB">
        <w:t>, b'mod partikolari l-Artikolu 23(2) tagħha,</w:t>
      </w:r>
    </w:p>
    <w:p w:rsidR="005F644F" w:rsidRPr="00C947CB" w:rsidRDefault="005F644F" w:rsidP="005F644F">
      <w:pPr>
        <w:pStyle w:val="Normal12Hanging"/>
      </w:pPr>
      <w:r w:rsidRPr="00C947CB">
        <w:t>–</w:t>
      </w:r>
      <w:r w:rsidRPr="00C947CB">
        <w:tab/>
        <w:t>wara li kkunsidra d-Deċiżjoni tal-Kunsill 2009/934/ĠAI tat-30 ta' Novembru 2009 li tadotta r-regoli implimentattivi li jirregolaw ir-relazzjonijiet tal-Europol mal-imsieħba, inkluż l-iskambju ta' data personali u informazzjoni kklassifikata</w:t>
      </w:r>
      <w:r w:rsidRPr="00C947CB">
        <w:rPr>
          <w:rStyle w:val="FootnoteReference"/>
        </w:rPr>
        <w:footnoteReference w:id="2"/>
      </w:r>
      <w:r w:rsidRPr="00C947CB">
        <w:t>, b'mod partikolari l-Artikoli 5 u 6 tagħha,</w:t>
      </w:r>
    </w:p>
    <w:p w:rsidR="005F644F" w:rsidRPr="00C947CB" w:rsidRDefault="005F644F" w:rsidP="005F644F">
      <w:pPr>
        <w:pStyle w:val="Normal12Hanging"/>
      </w:pPr>
      <w:r w:rsidRPr="00C947CB">
        <w:t>–</w:t>
      </w:r>
      <w:r w:rsidRPr="00C947CB">
        <w:tab/>
        <w:t>wara li kkunsidra d-Deċiżjoni tal-Kunsill 2009/935/ĠAI tat-30 ta' Novembru 2009 li tiddetermina l-lista ta' Stati terzi u organizzazzjonijiet li magħhom l-Europol għandu jikkonkludi ftehimiet</w:t>
      </w:r>
      <w:r w:rsidRPr="00C947CB">
        <w:rPr>
          <w:rStyle w:val="FootnoteReference"/>
        </w:rPr>
        <w:footnoteReference w:id="3"/>
      </w:r>
      <w:r w:rsidRPr="00C947CB">
        <w:t>,</w:t>
      </w:r>
    </w:p>
    <w:p w:rsidR="005F644F" w:rsidRPr="00C947CB" w:rsidRDefault="005F644F" w:rsidP="005F644F">
      <w:pPr>
        <w:pStyle w:val="Normal12Hanging"/>
      </w:pPr>
      <w:r w:rsidRPr="00C947CB">
        <w:t>–</w:t>
      </w:r>
      <w:r w:rsidRPr="00C947CB">
        <w:tab/>
        <w:t>wara li kkunsidra l-Artikolu 59 tar-Regoli ta' Proċedura tiegħu,</w:t>
      </w:r>
    </w:p>
    <w:p w:rsidR="005F644F" w:rsidRPr="00C947CB" w:rsidRDefault="005F644F" w:rsidP="005F644F">
      <w:pPr>
        <w:pStyle w:val="Normal12Hanging"/>
      </w:pPr>
      <w:r w:rsidRPr="00C947CB">
        <w:t>–</w:t>
      </w:r>
      <w:r w:rsidRPr="00C947CB">
        <w:tab/>
        <w:t>wara li kkunsidra r-rapport tal-Kumitat għal-Libertajiet Ċivili, il-Ġustizzja u l-Intern (A8-0343/2016),</w:t>
      </w:r>
    </w:p>
    <w:p w:rsidR="005F644F" w:rsidRPr="00C947CB" w:rsidRDefault="005F644F" w:rsidP="005F644F">
      <w:pPr>
        <w:pStyle w:val="Normal12Hanging"/>
      </w:pPr>
      <w:r w:rsidRPr="00C947CB">
        <w:t>1.</w:t>
      </w:r>
      <w:r w:rsidRPr="00C947CB">
        <w:tab/>
        <w:t>Japprova l-abbozz tal-Kunsill</w:t>
      </w:r>
      <w:bookmarkStart w:id="4" w:name="DocEPTmp2"/>
      <w:bookmarkEnd w:id="4"/>
      <w:r w:rsidRPr="00C947CB">
        <w:t>;</w:t>
      </w:r>
    </w:p>
    <w:p w:rsidR="005F644F" w:rsidRPr="00C947CB" w:rsidRDefault="005F644F" w:rsidP="005F644F">
      <w:pPr>
        <w:pStyle w:val="Normal12Hanging"/>
      </w:pPr>
      <w:r w:rsidRPr="00C947CB">
        <w:t>2.</w:t>
      </w:r>
      <w:r w:rsidRPr="00C947CB">
        <w:tab/>
        <w:t>Jistieden lill-Kunsill biex jinfurmah jekk ikollu l-ħsieb li jitbiegħed mit-test approvat mill-Parlament;</w:t>
      </w:r>
    </w:p>
    <w:p w:rsidR="005F644F" w:rsidRPr="00C947CB" w:rsidRDefault="005F644F" w:rsidP="005F644F">
      <w:pPr>
        <w:pStyle w:val="Normal12Hanging"/>
      </w:pPr>
      <w:r w:rsidRPr="00C947CB">
        <w:t>3.</w:t>
      </w:r>
      <w:r w:rsidRPr="00C947CB">
        <w:tab/>
        <w:t>Jitlob lill-Kunsill biex jerġa' jikkonsultah jekk ikollu l-ħsieb li jemenda t-test approvat mill-Parlament b'mod sustanzjali;</w:t>
      </w:r>
    </w:p>
    <w:p w:rsidR="005F644F" w:rsidRPr="00C947CB" w:rsidRDefault="005F644F" w:rsidP="005F644F">
      <w:pPr>
        <w:pStyle w:val="Normal12Hanging"/>
      </w:pPr>
      <w:r w:rsidRPr="00C947CB">
        <w:t>4.</w:t>
      </w:r>
      <w:r w:rsidRPr="00C947CB">
        <w:tab/>
        <w:t>Jitlob lill-Kummissjoni tivvaluta, wara d-data ta' applikazzjoni tar-Regolament il-ġdid dwar l-Europol</w:t>
      </w:r>
      <w:r w:rsidRPr="00C947CB">
        <w:rPr>
          <w:rStyle w:val="FootnoteReference"/>
        </w:rPr>
        <w:footnoteReference w:id="4"/>
      </w:r>
      <w:r w:rsidRPr="00C947CB">
        <w:t xml:space="preserve">, id-dispożizzjonijiet tal-ftehim ta' kooperazzjoni, u jitlobha wkoll </w:t>
      </w:r>
      <w:r w:rsidRPr="00C947CB">
        <w:lastRenderedPageBreak/>
        <w:t>tinforma lill-Parlament u lill-Kunsill dwar l-eżitu ta' din il-valutazzjoni u, jekk ikun xieraq, tressaq rakkomandazzjoni għal awtorizzazzjoni biex jinfetaħ rinegozjar internazzjonali tal-ftehim;</w:t>
      </w:r>
    </w:p>
    <w:p w:rsidR="005F644F" w:rsidRPr="00C947CB" w:rsidRDefault="005F644F" w:rsidP="005F644F">
      <w:pPr>
        <w:pStyle w:val="Normal12Hanging"/>
      </w:pPr>
      <w:r w:rsidRPr="00C947CB">
        <w:t>5.</w:t>
      </w:r>
      <w:r w:rsidRPr="00C947CB">
        <w:tab/>
        <w:t>Jagħti istruzzjonijiet lill-President tiegħu biex jgħaddi l-pożizzjoni tal-Parlament lill-Kunsill, lill-Kummissjoni u lill-Europol.</w:t>
      </w:r>
    </w:p>
    <w:p w:rsidR="005F644F" w:rsidRPr="00C947CB" w:rsidRDefault="005F644F" w:rsidP="005F644F">
      <w:pPr>
        <w:pStyle w:val="PageHeading"/>
      </w:pPr>
      <w:r w:rsidRPr="00C947CB">
        <w:br w:type="page"/>
      </w:r>
      <w:bookmarkStart w:id="5" w:name="_Toc467488008"/>
      <w:bookmarkStart w:id="6" w:name="_Toc467570265"/>
      <w:bookmarkStart w:id="7" w:name="_Toc467834704"/>
      <w:r w:rsidRPr="00C947CB">
        <w:lastRenderedPageBreak/>
        <w:t>NOTA SPJEGATTIVA</w:t>
      </w:r>
      <w:bookmarkEnd w:id="5"/>
      <w:bookmarkEnd w:id="6"/>
      <w:bookmarkEnd w:id="7"/>
    </w:p>
    <w:p w:rsidR="005F644F" w:rsidRPr="00C947CB" w:rsidRDefault="005F644F" w:rsidP="005F644F"/>
    <w:p w:rsidR="005F644F" w:rsidRPr="00C947CB" w:rsidRDefault="005F644F" w:rsidP="005F644F">
      <w:pPr>
        <w:pStyle w:val="Normal12Hanging"/>
        <w:spacing w:after="0"/>
        <w:ind w:left="0" w:firstLine="0"/>
        <w:rPr>
          <w:b/>
        </w:rPr>
      </w:pPr>
      <w:r w:rsidRPr="00C947CB">
        <w:rPr>
          <w:b/>
        </w:rPr>
        <w:t>Il-proposta</w:t>
      </w:r>
    </w:p>
    <w:p w:rsidR="005F644F" w:rsidRPr="00C947CB" w:rsidRDefault="005F644F" w:rsidP="005F644F">
      <w:pPr>
        <w:pStyle w:val="Normal12Hanging"/>
        <w:spacing w:after="0"/>
        <w:ind w:left="0" w:firstLine="0"/>
      </w:pPr>
    </w:p>
    <w:p w:rsidR="005F644F" w:rsidRPr="00C947CB" w:rsidRDefault="005F644F" w:rsidP="005F644F">
      <w:pPr>
        <w:pStyle w:val="Normal12Hanging"/>
        <w:spacing w:after="0"/>
        <w:ind w:left="0" w:firstLine="0"/>
      </w:pPr>
      <w:r w:rsidRPr="00C947CB">
        <w:t>Skont l-Artikolu 23(2) tad-Deċiżjoni tal-Kunsill dwar l-Europol attwali (id-Deċiżjoni 2009/371/ĠAI), huwa kompitu tal-Kunsill li japprova l-konklużjoni ta' ftehimiet ta' kooperazzjoni internazzjonali ma' stati terzi jew organizzazzjonijiet internazzjonali, wara li jkun ikkonsulta lill-Parlament Ewropew. Tali ftehimiet jistgħu jirrigwardaw l-iskambju ta' informazzjoni operattiva, strateġika, teknika jew ikklassifikata. Il-ftehim ta' kooperazzjoni operattiva jinkludi wkoll l-iskambju ta' data personali.</w:t>
      </w:r>
    </w:p>
    <w:p w:rsidR="005F644F" w:rsidRPr="00C947CB" w:rsidRDefault="005F644F" w:rsidP="005F644F">
      <w:pPr>
        <w:pStyle w:val="Normal12Hanging"/>
        <w:spacing w:after="0"/>
        <w:ind w:left="0" w:firstLine="0"/>
      </w:pPr>
    </w:p>
    <w:p w:rsidR="005F644F" w:rsidRPr="00C947CB" w:rsidRDefault="005F644F" w:rsidP="005F644F">
      <w:pPr>
        <w:pStyle w:val="Normal12Hanging"/>
        <w:spacing w:after="0"/>
        <w:ind w:left="0" w:firstLine="0"/>
      </w:pPr>
      <w:r w:rsidRPr="00C947CB">
        <w:t>Din il-proposta tikkonċerna l-approvazzjoni proposta ta' ftehim strateġiku u operattiv bejn l-Europol u l-Georgia, li jipprevedi l-iskambju ta' informazzjoni, inkluża d-data personali. Tali informazzjoni tista' tkun fil-qasam ta' għarfien speċjalizzat, rapporti dwar is-sitwazzjoni ġenerali, riżultati ta' analiżi strateġika, tagħrif dwar proċeduri ta' investigazzjoni kriminali, tagħrif dwar metodi ta' prevenzjoni, u appoġġ f'investigazzjonijiet kriminali individwali.</w:t>
      </w:r>
    </w:p>
    <w:p w:rsidR="005F644F" w:rsidRPr="00C947CB" w:rsidRDefault="005F644F" w:rsidP="005F644F">
      <w:pPr>
        <w:pStyle w:val="Normal12Hanging"/>
        <w:spacing w:after="0"/>
        <w:ind w:left="0" w:firstLine="0"/>
      </w:pPr>
    </w:p>
    <w:p w:rsidR="005F644F" w:rsidRPr="00C947CB" w:rsidRDefault="005F644F" w:rsidP="005F644F">
      <w:pPr>
        <w:pStyle w:val="Normal12Hanging"/>
        <w:spacing w:after="0"/>
        <w:ind w:left="0" w:firstLine="0"/>
        <w:rPr>
          <w:b/>
        </w:rPr>
      </w:pPr>
      <w:r w:rsidRPr="00C947CB">
        <w:rPr>
          <w:b/>
        </w:rPr>
        <w:t>Il-proċedura</w:t>
      </w:r>
    </w:p>
    <w:p w:rsidR="005F644F" w:rsidRPr="00C947CB" w:rsidRDefault="005F644F" w:rsidP="005F644F">
      <w:pPr>
        <w:pStyle w:val="Normal12Hanging"/>
        <w:spacing w:after="0"/>
        <w:ind w:left="0" w:firstLine="0"/>
      </w:pPr>
    </w:p>
    <w:p w:rsidR="005F644F" w:rsidRPr="00C947CB" w:rsidRDefault="005F644F" w:rsidP="005F644F">
      <w:pPr>
        <w:pStyle w:val="Normal12Hanging"/>
        <w:spacing w:after="0"/>
        <w:ind w:left="0" w:firstLine="0"/>
      </w:pPr>
      <w:r w:rsidRPr="00C947CB">
        <w:t xml:space="preserve">Kif spjegat hawn fuq, il-konklużjoni ta' dan il-ftehim internazzjonali l-ġdid hija proposta fuq il-bażi tad-Deċiżjoni tal-Kunsill li tistabbilixxi l-Europol (Deċiżjoni 2009/371/ĠAI). </w:t>
      </w:r>
    </w:p>
    <w:p w:rsidR="005F644F" w:rsidRPr="00C947CB" w:rsidRDefault="005F644F" w:rsidP="005F644F">
      <w:pPr>
        <w:pStyle w:val="Normal12Hanging"/>
        <w:spacing w:after="0"/>
        <w:ind w:left="0" w:firstLine="0"/>
      </w:pPr>
    </w:p>
    <w:p w:rsidR="005F644F" w:rsidRPr="00C947CB" w:rsidRDefault="005F644F" w:rsidP="005F644F">
      <w:pPr>
        <w:pStyle w:val="Normal12Hanging"/>
        <w:spacing w:after="0"/>
        <w:ind w:left="0" w:firstLine="0"/>
      </w:pPr>
      <w:r w:rsidRPr="00C947CB">
        <w:t>Fil-11 ta' Mejju 2016 daħal fis-seħħ Regolament Ewropew ġdid (Regolament (UE) 2016/794), li fih ġew modifikati b'mod sinifikanti l-proċedura għall-konklużjoni tal-ftehimiet internazzjonali u d-dispożizzjonijiet u s-salvagwardji rilevanti għall-protezzjoni tad-data personali taċ-ċittadini Ewropej, wara d-dħul fis-seħħ tat-Trattat ta' Lisbona. Madankollu, id-data ta' applikazzjoni ta' dan ir-Regolament il-ġdid dwar l-Europol hija l-1 ta' Mejju 2017 u sa dik id-data se jibqgħu japplikaw id-dispożizzjonijiet eżistenti fid-Deċiżjoni tal-Kunisll dwar l-Europol.</w:t>
      </w:r>
    </w:p>
    <w:p w:rsidR="005F644F" w:rsidRPr="00C947CB" w:rsidRDefault="005F644F" w:rsidP="005F644F">
      <w:pPr>
        <w:pStyle w:val="Normal12Hanging"/>
        <w:spacing w:after="0"/>
        <w:ind w:left="0" w:firstLine="0"/>
      </w:pPr>
    </w:p>
    <w:p w:rsidR="005F644F" w:rsidRPr="00C947CB" w:rsidRDefault="005F644F" w:rsidP="005F644F">
      <w:pPr>
        <w:pStyle w:val="Normal12Hanging"/>
        <w:spacing w:after="0"/>
        <w:ind w:left="0" w:firstLine="0"/>
      </w:pPr>
      <w:r w:rsidRPr="00C947CB">
        <w:t xml:space="preserve">Filwaqt li huwa diżappuntanti l-fatt li f'din il-proċedura l-Parlament Ewropew ma jistax jaqdi r-rwol tiegħu ta' skrutinju demokratiku b'mod sħiħ, ta' min jinnota li fl-Artikolu 25(4) tar-Regolament dwar l-Europol hemm stabbilit li l-Kummissjoni għandha tivvaluta d-dispożizzjonijiet, b'mod partikolari dawk li jikkonċernaw il-protezzjoni tad-data, li jinsabu fil-ftehimiet ta' kooperazzjoni operattiva kollha li ġew konklużi qabel l-1 ta' Mejju 2017, u li l-Kummissjoni għandha tinforma lill-Parlament dwar l-eżitu ta' dik il-valutazzjoni, u tista', jekk ikun adatt, tibda proċedura għan-negozjar mill-ġdid ta' dawn il-ftehimiet. Barra minn hekk, wieħed għandu jqis li l-Awtorità ta' Kontroll Komuni tal-Europol, li tikkonsisti mill-awtoritajiet nazzjonali għall-protezzjoni tad-data speċjalizzati fl-infurzar tal-liġi, tat opinjoni pożittiva għall-konklużjonijiet ta' dan il-ftehim ta' kooperazzjoni, filwaqt li qieset il-livell ta' protezzjoni tad-data fil-Georgia. </w:t>
      </w:r>
    </w:p>
    <w:p w:rsidR="005F644F" w:rsidRPr="00C947CB" w:rsidRDefault="005F644F" w:rsidP="005F644F">
      <w:pPr>
        <w:pStyle w:val="Normal12Hanging"/>
        <w:spacing w:after="0"/>
        <w:ind w:left="0" w:firstLine="0"/>
      </w:pPr>
    </w:p>
    <w:p w:rsidR="005F644F" w:rsidRPr="00C947CB" w:rsidRDefault="005F644F" w:rsidP="005F644F">
      <w:pPr>
        <w:pStyle w:val="Normal12Hanging"/>
        <w:spacing w:after="0"/>
        <w:ind w:left="0" w:firstLine="0"/>
        <w:rPr>
          <w:b/>
        </w:rPr>
      </w:pPr>
      <w:r w:rsidRPr="00C947CB">
        <w:rPr>
          <w:b/>
        </w:rPr>
        <w:t>Il-kontenut</w:t>
      </w:r>
    </w:p>
    <w:p w:rsidR="005F644F" w:rsidRPr="00C947CB" w:rsidRDefault="005F644F" w:rsidP="005F644F">
      <w:pPr>
        <w:pStyle w:val="Normal12Hanging"/>
        <w:spacing w:after="0"/>
        <w:ind w:left="0" w:firstLine="0"/>
      </w:pPr>
    </w:p>
    <w:p w:rsidR="00997EB6" w:rsidRPr="00C947CB" w:rsidRDefault="005F644F" w:rsidP="005F644F">
      <w:pPr>
        <w:pStyle w:val="Normal12Hanging"/>
        <w:ind w:left="0" w:firstLine="0"/>
      </w:pPr>
      <w:r w:rsidRPr="00C947CB">
        <w:t>Jidher li hemm ħtiġijiet operattivi ċari li l-Europol għandu jintensifika l-kooperazzjoni operattiva tiegħu mal-Georgia. Skont l-Europol, il-Georgia qed issir dejjem aktar importanti fil-ġlieda kontra t-terroriżmu u l-kriminalità organizzata, b'mod aktar speċifiku peress li l-</w:t>
      </w:r>
      <w:r w:rsidRPr="00C947CB">
        <w:lastRenderedPageBreak/>
        <w:t>pajjiż huwa punt ta' tranżitu tal-hekk imsejħa ġellieda barranin, u huwa sieħeb bi rwol essenzjali fil-ġlieda kontra l-gruppi kriminali organizzati Georgjani. Minn din il-perspettiva, il-konklużjoni ta' dan il-ftehim ta' kooperazzjoni strateġika operattiva mal-Georgia għaldaqstant jgħin u jsaħħaħ il-ġlieda kontra t-terroriżmu l-kriminalità organizzata, li minnhom infushom huma internazzjonali.</w:t>
      </w:r>
    </w:p>
    <w:p w:rsidR="00721255" w:rsidRPr="00C947CB" w:rsidRDefault="00721255" w:rsidP="00721255">
      <w:pPr>
        <w:pStyle w:val="PageHeading"/>
      </w:pPr>
      <w:r w:rsidRPr="00C947CB">
        <w:br w:type="page"/>
      </w:r>
      <w:bookmarkStart w:id="8" w:name="_Toc467570266"/>
      <w:bookmarkStart w:id="9" w:name="ProcPageRR"/>
      <w:bookmarkStart w:id="10" w:name="_Toc467834705"/>
      <w:r w:rsidRPr="00C947CB">
        <w:lastRenderedPageBreak/>
        <w:t>PROĊEDURA TAL-KUMITAT RESPONSABBLI</w:t>
      </w:r>
      <w:bookmarkEnd w:id="8"/>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21255" w:rsidRPr="00C94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Ftehim dwar Kooperazzjoni Operattiva u Strateġika bejn il-Georgia u l-Europol</w:t>
            </w:r>
          </w:p>
        </w:tc>
      </w:tr>
      <w:tr w:rsidR="00721255" w:rsidRPr="00C94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10343/2016 – C8-0266/2016 – 2016/0810(CNS)</w:t>
            </w:r>
          </w:p>
        </w:tc>
      </w:tr>
      <w:tr w:rsidR="00721255" w:rsidRPr="00C94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Data meta ġie kkonsultat il-PE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11.7.2016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r>
      <w:tr w:rsidR="00721255" w:rsidRPr="00C94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Kumitat responsabbli</w:t>
            </w:r>
          </w:p>
          <w:p w:rsidR="00721255" w:rsidRPr="00C947CB" w:rsidRDefault="00721255">
            <w:pPr>
              <w:autoSpaceDE w:val="0"/>
              <w:autoSpaceDN w:val="0"/>
              <w:adjustRightInd w:val="0"/>
              <w:rPr>
                <w:color w:val="000000"/>
                <w:sz w:val="20"/>
              </w:rPr>
            </w:pPr>
            <w:r w:rsidRPr="00C947CB">
              <w:rPr>
                <w:color w:val="000000"/>
                <w:sz w:val="20"/>
              </w:rPr>
              <w:t>       Data tat-tħabbir fis-seduta plenarja</w:t>
            </w:r>
          </w:p>
        </w:tc>
        <w:tc>
          <w:tcPr>
            <w:tcW w:w="1530" w:type="dxa"/>
            <w:tcBorders>
              <w:top w:val="nil"/>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LIBE</w:t>
            </w:r>
          </w:p>
          <w:p w:rsidR="00721255" w:rsidRPr="00C947CB" w:rsidRDefault="00721255">
            <w:pPr>
              <w:autoSpaceDE w:val="0"/>
              <w:autoSpaceDN w:val="0"/>
              <w:adjustRightInd w:val="0"/>
              <w:rPr>
                <w:color w:val="000000"/>
                <w:sz w:val="20"/>
              </w:rPr>
            </w:pPr>
            <w:r w:rsidRPr="00C947CB">
              <w:rPr>
                <w:color w:val="000000"/>
                <w:sz w:val="20"/>
              </w:rPr>
              <w:t>12.9.2016</w:t>
            </w:r>
          </w:p>
        </w:tc>
        <w:tc>
          <w:tcPr>
            <w:tcW w:w="1474" w:type="dxa"/>
            <w:tcBorders>
              <w:top w:val="nil"/>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r>
      <w:tr w:rsidR="00721255" w:rsidRPr="00C94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Rapporteurs</w:t>
            </w:r>
          </w:p>
          <w:p w:rsidR="00721255" w:rsidRPr="00C947CB" w:rsidRDefault="00721255">
            <w:pPr>
              <w:autoSpaceDE w:val="0"/>
              <w:autoSpaceDN w:val="0"/>
              <w:adjustRightInd w:val="0"/>
              <w:rPr>
                <w:color w:val="000000"/>
                <w:sz w:val="20"/>
              </w:rPr>
            </w:pPr>
            <w:r w:rsidRPr="00C947CB">
              <w:rPr>
                <w:color w:val="000000"/>
                <w:sz w:val="20"/>
              </w:rPr>
              <w:t>       Data tal-ħatra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Claude Moraes</w:t>
            </w:r>
          </w:p>
          <w:p w:rsidR="00721255" w:rsidRPr="00C947CB" w:rsidRDefault="00721255">
            <w:pPr>
              <w:autoSpaceDE w:val="0"/>
              <w:autoSpaceDN w:val="0"/>
              <w:adjustRightInd w:val="0"/>
              <w:rPr>
                <w:color w:val="000000"/>
                <w:sz w:val="20"/>
              </w:rPr>
            </w:pPr>
            <w:r w:rsidRPr="00C947CB">
              <w:rPr>
                <w:color w:val="000000"/>
                <w:sz w:val="20"/>
              </w:rPr>
              <w:t>3.10.2016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r>
      <w:tr w:rsidR="00721255" w:rsidRPr="00C94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17.10.2016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17.11.2016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r>
      <w:tr w:rsidR="00721255" w:rsidRPr="00C94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17.11.2016</w:t>
            </w:r>
          </w:p>
        </w:tc>
        <w:tc>
          <w:tcPr>
            <w:tcW w:w="1474" w:type="dxa"/>
            <w:tcBorders>
              <w:top w:val="nil"/>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rFonts w:ascii="sans-serif" w:hAnsi="sans-serif" w:cs="sans-serif"/>
                <w:color w:val="000000"/>
                <w:szCs w:val="24"/>
              </w:rPr>
            </w:pPr>
          </w:p>
        </w:tc>
      </w:tr>
      <w:tr w:rsidR="00721255" w:rsidRPr="00C94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w:t>
            </w:r>
          </w:p>
          <w:p w:rsidR="00721255" w:rsidRPr="00C947CB" w:rsidRDefault="00721255">
            <w:pPr>
              <w:autoSpaceDE w:val="0"/>
              <w:autoSpaceDN w:val="0"/>
              <w:adjustRightInd w:val="0"/>
              <w:rPr>
                <w:color w:val="000000"/>
                <w:sz w:val="20"/>
              </w:rPr>
            </w:pPr>
            <w:r w:rsidRPr="00C947CB">
              <w:rPr>
                <w:color w:val="000000"/>
                <w:sz w:val="20"/>
              </w:rPr>
              <w:t>–:</w:t>
            </w:r>
          </w:p>
          <w:p w:rsidR="00721255" w:rsidRPr="00C947CB" w:rsidRDefault="00721255">
            <w:pPr>
              <w:autoSpaceDE w:val="0"/>
              <w:autoSpaceDN w:val="0"/>
              <w:adjustRightInd w:val="0"/>
              <w:rPr>
                <w:color w:val="000000"/>
                <w:sz w:val="20"/>
              </w:rPr>
            </w:pPr>
            <w:r w:rsidRPr="00C947C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31</w:t>
            </w:r>
          </w:p>
          <w:p w:rsidR="00721255" w:rsidRPr="00C947CB" w:rsidRDefault="00721255">
            <w:pPr>
              <w:autoSpaceDE w:val="0"/>
              <w:autoSpaceDN w:val="0"/>
              <w:adjustRightInd w:val="0"/>
              <w:rPr>
                <w:color w:val="000000"/>
                <w:sz w:val="20"/>
              </w:rPr>
            </w:pPr>
            <w:r w:rsidRPr="00C947CB">
              <w:rPr>
                <w:color w:val="000000"/>
                <w:sz w:val="20"/>
              </w:rPr>
              <w:t>3</w:t>
            </w:r>
          </w:p>
          <w:p w:rsidR="00721255" w:rsidRPr="00C947CB" w:rsidRDefault="00721255">
            <w:pPr>
              <w:autoSpaceDE w:val="0"/>
              <w:autoSpaceDN w:val="0"/>
              <w:adjustRightInd w:val="0"/>
              <w:rPr>
                <w:color w:val="000000"/>
                <w:sz w:val="20"/>
              </w:rPr>
            </w:pPr>
            <w:r w:rsidRPr="00C947CB">
              <w:rPr>
                <w:color w:val="000000"/>
                <w:sz w:val="20"/>
              </w:rPr>
              <w:t>6</w:t>
            </w:r>
          </w:p>
        </w:tc>
      </w:tr>
      <w:tr w:rsidR="00721255" w:rsidRPr="00C94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Heinz K. Becker, Malin Björk, Caterina Chinnici, Frank Engel, Tanja Fajon, Mariya Gabriel, Kinga Gál, Ana Gomes, Nathalie Griesbeck, Sylvie Guillaume, Jussi Halla-aho, Monika Hohlmeier, Filiz Hyusmenova, Sophia in ‘t Veld, Sylvia-Yvonne Kaufmann, Marju Lauristin, Juan Fernando López Aguilar, Monica Macovei, Roberta Metsola, Claude Moraes, József Nagy, Péter Niedermüller, Judith Sargentini, Birgit Sippel, Branislav Škripek, Csaba Sógor, Traian Ungureanu, Harald Vilimsky, Josef Weidenholzer, Kristina Winberg, Tomáš Zdechovský</w:t>
            </w:r>
          </w:p>
        </w:tc>
      </w:tr>
      <w:tr w:rsidR="00721255" w:rsidRPr="00C94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Ska Keller, Jeroen Lenaers, Andrejs Mamikins, Maite Pagazaurtundúa Ruiz, Christine Revault D’Allonnes Bonnefoy, Barbara Spinelli</w:t>
            </w:r>
          </w:p>
        </w:tc>
      </w:tr>
      <w:tr w:rsidR="00721255" w:rsidRPr="00C94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Verónica Lope Fontagné, Mylène Troszczynski, Tom Vandenkendelaere</w:t>
            </w:r>
          </w:p>
        </w:tc>
      </w:tr>
      <w:tr w:rsidR="00721255" w:rsidRPr="00C94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b/>
                <w:bCs/>
                <w:color w:val="000000"/>
                <w:sz w:val="20"/>
              </w:rPr>
            </w:pPr>
            <w:r w:rsidRPr="00C947CB">
              <w:rPr>
                <w:b/>
                <w:color w:val="000000"/>
                <w:sz w:val="20"/>
              </w:rPr>
              <w:t>Data tat-tressiq</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21255" w:rsidRPr="00C947CB" w:rsidRDefault="00721255">
            <w:pPr>
              <w:autoSpaceDE w:val="0"/>
              <w:autoSpaceDN w:val="0"/>
              <w:adjustRightInd w:val="0"/>
              <w:rPr>
                <w:color w:val="000000"/>
                <w:sz w:val="20"/>
              </w:rPr>
            </w:pPr>
            <w:r w:rsidRPr="00C947CB">
              <w:rPr>
                <w:color w:val="000000"/>
                <w:sz w:val="20"/>
              </w:rPr>
              <w:t>21.11.2016</w:t>
            </w:r>
          </w:p>
        </w:tc>
      </w:tr>
    </w:tbl>
    <w:p w:rsidR="00721255" w:rsidRPr="00C947CB" w:rsidRDefault="00721255">
      <w:pPr>
        <w:autoSpaceDE w:val="0"/>
        <w:autoSpaceDN w:val="0"/>
        <w:adjustRightInd w:val="0"/>
        <w:rPr>
          <w:rFonts w:ascii="Arial" w:hAnsi="Arial" w:cs="Arial"/>
          <w:szCs w:val="24"/>
        </w:rPr>
      </w:pPr>
    </w:p>
    <w:bookmarkEnd w:id="9"/>
    <w:p w:rsidR="005F644F" w:rsidRPr="00C947CB" w:rsidRDefault="005F644F" w:rsidP="005F644F">
      <w:pPr>
        <w:pStyle w:val="PageHeading"/>
      </w:pPr>
      <w:r w:rsidRPr="00C947CB">
        <w:br w:type="page"/>
      </w:r>
      <w:bookmarkStart w:id="11" w:name="_Toc467488010"/>
      <w:bookmarkStart w:id="12" w:name="_Toc467570267"/>
      <w:bookmarkStart w:id="13" w:name="RollCallPage"/>
      <w:bookmarkStart w:id="14" w:name="_Toc467834706"/>
      <w:r w:rsidRPr="00C947CB">
        <w:lastRenderedPageBreak/>
        <w:t>VOTAZZJONI FINALI B'SEJĦA TAL-ISMIJIET FIL-KUMITAT RESPONSABBLI</w:t>
      </w:r>
      <w:bookmarkEnd w:id="11"/>
      <w:bookmarkEnd w:id="12"/>
      <w:bookmarkEnd w:id="1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F644F" w:rsidRPr="00C947CB" w:rsidTr="00DB638E">
        <w:trPr>
          <w:cantSplit/>
        </w:trPr>
        <w:tc>
          <w:tcPr>
            <w:tcW w:w="1701" w:type="dxa"/>
            <w:shd w:val="pct10" w:color="000000" w:fill="FFFFFF"/>
            <w:vAlign w:val="center"/>
          </w:tcPr>
          <w:p w:rsidR="005F644F" w:rsidRPr="00C947CB" w:rsidRDefault="005F644F" w:rsidP="00DB638E">
            <w:pPr>
              <w:spacing w:before="120" w:after="120"/>
              <w:jc w:val="center"/>
              <w:rPr>
                <w:b/>
                <w:sz w:val="16"/>
              </w:rPr>
            </w:pPr>
            <w:r w:rsidRPr="00C947CB">
              <w:rPr>
                <w:b/>
                <w:sz w:val="16"/>
              </w:rPr>
              <w:t>31</w:t>
            </w:r>
          </w:p>
        </w:tc>
        <w:tc>
          <w:tcPr>
            <w:tcW w:w="7371" w:type="dxa"/>
            <w:shd w:val="pct10" w:color="000000" w:fill="FFFFFF"/>
          </w:tcPr>
          <w:p w:rsidR="005F644F" w:rsidRPr="00C947CB" w:rsidRDefault="005F644F" w:rsidP="00DB638E">
            <w:pPr>
              <w:spacing w:before="120" w:after="120"/>
              <w:jc w:val="center"/>
              <w:rPr>
                <w:rFonts w:ascii="Arial" w:hAnsi="Arial" w:cs="Arial"/>
                <w:b/>
                <w:sz w:val="28"/>
                <w:szCs w:val="28"/>
              </w:rPr>
            </w:pPr>
            <w:r w:rsidRPr="00C947CB">
              <w:rPr>
                <w:rFonts w:ascii="Arial" w:hAnsi="Arial"/>
                <w:b/>
                <w:sz w:val="28"/>
              </w:rPr>
              <w:t>+</w:t>
            </w:r>
          </w:p>
        </w:tc>
      </w:tr>
      <w:tr w:rsidR="005F644F" w:rsidRPr="00C947CB" w:rsidTr="00DB638E">
        <w:trPr>
          <w:cantSplit/>
        </w:trPr>
        <w:tc>
          <w:tcPr>
            <w:tcW w:w="1701" w:type="dxa"/>
            <w:shd w:val="clear" w:color="auto" w:fill="FFFFFF"/>
          </w:tcPr>
          <w:p w:rsidR="005F644F" w:rsidRPr="00C947CB" w:rsidRDefault="005F644F" w:rsidP="00DB638E">
            <w:pPr>
              <w:spacing w:before="120" w:after="120"/>
              <w:rPr>
                <w:sz w:val="16"/>
              </w:rPr>
            </w:pPr>
            <w:r w:rsidRPr="00C947CB">
              <w:rPr>
                <w:sz w:val="16"/>
              </w:rPr>
              <w:t>ECR</w:t>
            </w:r>
          </w:p>
        </w:tc>
        <w:tc>
          <w:tcPr>
            <w:tcW w:w="7371" w:type="dxa"/>
            <w:shd w:val="clear" w:color="auto" w:fill="FFFFFF"/>
          </w:tcPr>
          <w:p w:rsidR="005F644F" w:rsidRPr="00C947CB" w:rsidRDefault="005F644F" w:rsidP="00DB638E">
            <w:pPr>
              <w:spacing w:before="120" w:after="120"/>
              <w:rPr>
                <w:sz w:val="16"/>
              </w:rPr>
            </w:pPr>
            <w:r w:rsidRPr="00C947CB">
              <w:rPr>
                <w:sz w:val="16"/>
              </w:rPr>
              <w:t>Jussi Halla-aho, Monica Macovei, Branislav Škripek</w:t>
            </w:r>
          </w:p>
        </w:tc>
      </w:tr>
      <w:tr w:rsidR="005F644F" w:rsidRPr="00C947CB" w:rsidTr="00DB638E">
        <w:trPr>
          <w:cantSplit/>
        </w:trPr>
        <w:tc>
          <w:tcPr>
            <w:tcW w:w="1701" w:type="dxa"/>
            <w:shd w:val="clear" w:color="auto" w:fill="FFFFFF"/>
          </w:tcPr>
          <w:p w:rsidR="005F644F" w:rsidRPr="00C947CB" w:rsidRDefault="005F644F" w:rsidP="00DB638E">
            <w:pPr>
              <w:spacing w:before="120" w:after="120"/>
              <w:rPr>
                <w:sz w:val="16"/>
              </w:rPr>
            </w:pPr>
            <w:r w:rsidRPr="00C947CB">
              <w:rPr>
                <w:sz w:val="16"/>
              </w:rPr>
              <w:t>PPE</w:t>
            </w:r>
          </w:p>
        </w:tc>
        <w:tc>
          <w:tcPr>
            <w:tcW w:w="7371" w:type="dxa"/>
            <w:shd w:val="clear" w:color="auto" w:fill="FFFFFF"/>
          </w:tcPr>
          <w:p w:rsidR="005F644F" w:rsidRPr="00C947CB" w:rsidRDefault="005F644F" w:rsidP="00DB638E">
            <w:pPr>
              <w:spacing w:before="120" w:after="120"/>
              <w:rPr>
                <w:sz w:val="16"/>
              </w:rPr>
            </w:pPr>
            <w:r w:rsidRPr="00C947CB">
              <w:rPr>
                <w:sz w:val="16"/>
              </w:rPr>
              <w:t>Heinz K. Becker, Frank Engel, Mariya Gabriel, Kinga Gál, Monika Hohlmeier, Jeroen Lenaers, Verónica Lope Fontagné, Roberta Metsola, József Nagy, Csaba Sógor, Traian Ungureanu, Tom Vandenkendelaere, Tomáš Zdechovský</w:t>
            </w:r>
          </w:p>
        </w:tc>
      </w:tr>
      <w:tr w:rsidR="005F644F" w:rsidRPr="00C947CB" w:rsidTr="00DB638E">
        <w:trPr>
          <w:cantSplit/>
        </w:trPr>
        <w:tc>
          <w:tcPr>
            <w:tcW w:w="1701" w:type="dxa"/>
            <w:shd w:val="clear" w:color="auto" w:fill="FFFFFF"/>
          </w:tcPr>
          <w:p w:rsidR="005F644F" w:rsidRPr="00C947CB" w:rsidRDefault="005F644F" w:rsidP="00DB638E">
            <w:pPr>
              <w:spacing w:before="120" w:after="120"/>
              <w:rPr>
                <w:sz w:val="16"/>
              </w:rPr>
            </w:pPr>
            <w:r w:rsidRPr="00C947CB">
              <w:rPr>
                <w:sz w:val="16"/>
              </w:rPr>
              <w:t>S&amp;D</w:t>
            </w:r>
          </w:p>
        </w:tc>
        <w:tc>
          <w:tcPr>
            <w:tcW w:w="7371" w:type="dxa"/>
            <w:shd w:val="clear" w:color="auto" w:fill="FFFFFF"/>
          </w:tcPr>
          <w:p w:rsidR="005F644F" w:rsidRPr="00C947CB" w:rsidRDefault="005F644F" w:rsidP="00DB638E">
            <w:pPr>
              <w:spacing w:before="120" w:after="120"/>
              <w:rPr>
                <w:sz w:val="16"/>
              </w:rPr>
            </w:pPr>
            <w:r w:rsidRPr="00C947CB">
              <w:rPr>
                <w:sz w:val="16"/>
              </w:rPr>
              <w:t>Caterina Chinnici, Tanja Fajon, Ana Gomes, Sylvie Guillaume, Sylvia-Yvonne Kaufmann, Marju Lauristin, Juan Fernando López Aguilar, Andrejs Mamikins, Claude Moraes, Péter Niedermüller, Christine Revault D'Allonnes Bonnefoy, Birgit Sippel, Josef Weidenholzer</w:t>
            </w:r>
          </w:p>
        </w:tc>
      </w:tr>
      <w:tr w:rsidR="005F644F" w:rsidRPr="00C947CB" w:rsidTr="00DB638E">
        <w:trPr>
          <w:cantSplit/>
        </w:trPr>
        <w:tc>
          <w:tcPr>
            <w:tcW w:w="1701" w:type="dxa"/>
            <w:shd w:val="clear" w:color="auto" w:fill="FFFFFF"/>
          </w:tcPr>
          <w:p w:rsidR="005F644F" w:rsidRPr="00C947CB" w:rsidRDefault="005F644F" w:rsidP="00DB638E">
            <w:pPr>
              <w:spacing w:before="120" w:after="120"/>
              <w:rPr>
                <w:sz w:val="16"/>
              </w:rPr>
            </w:pPr>
            <w:r w:rsidRPr="00C947CB">
              <w:rPr>
                <w:sz w:val="16"/>
              </w:rPr>
              <w:t>Verts/ALE</w:t>
            </w:r>
          </w:p>
        </w:tc>
        <w:tc>
          <w:tcPr>
            <w:tcW w:w="7371" w:type="dxa"/>
            <w:shd w:val="clear" w:color="auto" w:fill="FFFFFF"/>
          </w:tcPr>
          <w:p w:rsidR="005F644F" w:rsidRPr="00C947CB" w:rsidRDefault="005F644F" w:rsidP="00DB638E">
            <w:pPr>
              <w:spacing w:before="120" w:after="120"/>
              <w:rPr>
                <w:sz w:val="16"/>
              </w:rPr>
            </w:pPr>
            <w:r w:rsidRPr="00C947CB">
              <w:rPr>
                <w:sz w:val="16"/>
              </w:rPr>
              <w:t>Ska Keller, Judith Sargentini</w:t>
            </w:r>
          </w:p>
        </w:tc>
      </w:tr>
    </w:tbl>
    <w:p w:rsidR="005F644F" w:rsidRPr="00C947CB" w:rsidRDefault="005F644F" w:rsidP="005F64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F644F" w:rsidRPr="00C947CB" w:rsidTr="00DB638E">
        <w:trPr>
          <w:cantSplit/>
        </w:trPr>
        <w:tc>
          <w:tcPr>
            <w:tcW w:w="1701" w:type="dxa"/>
            <w:shd w:val="pct10" w:color="000000" w:fill="FFFFFF"/>
            <w:vAlign w:val="center"/>
          </w:tcPr>
          <w:p w:rsidR="005F644F" w:rsidRPr="00C947CB" w:rsidRDefault="005F644F" w:rsidP="00DB638E">
            <w:pPr>
              <w:spacing w:before="120" w:after="120"/>
              <w:jc w:val="center"/>
              <w:rPr>
                <w:b/>
                <w:sz w:val="16"/>
              </w:rPr>
            </w:pPr>
            <w:r w:rsidRPr="00C947CB">
              <w:rPr>
                <w:b/>
                <w:sz w:val="16"/>
              </w:rPr>
              <w:t>3</w:t>
            </w:r>
          </w:p>
        </w:tc>
        <w:tc>
          <w:tcPr>
            <w:tcW w:w="7371" w:type="dxa"/>
            <w:shd w:val="pct10" w:color="000000" w:fill="FFFFFF"/>
          </w:tcPr>
          <w:p w:rsidR="005F644F" w:rsidRPr="00C947CB" w:rsidRDefault="005F644F" w:rsidP="00DB638E">
            <w:pPr>
              <w:spacing w:before="120" w:after="120"/>
              <w:jc w:val="center"/>
              <w:rPr>
                <w:sz w:val="28"/>
                <w:szCs w:val="28"/>
              </w:rPr>
            </w:pPr>
            <w:r w:rsidRPr="00C947CB">
              <w:rPr>
                <w:rFonts w:ascii="Arial" w:hAnsi="Arial"/>
                <w:b/>
                <w:sz w:val="28"/>
              </w:rPr>
              <w:t>-</w:t>
            </w:r>
          </w:p>
        </w:tc>
      </w:tr>
      <w:tr w:rsidR="005F644F" w:rsidRPr="00C947CB" w:rsidTr="00DB638E">
        <w:trPr>
          <w:cantSplit/>
        </w:trPr>
        <w:tc>
          <w:tcPr>
            <w:tcW w:w="1701" w:type="dxa"/>
            <w:shd w:val="clear" w:color="auto" w:fill="FFFFFF"/>
          </w:tcPr>
          <w:p w:rsidR="005F644F" w:rsidRPr="00C947CB" w:rsidRDefault="005F644F" w:rsidP="00DB638E">
            <w:pPr>
              <w:spacing w:before="120" w:after="120"/>
              <w:rPr>
                <w:sz w:val="16"/>
              </w:rPr>
            </w:pPr>
            <w:r w:rsidRPr="00C947CB">
              <w:rPr>
                <w:sz w:val="16"/>
              </w:rPr>
              <w:t>ENF</w:t>
            </w:r>
          </w:p>
        </w:tc>
        <w:tc>
          <w:tcPr>
            <w:tcW w:w="7371" w:type="dxa"/>
            <w:shd w:val="clear" w:color="auto" w:fill="FFFFFF"/>
          </w:tcPr>
          <w:p w:rsidR="005F644F" w:rsidRPr="00C947CB" w:rsidRDefault="005F644F" w:rsidP="00DB638E">
            <w:pPr>
              <w:spacing w:before="120" w:after="120"/>
              <w:rPr>
                <w:sz w:val="16"/>
              </w:rPr>
            </w:pPr>
            <w:r w:rsidRPr="00C947CB">
              <w:rPr>
                <w:sz w:val="16"/>
              </w:rPr>
              <w:t>Mylène Troszczynski</w:t>
            </w:r>
          </w:p>
        </w:tc>
      </w:tr>
      <w:tr w:rsidR="005F644F" w:rsidRPr="00C947CB" w:rsidTr="00DB638E">
        <w:trPr>
          <w:cantSplit/>
        </w:trPr>
        <w:tc>
          <w:tcPr>
            <w:tcW w:w="1701" w:type="dxa"/>
            <w:shd w:val="clear" w:color="auto" w:fill="FFFFFF"/>
          </w:tcPr>
          <w:p w:rsidR="005F644F" w:rsidRPr="00C947CB" w:rsidRDefault="005F644F" w:rsidP="00DB638E">
            <w:pPr>
              <w:spacing w:before="120" w:after="120"/>
              <w:rPr>
                <w:sz w:val="16"/>
              </w:rPr>
            </w:pPr>
            <w:r w:rsidRPr="00C947CB">
              <w:rPr>
                <w:sz w:val="16"/>
              </w:rPr>
              <w:t>GUE/NGL</w:t>
            </w:r>
          </w:p>
        </w:tc>
        <w:tc>
          <w:tcPr>
            <w:tcW w:w="7371" w:type="dxa"/>
            <w:shd w:val="clear" w:color="auto" w:fill="FFFFFF"/>
          </w:tcPr>
          <w:p w:rsidR="005F644F" w:rsidRPr="00C947CB" w:rsidRDefault="005F644F" w:rsidP="00DB638E">
            <w:pPr>
              <w:spacing w:before="120" w:after="120"/>
              <w:rPr>
                <w:sz w:val="16"/>
              </w:rPr>
            </w:pPr>
            <w:r w:rsidRPr="00C947CB">
              <w:rPr>
                <w:sz w:val="16"/>
              </w:rPr>
              <w:t>Malin Björk, Barbara Spinelli</w:t>
            </w:r>
          </w:p>
        </w:tc>
      </w:tr>
    </w:tbl>
    <w:p w:rsidR="005F644F" w:rsidRPr="00C947CB" w:rsidRDefault="005F644F" w:rsidP="005F64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F644F" w:rsidRPr="00C947CB" w:rsidTr="00DB638E">
        <w:trPr>
          <w:cantSplit/>
        </w:trPr>
        <w:tc>
          <w:tcPr>
            <w:tcW w:w="1701" w:type="dxa"/>
            <w:shd w:val="pct10" w:color="000000" w:fill="FFFFFF"/>
            <w:vAlign w:val="center"/>
          </w:tcPr>
          <w:p w:rsidR="005F644F" w:rsidRPr="00C947CB" w:rsidRDefault="005F644F" w:rsidP="00DB638E">
            <w:pPr>
              <w:spacing w:before="120" w:after="120"/>
              <w:jc w:val="center"/>
              <w:rPr>
                <w:b/>
                <w:sz w:val="16"/>
              </w:rPr>
            </w:pPr>
            <w:r w:rsidRPr="00C947CB">
              <w:rPr>
                <w:b/>
                <w:sz w:val="16"/>
              </w:rPr>
              <w:t>6</w:t>
            </w:r>
          </w:p>
        </w:tc>
        <w:tc>
          <w:tcPr>
            <w:tcW w:w="7371" w:type="dxa"/>
            <w:shd w:val="pct10" w:color="000000" w:fill="FFFFFF"/>
          </w:tcPr>
          <w:p w:rsidR="005F644F" w:rsidRPr="00C947CB" w:rsidRDefault="005F644F" w:rsidP="00DB638E">
            <w:pPr>
              <w:spacing w:before="120" w:after="120"/>
              <w:jc w:val="center"/>
              <w:rPr>
                <w:sz w:val="28"/>
                <w:szCs w:val="28"/>
              </w:rPr>
            </w:pPr>
            <w:r w:rsidRPr="00C947CB">
              <w:rPr>
                <w:rFonts w:ascii="Arial" w:hAnsi="Arial"/>
                <w:b/>
                <w:sz w:val="28"/>
              </w:rPr>
              <w:t>0</w:t>
            </w:r>
          </w:p>
        </w:tc>
      </w:tr>
      <w:tr w:rsidR="005F644F" w:rsidRPr="00C947CB" w:rsidTr="00DB638E">
        <w:trPr>
          <w:cantSplit/>
        </w:trPr>
        <w:tc>
          <w:tcPr>
            <w:tcW w:w="1701" w:type="dxa"/>
            <w:shd w:val="clear" w:color="auto" w:fill="FFFFFF"/>
          </w:tcPr>
          <w:p w:rsidR="005F644F" w:rsidRPr="00C947CB" w:rsidRDefault="005F644F" w:rsidP="00DB638E">
            <w:pPr>
              <w:spacing w:before="120" w:after="120"/>
              <w:rPr>
                <w:sz w:val="16"/>
              </w:rPr>
            </w:pPr>
            <w:r w:rsidRPr="00C947CB">
              <w:rPr>
                <w:sz w:val="16"/>
              </w:rPr>
              <w:t>ALDE</w:t>
            </w:r>
          </w:p>
        </w:tc>
        <w:tc>
          <w:tcPr>
            <w:tcW w:w="7371" w:type="dxa"/>
            <w:shd w:val="clear" w:color="auto" w:fill="FFFFFF"/>
          </w:tcPr>
          <w:p w:rsidR="005F644F" w:rsidRPr="00C947CB" w:rsidRDefault="005F644F" w:rsidP="00DB638E">
            <w:pPr>
              <w:spacing w:before="120" w:after="120"/>
              <w:rPr>
                <w:sz w:val="16"/>
              </w:rPr>
            </w:pPr>
            <w:r w:rsidRPr="00C947CB">
              <w:rPr>
                <w:sz w:val="16"/>
              </w:rPr>
              <w:t>Nathalie Griesbeck, Filiz Hyusmenova, Maite Pagazaurtundúa Ruiz, Sophia in 't Veld</w:t>
            </w:r>
          </w:p>
        </w:tc>
      </w:tr>
      <w:tr w:rsidR="005F644F" w:rsidRPr="00C947CB" w:rsidTr="00DB638E">
        <w:trPr>
          <w:cantSplit/>
        </w:trPr>
        <w:tc>
          <w:tcPr>
            <w:tcW w:w="1701" w:type="dxa"/>
            <w:shd w:val="clear" w:color="auto" w:fill="FFFFFF"/>
          </w:tcPr>
          <w:p w:rsidR="005F644F" w:rsidRPr="00C947CB" w:rsidRDefault="005F644F" w:rsidP="00DB638E">
            <w:pPr>
              <w:spacing w:before="120" w:after="120"/>
              <w:rPr>
                <w:sz w:val="16"/>
              </w:rPr>
            </w:pPr>
            <w:r w:rsidRPr="00C947CB">
              <w:rPr>
                <w:sz w:val="16"/>
              </w:rPr>
              <w:t>EFDD</w:t>
            </w:r>
          </w:p>
        </w:tc>
        <w:tc>
          <w:tcPr>
            <w:tcW w:w="7371" w:type="dxa"/>
            <w:shd w:val="clear" w:color="auto" w:fill="FFFFFF"/>
          </w:tcPr>
          <w:p w:rsidR="005F644F" w:rsidRPr="00C947CB" w:rsidRDefault="005F644F" w:rsidP="00DB638E">
            <w:pPr>
              <w:spacing w:before="120" w:after="120"/>
              <w:rPr>
                <w:sz w:val="16"/>
              </w:rPr>
            </w:pPr>
            <w:r w:rsidRPr="00C947CB">
              <w:rPr>
                <w:sz w:val="16"/>
              </w:rPr>
              <w:t>Kristina Winberg</w:t>
            </w:r>
          </w:p>
        </w:tc>
      </w:tr>
      <w:tr w:rsidR="005F644F" w:rsidRPr="00C947CB" w:rsidTr="00DB638E">
        <w:trPr>
          <w:cantSplit/>
        </w:trPr>
        <w:tc>
          <w:tcPr>
            <w:tcW w:w="1701" w:type="dxa"/>
            <w:shd w:val="clear" w:color="auto" w:fill="FFFFFF"/>
          </w:tcPr>
          <w:p w:rsidR="005F644F" w:rsidRPr="00C947CB" w:rsidRDefault="005F644F" w:rsidP="00DB638E">
            <w:pPr>
              <w:spacing w:before="120" w:after="120"/>
              <w:rPr>
                <w:sz w:val="16"/>
              </w:rPr>
            </w:pPr>
            <w:r w:rsidRPr="00C947CB">
              <w:rPr>
                <w:sz w:val="16"/>
              </w:rPr>
              <w:t>ENF</w:t>
            </w:r>
          </w:p>
        </w:tc>
        <w:tc>
          <w:tcPr>
            <w:tcW w:w="7371" w:type="dxa"/>
            <w:shd w:val="clear" w:color="auto" w:fill="FFFFFF"/>
          </w:tcPr>
          <w:p w:rsidR="005F644F" w:rsidRPr="00C947CB" w:rsidRDefault="005F644F" w:rsidP="00DB638E">
            <w:pPr>
              <w:spacing w:before="120" w:after="120"/>
              <w:rPr>
                <w:sz w:val="16"/>
              </w:rPr>
            </w:pPr>
            <w:r w:rsidRPr="00C947CB">
              <w:rPr>
                <w:sz w:val="16"/>
              </w:rPr>
              <w:t>Harald Vilimsky</w:t>
            </w:r>
          </w:p>
        </w:tc>
      </w:tr>
    </w:tbl>
    <w:p w:rsidR="005F644F" w:rsidRPr="00C947CB" w:rsidRDefault="005F644F" w:rsidP="005F644F">
      <w:pPr>
        <w:pStyle w:val="Normal12"/>
      </w:pPr>
    </w:p>
    <w:p w:rsidR="005F644F" w:rsidRPr="00C947CB" w:rsidRDefault="005F644F" w:rsidP="005F644F">
      <w:r w:rsidRPr="00C947CB">
        <w:t>Tifsira tas-simboli użati:</w:t>
      </w:r>
    </w:p>
    <w:p w:rsidR="005F644F" w:rsidRPr="00C947CB" w:rsidRDefault="005F644F" w:rsidP="005F644F">
      <w:pPr>
        <w:pStyle w:val="NormalTabs"/>
      </w:pPr>
      <w:r w:rsidRPr="00C947CB">
        <w:t>+</w:t>
      </w:r>
      <w:r w:rsidRPr="00C947CB">
        <w:tab/>
        <w:t>:</w:t>
      </w:r>
      <w:r w:rsidRPr="00C947CB">
        <w:tab/>
        <w:t>favur</w:t>
      </w:r>
    </w:p>
    <w:p w:rsidR="005F644F" w:rsidRPr="00C947CB" w:rsidRDefault="005F644F" w:rsidP="005F644F">
      <w:pPr>
        <w:pStyle w:val="NormalTabs"/>
      </w:pPr>
      <w:r w:rsidRPr="00C947CB">
        <w:t>-</w:t>
      </w:r>
      <w:r w:rsidRPr="00C947CB">
        <w:tab/>
        <w:t>:</w:t>
      </w:r>
      <w:r w:rsidRPr="00C947CB">
        <w:tab/>
        <w:t>kontra</w:t>
      </w:r>
    </w:p>
    <w:p w:rsidR="005F644F" w:rsidRPr="00C947CB" w:rsidRDefault="005F644F" w:rsidP="005F644F">
      <w:pPr>
        <w:pStyle w:val="NormalTabs"/>
      </w:pPr>
      <w:r w:rsidRPr="00C947CB">
        <w:t>0</w:t>
      </w:r>
      <w:r w:rsidRPr="00C947CB">
        <w:tab/>
        <w:t>:</w:t>
      </w:r>
      <w:r w:rsidRPr="00C947CB">
        <w:tab/>
        <w:t>astensjoni</w:t>
      </w:r>
    </w:p>
    <w:p w:rsidR="005F644F" w:rsidRPr="00C947CB" w:rsidRDefault="005F644F" w:rsidP="005F644F"/>
    <w:bookmarkEnd w:id="13"/>
    <w:p w:rsidR="005F644F" w:rsidRPr="00C947CB" w:rsidRDefault="005F644F" w:rsidP="005F644F"/>
    <w:p w:rsidR="00ED0821" w:rsidRPr="00C947CB" w:rsidRDefault="00ED0821" w:rsidP="00721255">
      <w:bookmarkStart w:id="15" w:name="_GoBack"/>
      <w:bookmarkEnd w:id="15"/>
    </w:p>
    <w:sectPr w:rsidR="00ED0821" w:rsidRPr="00C947CB" w:rsidSect="00C947C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70" w:rsidRPr="00C947CB" w:rsidRDefault="00537770">
      <w:r w:rsidRPr="00C947CB">
        <w:separator/>
      </w:r>
    </w:p>
  </w:endnote>
  <w:endnote w:type="continuationSeparator" w:id="0">
    <w:p w:rsidR="00537770" w:rsidRPr="00C947CB" w:rsidRDefault="00537770">
      <w:r w:rsidRPr="00C947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CB" w:rsidRPr="00C947CB" w:rsidRDefault="00C947CB" w:rsidP="00C947CB">
    <w:pPr>
      <w:pStyle w:val="Footer"/>
    </w:pPr>
    <w:r w:rsidRPr="00C947CB">
      <w:t>PE</w:t>
    </w:r>
    <w:r w:rsidRPr="00C947CB">
      <w:rPr>
        <w:rStyle w:val="HideTWBExt"/>
        <w:noProof w:val="0"/>
      </w:rPr>
      <w:t>&lt;NoPE&gt;</w:t>
    </w:r>
    <w:r w:rsidRPr="00C947CB">
      <w:t>589.446</w:t>
    </w:r>
    <w:r w:rsidRPr="00C947CB">
      <w:rPr>
        <w:rStyle w:val="HideTWBExt"/>
        <w:noProof w:val="0"/>
      </w:rPr>
      <w:t>&lt;/NoPE&gt;&lt;Version&gt;</w:t>
    </w:r>
    <w:r w:rsidRPr="00C947CB">
      <w:t>v02-00</w:t>
    </w:r>
    <w:r w:rsidRPr="00C947CB">
      <w:rPr>
        <w:rStyle w:val="HideTWBExt"/>
        <w:noProof w:val="0"/>
      </w:rPr>
      <w:t>&lt;/Version&gt;</w:t>
    </w:r>
    <w:r w:rsidRPr="00C947CB">
      <w:tab/>
    </w:r>
    <w:r w:rsidRPr="00C947CB">
      <w:fldChar w:fldCharType="begin"/>
    </w:r>
    <w:r w:rsidRPr="00C947CB">
      <w:instrText xml:space="preserve"> PAGE  \* MERGEFORMAT </w:instrText>
    </w:r>
    <w:r w:rsidRPr="00C947CB">
      <w:fldChar w:fldCharType="separate"/>
    </w:r>
    <w:r w:rsidR="00825D13">
      <w:rPr>
        <w:noProof/>
      </w:rPr>
      <w:t>10</w:t>
    </w:r>
    <w:r w:rsidRPr="00C947CB">
      <w:fldChar w:fldCharType="end"/>
    </w:r>
    <w:r w:rsidRPr="00C947CB">
      <w:t>/</w:t>
    </w:r>
    <w:r w:rsidR="00825D13">
      <w:fldChar w:fldCharType="begin"/>
    </w:r>
    <w:r w:rsidR="00825D13">
      <w:instrText xml:space="preserve"> NUMPAGES  \* MERGEFORMAT </w:instrText>
    </w:r>
    <w:r w:rsidR="00825D13">
      <w:fldChar w:fldCharType="separate"/>
    </w:r>
    <w:r w:rsidR="00825D13">
      <w:rPr>
        <w:noProof/>
      </w:rPr>
      <w:t>10</w:t>
    </w:r>
    <w:r w:rsidR="00825D13">
      <w:rPr>
        <w:noProof/>
      </w:rPr>
      <w:fldChar w:fldCharType="end"/>
    </w:r>
    <w:r w:rsidRPr="00C947CB">
      <w:tab/>
    </w:r>
    <w:r w:rsidRPr="00C947CB">
      <w:rPr>
        <w:rStyle w:val="HideTWBExt"/>
        <w:noProof w:val="0"/>
      </w:rPr>
      <w:t>&lt;PathFdR&gt;</w:t>
    </w:r>
    <w:r w:rsidRPr="00C947CB">
      <w:t>RR\1110271MT.docx</w:t>
    </w:r>
    <w:r w:rsidRPr="00C947CB">
      <w:rPr>
        <w:rStyle w:val="HideTWBExt"/>
        <w:noProof w:val="0"/>
      </w:rPr>
      <w:t>&lt;/PathFdR&gt;</w:t>
    </w:r>
  </w:p>
  <w:p w:rsidR="002F7000" w:rsidRPr="00C947CB" w:rsidRDefault="00C947CB" w:rsidP="00C947CB">
    <w:pPr>
      <w:pStyle w:val="Footer2"/>
    </w:pPr>
    <w:r w:rsidRPr="00C947CB">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CB" w:rsidRPr="00C947CB" w:rsidRDefault="00C947CB" w:rsidP="00C947CB">
    <w:pPr>
      <w:pStyle w:val="Footer"/>
    </w:pPr>
    <w:r w:rsidRPr="00C947CB">
      <w:rPr>
        <w:rStyle w:val="HideTWBExt"/>
        <w:noProof w:val="0"/>
      </w:rPr>
      <w:t>&lt;PathFdR&gt;</w:t>
    </w:r>
    <w:r w:rsidRPr="00C947CB">
      <w:t>RR\1110271MT.docx</w:t>
    </w:r>
    <w:r w:rsidRPr="00C947CB">
      <w:rPr>
        <w:rStyle w:val="HideTWBExt"/>
        <w:noProof w:val="0"/>
      </w:rPr>
      <w:t>&lt;/PathFdR&gt;</w:t>
    </w:r>
    <w:r w:rsidRPr="00C947CB">
      <w:tab/>
    </w:r>
    <w:r w:rsidRPr="00C947CB">
      <w:fldChar w:fldCharType="begin"/>
    </w:r>
    <w:r w:rsidRPr="00C947CB">
      <w:instrText xml:space="preserve"> PAGE  \* MERGEFORMAT </w:instrText>
    </w:r>
    <w:r w:rsidRPr="00C947CB">
      <w:fldChar w:fldCharType="separate"/>
    </w:r>
    <w:r w:rsidR="00825D13">
      <w:rPr>
        <w:noProof/>
      </w:rPr>
      <w:t>9</w:t>
    </w:r>
    <w:r w:rsidRPr="00C947CB">
      <w:fldChar w:fldCharType="end"/>
    </w:r>
    <w:r w:rsidRPr="00C947CB">
      <w:t>/</w:t>
    </w:r>
    <w:r w:rsidR="00825D13">
      <w:fldChar w:fldCharType="begin"/>
    </w:r>
    <w:r w:rsidR="00825D13">
      <w:instrText xml:space="preserve"> NUMPAGES  \* MERGEFORMAT </w:instrText>
    </w:r>
    <w:r w:rsidR="00825D13">
      <w:fldChar w:fldCharType="separate"/>
    </w:r>
    <w:r w:rsidR="00825D13">
      <w:rPr>
        <w:noProof/>
      </w:rPr>
      <w:t>10</w:t>
    </w:r>
    <w:r w:rsidR="00825D13">
      <w:fldChar w:fldCharType="end"/>
    </w:r>
    <w:r w:rsidRPr="00C947CB">
      <w:tab/>
      <w:t>PE</w:t>
    </w:r>
    <w:r w:rsidRPr="00C947CB">
      <w:rPr>
        <w:rStyle w:val="HideTWBExt"/>
        <w:noProof w:val="0"/>
      </w:rPr>
      <w:t>&lt;NoPE&gt;</w:t>
    </w:r>
    <w:r w:rsidRPr="00C947CB">
      <w:t>589.446</w:t>
    </w:r>
    <w:r w:rsidRPr="00C947CB">
      <w:rPr>
        <w:rStyle w:val="HideTWBExt"/>
        <w:noProof w:val="0"/>
      </w:rPr>
      <w:t>&lt;/NoPE&gt;&lt;Version&gt;</w:t>
    </w:r>
    <w:r w:rsidRPr="00C947CB">
      <w:t>v02-00</w:t>
    </w:r>
    <w:r w:rsidRPr="00C947CB">
      <w:rPr>
        <w:rStyle w:val="HideTWBExt"/>
        <w:noProof w:val="0"/>
      </w:rPr>
      <w:t>&lt;/Version&gt;</w:t>
    </w:r>
  </w:p>
  <w:p w:rsidR="002F7000" w:rsidRPr="00C947CB" w:rsidRDefault="00C947CB" w:rsidP="00C947CB">
    <w:pPr>
      <w:pStyle w:val="Footer2"/>
    </w:pPr>
    <w:r w:rsidRPr="00C947CB">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CB" w:rsidRPr="00C947CB" w:rsidRDefault="00C947CB" w:rsidP="00C947CB">
    <w:pPr>
      <w:pStyle w:val="Footer"/>
    </w:pPr>
    <w:r w:rsidRPr="00C947CB">
      <w:rPr>
        <w:rStyle w:val="HideTWBExt"/>
        <w:noProof w:val="0"/>
      </w:rPr>
      <w:t>&lt;PathFdR&gt;</w:t>
    </w:r>
    <w:r w:rsidRPr="00C947CB">
      <w:t>RR\1110271MT.docx</w:t>
    </w:r>
    <w:r w:rsidRPr="00C947CB">
      <w:rPr>
        <w:rStyle w:val="HideTWBExt"/>
        <w:noProof w:val="0"/>
      </w:rPr>
      <w:t>&lt;/PathFdR&gt;</w:t>
    </w:r>
    <w:r w:rsidRPr="00C947CB">
      <w:tab/>
    </w:r>
    <w:r w:rsidRPr="00C947CB">
      <w:tab/>
      <w:t>PE</w:t>
    </w:r>
    <w:r w:rsidRPr="00C947CB">
      <w:rPr>
        <w:rStyle w:val="HideTWBExt"/>
        <w:noProof w:val="0"/>
      </w:rPr>
      <w:t>&lt;NoPE&gt;</w:t>
    </w:r>
    <w:r w:rsidRPr="00C947CB">
      <w:t>589.446</w:t>
    </w:r>
    <w:r w:rsidRPr="00C947CB">
      <w:rPr>
        <w:rStyle w:val="HideTWBExt"/>
        <w:noProof w:val="0"/>
      </w:rPr>
      <w:t>&lt;/NoPE&gt;&lt;Version&gt;</w:t>
    </w:r>
    <w:r w:rsidRPr="00C947CB">
      <w:t>v02-00</w:t>
    </w:r>
    <w:r w:rsidRPr="00C947CB">
      <w:rPr>
        <w:rStyle w:val="HideTWBExt"/>
        <w:noProof w:val="0"/>
      </w:rPr>
      <w:t>&lt;/Version&gt;</w:t>
    </w:r>
  </w:p>
  <w:p w:rsidR="002F7000" w:rsidRPr="00C947CB" w:rsidRDefault="00C947CB" w:rsidP="00C947CB">
    <w:pPr>
      <w:pStyle w:val="Footer2"/>
      <w:tabs>
        <w:tab w:val="center" w:pos="4535"/>
      </w:tabs>
    </w:pPr>
    <w:r w:rsidRPr="00C947CB">
      <w:t>MT</w:t>
    </w:r>
    <w:r w:rsidRPr="00C947CB">
      <w:tab/>
    </w:r>
    <w:r w:rsidRPr="00C947CB">
      <w:rPr>
        <w:b w:val="0"/>
        <w:i/>
        <w:color w:val="C0C0C0"/>
        <w:sz w:val="22"/>
      </w:rPr>
      <w:t>Magħquda fid-diversità</w:t>
    </w:r>
    <w:r w:rsidRPr="00C947CB">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70" w:rsidRPr="00C947CB" w:rsidRDefault="00537770">
      <w:r w:rsidRPr="00C947CB">
        <w:separator/>
      </w:r>
    </w:p>
  </w:footnote>
  <w:footnote w:type="continuationSeparator" w:id="0">
    <w:p w:rsidR="00537770" w:rsidRPr="00C947CB" w:rsidRDefault="00537770">
      <w:r w:rsidRPr="00C947CB">
        <w:continuationSeparator/>
      </w:r>
    </w:p>
  </w:footnote>
  <w:footnote w:id="1">
    <w:p w:rsidR="005F644F" w:rsidRPr="00C947CB" w:rsidRDefault="005F644F" w:rsidP="005F644F">
      <w:pPr>
        <w:pStyle w:val="FootnoteText"/>
        <w:rPr>
          <w:sz w:val="24"/>
          <w:szCs w:val="24"/>
        </w:rPr>
      </w:pPr>
      <w:r w:rsidRPr="00C947CB">
        <w:rPr>
          <w:rStyle w:val="FootnoteReference"/>
          <w:sz w:val="24"/>
        </w:rPr>
        <w:footnoteRef/>
      </w:r>
      <w:r w:rsidRPr="00C947CB">
        <w:rPr>
          <w:sz w:val="24"/>
        </w:rPr>
        <w:t xml:space="preserve"> ĠU L 121, 15.5.2009, p. 37.</w:t>
      </w:r>
    </w:p>
  </w:footnote>
  <w:footnote w:id="2">
    <w:p w:rsidR="005F644F" w:rsidRPr="00C947CB" w:rsidRDefault="005F644F" w:rsidP="005F644F">
      <w:pPr>
        <w:pStyle w:val="FootnoteText"/>
        <w:rPr>
          <w:sz w:val="24"/>
          <w:szCs w:val="24"/>
        </w:rPr>
      </w:pPr>
      <w:r w:rsidRPr="00C947CB">
        <w:rPr>
          <w:rStyle w:val="FootnoteReference"/>
          <w:sz w:val="24"/>
        </w:rPr>
        <w:footnoteRef/>
      </w:r>
      <w:r w:rsidRPr="00C947CB">
        <w:rPr>
          <w:sz w:val="24"/>
        </w:rPr>
        <w:t xml:space="preserve"> ĠU L 325, 11.12.2009, p. 6.</w:t>
      </w:r>
    </w:p>
  </w:footnote>
  <w:footnote w:id="3">
    <w:p w:rsidR="005F644F" w:rsidRPr="00C947CB" w:rsidRDefault="005F644F" w:rsidP="005F644F">
      <w:pPr>
        <w:pStyle w:val="FootnoteText"/>
        <w:rPr>
          <w:sz w:val="24"/>
          <w:szCs w:val="24"/>
        </w:rPr>
      </w:pPr>
      <w:r w:rsidRPr="00C947CB">
        <w:rPr>
          <w:rStyle w:val="FootnoteReference"/>
          <w:sz w:val="24"/>
        </w:rPr>
        <w:footnoteRef/>
      </w:r>
      <w:r w:rsidRPr="00C947CB">
        <w:rPr>
          <w:sz w:val="24"/>
        </w:rPr>
        <w:t xml:space="preserve"> ĠU L 325, 11.12.2009, p. 12.</w:t>
      </w:r>
    </w:p>
  </w:footnote>
  <w:footnote w:id="4">
    <w:p w:rsidR="005F644F" w:rsidRPr="00C947CB" w:rsidRDefault="005F644F" w:rsidP="005F644F">
      <w:pPr>
        <w:pStyle w:val="FootnoteText"/>
        <w:rPr>
          <w:sz w:val="24"/>
          <w:szCs w:val="24"/>
        </w:rPr>
      </w:pPr>
      <w:r w:rsidRPr="00C947CB">
        <w:rPr>
          <w:rStyle w:val="FootnoteReference"/>
          <w:sz w:val="24"/>
        </w:rPr>
        <w:footnoteRef/>
      </w:r>
      <w:r w:rsidRPr="00C947CB">
        <w:rPr>
          <w:sz w:val="24"/>
        </w:rPr>
        <w:t xml:space="preserve"> Ir-Regolament tal-Parlament Ewropew u tal-Kunsill tal-11 ta' Mejju 2016 dwar l-Aġenzija tal-Unjoni Ewropea għall-Kooperazzjoni fl-Infurzar tal-Liġi (Europol) u li jissostitwixxi u jħassar id-Deċiżjonijiet tal-Kunsill 2009/371/ĠAI, 2009/934/ĠAI, 2009/935/ĠAI, 2009/936/ĠAI u 2009/968/ĠAI (ĠU L 135, 24.5.2016, p.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13" w:rsidRDefault="00825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13" w:rsidRDefault="00825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13" w:rsidRDefault="00825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EURATOMMNU" w:val=" 3"/>
    <w:docVar w:name="ARTFEUMNU" w:val=" 1"/>
    <w:docVar w:name="COMKEY" w:val="LIBE"/>
    <w:docVar w:name="CopyToNetwork" w:val="-1"/>
    <w:docVar w:name="JURI1MNU" w:val=" 1"/>
    <w:docVar w:name="JURI2MNU" w:val=" 2"/>
    <w:docVar w:name="LastEditedSection" w:val=" 1"/>
    <w:docVar w:name="strDocTypeID" w:val="CONV"/>
    <w:docVar w:name="strSubDir" w:val="1110"/>
    <w:docVar w:name="TITLEMNU" w:val=" 2"/>
    <w:docVar w:name="TXTLANGUE" w:val="MT"/>
    <w:docVar w:name="TXTLANGUEMIN" w:val="mt"/>
    <w:docVar w:name="TXTNRC" w:val="0266/2016"/>
    <w:docVar w:name="TXTNRCNS" w:val="2016/0810"/>
    <w:docVar w:name="TXTNRCOUNC" w:val="10343/2016"/>
    <w:docVar w:name="TXTNRPE" w:val="589.446"/>
    <w:docVar w:name="TXTPEorAP" w:val="PE"/>
    <w:docVar w:name="TXTROUTE" w:val="RR\1110271MT.docx"/>
    <w:docVar w:name="TXTVERSION" w:val="02-00"/>
  </w:docVars>
  <w:rsids>
    <w:rsidRoot w:val="00537770"/>
    <w:rsid w:val="000118C9"/>
    <w:rsid w:val="00056EA7"/>
    <w:rsid w:val="000C7D46"/>
    <w:rsid w:val="00104AEE"/>
    <w:rsid w:val="00155F7D"/>
    <w:rsid w:val="001907B9"/>
    <w:rsid w:val="001A06D8"/>
    <w:rsid w:val="001E5A80"/>
    <w:rsid w:val="002502BC"/>
    <w:rsid w:val="00277AA2"/>
    <w:rsid w:val="002817C0"/>
    <w:rsid w:val="002B272A"/>
    <w:rsid w:val="002E544E"/>
    <w:rsid w:val="002E5810"/>
    <w:rsid w:val="002F7000"/>
    <w:rsid w:val="00302A66"/>
    <w:rsid w:val="00351889"/>
    <w:rsid w:val="00385C3B"/>
    <w:rsid w:val="003D2B94"/>
    <w:rsid w:val="004002E3"/>
    <w:rsid w:val="00487BC1"/>
    <w:rsid w:val="004C4A0B"/>
    <w:rsid w:val="004D7B3B"/>
    <w:rsid w:val="0050486E"/>
    <w:rsid w:val="00537770"/>
    <w:rsid w:val="00543B7B"/>
    <w:rsid w:val="00566C5B"/>
    <w:rsid w:val="005F644F"/>
    <w:rsid w:val="00681C69"/>
    <w:rsid w:val="00721255"/>
    <w:rsid w:val="00796EB5"/>
    <w:rsid w:val="007D611D"/>
    <w:rsid w:val="00825D13"/>
    <w:rsid w:val="00874129"/>
    <w:rsid w:val="008E1C2D"/>
    <w:rsid w:val="008E22DF"/>
    <w:rsid w:val="00972620"/>
    <w:rsid w:val="00997EB6"/>
    <w:rsid w:val="009B0F04"/>
    <w:rsid w:val="009D0C99"/>
    <w:rsid w:val="00A32023"/>
    <w:rsid w:val="00A43E6A"/>
    <w:rsid w:val="00AD26AD"/>
    <w:rsid w:val="00AF7573"/>
    <w:rsid w:val="00B37926"/>
    <w:rsid w:val="00BD28D4"/>
    <w:rsid w:val="00BE4EC7"/>
    <w:rsid w:val="00C22C1C"/>
    <w:rsid w:val="00C245F9"/>
    <w:rsid w:val="00C54859"/>
    <w:rsid w:val="00C71A3C"/>
    <w:rsid w:val="00C82EBC"/>
    <w:rsid w:val="00C947CB"/>
    <w:rsid w:val="00D878D9"/>
    <w:rsid w:val="00DC3DED"/>
    <w:rsid w:val="00DE2A63"/>
    <w:rsid w:val="00E97119"/>
    <w:rsid w:val="00ED0609"/>
    <w:rsid w:val="00ED0821"/>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A8EE2D4-6C06-44F4-8168-943BA733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mt-MT" w:bidi="mt-M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4A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C5B"/>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Lgendesigne">
    <w:name w:val="Légende signe"/>
    <w:basedOn w:val="Normal"/>
    <w:rsid w:val="00997EB6"/>
    <w:pPr>
      <w:tabs>
        <w:tab w:val="right" w:pos="454"/>
        <w:tab w:val="left" w:pos="737"/>
      </w:tabs>
      <w:ind w:left="737" w:hanging="737"/>
    </w:pPr>
    <w:rPr>
      <w:sz w:val="18"/>
    </w:rPr>
  </w:style>
  <w:style w:type="paragraph" w:customStyle="1" w:styleId="Lgendetitre">
    <w:name w:val="Légende titre"/>
    <w:basedOn w:val="Normal"/>
    <w:rsid w:val="00997EB6"/>
    <w:pPr>
      <w:spacing w:before="240" w:after="240"/>
    </w:pPr>
    <w:rPr>
      <w:b/>
      <w:i/>
    </w:rPr>
  </w:style>
  <w:style w:type="paragraph" w:customStyle="1" w:styleId="Lgendestandard">
    <w:name w:val="Légende standard"/>
    <w:basedOn w:val="Lgendesigne"/>
    <w:rsid w:val="00997EB6"/>
    <w:pPr>
      <w:ind w:left="0" w:firstLine="0"/>
    </w:pPr>
  </w:style>
  <w:style w:type="paragraph" w:styleId="FootnoteText">
    <w:name w:val="footnote text"/>
    <w:basedOn w:val="Normal"/>
    <w:link w:val="FootnoteTextChar"/>
    <w:unhideWhenUsed/>
    <w:rsid w:val="00997EB6"/>
    <w:rPr>
      <w:sz w:val="20"/>
    </w:rPr>
  </w:style>
  <w:style w:type="character" w:customStyle="1" w:styleId="FootnoteTextChar">
    <w:name w:val="Footnote Text Char"/>
    <w:basedOn w:val="DefaultParagraphFont"/>
    <w:link w:val="FootnoteText"/>
    <w:rsid w:val="00997EB6"/>
  </w:style>
  <w:style w:type="character" w:styleId="FootnoteReference">
    <w:name w:val="footnote reference"/>
    <w:unhideWhenUsed/>
    <w:rsid w:val="00997EB6"/>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5F644F"/>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5DE4-6EED-4277-B922-3AB27590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BC79F558.dotm</Template>
  <TotalTime>0</TotalTime>
  <Pages>10</Pages>
  <Words>1267</Words>
  <Characters>9379</Characters>
  <Application>Microsoft Office Word</Application>
  <DocSecurity>0</DocSecurity>
  <Lines>275</Lines>
  <Paragraphs>145</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CINI Fabian</dc:creator>
  <cp:keywords/>
  <dc:description/>
  <cp:lastModifiedBy>CONSOLI Silvio</cp:lastModifiedBy>
  <cp:revision>2</cp:revision>
  <cp:lastPrinted>2004-11-04T09:10:00Z</cp:lastPrinted>
  <dcterms:created xsi:type="dcterms:W3CDTF">2016-11-25T09:56:00Z</dcterms:created>
  <dcterms:modified xsi:type="dcterms:W3CDTF">2016-11-25T09:56:00Z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1110271</vt:lpwstr>
  </property>
  <property fmtid="{D5CDD505-2E9C-101B-9397-08002B2CF9AE}" pid="5" name="&lt;Type&gt;">
    <vt:lpwstr>RR</vt:lpwstr>
  </property>
  <property fmtid="{D5CDD505-2E9C-101B-9397-08002B2CF9AE}" pid="6" name="&lt;ModelCod&gt;">
    <vt:lpwstr>\\eiciLUXpr1\pdocep$\DocEP\DOCS\General\PR\PR_Leg\CNS\CNS_LegAct\PR_CNS_LegAct_app.dot(17/02/2016 11:44:42)</vt:lpwstr>
  </property>
  <property fmtid="{D5CDD505-2E9C-101B-9397-08002B2CF9AE}" pid="7" name="&lt;ModelTra&gt;">
    <vt:lpwstr>\\eiciLUXpr1\pdocep$\DocEP\TRANSFIL\MT\PR_CNS_LegAct_app.MT(22/09/2016 14:03:58)</vt:lpwstr>
  </property>
  <property fmtid="{D5CDD505-2E9C-101B-9397-08002B2CF9AE}" pid="8" name="&lt;Model&gt;">
    <vt:lpwstr>PR_CNS_LegAct_app</vt:lpwstr>
  </property>
  <property fmtid="{D5CDD505-2E9C-101B-9397-08002B2CF9AE}" pid="9" name="FooterPath">
    <vt:lpwstr>RR\1110271MT.docx</vt:lpwstr>
  </property>
  <property fmtid="{D5CDD505-2E9C-101B-9397-08002B2CF9AE}" pid="10" name="PE Number">
    <vt:lpwstr>589.446</vt:lpwstr>
  </property>
  <property fmtid="{D5CDD505-2E9C-101B-9397-08002B2CF9AE}" pid="11" name="Bookout">
    <vt:lpwstr>OK - 2016/11/25 10:56</vt:lpwstr>
  </property>
  <property fmtid="{D5CDD505-2E9C-101B-9397-08002B2CF9AE}" pid="12" name="SDLStudio">
    <vt:lpwstr/>
  </property>
  <property fmtid="{D5CDD505-2E9C-101B-9397-08002B2CF9AE}" pid="13" name="&lt;Extension&gt;">
    <vt:lpwstr>MT</vt:lpwstr>
  </property>
</Properties>
</file>