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A77B3E">
      <w:pPr>
        <w:pStyle w:val="Interstitial1"/>
      </w:pP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fraktsiooni </w:t>
      </w:r>
      <w:r>
        <w:t>Verts/ALE</w:t>
      </w:r>
      <w:r>
        <w:t xml:space="preserve"> nimel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Raport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Euroopa Parlamendi kodukorra üldine läbivaatamine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Kodukord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3. peatükk – artikkel 25 – lõige 12 a (uus)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Kehtiv tekst</w:t>
            </w:r>
          </w:p>
        </w:tc>
        <w:tc>
          <w:tcPr/>
          <w:p>
            <w:pPr>
              <w:pStyle w:val="ColumnHeading"/>
            </w:pPr>
            <w:r>
              <w:t>Muudatusettepanek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12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Juhatus seab sisse avaliku registri, millesse kantakse kõik parlamendi üleskutsed ja nõudmised komisjonile, nõukogule ja liikmesriikidele, samuti regulaarselt uuendatud materjalid nende üleskutsete ja nõudmiste tulemuste kohta.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fraktsiooni </w:t>
      </w:r>
      <w:r>
        <w:t>Verts/ALE</w:t>
      </w:r>
      <w:r>
        <w:t xml:space="preserve"> nimel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Raport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Euroopa Parlamendi kodukorra üldine läbivaatamine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Kodukord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5. peatükk – artikkel 169 – lõige 1 – lõik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Kehtiv tekst</w:t>
            </w:r>
          </w:p>
        </w:tc>
        <w:tc>
          <w:tcPr/>
          <w:p>
            <w:pPr>
              <w:pStyle w:val="ColumnHeading"/>
            </w:pPr>
            <w:r>
              <w:t>Muudatusettepanek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Artikli 47 lõike 1 tähenduses seadusandlike dokumentide kohta esitatud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muudatusettepanekutele</w:t>
            </w:r>
            <w:r>
              <w:t xml:space="preserve"> võib lisada lühikese selgituse. Selgituste eest vastutab nende koostaja ja neid ei panda hääletusele.</w:t>
            </w: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Muudatusettepanekutele</w:t>
            </w:r>
            <w:r>
              <w:t xml:space="preserve"> võib lisada lühikese selgituse. Selgituste eest vastutab nende koostaja ja neid ei panda hääletusele.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fraktsiooni </w:t>
      </w:r>
      <w:r>
        <w:t>Verts/ALE</w:t>
      </w:r>
      <w:r>
        <w:t xml:space="preserve"> nimel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Raport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Euroopa Parlamendi kodukorra üldine läbivaatamine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Kodukord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1. peatükk – artikkel 205 – lõige 4 – lõik 1 a (uus)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Kehtiv tekst</w:t>
            </w:r>
          </w:p>
        </w:tc>
        <w:tc>
          <w:tcPr/>
          <w:p>
            <w:pPr>
              <w:pStyle w:val="ColumnHeading"/>
            </w:pPr>
            <w:r>
              <w:t>Muudatusettepanek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Parlament kogub ja avaldab kõik raporti teemat puudutavad materjalid, mille raportöörid ja komisjonide esimehed on saanud üksikisikutelt ja organisatsioonidelt, kelle suhtes kohaldatakse läbipaistvusregistrit. Juhatus tagab nende materjalide avaldamiseks vajaliku infrastruktuuri.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fraktsiooni </w:t>
      </w:r>
      <w:r>
        <w:t>Verts/ALE</w:t>
      </w:r>
      <w:r>
        <w:t xml:space="preserve"> nimel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Raport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Euroopa Parlamendi kodukorra üldine läbivaatamine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Kodukord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I lisa – artikkel 4 – lõige 2 – lõik 1 – punkt h a (uus)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Kehtiv tekst</w:t>
            </w:r>
          </w:p>
        </w:tc>
        <w:tc>
          <w:tcPr/>
          <w:p>
            <w:pPr>
              <w:pStyle w:val="ColumnHeading"/>
            </w:pPr>
            <w:r>
              <w:t>Muudatusettepanek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h 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parlamendiliikmele kuuluv vara; juhatus sätestab asjakohased rakendusmeetmed;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JustificationTitle"/>
      </w:pPr>
      <w:r>
        <w:rPr>
          <w:rStyle w:val="HideTWBExt"/>
        </w:rPr>
        <w:t>&lt;</w:t>
      </w:r>
      <w:r>
        <w:rPr>
          <w:rStyle w:val="HideTWBExt"/>
        </w:rPr>
        <w:t>TitreJust</w:t>
      </w:r>
      <w:r>
        <w:rPr>
          <w:rStyle w:val="HideTWBExt"/>
        </w:rPr>
        <w:t>&gt;</w:t>
      </w:r>
      <w:r>
        <w:t>Selgitus</w:t>
      </w:r>
      <w:r>
        <w:rPr>
          <w:rStyle w:val="HideTWBExt"/>
        </w:rPr>
        <w:t>&lt;/</w:t>
      </w:r>
      <w:r>
        <w:rPr>
          <w:rStyle w:val="HideTWBExt"/>
        </w:rPr>
        <w:t>TitreJust</w:t>
      </w:r>
      <w:r>
        <w:rPr>
          <w:rStyle w:val="HideTWBExt"/>
        </w:rPr>
        <w:t>&gt;</w:t>
      </w:r>
    </w:p>
    <w:p>
      <w:pPr>
        <w:pStyle w:val="Normal12Italic"/>
      </w:pPr>
      <w:r>
        <w:t> Samasugused nõuded sisalduvad Prantsusmaa, Ungari ja Ühendkuningriigi huvide konflikti käsitlevates seadustes.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fraktsiooni </w:t>
      </w:r>
      <w:r>
        <w:t>Verts/ALE</w:t>
      </w:r>
      <w:r>
        <w:t xml:space="preserve"> nimel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Raport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Euroopa Parlamendi kodukorra üldine läbivaatamine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Kodukord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I lisa – artikkel 4 – lõige 2 – lõik 1 – punkt h a (uus)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Kehtiv tekst</w:t>
            </w:r>
          </w:p>
        </w:tc>
        <w:tc>
          <w:tcPr/>
          <w:p>
            <w:pPr>
              <w:pStyle w:val="ColumnHeading"/>
            </w:pPr>
            <w:r>
              <w:t>Muudatusettepanek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h b)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parlamendiliikme võlad ja kohustused; juhatus sätestab asjakohased rakendusmeetmed;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JustificationTitle"/>
      </w:pPr>
      <w:r>
        <w:rPr>
          <w:rStyle w:val="HideTWBExt"/>
        </w:rPr>
        <w:t>&lt;</w:t>
      </w:r>
      <w:r>
        <w:rPr>
          <w:rStyle w:val="HideTWBExt"/>
        </w:rPr>
        <w:t>TitreJust</w:t>
      </w:r>
      <w:r>
        <w:rPr>
          <w:rStyle w:val="HideTWBExt"/>
        </w:rPr>
        <w:t>&gt;</w:t>
      </w:r>
      <w:r>
        <w:t>Selgitus</w:t>
      </w:r>
      <w:r>
        <w:rPr>
          <w:rStyle w:val="HideTWBExt"/>
        </w:rPr>
        <w:t>&lt;/</w:t>
      </w:r>
      <w:r>
        <w:rPr>
          <w:rStyle w:val="HideTWBExt"/>
        </w:rPr>
        <w:t>TitreJust</w:t>
      </w:r>
      <w:r>
        <w:rPr>
          <w:rStyle w:val="HideTWBExt"/>
        </w:rPr>
        <w:t>&gt;</w:t>
      </w:r>
    </w:p>
    <w:p>
      <w:pPr>
        <w:pStyle w:val="Normal12Italic"/>
      </w:pPr>
      <w:r>
        <w:t>Samasugused nõuded sisalduvad Prantsusmaa, Ungari ja Ühendkuningriigi huvide konflikti käsitlevates seadustes.</w:t>
      </w:r>
    </w:p>
    <w:p>
      <w:pPr>
        <w:pStyle w:val="Normal12Italic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4"/>
      <w:footerReference w:type="default" r:id="rId5"/>
      <w:footerReference w:type="first" r:id="rId6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AM\1112159ET.docx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ET</w:t>
    </w:r>
    <w:r>
      <w:tab/>
    </w:r>
    <w:r>
      <w:rPr>
        <w:rStyle w:val="Footer2Middle"/>
      </w:rPr>
      <w:t>Ühinenud mitmekesisuses</w:t>
    </w:r>
    <w:r>
      <w:tab/>
    </w:r>
    <w:r>
      <w:t>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AM\1112159ET.docx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ET</w:t>
    </w:r>
    <w:r>
      <w:tab/>
    </w:r>
    <w:r>
      <w:rPr>
        <w:rStyle w:val="Footer2Middle"/>
      </w:rPr>
      <w:t>Ühinenud mitmekesisuses</w:t>
    </w:r>
    <w:r>
      <w:tab/>
    </w:r>
    <w:r>
      <w:t>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AM\1112159ET.docx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ET</w:t>
    </w:r>
    <w:r>
      <w:tab/>
    </w:r>
    <w:r>
      <w:rPr>
        <w:rStyle w:val="Footer2Middle"/>
      </w:rPr>
      <w:t>Ühinenud mitmekesisuses</w:t>
    </w:r>
    <w:r>
      <w:tab/>
    </w:r>
    <w:r>
      <w:t>ET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pPr>
      <w:tabs>
        <w:tab w:val="center" w:pos="4535"/>
        <w:tab w:val="right" w:pos="9072"/>
        <w:tab w:val="right" w:pos="9923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lear" w:pos="9072"/>
        <w:tab w:val="clear" w:pos="9923"/>
        <w:tab w:val="center" w:pos="13608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lear" w:pos="9072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  <w:szCs w:val="24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  <w:szCs w:val="24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spacing w:before="0" w:after="0"/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  <w:sz w:val="24"/>
      <w:szCs w:val="24"/>
    </w:rPr>
  </w:style>
  <w:style w:type="paragraph" w:customStyle="1" w:styleId="Normal12Italic">
    <w:name w:val="Normal12Italic"/>
    <w:pPr>
      <w:tabs>
        <w:tab w:val="right" w:pos="9072"/>
      </w:tabs>
      <w:spacing w:before="0" w:after="0"/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 w:val="24"/>
      <w:szCs w:val="20"/>
      <w:lang w:val="fr-FR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  <w:szCs w:val="24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AM_Ple_Rules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1112159</vt:lpwstr>
  </property>
  <property fmtid="{D5CDD505-2E9C-101B-9397-08002B2CF9AE}" pid="4" name="&lt;FooterPath&gt;">
    <vt:lpwstr>AM\1112159ET.doc</vt:lpwstr>
  </property>
  <property fmtid="{D5CDD505-2E9C-101B-9397-08002B2CF9AE}" pid="5" name="&lt;Model&gt;">
    <vt:lpwstr>AM_Ple_Rules</vt:lpwstr>
  </property>
  <property fmtid="{D5CDD505-2E9C-101B-9397-08002B2CF9AE}" pid="6" name="&lt;Type&gt;">
    <vt:lpwstr>AM</vt:lpwstr>
  </property>
  <property fmtid="{D5CDD505-2E9C-101B-9397-08002B2CF9AE}" pid="7" name="DMXMLUID">
    <vt:lpwstr>20161209-112830-000356-960156</vt:lpwstr>
  </property>
  <property fmtid="{D5CDD505-2E9C-101B-9397-08002B2CF9AE}" pid="8" name="PE Number">
    <vt:lpwstr>596.594</vt:lpwstr>
  </property>
  <property fmtid="{D5CDD505-2E9C-101B-9397-08002B2CF9AE}" pid="9" name="UID">
    <vt:lpwstr>eu.europa.europarl-DIN1-2016-0000083862_01.00-et-01.00_text-xml</vt:lpwstr>
  </property>
</Properties>
</file>